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3"/>
        <w:spacing w:line="360" w:lineRule="auto"/>
        <w:ind w:right="25" w:rightChars="12"/>
        <w:jc w:val="center"/>
        <w:rPr>
          <w:rFonts w:hint="eastAsia"/>
          <w:b/>
          <w:color w:val="auto"/>
          <w:sz w:val="48"/>
          <w:szCs w:val="48"/>
          <w:highlight w:val="none"/>
          <w:u w:val="none"/>
        </w:rPr>
      </w:pPr>
    </w:p>
    <w:p>
      <w:pPr>
        <w:spacing w:line="600" w:lineRule="auto"/>
        <w:jc w:val="center"/>
        <w:rPr>
          <w:rFonts w:hint="eastAsia" w:ascii="宋体" w:hAnsi="宋体"/>
          <w:color w:val="auto"/>
          <w:sz w:val="48"/>
          <w:szCs w:val="48"/>
          <w:highlight w:val="none"/>
          <w:u w:val="none"/>
          <w:lang w:eastAsia="zh-CN"/>
        </w:rPr>
      </w:pPr>
      <w:r>
        <w:rPr>
          <w:rFonts w:hint="eastAsia" w:ascii="宋体" w:hAnsi="宋体"/>
          <w:color w:val="auto"/>
          <w:sz w:val="48"/>
          <w:szCs w:val="48"/>
          <w:highlight w:val="none"/>
          <w:u w:val="none"/>
          <w:lang w:eastAsia="zh-CN"/>
        </w:rPr>
        <w:t>广州开发区东区D01地块平整工程</w:t>
      </w:r>
    </w:p>
    <w:p>
      <w:pPr>
        <w:spacing w:line="600" w:lineRule="auto"/>
        <w:jc w:val="center"/>
        <w:rPr>
          <w:rFonts w:hint="eastAsia" w:ascii="宋体" w:hAnsi="宋体" w:eastAsia="宋体" w:cs="宋体"/>
          <w:b/>
          <w:bCs/>
          <w:color w:val="auto"/>
          <w:spacing w:val="26"/>
          <w:sz w:val="110"/>
          <w:szCs w:val="110"/>
          <w:highlight w:val="none"/>
          <w:lang w:eastAsia="zh-CN"/>
          <w14:shadow w14:blurRad="50800" w14:dist="38100" w14:dir="2700000" w14:sx="100000" w14:sy="100000" w14:kx="0" w14:ky="0" w14:algn="tl">
            <w14:srgbClr w14:val="000000">
              <w14:alpha w14:val="60000"/>
            </w14:srgbClr>
          </w14:shadow>
        </w:rPr>
      </w:pPr>
      <w:r>
        <w:rPr>
          <w:rFonts w:hint="eastAsia" w:ascii="宋体" w:hAnsi="宋体"/>
          <w:color w:val="auto"/>
          <w:sz w:val="48"/>
          <w:szCs w:val="48"/>
          <w:highlight w:val="none"/>
          <w:u w:val="none"/>
          <w:lang w:eastAsia="zh-CN"/>
        </w:rPr>
        <w:t>之D02、D03施工总承包</w:t>
      </w:r>
    </w:p>
    <w:p>
      <w:pPr>
        <w:pStyle w:val="19"/>
        <w:rPr>
          <w:rFonts w:hint="eastAsia" w:ascii="宋体" w:hAnsi="宋体" w:eastAsia="宋体" w:cs="宋体"/>
          <w:b/>
          <w:bCs/>
          <w:shadow/>
          <w:color w:val="auto"/>
          <w:spacing w:val="26"/>
          <w:kern w:val="0"/>
          <w:sz w:val="110"/>
          <w:szCs w:val="110"/>
          <w:highlight w:val="none"/>
        </w:rPr>
      </w:pPr>
    </w:p>
    <w:p>
      <w:pPr>
        <w:rPr>
          <w:rFonts w:hint="eastAsia"/>
          <w:color w:val="auto"/>
          <w:highlight w:val="none"/>
        </w:rPr>
      </w:pPr>
    </w:p>
    <w:p>
      <w:pPr>
        <w:pStyle w:val="25"/>
        <w:rPr>
          <w:rFonts w:hint="eastAsia"/>
          <w:color w:val="auto"/>
          <w:highlight w:val="none"/>
        </w:rPr>
      </w:pPr>
    </w:p>
    <w:p>
      <w:pPr>
        <w:pStyle w:val="25"/>
        <w:rPr>
          <w:rFonts w:hint="eastAsia"/>
          <w:color w:val="auto"/>
          <w:highlight w:val="none"/>
        </w:rPr>
      </w:pPr>
    </w:p>
    <w:p>
      <w:pPr>
        <w:pStyle w:val="25"/>
        <w:rPr>
          <w:rFonts w:hint="eastAsia"/>
          <w:color w:val="auto"/>
          <w:highlight w:val="none"/>
        </w:rPr>
      </w:pPr>
    </w:p>
    <w:p>
      <w:pPr>
        <w:spacing w:line="360" w:lineRule="auto"/>
        <w:jc w:val="center"/>
        <w:rPr>
          <w:rFonts w:hint="eastAsia" w:ascii="宋体" w:hAnsi="宋体" w:eastAsia="宋体" w:cs="宋体"/>
          <w:b/>
          <w:bCs/>
          <w:color w:val="auto"/>
          <w:spacing w:val="28"/>
          <w:sz w:val="110"/>
          <w:szCs w:val="110"/>
          <w:highlight w:val="none"/>
          <w:lang w:eastAsia="zh-CN"/>
        </w:rPr>
      </w:pPr>
      <w:r>
        <w:rPr>
          <w:rFonts w:hint="eastAsia" w:ascii="宋体" w:hAnsi="宋体" w:cs="宋体"/>
          <w:b/>
          <w:bCs/>
          <w:color w:val="auto"/>
          <w:spacing w:val="28"/>
          <w:sz w:val="110"/>
          <w:szCs w:val="110"/>
          <w:highlight w:val="none"/>
        </w:rPr>
        <w:t>招标</w:t>
      </w:r>
      <w:r>
        <w:rPr>
          <w:rFonts w:hint="eastAsia" w:ascii="宋体" w:hAnsi="宋体" w:cs="宋体"/>
          <w:b/>
          <w:bCs/>
          <w:color w:val="auto"/>
          <w:spacing w:val="28"/>
          <w:sz w:val="110"/>
          <w:szCs w:val="110"/>
          <w:highlight w:val="none"/>
          <w:lang w:eastAsia="zh-CN"/>
        </w:rPr>
        <w:t>文件</w:t>
      </w:r>
      <w:bookmarkStart w:id="292" w:name="_GoBack"/>
      <w:bookmarkEnd w:id="292"/>
    </w:p>
    <w:p>
      <w:pPr>
        <w:spacing w:line="360" w:lineRule="auto"/>
        <w:ind w:firstLine="0" w:firstLineChars="0"/>
        <w:jc w:val="center"/>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lang w:eastAsia="zh-CN"/>
        </w:rPr>
        <w:t>（调整后）</w:t>
      </w:r>
    </w:p>
    <w:p>
      <w:pPr>
        <w:pStyle w:val="41"/>
        <w:rPr>
          <w:rFonts w:ascii="宋体" w:hAnsi="宋体" w:cs="宋体"/>
          <w:color w:val="auto"/>
          <w:sz w:val="32"/>
          <w:szCs w:val="32"/>
          <w:highlight w:val="none"/>
        </w:rPr>
      </w:pPr>
    </w:p>
    <w:p>
      <w:pPr>
        <w:spacing w:line="360" w:lineRule="auto"/>
        <w:ind w:firstLine="2560" w:firstLineChars="800"/>
        <w:rPr>
          <w:rFonts w:ascii="宋体" w:hAnsi="宋体" w:cs="宋体"/>
          <w:color w:val="auto"/>
          <w:sz w:val="32"/>
          <w:szCs w:val="32"/>
          <w:highlight w:val="none"/>
        </w:rPr>
      </w:pPr>
    </w:p>
    <w:p>
      <w:pPr>
        <w:spacing w:line="360" w:lineRule="auto"/>
        <w:ind w:firstLine="1200" w:firstLineChars="400"/>
        <w:rPr>
          <w:rFonts w:ascii="宋体" w:hAnsi="宋体" w:cs="宋体"/>
          <w:color w:val="auto"/>
          <w:sz w:val="30"/>
          <w:szCs w:val="30"/>
          <w:highlight w:val="none"/>
        </w:rPr>
      </w:pPr>
    </w:p>
    <w:p>
      <w:pPr>
        <w:spacing w:line="360" w:lineRule="auto"/>
        <w:ind w:firstLine="1200" w:firstLineChars="400"/>
        <w:rPr>
          <w:rFonts w:ascii="宋体" w:hAnsi="宋体" w:cs="宋体"/>
          <w:color w:val="auto"/>
          <w:sz w:val="30"/>
          <w:szCs w:val="30"/>
          <w:highlight w:val="none"/>
        </w:rPr>
      </w:pPr>
    </w:p>
    <w:p>
      <w:pPr>
        <w:spacing w:line="360" w:lineRule="auto"/>
        <w:jc w:val="center"/>
        <w:rPr>
          <w:rFonts w:ascii="宋体" w:hAnsi="宋体" w:cs="宋体"/>
          <w:color w:val="auto"/>
          <w:spacing w:val="-2"/>
          <w:sz w:val="30"/>
          <w:szCs w:val="30"/>
          <w:highlight w:val="none"/>
        </w:rPr>
      </w:pPr>
    </w:p>
    <w:p>
      <w:pPr>
        <w:spacing w:line="360" w:lineRule="auto"/>
        <w:ind w:left="1208" w:leftChars="575"/>
        <w:jc w:val="left"/>
        <w:rPr>
          <w:rFonts w:ascii="宋体" w:hAnsi="宋体" w:cs="宋体"/>
          <w:b w:val="0"/>
          <w:bCs w:val="0"/>
          <w:color w:val="auto"/>
          <w:spacing w:val="-2"/>
          <w:sz w:val="30"/>
          <w:szCs w:val="30"/>
          <w:highlight w:val="none"/>
        </w:rPr>
      </w:pPr>
      <w:r>
        <w:rPr>
          <w:rFonts w:hint="eastAsia" w:ascii="宋体" w:hAnsi="宋体" w:cs="宋体"/>
          <w:b w:val="0"/>
          <w:bCs w:val="0"/>
          <w:color w:val="auto"/>
          <w:spacing w:val="-2"/>
          <w:sz w:val="30"/>
          <w:szCs w:val="30"/>
          <w:highlight w:val="none"/>
        </w:rPr>
        <w:t>招标单位：</w:t>
      </w:r>
      <w:r>
        <w:rPr>
          <w:rFonts w:hint="eastAsia" w:ascii="宋体" w:hAnsi="宋体" w:cs="宋体"/>
          <w:b w:val="0"/>
          <w:bCs w:val="0"/>
          <w:color w:val="auto"/>
          <w:spacing w:val="-2"/>
          <w:sz w:val="30"/>
          <w:szCs w:val="30"/>
          <w:highlight w:val="none"/>
          <w:u w:val="none"/>
        </w:rPr>
        <w:t>广州开发区财政投资建设项目管理中心</w:t>
      </w:r>
    </w:p>
    <w:p>
      <w:pPr>
        <w:spacing w:line="360" w:lineRule="auto"/>
        <w:ind w:left="1208" w:leftChars="575"/>
        <w:jc w:val="left"/>
        <w:rPr>
          <w:rFonts w:hint="eastAsia" w:ascii="宋体" w:hAnsi="宋体" w:cs="宋体"/>
          <w:b w:val="0"/>
          <w:bCs w:val="0"/>
          <w:color w:val="auto"/>
          <w:spacing w:val="-2"/>
          <w:sz w:val="30"/>
          <w:szCs w:val="30"/>
          <w:highlight w:val="none"/>
          <w:u w:val="none"/>
          <w:lang w:val="en-US" w:eastAsia="zh-CN"/>
        </w:rPr>
      </w:pPr>
      <w:r>
        <w:rPr>
          <w:rFonts w:hint="eastAsia" w:ascii="宋体" w:hAnsi="宋体" w:cs="宋体"/>
          <w:b w:val="0"/>
          <w:bCs w:val="0"/>
          <w:color w:val="auto"/>
          <w:spacing w:val="-2"/>
          <w:sz w:val="30"/>
          <w:szCs w:val="30"/>
          <w:highlight w:val="none"/>
          <w:lang w:val="en-US" w:eastAsia="zh-CN"/>
        </w:rPr>
        <w:t>代建单位：</w:t>
      </w:r>
      <w:r>
        <w:rPr>
          <w:rFonts w:hint="eastAsia" w:ascii="宋体" w:hAnsi="宋体" w:cs="宋体"/>
          <w:b w:val="0"/>
          <w:bCs w:val="0"/>
          <w:color w:val="auto"/>
          <w:spacing w:val="-2"/>
          <w:sz w:val="30"/>
          <w:szCs w:val="30"/>
          <w:highlight w:val="none"/>
          <w:u w:val="none"/>
          <w:lang w:val="en-US" w:eastAsia="zh-CN"/>
        </w:rPr>
        <w:t>广州东进新区开发有限公司</w:t>
      </w:r>
    </w:p>
    <w:p>
      <w:pPr>
        <w:spacing w:line="360" w:lineRule="auto"/>
        <w:ind w:left="1208" w:leftChars="575"/>
        <w:jc w:val="left"/>
        <w:rPr>
          <w:rFonts w:hint="eastAsia" w:ascii="宋体" w:hAnsi="宋体" w:cs="宋体"/>
          <w:b w:val="0"/>
          <w:bCs w:val="0"/>
          <w:color w:val="auto"/>
          <w:spacing w:val="-2"/>
          <w:sz w:val="30"/>
          <w:szCs w:val="30"/>
          <w:highlight w:val="none"/>
          <w:u w:val="single"/>
          <w:lang w:val="en-US" w:eastAsia="zh-CN"/>
        </w:rPr>
      </w:pPr>
      <w:r>
        <w:rPr>
          <w:rFonts w:hint="eastAsia" w:ascii="宋体" w:hAnsi="宋体" w:cs="宋体"/>
          <w:b w:val="0"/>
          <w:bCs w:val="0"/>
          <w:color w:val="auto"/>
          <w:spacing w:val="-2"/>
          <w:sz w:val="30"/>
          <w:szCs w:val="30"/>
          <w:highlight w:val="none"/>
        </w:rPr>
        <w:t>招标代理机构：广东省国际工程咨询有限公司</w:t>
      </w:r>
    </w:p>
    <w:p>
      <w:pPr>
        <w:spacing w:line="360" w:lineRule="auto"/>
        <w:ind w:left="1208" w:leftChars="575"/>
        <w:jc w:val="left"/>
        <w:rPr>
          <w:rFonts w:ascii="宋体" w:hAnsi="宋体" w:cs="宋体"/>
          <w:b w:val="0"/>
          <w:bCs w:val="0"/>
          <w:color w:val="auto"/>
          <w:spacing w:val="-2"/>
          <w:sz w:val="30"/>
          <w:szCs w:val="30"/>
          <w:highlight w:val="none"/>
        </w:rPr>
      </w:pPr>
      <w:r>
        <w:rPr>
          <w:rFonts w:hint="eastAsia" w:ascii="宋体" w:hAnsi="宋体" w:cs="宋体"/>
          <w:b w:val="0"/>
          <w:bCs w:val="0"/>
          <w:color w:val="auto"/>
          <w:spacing w:val="-2"/>
          <w:sz w:val="30"/>
          <w:szCs w:val="30"/>
          <w:highlight w:val="none"/>
        </w:rPr>
        <w:t>日期：</w:t>
      </w:r>
      <w:r>
        <w:rPr>
          <w:rFonts w:ascii="宋体" w:hAnsi="宋体" w:cs="宋体"/>
          <w:b w:val="0"/>
          <w:bCs w:val="0"/>
          <w:color w:val="auto"/>
          <w:spacing w:val="-2"/>
          <w:sz w:val="30"/>
          <w:szCs w:val="30"/>
          <w:highlight w:val="none"/>
        </w:rPr>
        <w:t>202</w:t>
      </w:r>
      <w:r>
        <w:rPr>
          <w:rFonts w:hint="eastAsia" w:ascii="宋体" w:hAnsi="宋体" w:cs="宋体"/>
          <w:b w:val="0"/>
          <w:bCs w:val="0"/>
          <w:color w:val="auto"/>
          <w:spacing w:val="-2"/>
          <w:sz w:val="30"/>
          <w:szCs w:val="30"/>
          <w:highlight w:val="none"/>
          <w:lang w:val="en-US" w:eastAsia="zh-CN"/>
        </w:rPr>
        <w:t>4</w:t>
      </w:r>
      <w:r>
        <w:rPr>
          <w:rFonts w:hint="eastAsia" w:ascii="宋体" w:hAnsi="宋体" w:cs="宋体"/>
          <w:b w:val="0"/>
          <w:bCs w:val="0"/>
          <w:color w:val="auto"/>
          <w:spacing w:val="-2"/>
          <w:sz w:val="30"/>
          <w:szCs w:val="30"/>
          <w:highlight w:val="none"/>
        </w:rPr>
        <w:t>年</w:t>
      </w:r>
      <w:r>
        <w:rPr>
          <w:rFonts w:hint="eastAsia" w:ascii="宋体" w:hAnsi="宋体" w:cs="宋体"/>
          <w:b w:val="0"/>
          <w:bCs w:val="0"/>
          <w:color w:val="auto"/>
          <w:spacing w:val="-2"/>
          <w:sz w:val="30"/>
          <w:szCs w:val="30"/>
          <w:highlight w:val="none"/>
          <w:u w:val="none"/>
          <w:lang w:val="en-US" w:eastAsia="zh-CN"/>
        </w:rPr>
        <w:t>7</w:t>
      </w:r>
      <w:r>
        <w:rPr>
          <w:rFonts w:hint="eastAsia" w:ascii="宋体" w:hAnsi="宋体" w:cs="宋体"/>
          <w:b w:val="0"/>
          <w:bCs w:val="0"/>
          <w:color w:val="auto"/>
          <w:spacing w:val="-2"/>
          <w:sz w:val="30"/>
          <w:szCs w:val="30"/>
          <w:highlight w:val="none"/>
        </w:rPr>
        <w:t>月</w:t>
      </w:r>
    </w:p>
    <w:p>
      <w:pPr>
        <w:spacing w:line="360" w:lineRule="auto"/>
        <w:jc w:val="both"/>
        <w:rPr>
          <w:rFonts w:ascii="宋体" w:hAnsi="宋体" w:cs="宋体"/>
          <w:b/>
          <w:bCs/>
          <w:color w:val="auto"/>
          <w:spacing w:val="-2"/>
          <w:sz w:val="30"/>
          <w:szCs w:val="30"/>
          <w:highlight w:val="none"/>
        </w:rPr>
      </w:pPr>
    </w:p>
    <w:p>
      <w:pPr>
        <w:jc w:val="center"/>
        <w:rPr>
          <w:rStyle w:val="58"/>
          <w:rFonts w:ascii="宋体" w:hAnsi="宋体" w:cs="宋体"/>
          <w:b/>
          <w:bCs/>
          <w:color w:val="auto"/>
          <w:highlight w:val="none"/>
        </w:rPr>
        <w:sectPr>
          <w:headerReference r:id="rId3" w:type="default"/>
          <w:footerReference r:id="rId5" w:type="default"/>
          <w:headerReference r:id="rId4" w:type="even"/>
          <w:footerReference r:id="rId6" w:type="even"/>
          <w:endnotePr>
            <w:numFmt w:val="decimal"/>
          </w:endnotePr>
          <w:pgSz w:w="11906" w:h="16838"/>
          <w:pgMar w:top="1361" w:right="1418" w:bottom="1361" w:left="1418" w:header="851" w:footer="907" w:gutter="0"/>
          <w:pgNumType w:fmt="decimal" w:start="0"/>
          <w:cols w:space="720" w:num="1"/>
          <w:titlePg/>
          <w:docGrid w:type="lines" w:linePitch="312" w:charSpace="0"/>
        </w:sectPr>
      </w:pPr>
    </w:p>
    <w:p>
      <w:pPr>
        <w:jc w:val="both"/>
        <w:rPr>
          <w:rStyle w:val="58"/>
          <w:rFonts w:ascii="宋体" w:hAnsi="宋体" w:cs="宋体"/>
          <w:b/>
          <w:bCs/>
          <w:color w:val="auto"/>
          <w:highlight w:val="none"/>
        </w:rPr>
      </w:pPr>
    </w:p>
    <w:p>
      <w:pPr>
        <w:jc w:val="center"/>
        <w:rPr>
          <w:rFonts w:ascii="宋体" w:hAnsi="宋体" w:cs="宋体"/>
          <w:b/>
          <w:caps/>
          <w:color w:val="auto"/>
          <w:kern w:val="0"/>
          <w:sz w:val="32"/>
          <w:szCs w:val="32"/>
          <w:highlight w:val="none"/>
        </w:rPr>
      </w:pPr>
      <w:r>
        <w:rPr>
          <w:rStyle w:val="58"/>
          <w:rFonts w:hint="eastAsia" w:ascii="宋体" w:hAnsi="宋体" w:cs="宋体"/>
          <w:b/>
          <w:bCs/>
          <w:color w:val="auto"/>
          <w:sz w:val="32"/>
          <w:szCs w:val="32"/>
          <w:highlight w:val="none"/>
          <w:u w:val="none"/>
        </w:rPr>
        <w:t>目</w:t>
      </w:r>
      <w:r>
        <w:rPr>
          <w:rStyle w:val="58"/>
          <w:rFonts w:hint="eastAsia" w:ascii="宋体" w:hAnsi="宋体" w:cs="宋体"/>
          <w:b/>
          <w:bCs/>
          <w:color w:val="auto"/>
          <w:sz w:val="32"/>
          <w:szCs w:val="32"/>
          <w:highlight w:val="none"/>
          <w:u w:val="none"/>
          <w:lang w:val="en-US" w:eastAsia="zh-CN"/>
        </w:rPr>
        <w:t xml:space="preserve">  </w:t>
      </w:r>
      <w:r>
        <w:rPr>
          <w:rStyle w:val="58"/>
          <w:rFonts w:hint="eastAsia" w:ascii="宋体" w:hAnsi="宋体" w:cs="宋体"/>
          <w:b/>
          <w:bCs/>
          <w:color w:val="auto"/>
          <w:sz w:val="32"/>
          <w:szCs w:val="32"/>
          <w:highlight w:val="none"/>
          <w:u w:val="none"/>
        </w:rPr>
        <w:t>录</w:t>
      </w:r>
    </w:p>
    <w:p>
      <w:pPr>
        <w:pStyle w:val="33"/>
        <w:tabs>
          <w:tab w:val="right" w:leader="dot" w:pos="9070"/>
          <w:tab w:val="clear" w:pos="9060"/>
        </w:tabs>
        <w:spacing w:line="240" w:lineRule="auto"/>
        <w:rPr>
          <w:rFonts w:hint="eastAsia" w:cs="宋体"/>
          <w:color w:val="auto"/>
          <w:sz w:val="21"/>
          <w:szCs w:val="21"/>
        </w:rPr>
      </w:pPr>
      <w:r>
        <w:rPr>
          <w:rFonts w:hint="eastAsia" w:cs="宋体"/>
          <w:color w:val="auto"/>
          <w:sz w:val="21"/>
          <w:szCs w:val="21"/>
          <w:highlight w:val="none"/>
        </w:rPr>
        <w:fldChar w:fldCharType="begin"/>
      </w:r>
      <w:r>
        <w:rPr>
          <w:rFonts w:hint="eastAsia" w:cs="宋体"/>
          <w:color w:val="auto"/>
          <w:sz w:val="21"/>
          <w:szCs w:val="21"/>
          <w:highlight w:val="none"/>
        </w:rPr>
        <w:instrText xml:space="preserve"> TOC \o "1-3" \h \z \u </w:instrText>
      </w:r>
      <w:r>
        <w:rPr>
          <w:rFonts w:hint="eastAsia" w:cs="宋体"/>
          <w:color w:val="auto"/>
          <w:sz w:val="21"/>
          <w:szCs w:val="21"/>
          <w:highlight w:val="none"/>
        </w:rPr>
        <w:fldChar w:fldCharType="separate"/>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_Toc21091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 xml:space="preserve">第一章 </w:t>
      </w:r>
      <w:r>
        <w:rPr>
          <w:rFonts w:hint="eastAsia" w:cs="宋体"/>
          <w:color w:val="auto"/>
          <w:sz w:val="21"/>
          <w:szCs w:val="21"/>
          <w:highlight w:val="none"/>
          <w:lang w:val="en-US" w:eastAsia="zh-CN"/>
        </w:rPr>
        <w:t xml:space="preserve"> </w:t>
      </w:r>
      <w:r>
        <w:rPr>
          <w:rFonts w:hint="eastAsia" w:ascii="宋体" w:hAnsi="宋体" w:cs="宋体"/>
          <w:color w:val="auto"/>
          <w:sz w:val="21"/>
          <w:szCs w:val="21"/>
          <w:highlight w:val="none"/>
        </w:rPr>
        <w:t>投标须知</w:t>
      </w:r>
      <w:r>
        <w:rPr>
          <w:rFonts w:hint="eastAsia" w:cs="宋体"/>
          <w:color w:val="auto"/>
          <w:sz w:val="21"/>
          <w:szCs w:val="21"/>
        </w:rPr>
        <w:tab/>
      </w:r>
      <w:r>
        <w:rPr>
          <w:rFonts w:hint="eastAsia" w:ascii="宋体" w:hAnsi="宋体" w:eastAsia="宋体" w:cs="宋体"/>
          <w:color w:val="auto"/>
          <w:sz w:val="21"/>
          <w:szCs w:val="21"/>
          <w:highlight w:val="none"/>
        </w:rPr>
        <w:fldChar w:fldCharType="end"/>
      </w:r>
      <w:r>
        <w:rPr>
          <w:rFonts w:hint="eastAsia" w:cs="宋体"/>
          <w:color w:val="auto"/>
          <w:sz w:val="21"/>
          <w:szCs w:val="21"/>
          <w:lang w:eastAsia="zh-CN"/>
        </w:rPr>
        <w:t>2</w:t>
      </w:r>
    </w:p>
    <w:p>
      <w:pPr>
        <w:pStyle w:val="41"/>
        <w:tabs>
          <w:tab w:val="right" w:leader="dot" w:pos="9070"/>
          <w:tab w:val="clear" w:pos="906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_Toc8021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一、投标须知前附表</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_Toc8021 \h </w:instrText>
      </w:r>
      <w:r>
        <w:rPr>
          <w:rFonts w:hint="eastAsia" w:ascii="宋体" w:hAnsi="宋体" w:cs="宋体"/>
          <w:color w:val="auto"/>
          <w:sz w:val="21"/>
          <w:szCs w:val="21"/>
        </w:rPr>
        <w:fldChar w:fldCharType="separate"/>
      </w:r>
      <w:r>
        <w:rPr>
          <w:rFonts w:hint="eastAsia" w:ascii="宋体" w:hAnsi="宋体" w:cs="宋体"/>
          <w:color w:val="auto"/>
          <w:sz w:val="21"/>
          <w:szCs w:val="21"/>
        </w:rPr>
        <w:t>2</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41"/>
        <w:tabs>
          <w:tab w:val="right" w:leader="dot" w:pos="9070"/>
          <w:tab w:val="clear" w:pos="906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_Toc4562 </w:instrText>
      </w:r>
      <w:r>
        <w:rPr>
          <w:rFonts w:hint="eastAsia" w:ascii="宋体" w:hAnsi="宋体" w:eastAsia="宋体" w:cs="宋体"/>
          <w:color w:val="auto"/>
          <w:sz w:val="21"/>
          <w:szCs w:val="21"/>
          <w:highlight w:val="none"/>
        </w:rPr>
        <w:fldChar w:fldCharType="separate"/>
      </w:r>
      <w:r>
        <w:rPr>
          <w:rFonts w:hint="eastAsia" w:ascii="宋体" w:hAnsi="宋体" w:cs="宋体"/>
          <w:color w:val="auto"/>
          <w:kern w:val="2"/>
          <w:sz w:val="21"/>
          <w:szCs w:val="21"/>
          <w:highlight w:val="none"/>
        </w:rPr>
        <w:t>二、投标须知修改表</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_Toc4562 \h </w:instrText>
      </w:r>
      <w:r>
        <w:rPr>
          <w:rFonts w:hint="eastAsia" w:ascii="宋体" w:hAnsi="宋体" w:cs="宋体"/>
          <w:color w:val="auto"/>
          <w:sz w:val="21"/>
          <w:szCs w:val="21"/>
        </w:rPr>
        <w:fldChar w:fldCharType="separate"/>
      </w:r>
      <w:r>
        <w:rPr>
          <w:rFonts w:hint="eastAsia" w:ascii="宋体" w:hAnsi="宋体" w:cs="宋体"/>
          <w:color w:val="auto"/>
          <w:sz w:val="21"/>
          <w:szCs w:val="21"/>
        </w:rPr>
        <w:t>8</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41"/>
        <w:tabs>
          <w:tab w:val="right" w:leader="dot" w:pos="9070"/>
          <w:tab w:val="clear" w:pos="906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_Toc18316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三、投标须知通用条款</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_Toc18316 \h </w:instrText>
      </w:r>
      <w:r>
        <w:rPr>
          <w:rFonts w:hint="eastAsia" w:ascii="宋体" w:hAnsi="宋体" w:cs="宋体"/>
          <w:color w:val="auto"/>
          <w:sz w:val="21"/>
          <w:szCs w:val="21"/>
        </w:rPr>
        <w:fldChar w:fldCharType="separate"/>
      </w:r>
      <w:r>
        <w:rPr>
          <w:rFonts w:hint="eastAsia" w:ascii="宋体" w:hAnsi="宋体" w:cs="宋体"/>
          <w:color w:val="auto"/>
          <w:sz w:val="21"/>
          <w:szCs w:val="21"/>
        </w:rPr>
        <w:t>25</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4"/>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_Toc29496 </w:instrText>
      </w:r>
      <w:r>
        <w:rPr>
          <w:rFonts w:hint="eastAsia" w:ascii="宋体" w:hAnsi="宋体" w:eastAsia="宋体" w:cs="宋体"/>
          <w:color w:val="auto"/>
          <w:sz w:val="21"/>
          <w:szCs w:val="21"/>
          <w:highlight w:val="none"/>
        </w:rPr>
        <w:fldChar w:fldCharType="separate"/>
      </w:r>
      <w:r>
        <w:rPr>
          <w:rFonts w:hint="eastAsia" w:ascii="宋体" w:hAnsi="宋体" w:cs="宋体"/>
          <w:color w:val="auto"/>
          <w:kern w:val="0"/>
          <w:sz w:val="21"/>
          <w:szCs w:val="21"/>
          <w:highlight w:val="none"/>
        </w:rPr>
        <w:t>（一）总则</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_Toc29496 \h </w:instrText>
      </w:r>
      <w:r>
        <w:rPr>
          <w:rFonts w:hint="eastAsia" w:ascii="宋体" w:hAnsi="宋体" w:cs="宋体"/>
          <w:color w:val="auto"/>
          <w:sz w:val="21"/>
          <w:szCs w:val="21"/>
        </w:rPr>
        <w:fldChar w:fldCharType="separate"/>
      </w:r>
      <w:r>
        <w:rPr>
          <w:rFonts w:hint="eastAsia" w:ascii="宋体" w:hAnsi="宋体" w:cs="宋体"/>
          <w:color w:val="auto"/>
          <w:sz w:val="21"/>
          <w:szCs w:val="21"/>
        </w:rPr>
        <w:t>25</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4"/>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_Toc27738 </w:instrText>
      </w:r>
      <w:r>
        <w:rPr>
          <w:rFonts w:hint="eastAsia" w:ascii="宋体" w:hAnsi="宋体" w:eastAsia="宋体" w:cs="宋体"/>
          <w:color w:val="auto"/>
          <w:sz w:val="21"/>
          <w:szCs w:val="21"/>
          <w:highlight w:val="none"/>
        </w:rPr>
        <w:fldChar w:fldCharType="separate"/>
      </w:r>
      <w:r>
        <w:rPr>
          <w:rFonts w:hint="eastAsia" w:ascii="宋体" w:hAnsi="宋体" w:cs="宋体"/>
          <w:color w:val="auto"/>
          <w:kern w:val="0"/>
          <w:sz w:val="21"/>
          <w:szCs w:val="21"/>
          <w:highlight w:val="none"/>
        </w:rPr>
        <w:t>（二）招标文件</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_Toc27738 \h </w:instrText>
      </w:r>
      <w:r>
        <w:rPr>
          <w:rFonts w:hint="eastAsia" w:ascii="宋体" w:hAnsi="宋体" w:cs="宋体"/>
          <w:color w:val="auto"/>
          <w:sz w:val="21"/>
          <w:szCs w:val="21"/>
        </w:rPr>
        <w:fldChar w:fldCharType="separate"/>
      </w:r>
      <w:r>
        <w:rPr>
          <w:rFonts w:hint="eastAsia" w:ascii="宋体" w:hAnsi="宋体" w:cs="宋体"/>
          <w:color w:val="auto"/>
          <w:sz w:val="21"/>
          <w:szCs w:val="21"/>
        </w:rPr>
        <w:t>26</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4"/>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_Toc9334 </w:instrText>
      </w:r>
      <w:r>
        <w:rPr>
          <w:rFonts w:hint="eastAsia" w:ascii="宋体" w:hAnsi="宋体" w:eastAsia="宋体" w:cs="宋体"/>
          <w:color w:val="auto"/>
          <w:sz w:val="21"/>
          <w:szCs w:val="21"/>
          <w:highlight w:val="none"/>
        </w:rPr>
        <w:fldChar w:fldCharType="separate"/>
      </w:r>
      <w:r>
        <w:rPr>
          <w:rFonts w:hint="eastAsia" w:ascii="宋体" w:hAnsi="宋体" w:cs="宋体"/>
          <w:color w:val="auto"/>
          <w:kern w:val="0"/>
          <w:sz w:val="21"/>
          <w:szCs w:val="21"/>
          <w:highlight w:val="none"/>
        </w:rPr>
        <w:t>（三）投标文件的编制</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_Toc9334 \h </w:instrText>
      </w:r>
      <w:r>
        <w:rPr>
          <w:rFonts w:hint="eastAsia" w:ascii="宋体" w:hAnsi="宋体" w:cs="宋体"/>
          <w:color w:val="auto"/>
          <w:sz w:val="21"/>
          <w:szCs w:val="21"/>
        </w:rPr>
        <w:fldChar w:fldCharType="separate"/>
      </w:r>
      <w:r>
        <w:rPr>
          <w:rFonts w:hint="eastAsia" w:ascii="宋体" w:hAnsi="宋体" w:cs="宋体"/>
          <w:color w:val="auto"/>
          <w:sz w:val="21"/>
          <w:szCs w:val="21"/>
        </w:rPr>
        <w:t>27</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4"/>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_Toc2513 </w:instrText>
      </w:r>
      <w:r>
        <w:rPr>
          <w:rFonts w:hint="eastAsia" w:ascii="宋体" w:hAnsi="宋体" w:eastAsia="宋体" w:cs="宋体"/>
          <w:color w:val="auto"/>
          <w:sz w:val="21"/>
          <w:szCs w:val="21"/>
          <w:highlight w:val="none"/>
        </w:rPr>
        <w:fldChar w:fldCharType="separate"/>
      </w:r>
      <w:r>
        <w:rPr>
          <w:rFonts w:hint="eastAsia" w:ascii="宋体" w:hAnsi="宋体" w:cs="宋体"/>
          <w:color w:val="auto"/>
          <w:kern w:val="0"/>
          <w:sz w:val="21"/>
          <w:szCs w:val="21"/>
          <w:highlight w:val="none"/>
        </w:rPr>
        <w:t>（四）投标文件的提交</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_Toc2513 \h </w:instrText>
      </w:r>
      <w:r>
        <w:rPr>
          <w:rFonts w:hint="eastAsia" w:ascii="宋体" w:hAnsi="宋体" w:cs="宋体"/>
          <w:color w:val="auto"/>
          <w:sz w:val="21"/>
          <w:szCs w:val="21"/>
        </w:rPr>
        <w:fldChar w:fldCharType="separate"/>
      </w:r>
      <w:r>
        <w:rPr>
          <w:rFonts w:hint="eastAsia" w:ascii="宋体" w:hAnsi="宋体" w:cs="宋体"/>
          <w:color w:val="auto"/>
          <w:sz w:val="21"/>
          <w:szCs w:val="21"/>
        </w:rPr>
        <w:t>34</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4"/>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_Toc2082 </w:instrText>
      </w:r>
      <w:r>
        <w:rPr>
          <w:rFonts w:hint="eastAsia" w:ascii="宋体" w:hAnsi="宋体" w:eastAsia="宋体" w:cs="宋体"/>
          <w:color w:val="auto"/>
          <w:sz w:val="21"/>
          <w:szCs w:val="21"/>
          <w:highlight w:val="none"/>
        </w:rPr>
        <w:fldChar w:fldCharType="separate"/>
      </w:r>
      <w:r>
        <w:rPr>
          <w:rFonts w:hint="eastAsia" w:ascii="宋体" w:hAnsi="宋体" w:cs="宋体"/>
          <w:color w:val="auto"/>
          <w:kern w:val="0"/>
          <w:sz w:val="21"/>
          <w:szCs w:val="21"/>
          <w:highlight w:val="none"/>
        </w:rPr>
        <w:t>（五）开标、评标、定标及合同签定</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_Toc2082 \h </w:instrText>
      </w:r>
      <w:r>
        <w:rPr>
          <w:rFonts w:hint="eastAsia" w:ascii="宋体" w:hAnsi="宋体" w:cs="宋体"/>
          <w:color w:val="auto"/>
          <w:sz w:val="21"/>
          <w:szCs w:val="21"/>
        </w:rPr>
        <w:fldChar w:fldCharType="separate"/>
      </w:r>
      <w:r>
        <w:rPr>
          <w:rFonts w:hint="eastAsia" w:ascii="宋体" w:hAnsi="宋体" w:cs="宋体"/>
          <w:color w:val="auto"/>
          <w:sz w:val="21"/>
          <w:szCs w:val="21"/>
        </w:rPr>
        <w:t>35</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33"/>
        <w:tabs>
          <w:tab w:val="right" w:leader="dot" w:pos="9070"/>
          <w:tab w:val="clear" w:pos="9060"/>
        </w:tabs>
        <w:spacing w:line="240" w:lineRule="auto"/>
        <w:rPr>
          <w:rFonts w:hint="eastAsia"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_Toc15285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 xml:space="preserve">第二章 </w:t>
      </w:r>
      <w:r>
        <w:rPr>
          <w:rFonts w:hint="eastAsia" w:cs="宋体"/>
          <w:color w:val="auto"/>
          <w:sz w:val="21"/>
          <w:szCs w:val="21"/>
          <w:highlight w:val="none"/>
          <w:lang w:val="en-US" w:eastAsia="zh-CN"/>
        </w:rPr>
        <w:t xml:space="preserve"> </w:t>
      </w:r>
      <w:r>
        <w:rPr>
          <w:rFonts w:hint="eastAsia" w:ascii="宋体" w:hAnsi="宋体" w:cs="宋体"/>
          <w:color w:val="auto"/>
          <w:sz w:val="21"/>
          <w:szCs w:val="21"/>
          <w:highlight w:val="none"/>
        </w:rPr>
        <w:t>开标、评标及定标办法</w:t>
      </w:r>
      <w:r>
        <w:rPr>
          <w:rFonts w:hint="eastAsia" w:cs="宋体"/>
          <w:color w:val="auto"/>
          <w:sz w:val="21"/>
          <w:szCs w:val="21"/>
        </w:rPr>
        <w:tab/>
      </w:r>
      <w:r>
        <w:rPr>
          <w:rFonts w:hint="eastAsia" w:cs="宋体"/>
          <w:color w:val="auto"/>
          <w:sz w:val="21"/>
          <w:szCs w:val="21"/>
        </w:rPr>
        <w:fldChar w:fldCharType="begin"/>
      </w:r>
      <w:r>
        <w:rPr>
          <w:rFonts w:hint="eastAsia" w:cs="宋体"/>
          <w:color w:val="auto"/>
          <w:sz w:val="21"/>
          <w:szCs w:val="21"/>
        </w:rPr>
        <w:instrText xml:space="preserve"> PAGEREF _Toc15285 \h </w:instrText>
      </w:r>
      <w:r>
        <w:rPr>
          <w:rFonts w:hint="eastAsia" w:cs="宋体"/>
          <w:color w:val="auto"/>
          <w:sz w:val="21"/>
          <w:szCs w:val="21"/>
        </w:rPr>
        <w:fldChar w:fldCharType="separate"/>
      </w:r>
      <w:r>
        <w:rPr>
          <w:rFonts w:hint="eastAsia" w:cs="宋体"/>
          <w:color w:val="auto"/>
          <w:sz w:val="21"/>
          <w:szCs w:val="21"/>
        </w:rPr>
        <w:t>38</w:t>
      </w:r>
      <w:r>
        <w:rPr>
          <w:rFonts w:hint="eastAsia"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41"/>
        <w:tabs>
          <w:tab w:val="right" w:leader="dot" w:pos="9070"/>
          <w:tab w:val="clear" w:pos="906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_Toc10324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一、开标、评标及定标办法修改表</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_Toc10324 \h </w:instrText>
      </w:r>
      <w:r>
        <w:rPr>
          <w:rFonts w:hint="eastAsia" w:ascii="宋体" w:hAnsi="宋体" w:cs="宋体"/>
          <w:color w:val="auto"/>
          <w:sz w:val="21"/>
          <w:szCs w:val="21"/>
        </w:rPr>
        <w:fldChar w:fldCharType="separate"/>
      </w:r>
      <w:r>
        <w:rPr>
          <w:rFonts w:hint="eastAsia" w:ascii="宋体" w:hAnsi="宋体" w:cs="宋体"/>
          <w:color w:val="auto"/>
          <w:sz w:val="21"/>
          <w:szCs w:val="21"/>
        </w:rPr>
        <w:t>38</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41"/>
        <w:tabs>
          <w:tab w:val="right" w:leader="dot" w:pos="9070"/>
          <w:tab w:val="clear" w:pos="906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_Toc21407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二、开标、评标及定标办法通用条款</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_Toc21407 \h </w:instrText>
      </w:r>
      <w:r>
        <w:rPr>
          <w:rFonts w:hint="eastAsia" w:ascii="宋体" w:hAnsi="宋体" w:cs="宋体"/>
          <w:color w:val="auto"/>
          <w:sz w:val="21"/>
          <w:szCs w:val="21"/>
        </w:rPr>
        <w:fldChar w:fldCharType="separate"/>
      </w:r>
      <w:r>
        <w:rPr>
          <w:rFonts w:hint="eastAsia" w:ascii="宋体" w:hAnsi="宋体" w:cs="宋体"/>
          <w:color w:val="auto"/>
          <w:sz w:val="21"/>
          <w:szCs w:val="21"/>
        </w:rPr>
        <w:t>48</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4"/>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_Toc10423 </w:instrText>
      </w:r>
      <w:r>
        <w:rPr>
          <w:rFonts w:hint="eastAsia" w:ascii="宋体" w:hAnsi="宋体" w:eastAsia="宋体" w:cs="宋体"/>
          <w:color w:val="auto"/>
          <w:sz w:val="21"/>
          <w:szCs w:val="21"/>
          <w:highlight w:val="none"/>
        </w:rPr>
        <w:fldChar w:fldCharType="separate"/>
      </w:r>
      <w:r>
        <w:rPr>
          <w:rFonts w:hint="eastAsia" w:ascii="宋体" w:hAnsi="宋体" w:cs="宋体"/>
          <w:color w:val="auto"/>
          <w:kern w:val="0"/>
          <w:sz w:val="21"/>
          <w:szCs w:val="21"/>
          <w:highlight w:val="none"/>
        </w:rPr>
        <w:t>（一）总则</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_Toc10423 \h </w:instrText>
      </w:r>
      <w:r>
        <w:rPr>
          <w:rFonts w:hint="eastAsia" w:ascii="宋体" w:hAnsi="宋体" w:cs="宋体"/>
          <w:color w:val="auto"/>
          <w:sz w:val="21"/>
          <w:szCs w:val="21"/>
        </w:rPr>
        <w:fldChar w:fldCharType="separate"/>
      </w:r>
      <w:r>
        <w:rPr>
          <w:rFonts w:hint="eastAsia" w:ascii="宋体" w:hAnsi="宋体" w:cs="宋体"/>
          <w:color w:val="auto"/>
          <w:sz w:val="21"/>
          <w:szCs w:val="21"/>
        </w:rPr>
        <w:t>48</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4"/>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_Toc25909 </w:instrText>
      </w:r>
      <w:r>
        <w:rPr>
          <w:rFonts w:hint="eastAsia" w:ascii="宋体" w:hAnsi="宋体" w:eastAsia="宋体" w:cs="宋体"/>
          <w:color w:val="auto"/>
          <w:sz w:val="21"/>
          <w:szCs w:val="21"/>
          <w:highlight w:val="none"/>
        </w:rPr>
        <w:fldChar w:fldCharType="separate"/>
      </w:r>
      <w:r>
        <w:rPr>
          <w:rFonts w:hint="eastAsia" w:ascii="宋体" w:hAnsi="宋体" w:cs="宋体"/>
          <w:color w:val="auto"/>
          <w:kern w:val="0"/>
          <w:sz w:val="21"/>
          <w:szCs w:val="21"/>
          <w:highlight w:val="none"/>
        </w:rPr>
        <w:t>（二）开标评标办法程序和细则</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_Toc25909 \h </w:instrText>
      </w:r>
      <w:r>
        <w:rPr>
          <w:rFonts w:hint="eastAsia" w:ascii="宋体" w:hAnsi="宋体" w:cs="宋体"/>
          <w:color w:val="auto"/>
          <w:sz w:val="21"/>
          <w:szCs w:val="21"/>
        </w:rPr>
        <w:fldChar w:fldCharType="separate"/>
      </w:r>
      <w:r>
        <w:rPr>
          <w:rFonts w:hint="eastAsia" w:ascii="宋体" w:hAnsi="宋体" w:cs="宋体"/>
          <w:color w:val="auto"/>
          <w:sz w:val="21"/>
          <w:szCs w:val="21"/>
        </w:rPr>
        <w:t>50</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4"/>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_Toc31320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可选办法六（适合综合评分法三，技术标与经济标同时开启）</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_Toc31320 \h </w:instrText>
      </w:r>
      <w:r>
        <w:rPr>
          <w:rFonts w:hint="eastAsia" w:ascii="宋体" w:hAnsi="宋体" w:cs="宋体"/>
          <w:color w:val="auto"/>
          <w:sz w:val="21"/>
          <w:szCs w:val="21"/>
        </w:rPr>
        <w:fldChar w:fldCharType="separate"/>
      </w:r>
      <w:r>
        <w:rPr>
          <w:rFonts w:hint="eastAsia" w:ascii="宋体" w:hAnsi="宋体" w:cs="宋体"/>
          <w:color w:val="auto"/>
          <w:sz w:val="21"/>
          <w:szCs w:val="21"/>
        </w:rPr>
        <w:t>51</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4"/>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_Toc8523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附表一</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_Toc8523 \h </w:instrText>
      </w:r>
      <w:r>
        <w:rPr>
          <w:rFonts w:hint="eastAsia" w:ascii="宋体" w:hAnsi="宋体" w:cs="宋体"/>
          <w:color w:val="auto"/>
          <w:sz w:val="21"/>
          <w:szCs w:val="21"/>
        </w:rPr>
        <w:fldChar w:fldCharType="separate"/>
      </w:r>
      <w:r>
        <w:rPr>
          <w:rFonts w:hint="eastAsia" w:ascii="宋体" w:hAnsi="宋体" w:cs="宋体"/>
          <w:color w:val="auto"/>
          <w:sz w:val="21"/>
          <w:szCs w:val="21"/>
        </w:rPr>
        <w:t>56</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4"/>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_Toc26317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附表二</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_Toc26317 \h </w:instrText>
      </w:r>
      <w:r>
        <w:rPr>
          <w:rFonts w:hint="eastAsia" w:ascii="宋体" w:hAnsi="宋体" w:cs="宋体"/>
          <w:color w:val="auto"/>
          <w:sz w:val="21"/>
          <w:szCs w:val="21"/>
        </w:rPr>
        <w:fldChar w:fldCharType="separate"/>
      </w:r>
      <w:r>
        <w:rPr>
          <w:rFonts w:hint="eastAsia" w:ascii="宋体" w:hAnsi="宋体" w:cs="宋体"/>
          <w:color w:val="auto"/>
          <w:sz w:val="21"/>
          <w:szCs w:val="21"/>
        </w:rPr>
        <w:t>58</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4"/>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_Toc24295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附表四</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_Toc24295 \h </w:instrText>
      </w:r>
      <w:r>
        <w:rPr>
          <w:rFonts w:hint="eastAsia" w:ascii="宋体" w:hAnsi="宋体" w:cs="宋体"/>
          <w:color w:val="auto"/>
          <w:sz w:val="21"/>
          <w:szCs w:val="21"/>
        </w:rPr>
        <w:fldChar w:fldCharType="separate"/>
      </w:r>
      <w:r>
        <w:rPr>
          <w:rFonts w:hint="eastAsia" w:ascii="宋体" w:hAnsi="宋体" w:cs="宋体"/>
          <w:color w:val="auto"/>
          <w:sz w:val="21"/>
          <w:szCs w:val="21"/>
        </w:rPr>
        <w:t>61</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4"/>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_Toc30116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附表五（适用于加权平均法）</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_Toc30116 \h </w:instrText>
      </w:r>
      <w:r>
        <w:rPr>
          <w:rFonts w:hint="eastAsia" w:ascii="宋体" w:hAnsi="宋体" w:cs="宋体"/>
          <w:color w:val="auto"/>
          <w:sz w:val="21"/>
          <w:szCs w:val="21"/>
        </w:rPr>
        <w:fldChar w:fldCharType="separate"/>
      </w:r>
      <w:r>
        <w:rPr>
          <w:rFonts w:hint="eastAsia" w:ascii="宋体" w:hAnsi="宋体" w:cs="宋体"/>
          <w:color w:val="auto"/>
          <w:sz w:val="21"/>
          <w:szCs w:val="21"/>
        </w:rPr>
        <w:t>66</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4"/>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_Toc27004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附表六</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_Toc27004 \h </w:instrText>
      </w:r>
      <w:r>
        <w:rPr>
          <w:rFonts w:hint="eastAsia" w:ascii="宋体" w:hAnsi="宋体" w:cs="宋体"/>
          <w:color w:val="auto"/>
          <w:sz w:val="21"/>
          <w:szCs w:val="21"/>
        </w:rPr>
        <w:fldChar w:fldCharType="separate"/>
      </w:r>
      <w:r>
        <w:rPr>
          <w:rFonts w:hint="eastAsia" w:ascii="宋体" w:hAnsi="宋体" w:cs="宋体"/>
          <w:color w:val="auto"/>
          <w:sz w:val="21"/>
          <w:szCs w:val="21"/>
        </w:rPr>
        <w:t>67</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4"/>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_Toc1597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附表七</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_Toc1597 \h </w:instrText>
      </w:r>
      <w:r>
        <w:rPr>
          <w:rFonts w:hint="eastAsia" w:ascii="宋体" w:hAnsi="宋体" w:cs="宋体"/>
          <w:color w:val="auto"/>
          <w:sz w:val="21"/>
          <w:szCs w:val="21"/>
        </w:rPr>
        <w:fldChar w:fldCharType="separate"/>
      </w:r>
      <w:r>
        <w:rPr>
          <w:rFonts w:hint="eastAsia" w:ascii="宋体" w:hAnsi="宋体" w:cs="宋体"/>
          <w:color w:val="auto"/>
          <w:sz w:val="21"/>
          <w:szCs w:val="21"/>
        </w:rPr>
        <w:t>69</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4"/>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_Toc9682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附表八</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_Toc9682 \h </w:instrText>
      </w:r>
      <w:r>
        <w:rPr>
          <w:rFonts w:hint="eastAsia" w:ascii="宋体" w:hAnsi="宋体" w:cs="宋体"/>
          <w:color w:val="auto"/>
          <w:sz w:val="21"/>
          <w:szCs w:val="21"/>
        </w:rPr>
        <w:fldChar w:fldCharType="separate"/>
      </w:r>
      <w:r>
        <w:rPr>
          <w:rFonts w:hint="eastAsia" w:ascii="宋体" w:hAnsi="宋体" w:cs="宋体"/>
          <w:color w:val="auto"/>
          <w:sz w:val="21"/>
          <w:szCs w:val="21"/>
        </w:rPr>
        <w:t>70</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4"/>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_Toc27522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附表</w:t>
      </w:r>
      <w:r>
        <w:rPr>
          <w:rFonts w:hint="eastAsia" w:ascii="宋体" w:hAnsi="宋体" w:cs="宋体"/>
          <w:color w:val="auto"/>
          <w:sz w:val="21"/>
          <w:szCs w:val="21"/>
          <w:highlight w:val="none"/>
          <w:lang w:val="en-US" w:eastAsia="zh-CN"/>
        </w:rPr>
        <w:t>九</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_Toc27522 \h </w:instrText>
      </w:r>
      <w:r>
        <w:rPr>
          <w:rFonts w:hint="eastAsia" w:ascii="宋体" w:hAnsi="宋体" w:cs="宋体"/>
          <w:color w:val="auto"/>
          <w:sz w:val="21"/>
          <w:szCs w:val="21"/>
        </w:rPr>
        <w:fldChar w:fldCharType="separate"/>
      </w:r>
      <w:r>
        <w:rPr>
          <w:rFonts w:hint="eastAsia" w:ascii="宋体" w:hAnsi="宋体" w:cs="宋体"/>
          <w:color w:val="auto"/>
          <w:sz w:val="21"/>
          <w:szCs w:val="21"/>
        </w:rPr>
        <w:t>71</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4"/>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_Toc25062 </w:instrText>
      </w:r>
      <w:r>
        <w:rPr>
          <w:rFonts w:hint="eastAsia" w:ascii="宋体" w:hAnsi="宋体" w:eastAsia="宋体" w:cs="宋体"/>
          <w:color w:val="auto"/>
          <w:sz w:val="21"/>
          <w:szCs w:val="21"/>
          <w:highlight w:val="none"/>
        </w:rPr>
        <w:fldChar w:fldCharType="separate"/>
      </w:r>
      <w:r>
        <w:rPr>
          <w:rFonts w:hint="eastAsia" w:ascii="宋体" w:hAnsi="宋体" w:cs="宋体"/>
          <w:color w:val="auto"/>
          <w:kern w:val="0"/>
          <w:sz w:val="21"/>
          <w:szCs w:val="21"/>
        </w:rPr>
        <w:t>附表十</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_Toc25062 \h </w:instrText>
      </w:r>
      <w:r>
        <w:rPr>
          <w:rFonts w:hint="eastAsia" w:ascii="宋体" w:hAnsi="宋体" w:cs="宋体"/>
          <w:color w:val="auto"/>
          <w:sz w:val="21"/>
          <w:szCs w:val="21"/>
        </w:rPr>
        <w:fldChar w:fldCharType="separate"/>
      </w:r>
      <w:r>
        <w:rPr>
          <w:rFonts w:hint="eastAsia" w:ascii="宋体" w:hAnsi="宋体" w:cs="宋体"/>
          <w:color w:val="auto"/>
          <w:sz w:val="21"/>
          <w:szCs w:val="21"/>
        </w:rPr>
        <w:t>72</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4"/>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_Toc7909 </w:instrText>
      </w:r>
      <w:r>
        <w:rPr>
          <w:rFonts w:hint="eastAsia" w:ascii="宋体" w:hAnsi="宋体" w:eastAsia="宋体" w:cs="宋体"/>
          <w:color w:val="auto"/>
          <w:sz w:val="21"/>
          <w:szCs w:val="21"/>
          <w:highlight w:val="none"/>
        </w:rPr>
        <w:fldChar w:fldCharType="separate"/>
      </w:r>
      <w:r>
        <w:rPr>
          <w:rFonts w:hint="eastAsia" w:ascii="宋体" w:hAnsi="宋体" w:cs="宋体"/>
          <w:color w:val="auto"/>
          <w:kern w:val="0"/>
          <w:sz w:val="21"/>
          <w:szCs w:val="21"/>
        </w:rPr>
        <w:t>附表十一</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_Toc7909 \h </w:instrText>
      </w:r>
      <w:r>
        <w:rPr>
          <w:rFonts w:hint="eastAsia" w:ascii="宋体" w:hAnsi="宋体" w:cs="宋体"/>
          <w:color w:val="auto"/>
          <w:sz w:val="21"/>
          <w:szCs w:val="21"/>
        </w:rPr>
        <w:fldChar w:fldCharType="separate"/>
      </w:r>
      <w:r>
        <w:rPr>
          <w:rFonts w:hint="eastAsia" w:ascii="宋体" w:hAnsi="宋体" w:cs="宋体"/>
          <w:color w:val="auto"/>
          <w:sz w:val="21"/>
          <w:szCs w:val="21"/>
        </w:rPr>
        <w:t>73</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4"/>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_Toc26197 </w:instrText>
      </w:r>
      <w:r>
        <w:rPr>
          <w:rFonts w:hint="eastAsia" w:ascii="宋体" w:hAnsi="宋体" w:eastAsia="宋体" w:cs="宋体"/>
          <w:color w:val="auto"/>
          <w:sz w:val="21"/>
          <w:szCs w:val="21"/>
          <w:highlight w:val="none"/>
        </w:rPr>
        <w:fldChar w:fldCharType="separate"/>
      </w:r>
      <w:r>
        <w:rPr>
          <w:rFonts w:hint="eastAsia" w:ascii="宋体" w:hAnsi="宋体" w:cs="宋体"/>
          <w:color w:val="auto"/>
          <w:kern w:val="0"/>
          <w:sz w:val="21"/>
          <w:szCs w:val="21"/>
        </w:rPr>
        <w:t>附表十二</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_Toc26197 \h </w:instrText>
      </w:r>
      <w:r>
        <w:rPr>
          <w:rFonts w:hint="eastAsia" w:ascii="宋体" w:hAnsi="宋体" w:cs="宋体"/>
          <w:color w:val="auto"/>
          <w:sz w:val="21"/>
          <w:szCs w:val="21"/>
        </w:rPr>
        <w:fldChar w:fldCharType="separate"/>
      </w:r>
      <w:r>
        <w:rPr>
          <w:rFonts w:hint="eastAsia" w:ascii="宋体" w:hAnsi="宋体" w:cs="宋体"/>
          <w:color w:val="auto"/>
          <w:sz w:val="21"/>
          <w:szCs w:val="21"/>
        </w:rPr>
        <w:t>74</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33"/>
        <w:tabs>
          <w:tab w:val="right" w:leader="dot" w:pos="9070"/>
          <w:tab w:val="clear" w:pos="9060"/>
        </w:tabs>
        <w:spacing w:line="240" w:lineRule="auto"/>
        <w:rPr>
          <w:rFonts w:hint="eastAsia"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_Toc14313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 xml:space="preserve">第三章 </w:t>
      </w:r>
      <w:r>
        <w:rPr>
          <w:rFonts w:hint="eastAsia" w:cs="宋体"/>
          <w:color w:val="auto"/>
          <w:sz w:val="21"/>
          <w:szCs w:val="21"/>
          <w:highlight w:val="none"/>
          <w:lang w:val="en-US" w:eastAsia="zh-CN"/>
        </w:rPr>
        <w:t xml:space="preserve"> </w:t>
      </w:r>
      <w:r>
        <w:rPr>
          <w:rFonts w:hint="eastAsia" w:ascii="宋体" w:hAnsi="宋体" w:cs="宋体"/>
          <w:color w:val="auto"/>
          <w:sz w:val="21"/>
          <w:szCs w:val="21"/>
          <w:highlight w:val="none"/>
        </w:rPr>
        <w:t>合同条款</w:t>
      </w:r>
      <w:r>
        <w:rPr>
          <w:rFonts w:hint="eastAsia" w:cs="宋体"/>
          <w:color w:val="auto"/>
          <w:sz w:val="21"/>
          <w:szCs w:val="21"/>
        </w:rPr>
        <w:tab/>
      </w:r>
      <w:r>
        <w:rPr>
          <w:rFonts w:hint="eastAsia" w:cs="宋体"/>
          <w:color w:val="auto"/>
          <w:sz w:val="21"/>
          <w:szCs w:val="21"/>
        </w:rPr>
        <w:fldChar w:fldCharType="begin"/>
      </w:r>
      <w:r>
        <w:rPr>
          <w:rFonts w:hint="eastAsia" w:cs="宋体"/>
          <w:color w:val="auto"/>
          <w:sz w:val="21"/>
          <w:szCs w:val="21"/>
        </w:rPr>
        <w:instrText xml:space="preserve"> PAGEREF _Toc14313 \h </w:instrText>
      </w:r>
      <w:r>
        <w:rPr>
          <w:rFonts w:hint="eastAsia" w:cs="宋体"/>
          <w:color w:val="auto"/>
          <w:sz w:val="21"/>
          <w:szCs w:val="21"/>
        </w:rPr>
        <w:fldChar w:fldCharType="separate"/>
      </w:r>
      <w:r>
        <w:rPr>
          <w:rFonts w:hint="eastAsia" w:cs="宋体"/>
          <w:color w:val="auto"/>
          <w:sz w:val="21"/>
          <w:szCs w:val="21"/>
        </w:rPr>
        <w:t>75</w:t>
      </w:r>
      <w:r>
        <w:rPr>
          <w:rFonts w:hint="eastAsia"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33"/>
        <w:tabs>
          <w:tab w:val="right" w:leader="dot" w:pos="9070"/>
          <w:tab w:val="clear" w:pos="9060"/>
        </w:tabs>
        <w:spacing w:line="240" w:lineRule="auto"/>
        <w:rPr>
          <w:rFonts w:hint="eastAsia"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_Toc8692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 xml:space="preserve">第四章 </w:t>
      </w:r>
      <w:r>
        <w:rPr>
          <w:rFonts w:hint="eastAsia" w:cs="宋体"/>
          <w:color w:val="auto"/>
          <w:sz w:val="21"/>
          <w:szCs w:val="21"/>
          <w:highlight w:val="none"/>
          <w:lang w:val="en-US" w:eastAsia="zh-CN"/>
        </w:rPr>
        <w:t xml:space="preserve"> </w:t>
      </w:r>
      <w:r>
        <w:rPr>
          <w:rFonts w:hint="eastAsia" w:ascii="宋体" w:hAnsi="宋体" w:cs="宋体"/>
          <w:color w:val="auto"/>
          <w:sz w:val="21"/>
          <w:szCs w:val="21"/>
          <w:highlight w:val="none"/>
        </w:rPr>
        <w:t>投标文件格式</w:t>
      </w:r>
      <w:r>
        <w:rPr>
          <w:rFonts w:hint="eastAsia" w:cs="宋体"/>
          <w:color w:val="auto"/>
          <w:sz w:val="21"/>
          <w:szCs w:val="21"/>
        </w:rPr>
        <w:tab/>
      </w:r>
      <w:r>
        <w:rPr>
          <w:rFonts w:hint="eastAsia" w:cs="宋体"/>
          <w:color w:val="auto"/>
          <w:sz w:val="21"/>
          <w:szCs w:val="21"/>
        </w:rPr>
        <w:fldChar w:fldCharType="begin"/>
      </w:r>
      <w:r>
        <w:rPr>
          <w:rFonts w:hint="eastAsia" w:cs="宋体"/>
          <w:color w:val="auto"/>
          <w:sz w:val="21"/>
          <w:szCs w:val="21"/>
        </w:rPr>
        <w:instrText xml:space="preserve"> PAGEREF _Toc8692 \h </w:instrText>
      </w:r>
      <w:r>
        <w:rPr>
          <w:rFonts w:hint="eastAsia" w:cs="宋体"/>
          <w:color w:val="auto"/>
          <w:sz w:val="21"/>
          <w:szCs w:val="21"/>
        </w:rPr>
        <w:fldChar w:fldCharType="separate"/>
      </w:r>
      <w:r>
        <w:rPr>
          <w:rFonts w:hint="eastAsia" w:cs="宋体"/>
          <w:color w:val="auto"/>
          <w:sz w:val="21"/>
          <w:szCs w:val="21"/>
        </w:rPr>
        <w:t>156</w:t>
      </w:r>
      <w:r>
        <w:rPr>
          <w:rFonts w:hint="eastAsia"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41"/>
        <w:tabs>
          <w:tab w:val="right" w:leader="dot" w:pos="9070"/>
          <w:tab w:val="clear" w:pos="906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_Toc1070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一、技术标投标文件格式</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_Toc1070 \h </w:instrText>
      </w:r>
      <w:r>
        <w:rPr>
          <w:rFonts w:hint="eastAsia" w:ascii="宋体" w:hAnsi="宋体" w:cs="宋体"/>
          <w:color w:val="auto"/>
          <w:sz w:val="21"/>
          <w:szCs w:val="21"/>
        </w:rPr>
        <w:fldChar w:fldCharType="separate"/>
      </w:r>
      <w:r>
        <w:rPr>
          <w:rFonts w:hint="eastAsia" w:ascii="宋体" w:hAnsi="宋体" w:cs="宋体"/>
          <w:color w:val="auto"/>
          <w:sz w:val="21"/>
          <w:szCs w:val="21"/>
        </w:rPr>
        <w:t>156</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4"/>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_Toc1634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格式一：</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_Toc1634 \h </w:instrText>
      </w:r>
      <w:r>
        <w:rPr>
          <w:rFonts w:hint="eastAsia" w:ascii="宋体" w:hAnsi="宋体" w:cs="宋体"/>
          <w:color w:val="auto"/>
          <w:sz w:val="21"/>
          <w:szCs w:val="21"/>
        </w:rPr>
        <w:fldChar w:fldCharType="separate"/>
      </w:r>
      <w:r>
        <w:rPr>
          <w:rFonts w:hint="eastAsia" w:ascii="宋体" w:hAnsi="宋体" w:cs="宋体"/>
          <w:color w:val="auto"/>
          <w:sz w:val="21"/>
          <w:szCs w:val="21"/>
        </w:rPr>
        <w:t>156</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4"/>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_Toc10062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格式二：</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_Toc10062 \h </w:instrText>
      </w:r>
      <w:r>
        <w:rPr>
          <w:rFonts w:hint="eastAsia" w:ascii="宋体" w:hAnsi="宋体" w:cs="宋体"/>
          <w:color w:val="auto"/>
          <w:sz w:val="21"/>
          <w:szCs w:val="21"/>
        </w:rPr>
        <w:fldChar w:fldCharType="separate"/>
      </w:r>
      <w:r>
        <w:rPr>
          <w:rFonts w:hint="eastAsia" w:ascii="宋体" w:hAnsi="宋体" w:cs="宋体"/>
          <w:color w:val="auto"/>
          <w:sz w:val="21"/>
          <w:szCs w:val="21"/>
        </w:rPr>
        <w:t>157</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4"/>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_Toc10082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格式三：</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_Toc10082 \h </w:instrText>
      </w:r>
      <w:r>
        <w:rPr>
          <w:rFonts w:hint="eastAsia" w:ascii="宋体" w:hAnsi="宋体" w:cs="宋体"/>
          <w:color w:val="auto"/>
          <w:sz w:val="21"/>
          <w:szCs w:val="21"/>
        </w:rPr>
        <w:fldChar w:fldCharType="separate"/>
      </w:r>
      <w:r>
        <w:rPr>
          <w:rFonts w:hint="eastAsia" w:ascii="宋体" w:hAnsi="宋体" w:cs="宋体"/>
          <w:color w:val="auto"/>
          <w:sz w:val="21"/>
          <w:szCs w:val="21"/>
        </w:rPr>
        <w:t>159</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4"/>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_Toc12877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格式四</w:t>
      </w:r>
      <w:r>
        <w:rPr>
          <w:rFonts w:hint="eastAsia" w:ascii="宋体" w:hAnsi="宋体" w:cs="宋体"/>
          <w:snapToGrid w:val="0"/>
          <w:color w:val="auto"/>
          <w:spacing w:val="4"/>
          <w:sz w:val="21"/>
          <w:szCs w:val="21"/>
          <w:highlight w:val="none"/>
        </w:rPr>
        <w:t>：</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_Toc12877 \h </w:instrText>
      </w:r>
      <w:r>
        <w:rPr>
          <w:rFonts w:hint="eastAsia" w:ascii="宋体" w:hAnsi="宋体" w:cs="宋体"/>
          <w:color w:val="auto"/>
          <w:sz w:val="21"/>
          <w:szCs w:val="21"/>
        </w:rPr>
        <w:fldChar w:fldCharType="separate"/>
      </w:r>
      <w:r>
        <w:rPr>
          <w:rFonts w:hint="eastAsia" w:ascii="宋体" w:hAnsi="宋体" w:cs="宋体"/>
          <w:color w:val="auto"/>
          <w:sz w:val="21"/>
          <w:szCs w:val="21"/>
        </w:rPr>
        <w:t>163</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4"/>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_Toc5390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格式五：</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_Toc5390 \h </w:instrText>
      </w:r>
      <w:r>
        <w:rPr>
          <w:rFonts w:hint="eastAsia" w:ascii="宋体" w:hAnsi="宋体" w:cs="宋体"/>
          <w:color w:val="auto"/>
          <w:sz w:val="21"/>
          <w:szCs w:val="21"/>
        </w:rPr>
        <w:fldChar w:fldCharType="separate"/>
      </w:r>
      <w:r>
        <w:rPr>
          <w:rFonts w:hint="eastAsia" w:ascii="宋体" w:hAnsi="宋体" w:cs="宋体"/>
          <w:color w:val="auto"/>
          <w:sz w:val="21"/>
          <w:szCs w:val="21"/>
        </w:rPr>
        <w:t>164</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4"/>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_Toc13170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格式六：</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_Toc13170 \h </w:instrText>
      </w:r>
      <w:r>
        <w:rPr>
          <w:rFonts w:hint="eastAsia" w:ascii="宋体" w:hAnsi="宋体" w:cs="宋体"/>
          <w:color w:val="auto"/>
          <w:sz w:val="21"/>
          <w:szCs w:val="21"/>
        </w:rPr>
        <w:fldChar w:fldCharType="separate"/>
      </w:r>
      <w:r>
        <w:rPr>
          <w:rFonts w:hint="eastAsia" w:ascii="宋体" w:hAnsi="宋体" w:cs="宋体"/>
          <w:color w:val="auto"/>
          <w:sz w:val="21"/>
          <w:szCs w:val="21"/>
        </w:rPr>
        <w:t>166</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4"/>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_Toc20669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格式七：</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_Toc20669 \h </w:instrText>
      </w:r>
      <w:r>
        <w:rPr>
          <w:rFonts w:hint="eastAsia" w:ascii="宋体" w:hAnsi="宋体" w:cs="宋体"/>
          <w:color w:val="auto"/>
          <w:sz w:val="21"/>
          <w:szCs w:val="21"/>
        </w:rPr>
        <w:fldChar w:fldCharType="separate"/>
      </w:r>
      <w:r>
        <w:rPr>
          <w:rFonts w:hint="eastAsia" w:ascii="宋体" w:hAnsi="宋体" w:cs="宋体"/>
          <w:color w:val="auto"/>
          <w:sz w:val="21"/>
          <w:szCs w:val="21"/>
        </w:rPr>
        <w:t>167</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4"/>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_Toc27175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格式八：</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_Toc27175 \h </w:instrText>
      </w:r>
      <w:r>
        <w:rPr>
          <w:rFonts w:hint="eastAsia" w:ascii="宋体" w:hAnsi="宋体" w:cs="宋体"/>
          <w:color w:val="auto"/>
          <w:sz w:val="21"/>
          <w:szCs w:val="21"/>
        </w:rPr>
        <w:fldChar w:fldCharType="separate"/>
      </w:r>
      <w:r>
        <w:rPr>
          <w:rFonts w:hint="eastAsia" w:ascii="宋体" w:hAnsi="宋体" w:cs="宋体"/>
          <w:color w:val="auto"/>
          <w:sz w:val="21"/>
          <w:szCs w:val="21"/>
        </w:rPr>
        <w:t>168</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4"/>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_Toc31223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格式九：</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_Toc31223 \h </w:instrText>
      </w:r>
      <w:r>
        <w:rPr>
          <w:rFonts w:hint="eastAsia" w:ascii="宋体" w:hAnsi="宋体" w:cs="宋体"/>
          <w:color w:val="auto"/>
          <w:sz w:val="21"/>
          <w:szCs w:val="21"/>
        </w:rPr>
        <w:fldChar w:fldCharType="separate"/>
      </w:r>
      <w:r>
        <w:rPr>
          <w:rFonts w:hint="eastAsia" w:ascii="宋体" w:hAnsi="宋体" w:cs="宋体"/>
          <w:color w:val="auto"/>
          <w:sz w:val="21"/>
          <w:szCs w:val="21"/>
        </w:rPr>
        <w:t>172</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41"/>
        <w:tabs>
          <w:tab w:val="right" w:leader="dot" w:pos="9070"/>
          <w:tab w:val="clear" w:pos="906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_Toc26253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二、经济标投标文件格式</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_Toc26253 \h </w:instrText>
      </w:r>
      <w:r>
        <w:rPr>
          <w:rFonts w:hint="eastAsia" w:ascii="宋体" w:hAnsi="宋体" w:cs="宋体"/>
          <w:color w:val="auto"/>
          <w:sz w:val="21"/>
          <w:szCs w:val="21"/>
        </w:rPr>
        <w:fldChar w:fldCharType="separate"/>
      </w:r>
      <w:r>
        <w:rPr>
          <w:rFonts w:hint="eastAsia" w:ascii="宋体" w:hAnsi="宋体" w:cs="宋体"/>
          <w:color w:val="auto"/>
          <w:sz w:val="21"/>
          <w:szCs w:val="21"/>
        </w:rPr>
        <w:t>173</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4"/>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_Toc31787 </w:instrText>
      </w:r>
      <w:r>
        <w:rPr>
          <w:rFonts w:hint="eastAsia" w:ascii="宋体" w:hAnsi="宋体" w:eastAsia="宋体" w:cs="宋体"/>
          <w:color w:val="auto"/>
          <w:sz w:val="21"/>
          <w:szCs w:val="21"/>
          <w:highlight w:val="none"/>
        </w:rPr>
        <w:fldChar w:fldCharType="separate"/>
      </w:r>
      <w:r>
        <w:rPr>
          <w:rFonts w:hint="eastAsia" w:ascii="宋体" w:hAnsi="宋体" w:cs="宋体"/>
          <w:snapToGrid w:val="0"/>
          <w:color w:val="auto"/>
          <w:sz w:val="21"/>
          <w:szCs w:val="21"/>
          <w:highlight w:val="none"/>
        </w:rPr>
        <w:t>格式十：</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_Toc31787 \h </w:instrText>
      </w:r>
      <w:r>
        <w:rPr>
          <w:rFonts w:hint="eastAsia" w:ascii="宋体" w:hAnsi="宋体" w:cs="宋体"/>
          <w:color w:val="auto"/>
          <w:sz w:val="21"/>
          <w:szCs w:val="21"/>
        </w:rPr>
        <w:fldChar w:fldCharType="separate"/>
      </w:r>
      <w:r>
        <w:rPr>
          <w:rFonts w:hint="eastAsia" w:ascii="宋体" w:hAnsi="宋体" w:cs="宋体"/>
          <w:color w:val="auto"/>
          <w:sz w:val="21"/>
          <w:szCs w:val="21"/>
        </w:rPr>
        <w:t>173</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4"/>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_Toc23263 </w:instrText>
      </w:r>
      <w:r>
        <w:rPr>
          <w:rFonts w:hint="eastAsia" w:ascii="宋体" w:hAnsi="宋体" w:eastAsia="宋体" w:cs="宋体"/>
          <w:color w:val="auto"/>
          <w:sz w:val="21"/>
          <w:szCs w:val="21"/>
          <w:highlight w:val="none"/>
        </w:rPr>
        <w:fldChar w:fldCharType="separate"/>
      </w:r>
      <w:r>
        <w:rPr>
          <w:rFonts w:hint="eastAsia" w:ascii="宋体" w:hAnsi="宋体" w:cs="宋体"/>
          <w:snapToGrid w:val="0"/>
          <w:color w:val="auto"/>
          <w:sz w:val="21"/>
          <w:szCs w:val="21"/>
          <w:highlight w:val="none"/>
        </w:rPr>
        <w:t>格式十一：</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_Toc23263 \h </w:instrText>
      </w:r>
      <w:r>
        <w:rPr>
          <w:rFonts w:hint="eastAsia" w:ascii="宋体" w:hAnsi="宋体" w:cs="宋体"/>
          <w:color w:val="auto"/>
          <w:sz w:val="21"/>
          <w:szCs w:val="21"/>
        </w:rPr>
        <w:fldChar w:fldCharType="separate"/>
      </w:r>
      <w:r>
        <w:rPr>
          <w:rFonts w:hint="eastAsia" w:ascii="宋体" w:hAnsi="宋体" w:cs="宋体"/>
          <w:color w:val="auto"/>
          <w:sz w:val="21"/>
          <w:szCs w:val="21"/>
        </w:rPr>
        <w:t>174</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24"/>
        <w:tabs>
          <w:tab w:val="right" w:leader="dot" w:pos="9070"/>
        </w:tabs>
        <w:spacing w:line="240" w:lineRule="auto"/>
        <w:rPr>
          <w:rFonts w:hint="eastAsia" w:ascii="宋体" w:hAnsi="宋体"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_Toc2827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格式</w:t>
      </w:r>
      <w:r>
        <w:rPr>
          <w:rFonts w:hint="eastAsia" w:ascii="宋体" w:hAnsi="宋体" w:cs="宋体"/>
          <w:snapToGrid w:val="0"/>
          <w:color w:val="auto"/>
          <w:sz w:val="21"/>
          <w:szCs w:val="21"/>
          <w:highlight w:val="none"/>
        </w:rPr>
        <w:t>十二</w:t>
      </w:r>
      <w:r>
        <w:rPr>
          <w:rFonts w:hint="eastAsia" w:ascii="宋体" w:hAnsi="宋体" w:cs="宋体"/>
          <w:color w:val="auto"/>
          <w:kern w:val="2"/>
          <w:sz w:val="21"/>
          <w:szCs w:val="21"/>
          <w:highlight w:val="none"/>
        </w:rPr>
        <w:t>：</w:t>
      </w:r>
      <w:r>
        <w:rPr>
          <w:rFonts w:hint="eastAsia" w:ascii="宋体" w:hAnsi="宋体" w:cs="宋体"/>
          <w:color w:val="auto"/>
          <w:sz w:val="21"/>
          <w:szCs w:val="21"/>
        </w:rPr>
        <w:tab/>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PAGEREF _Toc2827 \h </w:instrText>
      </w:r>
      <w:r>
        <w:rPr>
          <w:rFonts w:hint="eastAsia" w:ascii="宋体" w:hAnsi="宋体" w:cs="宋体"/>
          <w:color w:val="auto"/>
          <w:sz w:val="21"/>
          <w:szCs w:val="21"/>
        </w:rPr>
        <w:fldChar w:fldCharType="separate"/>
      </w:r>
      <w:r>
        <w:rPr>
          <w:rFonts w:hint="eastAsia" w:ascii="宋体" w:hAnsi="宋体" w:cs="宋体"/>
          <w:color w:val="auto"/>
          <w:sz w:val="21"/>
          <w:szCs w:val="21"/>
        </w:rPr>
        <w:t>175</w:t>
      </w:r>
      <w:r>
        <w:rPr>
          <w:rFonts w:hint="eastAsia" w:ascii="宋体" w:hAnsi="宋体"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33"/>
        <w:tabs>
          <w:tab w:val="right" w:leader="dot" w:pos="9070"/>
          <w:tab w:val="clear" w:pos="9060"/>
        </w:tabs>
        <w:spacing w:line="240" w:lineRule="auto"/>
        <w:rPr>
          <w:rFonts w:hint="eastAsia"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_Toc21733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 xml:space="preserve">第五章 </w:t>
      </w:r>
      <w:r>
        <w:rPr>
          <w:rFonts w:hint="eastAsia" w:cs="宋体"/>
          <w:color w:val="auto"/>
          <w:sz w:val="21"/>
          <w:szCs w:val="21"/>
          <w:highlight w:val="none"/>
          <w:lang w:val="en-US" w:eastAsia="zh-CN"/>
        </w:rPr>
        <w:t xml:space="preserve"> </w:t>
      </w:r>
      <w:r>
        <w:rPr>
          <w:rFonts w:hint="eastAsia" w:ascii="宋体" w:hAnsi="宋体" w:cs="宋体"/>
          <w:color w:val="auto"/>
          <w:sz w:val="21"/>
          <w:szCs w:val="21"/>
          <w:highlight w:val="none"/>
        </w:rPr>
        <w:t>技术条件（工程建设标准）</w:t>
      </w:r>
      <w:r>
        <w:rPr>
          <w:rFonts w:hint="eastAsia" w:cs="宋体"/>
          <w:color w:val="auto"/>
          <w:sz w:val="21"/>
          <w:szCs w:val="21"/>
        </w:rPr>
        <w:tab/>
      </w:r>
      <w:r>
        <w:rPr>
          <w:rFonts w:hint="eastAsia" w:cs="宋体"/>
          <w:color w:val="auto"/>
          <w:sz w:val="21"/>
          <w:szCs w:val="21"/>
        </w:rPr>
        <w:fldChar w:fldCharType="begin"/>
      </w:r>
      <w:r>
        <w:rPr>
          <w:rFonts w:hint="eastAsia" w:cs="宋体"/>
          <w:color w:val="auto"/>
          <w:sz w:val="21"/>
          <w:szCs w:val="21"/>
        </w:rPr>
        <w:instrText xml:space="preserve"> PAGEREF _Toc21733 \h </w:instrText>
      </w:r>
      <w:r>
        <w:rPr>
          <w:rFonts w:hint="eastAsia" w:cs="宋体"/>
          <w:color w:val="auto"/>
          <w:sz w:val="21"/>
          <w:szCs w:val="21"/>
        </w:rPr>
        <w:fldChar w:fldCharType="separate"/>
      </w:r>
      <w:r>
        <w:rPr>
          <w:rFonts w:hint="eastAsia" w:cs="宋体"/>
          <w:color w:val="auto"/>
          <w:sz w:val="21"/>
          <w:szCs w:val="21"/>
        </w:rPr>
        <w:t>176</w:t>
      </w:r>
      <w:r>
        <w:rPr>
          <w:rFonts w:hint="eastAsia"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33"/>
        <w:tabs>
          <w:tab w:val="right" w:leader="dot" w:pos="9070"/>
          <w:tab w:val="clear" w:pos="9060"/>
        </w:tabs>
        <w:spacing w:line="240" w:lineRule="auto"/>
        <w:rPr>
          <w:rFonts w:hint="eastAsia"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_Toc27309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 xml:space="preserve">第六章 </w:t>
      </w:r>
      <w:r>
        <w:rPr>
          <w:rFonts w:hint="eastAsia" w:cs="宋体"/>
          <w:color w:val="auto"/>
          <w:sz w:val="21"/>
          <w:szCs w:val="21"/>
          <w:highlight w:val="none"/>
          <w:lang w:val="en-US" w:eastAsia="zh-CN"/>
        </w:rPr>
        <w:t xml:space="preserve"> </w:t>
      </w:r>
      <w:r>
        <w:rPr>
          <w:rFonts w:hint="eastAsia" w:ascii="宋体" w:hAnsi="宋体" w:cs="宋体"/>
          <w:color w:val="auto"/>
          <w:sz w:val="21"/>
          <w:szCs w:val="21"/>
          <w:highlight w:val="none"/>
        </w:rPr>
        <w:t>图纸及勘察资料</w:t>
      </w:r>
      <w:r>
        <w:rPr>
          <w:rFonts w:hint="eastAsia" w:cs="宋体"/>
          <w:color w:val="auto"/>
          <w:sz w:val="21"/>
          <w:szCs w:val="21"/>
        </w:rPr>
        <w:tab/>
      </w:r>
      <w:r>
        <w:rPr>
          <w:rFonts w:hint="eastAsia" w:cs="宋体"/>
          <w:color w:val="auto"/>
          <w:sz w:val="21"/>
          <w:szCs w:val="21"/>
        </w:rPr>
        <w:fldChar w:fldCharType="begin"/>
      </w:r>
      <w:r>
        <w:rPr>
          <w:rFonts w:hint="eastAsia" w:cs="宋体"/>
          <w:color w:val="auto"/>
          <w:sz w:val="21"/>
          <w:szCs w:val="21"/>
        </w:rPr>
        <w:instrText xml:space="preserve"> PAGEREF _Toc27309 \h </w:instrText>
      </w:r>
      <w:r>
        <w:rPr>
          <w:rFonts w:hint="eastAsia" w:cs="宋体"/>
          <w:color w:val="auto"/>
          <w:sz w:val="21"/>
          <w:szCs w:val="21"/>
        </w:rPr>
        <w:fldChar w:fldCharType="separate"/>
      </w:r>
      <w:r>
        <w:rPr>
          <w:rFonts w:hint="eastAsia" w:cs="宋体"/>
          <w:color w:val="auto"/>
          <w:sz w:val="21"/>
          <w:szCs w:val="21"/>
        </w:rPr>
        <w:t>179</w:t>
      </w:r>
      <w:r>
        <w:rPr>
          <w:rFonts w:hint="eastAsia"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33"/>
        <w:tabs>
          <w:tab w:val="right" w:leader="dot" w:pos="9070"/>
          <w:tab w:val="clear" w:pos="9060"/>
        </w:tabs>
        <w:spacing w:line="240" w:lineRule="auto"/>
        <w:rPr>
          <w:rFonts w:hint="eastAsia"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_Toc2050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 xml:space="preserve">第七章 </w:t>
      </w:r>
      <w:r>
        <w:rPr>
          <w:rFonts w:hint="eastAsia" w:cs="宋体"/>
          <w:color w:val="auto"/>
          <w:sz w:val="21"/>
          <w:szCs w:val="21"/>
          <w:highlight w:val="none"/>
          <w:lang w:val="en-US" w:eastAsia="zh-CN"/>
        </w:rPr>
        <w:t xml:space="preserve"> </w:t>
      </w:r>
      <w:r>
        <w:rPr>
          <w:rFonts w:hint="eastAsia" w:ascii="宋体" w:hAnsi="宋体" w:cs="宋体"/>
          <w:color w:val="auto"/>
          <w:sz w:val="21"/>
          <w:szCs w:val="21"/>
          <w:highlight w:val="none"/>
        </w:rPr>
        <w:t>工程量清单</w:t>
      </w:r>
      <w:r>
        <w:rPr>
          <w:rFonts w:hint="eastAsia" w:cs="宋体"/>
          <w:color w:val="auto"/>
          <w:sz w:val="21"/>
          <w:szCs w:val="21"/>
        </w:rPr>
        <w:tab/>
      </w:r>
      <w:r>
        <w:rPr>
          <w:rFonts w:hint="eastAsia" w:cs="宋体"/>
          <w:color w:val="auto"/>
          <w:sz w:val="21"/>
          <w:szCs w:val="21"/>
        </w:rPr>
        <w:fldChar w:fldCharType="begin"/>
      </w:r>
      <w:r>
        <w:rPr>
          <w:rFonts w:hint="eastAsia" w:cs="宋体"/>
          <w:color w:val="auto"/>
          <w:sz w:val="21"/>
          <w:szCs w:val="21"/>
        </w:rPr>
        <w:instrText xml:space="preserve"> PAGEREF _Toc2050 \h </w:instrText>
      </w:r>
      <w:r>
        <w:rPr>
          <w:rFonts w:hint="eastAsia" w:cs="宋体"/>
          <w:color w:val="auto"/>
          <w:sz w:val="21"/>
          <w:szCs w:val="21"/>
        </w:rPr>
        <w:fldChar w:fldCharType="separate"/>
      </w:r>
      <w:r>
        <w:rPr>
          <w:rFonts w:hint="eastAsia" w:cs="宋体"/>
          <w:color w:val="auto"/>
          <w:sz w:val="21"/>
          <w:szCs w:val="21"/>
        </w:rPr>
        <w:t>180</w:t>
      </w:r>
      <w:r>
        <w:rPr>
          <w:rFonts w:hint="eastAsia"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33"/>
        <w:tabs>
          <w:tab w:val="right" w:leader="dot" w:pos="9070"/>
          <w:tab w:val="clear" w:pos="9060"/>
        </w:tabs>
        <w:spacing w:line="240" w:lineRule="auto"/>
        <w:rPr>
          <w:rFonts w:hint="eastAsia" w:cs="宋体"/>
          <w:color w:val="auto"/>
          <w:sz w:val="21"/>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_Toc10732 </w:instrText>
      </w:r>
      <w:r>
        <w:rPr>
          <w:rFonts w:hint="eastAsia" w:ascii="宋体" w:hAnsi="宋体" w:eastAsia="宋体" w:cs="宋体"/>
          <w:color w:val="auto"/>
          <w:sz w:val="21"/>
          <w:szCs w:val="21"/>
          <w:highlight w:val="none"/>
        </w:rPr>
        <w:fldChar w:fldCharType="separate"/>
      </w:r>
      <w:r>
        <w:rPr>
          <w:rFonts w:hint="eastAsia" w:ascii="宋体" w:hAnsi="宋体" w:cs="宋体"/>
          <w:color w:val="auto"/>
          <w:sz w:val="21"/>
          <w:szCs w:val="21"/>
          <w:highlight w:val="none"/>
        </w:rPr>
        <w:t xml:space="preserve">第八章 </w:t>
      </w:r>
      <w:r>
        <w:rPr>
          <w:rFonts w:hint="eastAsia" w:cs="宋体"/>
          <w:color w:val="auto"/>
          <w:sz w:val="21"/>
          <w:szCs w:val="21"/>
          <w:highlight w:val="none"/>
          <w:lang w:val="en-US" w:eastAsia="zh-CN"/>
        </w:rPr>
        <w:t xml:space="preserve"> </w:t>
      </w:r>
      <w:r>
        <w:rPr>
          <w:rFonts w:hint="eastAsia" w:ascii="宋体" w:hAnsi="宋体" w:cs="宋体"/>
          <w:color w:val="auto"/>
          <w:sz w:val="21"/>
          <w:szCs w:val="21"/>
          <w:highlight w:val="none"/>
        </w:rPr>
        <w:t>最高投标限价</w:t>
      </w:r>
      <w:r>
        <w:rPr>
          <w:rFonts w:hint="eastAsia" w:cs="宋体"/>
          <w:color w:val="auto"/>
          <w:sz w:val="21"/>
          <w:szCs w:val="21"/>
        </w:rPr>
        <w:tab/>
      </w:r>
      <w:r>
        <w:rPr>
          <w:rFonts w:hint="eastAsia" w:cs="宋体"/>
          <w:color w:val="auto"/>
          <w:sz w:val="21"/>
          <w:szCs w:val="21"/>
        </w:rPr>
        <w:fldChar w:fldCharType="begin"/>
      </w:r>
      <w:r>
        <w:rPr>
          <w:rFonts w:hint="eastAsia" w:cs="宋体"/>
          <w:color w:val="auto"/>
          <w:sz w:val="21"/>
          <w:szCs w:val="21"/>
        </w:rPr>
        <w:instrText xml:space="preserve"> PAGEREF _Toc10732 \h </w:instrText>
      </w:r>
      <w:r>
        <w:rPr>
          <w:rFonts w:hint="eastAsia" w:cs="宋体"/>
          <w:color w:val="auto"/>
          <w:sz w:val="21"/>
          <w:szCs w:val="21"/>
        </w:rPr>
        <w:fldChar w:fldCharType="separate"/>
      </w:r>
      <w:r>
        <w:rPr>
          <w:rFonts w:hint="eastAsia" w:cs="宋体"/>
          <w:color w:val="auto"/>
          <w:sz w:val="21"/>
          <w:szCs w:val="21"/>
        </w:rPr>
        <w:t>181</w:t>
      </w:r>
      <w:r>
        <w:rPr>
          <w:rFonts w:hint="eastAsia" w:cs="宋体"/>
          <w:color w:val="auto"/>
          <w:sz w:val="21"/>
          <w:szCs w:val="21"/>
        </w:rPr>
        <w:fldChar w:fldCharType="end"/>
      </w:r>
      <w:r>
        <w:rPr>
          <w:rFonts w:hint="eastAsia" w:ascii="宋体" w:hAnsi="宋体" w:eastAsia="宋体" w:cs="宋体"/>
          <w:color w:val="auto"/>
          <w:sz w:val="21"/>
          <w:szCs w:val="21"/>
          <w:highlight w:val="none"/>
        </w:rPr>
        <w:fldChar w:fldCharType="end"/>
      </w:r>
    </w:p>
    <w:p>
      <w:pPr>
        <w:pStyle w:val="326"/>
        <w:spacing w:before="62" w:after="62" w:line="240" w:lineRule="auto"/>
        <w:rPr>
          <w:rFonts w:hAnsi="宋体"/>
          <w:color w:val="auto"/>
          <w:highlight w:val="none"/>
        </w:rPr>
      </w:pPr>
      <w:r>
        <w:rPr>
          <w:rFonts w:hint="eastAsia" w:hAnsi="宋体" w:cs="宋体"/>
          <w:color w:val="auto"/>
          <w:sz w:val="21"/>
          <w:szCs w:val="21"/>
          <w:highlight w:val="none"/>
        </w:rPr>
        <w:fldChar w:fldCharType="end"/>
      </w:r>
      <w:bookmarkStart w:id="0" w:name="_Toc2272545"/>
    </w:p>
    <w:p>
      <w:pPr>
        <w:widowControl/>
        <w:jc w:val="both"/>
        <w:rPr>
          <w:rFonts w:ascii="宋体" w:hAnsi="宋体" w:cs="宋体"/>
          <w:b/>
          <w:color w:val="auto"/>
          <w:kern w:val="44"/>
          <w:sz w:val="24"/>
          <w:szCs w:val="24"/>
          <w:highlight w:val="none"/>
        </w:rPr>
      </w:pPr>
      <w:r>
        <w:rPr>
          <w:rFonts w:ascii="宋体" w:hAnsi="宋体"/>
          <w:color w:val="auto"/>
          <w:sz w:val="24"/>
          <w:szCs w:val="24"/>
          <w:highlight w:val="none"/>
        </w:rPr>
        <w:br w:type="page"/>
      </w:r>
    </w:p>
    <w:p>
      <w:pPr>
        <w:spacing w:before="0" w:after="0" w:line="240" w:lineRule="auto"/>
        <w:jc w:val="both"/>
        <w:outlineLvl w:val="9"/>
        <w:rPr>
          <w:rFonts w:hint="eastAsia" w:ascii="宋体" w:hAnsi="宋体"/>
          <w:color w:val="auto"/>
          <w:highlight w:val="none"/>
        </w:rPr>
      </w:pPr>
      <w:bookmarkStart w:id="1" w:name="_Toc112397805"/>
      <w:bookmarkStart w:id="2" w:name="_Toc8943"/>
      <w:bookmarkStart w:id="3" w:name="_Toc25838"/>
      <w:bookmarkStart w:id="4" w:name="_Toc21091"/>
      <w:bookmarkStart w:id="5" w:name="_Toc3724"/>
    </w:p>
    <w:p>
      <w:pPr>
        <w:pStyle w:val="3"/>
        <w:rPr>
          <w:rFonts w:ascii="宋体" w:hAnsi="宋体"/>
          <w:color w:val="auto"/>
          <w:highlight w:val="none"/>
        </w:rPr>
      </w:pPr>
      <w:r>
        <w:rPr>
          <w:rFonts w:hint="eastAsia" w:ascii="宋体" w:hAnsi="宋体"/>
          <w:color w:val="auto"/>
          <w:highlight w:val="none"/>
        </w:rPr>
        <w:t>第一章</w:t>
      </w:r>
      <w:r>
        <w:rPr>
          <w:rFonts w:ascii="宋体" w:hAnsi="宋体"/>
          <w:color w:val="auto"/>
          <w:highlight w:val="none"/>
        </w:rPr>
        <w:t xml:space="preserve"> </w:t>
      </w:r>
      <w:r>
        <w:rPr>
          <w:rFonts w:hint="eastAsia" w:ascii="宋体" w:hAnsi="宋体"/>
          <w:color w:val="auto"/>
          <w:highlight w:val="none"/>
          <w:lang w:val="en-US" w:eastAsia="zh-CN"/>
        </w:rPr>
        <w:t xml:space="preserve"> </w:t>
      </w:r>
      <w:r>
        <w:rPr>
          <w:rFonts w:hint="eastAsia" w:ascii="宋体" w:hAnsi="宋体"/>
          <w:color w:val="auto"/>
          <w:highlight w:val="none"/>
        </w:rPr>
        <w:t>投标须知</w:t>
      </w:r>
      <w:bookmarkEnd w:id="0"/>
      <w:bookmarkEnd w:id="1"/>
      <w:bookmarkEnd w:id="2"/>
      <w:bookmarkEnd w:id="3"/>
      <w:bookmarkEnd w:id="4"/>
      <w:bookmarkEnd w:id="5"/>
    </w:p>
    <w:p>
      <w:pPr>
        <w:pStyle w:val="5"/>
        <w:rPr>
          <w:rFonts w:ascii="宋体" w:hAnsi="宋体"/>
          <w:color w:val="auto"/>
          <w:highlight w:val="none"/>
        </w:rPr>
      </w:pPr>
      <w:bookmarkStart w:id="6" w:name="_Toc112397806"/>
      <w:bookmarkStart w:id="7" w:name="_Toc8021"/>
      <w:bookmarkStart w:id="8" w:name="_Toc2272546"/>
      <w:bookmarkStart w:id="9" w:name="_Toc8405"/>
      <w:bookmarkStart w:id="10" w:name="_Toc8136"/>
      <w:bookmarkStart w:id="11" w:name="_Toc28670"/>
      <w:r>
        <w:rPr>
          <w:rFonts w:hint="eastAsia" w:ascii="宋体" w:hAnsi="宋体"/>
          <w:color w:val="auto"/>
          <w:highlight w:val="none"/>
        </w:rPr>
        <w:t>一、投标须知前附表</w:t>
      </w:r>
      <w:bookmarkEnd w:id="6"/>
      <w:bookmarkEnd w:id="7"/>
      <w:bookmarkEnd w:id="8"/>
      <w:bookmarkEnd w:id="9"/>
      <w:bookmarkEnd w:id="10"/>
      <w:bookmarkEnd w:id="11"/>
    </w:p>
    <w:p>
      <w:pPr>
        <w:pStyle w:val="2"/>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声明：本投标须知前附表使用</w:t>
      </w:r>
      <w:r>
        <w:rPr>
          <w:rFonts w:ascii="宋体" w:hAnsi="宋体" w:cs="宋体"/>
          <w:b/>
          <w:color w:val="auto"/>
          <w:szCs w:val="21"/>
          <w:highlight w:val="none"/>
        </w:rPr>
        <w:t>GZZB2018-3招标文件范本，与范本不同之处均以下划线标明，所有标明下划线部分属于本表的组成部分，同其他部分具有同样的效力。对范本《投标须知通用条款》和《开标、评标和定标办法通用条款》可选择部分的选择使用，均已在本表中注明，通用条款可选择部分中未被本投标须知前附表选择的部分无效。</w:t>
      </w:r>
    </w:p>
    <w:tbl>
      <w:tblPr>
        <w:tblStyle w:val="49"/>
        <w:tblW w:w="935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886"/>
        <w:gridCol w:w="1754"/>
        <w:gridCol w:w="60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blHeader/>
        </w:trPr>
        <w:tc>
          <w:tcPr>
            <w:tcW w:w="702" w:type="dxa"/>
            <w:tcBorders>
              <w:top w:val="doub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hint="eastAsia" w:ascii="宋体" w:hAnsi="宋体" w:cs="宋体"/>
                <w:color w:val="auto"/>
                <w:szCs w:val="21"/>
                <w:highlight w:val="none"/>
              </w:rPr>
              <w:t>项目</w:t>
            </w:r>
          </w:p>
        </w:tc>
        <w:tc>
          <w:tcPr>
            <w:tcW w:w="886" w:type="dxa"/>
            <w:tcBorders>
              <w:top w:val="doub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hint="eastAsia" w:ascii="宋体" w:hAnsi="宋体" w:cs="宋体"/>
                <w:color w:val="auto"/>
                <w:szCs w:val="21"/>
                <w:highlight w:val="none"/>
              </w:rPr>
              <w:t>条款号</w:t>
            </w:r>
          </w:p>
        </w:tc>
        <w:tc>
          <w:tcPr>
            <w:tcW w:w="1754" w:type="dxa"/>
            <w:tcBorders>
              <w:top w:val="double" w:color="auto" w:sz="4" w:space="0"/>
              <w:left w:val="single" w:color="auto" w:sz="4" w:space="0"/>
              <w:bottom w:val="single" w:color="auto" w:sz="4" w:space="0"/>
              <w:right w:val="single" w:color="auto" w:sz="4" w:space="0"/>
            </w:tcBorders>
            <w:vAlign w:val="center"/>
          </w:tcPr>
          <w:p>
            <w:pPr>
              <w:spacing w:line="264" w:lineRule="auto"/>
              <w:ind w:firstLine="0"/>
              <w:jc w:val="center"/>
              <w:rPr>
                <w:rFonts w:ascii="宋体" w:hAnsi="宋体" w:cs="宋体"/>
                <w:color w:val="auto"/>
                <w:szCs w:val="21"/>
                <w:highlight w:val="none"/>
              </w:rPr>
            </w:pPr>
            <w:r>
              <w:rPr>
                <w:rFonts w:hint="eastAsia" w:ascii="宋体" w:hAnsi="宋体" w:cs="宋体"/>
                <w:color w:val="auto"/>
                <w:szCs w:val="21"/>
                <w:highlight w:val="none"/>
              </w:rPr>
              <w:t>内容</w:t>
            </w:r>
          </w:p>
        </w:tc>
        <w:tc>
          <w:tcPr>
            <w:tcW w:w="6008" w:type="dxa"/>
            <w:tcBorders>
              <w:top w:val="double" w:color="auto" w:sz="4" w:space="0"/>
              <w:left w:val="single" w:color="auto" w:sz="4" w:space="0"/>
              <w:bottom w:val="single" w:color="auto" w:sz="4" w:space="0"/>
              <w:right w:val="double" w:color="auto" w:sz="4" w:space="0"/>
            </w:tcBorders>
            <w:vAlign w:val="center"/>
          </w:tcPr>
          <w:p>
            <w:pPr>
              <w:pStyle w:val="27"/>
              <w:spacing w:line="264" w:lineRule="auto"/>
              <w:ind w:firstLine="0"/>
              <w:jc w:val="center"/>
              <w:rPr>
                <w:rFonts w:ascii="宋体" w:hAnsi="宋体" w:cs="宋体"/>
                <w:color w:val="auto"/>
                <w:szCs w:val="21"/>
                <w:highlight w:val="none"/>
              </w:rPr>
            </w:pPr>
            <w:r>
              <w:rPr>
                <w:rFonts w:hint="eastAsia" w:ascii="宋体" w:hAnsi="宋体" w:cs="宋体"/>
                <w:color w:val="auto"/>
                <w:szCs w:val="21"/>
                <w:highlight w:val="none"/>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1</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1</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定义</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highlight w:val="none"/>
                <w:u w:val="single"/>
              </w:rPr>
            </w:pPr>
            <w:r>
              <w:rPr>
                <w:rFonts w:hint="eastAsia" w:ascii="宋体" w:hAnsi="宋体" w:cs="宋体"/>
                <w:color w:val="auto"/>
                <w:highlight w:val="none"/>
              </w:rPr>
              <w:t>招标人（即发包人）：</w:t>
            </w:r>
            <w:r>
              <w:rPr>
                <w:rFonts w:hint="eastAsia" w:ascii="宋体" w:hAnsi="宋体" w:cs="宋体"/>
                <w:color w:val="auto"/>
                <w:highlight w:val="none"/>
                <w:u w:val="single"/>
              </w:rPr>
              <w:t>广州开发区财政投资建设项目管理中心</w:t>
            </w:r>
          </w:p>
          <w:p>
            <w:pPr>
              <w:spacing w:line="264" w:lineRule="auto"/>
              <w:rPr>
                <w:rFonts w:hint="default" w:ascii="宋体" w:hAnsi="宋体" w:cs="宋体"/>
                <w:color w:val="auto"/>
                <w:highlight w:val="none"/>
                <w:u w:val="single"/>
                <w:lang w:val="en-US"/>
              </w:rPr>
            </w:pPr>
            <w:r>
              <w:rPr>
                <w:rFonts w:hint="eastAsia" w:ascii="宋体" w:hAnsi="宋体" w:cs="宋体"/>
                <w:color w:val="auto"/>
                <w:highlight w:val="none"/>
              </w:rPr>
              <w:t>招标代理：</w:t>
            </w:r>
            <w:r>
              <w:rPr>
                <w:rFonts w:hint="eastAsia" w:ascii="宋体" w:hAnsi="宋体" w:cs="宋体"/>
                <w:color w:val="auto"/>
                <w:highlight w:val="none"/>
                <w:u w:val="single"/>
              </w:rPr>
              <w:t>广东省国际工程咨询有限公司</w:t>
            </w:r>
          </w:p>
          <w:p>
            <w:pPr>
              <w:pStyle w:val="25"/>
              <w:spacing w:line="264" w:lineRule="auto"/>
              <w:rPr>
                <w:rFonts w:hint="default"/>
                <w:color w:val="auto"/>
                <w:highlight w:val="none"/>
                <w:lang w:val="en-US"/>
              </w:rPr>
            </w:pPr>
            <w:r>
              <w:rPr>
                <w:rFonts w:hint="eastAsia"/>
                <w:color w:val="auto"/>
                <w:highlight w:val="none"/>
                <w:lang w:val="en-US" w:eastAsia="zh-CN"/>
              </w:rPr>
              <w:t>代建单位：</w:t>
            </w:r>
            <w:r>
              <w:rPr>
                <w:rFonts w:hint="eastAsia"/>
                <w:color w:val="auto"/>
                <w:highlight w:val="none"/>
                <w:u w:val="single"/>
                <w:lang w:val="en-US" w:eastAsia="zh-CN"/>
              </w:rPr>
              <w:t>广州东进新区开发有限公司</w:t>
            </w:r>
          </w:p>
          <w:p>
            <w:pPr>
              <w:spacing w:line="264" w:lineRule="auto"/>
              <w:rPr>
                <w:rFonts w:hint="eastAsia" w:ascii="宋体" w:hAnsi="宋体" w:cs="宋体"/>
                <w:color w:val="auto"/>
                <w:highlight w:val="none"/>
                <w:u w:val="single"/>
                <w:lang w:val="en-US" w:eastAsia="zh-CN"/>
              </w:rPr>
            </w:pPr>
            <w:r>
              <w:rPr>
                <w:rFonts w:hint="eastAsia" w:ascii="宋体" w:hAnsi="宋体" w:cs="宋体"/>
                <w:color w:val="auto"/>
                <w:highlight w:val="none"/>
              </w:rPr>
              <w:t>设计单位：</w:t>
            </w:r>
            <w:r>
              <w:rPr>
                <w:rFonts w:hint="eastAsia" w:ascii="宋体" w:hAnsi="宋体" w:cs="宋体"/>
                <w:color w:val="auto"/>
                <w:highlight w:val="none"/>
                <w:u w:val="single"/>
                <w:lang w:val="en-US" w:eastAsia="zh-CN"/>
              </w:rPr>
              <w:t>广州市市政工程设计研究总院有限公司</w:t>
            </w:r>
          </w:p>
          <w:p>
            <w:pPr>
              <w:spacing w:line="264" w:lineRule="auto"/>
              <w:rPr>
                <w:rFonts w:ascii="宋体" w:hAnsi="宋体" w:cs="宋体"/>
                <w:color w:val="auto"/>
                <w:highlight w:val="none"/>
              </w:rPr>
            </w:pPr>
            <w:r>
              <w:rPr>
                <w:rFonts w:hint="eastAsia" w:ascii="宋体" w:hAnsi="宋体" w:cs="宋体"/>
                <w:color w:val="auto"/>
                <w:highlight w:val="none"/>
              </w:rPr>
              <w:t>监理单位：</w:t>
            </w:r>
            <w:r>
              <w:rPr>
                <w:rFonts w:ascii="宋体" w:hAnsi="宋体" w:cs="宋体"/>
                <w:color w:val="auto"/>
                <w:highlight w:val="none"/>
                <w:u w:val="single"/>
              </w:rPr>
              <w:t xml:space="preserve">     / </w:t>
            </w:r>
            <w:r>
              <w:rPr>
                <w:rFonts w:ascii="宋体" w:hAnsi="宋体" w:cs="宋体"/>
                <w:color w:val="auto"/>
                <w:szCs w:val="21"/>
                <w:highlight w:val="none"/>
                <w:u w:val="single"/>
              </w:rPr>
              <w:t xml:space="preserve">    </w:t>
            </w:r>
          </w:p>
          <w:p>
            <w:pPr>
              <w:spacing w:line="264" w:lineRule="auto"/>
              <w:rPr>
                <w:rFonts w:ascii="宋体" w:hAnsi="宋体" w:cs="宋体"/>
                <w:color w:val="auto"/>
                <w:szCs w:val="21"/>
                <w:highlight w:val="none"/>
              </w:rPr>
            </w:pPr>
            <w:r>
              <w:rPr>
                <w:rFonts w:hint="eastAsia" w:ascii="宋体" w:hAnsi="宋体" w:cs="宋体"/>
                <w:color w:val="auto"/>
                <w:highlight w:val="none"/>
              </w:rPr>
              <w:t>检测机构：</w:t>
            </w:r>
            <w:r>
              <w:rPr>
                <w:rFonts w:ascii="宋体" w:hAnsi="宋体" w:cs="宋体"/>
                <w:color w:val="auto"/>
                <w:highlight w:val="none"/>
                <w:u w:val="single"/>
              </w:rPr>
              <w:t xml:space="preserve">     /</w:t>
            </w:r>
            <w:r>
              <w:rPr>
                <w:rFonts w:ascii="宋体" w:hAnsi="宋体" w:cs="宋体"/>
                <w:color w:val="auto"/>
                <w:szCs w:val="21"/>
                <w:highlight w:val="none"/>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2</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2.2</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工程名称</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hint="eastAsia"/>
                <w:color w:val="auto"/>
                <w:highlight w:val="none"/>
                <w:lang w:eastAsia="zh-CN"/>
              </w:rPr>
            </w:pPr>
            <w:r>
              <w:rPr>
                <w:rFonts w:hint="eastAsia" w:ascii="宋体" w:hAnsi="宋体" w:eastAsia="宋体" w:cs="宋体"/>
                <w:color w:val="auto"/>
                <w:sz w:val="21"/>
                <w:szCs w:val="21"/>
                <w:u w:val="single"/>
                <w:lang w:eastAsia="zh-CN"/>
              </w:rPr>
              <w:t>广州开发区东区D01地块平整工程之D02、D03施工总承包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3</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2.2</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建设地点</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u w:val="single"/>
              </w:rPr>
            </w:pPr>
            <w:r>
              <w:rPr>
                <w:rFonts w:hint="eastAsia" w:ascii="宋体" w:hAnsi="宋体" w:cs="宋体"/>
                <w:color w:val="auto"/>
                <w:szCs w:val="21"/>
                <w:highlight w:val="none"/>
                <w:u w:val="single"/>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4</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2.2</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建设规模</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u w:val="single"/>
              </w:rPr>
            </w:pPr>
            <w:r>
              <w:rPr>
                <w:rFonts w:hint="eastAsia" w:ascii="宋体" w:hAnsi="宋体" w:cs="宋体"/>
                <w:color w:val="auto"/>
                <w:szCs w:val="21"/>
                <w:highlight w:val="none"/>
                <w:u w:val="single"/>
              </w:rPr>
              <w:t>详见本工程招标公告，具体以工程量清单及图纸为准。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2.2</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承包方式</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u w:val="single"/>
              </w:rPr>
            </w:pPr>
            <w:r>
              <w:rPr>
                <w:rFonts w:hint="eastAsia" w:ascii="宋体" w:hAnsi="宋体" w:cs="宋体"/>
                <w:color w:val="auto"/>
                <w:szCs w:val="21"/>
                <w:highlight w:val="none"/>
                <w:u w:val="single"/>
              </w:rPr>
              <w:t>包工、包料、包工期、包质量、包安全、包文明施工、包验收、包保修、综合单价包干，措施项目费（除施工围蔽费用外）包干，施工围蔽清单综合单价包干，工程量按实计量。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6</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2.2</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质量标准</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b/>
                <w:color w:val="auto"/>
                <w:szCs w:val="21"/>
                <w:highlight w:val="none"/>
                <w:u w:val="single"/>
              </w:rPr>
            </w:pPr>
            <w:r>
              <w:rPr>
                <w:rFonts w:hint="eastAsia" w:ascii="宋体" w:hAnsi="宋体" w:cs="宋体"/>
                <w:color w:val="auto"/>
                <w:szCs w:val="21"/>
                <w:highlight w:val="none"/>
                <w:u w:val="single"/>
              </w:rPr>
              <w:t>工程质量达到国家或行业质量检验评定的合格标准。</w:t>
            </w:r>
          </w:p>
          <w:p>
            <w:pPr>
              <w:spacing w:line="264" w:lineRule="auto"/>
              <w:rPr>
                <w:rFonts w:ascii="宋体" w:hAnsi="宋体" w:cs="宋体"/>
                <w:color w:val="auto"/>
                <w:highlight w:val="none"/>
                <w:u w:val="single"/>
              </w:rPr>
            </w:pPr>
            <w:r>
              <w:rPr>
                <w:rFonts w:hint="eastAsia" w:ascii="宋体" w:hAnsi="宋体"/>
                <w:color w:val="auto"/>
                <w:highlight w:val="none"/>
                <w:u w:val="single"/>
              </w:rPr>
              <w:t>注：本工程正式签署合同时，</w:t>
            </w:r>
            <w:r>
              <w:rPr>
                <w:rFonts w:hint="eastAsia" w:ascii="宋体" w:hAnsi="宋体"/>
                <w:color w:val="auto"/>
                <w:szCs w:val="21"/>
                <w:highlight w:val="none"/>
                <w:u w:val="single"/>
              </w:rPr>
              <w:t>质量标准</w:t>
            </w:r>
            <w:r>
              <w:rPr>
                <w:rFonts w:hint="eastAsia" w:ascii="宋体" w:hAnsi="宋体"/>
                <w:color w:val="auto"/>
                <w:highlight w:val="none"/>
                <w:u w:val="single"/>
              </w:rPr>
              <w:t>按中标人投标文件承诺质量标准。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7</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2.2</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招标范围</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u w:val="single"/>
              </w:rPr>
            </w:pPr>
            <w:r>
              <w:rPr>
                <w:rFonts w:hint="eastAsia" w:ascii="宋体" w:hAnsi="宋体" w:cs="宋体"/>
                <w:color w:val="auto"/>
                <w:szCs w:val="21"/>
                <w:highlight w:val="none"/>
                <w:u w:val="single"/>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8</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2.2</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工期要求</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ind w:firstLine="105" w:firstLineChars="50"/>
              <w:rPr>
                <w:rFonts w:ascii="宋体" w:hAnsi="宋体" w:cs="宋体"/>
                <w:color w:val="auto"/>
                <w:szCs w:val="21"/>
                <w:highlight w:val="none"/>
              </w:rPr>
            </w:pPr>
            <w:r>
              <w:rPr>
                <w:rFonts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rPr>
              <w:t>年</w:t>
            </w:r>
            <w:r>
              <w:rPr>
                <w:rFonts w:ascii="宋体" w:hAnsi="宋体" w:cs="宋体"/>
                <w:color w:val="auto"/>
                <w:szCs w:val="21"/>
                <w:highlight w:val="none"/>
                <w:u w:val="single"/>
              </w:rPr>
              <w:t xml:space="preserve">  </w:t>
            </w:r>
            <w:r>
              <w:rPr>
                <w:rFonts w:hint="eastAsia" w:ascii="宋体" w:hAnsi="宋体" w:cs="宋体"/>
                <w:color w:val="auto"/>
                <w:szCs w:val="21"/>
                <w:highlight w:val="none"/>
              </w:rPr>
              <w:t>月</w:t>
            </w:r>
            <w:r>
              <w:rPr>
                <w:rFonts w:ascii="宋体" w:hAnsi="宋体" w:cs="宋体"/>
                <w:color w:val="auto"/>
                <w:szCs w:val="21"/>
                <w:highlight w:val="none"/>
                <w:u w:val="single"/>
              </w:rPr>
              <w:t xml:space="preserve">  </w:t>
            </w:r>
            <w:r>
              <w:rPr>
                <w:rFonts w:hint="eastAsia" w:ascii="宋体" w:hAnsi="宋体" w:cs="宋体"/>
                <w:color w:val="auto"/>
                <w:szCs w:val="21"/>
                <w:highlight w:val="none"/>
              </w:rPr>
              <w:t>日计划开工，施工总期：</w:t>
            </w:r>
            <w:r>
              <w:rPr>
                <w:rFonts w:hint="eastAsia" w:ascii="宋体" w:hAnsi="宋体" w:cs="宋体"/>
                <w:color w:val="auto"/>
                <w:szCs w:val="21"/>
                <w:highlight w:val="none"/>
                <w:u w:val="single"/>
                <w:lang w:val="en-US" w:eastAsia="zh-CN"/>
              </w:rPr>
              <w:t>240</w:t>
            </w:r>
            <w:r>
              <w:rPr>
                <w:rFonts w:hint="eastAsia" w:ascii="宋体" w:hAnsi="宋体" w:cs="宋体"/>
                <w:color w:val="auto"/>
                <w:szCs w:val="21"/>
                <w:highlight w:val="none"/>
              </w:rPr>
              <w:t>日历天。</w:t>
            </w:r>
          </w:p>
          <w:p>
            <w:pPr>
              <w:pStyle w:val="25"/>
              <w:spacing w:line="264" w:lineRule="auto"/>
              <w:rPr>
                <w:rFonts w:hAnsi="宋体"/>
                <w:color w:val="auto"/>
                <w:highlight w:val="none"/>
              </w:rPr>
            </w:pPr>
            <w:r>
              <w:rPr>
                <w:rFonts w:hint="eastAsia" w:hAnsi="宋体"/>
                <w:color w:val="auto"/>
                <w:highlight w:val="none"/>
                <w:u w:val="single"/>
              </w:rPr>
              <w:t>注：本工程正式签署合同时，施工工期按中标投标文件承诺工期。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9</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3.1</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资金来源</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u w:val="single"/>
              </w:rPr>
            </w:pPr>
            <w:r>
              <w:rPr>
                <w:rFonts w:hint="eastAsia" w:ascii="宋体" w:hAnsi="宋体" w:cs="宋体"/>
                <w:color w:val="auto"/>
                <w:szCs w:val="21"/>
                <w:highlight w:val="none"/>
                <w:u w:val="single"/>
              </w:rPr>
              <w:t>详见招标公告，已落实。</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10</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4.1</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投标人资质等级及项目负责人等级要求</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u w:val="single"/>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11</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ind w:firstLine="458"/>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资格审查方式</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u w:val="single"/>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12</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13.1</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报价以及单价和总价计算方式</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rPr>
            </w:pPr>
            <w:bookmarkStart w:id="12" w:name="EBdfd7e3fe86a241738f1c1d356c309534"/>
            <w:r>
              <w:rPr>
                <w:rFonts w:hint="eastAsia" w:ascii="宋体" w:hAnsi="宋体" w:cs="宋体"/>
                <w:color w:val="auto"/>
                <w:szCs w:val="21"/>
                <w:highlight w:val="none"/>
              </w:rPr>
              <w:t>工程量清单计价</w:t>
            </w:r>
            <w:r>
              <w:rPr>
                <w:rFonts w:hint="eastAsia" w:ascii="宋体" w:hAnsi="宋体" w:cs="宋体"/>
                <w:color w:val="auto"/>
                <w:szCs w:val="21"/>
                <w:highlight w:val="none"/>
                <w:u w:val="single"/>
              </w:rPr>
              <w:t>，按国家、省有关计价规范执行。纳入年度审计项目计划的政府投资项目，审计机关出具的审计结果应当作为该政府投资项目价款结算的依据（适用于纳入年度审计项目计划的项目）。</w:t>
            </w:r>
            <w:bookmarkEnd w:id="12"/>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13</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15.1</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投标有效期</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u w:val="single"/>
              </w:rPr>
            </w:pPr>
            <w:r>
              <w:rPr>
                <w:rFonts w:ascii="宋体" w:hAnsi="宋体" w:cs="宋体"/>
                <w:b/>
                <w:color w:val="auto"/>
                <w:szCs w:val="21"/>
                <w:highlight w:val="none"/>
                <w:u w:val="single"/>
              </w:rPr>
              <w:t>90</w:t>
            </w:r>
            <w:r>
              <w:rPr>
                <w:rFonts w:hint="eastAsia" w:ascii="宋体" w:hAnsi="宋体" w:cs="宋体"/>
                <w:color w:val="auto"/>
                <w:szCs w:val="21"/>
                <w:highlight w:val="none"/>
              </w:rPr>
              <w:t>日历天。（从投标截止之日计起）。</w:t>
            </w:r>
            <w:r>
              <w:rPr>
                <w:rFonts w:hint="eastAsia" w:ascii="宋体" w:hAnsi="宋体" w:cs="宋体"/>
                <w:color w:val="auto"/>
                <w:szCs w:val="21"/>
                <w:highlight w:val="none"/>
                <w:u w:val="single"/>
              </w:rPr>
              <w:t>如投标有效期内发生异议或投诉的，则投标有效期自动延长至异议或投诉处理结束后</w:t>
            </w:r>
            <w:r>
              <w:rPr>
                <w:rFonts w:ascii="宋体" w:hAnsi="宋体" w:cs="宋体"/>
                <w:color w:val="auto"/>
                <w:szCs w:val="21"/>
                <w:highlight w:val="none"/>
                <w:u w:val="single"/>
              </w:rPr>
              <w:t>90日历天。中标人的投标有效期自动延期至合同履行完毕。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14</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16.1</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投标保证金</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olor w:val="auto"/>
                <w:szCs w:val="21"/>
                <w:highlight w:val="none"/>
                <w:u w:val="single"/>
              </w:rPr>
            </w:pPr>
            <w:r>
              <w:rPr>
                <w:rFonts w:hint="eastAsia" w:ascii="宋体" w:hAnsi="宋体"/>
                <w:color w:val="auto"/>
                <w:szCs w:val="21"/>
                <w:highlight w:val="none"/>
                <w:u w:val="single"/>
              </w:rPr>
              <w:t>方式一：本项目不收投标保证金。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15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5</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踏勘现场</w:t>
            </w:r>
          </w:p>
        </w:tc>
        <w:tc>
          <w:tcPr>
            <w:tcW w:w="6008" w:type="dxa"/>
            <w:tcBorders>
              <w:top w:val="single" w:color="auto" w:sz="4" w:space="0"/>
              <w:left w:val="single" w:color="auto" w:sz="4" w:space="0"/>
              <w:bottom w:val="single" w:color="auto" w:sz="4" w:space="0"/>
              <w:right w:val="double" w:color="auto" w:sz="4" w:space="0"/>
            </w:tcBorders>
            <w:vAlign w:val="center"/>
          </w:tcPr>
          <w:p>
            <w:pPr>
              <w:pStyle w:val="27"/>
              <w:spacing w:line="264" w:lineRule="auto"/>
              <w:rPr>
                <w:rFonts w:ascii="宋体" w:hAnsi="宋体" w:cs="宋体"/>
                <w:color w:val="auto"/>
                <w:szCs w:val="21"/>
                <w:highlight w:val="none"/>
              </w:rPr>
            </w:pPr>
            <w:r>
              <w:rPr>
                <w:rFonts w:hint="eastAsia" w:ascii="宋体" w:hAnsi="宋体" w:cs="宋体"/>
                <w:color w:val="auto"/>
                <w:szCs w:val="21"/>
                <w:highlight w:val="none"/>
                <w:u w:val="single"/>
              </w:rPr>
              <w:t>自行踏勘，投标人不进行踏勘的，视为已熟知现场条件，自行承担相关风险。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16</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8</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投标答疑</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u w:val="single"/>
              </w:rPr>
            </w:pPr>
            <w:r>
              <w:rPr>
                <w:rFonts w:ascii="宋体" w:hAnsi="宋体" w:cs="宋体"/>
                <w:color w:val="auto"/>
                <w:szCs w:val="21"/>
                <w:highlight w:val="none"/>
                <w:u w:val="single"/>
              </w:rPr>
              <w:t>1.方式：网上答疑</w:t>
            </w:r>
          </w:p>
          <w:p>
            <w:pPr>
              <w:spacing w:line="264" w:lineRule="auto"/>
              <w:rPr>
                <w:rFonts w:ascii="宋体" w:hAnsi="宋体" w:cs="宋体"/>
                <w:color w:val="auto"/>
                <w:szCs w:val="21"/>
                <w:highlight w:val="none"/>
                <w:u w:val="single"/>
              </w:rPr>
            </w:pPr>
            <w:r>
              <w:rPr>
                <w:rFonts w:ascii="宋体" w:hAnsi="宋体" w:cs="宋体"/>
                <w:color w:val="auto"/>
                <w:szCs w:val="21"/>
                <w:highlight w:val="none"/>
                <w:u w:val="single"/>
              </w:rPr>
              <w:t xml:space="preserve">2.疑问提交时间：   </w:t>
            </w:r>
            <w:r>
              <w:rPr>
                <w:rFonts w:hint="eastAsia" w:ascii="宋体" w:hAnsi="宋体" w:cs="宋体"/>
                <w:color w:val="auto"/>
                <w:szCs w:val="21"/>
                <w:highlight w:val="none"/>
                <w:u w:val="single"/>
              </w:rPr>
              <w:t>年</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月</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日</w:t>
            </w:r>
            <w:r>
              <w:rPr>
                <w:rFonts w:hint="eastAsia" w:ascii="宋体" w:hAnsi="宋体" w:cs="宋体"/>
                <w:color w:val="auto"/>
                <w:szCs w:val="21"/>
                <w:highlight w:val="none"/>
                <w:u w:val="single"/>
                <w:lang w:val="en-US" w:eastAsia="zh-CN"/>
              </w:rPr>
              <w:t xml:space="preserve">  </w:t>
            </w:r>
            <w:r>
              <w:rPr>
                <w:rFonts w:ascii="宋体" w:hAnsi="宋体" w:cs="宋体"/>
                <w:color w:val="auto"/>
                <w:szCs w:val="21"/>
                <w:highlight w:val="none"/>
                <w:u w:val="single"/>
              </w:rPr>
              <w:t>时前</w:t>
            </w:r>
            <w:r>
              <w:rPr>
                <w:rFonts w:hint="eastAsia" w:ascii="宋体" w:hAnsi="宋体" w:cs="宋体"/>
                <w:color w:val="auto"/>
                <w:szCs w:val="21"/>
                <w:highlight w:val="none"/>
                <w:u w:val="single"/>
              </w:rPr>
              <w:t>(在递交投标文件截止日期前18日)</w:t>
            </w:r>
          </w:p>
          <w:p>
            <w:pPr>
              <w:spacing w:line="264" w:lineRule="auto"/>
              <w:rPr>
                <w:rFonts w:ascii="宋体" w:hAnsi="宋体" w:cs="宋体"/>
                <w:color w:val="auto"/>
                <w:szCs w:val="21"/>
                <w:highlight w:val="none"/>
                <w:u w:val="single"/>
              </w:rPr>
            </w:pPr>
            <w:r>
              <w:rPr>
                <w:rFonts w:ascii="宋体" w:hAnsi="宋体" w:cs="宋体"/>
                <w:color w:val="auto"/>
                <w:szCs w:val="21"/>
                <w:highlight w:val="none"/>
                <w:u w:val="single"/>
              </w:rPr>
              <w:t xml:space="preserve">3.招标人澄清、修补或答疑期限：在递交投标文件截止日期前15 </w:t>
            </w:r>
            <w:r>
              <w:rPr>
                <w:rFonts w:hint="eastAsia" w:ascii="宋体" w:hAnsi="宋体" w:cs="宋体"/>
                <w:color w:val="auto"/>
                <w:szCs w:val="21"/>
                <w:highlight w:val="none"/>
                <w:u w:val="single"/>
              </w:rPr>
              <w:t>日</w:t>
            </w:r>
          </w:p>
          <w:p>
            <w:pPr>
              <w:spacing w:line="264" w:lineRule="auto"/>
              <w:rPr>
                <w:rFonts w:ascii="宋体" w:hAnsi="宋体" w:cs="宋体"/>
                <w:color w:val="auto"/>
                <w:szCs w:val="21"/>
                <w:highlight w:val="none"/>
                <w:u w:val="single"/>
              </w:rPr>
            </w:pPr>
            <w:r>
              <w:rPr>
                <w:rFonts w:ascii="宋体" w:hAnsi="宋体" w:cs="宋体"/>
                <w:color w:val="auto"/>
                <w:szCs w:val="21"/>
                <w:highlight w:val="none"/>
                <w:u w:val="single"/>
              </w:rPr>
              <w:t>4.网上答疑的操作指南为：登陆</w:t>
            </w:r>
            <w:r>
              <w:rPr>
                <w:rFonts w:hint="eastAsia" w:ascii="宋体" w:hAnsi="宋体" w:cs="宋体"/>
                <w:color w:val="auto"/>
                <w:szCs w:val="21"/>
                <w:highlight w:val="none"/>
                <w:u w:val="single"/>
              </w:rPr>
              <w:t>广州交易集团有限公司（广州公共资源交易中心）网站</w:t>
            </w:r>
            <w:r>
              <w:rPr>
                <w:rFonts w:ascii="宋体" w:hAnsi="宋体" w:cs="宋体"/>
                <w:color w:val="auto"/>
                <w:szCs w:val="21"/>
                <w:highlight w:val="none"/>
                <w:u w:val="single"/>
              </w:rPr>
              <w:t>-&gt;进入“我是</w:t>
            </w:r>
            <w:r>
              <w:rPr>
                <w:rFonts w:hint="eastAsia" w:ascii="宋体" w:hAnsi="宋体" w:cs="宋体"/>
                <w:color w:val="auto"/>
                <w:szCs w:val="21"/>
                <w:highlight w:val="none"/>
                <w:u w:val="single"/>
              </w:rPr>
              <w:t>投标人（供应商）”</w:t>
            </w:r>
            <w:r>
              <w:rPr>
                <w:rFonts w:ascii="宋体" w:hAnsi="宋体" w:cs="宋体"/>
                <w:color w:val="auto"/>
                <w:szCs w:val="21"/>
                <w:highlight w:val="none"/>
                <w:u w:val="single"/>
              </w:rPr>
              <w:t>-&gt;“我的投标”-&gt;“招标答疑提问”查询项目并提问。</w:t>
            </w:r>
          </w:p>
          <w:p>
            <w:pPr>
              <w:spacing w:line="264" w:lineRule="auto"/>
              <w:rPr>
                <w:rFonts w:ascii="宋体" w:hAnsi="宋体" w:cs="宋体"/>
                <w:color w:val="auto"/>
                <w:szCs w:val="21"/>
                <w:highlight w:val="none"/>
                <w:u w:val="single"/>
              </w:rPr>
            </w:pPr>
            <w:r>
              <w:rPr>
                <w:rFonts w:ascii="宋体" w:hAnsi="宋体" w:cs="宋体"/>
                <w:color w:val="auto"/>
                <w:szCs w:val="21"/>
                <w:highlight w:val="none"/>
                <w:u w:val="single"/>
              </w:rPr>
              <w:t>5.网上答疑的相关事项详见招标文件8.1款。</w:t>
            </w:r>
          </w:p>
          <w:p>
            <w:pPr>
              <w:spacing w:line="264" w:lineRule="auto"/>
              <w:rPr>
                <w:rFonts w:ascii="宋体" w:hAnsi="宋体" w:cs="宋体"/>
                <w:color w:val="auto"/>
                <w:szCs w:val="21"/>
                <w:highlight w:val="none"/>
              </w:rPr>
            </w:pPr>
            <w:r>
              <w:rPr>
                <w:rFonts w:ascii="宋体" w:hAnsi="宋体" w:cs="宋体"/>
                <w:color w:val="auto"/>
                <w:szCs w:val="21"/>
                <w:highlight w:val="none"/>
                <w:u w:val="single"/>
              </w:rPr>
              <w:t>6.提问一律不得署名。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17</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20.1</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投标截止时间</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strike/>
                <w:color w:val="auto"/>
                <w:szCs w:val="21"/>
                <w:highlight w:val="none"/>
              </w:rPr>
            </w:pPr>
            <w:r>
              <w:rPr>
                <w:rFonts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rPr>
              <w:t>年</w:t>
            </w:r>
            <w:r>
              <w:rPr>
                <w:rFonts w:ascii="宋体" w:hAnsi="宋体" w:cs="宋体"/>
                <w:color w:val="auto"/>
                <w:szCs w:val="21"/>
                <w:highlight w:val="none"/>
                <w:u w:val="single"/>
              </w:rPr>
              <w:t xml:space="preserve">   </w:t>
            </w:r>
            <w:r>
              <w:rPr>
                <w:rFonts w:hint="eastAsia" w:ascii="宋体" w:hAnsi="宋体" w:cs="宋体"/>
                <w:color w:val="auto"/>
                <w:szCs w:val="21"/>
                <w:highlight w:val="none"/>
              </w:rPr>
              <w:t>月</w:t>
            </w:r>
            <w:r>
              <w:rPr>
                <w:rFonts w:ascii="宋体" w:hAnsi="宋体" w:cs="宋体"/>
                <w:color w:val="auto"/>
                <w:szCs w:val="21"/>
                <w:highlight w:val="none"/>
                <w:u w:val="single"/>
              </w:rPr>
              <w:t xml:space="preserve">    </w:t>
            </w:r>
            <w:r>
              <w:rPr>
                <w:rFonts w:hint="eastAsia" w:ascii="宋体" w:hAnsi="宋体" w:cs="宋体"/>
                <w:color w:val="auto"/>
                <w:szCs w:val="21"/>
                <w:highlight w:val="none"/>
              </w:rPr>
              <w:t>日</w:t>
            </w:r>
            <w:r>
              <w:rPr>
                <w:rFonts w:ascii="宋体" w:hAnsi="宋体" w:cs="宋体"/>
                <w:color w:val="auto"/>
                <w:szCs w:val="21"/>
                <w:highlight w:val="none"/>
                <w:u w:val="single"/>
              </w:rPr>
              <w:t xml:space="preserve">   </w:t>
            </w:r>
            <w:r>
              <w:rPr>
                <w:rFonts w:hint="eastAsia" w:ascii="宋体" w:hAnsi="宋体" w:cs="宋体"/>
                <w:color w:val="auto"/>
                <w:szCs w:val="21"/>
                <w:highlight w:val="none"/>
              </w:rPr>
              <w:t>时</w:t>
            </w:r>
            <w:r>
              <w:rPr>
                <w:rFonts w:ascii="宋体" w:hAnsi="宋体" w:cs="宋体"/>
                <w:color w:val="auto"/>
                <w:szCs w:val="21"/>
                <w:highlight w:val="none"/>
                <w:u w:val="single"/>
              </w:rPr>
              <w:t xml:space="preserve">   </w:t>
            </w:r>
            <w:r>
              <w:rPr>
                <w:rFonts w:hint="eastAsia" w:ascii="宋体" w:hAnsi="宋体" w:cs="宋体"/>
                <w:color w:val="auto"/>
                <w:szCs w:val="21"/>
                <w:highlight w:val="none"/>
              </w:rPr>
              <w:t>分（北京时间）。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18</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20.1</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开标开始时间和地点</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（技术标和经济标同时开标）</w:t>
            </w:r>
          </w:p>
          <w:p>
            <w:pPr>
              <w:spacing w:line="264" w:lineRule="auto"/>
              <w:rPr>
                <w:rFonts w:ascii="宋体" w:hAnsi="宋体" w:cs="宋体"/>
                <w:color w:val="auto"/>
                <w:szCs w:val="21"/>
                <w:highlight w:val="none"/>
              </w:rPr>
            </w:pPr>
            <w:r>
              <w:rPr>
                <w:rFonts w:ascii="宋体" w:hAnsi="宋体" w:cs="宋体"/>
                <w:color w:val="auto"/>
                <w:szCs w:val="21"/>
                <w:highlight w:val="none"/>
              </w:rPr>
              <w:t>1、开标开始时间：</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rPr>
              <w:t>年</w:t>
            </w:r>
            <w:r>
              <w:rPr>
                <w:rFonts w:ascii="宋体" w:hAnsi="宋体" w:cs="宋体"/>
                <w:color w:val="auto"/>
                <w:szCs w:val="21"/>
                <w:highlight w:val="none"/>
                <w:u w:val="single"/>
              </w:rPr>
              <w:t xml:space="preserve">   </w:t>
            </w:r>
            <w:r>
              <w:rPr>
                <w:rFonts w:hint="eastAsia" w:ascii="宋体" w:hAnsi="宋体" w:cs="宋体"/>
                <w:color w:val="auto"/>
                <w:szCs w:val="21"/>
                <w:highlight w:val="none"/>
              </w:rPr>
              <w:t>月</w:t>
            </w:r>
            <w:r>
              <w:rPr>
                <w:rFonts w:ascii="宋体" w:hAnsi="宋体" w:cs="宋体"/>
                <w:color w:val="auto"/>
                <w:szCs w:val="21"/>
                <w:highlight w:val="none"/>
                <w:u w:val="single"/>
              </w:rPr>
              <w:t xml:space="preserve">   </w:t>
            </w:r>
            <w:r>
              <w:rPr>
                <w:rFonts w:hint="eastAsia" w:ascii="宋体" w:hAnsi="宋体" w:cs="宋体"/>
                <w:color w:val="auto"/>
                <w:szCs w:val="21"/>
                <w:highlight w:val="none"/>
              </w:rPr>
              <w:t>日</w:t>
            </w:r>
            <w:r>
              <w:rPr>
                <w:rFonts w:ascii="宋体" w:hAnsi="宋体" w:cs="宋体"/>
                <w:color w:val="auto"/>
                <w:szCs w:val="21"/>
                <w:highlight w:val="none"/>
                <w:u w:val="single"/>
              </w:rPr>
              <w:t xml:space="preserve">   </w:t>
            </w:r>
            <w:r>
              <w:rPr>
                <w:rFonts w:hint="eastAsia" w:ascii="宋体" w:hAnsi="宋体" w:cs="宋体"/>
                <w:color w:val="auto"/>
                <w:szCs w:val="21"/>
                <w:highlight w:val="none"/>
              </w:rPr>
              <w:t>时</w:t>
            </w:r>
            <w:r>
              <w:rPr>
                <w:rFonts w:ascii="宋体" w:hAnsi="宋体" w:cs="宋体"/>
                <w:color w:val="auto"/>
                <w:szCs w:val="21"/>
                <w:highlight w:val="none"/>
                <w:u w:val="single"/>
              </w:rPr>
              <w:t xml:space="preserve">   </w:t>
            </w:r>
            <w:r>
              <w:rPr>
                <w:rFonts w:hint="eastAsia" w:ascii="宋体" w:hAnsi="宋体" w:cs="宋体"/>
                <w:color w:val="auto"/>
                <w:szCs w:val="21"/>
                <w:highlight w:val="none"/>
              </w:rPr>
              <w:t>分（与投标截止时间为同一时间），地点：</w:t>
            </w:r>
            <w:r>
              <w:rPr>
                <w:rFonts w:hint="eastAsia" w:ascii="宋体" w:hAnsi="宋体" w:cs="宋体"/>
                <w:color w:val="auto"/>
                <w:szCs w:val="21"/>
                <w:highlight w:val="none"/>
                <w:u w:val="single"/>
              </w:rPr>
              <w:t>广州交易集团有限公司（广州公共资源交易中心）黄埔交易部指定开标室</w:t>
            </w:r>
            <w:r>
              <w:rPr>
                <w:rFonts w:hint="eastAsia" w:ascii="宋体" w:hAnsi="宋体" w:cs="宋体"/>
                <w:color w:val="auto"/>
                <w:szCs w:val="21"/>
                <w:highlight w:val="none"/>
                <w:u w:val="none"/>
              </w:rPr>
              <w:t>。</w:t>
            </w:r>
            <w:r>
              <w:rPr>
                <w:rFonts w:hint="eastAsia" w:ascii="宋体" w:hAnsi="宋体" w:cs="宋体"/>
                <w:color w:val="auto"/>
                <w:szCs w:val="21"/>
                <w:highlight w:val="none"/>
              </w:rPr>
              <w:t>投标人也可选择参加在线开标，具体按照交易平台相关指南进行操作。详见：</w:t>
            </w:r>
            <w:r>
              <w:rPr>
                <w:rFonts w:hint="eastAsia" w:ascii="宋体" w:hAnsi="宋体" w:cs="宋体"/>
                <w:color w:val="auto"/>
                <w:szCs w:val="21"/>
                <w:highlight w:val="none"/>
                <w:u w:val="single"/>
              </w:rPr>
              <w:t>广州交易集团有限公司（广州公共资源交易中心）网站最新指引</w:t>
            </w:r>
            <w:r>
              <w:rPr>
                <w:rFonts w:hint="eastAsia" w:ascii="宋体" w:hAnsi="宋体" w:cs="宋体"/>
                <w:color w:val="auto"/>
                <w:szCs w:val="21"/>
                <w:highlight w:val="none"/>
              </w:rPr>
              <w:t>。</w:t>
            </w:r>
          </w:p>
          <w:p>
            <w:pPr>
              <w:spacing w:line="264" w:lineRule="auto"/>
              <w:rPr>
                <w:rFonts w:ascii="宋体" w:hAnsi="宋体" w:cs="宋体"/>
                <w:color w:val="auto"/>
                <w:szCs w:val="21"/>
                <w:highlight w:val="none"/>
              </w:rPr>
            </w:pPr>
            <w:r>
              <w:rPr>
                <w:rFonts w:hint="eastAsia" w:ascii="宋体" w:hAnsi="宋体" w:cs="宋体"/>
                <w:color w:val="auto"/>
                <w:szCs w:val="21"/>
                <w:highlight w:val="none"/>
              </w:rPr>
              <w:t>注：投标文件解密问题。投标人只用执行一次解密，招标人执行解密次数根据招标文件开标次数确定。</w:t>
            </w:r>
          </w:p>
          <w:p>
            <w:pPr>
              <w:spacing w:line="264" w:lineRule="auto"/>
              <w:rPr>
                <w:rFonts w:ascii="宋体" w:hAnsi="宋体" w:cs="宋体"/>
                <w:color w:val="auto"/>
                <w:szCs w:val="21"/>
                <w:highlight w:val="none"/>
              </w:rPr>
            </w:pPr>
            <w:r>
              <w:rPr>
                <w:rFonts w:ascii="宋体" w:hAnsi="宋体" w:cs="宋体"/>
                <w:color w:val="auto"/>
                <w:szCs w:val="21"/>
                <w:highlight w:val="none"/>
              </w:rPr>
              <w:t>2、递交投标文件备用光盘时间：</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rPr>
              <w:t>年</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rPr>
              <w:t>月</w:t>
            </w:r>
            <w:r>
              <w:rPr>
                <w:rFonts w:ascii="宋体" w:hAnsi="宋体" w:cs="宋体"/>
                <w:color w:val="auto"/>
                <w:szCs w:val="21"/>
                <w:highlight w:val="none"/>
                <w:u w:val="single"/>
              </w:rPr>
              <w:t xml:space="preserve">   </w:t>
            </w:r>
            <w:r>
              <w:rPr>
                <w:rFonts w:hint="eastAsia" w:ascii="宋体" w:hAnsi="宋体" w:cs="宋体"/>
                <w:color w:val="auto"/>
                <w:szCs w:val="21"/>
                <w:highlight w:val="none"/>
              </w:rPr>
              <w:t>日</w:t>
            </w:r>
            <w:r>
              <w:rPr>
                <w:rFonts w:ascii="宋体" w:hAnsi="宋体" w:cs="宋体"/>
                <w:color w:val="auto"/>
                <w:szCs w:val="21"/>
                <w:highlight w:val="none"/>
                <w:u w:val="single"/>
              </w:rPr>
              <w:t xml:space="preserve">   </w:t>
            </w:r>
            <w:r>
              <w:rPr>
                <w:rFonts w:hint="eastAsia" w:ascii="宋体" w:hAnsi="宋体" w:cs="宋体"/>
                <w:color w:val="auto"/>
                <w:szCs w:val="21"/>
                <w:highlight w:val="none"/>
              </w:rPr>
              <w:t>时</w:t>
            </w:r>
            <w:r>
              <w:rPr>
                <w:rFonts w:ascii="宋体" w:hAnsi="宋体" w:cs="宋体"/>
                <w:color w:val="auto"/>
                <w:szCs w:val="21"/>
                <w:highlight w:val="none"/>
                <w:u w:val="single"/>
              </w:rPr>
              <w:t xml:space="preserve">   </w:t>
            </w:r>
            <w:r>
              <w:rPr>
                <w:rFonts w:hint="eastAsia" w:ascii="宋体" w:hAnsi="宋体" w:cs="宋体"/>
                <w:color w:val="auto"/>
                <w:szCs w:val="21"/>
                <w:highlight w:val="none"/>
              </w:rPr>
              <w:t>分至</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rPr>
              <w:t>年</w:t>
            </w:r>
            <w:r>
              <w:rPr>
                <w:rFonts w:ascii="宋体" w:hAnsi="宋体" w:cs="宋体"/>
                <w:color w:val="auto"/>
                <w:szCs w:val="21"/>
                <w:highlight w:val="none"/>
                <w:u w:val="single"/>
              </w:rPr>
              <w:t xml:space="preserve">   </w:t>
            </w:r>
            <w:r>
              <w:rPr>
                <w:rFonts w:hint="eastAsia" w:ascii="宋体" w:hAnsi="宋体" w:cs="宋体"/>
                <w:color w:val="auto"/>
                <w:szCs w:val="21"/>
                <w:highlight w:val="none"/>
              </w:rPr>
              <w:t>月</w:t>
            </w:r>
            <w:r>
              <w:rPr>
                <w:rFonts w:ascii="宋体" w:hAnsi="宋体" w:cs="宋体"/>
                <w:color w:val="auto"/>
                <w:szCs w:val="21"/>
                <w:highlight w:val="none"/>
                <w:u w:val="single"/>
              </w:rPr>
              <w:t xml:space="preserve">   </w:t>
            </w:r>
            <w:r>
              <w:rPr>
                <w:rFonts w:hint="eastAsia" w:ascii="宋体" w:hAnsi="宋体" w:cs="宋体"/>
                <w:color w:val="auto"/>
                <w:szCs w:val="21"/>
                <w:highlight w:val="none"/>
              </w:rPr>
              <w:t>日</w:t>
            </w:r>
            <w:r>
              <w:rPr>
                <w:rFonts w:ascii="宋体" w:hAnsi="宋体" w:cs="宋体"/>
                <w:color w:val="auto"/>
                <w:szCs w:val="21"/>
                <w:highlight w:val="none"/>
                <w:u w:val="single"/>
              </w:rPr>
              <w:t xml:space="preserve">   </w:t>
            </w:r>
            <w:r>
              <w:rPr>
                <w:rFonts w:hint="eastAsia" w:ascii="宋体" w:hAnsi="宋体" w:cs="宋体"/>
                <w:color w:val="auto"/>
                <w:szCs w:val="21"/>
                <w:highlight w:val="none"/>
              </w:rPr>
              <w:t>时</w:t>
            </w:r>
            <w:r>
              <w:rPr>
                <w:rFonts w:ascii="宋体" w:hAnsi="宋体" w:cs="宋体"/>
                <w:color w:val="auto"/>
                <w:szCs w:val="21"/>
                <w:highlight w:val="none"/>
                <w:u w:val="single"/>
              </w:rPr>
              <w:t xml:space="preserve">   </w:t>
            </w:r>
            <w:r>
              <w:rPr>
                <w:rFonts w:hint="eastAsia" w:ascii="宋体" w:hAnsi="宋体" w:cs="宋体"/>
                <w:color w:val="auto"/>
                <w:szCs w:val="21"/>
                <w:highlight w:val="none"/>
              </w:rPr>
              <w:t>分；递交地点：</w:t>
            </w:r>
            <w:r>
              <w:rPr>
                <w:rFonts w:hint="eastAsia" w:ascii="宋体" w:hAnsi="宋体" w:cs="宋体"/>
                <w:color w:val="auto"/>
                <w:szCs w:val="21"/>
                <w:highlight w:val="none"/>
                <w:u w:val="single"/>
              </w:rPr>
              <w:t>广州交易集团有限公司（广州公共资源交易中心）黄埔交易部指定开标室</w:t>
            </w:r>
            <w:r>
              <w:rPr>
                <w:rFonts w:hint="eastAsia" w:ascii="宋体" w:hAnsi="宋体" w:cs="宋体"/>
                <w:color w:val="auto"/>
                <w:szCs w:val="21"/>
                <w:highlight w:val="none"/>
              </w:rPr>
              <w:t>。投标人也可选择参加在线开标，具体按照交易平台相关指南进行操作。详见：</w:t>
            </w:r>
            <w:r>
              <w:rPr>
                <w:rFonts w:hint="eastAsia" w:ascii="宋体" w:hAnsi="宋体" w:cs="宋体"/>
                <w:color w:val="auto"/>
                <w:szCs w:val="21"/>
                <w:highlight w:val="none"/>
                <w:u w:val="single"/>
              </w:rPr>
              <w:t>广州交易集团有限公司（广州公共资源交易中心）网站最新指引</w:t>
            </w:r>
            <w:r>
              <w:rPr>
                <w:rFonts w:hint="eastAsia" w:ascii="宋体" w:hAnsi="宋体" w:cs="宋体"/>
                <w:color w:val="auto"/>
                <w:szCs w:val="21"/>
                <w:highlight w:val="none"/>
              </w:rPr>
              <w:t>。</w:t>
            </w:r>
          </w:p>
          <w:p>
            <w:pPr>
              <w:spacing w:line="264" w:lineRule="auto"/>
              <w:rPr>
                <w:rFonts w:ascii="宋体" w:hAnsi="宋体" w:cs="宋体"/>
                <w:color w:val="auto"/>
                <w:highlight w:val="none"/>
              </w:rPr>
            </w:pPr>
            <w:r>
              <w:rPr>
                <w:rFonts w:ascii="宋体" w:hAnsi="宋体" w:cs="宋体"/>
                <w:color w:val="auto"/>
                <w:highlight w:val="none"/>
              </w:rPr>
              <w:t>3、投标人应在投标文件递交截止时间前通过广州交易集团有限公司（广州公共资源交易中心）电子招标投标交易平台递交电子投标文件。</w:t>
            </w:r>
          </w:p>
          <w:p>
            <w:pPr>
              <w:spacing w:line="264" w:lineRule="auto"/>
              <w:rPr>
                <w:rFonts w:ascii="宋体" w:hAnsi="宋体" w:cs="宋体"/>
                <w:color w:val="auto"/>
                <w:szCs w:val="21"/>
                <w:highlight w:val="none"/>
                <w:u w:val="single"/>
              </w:rPr>
            </w:pPr>
            <w:r>
              <w:rPr>
                <w:rFonts w:hint="eastAsia" w:ascii="宋体" w:hAnsi="宋体" w:cs="宋体"/>
                <w:color w:val="auto"/>
                <w:highlight w:val="none"/>
                <w:u w:val="single"/>
              </w:rPr>
              <w:t>上述时间及地点是否有改变，请密切留意补充公告和招标澄清答疑纪要的相关信息。投标人可登录广州交易集团有限公司（广州公共资源交易中心）网站首页，点击“建设工程”专栏中的“项目查询（日程安排、答疑纪要）”输入项目编号或名称查询最新信息安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vMerge w:val="restart"/>
            <w:tcBorders>
              <w:top w:val="single" w:color="auto" w:sz="4" w:space="0"/>
              <w:left w:val="doub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19</w:t>
            </w:r>
          </w:p>
        </w:tc>
        <w:tc>
          <w:tcPr>
            <w:tcW w:w="886" w:type="dxa"/>
            <w:vMerge w:val="restart"/>
            <w:tcBorders>
              <w:top w:val="single" w:color="auto" w:sz="4" w:space="0"/>
              <w:left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26</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u w:val="single"/>
              </w:rPr>
            </w:pPr>
            <w:r>
              <w:rPr>
                <w:rFonts w:hint="eastAsia" w:ascii="宋体" w:hAnsi="宋体" w:cs="宋体"/>
                <w:color w:val="auto"/>
                <w:szCs w:val="21"/>
                <w:highlight w:val="none"/>
                <w:u w:val="single"/>
                <w:lang w:eastAsia="zh-CN"/>
              </w:rPr>
              <w:t>评标办法</w:t>
            </w:r>
            <w:r>
              <w:rPr>
                <w:rFonts w:hint="eastAsia" w:ascii="宋体" w:hAnsi="宋体" w:cs="宋体"/>
                <w:color w:val="auto"/>
                <w:szCs w:val="21"/>
                <w:highlight w:val="none"/>
                <w:u w:val="single"/>
              </w:rPr>
              <w:t>采用评定分离</w:t>
            </w:r>
          </w:p>
        </w:tc>
        <w:tc>
          <w:tcPr>
            <w:tcW w:w="6008" w:type="dxa"/>
            <w:tcBorders>
              <w:top w:val="single" w:color="auto" w:sz="4" w:space="0"/>
              <w:left w:val="single" w:color="auto" w:sz="4" w:space="0"/>
              <w:bottom w:val="single" w:color="auto" w:sz="4" w:space="0"/>
              <w:right w:val="double" w:color="auto" w:sz="4" w:space="0"/>
            </w:tcBorders>
            <w:vAlign w:val="center"/>
          </w:tcPr>
          <w:p>
            <w:pPr>
              <w:pStyle w:val="47"/>
              <w:spacing w:after="0" w:line="264" w:lineRule="auto"/>
              <w:ind w:firstLine="0"/>
              <w:rPr>
                <w:rFonts w:hint="eastAsia" w:ascii="宋体" w:hAnsi="宋体"/>
                <w:color w:val="auto"/>
                <w:szCs w:val="21"/>
                <w:highlight w:val="none"/>
                <w:u w:val="single"/>
              </w:rPr>
            </w:pPr>
            <w:r>
              <w:rPr>
                <w:rFonts w:hint="eastAsia" w:ascii="宋体" w:hAnsi="宋体"/>
                <w:b/>
                <w:bCs/>
                <w:color w:val="auto"/>
                <w:szCs w:val="21"/>
                <w:highlight w:val="none"/>
                <w:u w:val="single"/>
              </w:rPr>
              <w:t>评标用办法六</w:t>
            </w:r>
            <w:r>
              <w:rPr>
                <w:rFonts w:hint="eastAsia" w:ascii="宋体" w:hAnsi="宋体"/>
                <w:color w:val="auto"/>
                <w:szCs w:val="21"/>
                <w:highlight w:val="none"/>
                <w:u w:val="single"/>
              </w:rPr>
              <w:t>（适合综合评分法三，技术标与经济标同时开启），采用两阶段综合评标法，具体内容如下：</w:t>
            </w:r>
          </w:p>
          <w:p>
            <w:pPr>
              <w:pStyle w:val="47"/>
              <w:spacing w:after="0" w:line="264" w:lineRule="auto"/>
              <w:rPr>
                <w:rFonts w:hint="eastAsia" w:ascii="宋体" w:hAnsi="宋体"/>
                <w:b/>
                <w:bCs/>
                <w:color w:val="auto"/>
                <w:szCs w:val="21"/>
                <w:highlight w:val="none"/>
                <w:u w:val="single"/>
              </w:rPr>
            </w:pPr>
            <w:r>
              <w:rPr>
                <w:rFonts w:hint="eastAsia" w:ascii="宋体" w:hAnsi="宋体"/>
                <w:b/>
                <w:bCs/>
                <w:color w:val="auto"/>
                <w:szCs w:val="21"/>
                <w:highlight w:val="none"/>
                <w:u w:val="single"/>
              </w:rPr>
              <w:t>第一阶段得分=技术分×技术分权重为100%</w:t>
            </w:r>
          </w:p>
          <w:p>
            <w:pPr>
              <w:pStyle w:val="47"/>
              <w:spacing w:after="0" w:line="264" w:lineRule="auto"/>
              <w:rPr>
                <w:rFonts w:hint="eastAsia" w:ascii="宋体" w:hAnsi="宋体"/>
                <w:color w:val="auto"/>
                <w:szCs w:val="21"/>
                <w:highlight w:val="none"/>
                <w:u w:val="single"/>
              </w:rPr>
            </w:pPr>
            <w:r>
              <w:rPr>
                <w:rFonts w:hint="eastAsia" w:ascii="宋体" w:hAnsi="宋体"/>
                <w:b/>
                <w:bCs/>
                <w:color w:val="auto"/>
                <w:szCs w:val="21"/>
                <w:highlight w:val="none"/>
                <w:u w:val="single"/>
              </w:rPr>
              <w:t>第二阶段得分（总得分）=技术分×技术分权</w:t>
            </w:r>
            <w:r>
              <w:rPr>
                <w:rFonts w:hint="eastAsia" w:ascii="宋体" w:hAnsi="宋体"/>
                <w:b/>
                <w:bCs/>
                <w:color w:val="auto"/>
                <w:szCs w:val="21"/>
                <w:highlight w:val="none"/>
                <w:u w:val="single"/>
                <w:lang w:eastAsia="zh-CN"/>
              </w:rPr>
              <w:t>（</w:t>
            </w:r>
            <w:r>
              <w:rPr>
                <w:rFonts w:hint="eastAsia" w:ascii="宋体" w:hAnsi="宋体"/>
                <w:b/>
                <w:bCs/>
                <w:color w:val="auto"/>
                <w:szCs w:val="21"/>
                <w:highlight w:val="none"/>
                <w:u w:val="single"/>
                <w:lang w:val="en-US" w:eastAsia="zh-CN"/>
              </w:rPr>
              <w:t>20%</w:t>
            </w:r>
            <w:r>
              <w:rPr>
                <w:rFonts w:hint="eastAsia" w:ascii="宋体" w:hAnsi="宋体"/>
                <w:b/>
                <w:bCs/>
                <w:color w:val="auto"/>
                <w:szCs w:val="21"/>
                <w:highlight w:val="none"/>
                <w:u w:val="single"/>
                <w:lang w:eastAsia="zh-CN"/>
              </w:rPr>
              <w:t>）</w:t>
            </w:r>
            <w:r>
              <w:rPr>
                <w:rFonts w:hint="eastAsia" w:ascii="宋体" w:hAnsi="宋体"/>
                <w:b/>
                <w:bCs/>
                <w:color w:val="auto"/>
                <w:szCs w:val="21"/>
                <w:highlight w:val="none"/>
                <w:u w:val="single"/>
                <w:lang w:val="en-US" w:eastAsia="zh-CN"/>
              </w:rPr>
              <w:t>＋</w:t>
            </w:r>
            <w:r>
              <w:rPr>
                <w:rFonts w:hint="eastAsia" w:ascii="宋体" w:hAnsi="宋体"/>
                <w:b/>
                <w:bCs/>
                <w:color w:val="auto"/>
                <w:szCs w:val="21"/>
                <w:highlight w:val="none"/>
                <w:u w:val="single"/>
              </w:rPr>
              <w:t>经济分×经济分权重（</w:t>
            </w:r>
            <w:r>
              <w:rPr>
                <w:rFonts w:hint="eastAsia" w:ascii="宋体" w:hAnsi="宋体"/>
                <w:b/>
                <w:bCs/>
                <w:color w:val="auto"/>
                <w:szCs w:val="21"/>
                <w:highlight w:val="none"/>
                <w:u w:val="single"/>
                <w:lang w:val="en-US" w:eastAsia="zh-CN"/>
              </w:rPr>
              <w:t>80</w:t>
            </w:r>
            <w:r>
              <w:rPr>
                <w:rFonts w:hint="eastAsia" w:ascii="宋体" w:hAnsi="宋体"/>
                <w:b/>
                <w:bCs/>
                <w:color w:val="auto"/>
                <w:szCs w:val="21"/>
                <w:highlight w:val="none"/>
                <w:u w:val="single"/>
              </w:rPr>
              <w:t>%）</w:t>
            </w:r>
          </w:p>
          <w:p>
            <w:pPr>
              <w:pStyle w:val="47"/>
              <w:spacing w:after="0" w:line="264" w:lineRule="auto"/>
              <w:rPr>
                <w:rFonts w:hint="eastAsia" w:ascii="宋体" w:hAnsi="宋体"/>
                <w:color w:val="auto"/>
                <w:szCs w:val="21"/>
                <w:highlight w:val="none"/>
                <w:u w:val="single"/>
              </w:rPr>
            </w:pPr>
            <w:r>
              <w:rPr>
                <w:rFonts w:hint="eastAsia" w:ascii="宋体" w:hAnsi="宋体"/>
                <w:color w:val="auto"/>
                <w:szCs w:val="21"/>
                <w:highlight w:val="none"/>
                <w:u w:val="single"/>
              </w:rPr>
              <w:t>进入第二阶段评审的家数：</w:t>
            </w:r>
          </w:p>
          <w:p>
            <w:pPr>
              <w:pStyle w:val="47"/>
              <w:spacing w:after="0" w:line="264" w:lineRule="auto"/>
              <w:rPr>
                <w:rFonts w:hint="eastAsia" w:ascii="宋体" w:hAnsi="宋体"/>
                <w:color w:val="auto"/>
                <w:szCs w:val="21"/>
                <w:highlight w:val="none"/>
                <w:u w:val="single"/>
              </w:rPr>
            </w:pPr>
            <w:r>
              <w:rPr>
                <w:rFonts w:hint="eastAsia" w:ascii="宋体" w:hAnsi="宋体"/>
                <w:color w:val="auto"/>
                <w:szCs w:val="21"/>
                <w:highlight w:val="none"/>
                <w:u w:val="single"/>
              </w:rPr>
              <w:t>①通过技术有效性审查的投标人均进入第二阶段（适用于通过技术有效性审查家数在[3,20]中的）。</w:t>
            </w:r>
          </w:p>
          <w:p>
            <w:pPr>
              <w:pStyle w:val="47"/>
              <w:spacing w:after="0" w:line="264" w:lineRule="auto"/>
              <w:rPr>
                <w:rFonts w:hint="eastAsia" w:ascii="宋体" w:hAnsi="宋体"/>
                <w:color w:val="auto"/>
                <w:szCs w:val="21"/>
                <w:highlight w:val="none"/>
                <w:u w:val="single"/>
              </w:rPr>
            </w:pPr>
            <w:r>
              <w:rPr>
                <w:rFonts w:hint="eastAsia" w:ascii="宋体" w:hAnsi="宋体"/>
                <w:color w:val="auto"/>
                <w:szCs w:val="21"/>
                <w:highlight w:val="none"/>
                <w:u w:val="single"/>
              </w:rPr>
              <w:t>②将第一阶段得分由高至低排序，前20名投标人进入第二阶段评审（适用于通过技术有效性审查家数大于20家的</w:t>
            </w:r>
            <w:r>
              <w:rPr>
                <w:rFonts w:hint="eastAsia" w:ascii="宋体" w:hAnsi="宋体"/>
                <w:color w:val="auto"/>
                <w:szCs w:val="21"/>
                <w:highlight w:val="none"/>
                <w:u w:val="single"/>
                <w:lang w:eastAsia="zh-CN"/>
              </w:rPr>
              <w:t>，</w:t>
            </w:r>
            <w:r>
              <w:rPr>
                <w:rFonts w:hint="eastAsia" w:ascii="宋体" w:hAnsi="宋体"/>
                <w:color w:val="auto"/>
                <w:szCs w:val="21"/>
                <w:highlight w:val="none"/>
                <w:u w:val="single"/>
                <w:lang w:val="en-US" w:eastAsia="zh-CN"/>
              </w:rPr>
              <w:t>则</w:t>
            </w:r>
            <w:r>
              <w:rPr>
                <w:rFonts w:hint="eastAsia" w:ascii="宋体" w:hAnsi="宋体"/>
                <w:color w:val="auto"/>
                <w:szCs w:val="21"/>
                <w:highlight w:val="none"/>
                <w:u w:val="single"/>
              </w:rPr>
              <w:t>确定</w:t>
            </w:r>
            <w:r>
              <w:rPr>
                <w:rFonts w:hint="eastAsia" w:ascii="宋体" w:hAnsi="宋体"/>
                <w:color w:val="auto"/>
                <w:szCs w:val="21"/>
                <w:highlight w:val="none"/>
                <w:u w:val="single"/>
                <w:lang w:val="en-US" w:eastAsia="zh-CN"/>
              </w:rPr>
              <w:t>前</w:t>
            </w:r>
            <w:r>
              <w:rPr>
                <w:rFonts w:hint="eastAsia" w:ascii="宋体" w:hAnsi="宋体"/>
                <w:color w:val="auto"/>
                <w:szCs w:val="21"/>
                <w:highlight w:val="none"/>
                <w:u w:val="single"/>
              </w:rPr>
              <w:t>20家进入第二阶段)</w:t>
            </w:r>
            <w:r>
              <w:rPr>
                <w:rFonts w:hint="eastAsia" w:ascii="宋体" w:hAnsi="宋体" w:cs="Times New Roman"/>
                <w:color w:val="auto"/>
                <w:sz w:val="21"/>
                <w:szCs w:val="21"/>
                <w:highlight w:val="none"/>
                <w:u w:val="single"/>
                <w:lang w:eastAsia="zh-CN"/>
              </w:rPr>
              <w:t>。</w:t>
            </w:r>
            <w:r>
              <w:rPr>
                <w:rFonts w:hint="eastAsia" w:ascii="宋体" w:hAnsi="宋体" w:eastAsia="宋体" w:cs="Times New Roman"/>
                <w:color w:val="auto"/>
                <w:sz w:val="21"/>
                <w:szCs w:val="21"/>
                <w:highlight w:val="none"/>
                <w:u w:val="single"/>
              </w:rPr>
              <w:t>若投标人得分相同的，则名次并列，占用名次，以投标总报价较低的排前；若投标总报价相同的，则对投标总报价相同的投标人，以施工组织设计得分较高的排前</w:t>
            </w:r>
            <w:r>
              <w:rPr>
                <w:rFonts w:hint="eastAsia" w:ascii="宋体" w:hAnsi="宋体" w:cs="Times New Roman"/>
                <w:color w:val="auto"/>
                <w:sz w:val="21"/>
                <w:szCs w:val="21"/>
                <w:highlight w:val="none"/>
                <w:u w:val="single"/>
                <w:lang w:eastAsia="zh-CN"/>
              </w:rPr>
              <w:t>；</w:t>
            </w:r>
            <w:r>
              <w:rPr>
                <w:rFonts w:hint="eastAsia" w:ascii="宋体" w:hAnsi="宋体" w:eastAsia="宋体" w:cs="Times New Roman"/>
                <w:color w:val="auto"/>
                <w:sz w:val="21"/>
                <w:szCs w:val="21"/>
                <w:highlight w:val="none"/>
                <w:u w:val="single"/>
              </w:rPr>
              <w:t>若施工组织设计得分仍相同的，则对相同的情况投标人采用随机抽取方式，确定前20家进入第二阶段</w:t>
            </w:r>
            <w:r>
              <w:rPr>
                <w:rFonts w:hint="eastAsia" w:ascii="宋体" w:hAnsi="宋体"/>
                <w:color w:val="auto"/>
                <w:szCs w:val="21"/>
                <w:highlight w:val="none"/>
                <w:u w:val="single"/>
              </w:rPr>
              <w:t>。</w:t>
            </w:r>
          </w:p>
          <w:p>
            <w:pPr>
              <w:pStyle w:val="47"/>
              <w:spacing w:after="0" w:line="264" w:lineRule="auto"/>
              <w:rPr>
                <w:rFonts w:hint="eastAsia" w:ascii="宋体" w:hAnsi="宋体" w:eastAsia="宋体"/>
                <w:color w:val="auto"/>
                <w:szCs w:val="21"/>
                <w:highlight w:val="none"/>
                <w:u w:val="single"/>
                <w:lang w:eastAsia="zh-CN"/>
              </w:rPr>
            </w:pPr>
            <w:r>
              <w:rPr>
                <w:rFonts w:hint="eastAsia" w:ascii="宋体" w:hAnsi="宋体"/>
                <w:color w:val="auto"/>
                <w:szCs w:val="21"/>
                <w:highlight w:val="none"/>
                <w:u w:val="single"/>
              </w:rPr>
              <w:t>注：随机抽取方式确定排序的具体操作步骤为：由评标委员会对出现该情况的投标人进行编号，采用交易中心提供的摇珠机和对应编号的球现场抽取，按抽取的先后顺序确定</w:t>
            </w:r>
            <w:r>
              <w:rPr>
                <w:rFonts w:hint="eastAsia" w:ascii="宋体" w:hAnsi="宋体"/>
                <w:color w:val="auto"/>
                <w:szCs w:val="21"/>
                <w:highlight w:val="none"/>
                <w:u w:val="single"/>
                <w:lang w:eastAsia="zh-CN"/>
              </w:rPr>
              <w:t>。</w:t>
            </w:r>
          </w:p>
          <w:p>
            <w:pPr>
              <w:pStyle w:val="47"/>
              <w:spacing w:after="0" w:line="264" w:lineRule="auto"/>
              <w:rPr>
                <w:rFonts w:ascii="宋体" w:hAnsi="宋体"/>
                <w:color w:val="auto"/>
                <w:szCs w:val="21"/>
                <w:highlight w:val="none"/>
                <w:u w:val="single"/>
              </w:rPr>
            </w:pPr>
            <w:r>
              <w:rPr>
                <w:rFonts w:hint="eastAsia" w:ascii="宋体" w:hAnsi="宋体"/>
                <w:b/>
                <w:bCs/>
                <w:color w:val="auto"/>
                <w:szCs w:val="21"/>
                <w:highlight w:val="none"/>
                <w:u w:val="single"/>
              </w:rPr>
              <w:t>采用“有限数量制评审法”</w:t>
            </w:r>
            <w:r>
              <w:rPr>
                <w:rFonts w:hint="eastAsia" w:ascii="宋体" w:hAnsi="宋体"/>
                <w:color w:val="auto"/>
                <w:szCs w:val="21"/>
                <w:highlight w:val="none"/>
                <w:u w:val="single"/>
              </w:rPr>
              <w:t>，评标委员会按照第二阶段的排序推荐</w:t>
            </w:r>
            <w:r>
              <w:rPr>
                <w:rFonts w:hint="eastAsia" w:ascii="宋体" w:hAnsi="宋体"/>
                <w:color w:val="auto"/>
                <w:szCs w:val="21"/>
                <w:highlight w:val="none"/>
                <w:u w:val="single"/>
                <w:lang w:eastAsia="zh-CN"/>
              </w:rPr>
              <w:t>前</w:t>
            </w:r>
            <w:r>
              <w:rPr>
                <w:rFonts w:hint="eastAsia" w:ascii="宋体" w:hAnsi="宋体"/>
                <w:color w:val="auto"/>
                <w:szCs w:val="21"/>
                <w:highlight w:val="none"/>
                <w:u w:val="single"/>
                <w:lang w:val="en-US" w:eastAsia="zh-CN"/>
              </w:rPr>
              <w:t>9</w:t>
            </w:r>
            <w:r>
              <w:rPr>
                <w:rFonts w:hint="eastAsia" w:ascii="宋体" w:hAnsi="宋体"/>
                <w:color w:val="auto"/>
                <w:szCs w:val="21"/>
                <w:highlight w:val="none"/>
                <w:u w:val="single"/>
              </w:rPr>
              <w:t>名（通过经济标有效性审查家数在[3,</w:t>
            </w:r>
            <w:r>
              <w:rPr>
                <w:rFonts w:hint="eastAsia" w:ascii="宋体" w:hAnsi="宋体"/>
                <w:color w:val="auto"/>
                <w:szCs w:val="21"/>
                <w:highlight w:val="none"/>
                <w:u w:val="single"/>
                <w:lang w:val="en-US" w:eastAsia="zh-CN"/>
              </w:rPr>
              <w:t>9</w:t>
            </w:r>
            <w:r>
              <w:rPr>
                <w:rFonts w:hint="eastAsia" w:ascii="宋体" w:hAnsi="宋体"/>
                <w:color w:val="auto"/>
                <w:szCs w:val="21"/>
                <w:highlight w:val="none"/>
                <w:u w:val="single"/>
              </w:rPr>
              <w:t>]的，以实际家数为准；超过</w:t>
            </w:r>
            <w:r>
              <w:rPr>
                <w:rFonts w:hint="eastAsia" w:ascii="宋体" w:hAnsi="宋体"/>
                <w:color w:val="auto"/>
                <w:szCs w:val="21"/>
                <w:highlight w:val="none"/>
                <w:u w:val="single"/>
                <w:lang w:val="en-US" w:eastAsia="zh-CN"/>
              </w:rPr>
              <w:t>9</w:t>
            </w:r>
            <w:r>
              <w:rPr>
                <w:rFonts w:hint="eastAsia" w:ascii="宋体" w:hAnsi="宋体"/>
                <w:color w:val="auto"/>
                <w:szCs w:val="21"/>
                <w:highlight w:val="none"/>
                <w:u w:val="single"/>
              </w:rPr>
              <w:t>家的，则只推荐</w:t>
            </w:r>
            <w:r>
              <w:rPr>
                <w:rFonts w:hint="eastAsia" w:ascii="宋体" w:hAnsi="宋体"/>
                <w:color w:val="auto"/>
                <w:szCs w:val="21"/>
                <w:highlight w:val="none"/>
                <w:u w:val="single"/>
                <w:lang w:eastAsia="zh-CN"/>
              </w:rPr>
              <w:t>前</w:t>
            </w:r>
            <w:r>
              <w:rPr>
                <w:rFonts w:hint="eastAsia" w:ascii="宋体" w:hAnsi="宋体"/>
                <w:color w:val="auto"/>
                <w:szCs w:val="21"/>
                <w:highlight w:val="none"/>
                <w:u w:val="single"/>
                <w:lang w:val="en-US" w:eastAsia="zh-CN"/>
              </w:rPr>
              <w:t>9</w:t>
            </w:r>
            <w:r>
              <w:rPr>
                <w:rFonts w:hint="eastAsia" w:ascii="宋体" w:hAnsi="宋体"/>
                <w:color w:val="auto"/>
                <w:szCs w:val="21"/>
                <w:highlight w:val="none"/>
                <w:u w:val="single"/>
              </w:rPr>
              <w:t>家）不排序的合格中标候选人进入定标阶段【按统一社会信用代码后4位（除校验码外）大小排位，如统一社会信用代码后4位出现字母情况的，字母以“0”进行代替大小排位；如出现后4位（除校验码外）大小一致的，则随机排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vMerge w:val="continue"/>
            <w:tcBorders>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886" w:type="dxa"/>
            <w:vMerge w:val="continue"/>
            <w:tcBorders>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hint="eastAsia" w:ascii="宋体" w:hAnsi="宋体" w:cs="宋体"/>
                <w:color w:val="auto"/>
                <w:szCs w:val="21"/>
                <w:highlight w:val="none"/>
                <w:u w:val="single"/>
                <w:lang w:eastAsia="zh-CN"/>
              </w:rPr>
            </w:pPr>
            <w:r>
              <w:rPr>
                <w:rFonts w:hint="eastAsia" w:ascii="宋体" w:hAnsi="宋体" w:cs="宋体"/>
                <w:color w:val="auto"/>
                <w:szCs w:val="21"/>
                <w:highlight w:val="none"/>
                <w:u w:val="single"/>
              </w:rPr>
              <w:t>定标办法</w:t>
            </w:r>
          </w:p>
        </w:tc>
        <w:tc>
          <w:tcPr>
            <w:tcW w:w="6008" w:type="dxa"/>
            <w:tcBorders>
              <w:top w:val="single" w:color="auto" w:sz="4" w:space="0"/>
              <w:left w:val="single" w:color="auto" w:sz="4" w:space="0"/>
              <w:bottom w:val="single" w:color="auto" w:sz="4" w:space="0"/>
              <w:right w:val="double" w:color="auto" w:sz="4" w:space="0"/>
            </w:tcBorders>
            <w:vAlign w:val="center"/>
          </w:tcPr>
          <w:p>
            <w:pPr>
              <w:pStyle w:val="47"/>
              <w:spacing w:after="0" w:line="264" w:lineRule="auto"/>
              <w:ind w:firstLine="0"/>
              <w:rPr>
                <w:rFonts w:hint="eastAsia" w:ascii="宋体" w:hAnsi="宋体"/>
                <w:color w:val="auto"/>
                <w:szCs w:val="21"/>
                <w:highlight w:val="none"/>
                <w:u w:val="single"/>
              </w:rPr>
            </w:pPr>
            <w:r>
              <w:rPr>
                <w:rFonts w:hint="eastAsia" w:ascii="宋体" w:hAnsi="宋体"/>
                <w:b/>
                <w:bCs/>
                <w:color w:val="auto"/>
                <w:szCs w:val="21"/>
                <w:highlight w:val="none"/>
                <w:u w:val="single"/>
              </w:rPr>
              <w:t>定标采用</w:t>
            </w:r>
            <w:r>
              <w:rPr>
                <w:rFonts w:hint="eastAsia" w:ascii="宋体" w:hAnsi="宋体"/>
                <w:b/>
                <w:color w:val="auto"/>
                <w:szCs w:val="21"/>
                <w:u w:val="single"/>
              </w:rPr>
              <w:t>直接票决定标法（记名投票+撰写评语）：</w:t>
            </w:r>
            <w:r>
              <w:rPr>
                <w:rFonts w:hint="eastAsia" w:ascii="宋体" w:hAnsi="宋体"/>
                <w:color w:val="auto"/>
                <w:szCs w:val="21"/>
                <w:u w:val="single"/>
              </w:rPr>
              <w:t>定标委员会从</w:t>
            </w:r>
            <w:r>
              <w:rPr>
                <w:rFonts w:hint="eastAsia" w:ascii="宋体" w:hAnsi="宋体"/>
                <w:color w:val="auto"/>
                <w:szCs w:val="21"/>
                <w:u w:val="single"/>
                <w:lang w:val="en-US" w:eastAsia="zh-CN"/>
              </w:rPr>
              <w:t>所有</w:t>
            </w:r>
            <w:r>
              <w:rPr>
                <w:rFonts w:hint="eastAsia" w:ascii="宋体" w:hAnsi="宋体"/>
                <w:color w:val="auto"/>
                <w:szCs w:val="21"/>
                <w:u w:val="single"/>
              </w:rPr>
              <w:t>合格中标候选人当中以“记名投票+撰写评语”方式产生中标人。定标因素为</w:t>
            </w:r>
            <w:r>
              <w:rPr>
                <w:rFonts w:hint="eastAsia" w:ascii="宋体" w:hAnsi="宋体"/>
                <w:color w:val="auto"/>
                <w:szCs w:val="21"/>
                <w:u w:val="single"/>
                <w:lang w:eastAsia="zh-CN"/>
              </w:rPr>
              <w:t>方案</w:t>
            </w:r>
            <w:r>
              <w:rPr>
                <w:rFonts w:hint="eastAsia" w:ascii="宋体" w:hAnsi="宋体"/>
                <w:color w:val="auto"/>
                <w:szCs w:val="21"/>
                <w:u w:val="single"/>
              </w:rPr>
              <w:t>因素、价格因素。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2</w:t>
            </w:r>
            <w:r>
              <w:rPr>
                <w:rFonts w:hint="eastAsia" w:ascii="宋体" w:hAnsi="宋体" w:cs="宋体"/>
                <w:color w:val="auto"/>
                <w:szCs w:val="21"/>
                <w:highlight w:val="none"/>
                <w:lang w:val="en-US" w:eastAsia="zh-CN"/>
              </w:rPr>
              <w:t>0</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ascii="宋体" w:hAnsi="宋体" w:cs="宋体"/>
                <w:color w:val="auto"/>
                <w:szCs w:val="21"/>
                <w:highlight w:val="none"/>
              </w:rPr>
              <w:t>29.1</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履约担保</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highlight w:val="none"/>
              </w:rPr>
            </w:pPr>
            <w:r>
              <w:rPr>
                <w:rFonts w:hint="eastAsia" w:ascii="宋体" w:hAnsi="宋体" w:cs="宋体"/>
                <w:color w:val="auto"/>
                <w:highlight w:val="none"/>
              </w:rPr>
              <w:t>方式一：中标人提供的履约保证金为中标价款的</w:t>
            </w:r>
            <w:r>
              <w:rPr>
                <w:rFonts w:ascii="宋体" w:hAnsi="宋体" w:cs="宋体"/>
                <w:color w:val="auto"/>
                <w:highlight w:val="none"/>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2</w:t>
            </w:r>
            <w:r>
              <w:rPr>
                <w:rFonts w:hint="eastAsia" w:ascii="宋体" w:hAnsi="宋体" w:cs="宋体"/>
                <w:color w:val="auto"/>
                <w:szCs w:val="21"/>
                <w:highlight w:val="none"/>
                <w:lang w:val="en-US" w:eastAsia="zh-CN"/>
              </w:rPr>
              <w:t>1</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最高投标限价</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40" w:lineRule="auto"/>
              <w:rPr>
                <w:rFonts w:ascii="宋体" w:hAnsi="宋体" w:cs="宋体"/>
                <w:color w:val="auto"/>
                <w:szCs w:val="21"/>
                <w:highlight w:val="none"/>
              </w:rPr>
            </w:pPr>
            <w:r>
              <w:rPr>
                <w:rFonts w:hint="eastAsia" w:ascii="宋体" w:hAnsi="宋体" w:cs="宋体"/>
                <w:color w:val="auto"/>
                <w:szCs w:val="21"/>
                <w:highlight w:val="none"/>
              </w:rPr>
              <w:t>本项目最高投标限价为人民币</w:t>
            </w:r>
            <w:r>
              <w:rPr>
                <w:rFonts w:hint="eastAsia" w:ascii="宋体" w:hAnsi="宋体" w:cs="宋体"/>
                <w:b/>
                <w:bCs/>
                <w:color w:val="auto"/>
                <w:szCs w:val="21"/>
                <w:highlight w:val="none"/>
                <w:u w:val="single"/>
                <w:lang w:val="en-US" w:eastAsia="zh-CN"/>
              </w:rPr>
              <w:t xml:space="preserve"> 47333689.29 </w:t>
            </w:r>
            <w:r>
              <w:rPr>
                <w:rFonts w:hint="eastAsia" w:ascii="宋体" w:hAnsi="宋体" w:cs="宋体"/>
                <w:color w:val="auto"/>
                <w:szCs w:val="21"/>
                <w:highlight w:val="none"/>
              </w:rPr>
              <w:t>元。详见招标人最终发出的《最高投标限价公布函》，投标总报价超过最高投标限价的投标文件将被拒绝。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2</w:t>
            </w:r>
            <w:r>
              <w:rPr>
                <w:rFonts w:hint="eastAsia" w:ascii="宋体" w:hAnsi="宋体" w:cs="宋体"/>
                <w:color w:val="auto"/>
                <w:szCs w:val="21"/>
                <w:highlight w:val="none"/>
                <w:lang w:val="en-US" w:eastAsia="zh-CN"/>
              </w:rPr>
              <w:t>2</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非竞争费用</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ind w:left="0" w:leftChars="0" w:firstLine="0"/>
              <w:jc w:val="both"/>
              <w:rPr>
                <w:rFonts w:ascii="宋体" w:hAnsi="宋体" w:cs="宋体"/>
                <w:color w:val="auto"/>
                <w:szCs w:val="21"/>
                <w:highlight w:val="none"/>
              </w:rPr>
            </w:pPr>
            <w:r>
              <w:rPr>
                <w:rFonts w:hint="eastAsia" w:ascii="宋体" w:hAnsi="宋体" w:cs="宋体"/>
                <w:color w:val="auto"/>
                <w:szCs w:val="21"/>
                <w:highlight w:val="none"/>
              </w:rPr>
              <w:t>本项目绿色施工安全防护措施费为</w:t>
            </w:r>
            <w:r>
              <w:rPr>
                <w:rFonts w:hint="eastAsia" w:ascii="宋体" w:hAnsi="宋体" w:cs="宋体"/>
                <w:b/>
                <w:bCs/>
                <w:color w:val="auto"/>
                <w:szCs w:val="21"/>
                <w:highlight w:val="none"/>
                <w:u w:val="single"/>
                <w:lang w:val="en-US" w:eastAsia="zh-CN"/>
              </w:rPr>
              <w:t xml:space="preserve"> 572560.22 </w:t>
            </w:r>
            <w:r>
              <w:rPr>
                <w:rFonts w:hint="eastAsia" w:ascii="宋体" w:hAnsi="宋体" w:cs="宋体"/>
                <w:color w:val="auto"/>
                <w:szCs w:val="21"/>
                <w:highlight w:val="none"/>
              </w:rPr>
              <w:t>元（扬尘污染防治费用、使用封闭式外脚手架金属防护网费用和绿色施工围蔽费用等纳入绿色施工安全防护措施费），暂列金额为</w:t>
            </w:r>
            <w:r>
              <w:rPr>
                <w:rFonts w:hint="eastAsia" w:ascii="宋体" w:hAnsi="宋体" w:cs="宋体"/>
                <w:b/>
                <w:bCs/>
                <w:color w:val="auto"/>
                <w:szCs w:val="21"/>
                <w:highlight w:val="none"/>
                <w:u w:val="single"/>
                <w:lang w:val="en-US" w:eastAsia="zh-CN"/>
              </w:rPr>
              <w:t xml:space="preserve"> 1013695.93 </w:t>
            </w:r>
            <w:r>
              <w:rPr>
                <w:rFonts w:hint="eastAsia" w:ascii="宋体" w:hAnsi="宋体" w:cs="宋体"/>
                <w:color w:val="auto"/>
                <w:szCs w:val="21"/>
                <w:highlight w:val="none"/>
              </w:rPr>
              <w:t>元，暂估价为</w:t>
            </w:r>
            <w:r>
              <w:rPr>
                <w:rFonts w:ascii="宋体" w:hAnsi="宋体" w:cs="宋体"/>
                <w:color w:val="auto"/>
                <w:szCs w:val="21"/>
                <w:highlight w:val="none"/>
                <w:u w:val="single"/>
              </w:rPr>
              <w:t xml:space="preserve">  /  </w:t>
            </w:r>
            <w:r>
              <w:rPr>
                <w:rFonts w:hint="eastAsia" w:ascii="宋体" w:hAnsi="宋体" w:cs="宋体"/>
                <w:color w:val="auto"/>
                <w:szCs w:val="21"/>
                <w:highlight w:val="none"/>
              </w:rPr>
              <w:t>元。（未按招标文件规定的金额填写的，由评标委员会按照招标文件规定的金额进行修正）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2</w:t>
            </w:r>
            <w:r>
              <w:rPr>
                <w:rFonts w:hint="eastAsia" w:ascii="宋体" w:hAnsi="宋体" w:cs="宋体"/>
                <w:color w:val="auto"/>
                <w:szCs w:val="21"/>
                <w:highlight w:val="none"/>
                <w:lang w:val="en-US" w:eastAsia="zh-CN"/>
              </w:rPr>
              <w:t>3</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pStyle w:val="47"/>
              <w:spacing w:after="0" w:line="264" w:lineRule="auto"/>
              <w:ind w:firstLine="0"/>
              <w:rPr>
                <w:rFonts w:ascii="宋体" w:hAnsi="宋体" w:cs="宋体"/>
                <w:color w:val="auto"/>
                <w:szCs w:val="21"/>
                <w:highlight w:val="none"/>
              </w:rPr>
            </w:pPr>
            <w:r>
              <w:rPr>
                <w:rFonts w:hint="eastAsia" w:ascii="宋体" w:hAnsi="宋体" w:cs="宋体"/>
                <w:color w:val="auto"/>
                <w:szCs w:val="21"/>
                <w:highlight w:val="none"/>
              </w:rPr>
              <w:t>保修期</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按照《建设工程质量管理条例》规定。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2</w:t>
            </w:r>
            <w:r>
              <w:rPr>
                <w:rFonts w:hint="eastAsia" w:ascii="宋体" w:hAnsi="宋体" w:cs="宋体"/>
                <w:color w:val="auto"/>
                <w:szCs w:val="21"/>
                <w:highlight w:val="none"/>
                <w:lang w:val="en-US" w:eastAsia="zh-CN"/>
              </w:rPr>
              <w:t>4</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szCs w:val="21"/>
                <w:highlight w:val="none"/>
              </w:rPr>
            </w:pPr>
            <w:r>
              <w:rPr>
                <w:rFonts w:hint="eastAsia" w:ascii="宋体" w:hAnsi="宋体" w:cs="宋体"/>
                <w:color w:val="auto"/>
                <w:szCs w:val="21"/>
                <w:highlight w:val="none"/>
              </w:rPr>
              <w:t>计算评标参考价的等分点值</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strike/>
                <w:color w:val="auto"/>
                <w:szCs w:val="21"/>
                <w:highlight w:val="none"/>
              </w:rPr>
            </w:pPr>
            <w:r>
              <w:rPr>
                <w:rFonts w:hint="eastAsia" w:ascii="宋体" w:hAnsi="宋体"/>
                <w:color w:val="auto"/>
                <w:szCs w:val="21"/>
                <w:highlight w:val="none"/>
              </w:rPr>
              <w:t>本款不适用</w:t>
            </w:r>
            <w:r>
              <w:rPr>
                <w:rFonts w:hint="eastAsia" w:ascii="宋体" w:hAnsi="宋体" w:cs="仿宋_GB2312"/>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2</w:t>
            </w:r>
            <w:r>
              <w:rPr>
                <w:rFonts w:hint="eastAsia" w:ascii="宋体" w:hAnsi="宋体" w:cs="宋体"/>
                <w:color w:val="auto"/>
                <w:szCs w:val="21"/>
                <w:highlight w:val="none"/>
                <w:lang w:val="en-US" w:eastAsia="zh-CN"/>
              </w:rPr>
              <w:t>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进入第二阶段评审的家数</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olor w:val="auto"/>
                <w:szCs w:val="21"/>
                <w:highlight w:val="none"/>
              </w:rPr>
            </w:pPr>
            <w:r>
              <w:rPr>
                <w:rFonts w:hint="eastAsia" w:ascii="宋体" w:hAnsi="宋体"/>
                <w:color w:val="auto"/>
                <w:szCs w:val="21"/>
                <w:highlight w:val="none"/>
              </w:rPr>
              <w:t>①通过技术有效性审查的投标人均进入第二阶段（适用于通过技术有效性审查家数在</w:t>
            </w:r>
            <w:r>
              <w:rPr>
                <w:rFonts w:ascii="宋体" w:hAnsi="宋体"/>
                <w:color w:val="auto"/>
                <w:szCs w:val="21"/>
                <w:highlight w:val="none"/>
              </w:rPr>
              <w:t>[3,</w:t>
            </w:r>
            <w:r>
              <w:rPr>
                <w:rFonts w:ascii="宋体" w:hAnsi="宋体"/>
                <w:color w:val="auto"/>
                <w:szCs w:val="21"/>
                <w:highlight w:val="none"/>
                <w:u w:val="single"/>
              </w:rPr>
              <w:t>20</w:t>
            </w:r>
            <w:r>
              <w:rPr>
                <w:rFonts w:ascii="宋体" w:hAnsi="宋体"/>
                <w:color w:val="auto"/>
                <w:szCs w:val="21"/>
                <w:highlight w:val="none"/>
              </w:rPr>
              <w:t>]中的）。</w:t>
            </w:r>
          </w:p>
          <w:p>
            <w:pPr>
              <w:spacing w:line="264" w:lineRule="auto"/>
              <w:rPr>
                <w:rFonts w:hint="eastAsia" w:ascii="宋体" w:hAnsi="宋体" w:eastAsia="宋体"/>
                <w:color w:val="auto"/>
                <w:szCs w:val="21"/>
                <w:highlight w:val="none"/>
                <w:lang w:eastAsia="zh-CN"/>
              </w:rPr>
            </w:pPr>
            <w:r>
              <w:rPr>
                <w:rFonts w:hint="eastAsia" w:ascii="宋体" w:hAnsi="宋体"/>
                <w:color w:val="auto"/>
                <w:szCs w:val="21"/>
                <w:highlight w:val="none"/>
              </w:rPr>
              <w:t>②将第一阶段得分由高至低排序，前20名投标人进入第二阶段评审(适用于通过技术有效性审查家数大于20家的，</w:t>
            </w:r>
            <w:r>
              <w:rPr>
                <w:rFonts w:hint="eastAsia" w:ascii="宋体" w:hAnsi="宋体"/>
                <w:color w:val="auto"/>
                <w:szCs w:val="21"/>
                <w:highlight w:val="none"/>
                <w:lang w:val="en-US" w:eastAsia="zh-CN"/>
              </w:rPr>
              <w:t>则</w:t>
            </w:r>
            <w:r>
              <w:rPr>
                <w:rFonts w:hint="eastAsia" w:ascii="宋体" w:hAnsi="宋体"/>
                <w:color w:val="auto"/>
                <w:szCs w:val="21"/>
                <w:highlight w:val="none"/>
              </w:rPr>
              <w:t>确定</w:t>
            </w:r>
            <w:r>
              <w:rPr>
                <w:rFonts w:hint="eastAsia" w:ascii="宋体" w:hAnsi="宋体"/>
                <w:color w:val="auto"/>
                <w:szCs w:val="21"/>
                <w:highlight w:val="none"/>
                <w:lang w:val="en-US" w:eastAsia="zh-CN"/>
              </w:rPr>
              <w:t>前</w:t>
            </w:r>
            <w:r>
              <w:rPr>
                <w:rFonts w:hint="eastAsia" w:ascii="宋体" w:hAnsi="宋体"/>
                <w:color w:val="auto"/>
                <w:szCs w:val="21"/>
                <w:highlight w:val="none"/>
              </w:rPr>
              <w:t>20家进入第二阶段)</w:t>
            </w:r>
            <w:r>
              <w:rPr>
                <w:rFonts w:hint="eastAsia" w:ascii="宋体" w:hAnsi="宋体"/>
                <w:color w:val="auto"/>
                <w:szCs w:val="21"/>
                <w:highlight w:val="none"/>
                <w:lang w:eastAsia="zh-CN"/>
              </w:rPr>
              <w:t>。</w:t>
            </w:r>
            <w:r>
              <w:rPr>
                <w:rFonts w:hint="eastAsia" w:ascii="宋体" w:hAnsi="宋体"/>
                <w:color w:val="auto"/>
                <w:szCs w:val="21"/>
                <w:highlight w:val="none"/>
              </w:rPr>
              <w:t>若投标人得分相同的，则名次并列，占用名次，</w:t>
            </w:r>
            <w:r>
              <w:rPr>
                <w:rFonts w:hint="eastAsia" w:ascii="宋体" w:hAnsi="宋体" w:eastAsia="宋体" w:cs="Times New Roman"/>
                <w:color w:val="auto"/>
                <w:sz w:val="21"/>
                <w:szCs w:val="21"/>
                <w:highlight w:val="none"/>
                <w:u w:val="single"/>
              </w:rPr>
              <w:t>以投标总报价较低的排前；若投标总报价相同的，则对投标总报价相同的投标人，以施工组织设计得分较高的排前</w:t>
            </w:r>
            <w:r>
              <w:rPr>
                <w:rFonts w:hint="eastAsia" w:ascii="宋体" w:hAnsi="宋体" w:cs="Times New Roman"/>
                <w:color w:val="auto"/>
                <w:sz w:val="21"/>
                <w:szCs w:val="21"/>
                <w:highlight w:val="none"/>
                <w:u w:val="single"/>
                <w:lang w:eastAsia="zh-CN"/>
              </w:rPr>
              <w:t>；</w:t>
            </w:r>
            <w:r>
              <w:rPr>
                <w:rFonts w:hint="eastAsia" w:ascii="宋体" w:hAnsi="宋体" w:eastAsia="宋体" w:cs="Times New Roman"/>
                <w:color w:val="auto"/>
                <w:sz w:val="21"/>
                <w:szCs w:val="21"/>
                <w:highlight w:val="none"/>
                <w:u w:val="single"/>
              </w:rPr>
              <w:t>若施工组织设计得分仍相同的，则对相同的情况投标人采用随机抽取方式，确定前20家进入第二阶段</w:t>
            </w:r>
            <w:r>
              <w:rPr>
                <w:rFonts w:hint="eastAsia" w:ascii="宋体" w:hAnsi="宋体"/>
                <w:color w:val="auto"/>
                <w:szCs w:val="21"/>
                <w:highlight w:val="none"/>
              </w:rPr>
              <w:t>。</w:t>
            </w:r>
          </w:p>
          <w:p>
            <w:pPr>
              <w:spacing w:line="264" w:lineRule="auto"/>
              <w:rPr>
                <w:rFonts w:hint="eastAsia" w:ascii="宋体" w:hAnsi="宋体"/>
                <w:color w:val="auto"/>
                <w:szCs w:val="21"/>
                <w:highlight w:val="none"/>
              </w:rPr>
            </w:pPr>
            <w:r>
              <w:rPr>
                <w:rFonts w:hint="eastAsia" w:ascii="宋体" w:hAnsi="宋体"/>
                <w:color w:val="auto"/>
                <w:szCs w:val="21"/>
                <w:highlight w:val="none"/>
              </w:rPr>
              <w:t>注：随机抽取方式确定排序的具体操作步骤为：由评标委员会对出现该情况的投标人进行编号，采用交易中心提供的摇珠机和对应编号的球现场抽取，按抽取的先后顺序确定。</w:t>
            </w:r>
          </w:p>
          <w:p>
            <w:pPr>
              <w:spacing w:line="264" w:lineRule="auto"/>
              <w:rPr>
                <w:rFonts w:ascii="宋体" w:hAnsi="宋体" w:cs="宋体"/>
                <w:strike/>
                <w:color w:val="auto"/>
                <w:szCs w:val="21"/>
                <w:highlight w:val="none"/>
              </w:rPr>
            </w:pPr>
            <w:r>
              <w:rPr>
                <w:rFonts w:hint="eastAsia" w:ascii="宋体" w:hAnsi="宋体"/>
                <w:color w:val="auto"/>
                <w:szCs w:val="21"/>
                <w:highlight w:val="none"/>
              </w:rPr>
              <w:t>注：本款适用于选择评标办法一至评标办法六。进入第二阶段的投标人家数应符合行政监管部门的要求。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2</w:t>
            </w:r>
            <w:r>
              <w:rPr>
                <w:rFonts w:hint="eastAsia" w:ascii="宋体" w:hAnsi="宋体" w:cs="宋体"/>
                <w:color w:val="auto"/>
                <w:szCs w:val="21"/>
                <w:highlight w:val="none"/>
                <w:lang w:val="en-US" w:eastAsia="zh-CN"/>
              </w:rPr>
              <w:t>6</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工程成本警戒价</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工程成本警戒价为</w:t>
            </w:r>
            <w:r>
              <w:rPr>
                <w:rFonts w:hint="eastAsia" w:ascii="宋体" w:hAnsi="宋体" w:cs="宋体"/>
                <w:b/>
                <w:bCs/>
                <w:color w:val="auto"/>
                <w:szCs w:val="21"/>
                <w:highlight w:val="none"/>
                <w:u w:val="single"/>
                <w:lang w:val="en-US" w:eastAsia="zh-CN"/>
              </w:rPr>
              <w:t xml:space="preserve"> 44573436.27 </w:t>
            </w:r>
            <w:r>
              <w:rPr>
                <w:rFonts w:hint="eastAsia" w:ascii="宋体" w:hAnsi="宋体" w:cs="宋体"/>
                <w:color w:val="auto"/>
                <w:szCs w:val="21"/>
                <w:highlight w:val="none"/>
              </w:rPr>
              <w:t>元。对低于该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spacing w:line="264" w:lineRule="auto"/>
              <w:rPr>
                <w:rFonts w:ascii="宋体" w:hAnsi="宋体" w:cs="宋体"/>
                <w:color w:val="auto"/>
                <w:szCs w:val="21"/>
                <w:highlight w:val="none"/>
                <w:u w:val="single"/>
              </w:rPr>
            </w:pPr>
            <w:r>
              <w:rPr>
                <w:rFonts w:hint="eastAsia" w:ascii="宋体" w:hAnsi="宋体" w:cs="宋体"/>
                <w:color w:val="auto"/>
                <w:szCs w:val="21"/>
                <w:highlight w:val="none"/>
              </w:rPr>
              <w:t>注：为充分体现招标人意愿及落实项目招标人负责制，警戒价由招标人决定。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2</w:t>
            </w:r>
            <w:r>
              <w:rPr>
                <w:rFonts w:hint="eastAsia" w:ascii="宋体" w:hAnsi="宋体" w:cs="宋体"/>
                <w:color w:val="auto"/>
                <w:szCs w:val="21"/>
                <w:highlight w:val="none"/>
                <w:lang w:val="en-US" w:eastAsia="zh-CN"/>
              </w:rPr>
              <w:t>7</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szCs w:val="21"/>
                <w:highlight w:val="none"/>
              </w:rPr>
            </w:pPr>
            <w:r>
              <w:rPr>
                <w:rFonts w:hint="eastAsia" w:ascii="宋体" w:hAnsi="宋体" w:cs="宋体"/>
                <w:color w:val="auto"/>
                <w:szCs w:val="21"/>
                <w:highlight w:val="none"/>
              </w:rPr>
              <w:t>第一阶段各分值的权重</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strike/>
                <w:color w:val="auto"/>
                <w:szCs w:val="21"/>
                <w:highlight w:val="none"/>
                <w:u w:val="single"/>
              </w:rPr>
            </w:pPr>
            <w:r>
              <w:rPr>
                <w:rFonts w:hint="eastAsia" w:ascii="宋体" w:hAnsi="宋体" w:cs="宋体"/>
                <w:color w:val="auto"/>
                <w:szCs w:val="21"/>
                <w:highlight w:val="none"/>
              </w:rPr>
              <w:t>技术分权重为</w:t>
            </w:r>
            <w:r>
              <w:rPr>
                <w:rFonts w:ascii="宋体" w:hAnsi="宋体" w:cs="宋体"/>
                <w:color w:val="auto"/>
                <w:szCs w:val="21"/>
                <w:highlight w:val="none"/>
                <w:u w:val="single"/>
              </w:rPr>
              <w:t>100</w:t>
            </w:r>
            <w:r>
              <w:rPr>
                <w:rFonts w:ascii="宋体" w:hAnsi="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vMerge w:val="restart"/>
            <w:tcBorders>
              <w:top w:val="single" w:color="auto" w:sz="4" w:space="0"/>
              <w:left w:val="doub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2</w:t>
            </w:r>
            <w:r>
              <w:rPr>
                <w:rFonts w:hint="eastAsia" w:ascii="宋体" w:hAnsi="宋体" w:cs="宋体"/>
                <w:color w:val="auto"/>
                <w:szCs w:val="21"/>
                <w:highlight w:val="none"/>
                <w:lang w:val="en-US" w:eastAsia="zh-CN"/>
              </w:rPr>
              <w:t>8</w:t>
            </w:r>
          </w:p>
        </w:tc>
        <w:tc>
          <w:tcPr>
            <w:tcW w:w="886" w:type="dxa"/>
            <w:vMerge w:val="restart"/>
            <w:tcBorders>
              <w:top w:val="single" w:color="auto" w:sz="4" w:space="0"/>
              <w:left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评标委员会人数</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评标委员会由招标人依法组建。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vMerge w:val="continue"/>
            <w:tcBorders>
              <w:left w:val="doub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886" w:type="dxa"/>
            <w:vMerge w:val="continue"/>
            <w:tcBorders>
              <w:left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定标委员会人数</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定标委员会由招标人依法组建，人数为</w:t>
            </w:r>
            <w:r>
              <w:rPr>
                <w:rFonts w:ascii="宋体" w:hAnsi="宋体" w:cs="宋体"/>
                <w:color w:val="auto"/>
                <w:szCs w:val="21"/>
                <w:highlight w:val="none"/>
              </w:rPr>
              <w:t>5名。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vMerge w:val="continue"/>
            <w:tcBorders>
              <w:left w:val="doub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886" w:type="dxa"/>
            <w:vMerge w:val="continue"/>
            <w:tcBorders>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监督小组人数</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监督小组由招标人组建，人数为</w:t>
            </w:r>
            <w:r>
              <w:rPr>
                <w:rFonts w:ascii="宋体" w:hAnsi="宋体" w:cs="宋体"/>
                <w:color w:val="auto"/>
                <w:szCs w:val="21"/>
                <w:highlight w:val="none"/>
              </w:rPr>
              <w:t>1名。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29</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szCs w:val="21"/>
                <w:highlight w:val="none"/>
              </w:rPr>
            </w:pPr>
            <w:r>
              <w:rPr>
                <w:rFonts w:hint="eastAsia" w:ascii="宋体" w:hAnsi="宋体" w:cs="宋体"/>
                <w:color w:val="auto"/>
                <w:szCs w:val="21"/>
                <w:highlight w:val="none"/>
              </w:rPr>
              <w:t>企业诚信综合评价分数</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b/>
                <w:color w:val="auto"/>
                <w:szCs w:val="21"/>
                <w:highlight w:val="none"/>
                <w:u w:val="single"/>
              </w:rPr>
            </w:pPr>
            <w:r>
              <w:rPr>
                <w:rFonts w:hint="eastAsia" w:ascii="宋体" w:hAnsi="宋体" w:cs="宋体"/>
                <w:b/>
                <w:color w:val="auto"/>
                <w:szCs w:val="21"/>
                <w:highlight w:val="none"/>
                <w:u w:val="single"/>
              </w:rPr>
              <w:t>本项目不设置企业诚信综合评价分数。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30</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szCs w:val="21"/>
                <w:highlight w:val="none"/>
              </w:rPr>
            </w:pPr>
            <w:r>
              <w:rPr>
                <w:rFonts w:hint="eastAsia" w:ascii="宋体" w:hAnsi="宋体" w:cs="宋体"/>
                <w:color w:val="auto"/>
                <w:szCs w:val="21"/>
                <w:highlight w:val="none"/>
              </w:rPr>
              <w:t>第二阶段投标人名次的排序方法（适用于办法一、办法二）</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strike/>
                <w:color w:val="auto"/>
                <w:szCs w:val="21"/>
                <w:highlight w:val="none"/>
              </w:rPr>
            </w:pPr>
            <w:r>
              <w:rPr>
                <w:rFonts w:hint="eastAsia" w:ascii="宋体" w:hAnsi="宋体"/>
                <w:color w:val="auto"/>
                <w:szCs w:val="21"/>
                <w:highlight w:val="none"/>
              </w:rPr>
              <w:t>本款不适用</w:t>
            </w:r>
            <w:r>
              <w:rPr>
                <w:rFonts w:hint="eastAsia" w:ascii="宋体" w:hAnsi="宋体" w:cs="仿宋_GB2312"/>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3</w:t>
            </w:r>
            <w:r>
              <w:rPr>
                <w:rFonts w:hint="eastAsia" w:ascii="宋体" w:hAnsi="宋体" w:cs="宋体"/>
                <w:color w:val="auto"/>
                <w:szCs w:val="21"/>
                <w:highlight w:val="none"/>
                <w:lang w:val="en-US" w:eastAsia="zh-CN"/>
              </w:rPr>
              <w:t>1</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szCs w:val="21"/>
                <w:highlight w:val="none"/>
              </w:rPr>
            </w:pPr>
            <w:r>
              <w:rPr>
                <w:rFonts w:hint="eastAsia" w:ascii="宋体" w:hAnsi="宋体" w:cs="宋体"/>
                <w:color w:val="auto"/>
                <w:szCs w:val="21"/>
                <w:highlight w:val="none"/>
              </w:rPr>
              <w:t>经济分相同情况下的排序方法（适用于办法三、办法四）</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strike/>
                <w:color w:val="auto"/>
                <w:szCs w:val="21"/>
                <w:highlight w:val="none"/>
              </w:rPr>
            </w:pPr>
            <w:r>
              <w:rPr>
                <w:rFonts w:hint="eastAsia" w:ascii="宋体" w:hAnsi="宋体"/>
                <w:color w:val="auto"/>
                <w:szCs w:val="21"/>
                <w:highlight w:val="none"/>
              </w:rPr>
              <w:t>本款不适用</w:t>
            </w:r>
            <w:r>
              <w:rPr>
                <w:rFonts w:hint="eastAsia" w:ascii="宋体" w:hAnsi="宋体" w:cs="仿宋_GB2312"/>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3</w:t>
            </w:r>
            <w:r>
              <w:rPr>
                <w:rFonts w:hint="eastAsia" w:ascii="宋体" w:hAnsi="宋体" w:cs="宋体"/>
                <w:color w:val="auto"/>
                <w:szCs w:val="21"/>
                <w:highlight w:val="none"/>
                <w:lang w:val="en-US" w:eastAsia="zh-CN"/>
              </w:rPr>
              <w:t>2</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第二阶段投标人名次的排序方法（适用于办法五、办法六）</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olor w:val="auto"/>
                <w:szCs w:val="21"/>
                <w:highlight w:val="none"/>
              </w:rPr>
            </w:pPr>
            <w:r>
              <w:rPr>
                <w:rFonts w:hint="eastAsia" w:ascii="宋体" w:hAnsi="宋体"/>
                <w:color w:val="auto"/>
                <w:szCs w:val="21"/>
                <w:highlight w:val="none"/>
              </w:rPr>
              <w:t>选取方法</w:t>
            </w:r>
            <w:r>
              <w:rPr>
                <w:rFonts w:ascii="宋体" w:hAnsi="宋体"/>
                <w:color w:val="auto"/>
                <w:szCs w:val="21"/>
                <w:highlight w:val="none"/>
                <w:u w:val="single"/>
              </w:rPr>
              <w:t xml:space="preserve"> 二 </w:t>
            </w:r>
          </w:p>
          <w:p>
            <w:pPr>
              <w:spacing w:line="264" w:lineRule="auto"/>
              <w:rPr>
                <w:rFonts w:ascii="宋体" w:hAnsi="宋体"/>
                <w:color w:val="auto"/>
                <w:szCs w:val="21"/>
                <w:highlight w:val="none"/>
              </w:rPr>
            </w:pPr>
            <w:r>
              <w:rPr>
                <w:rFonts w:hint="eastAsia" w:ascii="宋体" w:hAnsi="宋体"/>
                <w:color w:val="auto"/>
                <w:szCs w:val="21"/>
                <w:highlight w:val="none"/>
              </w:rPr>
              <w:t>方法二：</w:t>
            </w:r>
            <w:r>
              <w:rPr>
                <w:rFonts w:hint="eastAsia" w:ascii="宋体" w:hAnsi="宋体"/>
                <w:b/>
                <w:color w:val="auto"/>
                <w:szCs w:val="21"/>
                <w:highlight w:val="none"/>
                <w:u w:val="single"/>
              </w:rPr>
              <w:t>按照“总得分=技术分×技术分权（20%）＋经济分×经济分权重（80%）”的公式，计算各有效投标文件的总得分，并按照总得分</w:t>
            </w:r>
            <w:r>
              <w:rPr>
                <w:rFonts w:hint="eastAsia" w:ascii="宋体" w:hAnsi="宋体" w:eastAsia="宋体" w:cs="Times New Roman"/>
                <w:b/>
                <w:color w:val="auto"/>
                <w:sz w:val="21"/>
                <w:szCs w:val="21"/>
                <w:highlight w:val="none"/>
                <w:u w:val="single"/>
              </w:rPr>
              <w:t>从高到低排列先后次序。若投标人得分相同的，则以技术分较高的排前；投标人仍技术分相同，则以投标总报价较低的排前；若投标总报价相同的，则对投标总报价相同的投标人，以施工组织设计得分较高的排前</w:t>
            </w:r>
            <w:r>
              <w:rPr>
                <w:rFonts w:hint="eastAsia" w:ascii="宋体" w:hAnsi="宋体" w:cs="Times New Roman"/>
                <w:b/>
                <w:color w:val="auto"/>
                <w:sz w:val="21"/>
                <w:szCs w:val="21"/>
                <w:highlight w:val="none"/>
                <w:u w:val="single"/>
                <w:lang w:eastAsia="zh-CN"/>
              </w:rPr>
              <w:t>；</w:t>
            </w:r>
            <w:r>
              <w:rPr>
                <w:rFonts w:hint="eastAsia" w:ascii="宋体" w:hAnsi="宋体" w:eastAsia="宋体" w:cs="Times New Roman"/>
                <w:b/>
                <w:color w:val="auto"/>
                <w:sz w:val="21"/>
                <w:szCs w:val="21"/>
                <w:highlight w:val="none"/>
                <w:u w:val="single"/>
              </w:rPr>
              <w:t>若施工组织设计得分仍相同的，则对相同的情况投标人采用随机抽取方式，向招标人推荐</w:t>
            </w:r>
            <w:r>
              <w:rPr>
                <w:rFonts w:hint="default" w:ascii="宋体" w:hAnsi="宋体" w:eastAsia="宋体" w:cs="Times New Roman"/>
                <w:b/>
                <w:color w:val="auto"/>
                <w:sz w:val="21"/>
                <w:szCs w:val="21"/>
                <w:highlight w:val="none"/>
                <w:u w:val="single"/>
                <w:lang w:val="en-US"/>
              </w:rPr>
              <w:t>9名</w:t>
            </w:r>
            <w:r>
              <w:rPr>
                <w:rFonts w:hint="eastAsia" w:ascii="宋体" w:hAnsi="宋体" w:eastAsia="宋体" w:cs="Times New Roman"/>
                <w:b/>
                <w:color w:val="auto"/>
                <w:sz w:val="21"/>
                <w:szCs w:val="21"/>
                <w:highlight w:val="none"/>
                <w:u w:val="single"/>
              </w:rPr>
              <w:t>中标候选人</w:t>
            </w:r>
            <w:r>
              <w:rPr>
                <w:rFonts w:hint="eastAsia" w:ascii="宋体" w:hAnsi="宋体"/>
                <w:b/>
                <w:bCs/>
                <w:color w:val="auto"/>
                <w:szCs w:val="21"/>
                <w:highlight w:val="none"/>
                <w:u w:val="single"/>
              </w:rPr>
              <w:t>（通过经济标有效性审查家数在[3,</w:t>
            </w:r>
            <w:r>
              <w:rPr>
                <w:rFonts w:hint="eastAsia" w:ascii="宋体" w:hAnsi="宋体"/>
                <w:b/>
                <w:bCs/>
                <w:color w:val="auto"/>
                <w:szCs w:val="21"/>
                <w:highlight w:val="none"/>
                <w:u w:val="single"/>
                <w:lang w:val="en-US" w:eastAsia="zh-CN"/>
              </w:rPr>
              <w:t>9</w:t>
            </w:r>
            <w:r>
              <w:rPr>
                <w:rFonts w:hint="eastAsia" w:ascii="宋体" w:hAnsi="宋体"/>
                <w:b/>
                <w:bCs/>
                <w:color w:val="auto"/>
                <w:szCs w:val="21"/>
                <w:highlight w:val="none"/>
                <w:u w:val="single"/>
              </w:rPr>
              <w:t>]的，以实际家数为准；超过</w:t>
            </w:r>
            <w:r>
              <w:rPr>
                <w:rFonts w:hint="eastAsia" w:ascii="宋体" w:hAnsi="宋体"/>
                <w:b/>
                <w:bCs/>
                <w:color w:val="auto"/>
                <w:szCs w:val="21"/>
                <w:highlight w:val="none"/>
                <w:u w:val="single"/>
                <w:lang w:val="en-US" w:eastAsia="zh-CN"/>
              </w:rPr>
              <w:t>9</w:t>
            </w:r>
            <w:r>
              <w:rPr>
                <w:rFonts w:hint="eastAsia" w:ascii="宋体" w:hAnsi="宋体"/>
                <w:b/>
                <w:bCs/>
                <w:color w:val="auto"/>
                <w:szCs w:val="21"/>
                <w:highlight w:val="none"/>
                <w:u w:val="single"/>
              </w:rPr>
              <w:t>家的，则只推荐</w:t>
            </w:r>
            <w:r>
              <w:rPr>
                <w:rFonts w:hint="eastAsia" w:ascii="宋体" w:hAnsi="宋体"/>
                <w:b/>
                <w:bCs/>
                <w:color w:val="auto"/>
                <w:szCs w:val="21"/>
                <w:highlight w:val="none"/>
                <w:u w:val="single"/>
                <w:lang w:eastAsia="zh-CN"/>
              </w:rPr>
              <w:t>前</w:t>
            </w:r>
            <w:r>
              <w:rPr>
                <w:rFonts w:hint="eastAsia" w:ascii="宋体" w:hAnsi="宋体"/>
                <w:b/>
                <w:bCs/>
                <w:color w:val="auto"/>
                <w:szCs w:val="21"/>
                <w:highlight w:val="none"/>
                <w:u w:val="single"/>
                <w:lang w:val="en-US" w:eastAsia="zh-CN"/>
              </w:rPr>
              <w:t>9</w:t>
            </w:r>
            <w:r>
              <w:rPr>
                <w:rFonts w:hint="eastAsia" w:ascii="宋体" w:hAnsi="宋体"/>
                <w:b/>
                <w:bCs/>
                <w:color w:val="auto"/>
                <w:szCs w:val="21"/>
                <w:highlight w:val="none"/>
                <w:u w:val="single"/>
              </w:rPr>
              <w:t>家）</w:t>
            </w:r>
            <w:r>
              <w:rPr>
                <w:rFonts w:hint="eastAsia" w:ascii="宋体" w:hAnsi="宋体" w:eastAsia="宋体" w:cs="Times New Roman"/>
                <w:b/>
                <w:color w:val="auto"/>
                <w:sz w:val="21"/>
                <w:szCs w:val="21"/>
                <w:highlight w:val="none"/>
                <w:u w:val="single"/>
              </w:rPr>
              <w:t>【可按其统一社会信用代码后4位（除校验码外）大小排位，不排序】</w:t>
            </w:r>
            <w:r>
              <w:rPr>
                <w:rFonts w:hint="eastAsia" w:ascii="宋体" w:hAnsi="宋体"/>
                <w:b/>
                <w:color w:val="auto"/>
                <w:szCs w:val="21"/>
                <w:highlight w:val="none"/>
                <w:u w:val="single"/>
              </w:rPr>
              <w:t>。</w:t>
            </w:r>
          </w:p>
          <w:p>
            <w:pPr>
              <w:spacing w:line="264" w:lineRule="auto"/>
              <w:rPr>
                <w:rFonts w:ascii="宋体" w:hAnsi="宋体"/>
                <w:color w:val="auto"/>
                <w:szCs w:val="21"/>
                <w:highlight w:val="none"/>
              </w:rPr>
            </w:pPr>
            <w:r>
              <w:rPr>
                <w:rFonts w:hint="eastAsia" w:ascii="宋体" w:hAnsi="宋体" w:eastAsia="宋体" w:cs="宋体"/>
                <w:b w:val="0"/>
                <w:bCs w:val="0"/>
                <w:sz w:val="21"/>
                <w:szCs w:val="21"/>
                <w:highlight w:val="none"/>
                <w:u w:val="single"/>
                <w:lang w:val="en-US" w:eastAsia="zh-CN"/>
              </w:rPr>
              <w:t>注：随机抽取方式确定排序的具体操作步骤为：由评标委员会对出现该情况的投标人进行编号，采用交易中心提供的摇珠机和对应编号的球现场抽取，按抽取的先后顺序确定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3</w:t>
            </w:r>
            <w:r>
              <w:rPr>
                <w:rFonts w:hint="eastAsia" w:ascii="宋体" w:hAnsi="宋体" w:cs="宋体"/>
                <w:color w:val="auto"/>
                <w:szCs w:val="21"/>
                <w:highlight w:val="none"/>
                <w:lang w:val="en-US" w:eastAsia="zh-CN"/>
              </w:rPr>
              <w:t>3</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color w:val="auto"/>
                <w:szCs w:val="21"/>
                <w:highlight w:val="none"/>
              </w:rPr>
            </w:pPr>
            <w:r>
              <w:rPr>
                <w:rFonts w:ascii="宋体" w:hAnsi="宋体" w:cs="宋体"/>
                <w:color w:val="auto"/>
                <w:szCs w:val="21"/>
                <w:highlight w:val="none"/>
              </w:rPr>
              <w:t>13.4、13.5.2</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auto"/>
                <w:szCs w:val="21"/>
                <w:highlight w:val="none"/>
              </w:rPr>
            </w:pPr>
            <w:r>
              <w:rPr>
                <w:rFonts w:hint="eastAsia" w:ascii="宋体" w:hAnsi="宋体" w:cs="宋体"/>
                <w:color w:val="auto"/>
                <w:szCs w:val="21"/>
                <w:highlight w:val="none"/>
              </w:rPr>
              <w:t>合同价款的调整办法</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u w:val="single"/>
              </w:rPr>
            </w:pPr>
            <w:r>
              <w:rPr>
                <w:rFonts w:hint="eastAsia" w:ascii="宋体" w:hAnsi="宋体" w:cs="宋体"/>
                <w:color w:val="auto"/>
                <w:szCs w:val="21"/>
                <w:highlight w:val="none"/>
                <w:u w:val="single"/>
              </w:rPr>
              <w:t>详见招标文件及相关合同条款。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3</w:t>
            </w:r>
            <w:r>
              <w:rPr>
                <w:rFonts w:hint="eastAsia" w:ascii="宋体" w:hAnsi="宋体" w:cs="宋体"/>
                <w:color w:val="auto"/>
                <w:szCs w:val="21"/>
                <w:highlight w:val="none"/>
                <w:lang w:val="en-US" w:eastAsia="zh-CN"/>
              </w:rPr>
              <w:t>4</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kern w:val="0"/>
                <w:szCs w:val="21"/>
                <w:highlight w:val="none"/>
                <w:lang w:val="zh-CN"/>
              </w:rPr>
              <w:t>建设工程质量检测单位</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kern w:val="0"/>
                <w:szCs w:val="21"/>
                <w:highlight w:val="none"/>
                <w:lang w:val="zh-CN"/>
              </w:rPr>
            </w:pPr>
            <w:r>
              <w:rPr>
                <w:rFonts w:hint="eastAsia" w:ascii="宋体" w:hAnsi="宋体" w:cs="宋体"/>
                <w:color w:val="auto"/>
                <w:highlight w:val="none"/>
              </w:rPr>
              <w:t>建设单位和中标人均不得委托近二年（从招标公告发布年度起逆推</w:t>
            </w:r>
            <w:r>
              <w:rPr>
                <w:rFonts w:ascii="宋体" w:hAnsi="宋体" w:cs="宋体"/>
                <w:color w:val="auto"/>
                <w:highlight w:val="none"/>
              </w:rPr>
              <w:t>2年的1月1日起至投标截止时间止）因伪造检测数据、出具虚假检测报告被各级建设行政主管部门或市场监督管理部门行政处罚或通报的检测单位负责本项目的检测工作。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3</w:t>
            </w:r>
            <w:r>
              <w:rPr>
                <w:rFonts w:hint="eastAsia" w:ascii="宋体" w:hAnsi="宋体" w:cs="宋体"/>
                <w:color w:val="auto"/>
                <w:szCs w:val="21"/>
                <w:highlight w:val="none"/>
                <w:lang w:val="en-US" w:eastAsia="zh-CN"/>
              </w:rPr>
              <w:t>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分包</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kern w:val="0"/>
                <w:szCs w:val="21"/>
                <w:highlight w:val="none"/>
                <w:lang w:val="zh-CN"/>
              </w:rPr>
            </w:pPr>
            <w:r>
              <w:rPr>
                <w:rFonts w:hint="eastAsia" w:ascii="宋体" w:hAnsi="宋体" w:eastAsia="宋体" w:cs="宋体"/>
                <w:color w:val="auto"/>
                <w:kern w:val="0"/>
                <w:sz w:val="21"/>
                <w:szCs w:val="21"/>
                <w:lang w:val="zh-CN"/>
              </w:rPr>
              <w:t>□</w:t>
            </w:r>
            <w:r>
              <w:rPr>
                <w:rFonts w:ascii="宋体" w:hAnsi="宋体" w:cs="宋体"/>
                <w:color w:val="auto"/>
                <w:kern w:val="0"/>
                <w:szCs w:val="21"/>
                <w:highlight w:val="none"/>
                <w:lang w:val="zh-CN"/>
              </w:rPr>
              <w:t xml:space="preserve"> 不允许；</w:t>
            </w:r>
          </w:p>
          <w:p>
            <w:pPr>
              <w:spacing w:line="264" w:lineRule="auto"/>
              <w:rPr>
                <w:rFonts w:ascii="宋体" w:hAnsi="宋体" w:cs="宋体"/>
                <w:color w:val="auto"/>
                <w:kern w:val="0"/>
                <w:szCs w:val="21"/>
                <w:highlight w:val="none"/>
                <w:lang w:val="zh-CN"/>
              </w:rPr>
            </w:pPr>
            <w:r>
              <w:rPr>
                <w:rFonts w:hint="eastAsia" w:ascii="宋体" w:hAnsi="宋体" w:cs="宋体"/>
                <w:color w:val="auto"/>
                <w:kern w:val="0"/>
                <w:sz w:val="21"/>
                <w:szCs w:val="21"/>
                <w:lang w:val="zh-CN"/>
              </w:rPr>
              <w:t>☑</w:t>
            </w:r>
            <w:r>
              <w:rPr>
                <w:rFonts w:hint="eastAsia" w:ascii="宋体" w:hAnsi="宋体" w:cs="宋体"/>
                <w:color w:val="auto"/>
                <w:kern w:val="0"/>
                <w:szCs w:val="21"/>
                <w:highlight w:val="none"/>
                <w:lang w:val="zh-CN"/>
              </w:rPr>
              <w:t>允许：分包内容要求：</w:t>
            </w:r>
            <w:r>
              <w:rPr>
                <w:rFonts w:hint="eastAsia" w:ascii="宋体" w:hAnsi="宋体" w:cs="宋体"/>
                <w:color w:val="auto"/>
                <w:kern w:val="0"/>
                <w:szCs w:val="21"/>
                <w:highlight w:val="none"/>
                <w:u w:val="single"/>
                <w:lang w:val="zh-CN"/>
              </w:rPr>
              <w:t>非主体关键工程。</w:t>
            </w:r>
          </w:p>
          <w:p>
            <w:pPr>
              <w:spacing w:line="264" w:lineRule="auto"/>
              <w:rPr>
                <w:rFonts w:ascii="宋体" w:hAnsi="宋体" w:cs="宋体"/>
                <w:color w:val="auto"/>
                <w:kern w:val="0"/>
                <w:szCs w:val="21"/>
                <w:highlight w:val="none"/>
                <w:lang w:val="zh-CN"/>
              </w:rPr>
            </w:pPr>
            <w:r>
              <w:rPr>
                <w:rFonts w:ascii="宋体" w:hAnsi="宋体" w:cs="宋体"/>
                <w:color w:val="auto"/>
                <w:kern w:val="0"/>
                <w:szCs w:val="21"/>
                <w:highlight w:val="none"/>
                <w:lang w:val="zh-CN"/>
              </w:rPr>
              <w:t xml:space="preserve">        分包金额要求：</w:t>
            </w:r>
            <w:r>
              <w:rPr>
                <w:rFonts w:hint="eastAsia" w:ascii="宋体" w:hAnsi="宋体"/>
                <w:color w:val="auto"/>
                <w:szCs w:val="21"/>
                <w:highlight w:val="none"/>
                <w:u w:val="single"/>
              </w:rPr>
              <w:t>无。</w:t>
            </w:r>
          </w:p>
          <w:p>
            <w:pPr>
              <w:spacing w:line="264" w:lineRule="auto"/>
              <w:rPr>
                <w:rFonts w:ascii="宋体" w:hAnsi="宋体" w:cs="宋体"/>
                <w:color w:val="auto"/>
                <w:kern w:val="0"/>
                <w:szCs w:val="21"/>
                <w:highlight w:val="none"/>
                <w:lang w:val="zh-CN"/>
              </w:rPr>
            </w:pPr>
            <w:r>
              <w:rPr>
                <w:rFonts w:ascii="宋体" w:hAnsi="宋体" w:cs="宋体"/>
                <w:color w:val="auto"/>
                <w:kern w:val="0"/>
                <w:szCs w:val="21"/>
                <w:highlight w:val="none"/>
                <w:lang w:val="zh-CN"/>
              </w:rPr>
              <w:t xml:space="preserve">        对分包人的资质要求：</w:t>
            </w:r>
            <w:r>
              <w:rPr>
                <w:rFonts w:hint="eastAsia" w:ascii="宋体" w:hAnsi="宋体" w:cs="宋体"/>
                <w:color w:val="auto"/>
                <w:kern w:val="0"/>
                <w:szCs w:val="21"/>
                <w:highlight w:val="none"/>
                <w:u w:val="single"/>
                <w:lang w:val="zh-CN"/>
              </w:rPr>
              <w:t>符合有关法律法规和文件规定，并不得再次分包。</w:t>
            </w:r>
          </w:p>
          <w:p>
            <w:pPr>
              <w:spacing w:line="264" w:lineRule="auto"/>
              <w:rPr>
                <w:rFonts w:ascii="宋体" w:hAnsi="宋体" w:cs="宋体"/>
                <w:color w:val="auto"/>
                <w:kern w:val="0"/>
                <w:szCs w:val="21"/>
                <w:highlight w:val="none"/>
                <w:lang w:val="zh-CN"/>
              </w:rPr>
            </w:pPr>
            <w:r>
              <w:rPr>
                <w:rFonts w:ascii="宋体" w:hAnsi="宋体" w:cs="宋体"/>
                <w:color w:val="auto"/>
                <w:kern w:val="0"/>
                <w:szCs w:val="21"/>
                <w:highlight w:val="none"/>
                <w:lang w:val="zh-CN"/>
              </w:rPr>
              <w:t xml:space="preserve">        对分包人的其他要求：</w:t>
            </w:r>
            <w:r>
              <w:rPr>
                <w:rFonts w:hint="eastAsia" w:ascii="宋体" w:hAnsi="宋体"/>
                <w:color w:val="auto"/>
                <w:szCs w:val="21"/>
                <w:highlight w:val="none"/>
                <w:u w:val="single"/>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3</w:t>
            </w:r>
            <w:r>
              <w:rPr>
                <w:rFonts w:hint="eastAsia" w:ascii="宋体" w:hAnsi="宋体" w:cs="宋体"/>
                <w:color w:val="auto"/>
                <w:szCs w:val="21"/>
                <w:highlight w:val="none"/>
                <w:lang w:val="en-US" w:eastAsia="zh-CN"/>
              </w:rPr>
              <w:t>6</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jc w:val="both"/>
              <w:rPr>
                <w:rFonts w:ascii="宋体" w:hAnsi="宋体" w:cs="宋体"/>
                <w:color w:val="auto"/>
                <w:highlight w:val="none"/>
              </w:rPr>
            </w:pPr>
            <w:r>
              <w:rPr>
                <w:rFonts w:hint="eastAsia" w:ascii="宋体" w:hAnsi="宋体" w:cs="宋体"/>
                <w:color w:val="auto"/>
                <w:highlight w:val="none"/>
              </w:rPr>
              <w:t>电子招标投标解密失败及突发情况的补救</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rPr>
            </w:pPr>
            <w:r>
              <w:rPr>
                <w:rFonts w:ascii="宋体" w:hAnsi="宋体" w:cs="宋体"/>
                <w:color w:val="auto"/>
                <w:szCs w:val="21"/>
                <w:highlight w:val="none"/>
              </w:rPr>
              <w:t>1、按照</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交易平台关于全流程电子化项目的相关指南进行操作。详见：</w:t>
            </w:r>
            <w:r>
              <w:rPr>
                <w:rFonts w:hint="eastAsia" w:ascii="宋体" w:hAnsi="宋体" w:cs="宋体"/>
                <w:color w:val="auto"/>
                <w:szCs w:val="21"/>
                <w:highlight w:val="none"/>
                <w:u w:val="single"/>
              </w:rPr>
              <w:t>广州交易集团有限公司（广州公共资源交易中心）网站最新指引</w:t>
            </w:r>
            <w:r>
              <w:rPr>
                <w:rFonts w:hint="eastAsia" w:ascii="宋体" w:hAnsi="宋体" w:cs="宋体"/>
                <w:color w:val="auto"/>
                <w:szCs w:val="21"/>
                <w:highlight w:val="none"/>
              </w:rPr>
              <w:t>。</w:t>
            </w:r>
          </w:p>
          <w:p>
            <w:pPr>
              <w:spacing w:line="264" w:lineRule="auto"/>
              <w:rPr>
                <w:rFonts w:ascii="宋体" w:hAnsi="宋体" w:cs="宋体"/>
                <w:color w:val="auto"/>
                <w:szCs w:val="21"/>
                <w:highlight w:val="none"/>
              </w:rPr>
            </w:pPr>
            <w:r>
              <w:rPr>
                <w:rFonts w:ascii="宋体" w:hAnsi="宋体" w:cs="宋体"/>
                <w:color w:val="auto"/>
                <w:szCs w:val="21"/>
                <w:highlight w:val="none"/>
              </w:rPr>
              <w:t>2、提交投标文件光盘备用</w:t>
            </w:r>
          </w:p>
          <w:p>
            <w:pPr>
              <w:spacing w:line="264" w:lineRule="auto"/>
              <w:rPr>
                <w:rFonts w:ascii="宋体" w:hAnsi="宋体" w:cs="宋体"/>
                <w:color w:val="auto"/>
                <w:szCs w:val="21"/>
                <w:highlight w:val="none"/>
              </w:rPr>
            </w:pPr>
            <w:r>
              <w:rPr>
                <w:rFonts w:hint="eastAsia" w:ascii="宋体" w:hAnsi="宋体" w:cs="宋体"/>
                <w:color w:val="auto"/>
                <w:szCs w:val="21"/>
                <w:highlight w:val="none"/>
              </w:rPr>
              <w:t>投标人可制作非加密的电子投标文件（</w:t>
            </w:r>
            <w:r>
              <w:rPr>
                <w:rFonts w:ascii="宋体" w:hAnsi="宋体" w:cs="宋体"/>
                <w:color w:val="auto"/>
                <w:szCs w:val="21"/>
                <w:highlight w:val="none"/>
              </w:rPr>
              <w:t>PDF格式）刻入光盘（1份），在投标须知前附表第18项规定的时间、地点提交备用。刻录好的投标文件光盘密封在密封袋中，并在封口处加盖投标人单位公章。密封袋上应写明项目名称和招标人名称。递交的光盘不得加密。光盘无法读取或导入的，则视为未提交备用投标文件光盘。如果投标人没有按规定通过交易平台网上递交电</w:t>
            </w:r>
            <w:r>
              <w:rPr>
                <w:rFonts w:hint="eastAsia" w:ascii="宋体" w:hAnsi="宋体" w:cs="宋体"/>
                <w:color w:val="auto"/>
                <w:szCs w:val="21"/>
                <w:highlight w:val="none"/>
              </w:rPr>
              <w:t>子投标文件的，不再读取提交的光盘。投标人也可不提交备用光盘。</w:t>
            </w:r>
          </w:p>
          <w:p>
            <w:pPr>
              <w:spacing w:line="264" w:lineRule="auto"/>
              <w:rPr>
                <w:rFonts w:ascii="宋体" w:hAnsi="宋体" w:cs="宋体"/>
                <w:color w:val="auto"/>
                <w:szCs w:val="21"/>
                <w:highlight w:val="none"/>
              </w:rPr>
            </w:pPr>
            <w:r>
              <w:rPr>
                <w:rFonts w:ascii="宋体" w:hAnsi="宋体" w:cs="宋体"/>
                <w:color w:val="auto"/>
                <w:szCs w:val="21"/>
                <w:highlight w:val="none"/>
              </w:rPr>
              <w:t>3、补救方案</w:t>
            </w:r>
          </w:p>
          <w:p>
            <w:pPr>
              <w:spacing w:line="264" w:lineRule="auto"/>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1）投标文件解密失败的补救方案：</w:t>
            </w:r>
          </w:p>
          <w:p>
            <w:pPr>
              <w:spacing w:line="264" w:lineRule="auto"/>
              <w:rPr>
                <w:rFonts w:ascii="宋体" w:hAnsi="宋体" w:cs="宋体"/>
                <w:color w:val="auto"/>
                <w:szCs w:val="21"/>
                <w:highlight w:val="none"/>
              </w:rPr>
            </w:pPr>
            <w:r>
              <w:rPr>
                <w:rFonts w:hint="eastAsia" w:ascii="宋体" w:hAnsi="宋体" w:cs="宋体"/>
                <w:color w:val="auto"/>
                <w:szCs w:val="21"/>
                <w:highlight w:val="none"/>
              </w:rPr>
              <w:t>在规定时间内，因投标人之外原因</w:t>
            </w:r>
            <w:r>
              <w:rPr>
                <w:rFonts w:ascii="宋体" w:hAnsi="宋体" w:cs="宋体"/>
                <w:color w:val="auto"/>
                <w:szCs w:val="21"/>
                <w:highlight w:val="none"/>
              </w:rPr>
              <w:t>(指网络瘫痪、服务器损坏、交易系统故障短期无法恢复)导致的电子投标文件解密失败，在开标现场读取光盘内容，继续开标程序。评标委员会对其投标文件的评审以光盘内容为准。因投标人之外原因解密失败且未递交电子光盘的，视为撤回投标文件。</w:t>
            </w:r>
          </w:p>
          <w:p>
            <w:pPr>
              <w:spacing w:line="264" w:lineRule="auto"/>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2）评标时突发情况的补救方案</w:t>
            </w:r>
          </w:p>
          <w:p>
            <w:pPr>
              <w:spacing w:line="264" w:lineRule="auto"/>
              <w:rPr>
                <w:rFonts w:ascii="宋体" w:hAnsi="宋体" w:cs="宋体"/>
                <w:color w:val="auto"/>
                <w:szCs w:val="21"/>
                <w:highlight w:val="none"/>
              </w:rPr>
            </w:pPr>
            <w:r>
              <w:rPr>
                <w:rFonts w:hint="eastAsia" w:ascii="宋体" w:hAnsi="宋体" w:cs="宋体"/>
                <w:color w:val="auto"/>
                <w:szCs w:val="21"/>
                <w:highlight w:val="none"/>
              </w:rPr>
              <w:t>若遇不可抗力发生（指网络瘫痪、服务器损坏、交易系统故障短期无法恢复等因素），由评标委员会开启投标人递交的全部投标文件光盘，并按光盘内容进行评审。</w:t>
            </w:r>
          </w:p>
          <w:p>
            <w:pPr>
              <w:spacing w:line="264" w:lineRule="auto"/>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3）除发生上述情况外，开标评标均以投标人通过</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交易平台网上递交的电子投标文件为准。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3</w:t>
            </w:r>
            <w:r>
              <w:rPr>
                <w:rFonts w:hint="eastAsia" w:ascii="宋体" w:hAnsi="宋体" w:cs="宋体"/>
                <w:color w:val="auto"/>
                <w:szCs w:val="21"/>
                <w:highlight w:val="none"/>
                <w:lang w:val="en-US" w:eastAsia="zh-CN"/>
              </w:rPr>
              <w:t>7</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招标人拒绝接收投标文件备用光盘的情况</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u w:val="single"/>
              </w:rPr>
            </w:pPr>
            <w:r>
              <w:rPr>
                <w:rFonts w:ascii="宋体" w:hAnsi="宋体" w:cs="宋体"/>
                <w:color w:val="auto"/>
                <w:szCs w:val="21"/>
                <w:highlight w:val="none"/>
                <w:u w:val="single"/>
              </w:rPr>
              <w:t>1、在投标截止期后逾期或未在指定地点递交投标文件备用光盘的；</w:t>
            </w:r>
          </w:p>
          <w:p>
            <w:pPr>
              <w:spacing w:line="264" w:lineRule="auto"/>
              <w:rPr>
                <w:rFonts w:ascii="宋体" w:hAnsi="宋体" w:cs="宋体"/>
                <w:color w:val="auto"/>
                <w:szCs w:val="21"/>
                <w:highlight w:val="none"/>
                <w:u w:val="single"/>
              </w:rPr>
            </w:pPr>
            <w:r>
              <w:rPr>
                <w:rFonts w:ascii="宋体" w:hAnsi="宋体" w:cs="宋体"/>
                <w:color w:val="auto"/>
                <w:szCs w:val="21"/>
                <w:highlight w:val="none"/>
                <w:u w:val="single"/>
              </w:rPr>
              <w:t>2、投标文件备用光盘未按招标文件要求密封或未在密封处盖章的；</w:t>
            </w:r>
          </w:p>
          <w:p>
            <w:pPr>
              <w:spacing w:line="264" w:lineRule="auto"/>
              <w:rPr>
                <w:rFonts w:ascii="宋体" w:hAnsi="宋体" w:cs="宋体"/>
                <w:color w:val="auto"/>
                <w:szCs w:val="21"/>
                <w:highlight w:val="none"/>
                <w:u w:val="single"/>
              </w:rPr>
            </w:pPr>
            <w:r>
              <w:rPr>
                <w:rFonts w:ascii="宋体" w:hAnsi="宋体" w:cs="宋体"/>
                <w:color w:val="auto"/>
                <w:szCs w:val="21"/>
                <w:highlight w:val="none"/>
                <w:u w:val="single"/>
              </w:rPr>
              <w:t>3、投标人代表未凭法定代表人证明书（原件）、授权委托书原件（仅限于非法定代表人）、本人身份证原件递交投标文件备用光盘的。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3</w:t>
            </w:r>
            <w:r>
              <w:rPr>
                <w:rFonts w:hint="eastAsia" w:ascii="宋体" w:hAnsi="宋体" w:cs="宋体"/>
                <w:color w:val="auto"/>
                <w:szCs w:val="21"/>
                <w:highlight w:val="none"/>
                <w:lang w:val="en-US" w:eastAsia="zh-CN"/>
              </w:rPr>
              <w:t>8</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中标公示后中标单位提交投标文件要求</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u w:val="single"/>
              </w:rPr>
            </w:pPr>
            <w:r>
              <w:rPr>
                <w:rFonts w:hint="eastAsia" w:ascii="宋体" w:hAnsi="宋体" w:cs="宋体"/>
                <w:color w:val="auto"/>
                <w:szCs w:val="21"/>
                <w:highlight w:val="none"/>
                <w:u w:val="single"/>
              </w:rPr>
              <w:t>中标人在签订合同前需向招标人另行提供与投标递交的电子标书一致且加盖单位公章的纸质投标文件（含投标人须知</w:t>
            </w:r>
            <w:r>
              <w:rPr>
                <w:rFonts w:ascii="宋体" w:hAnsi="宋体" w:cs="宋体"/>
                <w:color w:val="auto"/>
                <w:szCs w:val="21"/>
                <w:highlight w:val="none"/>
                <w:u w:val="single"/>
              </w:rPr>
              <w:t xml:space="preserve">11.3列表明细包含的所有工程量清单报价表）4份及电子文件1份（不用生成投标书；包括用Microsoft Excel </w:t>
            </w:r>
            <w:r>
              <w:rPr>
                <w:rFonts w:hint="eastAsia" w:ascii="宋体" w:hAnsi="宋体" w:cs="宋体"/>
                <w:color w:val="auto"/>
                <w:szCs w:val="21"/>
                <w:highlight w:val="none"/>
                <w:u w:val="single"/>
              </w:rPr>
              <w:t>软件或广州交易集团有限公司（广州公共资源交易中心）提供的投标书制作软件制作的工程量清单报价表和单价分析表，用</w:t>
            </w:r>
            <w:r>
              <w:rPr>
                <w:rFonts w:ascii="宋体" w:hAnsi="宋体" w:cs="宋体"/>
                <w:color w:val="auto"/>
                <w:szCs w:val="21"/>
                <w:highlight w:val="none"/>
                <w:u w:val="single"/>
              </w:rPr>
              <w:t xml:space="preserve"> Microsoft Word </w:t>
            </w:r>
            <w:r>
              <w:rPr>
                <w:rFonts w:hint="eastAsia" w:ascii="宋体" w:hAnsi="宋体" w:cs="宋体"/>
                <w:color w:val="auto"/>
                <w:szCs w:val="21"/>
                <w:highlight w:val="none"/>
                <w:u w:val="single"/>
              </w:rPr>
              <w:t>软件或广州交易集团有限公司（广州公共资源交易中心）提供的投标书制作软件制作的经济投标文件其他部分。电子文件介质使用</w:t>
            </w:r>
            <w:r>
              <w:rPr>
                <w:rFonts w:ascii="宋体" w:hAnsi="宋体" w:cs="宋体"/>
                <w:color w:val="auto"/>
                <w:szCs w:val="21"/>
                <w:highlight w:val="none"/>
                <w:u w:val="single"/>
              </w:rPr>
              <w:t>CD-R光盘，所有电子文件不能采用压缩处理）。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default" w:ascii="宋体" w:hAnsi="宋体" w:eastAsia="宋体" w:cs="宋体"/>
                <w:color w:val="auto"/>
                <w:szCs w:val="21"/>
                <w:highlight w:val="none"/>
                <w:lang w:val="en-US" w:eastAsia="zh-CN"/>
              </w:rPr>
            </w:pPr>
            <w:r>
              <w:rPr>
                <w:rFonts w:hint="eastAsia" w:ascii="宋体" w:hAnsi="宋体"/>
                <w:color w:val="auto"/>
                <w:szCs w:val="21"/>
                <w:highlight w:val="none"/>
                <w:lang w:val="en-US" w:eastAsia="zh-CN"/>
              </w:rPr>
              <w:t>39</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安全生产责任保险</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u w:val="single"/>
              </w:rPr>
            </w:pPr>
            <w:r>
              <w:rPr>
                <w:rFonts w:hint="eastAsia" w:ascii="宋体" w:hAnsi="宋体" w:cs="宋体"/>
                <w:color w:val="auto"/>
                <w:szCs w:val="21"/>
                <w:highlight w:val="none"/>
                <w:u w:val="single"/>
              </w:rPr>
              <w:t>开工前中标人应当投保安全生产责任保险，且该保险保障场所应包含中标项目。投标人的投标报价视为包含该项目费用。中标人未按规定购买安全生产责任保险，招标人可视严重程度拒绝该单位一定时期内参与后续工程投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eastAsia" w:ascii="宋体" w:hAnsi="宋体" w:eastAsia="宋体" w:cs="宋体"/>
                <w:color w:val="auto"/>
                <w:szCs w:val="21"/>
                <w:highlight w:val="none"/>
                <w:lang w:eastAsia="zh-CN"/>
              </w:rPr>
            </w:pPr>
            <w:r>
              <w:rPr>
                <w:rFonts w:ascii="宋体" w:hAnsi="宋体"/>
                <w:color w:val="auto"/>
                <w:szCs w:val="21"/>
                <w:highlight w:val="none"/>
              </w:rPr>
              <w:t>4</w:t>
            </w:r>
            <w:r>
              <w:rPr>
                <w:rFonts w:hint="eastAsia" w:ascii="宋体" w:hAnsi="宋体"/>
                <w:color w:val="auto"/>
                <w:szCs w:val="21"/>
                <w:highlight w:val="none"/>
                <w:lang w:val="en-US" w:eastAsia="zh-CN"/>
              </w:rPr>
              <w:t>0</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olor w:val="auto"/>
                <w:szCs w:val="21"/>
                <w:highlight w:val="none"/>
              </w:rPr>
              <w:t>绿色发展理念</w:t>
            </w:r>
          </w:p>
        </w:tc>
        <w:tc>
          <w:tcPr>
            <w:tcW w:w="6008" w:type="dxa"/>
            <w:tcBorders>
              <w:top w:val="single" w:color="auto" w:sz="4" w:space="0"/>
              <w:left w:val="single" w:color="auto" w:sz="4" w:space="0"/>
              <w:bottom w:val="single" w:color="auto" w:sz="4" w:space="0"/>
              <w:right w:val="double" w:color="auto" w:sz="4" w:space="0"/>
            </w:tcBorders>
            <w:vAlign w:val="center"/>
          </w:tcPr>
          <w:p>
            <w:pPr>
              <w:spacing w:line="264" w:lineRule="auto"/>
              <w:rPr>
                <w:rFonts w:ascii="宋体" w:hAnsi="宋体" w:cs="宋体"/>
                <w:color w:val="auto"/>
                <w:szCs w:val="21"/>
                <w:highlight w:val="none"/>
                <w:u w:val="single"/>
              </w:rPr>
            </w:pPr>
            <w:r>
              <w:rPr>
                <w:rFonts w:hint="eastAsia" w:ascii="宋体" w:hAnsi="宋体"/>
                <w:color w:val="auto"/>
                <w:szCs w:val="21"/>
                <w:highlight w:val="none"/>
                <w:u w:val="single"/>
              </w:rPr>
              <w:t>为贯彻绿色发展理念，本项目应积极使用氢燃料电池泥头车等新能源工程车，要求投入的新能源工程车占投入的建筑垃圾自卸车（渣土车）总数比例不低于40%。一旦中标，必须全部到位，否则按合同违约处理。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64" w:lineRule="auto"/>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41</w:t>
            </w:r>
          </w:p>
        </w:tc>
        <w:tc>
          <w:tcPr>
            <w:tcW w:w="886"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highlight w:val="none"/>
              </w:rPr>
            </w:pPr>
          </w:p>
        </w:tc>
        <w:tc>
          <w:tcPr>
            <w:tcW w:w="1754"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color w:val="auto"/>
                <w:szCs w:val="21"/>
                <w:highlight w:val="none"/>
              </w:rPr>
            </w:pPr>
            <w:r>
              <w:rPr>
                <w:rFonts w:hint="eastAsia" w:ascii="宋体" w:hAnsi="宋体" w:cs="宋体"/>
                <w:color w:val="auto"/>
                <w:szCs w:val="21"/>
                <w:highlight w:val="none"/>
                <w:u w:val="single"/>
              </w:rPr>
              <w:t>是否授权评标委员会确定中标人</w:t>
            </w:r>
          </w:p>
        </w:tc>
        <w:tc>
          <w:tcPr>
            <w:tcW w:w="6008" w:type="dxa"/>
            <w:tcBorders>
              <w:top w:val="single" w:color="auto" w:sz="4" w:space="0"/>
              <w:left w:val="single" w:color="auto" w:sz="4" w:space="0"/>
              <w:bottom w:val="single" w:color="auto" w:sz="4" w:space="0"/>
              <w:right w:val="double" w:color="auto" w:sz="4" w:space="0"/>
            </w:tcBorders>
            <w:vAlign w:val="center"/>
          </w:tcPr>
          <w:p>
            <w:pPr>
              <w:pStyle w:val="47"/>
              <w:spacing w:after="0" w:line="264" w:lineRule="auto"/>
              <w:ind w:firstLine="0" w:firstLineChars="0"/>
              <w:rPr>
                <w:rFonts w:hint="eastAsia" w:ascii="宋体" w:hAnsi="宋体"/>
                <w:color w:val="auto"/>
                <w:szCs w:val="21"/>
                <w:highlight w:val="none"/>
                <w:u w:val="single"/>
              </w:rPr>
            </w:pPr>
            <w:r>
              <w:rPr>
                <w:rFonts w:hint="eastAsia" w:ascii="宋体" w:hAnsi="宋体" w:cs="宋体"/>
                <w:color w:val="auto"/>
                <w:szCs w:val="21"/>
                <w:highlight w:val="none"/>
                <w:u w:val="single"/>
              </w:rPr>
              <w:t>否</w:t>
            </w:r>
          </w:p>
        </w:tc>
      </w:tr>
    </w:tbl>
    <w:p>
      <w:pPr>
        <w:jc w:val="left"/>
        <w:outlineLvl w:val="9"/>
        <w:rPr>
          <w:rFonts w:hint="eastAsia" w:ascii="宋体" w:hAnsi="宋体" w:cs="宋体"/>
          <w:strike/>
          <w:color w:val="auto"/>
          <w:kern w:val="0"/>
          <w:szCs w:val="21"/>
          <w:highlight w:val="none"/>
        </w:rPr>
        <w:sectPr>
          <w:footerReference r:id="rId10" w:type="first"/>
          <w:footerReference r:id="rId8" w:type="default"/>
          <w:headerReference r:id="rId7" w:type="even"/>
          <w:footerReference r:id="rId9" w:type="even"/>
          <w:endnotePr>
            <w:numFmt w:val="decimal"/>
          </w:endnotePr>
          <w:pgSz w:w="11906" w:h="16838"/>
          <w:pgMar w:top="1134" w:right="1418" w:bottom="1247" w:left="1418" w:header="851" w:footer="907" w:gutter="0"/>
          <w:pgNumType w:fmt="decimal" w:start="1"/>
          <w:cols w:space="720" w:num="1"/>
          <w:titlePg/>
          <w:docGrid w:type="lines" w:linePitch="312" w:charSpace="0"/>
        </w:sectPr>
      </w:pPr>
      <w:bookmarkStart w:id="13" w:name="_Toc26413"/>
      <w:r>
        <w:rPr>
          <w:rFonts w:hint="eastAsia" w:ascii="宋体" w:hAnsi="宋体" w:cs="宋体"/>
          <w:strike/>
          <w:color w:val="auto"/>
          <w:szCs w:val="21"/>
          <w:highlight w:val="none"/>
        </w:rPr>
        <w:t>注：</w:t>
      </w:r>
      <w:r>
        <w:rPr>
          <w:rFonts w:hint="eastAsia" w:ascii="宋体" w:hAnsi="宋体" w:cs="宋体"/>
          <w:strike/>
          <w:color w:val="auto"/>
          <w:szCs w:val="21"/>
          <w:highlight w:val="none"/>
          <w:u w:val="single"/>
        </w:rPr>
        <w:t>企业的诚信综合评价排名以投标截止当日广州市工程招标代理行业协会网站施工企业专栏上公布的企业</w:t>
      </w:r>
      <w:r>
        <w:rPr>
          <w:rFonts w:ascii="宋体" w:hAnsi="宋体" w:cs="宋体"/>
          <w:strike/>
          <w:color w:val="auto"/>
          <w:szCs w:val="21"/>
          <w:highlight w:val="none"/>
          <w:u w:val="single"/>
        </w:rPr>
        <w:t>60日诚信分排名为准</w:t>
      </w:r>
      <w:r>
        <w:rPr>
          <w:rFonts w:hint="eastAsia" w:ascii="宋体" w:hAnsi="宋体" w:cs="宋体"/>
          <w:strike/>
          <w:color w:val="auto"/>
          <w:kern w:val="0"/>
          <w:szCs w:val="21"/>
          <w:highlight w:val="none"/>
        </w:rPr>
        <w:t>，以下同。</w:t>
      </w:r>
    </w:p>
    <w:p>
      <w:pPr>
        <w:jc w:val="center"/>
        <w:outlineLvl w:val="1"/>
        <w:rPr>
          <w:rFonts w:ascii="宋体" w:hAnsi="宋体"/>
          <w:color w:val="auto"/>
          <w:highlight w:val="none"/>
        </w:rPr>
      </w:pPr>
      <w:bookmarkStart w:id="14" w:name="_Toc4562"/>
      <w:bookmarkStart w:id="15" w:name="_Toc112397807"/>
      <w:bookmarkStart w:id="16" w:name="_Toc2272547"/>
      <w:r>
        <w:rPr>
          <w:rFonts w:hint="eastAsia" w:ascii="宋体" w:hAnsi="宋体"/>
          <w:b/>
          <w:color w:val="auto"/>
          <w:kern w:val="2"/>
          <w:sz w:val="24"/>
          <w:szCs w:val="24"/>
          <w:highlight w:val="none"/>
        </w:rPr>
        <w:t>二、投标须知修改表</w:t>
      </w:r>
      <w:bookmarkEnd w:id="13"/>
      <w:bookmarkEnd w:id="14"/>
      <w:bookmarkEnd w:id="15"/>
      <w:bookmarkEnd w:id="16"/>
    </w:p>
    <w:p>
      <w:pPr>
        <w:pStyle w:val="47"/>
        <w:pBdr>
          <w:bottom w:val="single" w:color="auto" w:sz="6" w:space="1"/>
        </w:pBdr>
        <w:spacing w:line="360" w:lineRule="auto"/>
        <w:rPr>
          <w:rFonts w:ascii="宋体" w:hAnsi="宋体" w:cs="宋体"/>
          <w:b/>
          <w:color w:val="auto"/>
          <w:szCs w:val="21"/>
          <w:highlight w:val="none"/>
        </w:rPr>
      </w:pPr>
      <w:r>
        <w:rPr>
          <w:rFonts w:hint="eastAsia" w:ascii="宋体" w:hAnsi="宋体" w:cs="宋体"/>
          <w:b/>
          <w:color w:val="auto"/>
          <w:szCs w:val="21"/>
          <w:highlight w:val="none"/>
        </w:rPr>
        <w:t>声明：本投标须知使用</w:t>
      </w:r>
      <w:r>
        <w:rPr>
          <w:rFonts w:ascii="宋体" w:hAnsi="宋体" w:cs="宋体"/>
          <w:b/>
          <w:color w:val="auto"/>
          <w:szCs w:val="21"/>
          <w:highlight w:val="none"/>
        </w:rPr>
        <w:t>GZZB2018-3招标文件范本的投标须知通用条款，与该通用条款不同之处，均在本表中列明，并以现文为准，原文不再有效。本招标文件中不再转录投标须知通用条款，请投标人自行到广州市住房和城乡建设局网站（</w:t>
      </w:r>
      <w:r>
        <w:rPr>
          <w:rFonts w:hint="eastAsia" w:ascii="宋体" w:hAnsi="宋体" w:cs="宋体"/>
          <w:b/>
          <w:color w:val="auto"/>
          <w:szCs w:val="21"/>
          <w:highlight w:val="none"/>
          <w:u w:val="single"/>
        </w:rPr>
        <w:t>网址：</w:t>
      </w:r>
      <w:r>
        <w:rPr>
          <w:rFonts w:ascii="宋体" w:hAnsi="宋体" w:cs="宋体"/>
          <w:b/>
          <w:color w:val="auto"/>
          <w:szCs w:val="21"/>
          <w:highlight w:val="none"/>
          <w:u w:val="single"/>
        </w:rPr>
        <w:t>http://zfcj.gz.gov.cn/</w:t>
      </w:r>
      <w:r>
        <w:rPr>
          <w:rFonts w:hint="eastAsia" w:ascii="宋体" w:hAnsi="宋体" w:cs="宋体"/>
          <w:b/>
          <w:color w:val="auto"/>
          <w:szCs w:val="21"/>
          <w:highlight w:val="none"/>
        </w:rPr>
        <w:t>）下载查阅。</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2.5                          </w:t>
      </w:r>
      <w:r>
        <w:rPr>
          <w:rFonts w:hint="eastAsia" w:ascii="宋体" w:hAnsi="宋体" w:cs="宋体"/>
          <w:b/>
          <w:color w:val="auto"/>
          <w:szCs w:val="21"/>
          <w:highlight w:val="none"/>
        </w:rPr>
        <w:t>修改类型：增加</w:t>
      </w:r>
    </w:p>
    <w:p>
      <w:pPr>
        <w:pStyle w:val="47"/>
        <w:pBdr>
          <w:bottom w:val="single" w:color="auto" w:sz="6" w:space="1"/>
        </w:pBdr>
        <w:spacing w:after="0"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2.5</w:t>
      </w:r>
      <w:r>
        <w:rPr>
          <w:rFonts w:hint="eastAsia" w:ascii="宋体" w:hAnsi="宋体" w:cs="宋体"/>
          <w:color w:val="auto"/>
          <w:szCs w:val="21"/>
          <w:highlight w:val="none"/>
        </w:rPr>
        <w:t>建设单位和中标人均不得委托近二年（从招标公告发布年度起逆推</w:t>
      </w:r>
      <w:r>
        <w:rPr>
          <w:rFonts w:ascii="宋体" w:hAnsi="宋体" w:cs="宋体"/>
          <w:color w:val="auto"/>
          <w:szCs w:val="21"/>
          <w:highlight w:val="none"/>
        </w:rPr>
        <w:t>2年的1月1日起至投标截止时间止）因伪造检测数据、出具虚假检测报告被各级建设行政主管部门或市场监督管理部门行政处罚或通报的检测单位负责本项目的检测工作。</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5.1                          </w:t>
      </w:r>
      <w:r>
        <w:rPr>
          <w:rFonts w:hint="eastAsia" w:ascii="宋体" w:hAnsi="宋体" w:cs="宋体"/>
          <w:b/>
          <w:color w:val="auto"/>
          <w:szCs w:val="21"/>
          <w:highlight w:val="none"/>
        </w:rPr>
        <w:t>修改类型：修改</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w:t>
      </w:r>
      <w:r>
        <w:rPr>
          <w:rFonts w:ascii="宋体" w:hAnsi="宋体" w:cs="宋体"/>
          <w:color w:val="auto"/>
          <w:szCs w:val="21"/>
          <w:highlight w:val="none"/>
        </w:rPr>
        <w:t>5.1</w:t>
      </w:r>
      <w:r>
        <w:rPr>
          <w:rFonts w:hint="eastAsia" w:ascii="宋体" w:hAnsi="宋体" w:cs="宋体"/>
          <w:bCs/>
          <w:color w:val="auto"/>
          <w:szCs w:val="21"/>
          <w:highlight w:val="none"/>
        </w:rPr>
        <w:t>投标人应按本投标须知前附表第</w:t>
      </w:r>
      <w:r>
        <w:rPr>
          <w:rFonts w:ascii="宋体" w:hAnsi="宋体" w:cs="宋体"/>
          <w:bCs/>
          <w:color w:val="auto"/>
          <w:szCs w:val="21"/>
          <w:highlight w:val="none"/>
        </w:rPr>
        <w:t>15项所述时间和要求对工程现场及周围环境进行踏勘，</w:t>
      </w:r>
      <w:r>
        <w:rPr>
          <w:rFonts w:hint="eastAsia" w:ascii="宋体" w:hAnsi="宋体" w:cs="宋体"/>
          <w:color w:val="auto"/>
          <w:szCs w:val="21"/>
          <w:highlight w:val="none"/>
        </w:rPr>
        <w:t>投标人应充分重视和仔细地进行这种考察，</w:t>
      </w:r>
      <w:r>
        <w:rPr>
          <w:rFonts w:hint="eastAsia" w:ascii="宋体" w:hAnsi="宋体" w:cs="宋体"/>
          <w:bCs/>
          <w:color w:val="auto"/>
          <w:szCs w:val="21"/>
          <w:highlight w:val="none"/>
        </w:rPr>
        <w:t>以便投标人获取</w:t>
      </w:r>
      <w:r>
        <w:rPr>
          <w:rFonts w:hint="eastAsia" w:ascii="宋体" w:hAnsi="宋体" w:cs="宋体"/>
          <w:color w:val="auto"/>
          <w:szCs w:val="21"/>
          <w:highlight w:val="none"/>
        </w:rPr>
        <w:t>那些须投标人自己负责的</w:t>
      </w:r>
      <w:r>
        <w:rPr>
          <w:rFonts w:hint="eastAsia" w:ascii="宋体" w:hAnsi="宋体" w:cs="宋体"/>
          <w:bCs/>
          <w:color w:val="auto"/>
          <w:szCs w:val="21"/>
          <w:highlight w:val="none"/>
        </w:rPr>
        <w:t>有关编制投标文件和签署合同所涉及现场所有的资料。</w:t>
      </w:r>
      <w:r>
        <w:rPr>
          <w:rFonts w:hint="eastAsia" w:ascii="宋体" w:hAnsi="宋体" w:cs="宋体"/>
          <w:color w:val="auto"/>
          <w:szCs w:val="21"/>
          <w:highlight w:val="none"/>
        </w:rPr>
        <w:t>一旦中标，这种考察即被认为其结果已在中标文件中得到充分反映。考察现场的费用由投标人自己承担。</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5.1投标人应按本投标须知前附表第15项所述时间和要求对工程现场及周围环境进行踏勘，投标人应充分重视和仔细地进行这种考察，以便投标人获取那些须投标人自己负责的有关编制投标文件和签署合同所涉及现场所有的资料。</w:t>
      </w:r>
      <w:r>
        <w:rPr>
          <w:rFonts w:hint="eastAsia" w:ascii="宋体" w:hAnsi="宋体" w:cs="宋体"/>
          <w:color w:val="auto"/>
          <w:szCs w:val="21"/>
          <w:highlight w:val="none"/>
          <w:u w:val="single"/>
        </w:rPr>
        <w:t>投标人不进行踏勘的，视为已熟知现场条件，自行承担相关风险</w:t>
      </w:r>
      <w:r>
        <w:rPr>
          <w:rFonts w:hint="eastAsia" w:ascii="宋体" w:hAnsi="宋体" w:cs="宋体"/>
          <w:color w:val="auto"/>
          <w:szCs w:val="21"/>
          <w:highlight w:val="none"/>
        </w:rPr>
        <w:t>。一旦中标，这种考察即被认为其结果已在中标文件中得到充分反映。</w:t>
      </w:r>
      <w:r>
        <w:rPr>
          <w:rFonts w:hint="eastAsia" w:ascii="宋体" w:hAnsi="宋体" w:cs="宋体"/>
          <w:color w:val="auto"/>
          <w:szCs w:val="21"/>
          <w:highlight w:val="none"/>
          <w:u w:val="single"/>
        </w:rPr>
        <w:t>招标人不受理因投标人缺乏对现场条件的了解或掌握而提出的任何索赔。</w:t>
      </w:r>
      <w:r>
        <w:rPr>
          <w:rFonts w:hint="eastAsia" w:ascii="宋体" w:hAnsi="宋体" w:cs="宋体"/>
          <w:color w:val="auto"/>
          <w:szCs w:val="21"/>
          <w:highlight w:val="none"/>
        </w:rPr>
        <w:t>考察现场的费用由投标人自己承担。</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8.1                          </w:t>
      </w:r>
      <w:r>
        <w:rPr>
          <w:rFonts w:hint="eastAsia" w:ascii="宋体" w:hAnsi="宋体" w:cs="宋体"/>
          <w:b/>
          <w:color w:val="auto"/>
          <w:szCs w:val="21"/>
          <w:highlight w:val="none"/>
        </w:rPr>
        <w:t>修改类型：修改</w:t>
      </w:r>
    </w:p>
    <w:p>
      <w:pPr>
        <w:pStyle w:val="47"/>
        <w:pBdr>
          <w:bottom w:val="single" w:color="auto" w:sz="6" w:space="1"/>
        </w:pBdr>
        <w:spacing w:after="0"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8.1投标人若对招标文件（包括招标图纸）中有疑问，可以书面形式通过</w:t>
      </w:r>
      <w:r>
        <w:rPr>
          <w:rFonts w:ascii="宋体" w:hAnsi="宋体" w:cs="宋体"/>
          <w:color w:val="auto"/>
          <w:szCs w:val="21"/>
          <w:highlight w:val="none"/>
          <w:u w:val="single"/>
        </w:rPr>
        <w:t xml:space="preserve">        </w:t>
      </w:r>
      <w:r>
        <w:rPr>
          <w:rFonts w:hint="eastAsia" w:ascii="宋体" w:hAnsi="宋体" w:cs="宋体"/>
          <w:color w:val="auto"/>
          <w:szCs w:val="21"/>
          <w:highlight w:val="none"/>
        </w:rPr>
        <w:t>交易平台提交给招标人或招标代理人，提交形式见本须知前附表第</w:t>
      </w:r>
      <w:r>
        <w:rPr>
          <w:rFonts w:ascii="宋体" w:hAnsi="宋体" w:cs="宋体"/>
          <w:color w:val="auto"/>
          <w:szCs w:val="21"/>
          <w:highlight w:val="none"/>
        </w:rPr>
        <w:t>16项。</w:t>
      </w:r>
    </w:p>
    <w:p>
      <w:pPr>
        <w:pStyle w:val="47"/>
        <w:pBdr>
          <w:bottom w:val="single" w:color="auto" w:sz="6" w:space="1"/>
        </w:pBdr>
        <w:spacing w:after="0"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8.1</w:t>
      </w:r>
      <w:r>
        <w:rPr>
          <w:rFonts w:hint="eastAsia" w:ascii="宋体" w:hAnsi="宋体" w:cs="宋体"/>
          <w:bCs/>
          <w:color w:val="auto"/>
          <w:szCs w:val="21"/>
          <w:highlight w:val="none"/>
          <w:u w:val="single"/>
        </w:rPr>
        <w:t>投标人若对招标文件（包括招标图纸、清单、最高投标限价）中有疑问，采用网上答疑方式进行，详见本须知前附表第</w:t>
      </w:r>
      <w:r>
        <w:rPr>
          <w:rFonts w:ascii="宋体" w:hAnsi="宋体" w:cs="宋体"/>
          <w:bCs/>
          <w:color w:val="auto"/>
          <w:szCs w:val="21"/>
          <w:highlight w:val="none"/>
          <w:u w:val="single"/>
        </w:rPr>
        <w:t>16项。招标人或招标代理人将于本须知前附表第16项指定的地点（交易平台）和时间对疑问进行答复。</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8.2                         </w:t>
      </w:r>
      <w:r>
        <w:rPr>
          <w:rFonts w:hint="eastAsia" w:ascii="宋体" w:hAnsi="宋体" w:cs="宋体"/>
          <w:b/>
          <w:color w:val="auto"/>
          <w:szCs w:val="21"/>
          <w:highlight w:val="none"/>
        </w:rPr>
        <w:t>修改类型：修改</w:t>
      </w:r>
    </w:p>
    <w:p>
      <w:pPr>
        <w:pStyle w:val="47"/>
        <w:spacing w:after="0"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8.2招标答疑会会议纪要将在提交投标文件截止时间15日前在</w:t>
      </w:r>
      <w:r>
        <w:rPr>
          <w:rFonts w:ascii="宋体" w:hAnsi="宋体" w:cs="宋体"/>
          <w:color w:val="auto"/>
          <w:szCs w:val="21"/>
          <w:highlight w:val="none"/>
          <w:u w:val="single"/>
        </w:rPr>
        <w:t xml:space="preserve">        </w:t>
      </w:r>
      <w:r>
        <w:rPr>
          <w:rFonts w:hint="eastAsia" w:ascii="宋体" w:hAnsi="宋体" w:cs="宋体"/>
          <w:color w:val="auto"/>
          <w:szCs w:val="21"/>
          <w:highlight w:val="none"/>
        </w:rPr>
        <w:t>交易平台</w:t>
      </w:r>
      <w:r>
        <w:rPr>
          <w:rFonts w:ascii="宋体" w:hAnsi="宋体" w:cs="宋体"/>
          <w:color w:val="auto"/>
          <w:szCs w:val="21"/>
          <w:highlight w:val="none"/>
        </w:rPr>
        <w:t xml:space="preserve"> </w:t>
      </w:r>
      <w:r>
        <w:rPr>
          <w:rFonts w:hint="eastAsia" w:ascii="宋体" w:hAnsi="宋体" w:cs="宋体"/>
          <w:color w:val="auto"/>
          <w:szCs w:val="21"/>
          <w:highlight w:val="none"/>
        </w:rPr>
        <w:t>“项目答疑纪要”专区公开发布。答疑纪要一经在</w:t>
      </w:r>
      <w:r>
        <w:rPr>
          <w:rFonts w:ascii="宋体" w:hAnsi="宋体" w:cs="宋体"/>
          <w:color w:val="auto"/>
          <w:szCs w:val="21"/>
          <w:highlight w:val="none"/>
          <w:u w:val="single"/>
        </w:rPr>
        <w:t xml:space="preserve">        </w:t>
      </w:r>
      <w:r>
        <w:rPr>
          <w:rFonts w:hint="eastAsia" w:ascii="宋体" w:hAnsi="宋体" w:cs="宋体"/>
          <w:color w:val="auto"/>
          <w:szCs w:val="21"/>
          <w:highlight w:val="none"/>
        </w:rPr>
        <w:t>交易平台发布，视作已发放给所有投标人。</w:t>
      </w:r>
    </w:p>
    <w:p>
      <w:pPr>
        <w:pStyle w:val="47"/>
        <w:pBdr>
          <w:bottom w:val="single" w:color="auto" w:sz="4" w:space="1"/>
        </w:pBdr>
        <w:spacing w:line="360" w:lineRule="auto"/>
        <w:ind w:firstLine="411" w:firstLineChars="195"/>
        <w:rPr>
          <w:rFonts w:hint="eastAsia"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8.2招标答疑会会议纪要将在提交投标文件截止时间15日前在</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w:t>
      </w:r>
      <w:r>
        <w:rPr>
          <w:color w:val="auto"/>
          <w:highlight w:val="none"/>
        </w:rPr>
        <w:fldChar w:fldCharType="begin"/>
      </w:r>
      <w:r>
        <w:rPr>
          <w:color w:val="auto"/>
          <w:highlight w:val="none"/>
        </w:rPr>
        <w:instrText xml:space="preserve"> HYPERLINK "http://ggzy.gz.gov.cn/xmcxjsgc/index.jhtml" </w:instrText>
      </w:r>
      <w:r>
        <w:rPr>
          <w:color w:val="auto"/>
          <w:highlight w:val="none"/>
        </w:rPr>
        <w:fldChar w:fldCharType="separate"/>
      </w:r>
      <w:r>
        <w:rPr>
          <w:rFonts w:hint="eastAsia" w:ascii="宋体" w:hAnsi="宋体" w:cs="宋体"/>
          <w:color w:val="auto"/>
          <w:szCs w:val="21"/>
          <w:highlight w:val="none"/>
          <w:u w:val="single"/>
        </w:rPr>
        <w:t>项目查询</w:t>
      </w:r>
      <w:r>
        <w:rPr>
          <w:rFonts w:ascii="宋体" w:hAnsi="宋体" w:cs="宋体"/>
          <w:color w:val="auto"/>
          <w:szCs w:val="21"/>
          <w:highlight w:val="none"/>
          <w:u w:val="single"/>
        </w:rPr>
        <w:t>(日程安排、答疑纪要)</w:t>
      </w:r>
      <w:r>
        <w:rPr>
          <w:rFonts w:ascii="宋体" w:hAnsi="宋体" w:cs="宋体"/>
          <w:color w:val="auto"/>
          <w:szCs w:val="21"/>
          <w:highlight w:val="none"/>
          <w:u w:val="single"/>
        </w:rPr>
        <w:fldChar w:fldCharType="end"/>
      </w:r>
      <w:r>
        <w:rPr>
          <w:rFonts w:hint="eastAsia" w:ascii="宋体" w:hAnsi="宋体" w:cs="宋体"/>
          <w:color w:val="auto"/>
          <w:szCs w:val="21"/>
          <w:highlight w:val="none"/>
        </w:rPr>
        <w:t>”专区公开发布。答疑纪要一经在</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交易平台发布，视作已发放给所有投标人。</w:t>
      </w:r>
    </w:p>
    <w:p>
      <w:pPr>
        <w:spacing w:line="40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条款号：8.4             修改类型：修改</w:t>
      </w:r>
    </w:p>
    <w:p>
      <w:pPr>
        <w:spacing w:line="400" w:lineRule="exact"/>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8.4若招标答疑会会议纪要与招标文件有矛盾，以答疑会议纪要最后发出的书面形式的文件为准。</w:t>
      </w:r>
    </w:p>
    <w:p>
      <w:pPr>
        <w:pBdr>
          <w:bottom w:val="single" w:color="auto" w:sz="6" w:space="1"/>
        </w:pBdr>
        <w:spacing w:after="0" w:line="400" w:lineRule="exact"/>
        <w:ind w:firstLine="527" w:firstLineChars="250"/>
        <w:rPr>
          <w:rFonts w:hint="eastAsia"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8.4若招标答疑纪要与招标文件有矛盾时，以</w:t>
      </w:r>
      <w:r>
        <w:rPr>
          <w:rFonts w:hint="eastAsia" w:ascii="宋体" w:hAnsi="宋体" w:eastAsia="宋体" w:cs="宋体"/>
          <w:color w:val="auto"/>
          <w:szCs w:val="21"/>
          <w:highlight w:val="none"/>
          <w:u w:val="single"/>
          <w:lang w:eastAsia="zh-CN"/>
        </w:rPr>
        <w:t>广州交易集团有限公司（广州公共资源交易中心）</w:t>
      </w:r>
      <w:r>
        <w:rPr>
          <w:rFonts w:hint="eastAsia" w:ascii="宋体" w:hAnsi="宋体" w:cs="宋体"/>
          <w:color w:val="auto"/>
          <w:szCs w:val="21"/>
          <w:highlight w:val="none"/>
          <w:u w:val="single"/>
        </w:rPr>
        <w:t>网站</w:t>
      </w:r>
      <w:r>
        <w:rPr>
          <w:rFonts w:hint="eastAsia" w:ascii="宋体" w:hAnsi="宋体" w:cs="宋体"/>
          <w:color w:val="auto"/>
          <w:szCs w:val="21"/>
          <w:highlight w:val="none"/>
        </w:rPr>
        <w:t>最后发布的答疑纪要为准。</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9.2                         </w:t>
      </w:r>
      <w:r>
        <w:rPr>
          <w:rFonts w:hint="eastAsia" w:ascii="宋体" w:hAnsi="宋体" w:cs="宋体"/>
          <w:b/>
          <w:color w:val="auto"/>
          <w:szCs w:val="21"/>
          <w:highlight w:val="none"/>
        </w:rPr>
        <w:t>修改类型：修改</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9.2招标文件的澄清或修改将在</w:t>
      </w:r>
      <w:r>
        <w:rPr>
          <w:rFonts w:ascii="宋体" w:hAnsi="宋体" w:cs="宋体"/>
          <w:color w:val="auto"/>
          <w:szCs w:val="21"/>
          <w:highlight w:val="none"/>
          <w:u w:val="single"/>
        </w:rPr>
        <w:t xml:space="preserve">        </w:t>
      </w:r>
      <w:r>
        <w:rPr>
          <w:rFonts w:hint="eastAsia" w:ascii="宋体" w:hAnsi="宋体" w:cs="宋体"/>
          <w:color w:val="auto"/>
          <w:szCs w:val="21"/>
          <w:highlight w:val="none"/>
        </w:rPr>
        <w:t>交易平台“项目答疑纪要”专区公开发布。答疑纪要一经在</w:t>
      </w:r>
      <w:r>
        <w:rPr>
          <w:rFonts w:ascii="宋体" w:hAnsi="宋体" w:cs="宋体"/>
          <w:color w:val="auto"/>
          <w:szCs w:val="21"/>
          <w:highlight w:val="none"/>
          <w:u w:val="single"/>
        </w:rPr>
        <w:t xml:space="preserve">        </w:t>
      </w:r>
      <w:r>
        <w:rPr>
          <w:rFonts w:hint="eastAsia" w:ascii="宋体" w:hAnsi="宋体" w:cs="宋体"/>
          <w:color w:val="auto"/>
          <w:szCs w:val="21"/>
          <w:highlight w:val="none"/>
        </w:rPr>
        <w:t>交易平台发布，视作已发放给所有投标人，以</w:t>
      </w:r>
      <w:r>
        <w:rPr>
          <w:rFonts w:ascii="宋体" w:hAnsi="宋体" w:cs="宋体"/>
          <w:color w:val="auto"/>
          <w:szCs w:val="21"/>
          <w:highlight w:val="none"/>
          <w:u w:val="single"/>
        </w:rPr>
        <w:t xml:space="preserve">        </w:t>
      </w:r>
      <w:r>
        <w:rPr>
          <w:rFonts w:hint="eastAsia" w:ascii="宋体" w:hAnsi="宋体" w:cs="宋体"/>
          <w:color w:val="auto"/>
          <w:szCs w:val="21"/>
          <w:highlight w:val="none"/>
        </w:rPr>
        <w:t>交易平台上网发布时间作为送达时间。</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9.2招标文件的澄清或修改将在</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w:t>
      </w:r>
      <w:r>
        <w:rPr>
          <w:color w:val="auto"/>
          <w:highlight w:val="none"/>
        </w:rPr>
        <w:fldChar w:fldCharType="begin"/>
      </w:r>
      <w:r>
        <w:rPr>
          <w:color w:val="auto"/>
          <w:highlight w:val="none"/>
        </w:rPr>
        <w:instrText xml:space="preserve"> HYPERLINK "http://ggzy.gz.gov.cn/xmcxjsgc/index.jhtml" </w:instrText>
      </w:r>
      <w:r>
        <w:rPr>
          <w:color w:val="auto"/>
          <w:highlight w:val="none"/>
        </w:rPr>
        <w:fldChar w:fldCharType="separate"/>
      </w:r>
      <w:r>
        <w:rPr>
          <w:rFonts w:hint="eastAsia" w:ascii="宋体" w:hAnsi="宋体" w:cs="宋体"/>
          <w:color w:val="auto"/>
          <w:szCs w:val="21"/>
          <w:highlight w:val="none"/>
          <w:u w:val="single"/>
        </w:rPr>
        <w:t>项目查询</w:t>
      </w:r>
      <w:r>
        <w:rPr>
          <w:rFonts w:ascii="宋体" w:hAnsi="宋体" w:cs="宋体"/>
          <w:color w:val="auto"/>
          <w:szCs w:val="21"/>
          <w:highlight w:val="none"/>
          <w:u w:val="single"/>
        </w:rPr>
        <w:t>(日程安排、答疑纪要)</w:t>
      </w:r>
      <w:r>
        <w:rPr>
          <w:rFonts w:ascii="宋体" w:hAnsi="宋体" w:cs="宋体"/>
          <w:color w:val="auto"/>
          <w:szCs w:val="21"/>
          <w:highlight w:val="none"/>
          <w:u w:val="single"/>
        </w:rPr>
        <w:fldChar w:fldCharType="end"/>
      </w:r>
      <w:r>
        <w:rPr>
          <w:rFonts w:hint="eastAsia" w:ascii="宋体" w:hAnsi="宋体" w:cs="宋体"/>
          <w:color w:val="auto"/>
          <w:szCs w:val="21"/>
          <w:highlight w:val="none"/>
        </w:rPr>
        <w:t>”专区公开发布。答疑纪要一经在</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交易平台发布，视作已发放给所有投标人，以</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交易平台上网发布时间作为送达时间。</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9.4                         </w:t>
      </w:r>
      <w:r>
        <w:rPr>
          <w:rFonts w:hint="eastAsia" w:ascii="宋体" w:hAnsi="宋体" w:cs="宋体"/>
          <w:b/>
          <w:color w:val="auto"/>
          <w:szCs w:val="21"/>
          <w:highlight w:val="none"/>
        </w:rPr>
        <w:t>修改类型：修改</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9.4招标文件的澄清或修改均以书面形式明确的内容为准。当招标文件的澄清、修改、补充等在同一内容的表述不一致时，以最后发出的书面形式的文件为准。</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9.4招标文件的澄清或修改均以</w:t>
      </w:r>
      <w:r>
        <w:rPr>
          <w:rFonts w:hint="eastAsia" w:ascii="宋体" w:hAnsi="宋体" w:cs="宋体"/>
          <w:color w:val="auto"/>
          <w:szCs w:val="21"/>
          <w:highlight w:val="none"/>
          <w:u w:val="single"/>
        </w:rPr>
        <w:t>广州交易集团有限公司（广州公共资源交易中心）网上答疑公布</w:t>
      </w:r>
      <w:r>
        <w:rPr>
          <w:rFonts w:hint="eastAsia" w:ascii="宋体" w:hAnsi="宋体" w:cs="宋体"/>
          <w:color w:val="auto"/>
          <w:szCs w:val="21"/>
          <w:highlight w:val="none"/>
        </w:rPr>
        <w:t>的内容为准。当招标文件的澄清、修改、补充等在同一内容的表述不一致时，以</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u w:val="single"/>
          <w:lang w:eastAsia="zh-CN"/>
        </w:rPr>
        <w:t>网站</w:t>
      </w:r>
      <w:r>
        <w:rPr>
          <w:rFonts w:hint="eastAsia" w:ascii="宋体" w:hAnsi="宋体" w:cs="宋体"/>
          <w:color w:val="auto"/>
          <w:szCs w:val="21"/>
          <w:highlight w:val="none"/>
        </w:rPr>
        <w:t>最后发出的</w:t>
      </w:r>
      <w:r>
        <w:rPr>
          <w:rFonts w:hint="eastAsia" w:ascii="宋体" w:hAnsi="宋体" w:cs="宋体"/>
          <w:color w:val="auto"/>
          <w:szCs w:val="21"/>
          <w:highlight w:val="none"/>
          <w:u w:val="single"/>
        </w:rPr>
        <w:t>文件</w:t>
      </w:r>
      <w:r>
        <w:rPr>
          <w:rFonts w:hint="eastAsia" w:ascii="宋体" w:hAnsi="宋体" w:cs="宋体"/>
          <w:color w:val="auto"/>
          <w:szCs w:val="21"/>
          <w:highlight w:val="none"/>
        </w:rPr>
        <w:t>为准。</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11.2                       </w:t>
      </w:r>
      <w:r>
        <w:rPr>
          <w:rFonts w:hint="eastAsia" w:ascii="宋体" w:hAnsi="宋体" w:cs="宋体"/>
          <w:b/>
          <w:color w:val="auto"/>
          <w:szCs w:val="21"/>
          <w:highlight w:val="none"/>
        </w:rPr>
        <w:t>修改类型：修改</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原文：</w:t>
      </w:r>
    </w:p>
    <w:p>
      <w:pPr>
        <w:spacing w:line="360" w:lineRule="auto"/>
        <w:ind w:firstLine="409" w:firstLineChars="195"/>
        <w:rPr>
          <w:rFonts w:ascii="宋体" w:hAnsi="宋体" w:cs="宋体"/>
          <w:bCs/>
          <w:color w:val="auto"/>
          <w:szCs w:val="21"/>
          <w:highlight w:val="none"/>
        </w:rPr>
      </w:pPr>
      <w:r>
        <w:rPr>
          <w:rFonts w:ascii="宋体" w:hAnsi="宋体" w:cs="宋体"/>
          <w:bCs/>
          <w:color w:val="auto"/>
          <w:szCs w:val="21"/>
          <w:highlight w:val="none"/>
        </w:rPr>
        <w:t>11.2投标文件技术标部分主要包括下列内容:</w:t>
      </w:r>
    </w:p>
    <w:p>
      <w:pPr>
        <w:spacing w:line="360" w:lineRule="auto"/>
        <w:ind w:firstLine="409" w:firstLineChars="195"/>
        <w:rPr>
          <w:rFonts w:ascii="宋体" w:hAnsi="宋体" w:cs="宋体"/>
          <w:bCs/>
          <w:color w:val="auto"/>
          <w:szCs w:val="21"/>
          <w:highlight w:val="none"/>
        </w:rPr>
      </w:pPr>
      <w:r>
        <w:rPr>
          <w:rFonts w:ascii="宋体" w:hAnsi="宋体" w:cs="宋体"/>
          <w:bCs/>
          <w:color w:val="auto"/>
          <w:szCs w:val="21"/>
          <w:highlight w:val="none"/>
        </w:rPr>
        <w:t xml:space="preserve">11.2.1 </w:t>
      </w:r>
      <w:r>
        <w:rPr>
          <w:rFonts w:hint="eastAsia" w:ascii="宋体" w:hAnsi="宋体" w:cs="宋体"/>
          <w:bCs/>
          <w:color w:val="auto"/>
          <w:szCs w:val="21"/>
          <w:highlight w:val="none"/>
        </w:rPr>
        <w:t>技术投标文件</w:t>
      </w:r>
      <w:r>
        <w:rPr>
          <w:rFonts w:ascii="宋体" w:hAnsi="宋体" w:cs="宋体"/>
          <w:color w:val="auto"/>
          <w:szCs w:val="21"/>
          <w:highlight w:val="none"/>
        </w:rPr>
        <w:t>(按招标文件的要求填写)</w:t>
      </w:r>
      <w:r>
        <w:rPr>
          <w:rFonts w:hint="eastAsia" w:ascii="宋体" w:hAnsi="宋体" w:cs="宋体"/>
          <w:bCs/>
          <w:color w:val="auto"/>
          <w:szCs w:val="21"/>
          <w:highlight w:val="none"/>
        </w:rPr>
        <w:t>；</w:t>
      </w:r>
    </w:p>
    <w:p>
      <w:pPr>
        <w:spacing w:line="360" w:lineRule="auto"/>
        <w:ind w:firstLine="409" w:firstLineChars="195"/>
        <w:rPr>
          <w:rFonts w:ascii="宋体" w:hAnsi="宋体" w:cs="宋体"/>
          <w:bCs/>
          <w:color w:val="auto"/>
          <w:szCs w:val="21"/>
          <w:highlight w:val="none"/>
        </w:rPr>
      </w:pPr>
      <w:r>
        <w:rPr>
          <w:rFonts w:ascii="宋体" w:hAnsi="宋体" w:cs="宋体"/>
          <w:bCs/>
          <w:color w:val="auto"/>
          <w:szCs w:val="21"/>
          <w:highlight w:val="none"/>
        </w:rPr>
        <w:t xml:space="preserve">11.2.2 </w:t>
      </w:r>
      <w:r>
        <w:rPr>
          <w:rFonts w:hint="eastAsia" w:ascii="宋体" w:hAnsi="宋体" w:cs="宋体"/>
          <w:bCs/>
          <w:color w:val="auto"/>
          <w:szCs w:val="21"/>
          <w:highlight w:val="none"/>
        </w:rPr>
        <w:t>资格审查文件：</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1）投标人声明；</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2）法定代表人证明书、法定代表人签字或盖章的本投标文件授权委托证明书；</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3）企业营业执照（取自平台内上传件）；</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4）企业资质证书（取自平台内上传件）；</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5）建筑施工企业安全生产许可证（取自平台内上传件）；</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6）项目负责人（按网上投标登记时选择拟投标的项目负责人）</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7）专职安全员（按网上投标登记时选择拟投标的专职安全员）</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8）拟委托技术负责人的相关证书、资料（具体要求由招标人明确）</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9）拟委派项目负责人的建造师注册证书（取自平台内上传件）；</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10）项目负责人安全生产考核合格证明或在有效期内的安全考核合格证书（B类）或建筑施工企业项目负责人安全生产考核合格证书（取自平台内上传件）；</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11）专职安全员须具有在有效期内的安全考核合格证书（C类）或建筑施工企业专职安全生产管理人员安全生产考核合格证书（取自平台内上传件）；</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12）用于资格审查的业绩（设置业绩要求时选择此项，投标人</w:t>
      </w:r>
      <w:r>
        <w:rPr>
          <w:rFonts w:hint="eastAsia" w:ascii="宋体" w:hAnsi="宋体" w:cs="宋体"/>
          <w:color w:val="auto"/>
          <w:szCs w:val="21"/>
          <w:highlight w:val="none"/>
        </w:rPr>
        <w:t>须提供类似工程业绩的项目名称及项目编号，具体格式由招标人自定</w:t>
      </w:r>
      <w:r>
        <w:rPr>
          <w:rFonts w:hint="eastAsia" w:ascii="宋体" w:hAnsi="宋体" w:cs="宋体"/>
          <w:bCs/>
          <w:color w:val="auto"/>
          <w:szCs w:val="21"/>
          <w:highlight w:val="none"/>
        </w:rPr>
        <w:t>）；</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13）资格审查前，投标人须在广州市住房和城乡建设局建立企业信用档案，拟担任本工程项目负责人、专职安全员须是本企业信用档案中的在册人员</w:t>
      </w:r>
      <w:r>
        <w:rPr>
          <w:rFonts w:hint="eastAsia" w:ascii="宋体" w:hAnsi="宋体" w:cs="宋体"/>
          <w:bCs/>
          <w:color w:val="auto"/>
          <w:szCs w:val="21"/>
          <w:highlight w:val="none"/>
        </w:rPr>
        <w:t>；</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14）列明主办单位的联合体工作协议（采用联合体投标时需递交，投标人拟任本工程项目负责人、专职安全员应为联合体主办方信用档案中的在册人员，联合体工作协议应明确约定各方拟承担的工作和责任）；</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15）</w:t>
      </w:r>
      <w:r>
        <w:rPr>
          <w:rFonts w:hint="eastAsia" w:ascii="宋体" w:hAnsi="宋体" w:cs="宋体"/>
          <w:color w:val="auto"/>
          <w:szCs w:val="21"/>
          <w:highlight w:val="none"/>
        </w:rPr>
        <w:t>投标人具有在广州地区可使用适合本工程的机械设备的证明文件（提供沥青摊铺机自有发票或权属证明及设备现场全貌彩照（彩照须能反映其规格型号））。（含有市政道路面层沥青摊铺且沥青摊铺占预计发包价</w:t>
      </w:r>
      <w:r>
        <w:rPr>
          <w:rFonts w:ascii="宋体" w:hAnsi="宋体" w:cs="宋体"/>
          <w:color w:val="auto"/>
          <w:szCs w:val="21"/>
          <w:highlight w:val="none"/>
        </w:rPr>
        <w:t>50%或以上的大、中修市政公用工程需提供该项内容的证明文件）。</w:t>
      </w:r>
    </w:p>
    <w:p>
      <w:pPr>
        <w:spacing w:line="360" w:lineRule="auto"/>
        <w:ind w:firstLine="409" w:firstLineChars="195"/>
        <w:rPr>
          <w:rFonts w:ascii="宋体" w:hAnsi="宋体" w:cs="宋体"/>
          <w:color w:val="auto"/>
          <w:szCs w:val="21"/>
          <w:highlight w:val="none"/>
        </w:rPr>
      </w:pPr>
      <w:r>
        <w:rPr>
          <w:rFonts w:ascii="宋体" w:hAnsi="宋体" w:cs="宋体"/>
          <w:color w:val="auto"/>
          <w:szCs w:val="21"/>
          <w:highlight w:val="none"/>
        </w:rPr>
        <w:t>11.2.3项目管理机构配备。</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1）投标人应列出该项目工程的施工组织机构构成和画出机构框架图及其负责人；</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2）投标人应详细列出该施工组织机构中主要成员的名单、简历资料、职务职称和在本项目中拟担任的职务等资料，并附上有关证明材料扫描件；</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3）其他辅助说明资料。</w:t>
      </w:r>
    </w:p>
    <w:p>
      <w:pPr>
        <w:spacing w:line="360" w:lineRule="auto"/>
        <w:ind w:firstLine="409" w:firstLineChars="195"/>
        <w:rPr>
          <w:rFonts w:ascii="宋体" w:hAnsi="宋体" w:cs="宋体"/>
          <w:color w:val="auto"/>
          <w:szCs w:val="21"/>
          <w:highlight w:val="none"/>
        </w:rPr>
      </w:pPr>
      <w:r>
        <w:rPr>
          <w:rFonts w:ascii="宋体" w:hAnsi="宋体" w:cs="宋体"/>
          <w:color w:val="auto"/>
          <w:szCs w:val="21"/>
          <w:highlight w:val="none"/>
        </w:rPr>
        <w:t>11.2.4投标人在广州市可使用适合本工程的机械设备（附：机械设备为自有或租赁的说明；及承诺机械设备如属于租赁的，其租赁是不属于重复租赁）。</w:t>
      </w:r>
    </w:p>
    <w:p>
      <w:pPr>
        <w:tabs>
          <w:tab w:val="left" w:pos="1125"/>
        </w:tabs>
        <w:spacing w:line="360" w:lineRule="auto"/>
        <w:ind w:firstLine="409" w:firstLineChars="195"/>
        <w:rPr>
          <w:rFonts w:ascii="宋体" w:hAnsi="宋体" w:cs="宋体"/>
          <w:color w:val="auto"/>
          <w:szCs w:val="21"/>
          <w:highlight w:val="none"/>
        </w:rPr>
      </w:pPr>
      <w:r>
        <w:rPr>
          <w:rFonts w:ascii="宋体" w:hAnsi="宋体" w:cs="宋体"/>
          <w:color w:val="auto"/>
          <w:szCs w:val="21"/>
          <w:highlight w:val="none"/>
        </w:rPr>
        <w:t>11.2.5施工组织设计或施工方案。</w:t>
      </w:r>
    </w:p>
    <w:p>
      <w:pPr>
        <w:tabs>
          <w:tab w:val="left" w:pos="1125"/>
        </w:tabs>
        <w:spacing w:line="360" w:lineRule="auto"/>
        <w:ind w:firstLine="409" w:firstLineChars="195"/>
        <w:rPr>
          <w:rFonts w:ascii="宋体" w:hAnsi="宋体" w:cs="宋体"/>
          <w:color w:val="auto"/>
          <w:szCs w:val="21"/>
          <w:highlight w:val="none"/>
        </w:rPr>
      </w:pPr>
      <w:r>
        <w:rPr>
          <w:rFonts w:ascii="宋体" w:hAnsi="宋体" w:cs="宋体"/>
          <w:color w:val="auto"/>
          <w:szCs w:val="21"/>
          <w:highlight w:val="none"/>
        </w:rPr>
        <w:t>11.2.6按照</w:t>
      </w:r>
      <w:r>
        <w:rPr>
          <w:rFonts w:hint="eastAsia" w:ascii="宋体" w:hAnsi="宋体" w:cs="宋体"/>
          <w:bCs/>
          <w:color w:val="auto"/>
          <w:szCs w:val="21"/>
          <w:highlight w:val="none"/>
        </w:rPr>
        <w:t>招标文件要求</w:t>
      </w:r>
      <w:r>
        <w:rPr>
          <w:rFonts w:hint="eastAsia" w:ascii="宋体" w:hAnsi="宋体" w:cs="宋体"/>
          <w:color w:val="auto"/>
          <w:szCs w:val="21"/>
          <w:highlight w:val="none"/>
        </w:rPr>
        <w:t>填写的《参与编制技术标投标文件人员名单》。</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现文：</w:t>
      </w:r>
    </w:p>
    <w:p>
      <w:pPr>
        <w:spacing w:line="360" w:lineRule="auto"/>
        <w:ind w:firstLine="409" w:firstLineChars="195"/>
        <w:rPr>
          <w:rFonts w:hint="eastAsia" w:ascii="宋体" w:hAnsi="宋体" w:eastAsia="宋体" w:cs="宋体"/>
          <w:bCs/>
          <w:color w:val="auto"/>
          <w:szCs w:val="21"/>
          <w:highlight w:val="none"/>
          <w:lang w:eastAsia="zh-CN"/>
        </w:rPr>
      </w:pPr>
      <w:r>
        <w:rPr>
          <w:rFonts w:ascii="宋体" w:hAnsi="宋体" w:cs="宋体"/>
          <w:bCs/>
          <w:color w:val="auto"/>
          <w:szCs w:val="21"/>
          <w:highlight w:val="none"/>
        </w:rPr>
        <w:t>11.2投标文件技术标部分主要包括下列内容</w:t>
      </w:r>
      <w:r>
        <w:rPr>
          <w:rFonts w:hint="eastAsia" w:ascii="宋体" w:hAnsi="宋体" w:cs="宋体"/>
          <w:color w:val="auto"/>
          <w:szCs w:val="21"/>
          <w:highlight w:val="none"/>
          <w:u w:val="single"/>
        </w:rPr>
        <w:t>（除注明原件外，均为</w:t>
      </w:r>
      <w:r>
        <w:rPr>
          <w:rFonts w:hint="eastAsia" w:ascii="宋体" w:hAnsi="宋体" w:cs="宋体"/>
          <w:color w:val="auto"/>
          <w:szCs w:val="21"/>
          <w:highlight w:val="none"/>
          <w:u w:val="single"/>
          <w:lang w:eastAsia="zh-CN"/>
        </w:rPr>
        <w:t>扫描件</w:t>
      </w:r>
      <w:r>
        <w:rPr>
          <w:rFonts w:hint="eastAsia" w:ascii="宋体" w:hAnsi="宋体" w:cs="宋体"/>
          <w:color w:val="auto"/>
          <w:szCs w:val="21"/>
          <w:highlight w:val="none"/>
          <w:u w:val="single"/>
        </w:rPr>
        <w:t>即可）</w:t>
      </w:r>
      <w:r>
        <w:rPr>
          <w:rFonts w:hint="eastAsia" w:ascii="宋体" w:hAnsi="宋体" w:cs="宋体"/>
          <w:bCs/>
          <w:color w:val="auto"/>
          <w:szCs w:val="21"/>
          <w:highlight w:val="none"/>
          <w:lang w:eastAsia="zh-CN"/>
        </w:rPr>
        <w:t>：</w:t>
      </w:r>
    </w:p>
    <w:p>
      <w:pPr>
        <w:spacing w:line="360" w:lineRule="auto"/>
        <w:ind w:firstLine="409" w:firstLineChars="195"/>
        <w:rPr>
          <w:rFonts w:ascii="宋体" w:hAnsi="宋体" w:cs="宋体"/>
          <w:bCs/>
          <w:color w:val="auto"/>
          <w:szCs w:val="21"/>
          <w:highlight w:val="none"/>
        </w:rPr>
      </w:pPr>
      <w:r>
        <w:rPr>
          <w:rFonts w:ascii="宋体" w:hAnsi="宋体" w:cs="宋体"/>
          <w:bCs/>
          <w:color w:val="auto"/>
          <w:szCs w:val="21"/>
          <w:highlight w:val="none"/>
        </w:rPr>
        <w:t>11.2.1</w:t>
      </w:r>
      <w:r>
        <w:rPr>
          <w:rFonts w:hint="eastAsia" w:ascii="宋体" w:hAnsi="宋体" w:cs="宋体"/>
          <w:bCs/>
          <w:color w:val="auto"/>
          <w:szCs w:val="21"/>
          <w:highlight w:val="none"/>
          <w:u w:val="single"/>
        </w:rPr>
        <w:t>广州建设工程施工招标投标书</w:t>
      </w:r>
      <w:r>
        <w:rPr>
          <w:rFonts w:ascii="宋体" w:hAnsi="宋体" w:cs="宋体"/>
          <w:bCs/>
          <w:color w:val="auto"/>
          <w:szCs w:val="21"/>
          <w:highlight w:val="none"/>
          <w:u w:val="single"/>
        </w:rPr>
        <w:t>(需按招标文件第四章要求的格式填写，具体格式以《广州建设工程施工招标投标书（技术标）》为准；电子投标管理软件编制的“广州建设工程施工招标投标书”不作为否决投标的条件</w:t>
      </w:r>
      <w:r>
        <w:rPr>
          <w:rFonts w:hint="eastAsia" w:ascii="宋体" w:hAnsi="宋体" w:cs="宋体"/>
          <w:bCs/>
          <w:color w:val="auto"/>
          <w:szCs w:val="21"/>
          <w:highlight w:val="none"/>
          <w:u w:val="single"/>
        </w:rPr>
        <w:t>。</w:t>
      </w:r>
    </w:p>
    <w:p>
      <w:pPr>
        <w:spacing w:line="360" w:lineRule="auto"/>
        <w:ind w:firstLine="409" w:firstLineChars="195"/>
        <w:rPr>
          <w:rFonts w:ascii="宋体" w:hAnsi="宋体" w:cs="宋体"/>
          <w:bCs/>
          <w:color w:val="auto"/>
          <w:szCs w:val="21"/>
          <w:highlight w:val="none"/>
        </w:rPr>
      </w:pPr>
      <w:r>
        <w:rPr>
          <w:rFonts w:ascii="宋体" w:hAnsi="宋体" w:cs="宋体"/>
          <w:bCs/>
          <w:color w:val="auto"/>
          <w:szCs w:val="21"/>
          <w:highlight w:val="none"/>
        </w:rPr>
        <w:t xml:space="preserve">11.2.2 </w:t>
      </w:r>
      <w:r>
        <w:rPr>
          <w:rFonts w:hint="eastAsia" w:ascii="宋体" w:hAnsi="宋体" w:cs="宋体"/>
          <w:bCs/>
          <w:color w:val="auto"/>
          <w:szCs w:val="21"/>
          <w:highlight w:val="none"/>
        </w:rPr>
        <w:t>资格审查文件：</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1）投标人声明</w:t>
      </w:r>
      <w:r>
        <w:rPr>
          <w:rFonts w:hint="eastAsia" w:ascii="宋体" w:hAnsi="宋体" w:cs="宋体"/>
          <w:bCs/>
          <w:color w:val="auto"/>
          <w:szCs w:val="21"/>
          <w:highlight w:val="none"/>
          <w:u w:val="single"/>
        </w:rPr>
        <w:t>（须按招标公告附件内容及格式要求编制）</w:t>
      </w:r>
      <w:r>
        <w:rPr>
          <w:rFonts w:hint="eastAsia" w:ascii="宋体" w:hAnsi="宋体" w:cs="宋体"/>
          <w:bCs/>
          <w:color w:val="auto"/>
          <w:szCs w:val="21"/>
          <w:highlight w:val="none"/>
        </w:rPr>
        <w:t>；</w:t>
      </w:r>
    </w:p>
    <w:p>
      <w:pPr>
        <w:spacing w:line="372"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2）法定代表人证明书、法定代表人签字或盖章的本投标文件授权委托证明书</w:t>
      </w:r>
      <w:r>
        <w:rPr>
          <w:rFonts w:hint="eastAsia" w:ascii="宋体" w:hAnsi="宋体" w:cs="宋体"/>
          <w:bCs/>
          <w:color w:val="auto"/>
          <w:szCs w:val="21"/>
          <w:highlight w:val="none"/>
          <w:u w:val="single"/>
        </w:rPr>
        <w:t>（</w:t>
      </w:r>
      <w:r>
        <w:rPr>
          <w:rFonts w:ascii="宋体" w:hAnsi="宋体" w:cs="宋体"/>
          <w:bCs/>
          <w:color w:val="auto"/>
          <w:szCs w:val="21"/>
          <w:highlight w:val="none"/>
          <w:u w:val="single"/>
        </w:rPr>
        <w:t>联合体</w:t>
      </w:r>
      <w:r>
        <w:rPr>
          <w:rFonts w:hint="eastAsia" w:ascii="宋体" w:hAnsi="宋体" w:cs="宋体"/>
          <w:bCs/>
          <w:color w:val="auto"/>
          <w:szCs w:val="21"/>
          <w:highlight w:val="none"/>
          <w:u w:val="single"/>
        </w:rPr>
        <w:t>主办方提供）</w:t>
      </w:r>
      <w:r>
        <w:rPr>
          <w:rFonts w:hint="eastAsia" w:ascii="宋体" w:hAnsi="宋体" w:cs="宋体"/>
          <w:bCs/>
          <w:color w:val="auto"/>
          <w:szCs w:val="21"/>
          <w:highlight w:val="none"/>
        </w:rPr>
        <w:t>；</w:t>
      </w:r>
    </w:p>
    <w:p>
      <w:pPr>
        <w:spacing w:line="372"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3）企业营业执照</w:t>
      </w:r>
      <w:r>
        <w:rPr>
          <w:rFonts w:hint="eastAsia" w:ascii="宋体" w:hAnsi="宋体"/>
          <w:bCs/>
          <w:color w:val="auto"/>
          <w:szCs w:val="21"/>
          <w:highlight w:val="none"/>
          <w:u w:val="single"/>
        </w:rPr>
        <w:t>（联合体各成员）</w:t>
      </w:r>
      <w:r>
        <w:rPr>
          <w:rFonts w:hint="eastAsia" w:ascii="宋体" w:hAnsi="宋体" w:cs="宋体"/>
          <w:bCs/>
          <w:color w:val="auto"/>
          <w:szCs w:val="21"/>
          <w:highlight w:val="none"/>
        </w:rPr>
        <w:t>（</w:t>
      </w:r>
      <w:r>
        <w:rPr>
          <w:rFonts w:hint="eastAsia" w:ascii="宋体" w:hAnsi="宋体" w:cs="宋体"/>
          <w:bCs/>
          <w:color w:val="auto"/>
          <w:szCs w:val="21"/>
          <w:highlight w:val="none"/>
          <w:u w:val="single"/>
        </w:rPr>
        <w:t>扫描件</w:t>
      </w:r>
      <w:r>
        <w:rPr>
          <w:rFonts w:hint="eastAsia" w:ascii="宋体" w:hAnsi="宋体" w:cs="宋体"/>
          <w:bCs/>
          <w:color w:val="auto"/>
          <w:szCs w:val="21"/>
          <w:highlight w:val="none"/>
        </w:rPr>
        <w:t>）；</w:t>
      </w:r>
    </w:p>
    <w:p>
      <w:pPr>
        <w:spacing w:line="372"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4）企业资质证书</w:t>
      </w:r>
      <w:r>
        <w:rPr>
          <w:rFonts w:hint="eastAsia" w:ascii="宋体" w:hAnsi="宋体"/>
          <w:bCs/>
          <w:color w:val="auto"/>
          <w:szCs w:val="21"/>
          <w:highlight w:val="none"/>
          <w:u w:val="single"/>
        </w:rPr>
        <w:t>（联合体各成员）</w:t>
      </w:r>
      <w:r>
        <w:rPr>
          <w:rFonts w:hint="eastAsia" w:ascii="宋体" w:hAnsi="宋体" w:cs="宋体"/>
          <w:bCs/>
          <w:color w:val="auto"/>
          <w:szCs w:val="21"/>
          <w:highlight w:val="none"/>
        </w:rPr>
        <w:t>（</w:t>
      </w:r>
      <w:r>
        <w:rPr>
          <w:rFonts w:hint="eastAsia" w:ascii="宋体" w:hAnsi="宋体" w:cs="宋体"/>
          <w:bCs/>
          <w:color w:val="auto"/>
          <w:szCs w:val="21"/>
          <w:highlight w:val="none"/>
          <w:u w:val="single"/>
        </w:rPr>
        <w:t>扫描件</w:t>
      </w:r>
      <w:r>
        <w:rPr>
          <w:rFonts w:hint="eastAsia" w:ascii="宋体" w:hAnsi="宋体" w:cs="宋体"/>
          <w:bCs/>
          <w:color w:val="auto"/>
          <w:szCs w:val="21"/>
          <w:highlight w:val="none"/>
        </w:rPr>
        <w:t>）；</w:t>
      </w:r>
    </w:p>
    <w:p>
      <w:pPr>
        <w:spacing w:line="372"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5）建筑施工企业安全生产许可证</w:t>
      </w:r>
      <w:r>
        <w:rPr>
          <w:rFonts w:hint="eastAsia" w:ascii="宋体" w:hAnsi="宋体"/>
          <w:bCs/>
          <w:color w:val="auto"/>
          <w:szCs w:val="21"/>
          <w:highlight w:val="none"/>
          <w:u w:val="single"/>
        </w:rPr>
        <w:t>（联合体各成员）</w:t>
      </w:r>
      <w:r>
        <w:rPr>
          <w:rFonts w:hint="eastAsia" w:ascii="宋体" w:hAnsi="宋体" w:cs="宋体"/>
          <w:bCs/>
          <w:color w:val="auto"/>
          <w:szCs w:val="21"/>
          <w:highlight w:val="none"/>
        </w:rPr>
        <w:t>（</w:t>
      </w:r>
      <w:r>
        <w:rPr>
          <w:rFonts w:hint="eastAsia" w:ascii="宋体" w:hAnsi="宋体" w:cs="宋体"/>
          <w:bCs/>
          <w:color w:val="auto"/>
          <w:szCs w:val="21"/>
          <w:highlight w:val="none"/>
          <w:u w:val="single"/>
        </w:rPr>
        <w:t>扫描件</w:t>
      </w:r>
      <w:r>
        <w:rPr>
          <w:rFonts w:hint="eastAsia" w:ascii="宋体" w:hAnsi="宋体" w:cs="宋体"/>
          <w:bCs/>
          <w:color w:val="auto"/>
          <w:szCs w:val="21"/>
          <w:highlight w:val="none"/>
        </w:rPr>
        <w:t>）；</w:t>
      </w:r>
    </w:p>
    <w:p>
      <w:pPr>
        <w:spacing w:line="372"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6）项目负责人（按网上投标登记时选择拟投标的项目负责人）；</w:t>
      </w:r>
    </w:p>
    <w:p>
      <w:pPr>
        <w:spacing w:line="372"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7）专职安全员（按网上投标登记时选择拟投标的专职安全员）；</w:t>
      </w:r>
    </w:p>
    <w:p>
      <w:pPr>
        <w:spacing w:line="372"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8）</w:t>
      </w:r>
      <w:r>
        <w:rPr>
          <w:rFonts w:hint="eastAsia" w:ascii="宋体" w:hAnsi="宋体" w:cs="宋体"/>
          <w:bCs/>
          <w:color w:val="auto"/>
          <w:szCs w:val="21"/>
          <w:highlight w:val="none"/>
          <w:u w:val="single"/>
        </w:rPr>
        <w:t>拟委派技术负责人的职称证书（扫描件）；</w:t>
      </w:r>
    </w:p>
    <w:p>
      <w:pPr>
        <w:spacing w:line="372"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9）</w:t>
      </w:r>
      <w:r>
        <w:rPr>
          <w:rFonts w:hint="eastAsia" w:ascii="宋体" w:hAnsi="宋体" w:cs="宋体"/>
          <w:bCs/>
          <w:color w:val="auto"/>
          <w:szCs w:val="21"/>
          <w:highlight w:val="none"/>
          <w:u w:val="single"/>
        </w:rPr>
        <w:t>拟委派项目负责人的建造师证书（扫描件）</w:t>
      </w:r>
      <w:r>
        <w:rPr>
          <w:rFonts w:hint="eastAsia" w:ascii="宋体" w:hAnsi="宋体" w:cs="宋体"/>
          <w:bCs/>
          <w:color w:val="auto"/>
          <w:szCs w:val="21"/>
          <w:highlight w:val="none"/>
        </w:rPr>
        <w:t>；</w:t>
      </w:r>
    </w:p>
    <w:p>
      <w:pPr>
        <w:spacing w:line="372"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10）项目负责人</w:t>
      </w:r>
      <w:r>
        <w:rPr>
          <w:rFonts w:ascii="宋体" w:hAnsi="宋体" w:cs="宋体"/>
          <w:bCs/>
          <w:color w:val="auto"/>
          <w:szCs w:val="21"/>
          <w:highlight w:val="none"/>
          <w:u w:val="single"/>
        </w:rPr>
        <w:t>安全生产考核合格证书</w:t>
      </w:r>
      <w:r>
        <w:rPr>
          <w:rFonts w:ascii="宋体" w:hAnsi="宋体" w:cs="宋体"/>
          <w:bCs/>
          <w:color w:val="auto"/>
          <w:szCs w:val="21"/>
          <w:highlight w:val="none"/>
        </w:rPr>
        <w:t>或在有效期内的</w:t>
      </w:r>
      <w:r>
        <w:rPr>
          <w:rFonts w:ascii="宋体" w:hAnsi="宋体" w:cs="宋体"/>
          <w:bCs/>
          <w:color w:val="auto"/>
          <w:szCs w:val="21"/>
          <w:highlight w:val="none"/>
          <w:u w:val="single"/>
        </w:rPr>
        <w:t>安全生产考核合格证书（B类）</w:t>
      </w:r>
      <w:r>
        <w:rPr>
          <w:rFonts w:ascii="宋体" w:hAnsi="宋体" w:cs="宋体"/>
          <w:bCs/>
          <w:color w:val="auto"/>
          <w:szCs w:val="21"/>
          <w:highlight w:val="none"/>
        </w:rPr>
        <w:t>或建筑施工企业项目负责人安全生产考核合格证书（</w:t>
      </w:r>
      <w:r>
        <w:rPr>
          <w:rFonts w:hint="eastAsia" w:ascii="宋体" w:hAnsi="宋体" w:cs="宋体"/>
          <w:bCs/>
          <w:color w:val="auto"/>
          <w:szCs w:val="21"/>
          <w:highlight w:val="none"/>
          <w:u w:val="single"/>
        </w:rPr>
        <w:t>扫描件</w:t>
      </w:r>
      <w:r>
        <w:rPr>
          <w:rFonts w:hint="eastAsia" w:ascii="宋体" w:hAnsi="宋体" w:cs="宋体"/>
          <w:bCs/>
          <w:color w:val="auto"/>
          <w:szCs w:val="21"/>
          <w:highlight w:val="none"/>
        </w:rPr>
        <w:t>）；</w:t>
      </w:r>
    </w:p>
    <w:p>
      <w:pPr>
        <w:spacing w:line="372"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11）专职安全员须具有在有效期内的</w:t>
      </w:r>
      <w:r>
        <w:rPr>
          <w:rFonts w:ascii="宋体" w:hAnsi="宋体" w:cs="宋体"/>
          <w:bCs/>
          <w:color w:val="auto"/>
          <w:szCs w:val="21"/>
          <w:highlight w:val="none"/>
          <w:u w:val="single"/>
        </w:rPr>
        <w:t>安全生产考核合格证书（C类）</w:t>
      </w:r>
      <w:r>
        <w:rPr>
          <w:rFonts w:ascii="宋体" w:hAnsi="宋体" w:cs="宋体"/>
          <w:bCs/>
          <w:color w:val="auto"/>
          <w:szCs w:val="21"/>
          <w:highlight w:val="none"/>
        </w:rPr>
        <w:t>或建筑施工企业专职安全生产管理人员安全生产考核合格证书</w:t>
      </w:r>
      <w:r>
        <w:rPr>
          <w:rFonts w:hint="eastAsia" w:ascii="宋体" w:hAnsi="宋体" w:cs="宋体"/>
          <w:bCs/>
          <w:color w:val="auto"/>
          <w:szCs w:val="21"/>
          <w:highlight w:val="none"/>
          <w:u w:val="single"/>
        </w:rPr>
        <w:t>（</w:t>
      </w:r>
      <w:r>
        <w:rPr>
          <w:rFonts w:ascii="宋体" w:hAnsi="宋体" w:cs="宋体"/>
          <w:bCs/>
          <w:color w:val="auto"/>
          <w:szCs w:val="21"/>
          <w:highlight w:val="none"/>
          <w:u w:val="single"/>
        </w:rPr>
        <w:t>C3类）</w:t>
      </w:r>
      <w:r>
        <w:rPr>
          <w:rFonts w:hint="eastAsia" w:ascii="宋体" w:hAnsi="宋体" w:cs="宋体"/>
          <w:bCs/>
          <w:color w:val="auto"/>
          <w:szCs w:val="21"/>
          <w:highlight w:val="none"/>
        </w:rPr>
        <w:t>（</w:t>
      </w:r>
      <w:r>
        <w:rPr>
          <w:rFonts w:hint="eastAsia" w:ascii="宋体" w:hAnsi="宋体" w:cs="宋体"/>
          <w:bCs/>
          <w:color w:val="auto"/>
          <w:szCs w:val="21"/>
          <w:highlight w:val="none"/>
          <w:u w:val="single"/>
        </w:rPr>
        <w:t>扫描件</w:t>
      </w:r>
      <w:r>
        <w:rPr>
          <w:rFonts w:hint="eastAsia" w:ascii="宋体" w:hAnsi="宋体" w:cs="宋体"/>
          <w:bCs/>
          <w:color w:val="auto"/>
          <w:szCs w:val="21"/>
          <w:highlight w:val="none"/>
        </w:rPr>
        <w:t>）；</w:t>
      </w:r>
    </w:p>
    <w:p>
      <w:pPr>
        <w:spacing w:line="372" w:lineRule="auto"/>
        <w:ind w:firstLine="409" w:firstLineChars="195"/>
        <w:rPr>
          <w:rFonts w:ascii="宋体" w:hAnsi="宋体" w:cs="宋体"/>
          <w:bCs/>
          <w:color w:val="auto"/>
          <w:szCs w:val="21"/>
          <w:highlight w:val="none"/>
          <w:u w:val="single"/>
        </w:rPr>
      </w:pPr>
      <w:r>
        <w:rPr>
          <w:rFonts w:hint="eastAsia" w:ascii="宋体" w:hAnsi="宋体" w:cs="宋体"/>
          <w:bCs/>
          <w:color w:val="auto"/>
          <w:szCs w:val="21"/>
          <w:highlight w:val="none"/>
          <w:u w:val="single"/>
        </w:rPr>
        <w:t>（</w:t>
      </w:r>
      <w:r>
        <w:rPr>
          <w:rFonts w:ascii="宋体" w:hAnsi="宋体" w:cs="宋体"/>
          <w:bCs/>
          <w:color w:val="auto"/>
          <w:szCs w:val="21"/>
          <w:highlight w:val="none"/>
          <w:u w:val="single"/>
        </w:rPr>
        <w:t>1</w:t>
      </w:r>
      <w:r>
        <w:rPr>
          <w:rFonts w:hint="eastAsia" w:ascii="宋体" w:hAnsi="宋体" w:cs="宋体"/>
          <w:bCs/>
          <w:color w:val="auto"/>
          <w:szCs w:val="21"/>
          <w:highlight w:val="none"/>
          <w:u w:val="single"/>
          <w:lang w:val="en-US" w:eastAsia="zh-CN"/>
        </w:rPr>
        <w:t>2</w:t>
      </w:r>
      <w:r>
        <w:rPr>
          <w:rFonts w:hint="eastAsia" w:ascii="宋体" w:hAnsi="宋体" w:cs="宋体"/>
          <w:bCs/>
          <w:color w:val="auto"/>
          <w:szCs w:val="21"/>
          <w:highlight w:val="none"/>
          <w:u w:val="single"/>
        </w:rPr>
        <w:t>）列明主办单位的联合体工作协议（采用联合体投标时需递交，投标人拟任本工程项目负责人、专职安全员应为联合体主办方信息登记中的在册人员，联合体工作协议应明确约定各方拟承担的工作和责任）。</w:t>
      </w:r>
    </w:p>
    <w:p>
      <w:pPr>
        <w:spacing w:line="372" w:lineRule="auto"/>
        <w:ind w:firstLine="409" w:firstLineChars="195"/>
        <w:rPr>
          <w:rFonts w:ascii="宋体" w:hAnsi="宋体" w:cs="宋体"/>
          <w:bCs/>
          <w:color w:val="auto"/>
          <w:szCs w:val="21"/>
          <w:highlight w:val="none"/>
          <w:u w:val="single"/>
        </w:rPr>
      </w:pPr>
      <w:r>
        <w:rPr>
          <w:rFonts w:hint="eastAsia" w:ascii="宋体" w:hAnsi="宋体" w:cs="宋体"/>
          <w:bCs/>
          <w:color w:val="auto"/>
          <w:szCs w:val="21"/>
          <w:highlight w:val="none"/>
          <w:u w:val="single"/>
        </w:rPr>
        <w:t>（1</w:t>
      </w:r>
      <w:r>
        <w:rPr>
          <w:rFonts w:hint="eastAsia" w:ascii="宋体" w:hAnsi="宋体" w:cs="宋体"/>
          <w:bCs/>
          <w:color w:val="auto"/>
          <w:szCs w:val="21"/>
          <w:highlight w:val="none"/>
          <w:u w:val="single"/>
          <w:lang w:val="en-US" w:eastAsia="zh-CN"/>
        </w:rPr>
        <w:t>3</w:t>
      </w:r>
      <w:r>
        <w:rPr>
          <w:rFonts w:hint="eastAsia" w:ascii="宋体" w:hAnsi="宋体" w:cs="宋体"/>
          <w:bCs/>
          <w:color w:val="auto"/>
          <w:szCs w:val="21"/>
          <w:highlight w:val="none"/>
          <w:u w:val="single"/>
        </w:rPr>
        <w:t>）投标登记前，投标人（联合体各成员）须在广州交易集团有限公司（广州公共资源交易中心）办理企业信息登记及拟担任本工程项目负责人、专职安全员须是本企业（联合体主办方）信息登记信息中的在册人员。（提供网页信息截图）</w:t>
      </w:r>
    </w:p>
    <w:p>
      <w:pPr>
        <w:spacing w:line="372" w:lineRule="auto"/>
        <w:ind w:firstLine="409" w:firstLineChars="195"/>
        <w:rPr>
          <w:rFonts w:ascii="宋体" w:hAnsi="宋体" w:cs="宋体"/>
          <w:bCs/>
          <w:color w:val="auto"/>
          <w:szCs w:val="21"/>
          <w:highlight w:val="none"/>
          <w:u w:val="single"/>
        </w:rPr>
      </w:pPr>
      <w:r>
        <w:rPr>
          <w:rFonts w:hint="eastAsia" w:ascii="宋体" w:hAnsi="宋体" w:cs="宋体"/>
          <w:bCs/>
          <w:color w:val="auto"/>
          <w:szCs w:val="21"/>
          <w:highlight w:val="none"/>
          <w:u w:val="single"/>
        </w:rPr>
        <w:t>（</w:t>
      </w:r>
      <w:r>
        <w:rPr>
          <w:rFonts w:ascii="宋体" w:hAnsi="宋体" w:cs="宋体"/>
          <w:bCs/>
          <w:color w:val="auto"/>
          <w:szCs w:val="21"/>
          <w:highlight w:val="none"/>
          <w:u w:val="single"/>
        </w:rPr>
        <w:t>1</w:t>
      </w:r>
      <w:r>
        <w:rPr>
          <w:rFonts w:hint="eastAsia" w:ascii="宋体" w:hAnsi="宋体" w:cs="宋体"/>
          <w:bCs/>
          <w:color w:val="auto"/>
          <w:szCs w:val="21"/>
          <w:highlight w:val="none"/>
          <w:u w:val="single"/>
          <w:lang w:val="en-US" w:eastAsia="zh-CN"/>
        </w:rPr>
        <w:t>4</w:t>
      </w:r>
      <w:r>
        <w:rPr>
          <w:rFonts w:hint="eastAsia" w:ascii="宋体" w:hAnsi="宋体" w:cs="宋体"/>
          <w:bCs/>
          <w:color w:val="auto"/>
          <w:szCs w:val="21"/>
          <w:highlight w:val="none"/>
          <w:u w:val="single"/>
        </w:rPr>
        <w:t>）投标人（联合体各成员）未被列入拖欠农民工工资失信联合惩戒对象名单；</w:t>
      </w:r>
    </w:p>
    <w:p>
      <w:pPr>
        <w:spacing w:line="372" w:lineRule="auto"/>
        <w:ind w:firstLine="409" w:firstLineChars="195"/>
        <w:rPr>
          <w:rFonts w:ascii="宋体" w:hAnsi="宋体" w:cs="宋体"/>
          <w:bCs/>
          <w:color w:val="auto"/>
          <w:szCs w:val="21"/>
          <w:highlight w:val="none"/>
          <w:u w:val="single"/>
        </w:rPr>
      </w:pPr>
      <w:r>
        <w:rPr>
          <w:rFonts w:hint="eastAsia" w:ascii="宋体" w:hAnsi="宋体" w:cs="宋体"/>
          <w:bCs/>
          <w:color w:val="auto"/>
          <w:szCs w:val="21"/>
          <w:highlight w:val="none"/>
          <w:u w:val="single"/>
        </w:rPr>
        <w:t>（1</w:t>
      </w:r>
      <w:r>
        <w:rPr>
          <w:rFonts w:hint="eastAsia" w:ascii="宋体" w:hAnsi="宋体" w:cs="宋体"/>
          <w:bCs/>
          <w:color w:val="auto"/>
          <w:szCs w:val="21"/>
          <w:highlight w:val="none"/>
          <w:u w:val="single"/>
          <w:lang w:val="en-US" w:eastAsia="zh-CN"/>
        </w:rPr>
        <w:t>5</w:t>
      </w:r>
      <w:r>
        <w:rPr>
          <w:rFonts w:hint="eastAsia" w:ascii="宋体" w:hAnsi="宋体" w:cs="宋体"/>
          <w:bCs/>
          <w:color w:val="auto"/>
          <w:szCs w:val="21"/>
          <w:highlight w:val="none"/>
          <w:u w:val="single"/>
        </w:rPr>
        <w:t>）投标人认为应提供的其他资审资料。</w:t>
      </w:r>
    </w:p>
    <w:p>
      <w:pPr>
        <w:pBdr>
          <w:bottom w:val="single" w:color="auto" w:sz="6" w:space="1"/>
        </w:pBdr>
        <w:spacing w:line="372" w:lineRule="auto"/>
        <w:ind w:firstLine="399" w:firstLineChars="190"/>
        <w:rPr>
          <w:rFonts w:ascii="宋体" w:hAnsi="宋体" w:cs="宋体"/>
          <w:color w:val="auto"/>
          <w:szCs w:val="21"/>
          <w:highlight w:val="none"/>
          <w:u w:val="single"/>
        </w:rPr>
      </w:pPr>
      <w:r>
        <w:rPr>
          <w:rFonts w:hint="eastAsia" w:ascii="宋体" w:hAnsi="宋体" w:cs="宋体"/>
          <w:color w:val="auto"/>
          <w:szCs w:val="21"/>
          <w:highlight w:val="none"/>
          <w:u w:val="single"/>
        </w:rPr>
        <w:t>注：</w:t>
      </w:r>
    </w:p>
    <w:p>
      <w:pPr>
        <w:pBdr>
          <w:bottom w:val="single" w:color="auto" w:sz="6" w:space="1"/>
        </w:pBdr>
        <w:spacing w:line="372" w:lineRule="auto"/>
        <w:ind w:firstLine="399" w:firstLineChars="190"/>
        <w:rPr>
          <w:rFonts w:ascii="宋体" w:hAnsi="宋体" w:cs="宋体"/>
          <w:color w:val="auto"/>
          <w:szCs w:val="21"/>
          <w:highlight w:val="none"/>
          <w:u w:val="single"/>
        </w:rPr>
      </w:pPr>
      <w:r>
        <w:rPr>
          <w:rFonts w:hint="eastAsia" w:ascii="宋体" w:hAnsi="宋体" w:cs="宋体"/>
          <w:color w:val="auto"/>
          <w:szCs w:val="21"/>
          <w:highlight w:val="none"/>
          <w:u w:val="single"/>
        </w:rPr>
        <w:t>①上述第11.2.2（</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u w:val="single"/>
        </w:rPr>
        <w:t>）-（1</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u w:val="single"/>
        </w:rPr>
        <w:t>）条没有要求提交的资料，不作为资格审查不合格的依据。</w:t>
      </w:r>
    </w:p>
    <w:p>
      <w:pPr>
        <w:pBdr>
          <w:bottom w:val="single" w:color="auto" w:sz="6" w:space="1"/>
        </w:pBdr>
        <w:spacing w:line="372" w:lineRule="auto"/>
        <w:ind w:firstLine="409" w:firstLineChars="195"/>
        <w:rPr>
          <w:rFonts w:hint="eastAsia" w:ascii="宋体" w:hAnsi="宋体" w:cs="宋体"/>
          <w:color w:val="auto"/>
          <w:szCs w:val="21"/>
          <w:highlight w:val="none"/>
          <w:u w:val="single"/>
        </w:rPr>
      </w:pPr>
      <w:r>
        <w:rPr>
          <w:rFonts w:hint="eastAsia" w:ascii="宋体" w:hAnsi="宋体" w:cs="宋体"/>
          <w:color w:val="auto"/>
          <w:szCs w:val="21"/>
          <w:highlight w:val="none"/>
          <w:u w:val="single"/>
        </w:rPr>
        <w:t>②上述第11.2.2（</w:t>
      </w:r>
      <w:r>
        <w:rPr>
          <w:rFonts w:ascii="宋体" w:hAnsi="宋体" w:cs="宋体"/>
          <w:color w:val="auto"/>
          <w:szCs w:val="21"/>
          <w:highlight w:val="none"/>
          <w:u w:val="single"/>
        </w:rPr>
        <w:t>1</w:t>
      </w:r>
      <w:r>
        <w:rPr>
          <w:rFonts w:hint="eastAsia" w:ascii="宋体" w:hAnsi="宋体" w:cs="宋体"/>
          <w:color w:val="auto"/>
          <w:szCs w:val="21"/>
          <w:highlight w:val="none"/>
          <w:u w:val="single"/>
          <w:lang w:val="en-US" w:eastAsia="zh-CN"/>
        </w:rPr>
        <w:t>4</w:t>
      </w:r>
      <w:r>
        <w:rPr>
          <w:rFonts w:hint="eastAsia" w:ascii="宋体" w:hAnsi="宋体" w:cs="宋体"/>
          <w:color w:val="auto"/>
          <w:szCs w:val="21"/>
          <w:highlight w:val="none"/>
          <w:u w:val="single"/>
        </w:rPr>
        <w:t>）条，投标人无需提供资料，按广州交易集团有限公司（广州公共资源交易中心）交易系统比对的结果进行评审。</w:t>
      </w:r>
    </w:p>
    <w:p>
      <w:pPr>
        <w:pBdr>
          <w:bottom w:val="single" w:color="auto" w:sz="6" w:space="1"/>
        </w:pBdr>
        <w:spacing w:line="372" w:lineRule="auto"/>
        <w:ind w:firstLine="409" w:firstLineChars="195"/>
        <w:rPr>
          <w:rFonts w:ascii="宋体" w:hAnsi="宋体"/>
          <w:bCs/>
          <w:color w:val="auto"/>
          <w:szCs w:val="21"/>
          <w:highlight w:val="none"/>
          <w:u w:val="single"/>
        </w:rPr>
      </w:pPr>
      <w:r>
        <w:rPr>
          <w:rFonts w:ascii="宋体" w:hAnsi="宋体" w:cs="宋体"/>
          <w:color w:val="auto"/>
          <w:szCs w:val="21"/>
          <w:highlight w:val="none"/>
          <w:u w:val="single"/>
        </w:rPr>
        <w:t>11.2.3《投标函》、《标函承诺书》、《项目负责人驻场承诺书》（格式见第四章）。</w:t>
      </w:r>
    </w:p>
    <w:p>
      <w:pPr>
        <w:pBdr>
          <w:bottom w:val="single" w:color="auto" w:sz="6" w:space="1"/>
        </w:pBdr>
        <w:spacing w:line="372" w:lineRule="auto"/>
        <w:ind w:firstLine="409" w:firstLineChars="195"/>
        <w:rPr>
          <w:rFonts w:ascii="宋体" w:hAnsi="宋体" w:cs="宋体"/>
          <w:color w:val="auto"/>
          <w:szCs w:val="21"/>
          <w:highlight w:val="none"/>
          <w:u w:val="single"/>
        </w:rPr>
      </w:pPr>
      <w:r>
        <w:rPr>
          <w:rFonts w:ascii="宋体" w:hAnsi="宋体" w:cs="宋体"/>
          <w:color w:val="auto"/>
          <w:szCs w:val="21"/>
          <w:highlight w:val="none"/>
          <w:u w:val="single"/>
        </w:rPr>
        <w:t>11.2.4《施工项目管理团队人员信息表》、《主要人员简历表》（投标人需按相应表格备注要求提供相关资料）（格式见第四章）。</w:t>
      </w:r>
    </w:p>
    <w:p>
      <w:pPr>
        <w:pBdr>
          <w:bottom w:val="single" w:color="auto" w:sz="6" w:space="1"/>
        </w:pBdr>
        <w:spacing w:line="360" w:lineRule="auto"/>
        <w:ind w:firstLine="409" w:firstLineChars="195"/>
        <w:rPr>
          <w:rFonts w:ascii="宋体" w:hAnsi="宋体"/>
          <w:color w:val="auto"/>
          <w:szCs w:val="21"/>
          <w:highlight w:val="none"/>
        </w:rPr>
      </w:pPr>
      <w:r>
        <w:rPr>
          <w:rFonts w:ascii="宋体" w:hAnsi="宋体" w:cs="宋体"/>
          <w:color w:val="auto"/>
          <w:szCs w:val="21"/>
          <w:highlight w:val="none"/>
          <w:u w:val="single"/>
        </w:rPr>
        <w:t>11.2.5企业资信的证明材料（按附表四要求提交，招标文件有规定格式的，需按招标文件格式提供，无格式要求的，格式自拟）。</w:t>
      </w:r>
    </w:p>
    <w:p>
      <w:pPr>
        <w:pBdr>
          <w:bottom w:val="single" w:color="auto" w:sz="6" w:space="1"/>
        </w:pBdr>
        <w:spacing w:line="360" w:lineRule="auto"/>
        <w:ind w:firstLine="409" w:firstLineChars="195"/>
        <w:rPr>
          <w:rFonts w:ascii="宋体" w:hAnsi="宋体"/>
          <w:color w:val="auto"/>
          <w:szCs w:val="21"/>
          <w:highlight w:val="none"/>
        </w:rPr>
      </w:pPr>
      <w:r>
        <w:rPr>
          <w:rFonts w:ascii="宋体" w:hAnsi="宋体" w:cs="宋体"/>
          <w:color w:val="auto"/>
          <w:szCs w:val="21"/>
          <w:highlight w:val="none"/>
          <w:u w:val="single"/>
        </w:rPr>
        <w:t>11.2.</w:t>
      </w:r>
      <w:r>
        <w:rPr>
          <w:rFonts w:hint="eastAsia" w:ascii="宋体" w:hAnsi="宋体" w:cs="宋体"/>
          <w:color w:val="auto"/>
          <w:szCs w:val="21"/>
          <w:highlight w:val="none"/>
          <w:u w:val="single"/>
          <w:lang w:val="en-US" w:eastAsia="zh-CN"/>
        </w:rPr>
        <w:t>6</w:t>
      </w:r>
      <w:r>
        <w:rPr>
          <w:rFonts w:ascii="宋体" w:hAnsi="宋体" w:cs="宋体"/>
          <w:color w:val="auto"/>
          <w:szCs w:val="21"/>
          <w:highlight w:val="none"/>
          <w:u w:val="single"/>
        </w:rPr>
        <w:t>《危险性较大的分部分项工程安全管理措施》（格式见第四章）。</w:t>
      </w:r>
    </w:p>
    <w:p>
      <w:pPr>
        <w:pBdr>
          <w:bottom w:val="single" w:color="auto" w:sz="6" w:space="1"/>
        </w:pBdr>
        <w:spacing w:line="360" w:lineRule="auto"/>
        <w:ind w:firstLine="409" w:firstLineChars="195"/>
        <w:rPr>
          <w:rFonts w:ascii="宋体" w:hAnsi="宋体" w:cs="宋体"/>
          <w:color w:val="auto"/>
          <w:szCs w:val="21"/>
          <w:highlight w:val="none"/>
          <w:u w:val="single"/>
        </w:rPr>
      </w:pPr>
      <w:r>
        <w:rPr>
          <w:rFonts w:ascii="宋体" w:hAnsi="宋体" w:cs="宋体"/>
          <w:color w:val="auto"/>
          <w:szCs w:val="21"/>
          <w:highlight w:val="none"/>
          <w:u w:val="single"/>
        </w:rPr>
        <w:t>11.2.</w:t>
      </w:r>
      <w:r>
        <w:rPr>
          <w:rFonts w:hint="eastAsia" w:ascii="宋体" w:hAnsi="宋体" w:cs="宋体"/>
          <w:color w:val="auto"/>
          <w:szCs w:val="21"/>
          <w:highlight w:val="none"/>
          <w:u w:val="single"/>
          <w:lang w:val="en-US" w:eastAsia="zh-CN"/>
        </w:rPr>
        <w:t>7施工组织设计</w:t>
      </w:r>
      <w:r>
        <w:rPr>
          <w:rFonts w:hint="eastAsia" w:ascii="宋体" w:hAnsi="宋体" w:cs="宋体"/>
          <w:color w:val="auto"/>
          <w:szCs w:val="21"/>
          <w:highlight w:val="none"/>
          <w:u w:val="single"/>
        </w:rPr>
        <w:t>（按附表四要求提交，招标文件有规定格式的，需按招标文件格式提供，无格式要求的，格式自拟）</w:t>
      </w:r>
    </w:p>
    <w:p>
      <w:pPr>
        <w:pBdr>
          <w:bottom w:val="single" w:color="auto" w:sz="6" w:space="1"/>
        </w:pBdr>
        <w:spacing w:line="360" w:lineRule="auto"/>
        <w:ind w:firstLine="409" w:firstLineChars="195"/>
        <w:rPr>
          <w:rFonts w:ascii="宋体" w:hAnsi="宋体"/>
          <w:color w:val="auto"/>
          <w:szCs w:val="21"/>
          <w:highlight w:val="none"/>
        </w:rPr>
      </w:pPr>
      <w:r>
        <w:rPr>
          <w:rFonts w:ascii="宋体" w:hAnsi="宋体" w:cs="宋体"/>
          <w:color w:val="auto"/>
          <w:szCs w:val="21"/>
          <w:highlight w:val="none"/>
          <w:u w:val="single"/>
        </w:rPr>
        <w:t>11.2.</w:t>
      </w:r>
      <w:r>
        <w:rPr>
          <w:rFonts w:hint="eastAsia" w:ascii="宋体" w:hAnsi="宋体" w:cs="宋体"/>
          <w:color w:val="auto"/>
          <w:szCs w:val="21"/>
          <w:highlight w:val="none"/>
          <w:u w:val="single"/>
          <w:lang w:val="en-US" w:eastAsia="zh-CN"/>
        </w:rPr>
        <w:t>8</w:t>
      </w:r>
      <w:r>
        <w:rPr>
          <w:rFonts w:ascii="宋体" w:hAnsi="宋体" w:cs="宋体"/>
          <w:color w:val="auto"/>
          <w:szCs w:val="21"/>
          <w:highlight w:val="none"/>
          <w:u w:val="single"/>
        </w:rPr>
        <w:t>《参与编制技术标投标文件人员名单》（格式见第四章）</w:t>
      </w:r>
      <w:r>
        <w:rPr>
          <w:rFonts w:hint="eastAsia" w:ascii="宋体" w:hAnsi="宋体" w:cs="宋体"/>
          <w:color w:val="auto"/>
          <w:szCs w:val="21"/>
          <w:highlight w:val="none"/>
        </w:rPr>
        <w:t>。</w:t>
      </w:r>
    </w:p>
    <w:p>
      <w:pPr>
        <w:pBdr>
          <w:bottom w:val="single" w:color="auto" w:sz="6" w:space="1"/>
        </w:pBdr>
        <w:spacing w:line="360" w:lineRule="auto"/>
        <w:ind w:firstLine="409" w:firstLineChars="195"/>
        <w:rPr>
          <w:rFonts w:ascii="宋体" w:hAnsi="宋体" w:cs="宋体"/>
          <w:color w:val="auto"/>
          <w:szCs w:val="21"/>
          <w:highlight w:val="none"/>
          <w:u w:val="single"/>
        </w:rPr>
      </w:pPr>
      <w:r>
        <w:rPr>
          <w:rFonts w:ascii="宋体" w:hAnsi="宋体" w:cs="宋体"/>
          <w:color w:val="auto"/>
          <w:szCs w:val="21"/>
          <w:highlight w:val="none"/>
          <w:u w:val="single"/>
        </w:rPr>
        <w:t>11.2.</w:t>
      </w:r>
      <w:r>
        <w:rPr>
          <w:rFonts w:hint="eastAsia" w:ascii="宋体" w:hAnsi="宋体" w:cs="宋体"/>
          <w:color w:val="auto"/>
          <w:szCs w:val="21"/>
          <w:highlight w:val="none"/>
          <w:u w:val="single"/>
          <w:lang w:val="en-US" w:eastAsia="zh-CN"/>
        </w:rPr>
        <w:t>9</w:t>
      </w:r>
      <w:r>
        <w:rPr>
          <w:rFonts w:hint="eastAsia" w:ascii="宋体" w:hAnsi="宋体" w:cs="宋体"/>
          <w:bCs/>
          <w:color w:val="auto"/>
          <w:szCs w:val="21"/>
          <w:highlight w:val="none"/>
          <w:u w:val="single"/>
        </w:rPr>
        <w:t>投标人认为应提供的其他技术标资料。</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11.3                      </w:t>
      </w:r>
      <w:r>
        <w:rPr>
          <w:rFonts w:hint="eastAsia" w:ascii="宋体" w:hAnsi="宋体" w:cs="宋体"/>
          <w:b/>
          <w:color w:val="auto"/>
          <w:szCs w:val="21"/>
          <w:highlight w:val="none"/>
        </w:rPr>
        <w:t>修改类型：修改</w:t>
      </w:r>
    </w:p>
    <w:p>
      <w:pPr>
        <w:spacing w:line="360" w:lineRule="auto"/>
        <w:ind w:firstLine="411" w:firstLineChars="195"/>
        <w:rPr>
          <w:rFonts w:ascii="宋体" w:hAnsi="宋体" w:cs="宋体"/>
          <w:bCs/>
          <w:color w:val="auto"/>
          <w:szCs w:val="21"/>
          <w:highlight w:val="none"/>
        </w:rPr>
      </w:pPr>
      <w:r>
        <w:rPr>
          <w:rFonts w:hint="eastAsia" w:ascii="宋体" w:hAnsi="宋体" w:cs="宋体"/>
          <w:b/>
          <w:bCs/>
          <w:color w:val="auto"/>
          <w:szCs w:val="21"/>
          <w:highlight w:val="none"/>
        </w:rPr>
        <w:t>原文：</w:t>
      </w:r>
    </w:p>
    <w:p>
      <w:pPr>
        <w:spacing w:line="360" w:lineRule="auto"/>
        <w:ind w:firstLine="409" w:firstLineChars="195"/>
        <w:rPr>
          <w:rFonts w:ascii="宋体" w:hAnsi="宋体" w:cs="宋体"/>
          <w:bCs/>
          <w:color w:val="auto"/>
          <w:szCs w:val="21"/>
          <w:highlight w:val="none"/>
        </w:rPr>
      </w:pPr>
      <w:r>
        <w:rPr>
          <w:rFonts w:ascii="宋体" w:hAnsi="宋体" w:cs="宋体"/>
          <w:bCs/>
          <w:color w:val="auto"/>
          <w:szCs w:val="21"/>
          <w:highlight w:val="none"/>
        </w:rPr>
        <w:t xml:space="preserve">11.3 </w:t>
      </w:r>
      <w:r>
        <w:rPr>
          <w:rFonts w:hint="eastAsia" w:ascii="宋体" w:hAnsi="宋体" w:cs="宋体"/>
          <w:bCs/>
          <w:color w:val="auto"/>
          <w:szCs w:val="21"/>
          <w:highlight w:val="none"/>
        </w:rPr>
        <w:t>经济部分投标文件主要包括下列内容：</w:t>
      </w:r>
    </w:p>
    <w:p>
      <w:pPr>
        <w:spacing w:line="360" w:lineRule="auto"/>
        <w:ind w:firstLine="409" w:firstLineChars="195"/>
        <w:rPr>
          <w:rFonts w:ascii="宋体" w:hAnsi="宋体" w:cs="宋体"/>
          <w:color w:val="auto"/>
          <w:szCs w:val="21"/>
          <w:highlight w:val="none"/>
        </w:rPr>
      </w:pPr>
      <w:r>
        <w:rPr>
          <w:rFonts w:ascii="宋体" w:hAnsi="宋体" w:cs="宋体"/>
          <w:color w:val="auto"/>
          <w:szCs w:val="21"/>
          <w:highlight w:val="none"/>
        </w:rPr>
        <w:t xml:space="preserve">11.3.1 </w:t>
      </w:r>
      <w:r>
        <w:rPr>
          <w:rFonts w:hint="eastAsia" w:ascii="宋体" w:hAnsi="宋体" w:cs="宋体"/>
          <w:color w:val="auto"/>
          <w:szCs w:val="21"/>
          <w:highlight w:val="none"/>
        </w:rPr>
        <w:t>经济投标文件</w:t>
      </w:r>
      <w:r>
        <w:rPr>
          <w:rFonts w:ascii="宋体" w:hAnsi="宋体" w:cs="宋体"/>
          <w:color w:val="auto"/>
          <w:szCs w:val="21"/>
          <w:highlight w:val="none"/>
        </w:rPr>
        <w:t>(按招标文件的要求填写)。</w:t>
      </w:r>
    </w:p>
    <w:p>
      <w:pPr>
        <w:spacing w:line="360" w:lineRule="auto"/>
        <w:ind w:firstLine="409" w:firstLineChars="195"/>
        <w:rPr>
          <w:rFonts w:ascii="宋体" w:hAnsi="宋体" w:cs="宋体"/>
          <w:color w:val="auto"/>
          <w:szCs w:val="21"/>
          <w:highlight w:val="none"/>
        </w:rPr>
      </w:pPr>
      <w:r>
        <w:rPr>
          <w:rFonts w:ascii="宋体" w:hAnsi="宋体" w:cs="宋体"/>
          <w:color w:val="auto"/>
          <w:szCs w:val="21"/>
          <w:highlight w:val="none"/>
        </w:rPr>
        <w:t>11.3.2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1）投标总价封面、扉页；</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2）总说明</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3）工程项目投标报价汇总表；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4）单项工程投标报价汇总表；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5）单位工程投标报价汇总表；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6）分部分项工程清单与计价表；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7）单价措施项目清单与计价表；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8）总价措施项目清单与计价表；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9）综合单价分析表；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10）其他项目清单与计价汇总表；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11）暂列金额明细表；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12）材料（工程设备）暂估价明细表；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13）专业工程暂估价明细表；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14）计日工表；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15）总承包服务计价表；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16）规费和税金项目计价表；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17）人工、主要材料和设备一览表</w:t>
      </w:r>
    </w:p>
    <w:p>
      <w:pPr>
        <w:tabs>
          <w:tab w:val="left" w:pos="1125"/>
        </w:tabs>
        <w:spacing w:line="360" w:lineRule="auto"/>
        <w:ind w:firstLine="409" w:firstLineChars="195"/>
        <w:rPr>
          <w:rFonts w:ascii="宋体" w:hAnsi="宋体" w:cs="宋体"/>
          <w:color w:val="auto"/>
          <w:szCs w:val="21"/>
          <w:highlight w:val="none"/>
        </w:rPr>
      </w:pPr>
      <w:r>
        <w:rPr>
          <w:rFonts w:ascii="宋体" w:hAnsi="宋体" w:cs="宋体"/>
          <w:color w:val="auto"/>
          <w:szCs w:val="21"/>
          <w:highlight w:val="none"/>
        </w:rPr>
        <w:t>11.3.3按照</w:t>
      </w:r>
      <w:r>
        <w:rPr>
          <w:rFonts w:hint="eastAsia" w:ascii="宋体" w:hAnsi="宋体" w:cs="宋体"/>
          <w:bCs/>
          <w:color w:val="auto"/>
          <w:szCs w:val="21"/>
          <w:highlight w:val="none"/>
        </w:rPr>
        <w:t>招标文件要求</w:t>
      </w:r>
      <w:r>
        <w:rPr>
          <w:rFonts w:hint="eastAsia" w:ascii="宋体" w:hAnsi="宋体" w:cs="宋体"/>
          <w:color w:val="auto"/>
          <w:szCs w:val="21"/>
          <w:highlight w:val="none"/>
        </w:rPr>
        <w:t>填写的《参与编制经济标投标文件人员名单》。</w:t>
      </w:r>
    </w:p>
    <w:p>
      <w:pPr>
        <w:tabs>
          <w:tab w:val="left" w:pos="1125"/>
        </w:tabs>
        <w:spacing w:line="360" w:lineRule="auto"/>
        <w:ind w:firstLine="409" w:firstLineChars="195"/>
        <w:rPr>
          <w:rFonts w:ascii="宋体" w:hAnsi="宋体" w:cs="宋体"/>
          <w:color w:val="auto"/>
          <w:szCs w:val="21"/>
          <w:highlight w:val="none"/>
        </w:rPr>
      </w:pPr>
      <w:r>
        <w:rPr>
          <w:rFonts w:ascii="宋体" w:hAnsi="宋体" w:cs="宋体"/>
          <w:color w:val="auto"/>
          <w:szCs w:val="21"/>
          <w:highlight w:val="none"/>
        </w:rPr>
        <w:t>11.3.4若投标人的投标报价低于工程成本警戒价的，投标人还须提供详细的施工组织设计、单价、措施性费用、单价分析表、主要材料价格表、投标人成本分析供评标委员会评审。</w:t>
      </w:r>
    </w:p>
    <w:p>
      <w:pPr>
        <w:pBdr>
          <w:bottom w:val="single" w:color="auto" w:sz="6" w:space="1"/>
        </w:pBd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现文：</w:t>
      </w:r>
    </w:p>
    <w:p>
      <w:pPr>
        <w:pBdr>
          <w:bottom w:val="single" w:color="auto" w:sz="6" w:space="1"/>
        </w:pBdr>
        <w:adjustRightInd w:val="0"/>
        <w:spacing w:line="360" w:lineRule="auto"/>
        <w:ind w:firstLine="409" w:firstLineChars="195"/>
        <w:textAlignment w:val="baseline"/>
        <w:rPr>
          <w:rFonts w:ascii="宋体" w:hAnsi="宋体" w:cs="宋体"/>
          <w:b/>
          <w:color w:val="auto"/>
          <w:szCs w:val="21"/>
          <w:highlight w:val="none"/>
        </w:rPr>
      </w:pPr>
      <w:r>
        <w:rPr>
          <w:rFonts w:ascii="宋体" w:hAnsi="宋体" w:cs="宋体"/>
          <w:bCs/>
          <w:color w:val="auto"/>
          <w:szCs w:val="21"/>
          <w:highlight w:val="none"/>
        </w:rPr>
        <w:t xml:space="preserve">11.3 </w:t>
      </w:r>
      <w:r>
        <w:rPr>
          <w:rFonts w:hint="eastAsia" w:ascii="宋体" w:hAnsi="宋体" w:cs="宋体"/>
          <w:bCs/>
          <w:color w:val="auto"/>
          <w:szCs w:val="21"/>
          <w:highlight w:val="none"/>
        </w:rPr>
        <w:t>经济部分投标文件主要包括下列内容：</w:t>
      </w:r>
    </w:p>
    <w:p>
      <w:pPr>
        <w:pBdr>
          <w:bottom w:val="single" w:color="auto" w:sz="6" w:space="1"/>
        </w:pBdr>
        <w:adjustRightInd w:val="0"/>
        <w:spacing w:line="360" w:lineRule="auto"/>
        <w:ind w:firstLine="409" w:firstLineChars="195"/>
        <w:textAlignment w:val="baseline"/>
        <w:rPr>
          <w:rFonts w:ascii="宋体" w:hAnsi="宋体" w:cs="宋体"/>
          <w:color w:val="auto"/>
          <w:szCs w:val="21"/>
          <w:highlight w:val="none"/>
        </w:rPr>
      </w:pPr>
      <w:r>
        <w:rPr>
          <w:rFonts w:ascii="宋体" w:hAnsi="宋体" w:cs="宋体"/>
          <w:color w:val="auto"/>
          <w:szCs w:val="21"/>
          <w:highlight w:val="none"/>
        </w:rPr>
        <w:t>11.3.1</w:t>
      </w:r>
      <w:r>
        <w:rPr>
          <w:rFonts w:hint="eastAsia" w:ascii="宋体" w:hAnsi="宋体" w:cs="宋体"/>
          <w:bCs/>
          <w:color w:val="auto"/>
          <w:szCs w:val="21"/>
          <w:highlight w:val="none"/>
          <w:u w:val="single"/>
        </w:rPr>
        <w:t>广州建设工程施工招标投标书</w:t>
      </w:r>
      <w:r>
        <w:rPr>
          <w:rFonts w:ascii="宋体" w:hAnsi="宋体" w:cs="宋体"/>
          <w:bCs/>
          <w:color w:val="auto"/>
          <w:szCs w:val="21"/>
          <w:highlight w:val="none"/>
          <w:u w:val="single"/>
        </w:rPr>
        <w:t>(需按招标文件第四章要求的格式填写，具体格式以《广州建设工程施工招标投标书（</w:t>
      </w:r>
      <w:r>
        <w:rPr>
          <w:rFonts w:hint="eastAsia" w:ascii="宋体" w:hAnsi="宋体" w:cs="宋体"/>
          <w:bCs/>
          <w:color w:val="auto"/>
          <w:szCs w:val="21"/>
          <w:highlight w:val="none"/>
          <w:u w:val="single"/>
        </w:rPr>
        <w:t>经济</w:t>
      </w:r>
      <w:r>
        <w:rPr>
          <w:rFonts w:ascii="宋体" w:hAnsi="宋体" w:cs="宋体"/>
          <w:bCs/>
          <w:color w:val="auto"/>
          <w:szCs w:val="21"/>
          <w:highlight w:val="none"/>
          <w:u w:val="single"/>
        </w:rPr>
        <w:t>标）》为准；电子投标管理软件编制的“广州建设工程施工招标投标书”不作为否决投标的条件</w:t>
      </w:r>
      <w:r>
        <w:rPr>
          <w:rFonts w:hint="eastAsia" w:ascii="宋体" w:hAnsi="宋体" w:cs="宋体"/>
          <w:color w:val="auto"/>
          <w:szCs w:val="21"/>
          <w:highlight w:val="none"/>
        </w:rPr>
        <w:t>。</w:t>
      </w:r>
    </w:p>
    <w:p>
      <w:pPr>
        <w:pBdr>
          <w:bottom w:val="single" w:color="auto" w:sz="6" w:space="1"/>
        </w:pBdr>
        <w:adjustRightInd w:val="0"/>
        <w:spacing w:line="360" w:lineRule="auto"/>
        <w:ind w:firstLine="409" w:firstLineChars="195"/>
        <w:textAlignment w:val="baseline"/>
        <w:rPr>
          <w:rFonts w:ascii="宋体" w:hAnsi="宋体" w:cs="宋体"/>
          <w:color w:val="auto"/>
          <w:szCs w:val="21"/>
          <w:highlight w:val="none"/>
        </w:rPr>
      </w:pPr>
      <w:r>
        <w:rPr>
          <w:rFonts w:ascii="宋体" w:hAnsi="宋体" w:cs="宋体"/>
          <w:color w:val="auto"/>
          <w:szCs w:val="21"/>
          <w:highlight w:val="none"/>
        </w:rPr>
        <w:t>11.3.2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w:t>
      </w:r>
    </w:p>
    <w:p>
      <w:pPr>
        <w:pBdr>
          <w:bottom w:val="single" w:color="auto" w:sz="6" w:space="1"/>
        </w:pBdr>
        <w:adjustRightInd w:val="0"/>
        <w:spacing w:line="360" w:lineRule="auto"/>
        <w:ind w:firstLine="409" w:firstLineChars="195"/>
        <w:textAlignment w:val="baseline"/>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1）投标总价封面、扉页；</w:t>
      </w:r>
    </w:p>
    <w:p>
      <w:pPr>
        <w:pBdr>
          <w:bottom w:val="single" w:color="auto" w:sz="6" w:space="1"/>
        </w:pBdr>
        <w:adjustRightInd w:val="0"/>
        <w:spacing w:line="360" w:lineRule="auto"/>
        <w:ind w:firstLine="409" w:firstLineChars="195"/>
        <w:textAlignment w:val="baseline"/>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2）总说明；</w:t>
      </w:r>
    </w:p>
    <w:p>
      <w:pPr>
        <w:pBdr>
          <w:bottom w:val="single" w:color="auto" w:sz="6" w:space="1"/>
        </w:pBdr>
        <w:adjustRightInd w:val="0"/>
        <w:spacing w:line="360" w:lineRule="auto"/>
        <w:ind w:firstLine="409" w:firstLineChars="195"/>
        <w:textAlignment w:val="baseline"/>
        <w:rPr>
          <w:rFonts w:ascii="宋体" w:hAnsi="宋体" w:cs="宋体"/>
          <w:b/>
          <w:color w:val="auto"/>
          <w:szCs w:val="21"/>
          <w:highlight w:val="none"/>
        </w:rPr>
      </w:pPr>
      <w:r>
        <w:rPr>
          <w:rFonts w:hint="eastAsia" w:ascii="宋体" w:hAnsi="宋体" w:cs="宋体"/>
          <w:color w:val="auto"/>
          <w:szCs w:val="21"/>
          <w:highlight w:val="none"/>
          <w:u w:val="single"/>
        </w:rPr>
        <w:t>（</w:t>
      </w:r>
      <w:r>
        <w:rPr>
          <w:rFonts w:ascii="宋体" w:hAnsi="宋体" w:cs="宋体"/>
          <w:color w:val="auto"/>
          <w:szCs w:val="21"/>
          <w:highlight w:val="none"/>
          <w:u w:val="single"/>
        </w:rPr>
        <w:t>3）工程量清单报价表及综合单价分析表（相关表格的内容及格式要求以招标人发出的最新版电子招标文件中的相应内容及格式为准）；</w:t>
      </w:r>
    </w:p>
    <w:p>
      <w:pPr>
        <w:pBdr>
          <w:bottom w:val="single" w:color="auto" w:sz="6" w:space="1"/>
        </w:pBdr>
        <w:adjustRightInd w:val="0"/>
        <w:spacing w:line="360" w:lineRule="auto"/>
        <w:ind w:firstLine="409" w:firstLineChars="195"/>
        <w:textAlignment w:val="baseline"/>
        <w:rPr>
          <w:rFonts w:ascii="宋体" w:hAnsi="宋体" w:cs="宋体"/>
          <w:color w:val="auto"/>
          <w:szCs w:val="21"/>
          <w:highlight w:val="none"/>
        </w:rPr>
      </w:pPr>
      <w:r>
        <w:rPr>
          <w:rFonts w:hint="eastAsia" w:ascii="宋体" w:hAnsi="宋体" w:cs="宋体"/>
          <w:color w:val="auto"/>
          <w:szCs w:val="21"/>
          <w:highlight w:val="none"/>
          <w:u w:val="single"/>
        </w:rPr>
        <w:t>（</w:t>
      </w:r>
      <w:r>
        <w:rPr>
          <w:rFonts w:ascii="宋体" w:hAnsi="宋体" w:cs="宋体"/>
          <w:color w:val="auto"/>
          <w:szCs w:val="21"/>
          <w:highlight w:val="none"/>
          <w:u w:val="single"/>
        </w:rPr>
        <w:t>4）其它辅助说明资料（包括但不限于招标文件要求填写的《对投标文件编制的承诺》（格式见第四章））</w:t>
      </w:r>
      <w:r>
        <w:rPr>
          <w:rFonts w:hint="eastAsia" w:ascii="宋体" w:hAnsi="宋体" w:cs="宋体"/>
          <w:color w:val="auto"/>
          <w:szCs w:val="21"/>
          <w:highlight w:val="none"/>
        </w:rPr>
        <w:t>。</w:t>
      </w:r>
    </w:p>
    <w:p>
      <w:pPr>
        <w:pBdr>
          <w:bottom w:val="single" w:color="auto" w:sz="6" w:space="1"/>
        </w:pBdr>
        <w:adjustRightInd w:val="0"/>
        <w:spacing w:line="360" w:lineRule="auto"/>
        <w:ind w:firstLine="409" w:firstLineChars="195"/>
        <w:textAlignment w:val="baseline"/>
        <w:rPr>
          <w:rFonts w:ascii="宋体" w:hAnsi="宋体" w:cs="宋体"/>
          <w:color w:val="auto"/>
          <w:szCs w:val="21"/>
          <w:highlight w:val="none"/>
        </w:rPr>
      </w:pPr>
      <w:r>
        <w:rPr>
          <w:rFonts w:ascii="宋体" w:hAnsi="宋体" w:cs="宋体"/>
          <w:color w:val="auto"/>
          <w:szCs w:val="21"/>
          <w:highlight w:val="none"/>
        </w:rPr>
        <w:t>11.3.3按照招标文件要求填写的《参与编制经济标投标文件人员名单》</w:t>
      </w:r>
      <w:r>
        <w:rPr>
          <w:rFonts w:hint="eastAsia" w:ascii="宋体" w:hAnsi="宋体" w:cs="宋体"/>
          <w:color w:val="auto"/>
          <w:szCs w:val="21"/>
          <w:highlight w:val="none"/>
          <w:u w:val="single"/>
        </w:rPr>
        <w:t>（格式见第四章）</w:t>
      </w:r>
      <w:r>
        <w:rPr>
          <w:rFonts w:hint="eastAsia" w:ascii="宋体" w:hAnsi="宋体" w:cs="宋体"/>
          <w:color w:val="auto"/>
          <w:szCs w:val="21"/>
          <w:highlight w:val="none"/>
        </w:rPr>
        <w:t>。</w:t>
      </w:r>
    </w:p>
    <w:p>
      <w:pPr>
        <w:pBdr>
          <w:bottom w:val="single" w:color="auto" w:sz="6" w:space="1"/>
        </w:pBdr>
        <w:adjustRightInd w:val="0"/>
        <w:spacing w:line="360" w:lineRule="auto"/>
        <w:ind w:firstLine="409" w:firstLineChars="195"/>
        <w:textAlignment w:val="baseline"/>
        <w:rPr>
          <w:rFonts w:ascii="宋体" w:hAnsi="宋体" w:cs="宋体"/>
          <w:color w:val="auto"/>
          <w:szCs w:val="21"/>
          <w:highlight w:val="none"/>
        </w:rPr>
      </w:pPr>
      <w:r>
        <w:rPr>
          <w:rFonts w:ascii="宋体" w:hAnsi="宋体" w:cs="宋体"/>
          <w:color w:val="auto"/>
          <w:szCs w:val="21"/>
          <w:highlight w:val="none"/>
        </w:rPr>
        <w:t>11.3.4若投标人的投标报价低于工程成本警戒价的，投标人还须提供详细的施工组织设计、单价、措施性费用、单价分析表、主要材料价格表、投标人成本分析供评标委员会评审。</w:t>
      </w:r>
    </w:p>
    <w:p>
      <w:pPr>
        <w:pBdr>
          <w:bottom w:val="single" w:color="auto" w:sz="6" w:space="1"/>
        </w:pBdr>
        <w:adjustRightInd w:val="0"/>
        <w:spacing w:line="360" w:lineRule="auto"/>
        <w:ind w:firstLine="409" w:firstLineChars="195"/>
        <w:textAlignment w:val="baseline"/>
        <w:rPr>
          <w:rFonts w:ascii="宋体" w:hAnsi="宋体" w:cs="宋体"/>
          <w:color w:val="auto"/>
          <w:szCs w:val="21"/>
          <w:highlight w:val="none"/>
          <w:u w:val="single"/>
        </w:rPr>
      </w:pPr>
      <w:r>
        <w:rPr>
          <w:rFonts w:ascii="宋体" w:hAnsi="宋体" w:cs="宋体"/>
          <w:color w:val="auto"/>
          <w:szCs w:val="21"/>
          <w:highlight w:val="none"/>
          <w:u w:val="single"/>
        </w:rPr>
        <w:t>11.3.5投标人认为应提供的其他资料。</w:t>
      </w:r>
    </w:p>
    <w:p>
      <w:pPr>
        <w:adjustRightInd w:val="0"/>
        <w:spacing w:line="360" w:lineRule="auto"/>
        <w:ind w:firstLine="411" w:firstLineChars="195"/>
        <w:textAlignment w:val="baseline"/>
        <w:rPr>
          <w:rFonts w:hint="eastAsia" w:ascii="宋体" w:hAnsi="宋体" w:eastAsia="宋体" w:cs="宋体"/>
          <w:b/>
          <w:color w:val="auto"/>
          <w:szCs w:val="21"/>
          <w:highlight w:val="none"/>
          <w:lang w:val="en-US" w:eastAsia="zh-CN"/>
        </w:rPr>
      </w:pPr>
      <w:r>
        <w:rPr>
          <w:rFonts w:hint="eastAsia" w:ascii="宋体" w:hAnsi="宋体" w:cs="宋体"/>
          <w:b/>
          <w:color w:val="auto"/>
          <w:szCs w:val="21"/>
          <w:highlight w:val="none"/>
        </w:rPr>
        <w:t>条款号：</w:t>
      </w:r>
      <w:r>
        <w:rPr>
          <w:rFonts w:ascii="宋体" w:hAnsi="宋体" w:cs="宋体"/>
          <w:b/>
          <w:color w:val="auto"/>
          <w:szCs w:val="21"/>
          <w:highlight w:val="none"/>
        </w:rPr>
        <w:t>11.</w:t>
      </w:r>
      <w:r>
        <w:rPr>
          <w:rFonts w:hint="eastAsia" w:ascii="宋体" w:hAnsi="宋体" w:cs="宋体"/>
          <w:b/>
          <w:color w:val="auto"/>
          <w:szCs w:val="21"/>
          <w:highlight w:val="none"/>
          <w:lang w:val="en-US" w:eastAsia="zh-CN"/>
        </w:rPr>
        <w:t>4</w:t>
      </w:r>
      <w:r>
        <w:rPr>
          <w:rFonts w:ascii="宋体" w:hAnsi="宋体" w:cs="宋体"/>
          <w:b/>
          <w:color w:val="auto"/>
          <w:szCs w:val="21"/>
          <w:highlight w:val="none"/>
        </w:rPr>
        <w:t xml:space="preserve">                      </w:t>
      </w:r>
      <w:r>
        <w:rPr>
          <w:rFonts w:hint="eastAsia" w:ascii="宋体" w:hAnsi="宋体" w:cs="宋体"/>
          <w:b/>
          <w:color w:val="auto"/>
          <w:szCs w:val="21"/>
          <w:highlight w:val="none"/>
        </w:rPr>
        <w:t>修改类型：</w:t>
      </w:r>
      <w:r>
        <w:rPr>
          <w:rFonts w:hint="eastAsia" w:ascii="宋体" w:hAnsi="宋体" w:cs="宋体"/>
          <w:b/>
          <w:color w:val="auto"/>
          <w:szCs w:val="21"/>
          <w:highlight w:val="none"/>
          <w:lang w:val="en-US" w:eastAsia="zh-CN"/>
        </w:rPr>
        <w:t>增加</w:t>
      </w:r>
    </w:p>
    <w:p>
      <w:pPr>
        <w:spacing w:line="360" w:lineRule="auto"/>
        <w:ind w:firstLine="411" w:firstLineChars="195"/>
        <w:rPr>
          <w:rFonts w:hint="eastAsia" w:ascii="宋体" w:hAnsi="宋体" w:cs="宋体"/>
          <w:b/>
          <w:bCs/>
          <w:color w:val="auto"/>
          <w:szCs w:val="21"/>
          <w:highlight w:val="none"/>
          <w:lang w:val="en-US" w:eastAsia="zh-CN"/>
        </w:rPr>
      </w:pPr>
      <w:r>
        <w:rPr>
          <w:rFonts w:hint="eastAsia" w:ascii="宋体" w:hAnsi="宋体" w:cs="宋体"/>
          <w:b/>
          <w:bCs/>
          <w:color w:val="auto"/>
          <w:szCs w:val="21"/>
          <w:highlight w:val="none"/>
          <w:lang w:val="en-US" w:eastAsia="zh-CN"/>
        </w:rPr>
        <w:t>现文</w:t>
      </w:r>
      <w:r>
        <w:rPr>
          <w:rFonts w:hint="eastAsia" w:ascii="宋体" w:hAnsi="宋体" w:cs="宋体"/>
          <w:b/>
          <w:bCs/>
          <w:color w:val="auto"/>
          <w:szCs w:val="21"/>
          <w:highlight w:val="none"/>
        </w:rPr>
        <w:t>：</w:t>
      </w:r>
      <w:r>
        <w:rPr>
          <w:rFonts w:hint="eastAsia" w:ascii="宋体" w:hAnsi="宋体" w:cs="宋体"/>
          <w:b/>
          <w:bCs/>
          <w:color w:val="auto"/>
          <w:szCs w:val="21"/>
          <w:highlight w:val="none"/>
          <w:lang w:val="en-US" w:eastAsia="zh-CN"/>
        </w:rPr>
        <w:t>11.4定标文件的组成</w:t>
      </w:r>
    </w:p>
    <w:p>
      <w:pPr>
        <w:pBdr>
          <w:bottom w:val="single" w:color="auto" w:sz="6" w:space="1"/>
        </w:pBdr>
        <w:adjustRightInd w:val="0"/>
        <w:spacing w:line="360" w:lineRule="auto"/>
        <w:ind w:firstLine="409" w:firstLineChars="195"/>
        <w:textAlignment w:val="baseline"/>
        <w:rPr>
          <w:rFonts w:hint="default" w:ascii="宋体" w:hAnsi="宋体" w:cs="宋体"/>
          <w:b w:val="0"/>
          <w:bCs w:val="0"/>
          <w:color w:val="auto"/>
          <w:kern w:val="2"/>
          <w:sz w:val="21"/>
          <w:szCs w:val="21"/>
          <w:highlight w:val="none"/>
          <w:lang w:val="en-US" w:eastAsia="zh-CN"/>
        </w:rPr>
      </w:pPr>
      <w:r>
        <w:rPr>
          <w:rFonts w:hint="default" w:ascii="宋体" w:hAnsi="宋体" w:cs="宋体"/>
          <w:b w:val="0"/>
          <w:bCs w:val="0"/>
          <w:color w:val="auto"/>
          <w:kern w:val="2"/>
          <w:sz w:val="21"/>
          <w:szCs w:val="21"/>
          <w:highlight w:val="none"/>
          <w:lang w:val="en-US" w:eastAsia="zh-CN"/>
        </w:rPr>
        <w:t>11.4.1企业规模及综合实力介绍（如有）；</w:t>
      </w:r>
    </w:p>
    <w:p>
      <w:pPr>
        <w:pBdr>
          <w:bottom w:val="single" w:color="auto" w:sz="6" w:space="1"/>
        </w:pBdr>
        <w:adjustRightInd w:val="0"/>
        <w:spacing w:line="360" w:lineRule="auto"/>
        <w:ind w:firstLine="409" w:firstLineChars="195"/>
        <w:textAlignment w:val="baseline"/>
        <w:rPr>
          <w:rFonts w:hint="default" w:ascii="宋体" w:hAnsi="宋体" w:cs="宋体"/>
          <w:b w:val="0"/>
          <w:bCs w:val="0"/>
          <w:color w:val="auto"/>
          <w:kern w:val="2"/>
          <w:sz w:val="21"/>
          <w:szCs w:val="21"/>
          <w:highlight w:val="none"/>
          <w:lang w:val="en-US" w:eastAsia="zh-CN"/>
        </w:rPr>
      </w:pPr>
      <w:r>
        <w:rPr>
          <w:rFonts w:hint="default" w:ascii="宋体" w:hAnsi="宋体" w:cs="宋体"/>
          <w:b w:val="0"/>
          <w:bCs w:val="0"/>
          <w:color w:val="auto"/>
          <w:kern w:val="2"/>
          <w:sz w:val="21"/>
          <w:szCs w:val="21"/>
          <w:highlight w:val="none"/>
          <w:lang w:val="en-US" w:eastAsia="zh-CN"/>
        </w:rPr>
        <w:t>11.4.2投标人依据《定标因素表》提供的资料（如有）；</w:t>
      </w:r>
    </w:p>
    <w:p>
      <w:pPr>
        <w:pBdr>
          <w:bottom w:val="single" w:color="auto" w:sz="6" w:space="1"/>
        </w:pBdr>
        <w:adjustRightInd w:val="0"/>
        <w:spacing w:line="360" w:lineRule="auto"/>
        <w:ind w:firstLine="409" w:firstLineChars="195"/>
        <w:textAlignment w:val="baseline"/>
        <w:rPr>
          <w:rFonts w:hint="default" w:ascii="宋体" w:hAnsi="宋体" w:cs="宋体"/>
          <w:b w:val="0"/>
          <w:bCs w:val="0"/>
          <w:color w:val="auto"/>
          <w:kern w:val="2"/>
          <w:sz w:val="21"/>
          <w:szCs w:val="21"/>
          <w:highlight w:val="none"/>
          <w:lang w:val="en-US" w:eastAsia="zh-CN"/>
        </w:rPr>
      </w:pPr>
      <w:r>
        <w:rPr>
          <w:rFonts w:hint="default" w:ascii="宋体" w:hAnsi="宋体" w:cs="宋体"/>
          <w:b w:val="0"/>
          <w:bCs w:val="0"/>
          <w:color w:val="auto"/>
          <w:kern w:val="2"/>
          <w:sz w:val="21"/>
          <w:szCs w:val="21"/>
          <w:highlight w:val="none"/>
          <w:lang w:val="en-US" w:eastAsia="zh-CN"/>
        </w:rPr>
        <w:t>11.4.3投标人认为应该提供的资料（如有）</w:t>
      </w:r>
    </w:p>
    <w:p>
      <w:pPr>
        <w:pBdr>
          <w:bottom w:val="single" w:color="auto" w:sz="6" w:space="1"/>
        </w:pBdr>
        <w:adjustRightInd w:val="0"/>
        <w:spacing w:line="360" w:lineRule="auto"/>
        <w:ind w:firstLine="409" w:firstLineChars="195"/>
        <w:textAlignment w:val="baseline"/>
        <w:rPr>
          <w:rFonts w:hint="default" w:ascii="宋体" w:hAnsi="宋体" w:cs="宋体"/>
          <w:b w:val="0"/>
          <w:bCs w:val="0"/>
          <w:color w:val="auto"/>
          <w:kern w:val="2"/>
          <w:sz w:val="21"/>
          <w:szCs w:val="21"/>
          <w:highlight w:val="none"/>
          <w:lang w:val="en-US" w:eastAsia="zh-CN"/>
        </w:rPr>
      </w:pPr>
      <w:r>
        <w:rPr>
          <w:rFonts w:hint="default" w:ascii="宋体" w:hAnsi="宋体" w:cs="宋体"/>
          <w:b w:val="0"/>
          <w:bCs w:val="0"/>
          <w:color w:val="auto"/>
          <w:kern w:val="2"/>
          <w:sz w:val="21"/>
          <w:szCs w:val="21"/>
          <w:highlight w:val="none"/>
          <w:lang w:val="en-US" w:eastAsia="zh-CN"/>
        </w:rPr>
        <w:t>注：定标文件的递交时间和形式有投标人按照投标须知前附表第18项规定的时间及本须知第18条的相关要求执行。</w:t>
      </w:r>
    </w:p>
    <w:p>
      <w:pPr>
        <w:adjustRightInd w:val="0"/>
        <w:spacing w:line="360" w:lineRule="auto"/>
        <w:ind w:left="410" w:leftChars="190" w:hanging="11" w:hangingChars="5"/>
        <w:textAlignment w:val="baseline"/>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12.2                        </w:t>
      </w:r>
      <w:r>
        <w:rPr>
          <w:rFonts w:hint="eastAsia" w:ascii="宋体" w:hAnsi="宋体" w:cs="宋体"/>
          <w:b/>
          <w:color w:val="auto"/>
          <w:szCs w:val="21"/>
          <w:highlight w:val="none"/>
        </w:rPr>
        <w:t>修改类型：修改</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12.2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ascii="宋体" w:hAnsi="宋体" w:cs="宋体"/>
          <w:color w:val="auto"/>
          <w:szCs w:val="21"/>
          <w:highlight w:val="none"/>
          <w:u w:val="single"/>
        </w:rPr>
        <w:t xml:space="preserve">            </w:t>
      </w:r>
      <w:r>
        <w:rPr>
          <w:rFonts w:ascii="宋体" w:hAnsi="宋体" w:cs="宋体"/>
          <w:color w:val="auto"/>
          <w:szCs w:val="21"/>
          <w:highlight w:val="none"/>
        </w:rPr>
        <w:t>。</w:t>
      </w:r>
    </w:p>
    <w:p>
      <w:pPr>
        <w:pBdr>
          <w:bottom w:val="single" w:color="auto" w:sz="6" w:space="1"/>
        </w:pBdr>
        <w:adjustRightInd w:val="0"/>
        <w:spacing w:line="360" w:lineRule="auto"/>
        <w:ind w:firstLine="411" w:firstLineChars="195"/>
        <w:textAlignment w:val="baseline"/>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12.2投标文件全部采用电子文档，投标文件所附证书证件均为</w:t>
      </w:r>
      <w:r>
        <w:rPr>
          <w:rFonts w:hint="eastAsia" w:ascii="宋体" w:hAnsi="宋体" w:cs="宋体"/>
          <w:color w:val="auto"/>
          <w:szCs w:val="21"/>
          <w:highlight w:val="none"/>
          <w:lang w:eastAsia="zh-CN"/>
        </w:rPr>
        <w:t>扫描件</w:t>
      </w:r>
      <w:r>
        <w:rPr>
          <w:rFonts w:hint="eastAsia" w:ascii="宋体" w:hAnsi="宋体" w:cs="宋体"/>
          <w:color w:val="auto"/>
          <w:szCs w:val="21"/>
          <w:highlight w:val="none"/>
        </w:rPr>
        <w:t>，并采用单位数字证书，按招标文件要求在相应位置加盖电子印章。投标文件中需个人签字或盖章的，应在线下完成后扫描上传。按照</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交易平台关于全流程电子化项目的相关指南进行操作。详见：</w:t>
      </w:r>
      <w:r>
        <w:rPr>
          <w:rFonts w:hint="eastAsia" w:ascii="宋体" w:hAnsi="宋体" w:cs="宋体"/>
          <w:color w:val="auto"/>
          <w:szCs w:val="21"/>
          <w:highlight w:val="none"/>
          <w:u w:val="single"/>
        </w:rPr>
        <w:t>广州交易集团有限公司（广州公共资源交易中心）网站最新指引</w:t>
      </w:r>
      <w:r>
        <w:rPr>
          <w:rFonts w:hint="eastAsia" w:ascii="宋体" w:hAnsi="宋体" w:cs="宋体"/>
          <w:color w:val="auto"/>
          <w:szCs w:val="21"/>
          <w:highlight w:val="none"/>
        </w:rPr>
        <w:t>。</w:t>
      </w:r>
      <w:r>
        <w:rPr>
          <w:rFonts w:hint="eastAsia" w:ascii="宋体" w:hAnsi="宋体"/>
          <w:b/>
          <w:color w:val="auto"/>
          <w:szCs w:val="21"/>
          <w:highlight w:val="none"/>
          <w:u w:val="single"/>
        </w:rPr>
        <w:t>如联合体投标，投标文件中的“投标人”、“声明企业”、“投标单位”应填写联合体各成员的单位全称“（主）***公司（成）***公司”。除投标文件中的联合体工作协议、投标人声明需联合体各成员按格式要求盖章或签字外，其他资料均由主办方盖章或签字即可。</w:t>
      </w:r>
    </w:p>
    <w:p>
      <w:pPr>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12.3                        </w:t>
      </w:r>
      <w:r>
        <w:rPr>
          <w:rFonts w:hint="eastAsia" w:ascii="宋体" w:hAnsi="宋体" w:cs="宋体"/>
          <w:b/>
          <w:color w:val="auto"/>
          <w:szCs w:val="21"/>
          <w:highlight w:val="none"/>
        </w:rPr>
        <w:t>修改类型：修改</w:t>
      </w:r>
    </w:p>
    <w:p>
      <w:pPr>
        <w:spacing w:line="360" w:lineRule="auto"/>
        <w:ind w:firstLine="411" w:firstLineChars="195"/>
        <w:textAlignment w:val="baseline"/>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12.3投标文件应按照交易平台关于全流程电子化项目的相关指南进行编制，详见：</w:t>
      </w:r>
      <w:r>
        <w:rPr>
          <w:rFonts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09" w:firstLineChars="195"/>
        <w:textAlignment w:val="baseline"/>
        <w:rPr>
          <w:rFonts w:ascii="宋体" w:hAnsi="宋体" w:cs="宋体"/>
          <w:b/>
          <w:color w:val="auto"/>
          <w:szCs w:val="21"/>
          <w:highlight w:val="none"/>
        </w:rPr>
      </w:pPr>
      <w:r>
        <w:rPr>
          <w:rFonts w:hint="eastAsia" w:ascii="宋体" w:hAnsi="宋体" w:cs="宋体"/>
          <w:bCs/>
          <w:color w:val="auto"/>
          <w:szCs w:val="21"/>
          <w:highlight w:val="none"/>
        </w:rPr>
        <w:t>如不按上述要求编制引起系统无法检索、读取相关信息的，其后果由投标人承担。</w:t>
      </w:r>
    </w:p>
    <w:p>
      <w:pPr>
        <w:pBdr>
          <w:bottom w:val="single" w:color="auto" w:sz="6" w:space="1"/>
        </w:pBdr>
        <w:spacing w:line="360" w:lineRule="auto"/>
        <w:ind w:firstLine="411" w:firstLineChars="195"/>
        <w:textAlignment w:val="baseline"/>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12.3</w:t>
      </w:r>
      <w:r>
        <w:rPr>
          <w:rFonts w:hint="eastAsia" w:ascii="宋体" w:hAnsi="宋体" w:cs="宋体"/>
          <w:bCs/>
          <w:color w:val="auto"/>
          <w:szCs w:val="21"/>
          <w:highlight w:val="none"/>
        </w:rPr>
        <w:t>投标文件应按</w:t>
      </w:r>
      <w:r>
        <w:rPr>
          <w:rFonts w:hint="eastAsia" w:ascii="宋体" w:hAnsi="宋体" w:cs="宋体"/>
          <w:color w:val="auto"/>
          <w:szCs w:val="21"/>
          <w:highlight w:val="none"/>
        </w:rPr>
        <w:t>照</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交易平台关于全流程电子化项目的相关指南进行编制，详见：</w:t>
      </w:r>
      <w:r>
        <w:rPr>
          <w:rFonts w:hint="eastAsia" w:ascii="宋体" w:hAnsi="宋体" w:cs="宋体"/>
          <w:color w:val="auto"/>
          <w:szCs w:val="21"/>
          <w:highlight w:val="none"/>
          <w:u w:val="single"/>
        </w:rPr>
        <w:t>广州交易集团有限公司（广州公共资源交易中心）网站最新指引</w:t>
      </w:r>
      <w:r>
        <w:rPr>
          <w:rFonts w:hint="eastAsia" w:ascii="宋体" w:hAnsi="宋体" w:cs="宋体"/>
          <w:color w:val="auto"/>
          <w:szCs w:val="21"/>
          <w:highlight w:val="none"/>
        </w:rPr>
        <w:t>。</w:t>
      </w:r>
    </w:p>
    <w:p>
      <w:pPr>
        <w:pBdr>
          <w:bottom w:val="single" w:color="auto" w:sz="6" w:space="1"/>
        </w:pBdr>
        <w:spacing w:line="360" w:lineRule="auto"/>
        <w:ind w:firstLine="409" w:firstLineChars="195"/>
        <w:textAlignment w:val="baseline"/>
        <w:rPr>
          <w:rFonts w:ascii="宋体" w:hAnsi="宋体" w:cs="宋体"/>
          <w:b/>
          <w:color w:val="auto"/>
          <w:szCs w:val="21"/>
          <w:highlight w:val="none"/>
        </w:rPr>
      </w:pPr>
      <w:r>
        <w:rPr>
          <w:rFonts w:hint="eastAsia" w:ascii="宋体" w:hAnsi="宋体" w:cs="宋体"/>
          <w:bCs/>
          <w:color w:val="auto"/>
          <w:szCs w:val="21"/>
          <w:highlight w:val="none"/>
        </w:rPr>
        <w:t>如不按上述要求编制引起系统无法检索、读取相关信息的，其后果由投标人承担。</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13.1                        </w:t>
      </w:r>
      <w:r>
        <w:rPr>
          <w:rFonts w:hint="eastAsia" w:ascii="宋体" w:hAnsi="宋体" w:cs="宋体"/>
          <w:b/>
          <w:color w:val="auto"/>
          <w:szCs w:val="21"/>
          <w:highlight w:val="none"/>
        </w:rPr>
        <w:t>修改类型：修改</w:t>
      </w:r>
    </w:p>
    <w:p>
      <w:pPr>
        <w:pBdr>
          <w:bottom w:val="single" w:color="auto" w:sz="6" w:space="1"/>
        </w:pBdr>
        <w:spacing w:line="360" w:lineRule="auto"/>
        <w:ind w:firstLine="411" w:firstLineChars="195"/>
        <w:rPr>
          <w:rFonts w:ascii="宋体" w:hAnsi="宋体" w:cs="宋体"/>
          <w:color w:val="auto"/>
          <w:szCs w:val="21"/>
          <w:highlight w:val="none"/>
          <w:u w:val="single"/>
        </w:rPr>
      </w:pPr>
      <w:r>
        <w:rPr>
          <w:rFonts w:hint="eastAsia" w:ascii="宋体" w:hAnsi="宋体" w:cs="宋体"/>
          <w:b/>
          <w:color w:val="auto"/>
          <w:szCs w:val="21"/>
          <w:highlight w:val="none"/>
        </w:rPr>
        <w:t>原文：</w:t>
      </w:r>
      <w:r>
        <w:rPr>
          <w:rFonts w:ascii="宋体" w:hAnsi="宋体" w:cs="宋体"/>
          <w:color w:val="auto"/>
          <w:szCs w:val="21"/>
          <w:highlight w:val="none"/>
        </w:rPr>
        <w:t>13.1本工程的投标报价采用投标须知前附表第12项所规定的方式。投标报价（含单价及总价）精确到“分”。</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13.1本工程的投标报价采用投标须知前附表第12项所规定的方式。</w:t>
      </w:r>
      <w:r>
        <w:rPr>
          <w:rFonts w:hint="eastAsia" w:ascii="宋体" w:hAnsi="宋体" w:cs="宋体"/>
          <w:color w:val="auto"/>
          <w:szCs w:val="21"/>
          <w:highlight w:val="none"/>
          <w:u w:val="single"/>
        </w:rPr>
        <w:t>投标文件中的大写金额和小写金额不一致的，以大写金额为准。</w:t>
      </w:r>
      <w:r>
        <w:rPr>
          <w:rFonts w:hint="eastAsia" w:ascii="宋体" w:hAnsi="宋体" w:cs="宋体"/>
          <w:color w:val="auto"/>
          <w:szCs w:val="21"/>
          <w:highlight w:val="none"/>
        </w:rPr>
        <w:t>投标报价（含单价及总价）精确到“分”。</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13.3                        </w:t>
      </w:r>
      <w:r>
        <w:rPr>
          <w:rFonts w:hint="eastAsia" w:ascii="宋体" w:hAnsi="宋体" w:cs="宋体"/>
          <w:b/>
          <w:color w:val="auto"/>
          <w:szCs w:val="21"/>
          <w:highlight w:val="none"/>
        </w:rPr>
        <w:t>修改类型：修改</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13.3投标人的投标报价，应是按照投标须知前附表第8项的工期要求，在投标须知前附表第3项的建设地点，完成投标须知前附表第7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13.3投标人的投标报价，应是按照投标须知前附表第8项的工期要求，在投标须知前附表第3项的建设地点，完成投标须知前附表第7项的招标范围内已由招标人</w:t>
      </w:r>
      <w:r>
        <w:rPr>
          <w:rFonts w:hint="eastAsia" w:ascii="宋体" w:hAnsi="宋体" w:cs="宋体"/>
          <w:color w:val="auto"/>
          <w:szCs w:val="21"/>
          <w:highlight w:val="none"/>
          <w:u w:val="single"/>
        </w:rPr>
        <w:t>提供的招标图纸（包括有关于本项目招标的相关资料）及</w:t>
      </w:r>
      <w:r>
        <w:rPr>
          <w:rFonts w:hint="eastAsia" w:ascii="宋体" w:hAnsi="宋体" w:cs="宋体"/>
          <w:color w:val="auto"/>
          <w:szCs w:val="21"/>
          <w:highlight w:val="none"/>
        </w:rPr>
        <w:t>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13.4                         </w:t>
      </w:r>
      <w:r>
        <w:rPr>
          <w:rFonts w:hint="eastAsia" w:ascii="宋体" w:hAnsi="宋体" w:cs="宋体"/>
          <w:b/>
          <w:color w:val="auto"/>
          <w:szCs w:val="21"/>
          <w:highlight w:val="none"/>
        </w:rPr>
        <w:t>修改类型：修改</w:t>
      </w:r>
    </w:p>
    <w:p>
      <w:pPr>
        <w:pStyle w:val="47"/>
        <w:spacing w:after="0"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13.4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pBdr>
          <w:bottom w:val="single" w:color="auto" w:sz="6" w:space="1"/>
        </w:pBdr>
        <w:spacing w:line="360" w:lineRule="auto"/>
        <w:ind w:firstLine="411" w:firstLineChars="195"/>
        <w:rPr>
          <w:rFonts w:ascii="宋体" w:hAnsi="宋体" w:cs="宋体"/>
          <w:color w:val="auto"/>
          <w:szCs w:val="21"/>
          <w:highlight w:val="none"/>
          <w:u w:val="single"/>
        </w:rPr>
      </w:pPr>
      <w:r>
        <w:rPr>
          <w:rFonts w:hint="eastAsia" w:ascii="宋体" w:hAnsi="宋体" w:cs="宋体"/>
          <w:b/>
          <w:color w:val="auto"/>
          <w:szCs w:val="21"/>
          <w:highlight w:val="none"/>
        </w:rPr>
        <w:t>现文：</w:t>
      </w:r>
      <w:r>
        <w:rPr>
          <w:rFonts w:ascii="宋体" w:hAnsi="宋体" w:cs="宋体"/>
          <w:color w:val="auto"/>
          <w:szCs w:val="21"/>
          <w:highlight w:val="none"/>
        </w:rPr>
        <w:t>13.4投标人一旦中标，投标人对招标人提供的招标工程量清单中列出的工程项目所报出的综合单价</w:t>
      </w:r>
      <w:r>
        <w:rPr>
          <w:rFonts w:hint="eastAsia" w:ascii="宋体" w:hAnsi="宋体" w:cs="宋体"/>
          <w:color w:val="auto"/>
          <w:szCs w:val="21"/>
          <w:highlight w:val="none"/>
          <w:u w:val="single"/>
        </w:rPr>
        <w:t>和措施项目费（措施项目费必须单列，没有单独列出的，视为已经包含在投标报价中），在工程结算时，按招标文件第三章合同条款相关约定调整。</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13.5                        </w:t>
      </w:r>
      <w:r>
        <w:rPr>
          <w:rFonts w:hint="eastAsia" w:ascii="宋体" w:hAnsi="宋体" w:cs="宋体"/>
          <w:b/>
          <w:color w:val="auto"/>
          <w:szCs w:val="21"/>
          <w:highlight w:val="none"/>
        </w:rPr>
        <w:t>修改类型：修改</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13.5工程项目实施期间和结算时，招标文件工程量清单中漏列而由监理单位和招标人现场签证确认的工程项目、原设计没有而由招标人批准设计变更产生的工程项目，视为新增项目，按以下顺序确定价格：</w:t>
      </w:r>
    </w:p>
    <w:p>
      <w:pPr>
        <w:pBdr>
          <w:bottom w:val="single" w:color="auto" w:sz="6" w:space="1"/>
        </w:pBdr>
        <w:spacing w:line="360" w:lineRule="auto"/>
        <w:ind w:firstLine="409" w:firstLineChars="195"/>
        <w:rPr>
          <w:rFonts w:ascii="宋体" w:hAnsi="宋体" w:cs="宋体"/>
          <w:color w:val="auto"/>
          <w:szCs w:val="21"/>
          <w:highlight w:val="none"/>
        </w:rPr>
      </w:pPr>
      <w:r>
        <w:rPr>
          <w:rFonts w:ascii="宋体" w:hAnsi="宋体" w:cs="宋体"/>
          <w:color w:val="auto"/>
          <w:szCs w:val="21"/>
          <w:highlight w:val="none"/>
        </w:rPr>
        <w:t>13.5.1中标的投标文件工程量清单中已有相同项目的适用综合单价，则沿用；</w:t>
      </w:r>
    </w:p>
    <w:p>
      <w:pPr>
        <w:pBdr>
          <w:bottom w:val="single" w:color="auto" w:sz="6" w:space="1"/>
        </w:pBdr>
        <w:spacing w:line="360" w:lineRule="auto"/>
        <w:ind w:firstLine="409" w:firstLineChars="195"/>
        <w:rPr>
          <w:rFonts w:ascii="宋体" w:hAnsi="宋体" w:cs="宋体"/>
          <w:color w:val="auto"/>
          <w:szCs w:val="21"/>
          <w:highlight w:val="none"/>
        </w:rPr>
      </w:pPr>
      <w:r>
        <w:rPr>
          <w:rFonts w:ascii="宋体" w:hAnsi="宋体" w:cs="宋体"/>
          <w:color w:val="auto"/>
          <w:szCs w:val="21"/>
          <w:highlight w:val="none"/>
        </w:rPr>
        <w:t>13.5.2中标的投标文件工程量清单中已有类似项目的综合单价，则按类似项目的综合单价对相</w:t>
      </w:r>
      <w:r>
        <w:rPr>
          <w:rFonts w:hint="eastAsia" w:ascii="宋体" w:hAnsi="宋体" w:cs="宋体"/>
          <w:color w:val="auto"/>
          <w:szCs w:val="21"/>
          <w:highlight w:val="none"/>
        </w:rPr>
        <w:t>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pPr>
        <w:pBdr>
          <w:bottom w:val="single" w:color="auto" w:sz="6" w:space="1"/>
        </w:pBdr>
        <w:spacing w:line="360" w:lineRule="auto"/>
        <w:ind w:firstLine="409" w:firstLineChars="195"/>
        <w:rPr>
          <w:rFonts w:ascii="宋体" w:hAnsi="宋体" w:cs="宋体"/>
          <w:color w:val="auto"/>
          <w:szCs w:val="21"/>
          <w:highlight w:val="none"/>
        </w:rPr>
      </w:pPr>
      <w:r>
        <w:rPr>
          <w:rFonts w:ascii="宋体" w:hAnsi="宋体" w:cs="宋体"/>
          <w:color w:val="auto"/>
          <w:szCs w:val="21"/>
          <w:highlight w:val="none"/>
        </w:rPr>
        <w:t xml:space="preserve">13.5.3 </w:t>
      </w:r>
      <w:r>
        <w:rPr>
          <w:rFonts w:hint="eastAsia" w:ascii="宋体" w:hAnsi="宋体" w:cs="宋体"/>
          <w:color w:val="auto"/>
          <w:szCs w:val="21"/>
          <w:highlight w:val="none"/>
        </w:rPr>
        <w:t>中标的投标文件工程量清单中没有相同项目或类似项目的，如可套取相关定额，则以相关定额为基数下浮计算单价</w:t>
      </w:r>
      <w:r>
        <w:rPr>
          <w:rFonts w:ascii="宋体" w:hAnsi="宋体" w:cs="宋体"/>
          <w:color w:val="auto"/>
          <w:szCs w:val="21"/>
          <w:highlight w:val="none"/>
        </w:rPr>
        <w:t>,下浮率为中标价相对于最高投标限价的下浮率（下浮率=(最高投标限价-中标价)/最高投标限价）。</w:t>
      </w:r>
    </w:p>
    <w:p>
      <w:pPr>
        <w:pBdr>
          <w:bottom w:val="single" w:color="auto" w:sz="6" w:space="1"/>
        </w:pBdr>
        <w:spacing w:line="360" w:lineRule="auto"/>
        <w:ind w:firstLine="409" w:firstLineChars="195"/>
        <w:rPr>
          <w:rFonts w:ascii="宋体" w:hAnsi="宋体" w:cs="宋体"/>
          <w:color w:val="auto"/>
          <w:szCs w:val="21"/>
          <w:highlight w:val="none"/>
          <w:u w:val="single"/>
        </w:rPr>
      </w:pPr>
      <w:r>
        <w:rPr>
          <w:rFonts w:ascii="宋体" w:hAnsi="宋体" w:cs="宋体"/>
          <w:color w:val="auto"/>
          <w:szCs w:val="21"/>
          <w:highlight w:val="none"/>
        </w:rPr>
        <w:t xml:space="preserve">13.5.4 </w:t>
      </w:r>
      <w:r>
        <w:rPr>
          <w:rFonts w:hint="eastAsia" w:ascii="宋体" w:hAnsi="宋体" w:cs="宋体"/>
          <w:color w:val="auto"/>
          <w:szCs w:val="21"/>
          <w:highlight w:val="none"/>
        </w:rPr>
        <w:t>如相关定额没有相应子目的，其计价方式由招标人在本招标文件第三章中另行规定。未规定的，中标后双方协商约定。</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13.5</w:t>
      </w:r>
      <w:r>
        <w:rPr>
          <w:rFonts w:hint="eastAsia" w:ascii="宋体" w:hAnsi="宋体" w:cs="宋体"/>
          <w:color w:val="auto"/>
          <w:szCs w:val="21"/>
          <w:highlight w:val="none"/>
          <w:u w:val="single"/>
        </w:rPr>
        <w:t>工程项目实施期间和结算时，根据招标图纸及工程量清单计价规范在招标文件工程量清单中漏列而由监理单位和招标人现场签证确认的实体工程项目、原设计没有而由招标人批准设计变更产生的实体工程项目，视为新增项目，按合同专用条款相关约定确定价格。</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13.6.2                      </w:t>
      </w:r>
      <w:r>
        <w:rPr>
          <w:rFonts w:hint="eastAsia" w:ascii="宋体" w:hAnsi="宋体" w:cs="宋体"/>
          <w:b/>
          <w:color w:val="auto"/>
          <w:szCs w:val="21"/>
          <w:highlight w:val="none"/>
        </w:rPr>
        <w:t>修改类型：修改</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13.6.2在工程实施中，暂列金额、暂估价所包含的工作范围和图纸、标准深化固定后，按照工程专业、设备、材料类别等分类汇总的金额，达到法定招标范围标准的，应由招标人同中标人联合招标，确定承包人和承包价格。</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13.6.2在工程实施中，暂列金额、暂估价所包含的工作范围和图纸、标准深化固定后，按照工程专业、设备、材料类别等分类汇总的金额，达到法定招标范围标准的</w:t>
      </w:r>
      <w:r>
        <w:rPr>
          <w:rFonts w:hint="eastAsia" w:ascii="宋体" w:hAnsi="宋体" w:cs="宋体"/>
          <w:color w:val="auto"/>
          <w:szCs w:val="21"/>
          <w:highlight w:val="none"/>
          <w:u w:val="single"/>
        </w:rPr>
        <w:t>应由招标人招标确定承包人和承包价格。</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13.6.4                      </w:t>
      </w:r>
      <w:r>
        <w:rPr>
          <w:rFonts w:hint="eastAsia" w:ascii="宋体" w:hAnsi="宋体" w:cs="宋体"/>
          <w:b/>
          <w:color w:val="auto"/>
          <w:szCs w:val="21"/>
          <w:highlight w:val="none"/>
        </w:rPr>
        <w:t>修改类型：修改</w:t>
      </w:r>
    </w:p>
    <w:p>
      <w:pP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13.6.4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13.5款规定确定。</w:t>
      </w:r>
    </w:p>
    <w:p>
      <w:pPr>
        <w:pStyle w:val="47"/>
        <w:pBdr>
          <w:bottom w:val="single" w:color="auto" w:sz="6" w:space="1"/>
        </w:pBdr>
        <w:spacing w:after="0"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13.6.4在工程实施中，暂列金额、暂估价所包含的工作范围和图纸、标准深化固定后，按照工程专业、设备、材料类别等分类汇总的金额，未达到法定招标范围标准也不适用政府采购规定，</w:t>
      </w:r>
      <w:r>
        <w:rPr>
          <w:rFonts w:hint="eastAsia" w:ascii="宋体" w:hAnsi="宋体" w:cs="宋体"/>
          <w:color w:val="auto"/>
          <w:szCs w:val="21"/>
          <w:highlight w:val="none"/>
          <w:u w:val="single"/>
        </w:rPr>
        <w:t>经发包人同意，</w:t>
      </w:r>
      <w:r>
        <w:rPr>
          <w:rFonts w:hint="eastAsia" w:ascii="宋体" w:hAnsi="宋体" w:cs="宋体"/>
          <w:color w:val="auto"/>
          <w:szCs w:val="21"/>
          <w:highlight w:val="none"/>
        </w:rPr>
        <w:t>承包人有法定的承包资格的，由承包人承包，承包人无法定的承包资格但有法定的分包权的，由承包人分包，招标人同承包人结算的价格按本投标须知</w:t>
      </w:r>
      <w:r>
        <w:rPr>
          <w:rFonts w:ascii="宋体" w:hAnsi="宋体" w:cs="宋体"/>
          <w:color w:val="auto"/>
          <w:szCs w:val="21"/>
          <w:highlight w:val="none"/>
        </w:rPr>
        <w:t>13.5款规定确定。</w:t>
      </w:r>
    </w:p>
    <w:p>
      <w:pPr>
        <w:spacing w:line="360" w:lineRule="auto"/>
        <w:ind w:firstLine="413" w:firstLineChars="196"/>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13.8                         </w:t>
      </w:r>
      <w:r>
        <w:rPr>
          <w:rFonts w:hint="eastAsia" w:ascii="宋体" w:hAnsi="宋体" w:cs="宋体"/>
          <w:b/>
          <w:color w:val="auto"/>
          <w:szCs w:val="21"/>
          <w:highlight w:val="none"/>
        </w:rPr>
        <w:t>修改类型：修改</w:t>
      </w:r>
    </w:p>
    <w:p>
      <w:pPr>
        <w:pStyle w:val="47"/>
        <w:spacing w:after="0"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13.8属于承包人自行采购的主要材料、设备，招标人应当在招标文件中提出材料、设备的技术标准或者质量要求，或者提出不少于3个同等档次品牌或分包商供投标人报价时选择,凡招标人在招标文件中提出参考品牌的，必须在参考品牌后面加上“或相当于”字样。投标人在投标文件中应明确所选用主要材料、设备的品牌、厂家以及质量等级，并且应当符合招标文件的要求。</w:t>
      </w:r>
    </w:p>
    <w:p>
      <w:pPr>
        <w:pBdr>
          <w:bottom w:val="single" w:color="auto" w:sz="6" w:space="1"/>
        </w:pBdr>
        <w:spacing w:line="360" w:lineRule="auto"/>
        <w:ind w:firstLine="413" w:firstLineChars="196"/>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u w:val="single"/>
        </w:rPr>
        <w:t>13.8投标期间，投标人不需在投标文件中明确所选用主要材料、设备的品牌、厂家以及质量等级。实施期间，所有材料品牌选择均须报发包人、监理工程师确认，所有材料及成品质量必须满足设计与规范要求，且经检验合格后方可使用。</w:t>
      </w:r>
    </w:p>
    <w:p>
      <w:pPr>
        <w:pStyle w:val="47"/>
        <w:spacing w:after="0" w:line="360" w:lineRule="auto"/>
        <w:ind w:firstLine="407" w:firstLineChars="193"/>
        <w:rPr>
          <w:rFonts w:ascii="宋体" w:hAnsi="宋体"/>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13.10                         </w:t>
      </w:r>
      <w:r>
        <w:rPr>
          <w:rFonts w:hint="eastAsia" w:ascii="宋体" w:hAnsi="宋体" w:cs="宋体"/>
          <w:b/>
          <w:color w:val="auto"/>
          <w:szCs w:val="21"/>
          <w:highlight w:val="none"/>
        </w:rPr>
        <w:t>修改类型：增加</w:t>
      </w:r>
    </w:p>
    <w:p>
      <w:pPr>
        <w:spacing w:line="360" w:lineRule="auto"/>
        <w:ind w:firstLine="407" w:firstLineChars="193"/>
        <w:rPr>
          <w:rFonts w:ascii="宋体" w:hAnsi="宋体" w:cs="宋体"/>
          <w:color w:val="auto"/>
          <w:szCs w:val="21"/>
          <w:highlight w:val="none"/>
          <w:u w:val="single"/>
        </w:rPr>
      </w:pPr>
      <w:r>
        <w:rPr>
          <w:rFonts w:hint="eastAsia" w:ascii="宋体" w:hAnsi="宋体" w:cs="宋体"/>
          <w:b/>
          <w:color w:val="auto"/>
          <w:szCs w:val="21"/>
          <w:highlight w:val="none"/>
        </w:rPr>
        <w:t>现文：</w:t>
      </w:r>
      <w:r>
        <w:rPr>
          <w:rFonts w:ascii="宋体" w:hAnsi="宋体" w:cs="宋体"/>
          <w:bCs/>
          <w:color w:val="auto"/>
          <w:szCs w:val="21"/>
          <w:highlight w:val="none"/>
          <w:u w:val="single"/>
        </w:rPr>
        <w:t>13.10</w:t>
      </w:r>
      <w:r>
        <w:rPr>
          <w:rFonts w:hint="eastAsia" w:ascii="宋体" w:hAnsi="宋体" w:cs="宋体"/>
          <w:color w:val="auto"/>
          <w:szCs w:val="21"/>
          <w:highlight w:val="none"/>
          <w:u w:val="single"/>
        </w:rPr>
        <w:t>工程量清单报价中有关问题的说明：</w:t>
      </w:r>
    </w:p>
    <w:p>
      <w:pPr>
        <w:spacing w:line="360" w:lineRule="auto"/>
        <w:ind w:firstLine="424" w:firstLineChars="202"/>
        <w:rPr>
          <w:rFonts w:hint="eastAsia" w:ascii="宋体" w:hAnsi="宋体" w:cs="宋体"/>
          <w:color w:val="auto"/>
          <w:szCs w:val="21"/>
          <w:highlight w:val="none"/>
          <w:u w:val="single"/>
        </w:rPr>
      </w:pPr>
      <w:r>
        <w:rPr>
          <w:rFonts w:hint="eastAsia" w:ascii="宋体" w:hAnsi="宋体" w:cs="宋体"/>
          <w:color w:val="auto"/>
          <w:szCs w:val="21"/>
          <w:highlight w:val="none"/>
          <w:u w:val="single"/>
        </w:rPr>
        <w:t>①工程量清单中的标志杆基础中的土方开挖、运输、外运等费用包含在相应项目中，不包含在土石方工程的相关项目中。</w:t>
      </w:r>
    </w:p>
    <w:p>
      <w:pPr>
        <w:spacing w:line="360" w:lineRule="auto"/>
        <w:ind w:firstLine="424" w:firstLineChars="202"/>
        <w:rPr>
          <w:rFonts w:hint="eastAsia" w:ascii="宋体" w:hAnsi="宋体" w:cs="宋体"/>
          <w:color w:val="auto"/>
          <w:szCs w:val="21"/>
          <w:highlight w:val="none"/>
          <w:u w:val="single"/>
        </w:rPr>
      </w:pPr>
      <w:r>
        <w:rPr>
          <w:rFonts w:hint="eastAsia" w:ascii="宋体" w:hAnsi="宋体" w:cs="宋体"/>
          <w:color w:val="auto"/>
          <w:szCs w:val="21"/>
          <w:highlight w:val="none"/>
          <w:u w:val="single"/>
        </w:rPr>
        <w:t xml:space="preserve">②场地平整单位工程中的土方单价，参照《广州开发区、萝岗区财政投资土地平整工程实施细则》（穗开环建〔2012〕197号）及广州开发区管委会办公室《关于调整我区土地平整项目土方单价的复函》（穗开内收〔2016〕58号）设置最高限价：（1）土地平整综合单价按 3 公里内 13.2 元/立方米进行控制，运距超出 3 公里后每增加 1 公里运距的运土综合单价为 2.14 元/立方米，运距最高计算至 15 公里，若选定的弃土点超岀该地块 15 公里范围之外的，仍按 15 公里计算的综合单价 38.88 元/立方米包干。此综合单价包含挖填、运输、推平、压实、地块内清表、临时排水、临时道路、修坡工程费用及措施费、规费、税金。在项目实施过程中，如果上级部门重新出具新的土方限价文件，则在相应实施期按照相应文件对土方单价进行计取。（2）场地平整单位工程内的石方工程，距离厂房、民 房、桥梁及高速公路等建、构筑物 50 米范围内的控制爆破炸石综合单价按 70 元/立方米进行控制，50 米至 300 米范围内的控制爆破炸石综合单价按 60元/立方米进行控制；在高压线（1 万伏以上供电线路）周围 300 米范围内控制爆破炸石综合单价按 70 元/ 立方米进行控制，在高压线（1 万伏以上供电线路）周围 300 至 500 米范围内控制爆破炸石综合单价按 60 元/立方米进行控制，其他范围内的炸石综合单价按 40 元/立方米进行控制，此综合单价包含挖土露石、炸石及土石方清运等综合费用，石方工程量按爆破前的天然密实体积计算。（因清表、树木砍伐和地上附着物的清理及土方工程中不能利用产生的余泥渣土排放由承包人按照有关规定进行外运，费用不另行计算）；石方工程单位工程内的石方静力爆破综合单价按 </w:t>
      </w:r>
      <w:r>
        <w:rPr>
          <w:rFonts w:hint="eastAsia" w:ascii="宋体" w:hAnsi="宋体" w:cs="宋体"/>
          <w:color w:val="auto"/>
          <w:szCs w:val="21"/>
          <w:highlight w:val="none"/>
          <w:u w:val="single"/>
          <w:lang w:val="en-US" w:eastAsia="zh-CN"/>
        </w:rPr>
        <w:t>176.58</w:t>
      </w:r>
      <w:r>
        <w:rPr>
          <w:rFonts w:hint="eastAsia" w:ascii="宋体" w:hAnsi="宋体" w:cs="宋体"/>
          <w:color w:val="auto"/>
          <w:szCs w:val="21"/>
          <w:highlight w:val="none"/>
          <w:u w:val="single"/>
        </w:rPr>
        <w:t xml:space="preserve"> 元／立方米进行控制，此综合单价包含挖土露石、炸石及土石方清运及措施费、预算包干费、税金等综合费用。（3）其他单位工程中：土方的挖运单价按定额计算，土方的弃运距离暂按 15 公里内考虑，超过 15 公里按 15 公里计算，结算时按招标人确认的实际运距计算,实际运距超过 15 公里时，按 15 公里包干。（4）在项目实施过程中，如果区政府、管委会重新修订了新的土方平整工程土石方限价文件，则按新的文件执行。</w:t>
      </w:r>
    </w:p>
    <w:p>
      <w:pPr>
        <w:spacing w:line="360" w:lineRule="auto"/>
        <w:ind w:firstLine="424" w:firstLineChars="202"/>
        <w:rPr>
          <w:rFonts w:hint="eastAsia" w:ascii="宋体" w:hAnsi="宋体" w:cs="宋体"/>
          <w:color w:val="auto"/>
          <w:szCs w:val="21"/>
          <w:highlight w:val="none"/>
          <w:u w:val="single"/>
        </w:rPr>
      </w:pPr>
      <w:r>
        <w:rPr>
          <w:rFonts w:hint="eastAsia" w:ascii="宋体" w:hAnsi="宋体" w:cs="宋体"/>
          <w:color w:val="auto"/>
          <w:szCs w:val="21"/>
          <w:highlight w:val="none"/>
          <w:u w:val="single"/>
        </w:rPr>
        <w:t>③工程量清单中措施项目清单费计价表中的绿色施工安全防护措施费执行《广东省住房和城乡建设厅关于印发&lt;广东省建设工程计价依据（2018)&gt;的通知》（穗建市〔2019〕6号）文，绿色施工安全防护措施费按发包人公布的本工程招标控制价中的绿色施工安全防护措施费计取，作为非竞争费用，在投标报价中单列，不参与投标竞价，该费用从工程施工中标价中提取，专款专用。</w:t>
      </w:r>
    </w:p>
    <w:p>
      <w:pPr>
        <w:spacing w:after="0" w:line="360" w:lineRule="auto"/>
        <w:ind w:firstLine="426" w:firstLineChars="202"/>
        <w:rPr>
          <w:rFonts w:ascii="宋体" w:hAnsi="宋体"/>
          <w:b/>
          <w:color w:val="auto"/>
          <w:szCs w:val="21"/>
          <w:highlight w:val="none"/>
        </w:rPr>
      </w:pPr>
      <w:r>
        <w:rPr>
          <w:rFonts w:hint="eastAsia" w:ascii="宋体" w:hAnsi="宋体"/>
          <w:b/>
          <w:color w:val="auto"/>
          <w:szCs w:val="21"/>
          <w:highlight w:val="none"/>
        </w:rPr>
        <w:t>条款号：</w:t>
      </w:r>
      <w:r>
        <w:rPr>
          <w:rFonts w:ascii="宋体" w:hAnsi="宋体"/>
          <w:b/>
          <w:color w:val="auto"/>
          <w:szCs w:val="21"/>
          <w:highlight w:val="none"/>
        </w:rPr>
        <w:t xml:space="preserve">13.11                          </w:t>
      </w:r>
      <w:r>
        <w:rPr>
          <w:rFonts w:hint="eastAsia" w:ascii="宋体" w:hAnsi="宋体"/>
          <w:b/>
          <w:color w:val="auto"/>
          <w:szCs w:val="21"/>
          <w:highlight w:val="none"/>
        </w:rPr>
        <w:t>修改类型：增加</w:t>
      </w:r>
    </w:p>
    <w:p>
      <w:pPr>
        <w:pStyle w:val="47"/>
        <w:pBdr>
          <w:bottom w:val="single" w:color="auto" w:sz="6" w:space="1"/>
        </w:pBdr>
        <w:spacing w:after="0" w:line="360" w:lineRule="auto"/>
        <w:ind w:firstLine="424" w:firstLineChars="201"/>
        <w:rPr>
          <w:rFonts w:ascii="宋体" w:hAnsi="宋体"/>
          <w:color w:val="auto"/>
          <w:szCs w:val="21"/>
          <w:highlight w:val="none"/>
        </w:rPr>
      </w:pPr>
      <w:r>
        <w:rPr>
          <w:rFonts w:hint="eastAsia" w:ascii="宋体" w:hAnsi="宋体"/>
          <w:b/>
          <w:color w:val="auto"/>
          <w:szCs w:val="21"/>
          <w:highlight w:val="none"/>
        </w:rPr>
        <w:t>现文：</w:t>
      </w:r>
      <w:r>
        <w:rPr>
          <w:rFonts w:ascii="宋体" w:hAnsi="宋体"/>
          <w:color w:val="auto"/>
          <w:szCs w:val="21"/>
          <w:highlight w:val="none"/>
          <w:u w:val="single"/>
        </w:rPr>
        <w:t>13.11中标人应对当地现有的交通道路状况进行充分调查，充分考虑该路段的交通疏导问题和文明施工，制定可行的交通疏导（包括场内和场外）方案，确保原有道路的交通畅通和施工临时排水的通畅，并符合施工环保要求。中标人应与交警及公路管理部门协商，取得同意和协助，并负责承担道路改线或改善和其他费用。</w:t>
      </w:r>
      <w:r>
        <w:rPr>
          <w:rFonts w:hint="eastAsia" w:ascii="宋体" w:hAnsi="宋体" w:cs="宋体"/>
          <w:color w:val="auto"/>
          <w:szCs w:val="21"/>
          <w:highlight w:val="none"/>
          <w:u w:val="single"/>
        </w:rPr>
        <w:t>相关费用包含在措施项目费中</w:t>
      </w:r>
      <w:r>
        <w:rPr>
          <w:rFonts w:hint="eastAsia" w:ascii="宋体" w:hAnsi="宋体"/>
          <w:color w:val="auto"/>
          <w:szCs w:val="21"/>
          <w:highlight w:val="none"/>
          <w:u w:val="single"/>
        </w:rPr>
        <w:t>，结算时按发包人批准的实施方案，按合同约定结算。如果中标人不及时按要求设置，发包人可以另行委托实施。发包人按实际发生的费用在工程款中扣除，中标人不得有任何异议。</w:t>
      </w:r>
    </w:p>
    <w:p>
      <w:pPr>
        <w:pStyle w:val="47"/>
        <w:spacing w:after="0" w:line="360" w:lineRule="auto"/>
        <w:ind w:firstLine="424" w:firstLineChars="201"/>
        <w:rPr>
          <w:rFonts w:ascii="宋体" w:hAnsi="宋体"/>
          <w:b/>
          <w:color w:val="auto"/>
          <w:szCs w:val="21"/>
          <w:highlight w:val="none"/>
        </w:rPr>
      </w:pPr>
      <w:r>
        <w:rPr>
          <w:rFonts w:hint="eastAsia" w:ascii="宋体" w:hAnsi="宋体"/>
          <w:b/>
          <w:color w:val="auto"/>
          <w:szCs w:val="21"/>
          <w:highlight w:val="none"/>
        </w:rPr>
        <w:t>条款号：</w:t>
      </w:r>
      <w:r>
        <w:rPr>
          <w:rFonts w:ascii="宋体" w:hAnsi="宋体"/>
          <w:b/>
          <w:color w:val="auto"/>
          <w:szCs w:val="21"/>
          <w:highlight w:val="none"/>
        </w:rPr>
        <w:t xml:space="preserve">13.12                          </w:t>
      </w:r>
      <w:r>
        <w:rPr>
          <w:rFonts w:hint="eastAsia" w:ascii="宋体" w:hAnsi="宋体"/>
          <w:b/>
          <w:color w:val="auto"/>
          <w:szCs w:val="21"/>
          <w:highlight w:val="none"/>
        </w:rPr>
        <w:t>修改类型：增加</w:t>
      </w:r>
    </w:p>
    <w:p>
      <w:pPr>
        <w:pStyle w:val="47"/>
        <w:pBdr>
          <w:bottom w:val="single" w:color="auto" w:sz="6" w:space="1"/>
        </w:pBdr>
        <w:spacing w:after="0" w:line="360" w:lineRule="auto"/>
        <w:ind w:firstLine="424" w:firstLineChars="201"/>
        <w:rPr>
          <w:rFonts w:ascii="宋体" w:hAnsi="宋体"/>
          <w:color w:val="auto"/>
          <w:szCs w:val="21"/>
          <w:highlight w:val="none"/>
        </w:rPr>
      </w:pPr>
      <w:r>
        <w:rPr>
          <w:rFonts w:hint="eastAsia" w:ascii="宋体" w:hAnsi="宋体"/>
          <w:b/>
          <w:color w:val="auto"/>
          <w:szCs w:val="21"/>
          <w:highlight w:val="none"/>
        </w:rPr>
        <w:t>现文：</w:t>
      </w:r>
      <w:r>
        <w:rPr>
          <w:rFonts w:ascii="宋体" w:hAnsi="宋体"/>
          <w:color w:val="auto"/>
          <w:szCs w:val="21"/>
          <w:highlight w:val="none"/>
          <w:u w:val="single"/>
        </w:rPr>
        <w:t>13.12中标人应加强周边学校、居民住宅的环境保护，制定绿色施工安全防护措施（包括防尘、防噪音、施工围蔽等），施工现场严格按照</w:t>
      </w:r>
      <w:r>
        <w:rPr>
          <w:rFonts w:hint="default" w:ascii="宋体" w:hAnsi="宋体"/>
          <w:color w:val="auto"/>
          <w:kern w:val="2"/>
          <w:sz w:val="21"/>
          <w:szCs w:val="21"/>
          <w:highlight w:val="none"/>
          <w:u w:val="single"/>
        </w:rPr>
        <w:t>《广东省建设工程施工扬尘污染防治管理办法（试行）》（粤办函〔2017〕708号）、</w:t>
      </w:r>
      <w:r>
        <w:rPr>
          <w:rFonts w:ascii="宋体" w:hAnsi="宋体"/>
          <w:color w:val="auto"/>
          <w:szCs w:val="21"/>
          <w:highlight w:val="none"/>
          <w:u w:val="single"/>
        </w:rPr>
        <w:t>《广州市建设工程文明施工管理规定》（广州市人民政府令第62号</w:t>
      </w:r>
      <w:r>
        <w:rPr>
          <w:rFonts w:hint="eastAsia" w:ascii="宋体" w:hAnsi="宋体" w:cs="宋体"/>
          <w:color w:val="auto"/>
          <w:szCs w:val="21"/>
          <w:highlight w:val="none"/>
          <w:u w:val="single"/>
        </w:rPr>
        <w:t>、第158号</w:t>
      </w:r>
      <w:r>
        <w:rPr>
          <w:rFonts w:ascii="宋体" w:hAnsi="宋体"/>
          <w:color w:val="auto"/>
          <w:szCs w:val="21"/>
          <w:highlight w:val="none"/>
          <w:u w:val="single"/>
        </w:rPr>
        <w:t>）、《广州市建设工程现场文明施工管理办法》（穗建质〔2008〕937号）、《关于进一步加强我区建设工地文明施工管理的通知》（穗开规建〔2006〕74号）、《广州市住房和城乡建设委员会关于印发建设工程扬尘防治“6个100%”管理标准细化措施的通知》（穗建质〔2018〕1394号）及其他相关规定实施，施工围蔽严格按照《关于进一步规范建设工程施工现场围蔽的通知》（穗建质〔2018〕1008号）、《广州市建设工程绿色施工围蔽指导图集（V2.0版）的通知》(穂建质〔2020〕1号)、</w:t>
      </w:r>
      <w:r>
        <w:rPr>
          <w:rFonts w:hint="default" w:ascii="宋体" w:hAnsi="宋体"/>
          <w:color w:val="auto"/>
          <w:kern w:val="2"/>
          <w:sz w:val="21"/>
          <w:szCs w:val="21"/>
          <w:highlight w:val="none"/>
          <w:u w:val="single"/>
        </w:rPr>
        <w:t>《关于在全区建设项目推广使用封闭式外脚手架金属防护网的通知》（穗埔建﹝2019﹞66号）、</w:t>
      </w:r>
      <w:r>
        <w:rPr>
          <w:rFonts w:ascii="宋体" w:hAnsi="宋体"/>
          <w:color w:val="auto"/>
          <w:szCs w:val="21"/>
          <w:highlight w:val="none"/>
          <w:u w:val="single"/>
        </w:rPr>
        <w:t xml:space="preserve">《关于进一步落实我区市政建设项目施工围蔽提升工作的通知》（穗埔建[2019]123号）及《黄埔区住房和城乡建设局 </w:t>
      </w:r>
      <w:r>
        <w:rPr>
          <w:rFonts w:hint="eastAsia" w:ascii="宋体" w:hAnsi="宋体"/>
          <w:color w:val="auto"/>
          <w:szCs w:val="21"/>
          <w:highlight w:val="none"/>
          <w:u w:val="single"/>
        </w:rPr>
        <w:t>广州开发区建设和交通局关于进一步规范全区建设工程施工围蔽标准的通知》（穗埔建﹝</w:t>
      </w:r>
      <w:r>
        <w:rPr>
          <w:rFonts w:ascii="宋体" w:hAnsi="宋体"/>
          <w:color w:val="auto"/>
          <w:szCs w:val="21"/>
          <w:highlight w:val="none"/>
          <w:u w:val="single"/>
        </w:rPr>
        <w:t>2020﹞183号）实施。以上文件要求不一致的，以后发布文件为准，若相关部门发布有关施工围蔽新文件规定的，按新规定执行。如中标人未及时按要求做好围蔽、落实工地扬尘防治等绿色施工安全防护措施，业主可另行委托单位实施，业主在工程款中扣减相应措施费用。中标人应当在项目施工前编制扬尘污染防治专项方案和扬尘污染防治费用使用计划，明确扬尘控制目标、防治部位、控制措施，并将扬尘污染防治费用专项使用。</w:t>
      </w:r>
    </w:p>
    <w:p>
      <w:pPr>
        <w:pStyle w:val="47"/>
        <w:spacing w:after="0" w:line="360" w:lineRule="auto"/>
        <w:ind w:firstLine="424" w:firstLineChars="201"/>
        <w:rPr>
          <w:rFonts w:ascii="宋体" w:hAnsi="宋体"/>
          <w:b/>
          <w:color w:val="auto"/>
          <w:szCs w:val="21"/>
          <w:highlight w:val="none"/>
        </w:rPr>
      </w:pPr>
      <w:r>
        <w:rPr>
          <w:rFonts w:hint="eastAsia" w:ascii="宋体" w:hAnsi="宋体"/>
          <w:b/>
          <w:color w:val="auto"/>
          <w:szCs w:val="21"/>
          <w:highlight w:val="none"/>
        </w:rPr>
        <w:t>条款号：</w:t>
      </w:r>
      <w:r>
        <w:rPr>
          <w:rFonts w:ascii="宋体" w:hAnsi="宋体"/>
          <w:b/>
          <w:color w:val="auto"/>
          <w:szCs w:val="21"/>
          <w:highlight w:val="none"/>
        </w:rPr>
        <w:t xml:space="preserve">13.13                            </w:t>
      </w:r>
      <w:r>
        <w:rPr>
          <w:rFonts w:hint="eastAsia" w:ascii="宋体" w:hAnsi="宋体"/>
          <w:b/>
          <w:color w:val="auto"/>
          <w:szCs w:val="21"/>
          <w:highlight w:val="none"/>
        </w:rPr>
        <w:t>修改类型：增加</w:t>
      </w:r>
    </w:p>
    <w:p>
      <w:pPr>
        <w:pStyle w:val="47"/>
        <w:pBdr>
          <w:bottom w:val="single" w:color="auto" w:sz="6" w:space="1"/>
        </w:pBdr>
        <w:spacing w:after="0" w:line="360" w:lineRule="auto"/>
        <w:ind w:firstLine="424" w:firstLineChars="201"/>
        <w:rPr>
          <w:rFonts w:ascii="宋体" w:hAnsi="宋体"/>
          <w:color w:val="auto"/>
          <w:szCs w:val="21"/>
          <w:highlight w:val="none"/>
        </w:rPr>
      </w:pPr>
      <w:r>
        <w:rPr>
          <w:rFonts w:hint="eastAsia" w:ascii="宋体" w:hAnsi="宋体"/>
          <w:b/>
          <w:color w:val="auto"/>
          <w:szCs w:val="21"/>
          <w:highlight w:val="none"/>
        </w:rPr>
        <w:t>现文：</w:t>
      </w:r>
      <w:r>
        <w:rPr>
          <w:rFonts w:ascii="宋体" w:hAnsi="宋体"/>
          <w:color w:val="auto"/>
          <w:szCs w:val="21"/>
          <w:highlight w:val="none"/>
          <w:u w:val="single"/>
        </w:rPr>
        <w:t>13.13本工程中标人通过现场考察，提出具体施工方案，无论在工程施工期间或是在质量保修期内，若因施工而引起的一切索赔、赔偿、诉讼费用和其他开支，由中标人承担全部责任。</w:t>
      </w:r>
      <w:r>
        <w:rPr>
          <w:rFonts w:hint="eastAsia" w:ascii="宋体" w:hAnsi="宋体" w:cs="宋体"/>
          <w:color w:val="auto"/>
          <w:szCs w:val="21"/>
          <w:highlight w:val="none"/>
          <w:u w:val="single"/>
        </w:rPr>
        <w:t>该项费用包含在投标总报价中，不另行计费。</w:t>
      </w:r>
      <w:r>
        <w:rPr>
          <w:rFonts w:hint="eastAsia" w:ascii="宋体" w:hAnsi="宋体"/>
          <w:color w:val="auto"/>
          <w:szCs w:val="21"/>
          <w:highlight w:val="none"/>
          <w:u w:val="single"/>
        </w:rPr>
        <w:t>中标人不得以任何理由要求发包人另行增加该部分费用（中标人要充分考虑最不利因素影响而采用的施工方案所需的费用）。</w:t>
      </w:r>
    </w:p>
    <w:p>
      <w:pPr>
        <w:pStyle w:val="47"/>
        <w:spacing w:after="0" w:line="360" w:lineRule="auto"/>
        <w:ind w:firstLine="424" w:firstLineChars="201"/>
        <w:rPr>
          <w:rFonts w:ascii="宋体" w:hAnsi="宋体"/>
          <w:b/>
          <w:color w:val="auto"/>
          <w:szCs w:val="21"/>
          <w:highlight w:val="none"/>
        </w:rPr>
      </w:pPr>
      <w:r>
        <w:rPr>
          <w:rFonts w:hint="eastAsia" w:ascii="宋体" w:hAnsi="宋体"/>
          <w:b/>
          <w:color w:val="auto"/>
          <w:szCs w:val="21"/>
          <w:highlight w:val="none"/>
        </w:rPr>
        <w:t>条款号：</w:t>
      </w:r>
      <w:r>
        <w:rPr>
          <w:rFonts w:ascii="宋体" w:hAnsi="宋体"/>
          <w:b/>
          <w:color w:val="auto"/>
          <w:szCs w:val="21"/>
          <w:highlight w:val="none"/>
        </w:rPr>
        <w:t xml:space="preserve">13.14                             </w:t>
      </w:r>
      <w:r>
        <w:rPr>
          <w:rFonts w:hint="eastAsia" w:ascii="宋体" w:hAnsi="宋体"/>
          <w:b/>
          <w:color w:val="auto"/>
          <w:szCs w:val="21"/>
          <w:highlight w:val="none"/>
        </w:rPr>
        <w:t>修改类型：增加</w:t>
      </w:r>
    </w:p>
    <w:p>
      <w:pPr>
        <w:pStyle w:val="47"/>
        <w:pBdr>
          <w:bottom w:val="single" w:color="auto" w:sz="6" w:space="1"/>
        </w:pBdr>
        <w:spacing w:after="0" w:line="360" w:lineRule="auto"/>
        <w:ind w:firstLine="424" w:firstLineChars="201"/>
        <w:rPr>
          <w:rFonts w:ascii="宋体" w:hAnsi="宋体"/>
          <w:color w:val="auto"/>
          <w:szCs w:val="21"/>
          <w:highlight w:val="none"/>
        </w:rPr>
      </w:pPr>
      <w:r>
        <w:rPr>
          <w:rFonts w:hint="eastAsia" w:ascii="宋体" w:hAnsi="宋体"/>
          <w:b/>
          <w:color w:val="auto"/>
          <w:szCs w:val="21"/>
          <w:highlight w:val="none"/>
        </w:rPr>
        <w:t>现文：</w:t>
      </w:r>
      <w:r>
        <w:rPr>
          <w:rFonts w:ascii="宋体" w:hAnsi="宋体"/>
          <w:color w:val="auto"/>
          <w:szCs w:val="21"/>
          <w:highlight w:val="none"/>
          <w:u w:val="single"/>
        </w:rPr>
        <w:t>13.14中标人应结合本工程招标内容对现场进行充分的调查，充分考虑工程招标内容及施工组织方案，中标人应与相关管理部门（如铁路管理部门）协商，取得同意协调，按要求完成工程招标内容，工程及相关费用包含在合同价中，不另行计费。如果中标人不及时按要求完成，发包人可以另行委托实施，发包人按实际发生的费用在工程款中扣除，中标人不得有任何异议。</w:t>
      </w:r>
    </w:p>
    <w:p>
      <w:pPr>
        <w:pStyle w:val="47"/>
        <w:spacing w:after="0" w:line="360" w:lineRule="auto"/>
        <w:ind w:firstLine="424" w:firstLineChars="201"/>
        <w:rPr>
          <w:rFonts w:ascii="宋体" w:hAnsi="宋体"/>
          <w:b/>
          <w:color w:val="auto"/>
          <w:szCs w:val="21"/>
          <w:highlight w:val="none"/>
        </w:rPr>
      </w:pPr>
      <w:r>
        <w:rPr>
          <w:rFonts w:hint="eastAsia" w:ascii="宋体" w:hAnsi="宋体"/>
          <w:b/>
          <w:color w:val="auto"/>
          <w:szCs w:val="21"/>
          <w:highlight w:val="none"/>
        </w:rPr>
        <w:t>条款号：</w:t>
      </w:r>
      <w:r>
        <w:rPr>
          <w:rFonts w:ascii="宋体" w:hAnsi="宋体"/>
          <w:b/>
          <w:color w:val="auto"/>
          <w:szCs w:val="21"/>
          <w:highlight w:val="none"/>
        </w:rPr>
        <w:t xml:space="preserve">13.15                             </w:t>
      </w:r>
      <w:r>
        <w:rPr>
          <w:rFonts w:hint="eastAsia" w:ascii="宋体" w:hAnsi="宋体"/>
          <w:b/>
          <w:color w:val="auto"/>
          <w:szCs w:val="21"/>
          <w:highlight w:val="none"/>
        </w:rPr>
        <w:t>修改类型：增加</w:t>
      </w:r>
    </w:p>
    <w:p>
      <w:pPr>
        <w:pStyle w:val="47"/>
        <w:pBdr>
          <w:bottom w:val="single" w:color="auto" w:sz="6" w:space="1"/>
        </w:pBdr>
        <w:spacing w:after="0" w:line="360" w:lineRule="auto"/>
        <w:ind w:firstLine="424" w:firstLineChars="201"/>
        <w:rPr>
          <w:rFonts w:ascii="宋体" w:hAnsi="宋体"/>
          <w:color w:val="auto"/>
          <w:szCs w:val="21"/>
          <w:highlight w:val="none"/>
          <w:u w:val="single"/>
        </w:rPr>
      </w:pPr>
      <w:r>
        <w:rPr>
          <w:rFonts w:hint="eastAsia" w:ascii="宋体" w:hAnsi="宋体"/>
          <w:b/>
          <w:color w:val="auto"/>
          <w:szCs w:val="21"/>
          <w:highlight w:val="none"/>
        </w:rPr>
        <w:t>现文：</w:t>
      </w:r>
      <w:r>
        <w:rPr>
          <w:rFonts w:ascii="宋体" w:hAnsi="宋体"/>
          <w:color w:val="auto"/>
          <w:szCs w:val="21"/>
          <w:highlight w:val="none"/>
          <w:u w:val="single"/>
        </w:rPr>
        <w:t>13.15中标人应根据区相关主管部门批复的水土保持实施方案及相关规定完成本工程的水土保持工作，承担防止水土流失职责，相关费用包含在合同价中，不另行计费。如果中标人不及</w:t>
      </w:r>
      <w:r>
        <w:rPr>
          <w:rFonts w:hint="eastAsia" w:ascii="宋体" w:hAnsi="宋体"/>
          <w:color w:val="auto"/>
          <w:szCs w:val="21"/>
          <w:highlight w:val="none"/>
          <w:u w:val="single"/>
        </w:rPr>
        <w:t>时按要求完成上述工作，发包人可以另行委托实施，发包人按实际发生的费用在工程款中扣除，中标人不得有任何异议。</w:t>
      </w:r>
    </w:p>
    <w:p>
      <w:pPr>
        <w:pStyle w:val="47"/>
        <w:spacing w:after="0" w:line="360" w:lineRule="auto"/>
        <w:ind w:firstLine="424" w:firstLineChars="201"/>
        <w:rPr>
          <w:rFonts w:ascii="宋体" w:hAnsi="宋体"/>
          <w:b/>
          <w:color w:val="auto"/>
          <w:szCs w:val="21"/>
          <w:highlight w:val="none"/>
        </w:rPr>
      </w:pPr>
      <w:r>
        <w:rPr>
          <w:rFonts w:hint="eastAsia" w:ascii="宋体" w:hAnsi="宋体"/>
          <w:b/>
          <w:color w:val="auto"/>
          <w:szCs w:val="21"/>
          <w:highlight w:val="none"/>
        </w:rPr>
        <w:t>条款号：</w:t>
      </w:r>
      <w:r>
        <w:rPr>
          <w:rFonts w:ascii="宋体" w:hAnsi="宋体"/>
          <w:b/>
          <w:color w:val="auto"/>
          <w:szCs w:val="21"/>
          <w:highlight w:val="none"/>
        </w:rPr>
        <w:t xml:space="preserve">13.16                              </w:t>
      </w:r>
      <w:r>
        <w:rPr>
          <w:rFonts w:hint="eastAsia" w:ascii="宋体" w:hAnsi="宋体"/>
          <w:b/>
          <w:color w:val="auto"/>
          <w:szCs w:val="21"/>
          <w:highlight w:val="none"/>
        </w:rPr>
        <w:t>修改类型：增加</w:t>
      </w:r>
    </w:p>
    <w:p>
      <w:pPr>
        <w:pStyle w:val="47"/>
        <w:pBdr>
          <w:bottom w:val="single" w:color="auto" w:sz="6" w:space="1"/>
        </w:pBdr>
        <w:spacing w:after="0" w:line="360" w:lineRule="auto"/>
        <w:ind w:firstLine="424" w:firstLineChars="201"/>
        <w:rPr>
          <w:rFonts w:ascii="宋体" w:hAnsi="宋体"/>
          <w:color w:val="auto"/>
          <w:szCs w:val="21"/>
          <w:highlight w:val="none"/>
          <w:u w:val="single"/>
        </w:rPr>
      </w:pPr>
      <w:r>
        <w:rPr>
          <w:rFonts w:hint="eastAsia" w:ascii="宋体" w:hAnsi="宋体"/>
          <w:b/>
          <w:color w:val="auto"/>
          <w:szCs w:val="21"/>
          <w:highlight w:val="none"/>
        </w:rPr>
        <w:t>现文：</w:t>
      </w:r>
      <w:r>
        <w:rPr>
          <w:rFonts w:ascii="宋体" w:hAnsi="宋体"/>
          <w:color w:val="auto"/>
          <w:szCs w:val="21"/>
          <w:highlight w:val="none"/>
          <w:u w:val="single"/>
        </w:rPr>
        <w:t>13.16中标人应使用绿色生产达标企业生产的混凝土，若不遵守承诺，自愿按不履行合同约定处理。</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13.17                              </w:t>
      </w:r>
      <w:r>
        <w:rPr>
          <w:rFonts w:hint="eastAsia" w:ascii="宋体" w:hAnsi="宋体" w:cs="宋体"/>
          <w:b/>
          <w:color w:val="auto"/>
          <w:szCs w:val="21"/>
          <w:highlight w:val="none"/>
        </w:rPr>
        <w:t>修改类型：增加</w:t>
      </w:r>
    </w:p>
    <w:p>
      <w:pPr>
        <w:pBdr>
          <w:bottom w:val="single" w:color="auto" w:sz="6" w:space="1"/>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u w:val="single"/>
        </w:rPr>
        <w:t>13.17中标人应按有关规定协助发包人完成公共排水设施竣工图纸备案工作。</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15.2                               </w:t>
      </w:r>
      <w:r>
        <w:rPr>
          <w:rFonts w:hint="eastAsia" w:ascii="宋体" w:hAnsi="宋体" w:cs="宋体"/>
          <w:b/>
          <w:color w:val="auto"/>
          <w:szCs w:val="21"/>
          <w:highlight w:val="none"/>
        </w:rPr>
        <w:t>修改类型：修改</w:t>
      </w:r>
    </w:p>
    <w:p>
      <w:pPr>
        <w:pBdr>
          <w:bottom w:val="single" w:color="auto" w:sz="6" w:space="1"/>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 xml:space="preserve">15.2 </w:t>
      </w:r>
      <w:r>
        <w:rPr>
          <w:rFonts w:hint="eastAsia" w:ascii="宋体" w:hAnsi="宋体" w:cs="宋体"/>
          <w:color w:val="auto"/>
          <w:szCs w:val="21"/>
          <w:highlight w:val="none"/>
        </w:rPr>
        <w:t>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w:t>
      </w:r>
      <w:r>
        <w:rPr>
          <w:rFonts w:ascii="宋体" w:hAnsi="宋体" w:cs="宋体"/>
          <w:color w:val="auto"/>
          <w:szCs w:val="21"/>
          <w:highlight w:val="none"/>
        </w:rPr>
        <w:t>16条关于投标保证金的退还与不予退还的规定仍然适用。</w:t>
      </w:r>
    </w:p>
    <w:p>
      <w:pPr>
        <w:pBdr>
          <w:bottom w:val="single" w:color="auto" w:sz="6" w:space="1"/>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 xml:space="preserve">15.2 </w:t>
      </w:r>
      <w:r>
        <w:rPr>
          <w:rFonts w:hint="eastAsia" w:ascii="宋体" w:hAnsi="宋体" w:cs="宋体"/>
          <w:color w:val="auto"/>
          <w:szCs w:val="21"/>
          <w:highlight w:val="none"/>
        </w:rPr>
        <w:t>在特殊情况下，招标人在原定投标有效期内，可以根据需要以书面形式向投标人提出延长投标有效期的要求，对此要求投标人须以书面形式予以答复。</w:t>
      </w:r>
      <w:r>
        <w:rPr>
          <w:rFonts w:hint="eastAsia" w:ascii="宋体" w:hAnsi="宋体" w:cs="宋体"/>
          <w:color w:val="auto"/>
          <w:szCs w:val="21"/>
          <w:highlight w:val="none"/>
          <w:u w:val="single"/>
        </w:rPr>
        <w:t>投标人可以拒绝招标人这种要求。同意延长投标有效期的投标人既不能要求也不允许修改其投标文件。</w:t>
      </w:r>
    </w:p>
    <w:p>
      <w:pPr>
        <w:pStyle w:val="47"/>
        <w:spacing w:after="0" w:line="360" w:lineRule="auto"/>
        <w:ind w:firstLine="424" w:firstLineChars="201"/>
        <w:rPr>
          <w:rFonts w:ascii="宋体" w:hAnsi="宋体"/>
          <w:color w:val="auto"/>
          <w:szCs w:val="21"/>
          <w:highlight w:val="none"/>
        </w:rPr>
      </w:pPr>
      <w:r>
        <w:rPr>
          <w:rFonts w:hint="eastAsia" w:ascii="宋体" w:hAnsi="宋体"/>
          <w:b/>
          <w:color w:val="auto"/>
          <w:szCs w:val="21"/>
          <w:highlight w:val="none"/>
        </w:rPr>
        <w:t>条款号：</w:t>
      </w:r>
      <w:r>
        <w:rPr>
          <w:rFonts w:ascii="宋体" w:hAnsi="宋体"/>
          <w:b/>
          <w:color w:val="auto"/>
          <w:szCs w:val="21"/>
          <w:highlight w:val="none"/>
        </w:rPr>
        <w:t xml:space="preserve">16 </w:t>
      </w:r>
      <w:r>
        <w:rPr>
          <w:rFonts w:ascii="宋体" w:hAnsi="宋体"/>
          <w:color w:val="auto"/>
          <w:szCs w:val="21"/>
          <w:highlight w:val="none"/>
        </w:rPr>
        <w:t xml:space="preserve">                                 </w:t>
      </w:r>
      <w:r>
        <w:rPr>
          <w:rFonts w:hint="eastAsia" w:ascii="宋体" w:hAnsi="宋体"/>
          <w:b/>
          <w:color w:val="auto"/>
          <w:szCs w:val="21"/>
          <w:highlight w:val="none"/>
        </w:rPr>
        <w:t>修改类型：修改</w:t>
      </w:r>
    </w:p>
    <w:p>
      <w:pPr>
        <w:spacing w:line="360" w:lineRule="auto"/>
        <w:ind w:firstLine="424" w:firstLineChars="201"/>
        <w:rPr>
          <w:rFonts w:ascii="宋体" w:hAnsi="宋体"/>
          <w:color w:val="auto"/>
          <w:szCs w:val="21"/>
          <w:highlight w:val="none"/>
        </w:rPr>
      </w:pPr>
      <w:r>
        <w:rPr>
          <w:rFonts w:hint="eastAsia" w:ascii="宋体" w:hAnsi="宋体"/>
          <w:b/>
          <w:color w:val="auto"/>
          <w:szCs w:val="21"/>
          <w:highlight w:val="none"/>
        </w:rPr>
        <w:t>原文：</w:t>
      </w:r>
    </w:p>
    <w:p>
      <w:pPr>
        <w:pStyle w:val="47"/>
        <w:spacing w:after="0" w:line="360" w:lineRule="auto"/>
        <w:ind w:firstLine="422" w:firstLineChars="200"/>
        <w:rPr>
          <w:rFonts w:ascii="宋体" w:hAnsi="宋体"/>
          <w:b/>
          <w:bCs/>
          <w:color w:val="auto"/>
          <w:szCs w:val="21"/>
          <w:highlight w:val="none"/>
        </w:rPr>
      </w:pPr>
      <w:r>
        <w:rPr>
          <w:rFonts w:ascii="宋体" w:hAnsi="宋体"/>
          <w:b/>
          <w:bCs/>
          <w:color w:val="auto"/>
          <w:szCs w:val="21"/>
          <w:highlight w:val="none"/>
        </w:rPr>
        <w:t>16．投标保证金</w:t>
      </w:r>
    </w:p>
    <w:p>
      <w:pPr>
        <w:pStyle w:val="47"/>
        <w:spacing w:after="0" w:line="360" w:lineRule="auto"/>
        <w:ind w:firstLineChars="200"/>
        <w:rPr>
          <w:rFonts w:ascii="宋体" w:hAnsi="宋体"/>
          <w:color w:val="auto"/>
          <w:szCs w:val="21"/>
          <w:highlight w:val="none"/>
        </w:rPr>
      </w:pPr>
      <w:r>
        <w:rPr>
          <w:rFonts w:ascii="宋体" w:hAnsi="宋体"/>
          <w:color w:val="auto"/>
          <w:szCs w:val="21"/>
          <w:highlight w:val="none"/>
        </w:rPr>
        <w:t>16.1投标人应按投标须知前附表第14项所述金额和时间递交投标保证金。招标人应当允许投标人自主选择现金、银行保函、保证保险、专业工程担保公司担保等方式缴纳投标保证金。</w:t>
      </w:r>
    </w:p>
    <w:p>
      <w:pPr>
        <w:pStyle w:val="47"/>
        <w:spacing w:after="0" w:line="360" w:lineRule="auto"/>
        <w:ind w:firstLineChars="200"/>
        <w:rPr>
          <w:rFonts w:ascii="宋体" w:hAnsi="宋体"/>
          <w:color w:val="auto"/>
          <w:szCs w:val="21"/>
          <w:highlight w:val="none"/>
        </w:rPr>
      </w:pPr>
      <w:r>
        <w:rPr>
          <w:rFonts w:ascii="宋体" w:hAnsi="宋体"/>
          <w:color w:val="auto"/>
          <w:szCs w:val="21"/>
          <w:highlight w:val="none"/>
        </w:rPr>
        <w:t>16.1.1采用现金或者支票形式提交的，投标保证金须从投标人的银行基本账户转出。</w:t>
      </w:r>
    </w:p>
    <w:p>
      <w:pPr>
        <w:pStyle w:val="47"/>
        <w:spacing w:after="0" w:line="360" w:lineRule="auto"/>
        <w:ind w:firstLineChars="200"/>
        <w:rPr>
          <w:rFonts w:ascii="宋体" w:hAnsi="宋体"/>
          <w:color w:val="auto"/>
          <w:szCs w:val="21"/>
          <w:highlight w:val="none"/>
        </w:rPr>
      </w:pPr>
      <w:r>
        <w:rPr>
          <w:rFonts w:ascii="宋体" w:hAnsi="宋体"/>
          <w:color w:val="auto"/>
          <w:szCs w:val="21"/>
          <w:highlight w:val="none"/>
        </w:rPr>
        <w:t>16.1.2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pStyle w:val="47"/>
        <w:spacing w:after="0" w:line="360" w:lineRule="auto"/>
        <w:ind w:firstLineChars="200"/>
        <w:rPr>
          <w:rFonts w:ascii="宋体" w:hAnsi="宋体"/>
          <w:color w:val="auto"/>
          <w:szCs w:val="21"/>
          <w:highlight w:val="none"/>
        </w:rPr>
      </w:pPr>
      <w:r>
        <w:rPr>
          <w:rFonts w:ascii="宋体" w:hAnsi="宋体"/>
          <w:color w:val="auto"/>
          <w:szCs w:val="21"/>
          <w:highlight w:val="none"/>
        </w:rPr>
        <w:t>16.1.3采用电子形式的保函、担保或保证保险提交投标保证金的，应在招标文件中明确电子递交途径。</w:t>
      </w:r>
    </w:p>
    <w:p>
      <w:pPr>
        <w:pStyle w:val="47"/>
        <w:spacing w:after="0" w:line="360" w:lineRule="auto"/>
        <w:ind w:firstLineChars="200"/>
        <w:rPr>
          <w:rFonts w:ascii="宋体" w:hAnsi="宋体"/>
          <w:color w:val="auto"/>
          <w:szCs w:val="21"/>
          <w:highlight w:val="none"/>
        </w:rPr>
      </w:pPr>
      <w:r>
        <w:rPr>
          <w:rFonts w:ascii="宋体" w:hAnsi="宋体"/>
          <w:color w:val="auto"/>
          <w:szCs w:val="21"/>
          <w:highlight w:val="none"/>
        </w:rPr>
        <w:t>16.2开标时投标人没有按要求提供投标保证金的，其投标文件将被否决；未按招标文件要求提</w:t>
      </w:r>
      <w:r>
        <w:rPr>
          <w:rFonts w:hint="eastAsia" w:ascii="宋体" w:hAnsi="宋体"/>
          <w:color w:val="auto"/>
          <w:szCs w:val="21"/>
          <w:highlight w:val="none"/>
        </w:rPr>
        <w:t>交符合免予提供投标保证金相关证明材料，且未提交投标保证金的投标人，视为未按要求提供投标保证金。</w:t>
      </w:r>
    </w:p>
    <w:p>
      <w:pPr>
        <w:pStyle w:val="47"/>
        <w:spacing w:after="0" w:line="360" w:lineRule="auto"/>
        <w:ind w:firstLineChars="200"/>
        <w:rPr>
          <w:rFonts w:ascii="宋体" w:hAnsi="宋体"/>
          <w:color w:val="auto"/>
          <w:szCs w:val="21"/>
          <w:highlight w:val="none"/>
        </w:rPr>
      </w:pPr>
      <w:r>
        <w:rPr>
          <w:rFonts w:ascii="宋体" w:hAnsi="宋体"/>
          <w:color w:val="auto"/>
          <w:szCs w:val="21"/>
          <w:highlight w:val="none"/>
        </w:rPr>
        <w:t>16.3投标保证金应依据法律法规的相关规定退还。</w:t>
      </w:r>
    </w:p>
    <w:p>
      <w:pPr>
        <w:pStyle w:val="47"/>
        <w:spacing w:after="0" w:line="360" w:lineRule="auto"/>
        <w:ind w:firstLineChars="200"/>
        <w:rPr>
          <w:rFonts w:ascii="宋体" w:hAnsi="宋体"/>
          <w:color w:val="auto"/>
          <w:szCs w:val="21"/>
          <w:highlight w:val="none"/>
        </w:rPr>
      </w:pPr>
      <w:r>
        <w:rPr>
          <w:rFonts w:ascii="宋体" w:hAnsi="宋体"/>
          <w:color w:val="auto"/>
          <w:szCs w:val="21"/>
          <w:highlight w:val="none"/>
        </w:rPr>
        <w:t>16.4如有下列情况之一的，招标人可以不予退还投标保证金（是否退还投标保证金由招标人在招标文件中规定）：</w:t>
      </w:r>
    </w:p>
    <w:p>
      <w:pPr>
        <w:pStyle w:val="47"/>
        <w:spacing w:after="0" w:line="360" w:lineRule="auto"/>
        <w:ind w:firstLineChars="200"/>
        <w:rPr>
          <w:rFonts w:ascii="宋体" w:hAnsi="宋体"/>
          <w:color w:val="auto"/>
          <w:szCs w:val="21"/>
          <w:highlight w:val="none"/>
        </w:rPr>
      </w:pPr>
      <w:r>
        <w:rPr>
          <w:rFonts w:ascii="宋体" w:hAnsi="宋体"/>
          <w:color w:val="auto"/>
          <w:szCs w:val="21"/>
          <w:highlight w:val="none"/>
        </w:rPr>
        <w:t>16.4.1因投标人原因造成投标文件未解密的；</w:t>
      </w:r>
    </w:p>
    <w:p>
      <w:pPr>
        <w:pStyle w:val="47"/>
        <w:spacing w:after="0" w:line="360" w:lineRule="auto"/>
        <w:ind w:firstLineChars="200"/>
        <w:rPr>
          <w:rFonts w:ascii="宋体" w:hAnsi="宋体"/>
          <w:color w:val="auto"/>
          <w:szCs w:val="21"/>
          <w:highlight w:val="none"/>
        </w:rPr>
      </w:pPr>
      <w:r>
        <w:rPr>
          <w:rFonts w:ascii="宋体" w:hAnsi="宋体"/>
          <w:color w:val="auto"/>
          <w:szCs w:val="21"/>
          <w:highlight w:val="none"/>
        </w:rPr>
        <w:t>16.4.2投标人在投标有效期内撤销投标文件；</w:t>
      </w:r>
    </w:p>
    <w:p>
      <w:pPr>
        <w:pStyle w:val="47"/>
        <w:spacing w:after="0" w:line="360" w:lineRule="auto"/>
        <w:ind w:firstLineChars="200"/>
        <w:rPr>
          <w:rFonts w:ascii="宋体" w:hAnsi="宋体"/>
          <w:color w:val="auto"/>
          <w:szCs w:val="21"/>
          <w:highlight w:val="none"/>
        </w:rPr>
      </w:pPr>
      <w:r>
        <w:rPr>
          <w:rFonts w:ascii="宋体" w:hAnsi="宋体"/>
          <w:color w:val="auto"/>
          <w:szCs w:val="21"/>
          <w:highlight w:val="none"/>
        </w:rPr>
        <w:t>16.4.3中标人未能在规定期限内按要求提交履约担保；</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16.4.4中标人未能在规定期限内签署合同协议。</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16.5投标人如存在下列情况之一的，将被拒绝在一定时期内参与招标人后续工程投标（拒绝时限需在招标文件中明确）：</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16.5.1投标人存在16.4条款所列情形且投标人提交的保函、担保或保证保险无法兑付的；</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16.5.2采用非电子形式提交投标保证金的投标人存在16.4条款所列情形，且未按招标人要求补交银行保函、专业工程担保公司担保或保证保险原件的；</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16.5.3按招标文件要求免于提供投标保证金的投标人存在16.4条款所列情形，且未按招标人要求补交投标保证金的；</w:t>
      </w:r>
    </w:p>
    <w:p>
      <w:pPr>
        <w:spacing w:line="360" w:lineRule="auto"/>
        <w:ind w:firstLine="422" w:firstLineChars="201"/>
        <w:rPr>
          <w:rFonts w:ascii="宋体" w:hAnsi="宋体"/>
          <w:color w:val="auto"/>
          <w:szCs w:val="21"/>
          <w:highlight w:val="none"/>
        </w:rPr>
      </w:pPr>
      <w:r>
        <w:rPr>
          <w:rFonts w:ascii="宋体" w:hAnsi="宋体"/>
          <w:color w:val="auto"/>
          <w:szCs w:val="21"/>
          <w:highlight w:val="none"/>
        </w:rPr>
        <w:t>16.5.3按招标文件要求免于提供投标保证金的投标人存在16.4条款所列情形的。</w:t>
      </w:r>
    </w:p>
    <w:p>
      <w:pPr>
        <w:pBdr>
          <w:bottom w:val="single" w:color="auto" w:sz="6" w:space="1"/>
        </w:pBdr>
        <w:spacing w:line="360" w:lineRule="auto"/>
        <w:ind w:firstLine="424" w:firstLineChars="201"/>
        <w:rPr>
          <w:rFonts w:ascii="宋体" w:hAnsi="宋体"/>
          <w:b/>
          <w:color w:val="auto"/>
          <w:szCs w:val="21"/>
          <w:highlight w:val="none"/>
        </w:rPr>
      </w:pPr>
      <w:r>
        <w:rPr>
          <w:rFonts w:hint="eastAsia" w:ascii="宋体" w:hAnsi="宋体"/>
          <w:b/>
          <w:color w:val="auto"/>
          <w:szCs w:val="21"/>
          <w:highlight w:val="none"/>
        </w:rPr>
        <w:t>现文：</w:t>
      </w:r>
    </w:p>
    <w:p>
      <w:pPr>
        <w:pBdr>
          <w:bottom w:val="single" w:color="auto" w:sz="6" w:space="1"/>
        </w:pBdr>
        <w:spacing w:line="360" w:lineRule="auto"/>
        <w:ind w:firstLine="424" w:firstLineChars="201"/>
        <w:rPr>
          <w:rFonts w:ascii="宋体" w:hAnsi="宋体"/>
          <w:b/>
          <w:bCs/>
          <w:color w:val="auto"/>
          <w:szCs w:val="21"/>
          <w:highlight w:val="none"/>
        </w:rPr>
      </w:pPr>
      <w:r>
        <w:rPr>
          <w:rFonts w:ascii="宋体" w:hAnsi="宋体"/>
          <w:b/>
          <w:bCs/>
          <w:color w:val="auto"/>
          <w:szCs w:val="21"/>
          <w:highlight w:val="none"/>
        </w:rPr>
        <w:t>16．投标保证金</w:t>
      </w:r>
    </w:p>
    <w:p>
      <w:pPr>
        <w:pBdr>
          <w:bottom w:val="single" w:color="auto" w:sz="6" w:space="1"/>
        </w:pBdr>
        <w:spacing w:line="360" w:lineRule="auto"/>
        <w:ind w:firstLine="422" w:firstLineChars="201"/>
        <w:rPr>
          <w:rFonts w:ascii="宋体" w:hAnsi="宋体"/>
          <w:color w:val="auto"/>
          <w:szCs w:val="21"/>
          <w:highlight w:val="none"/>
          <w:u w:val="single"/>
        </w:rPr>
      </w:pPr>
      <w:r>
        <w:rPr>
          <w:rFonts w:ascii="宋体" w:hAnsi="宋体" w:cs="宋体"/>
          <w:color w:val="auto"/>
          <w:szCs w:val="21"/>
          <w:highlight w:val="none"/>
          <w:u w:val="single"/>
        </w:rPr>
        <w:t>16.1</w:t>
      </w:r>
      <w:r>
        <w:rPr>
          <w:rFonts w:hint="eastAsia" w:ascii="宋体" w:hAnsi="宋体" w:cs="宋体"/>
          <w:color w:val="auto"/>
          <w:szCs w:val="21"/>
          <w:highlight w:val="none"/>
          <w:u w:val="single"/>
        </w:rPr>
        <w:t>本项目不要求递交投标保证金。</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17.1                        </w:t>
      </w:r>
      <w:r>
        <w:rPr>
          <w:rFonts w:hint="eastAsia" w:ascii="宋体" w:hAnsi="宋体" w:cs="宋体"/>
          <w:b/>
          <w:color w:val="auto"/>
          <w:szCs w:val="21"/>
          <w:highlight w:val="none"/>
        </w:rPr>
        <w:t>修改类型：修改</w:t>
      </w:r>
    </w:p>
    <w:p>
      <w:pP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17.1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ascii="宋体" w:hAnsi="宋体" w:cs="宋体"/>
          <w:color w:val="auto"/>
          <w:szCs w:val="21"/>
          <w:highlight w:val="none"/>
          <w:u w:val="single"/>
        </w:rPr>
        <w:t xml:space="preserve">            </w:t>
      </w:r>
      <w:r>
        <w:rPr>
          <w:rFonts w:ascii="宋体" w:hAnsi="宋体" w:cs="宋体"/>
          <w:color w:val="auto"/>
          <w:szCs w:val="21"/>
          <w:highlight w:val="none"/>
        </w:rPr>
        <w:t>。</w:t>
      </w:r>
    </w:p>
    <w:p>
      <w:pPr>
        <w:pBdr>
          <w:bottom w:val="single" w:color="auto" w:sz="6" w:space="1"/>
        </w:pBd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17.1投标人应采用单位数字证书，按招标文件要求在相应位置加盖电子印章。投标文件中需个人签字或盖章的，应</w:t>
      </w:r>
      <w:r>
        <w:rPr>
          <w:rFonts w:hint="eastAsia" w:ascii="宋体" w:hAnsi="宋体" w:cs="宋体"/>
          <w:color w:val="auto"/>
          <w:szCs w:val="21"/>
          <w:highlight w:val="none"/>
        </w:rPr>
        <w:t>加盖个人电子印章或在线下完成后扫描上传。按照</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交易平台关于全流程电子化项目的相关指南进行操作。详见：</w:t>
      </w:r>
      <w:r>
        <w:rPr>
          <w:rFonts w:hint="eastAsia" w:ascii="宋体" w:hAnsi="宋体" w:cs="宋体"/>
          <w:color w:val="auto"/>
          <w:szCs w:val="21"/>
          <w:highlight w:val="none"/>
          <w:u w:val="single"/>
        </w:rPr>
        <w:t>广州交易集团有限公司（广州公共资源交易中心）网站最新指引</w:t>
      </w:r>
      <w:r>
        <w:rPr>
          <w:rFonts w:hint="eastAsia" w:ascii="宋体" w:hAnsi="宋体" w:cs="宋体"/>
          <w:color w:val="auto"/>
          <w:szCs w:val="21"/>
          <w:highlight w:val="none"/>
        </w:rPr>
        <w:t>。</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18.1                        </w:t>
      </w:r>
      <w:r>
        <w:rPr>
          <w:rFonts w:hint="eastAsia" w:ascii="宋体" w:hAnsi="宋体" w:cs="宋体"/>
          <w:b/>
          <w:color w:val="auto"/>
          <w:szCs w:val="21"/>
          <w:highlight w:val="none"/>
        </w:rPr>
        <w:t>修改类型：修改</w:t>
      </w:r>
    </w:p>
    <w:p>
      <w:pPr>
        <w:spacing w:line="360" w:lineRule="auto"/>
        <w:ind w:firstLine="411" w:firstLineChars="195"/>
        <w:rPr>
          <w:rFonts w:ascii="宋体" w:hAnsi="宋体" w:cs="宋体"/>
          <w:bCs/>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18.1</w:t>
      </w:r>
      <w:r>
        <w:rPr>
          <w:rFonts w:hint="eastAsia" w:ascii="宋体" w:hAnsi="宋体" w:cs="宋体"/>
          <w:bCs/>
          <w:color w:val="auto"/>
          <w:szCs w:val="21"/>
          <w:highlight w:val="none"/>
        </w:rPr>
        <w:t>递交的电子投标文件（不含备用光盘）必须进行加密。按照交易平台关于</w:t>
      </w:r>
      <w:r>
        <w:rPr>
          <w:rFonts w:hint="eastAsia" w:ascii="宋体" w:hAnsi="宋体" w:cs="宋体"/>
          <w:color w:val="auto"/>
          <w:szCs w:val="21"/>
          <w:highlight w:val="none"/>
        </w:rPr>
        <w:t>全流程电子化项目的相关指南进行操作。详见：</w:t>
      </w:r>
      <w:r>
        <w:rPr>
          <w:rFonts w:ascii="宋体" w:hAnsi="宋体" w:cs="宋体"/>
          <w:color w:val="auto"/>
          <w:szCs w:val="21"/>
          <w:highlight w:val="none"/>
          <w:u w:val="single"/>
        </w:rPr>
        <w:t xml:space="preserve">           </w:t>
      </w:r>
      <w:r>
        <w:rPr>
          <w:rFonts w:ascii="宋体" w:hAnsi="宋体" w:cs="宋体"/>
          <w:color w:val="auto"/>
          <w:szCs w:val="21"/>
          <w:highlight w:val="none"/>
        </w:rPr>
        <w:t xml:space="preserve"> 。</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18.1</w:t>
      </w:r>
      <w:r>
        <w:rPr>
          <w:rFonts w:hint="eastAsia" w:ascii="宋体" w:hAnsi="宋体" w:cs="宋体"/>
          <w:bCs/>
          <w:color w:val="auto"/>
          <w:szCs w:val="21"/>
          <w:highlight w:val="none"/>
        </w:rPr>
        <w:t>递交的电子投标文件（不含备用光盘）必须进行加密。按照</w:t>
      </w:r>
      <w:r>
        <w:rPr>
          <w:rFonts w:hint="eastAsia" w:ascii="宋体" w:hAnsi="宋体" w:cs="宋体"/>
          <w:color w:val="auto"/>
          <w:szCs w:val="21"/>
          <w:highlight w:val="none"/>
          <w:u w:val="single"/>
        </w:rPr>
        <w:t>广州交易集团有限公司（广州公共资源交易中心）</w:t>
      </w:r>
      <w:r>
        <w:rPr>
          <w:rFonts w:hint="eastAsia" w:ascii="宋体" w:hAnsi="宋体" w:cs="宋体"/>
          <w:bCs/>
          <w:color w:val="auto"/>
          <w:szCs w:val="21"/>
          <w:highlight w:val="none"/>
        </w:rPr>
        <w:t>交易平台关于</w:t>
      </w:r>
      <w:r>
        <w:rPr>
          <w:rFonts w:hint="eastAsia" w:ascii="宋体" w:hAnsi="宋体" w:cs="宋体"/>
          <w:color w:val="auto"/>
          <w:szCs w:val="21"/>
          <w:highlight w:val="none"/>
        </w:rPr>
        <w:t>全流程电子化项目的相关指南进行操作。详见：</w:t>
      </w:r>
      <w:r>
        <w:rPr>
          <w:rFonts w:hint="eastAsia" w:ascii="宋体" w:hAnsi="宋体" w:cs="宋体"/>
          <w:color w:val="auto"/>
          <w:szCs w:val="21"/>
          <w:highlight w:val="none"/>
          <w:u w:val="single"/>
        </w:rPr>
        <w:t>广州交易集团有限公司（广州公共资源交易中心）网站最新指引</w:t>
      </w:r>
      <w:r>
        <w:rPr>
          <w:rFonts w:hint="eastAsia" w:ascii="宋体" w:hAnsi="宋体" w:cs="宋体"/>
          <w:color w:val="auto"/>
          <w:szCs w:val="21"/>
          <w:highlight w:val="none"/>
        </w:rPr>
        <w:t>。</w:t>
      </w:r>
    </w:p>
    <w:p>
      <w:pPr>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18.2                       </w:t>
      </w:r>
      <w:r>
        <w:rPr>
          <w:rFonts w:hint="eastAsia" w:ascii="宋体" w:hAnsi="宋体" w:cs="宋体"/>
          <w:b/>
          <w:color w:val="auto"/>
          <w:szCs w:val="21"/>
          <w:highlight w:val="none"/>
        </w:rPr>
        <w:t>修改类型：修改</w:t>
      </w:r>
    </w:p>
    <w:p>
      <w:pPr>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18.2</w:t>
      </w:r>
      <w:r>
        <w:rPr>
          <w:rFonts w:hint="eastAsia" w:ascii="宋体" w:hAnsi="宋体" w:cs="宋体"/>
          <w:bCs/>
          <w:color w:val="auto"/>
          <w:szCs w:val="21"/>
          <w:highlight w:val="none"/>
        </w:rPr>
        <w:t>未按要求加密的投标文件，</w:t>
      </w:r>
      <w:r>
        <w:rPr>
          <w:rFonts w:ascii="宋体" w:hAnsi="宋体" w:cs="宋体"/>
          <w:color w:val="auto"/>
          <w:szCs w:val="21"/>
          <w:highlight w:val="none"/>
          <w:u w:val="single"/>
        </w:rPr>
        <w:t xml:space="preserve">        </w:t>
      </w:r>
      <w:r>
        <w:rPr>
          <w:rFonts w:hint="eastAsia" w:ascii="宋体" w:hAnsi="宋体" w:cs="宋体"/>
          <w:color w:val="auto"/>
          <w:szCs w:val="21"/>
          <w:highlight w:val="none"/>
        </w:rPr>
        <w:t>交易平台</w:t>
      </w:r>
      <w:r>
        <w:rPr>
          <w:rFonts w:hint="eastAsia" w:ascii="宋体" w:hAnsi="宋体" w:cs="宋体"/>
          <w:bCs/>
          <w:color w:val="auto"/>
          <w:szCs w:val="21"/>
          <w:highlight w:val="none"/>
        </w:rPr>
        <w:t>将予以拒收。</w:t>
      </w:r>
    </w:p>
    <w:p>
      <w:pPr>
        <w:pBdr>
          <w:bottom w:val="single" w:color="auto" w:sz="6" w:space="1"/>
        </w:pBdr>
        <w:spacing w:line="360" w:lineRule="auto"/>
        <w:ind w:firstLine="411" w:firstLineChars="195"/>
        <w:textAlignment w:val="baseline"/>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18.2</w:t>
      </w:r>
      <w:r>
        <w:rPr>
          <w:rFonts w:hint="eastAsia" w:ascii="宋体" w:hAnsi="宋体" w:cs="宋体"/>
          <w:bCs/>
          <w:color w:val="auto"/>
          <w:szCs w:val="21"/>
          <w:highlight w:val="none"/>
        </w:rPr>
        <w:t>未按要求加密的投标文件，</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w:t>
      </w:r>
      <w:r>
        <w:rPr>
          <w:rFonts w:hint="eastAsia" w:ascii="宋体" w:hAnsi="宋体" w:cs="宋体"/>
          <w:bCs/>
          <w:color w:val="auto"/>
          <w:szCs w:val="21"/>
          <w:highlight w:val="none"/>
        </w:rPr>
        <w:t>将予以拒收。</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19                          </w:t>
      </w:r>
      <w:r>
        <w:rPr>
          <w:rFonts w:hint="eastAsia" w:ascii="宋体" w:hAnsi="宋体" w:cs="宋体"/>
          <w:b/>
          <w:color w:val="auto"/>
          <w:szCs w:val="21"/>
          <w:highlight w:val="none"/>
        </w:rPr>
        <w:t>修改类型：修改</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b/>
          <w:color w:val="auto"/>
          <w:szCs w:val="21"/>
          <w:highlight w:val="none"/>
        </w:rPr>
        <w:t>19.投标文件的递交和接收</w:t>
      </w:r>
    </w:p>
    <w:p>
      <w:pPr>
        <w:pBdr>
          <w:bottom w:val="single" w:color="auto" w:sz="6" w:space="1"/>
        </w:pBdr>
        <w:spacing w:line="360" w:lineRule="auto"/>
        <w:ind w:firstLine="411" w:firstLineChars="195"/>
        <w:rPr>
          <w:rFonts w:ascii="宋体" w:hAnsi="宋体" w:cs="宋体"/>
          <w:bCs/>
          <w:color w:val="auto"/>
          <w:szCs w:val="21"/>
          <w:highlight w:val="none"/>
        </w:rPr>
      </w:pPr>
      <w:r>
        <w:rPr>
          <w:rFonts w:hint="eastAsia" w:ascii="宋体" w:hAnsi="宋体" w:cs="宋体"/>
          <w:b/>
          <w:color w:val="auto"/>
          <w:szCs w:val="21"/>
          <w:highlight w:val="none"/>
        </w:rPr>
        <w:t>现文：</w:t>
      </w:r>
      <w:r>
        <w:rPr>
          <w:rFonts w:ascii="宋体" w:hAnsi="宋体" w:cs="宋体"/>
          <w:b/>
          <w:color w:val="auto"/>
          <w:szCs w:val="21"/>
          <w:highlight w:val="none"/>
        </w:rPr>
        <w:t>19.</w:t>
      </w:r>
      <w:r>
        <w:rPr>
          <w:rFonts w:hint="eastAsia" w:ascii="宋体" w:hAnsi="宋体" w:cs="宋体"/>
          <w:b/>
          <w:color w:val="auto"/>
          <w:szCs w:val="21"/>
          <w:highlight w:val="none"/>
          <w:u w:val="single"/>
        </w:rPr>
        <w:t>投标登记和</w:t>
      </w:r>
      <w:r>
        <w:rPr>
          <w:rFonts w:hint="eastAsia" w:ascii="宋体" w:hAnsi="宋体" w:cs="宋体"/>
          <w:b/>
          <w:color w:val="auto"/>
          <w:szCs w:val="21"/>
          <w:highlight w:val="none"/>
        </w:rPr>
        <w:t>投标文件的递交和接收</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19.1                        </w:t>
      </w:r>
      <w:r>
        <w:rPr>
          <w:rFonts w:hint="eastAsia" w:ascii="宋体" w:hAnsi="宋体" w:cs="宋体"/>
          <w:b/>
          <w:color w:val="auto"/>
          <w:szCs w:val="21"/>
          <w:highlight w:val="none"/>
        </w:rPr>
        <w:t>修改类型：修改</w:t>
      </w:r>
    </w:p>
    <w:p>
      <w:pPr>
        <w:spacing w:line="360" w:lineRule="auto"/>
        <w:ind w:firstLine="411" w:firstLineChars="195"/>
        <w:rPr>
          <w:rFonts w:ascii="宋体" w:hAnsi="宋体" w:cs="宋体"/>
          <w:bCs/>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19.1</w:t>
      </w:r>
      <w:r>
        <w:rPr>
          <w:rFonts w:hint="eastAsia" w:ascii="宋体" w:hAnsi="宋体" w:cs="宋体"/>
          <w:bCs/>
          <w:color w:val="auto"/>
          <w:szCs w:val="21"/>
          <w:highlight w:val="none"/>
        </w:rPr>
        <w:t>投标人通过</w:t>
      </w:r>
      <w:r>
        <w:rPr>
          <w:rFonts w:ascii="宋体" w:hAnsi="宋体" w:cs="宋体"/>
          <w:color w:val="auto"/>
          <w:szCs w:val="21"/>
          <w:highlight w:val="none"/>
          <w:u w:val="single"/>
        </w:rPr>
        <w:t xml:space="preserve">        </w:t>
      </w:r>
      <w:r>
        <w:rPr>
          <w:rFonts w:hint="eastAsia" w:ascii="宋体" w:hAnsi="宋体" w:cs="宋体"/>
          <w:color w:val="auto"/>
          <w:szCs w:val="21"/>
          <w:highlight w:val="none"/>
        </w:rPr>
        <w:t>交易平台递交电子投标文件。</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19.1</w:t>
      </w:r>
      <w:r>
        <w:rPr>
          <w:rFonts w:hint="eastAsia" w:ascii="宋体" w:hAnsi="宋体" w:cs="宋体"/>
          <w:bCs/>
          <w:color w:val="auto"/>
          <w:szCs w:val="21"/>
          <w:highlight w:val="none"/>
        </w:rPr>
        <w:t>投标人通过</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交易平台递交电子投标文件。</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19.2                       </w:t>
      </w:r>
      <w:r>
        <w:rPr>
          <w:rFonts w:hint="eastAsia" w:ascii="宋体" w:hAnsi="宋体" w:cs="宋体"/>
          <w:b/>
          <w:color w:val="auto"/>
          <w:szCs w:val="21"/>
          <w:highlight w:val="none"/>
        </w:rPr>
        <w:t>修改类型：修改</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19.2</w:t>
      </w:r>
      <w:r>
        <w:rPr>
          <w:rFonts w:hint="eastAsia" w:ascii="宋体" w:hAnsi="宋体" w:cs="宋体"/>
          <w:bCs/>
          <w:color w:val="auto"/>
          <w:szCs w:val="21"/>
          <w:highlight w:val="none"/>
        </w:rPr>
        <w:t>投标人完成电子</w:t>
      </w:r>
      <w:r>
        <w:rPr>
          <w:rFonts w:hint="eastAsia" w:ascii="宋体" w:hAnsi="宋体" w:cs="宋体"/>
          <w:color w:val="auto"/>
          <w:szCs w:val="21"/>
          <w:highlight w:val="none"/>
        </w:rPr>
        <w:t>投标文件</w:t>
      </w:r>
      <w:r>
        <w:rPr>
          <w:rFonts w:hint="eastAsia" w:ascii="宋体" w:hAnsi="宋体" w:cs="宋体"/>
          <w:bCs/>
          <w:color w:val="auto"/>
          <w:szCs w:val="21"/>
          <w:highlight w:val="none"/>
        </w:rPr>
        <w:t>上传后，</w:t>
      </w:r>
      <w:r>
        <w:rPr>
          <w:rFonts w:ascii="宋体" w:hAnsi="宋体" w:cs="宋体"/>
          <w:color w:val="auto"/>
          <w:szCs w:val="21"/>
          <w:highlight w:val="none"/>
          <w:u w:val="single"/>
        </w:rPr>
        <w:t xml:space="preserve">        </w:t>
      </w:r>
      <w:r>
        <w:rPr>
          <w:rFonts w:hint="eastAsia" w:ascii="宋体" w:hAnsi="宋体" w:cs="宋体"/>
          <w:color w:val="auto"/>
          <w:szCs w:val="21"/>
          <w:highlight w:val="none"/>
        </w:rPr>
        <w:t>交易平台即时向投标人发出递交回执通知。递交时间以递交回执通知载明的传输完成时间为准。</w:t>
      </w:r>
    </w:p>
    <w:p>
      <w:pPr>
        <w:pBdr>
          <w:bottom w:val="single" w:color="auto" w:sz="6" w:space="1"/>
        </w:pBdr>
        <w:adjustRightInd w:val="0"/>
        <w:spacing w:line="360" w:lineRule="auto"/>
        <w:ind w:firstLine="411" w:firstLineChars="195"/>
        <w:textAlignment w:val="baseline"/>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19.2</w:t>
      </w:r>
      <w:r>
        <w:rPr>
          <w:rFonts w:hint="eastAsia" w:ascii="宋体" w:hAnsi="宋体" w:cs="宋体"/>
          <w:bCs/>
          <w:color w:val="auto"/>
          <w:szCs w:val="21"/>
          <w:highlight w:val="none"/>
        </w:rPr>
        <w:t>投标人完成电子</w:t>
      </w:r>
      <w:r>
        <w:rPr>
          <w:rFonts w:hint="eastAsia" w:ascii="宋体" w:hAnsi="宋体" w:cs="宋体"/>
          <w:color w:val="auto"/>
          <w:szCs w:val="21"/>
          <w:highlight w:val="none"/>
        </w:rPr>
        <w:t>投标文件</w:t>
      </w:r>
      <w:r>
        <w:rPr>
          <w:rFonts w:hint="eastAsia" w:ascii="宋体" w:hAnsi="宋体" w:cs="宋体"/>
          <w:bCs/>
          <w:color w:val="auto"/>
          <w:szCs w:val="21"/>
          <w:highlight w:val="none"/>
        </w:rPr>
        <w:t>上传后，</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交易平台即时向投标人发出递交回执通知。递交时间以递交回执通知载明的传输完成时间为准。</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19.3                       </w:t>
      </w:r>
      <w:r>
        <w:rPr>
          <w:rFonts w:hint="eastAsia" w:ascii="宋体" w:hAnsi="宋体" w:cs="宋体"/>
          <w:b/>
          <w:color w:val="auto"/>
          <w:szCs w:val="21"/>
          <w:highlight w:val="none"/>
        </w:rPr>
        <w:t>修改类型：修改</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19.3</w:t>
      </w:r>
      <w:r>
        <w:rPr>
          <w:rFonts w:hint="eastAsia" w:ascii="宋体" w:hAnsi="宋体" w:cs="宋体"/>
          <w:bCs/>
          <w:color w:val="auto"/>
          <w:szCs w:val="21"/>
          <w:highlight w:val="none"/>
        </w:rPr>
        <w:t>逾期送达的电子投标文件，</w:t>
      </w:r>
      <w:r>
        <w:rPr>
          <w:rFonts w:ascii="宋体" w:hAnsi="宋体" w:cs="宋体"/>
          <w:color w:val="auto"/>
          <w:szCs w:val="21"/>
          <w:highlight w:val="none"/>
          <w:u w:val="single"/>
        </w:rPr>
        <w:t xml:space="preserve">        </w:t>
      </w:r>
      <w:r>
        <w:rPr>
          <w:rFonts w:hint="eastAsia" w:ascii="宋体" w:hAnsi="宋体" w:cs="宋体"/>
          <w:color w:val="auto"/>
          <w:szCs w:val="21"/>
          <w:highlight w:val="none"/>
        </w:rPr>
        <w:t>交易平台将予以拒收。</w:t>
      </w:r>
    </w:p>
    <w:p>
      <w:pPr>
        <w:pBdr>
          <w:bottom w:val="single" w:color="auto" w:sz="6" w:space="1"/>
        </w:pBdr>
        <w:adjustRightInd w:val="0"/>
        <w:spacing w:line="360" w:lineRule="auto"/>
        <w:ind w:firstLine="411" w:firstLineChars="195"/>
        <w:textAlignment w:val="baseline"/>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19.3</w:t>
      </w:r>
      <w:r>
        <w:rPr>
          <w:rFonts w:hint="eastAsia" w:ascii="宋体" w:hAnsi="宋体" w:cs="宋体"/>
          <w:bCs/>
          <w:color w:val="auto"/>
          <w:szCs w:val="21"/>
          <w:highlight w:val="none"/>
        </w:rPr>
        <w:t>逾期送达的电子投标文件，</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交易平台将予以拒收。</w:t>
      </w:r>
    </w:p>
    <w:p>
      <w:pPr>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19.5                       </w:t>
      </w:r>
      <w:r>
        <w:rPr>
          <w:rFonts w:hint="eastAsia" w:ascii="宋体" w:hAnsi="宋体" w:cs="宋体"/>
          <w:b/>
          <w:color w:val="auto"/>
          <w:szCs w:val="21"/>
          <w:highlight w:val="none"/>
        </w:rPr>
        <w:t>修改类型：修改</w:t>
      </w:r>
    </w:p>
    <w:p>
      <w:pPr>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19.5如技术标和经济标先后分别开启，</w:t>
      </w:r>
      <w:r>
        <w:rPr>
          <w:rFonts w:ascii="宋体" w:hAnsi="宋体" w:cs="宋体"/>
          <w:color w:val="auto"/>
          <w:szCs w:val="21"/>
          <w:highlight w:val="none"/>
          <w:u w:val="single"/>
        </w:rPr>
        <w:t xml:space="preserve">        </w:t>
      </w:r>
      <w:r>
        <w:rPr>
          <w:rFonts w:hint="eastAsia" w:ascii="宋体" w:hAnsi="宋体" w:cs="宋体"/>
          <w:color w:val="auto"/>
          <w:szCs w:val="21"/>
          <w:highlight w:val="none"/>
        </w:rPr>
        <w:t>交易平台将按招标文件规定的时间分别开启技术标和经济标。</w:t>
      </w:r>
    </w:p>
    <w:p>
      <w:pPr>
        <w:pBdr>
          <w:bottom w:val="single" w:color="auto" w:sz="6" w:space="1"/>
        </w:pBdr>
        <w:spacing w:line="360" w:lineRule="auto"/>
        <w:ind w:firstLine="411" w:firstLineChars="195"/>
        <w:textAlignment w:val="baseline"/>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19.5如技术标和经济标先后分别开启，</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交易平台将按招标文件规定的时间分别开启技术标和经济标。</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21.1                       </w:t>
      </w:r>
      <w:r>
        <w:rPr>
          <w:rFonts w:hint="eastAsia" w:ascii="宋体" w:hAnsi="宋体" w:cs="宋体"/>
          <w:b/>
          <w:color w:val="auto"/>
          <w:szCs w:val="21"/>
          <w:highlight w:val="none"/>
        </w:rPr>
        <w:t>修改类型：修改</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21.1本须知前附表第17项规定的投标截止时间</w:t>
      </w:r>
      <w:r>
        <w:rPr>
          <w:rFonts w:hint="eastAsia" w:ascii="宋体" w:hAnsi="宋体" w:cs="宋体"/>
          <w:bCs/>
          <w:color w:val="auto"/>
          <w:szCs w:val="21"/>
          <w:highlight w:val="none"/>
        </w:rPr>
        <w:t>后送达的电子投标文件，</w:t>
      </w:r>
      <w:r>
        <w:rPr>
          <w:rFonts w:ascii="宋体" w:hAnsi="宋体" w:cs="宋体"/>
          <w:color w:val="auto"/>
          <w:szCs w:val="21"/>
          <w:highlight w:val="none"/>
          <w:u w:val="single"/>
        </w:rPr>
        <w:t xml:space="preserve">       </w:t>
      </w:r>
      <w:r>
        <w:rPr>
          <w:rFonts w:hint="eastAsia" w:ascii="宋体" w:hAnsi="宋体" w:cs="宋体"/>
          <w:color w:val="auto"/>
          <w:szCs w:val="21"/>
          <w:highlight w:val="none"/>
        </w:rPr>
        <w:t>交易平台将予以拒收。</w:t>
      </w:r>
    </w:p>
    <w:p>
      <w:pPr>
        <w:pBdr>
          <w:bottom w:val="single" w:color="auto" w:sz="6" w:space="1"/>
        </w:pBdr>
        <w:adjustRightInd w:val="0"/>
        <w:spacing w:line="360" w:lineRule="auto"/>
        <w:ind w:firstLine="411" w:firstLineChars="195"/>
        <w:textAlignment w:val="baseline"/>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21.1本须知前附表第17项规定的投标截止时间</w:t>
      </w:r>
      <w:r>
        <w:rPr>
          <w:rFonts w:hint="eastAsia" w:ascii="宋体" w:hAnsi="宋体" w:cs="宋体"/>
          <w:bCs/>
          <w:color w:val="auto"/>
          <w:szCs w:val="21"/>
          <w:highlight w:val="none"/>
        </w:rPr>
        <w:t>后送达的电子投标文件，</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交易平台将予以拒收。</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24.1                       </w:t>
      </w:r>
      <w:r>
        <w:rPr>
          <w:rFonts w:hint="eastAsia" w:ascii="宋体" w:hAnsi="宋体" w:cs="宋体"/>
          <w:b/>
          <w:color w:val="auto"/>
          <w:szCs w:val="21"/>
          <w:highlight w:val="none"/>
        </w:rPr>
        <w:t>修改类型：修改</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 xml:space="preserve">24.1 </w:t>
      </w:r>
      <w:r>
        <w:rPr>
          <w:rFonts w:hint="eastAsia" w:ascii="宋体" w:hAnsi="宋体" w:cs="宋体"/>
          <w:color w:val="auto"/>
          <w:szCs w:val="21"/>
          <w:highlight w:val="none"/>
        </w:rPr>
        <w:t>开标后，直至中标公示为止，凡属于对投标文件的审查、澄清、评价和比较有关的资料以及中标候选人的推荐情况，与评标有关的其他任何情况均严格保密。</w:t>
      </w:r>
    </w:p>
    <w:p>
      <w:pPr>
        <w:pBdr>
          <w:bottom w:val="single" w:color="auto" w:sz="6" w:space="1"/>
        </w:pBdr>
        <w:adjustRightInd w:val="0"/>
        <w:spacing w:line="360" w:lineRule="auto"/>
        <w:ind w:firstLine="411" w:firstLineChars="195"/>
        <w:textAlignment w:val="baseline"/>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 xml:space="preserve">24.1 </w:t>
      </w:r>
      <w:r>
        <w:rPr>
          <w:rFonts w:hint="eastAsia" w:ascii="宋体" w:hAnsi="宋体" w:cs="宋体"/>
          <w:color w:val="auto"/>
          <w:szCs w:val="21"/>
          <w:highlight w:val="none"/>
        </w:rPr>
        <w:t>开标后，直至中标公示为止，凡属于对投标文件的审查、澄清、评价和比较有关的资料以及</w:t>
      </w:r>
      <w:r>
        <w:rPr>
          <w:rFonts w:hint="eastAsia" w:ascii="宋体" w:hAnsi="宋体" w:cs="宋体"/>
          <w:color w:val="auto"/>
          <w:szCs w:val="21"/>
          <w:highlight w:val="none"/>
          <w:u w:val="single"/>
        </w:rPr>
        <w:t>合格</w:t>
      </w:r>
      <w:r>
        <w:rPr>
          <w:rFonts w:hint="eastAsia" w:ascii="宋体" w:hAnsi="宋体" w:cs="宋体"/>
          <w:color w:val="auto"/>
          <w:szCs w:val="21"/>
          <w:highlight w:val="none"/>
        </w:rPr>
        <w:t>中标候选人的推荐情况，与评标有关的其他任何情况均严格保密。</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24.2                       </w:t>
      </w:r>
      <w:r>
        <w:rPr>
          <w:rFonts w:hint="eastAsia" w:ascii="宋体" w:hAnsi="宋体" w:cs="宋体"/>
          <w:b/>
          <w:color w:val="auto"/>
          <w:szCs w:val="21"/>
          <w:highlight w:val="none"/>
        </w:rPr>
        <w:t>修改类型：修改</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 xml:space="preserve">24.2 </w:t>
      </w:r>
      <w:r>
        <w:rPr>
          <w:rFonts w:hint="eastAsia" w:ascii="宋体" w:hAnsi="宋体" w:cs="宋体"/>
          <w:color w:val="auto"/>
          <w:szCs w:val="21"/>
          <w:highlight w:val="none"/>
        </w:rPr>
        <w:t>在投标文件的评审和比较、中标候选人推荐以及授予合同的过程中，投标人向招标人和评标委员会施加不公正影响的任何行为，都将会导致其投标被拒绝。</w:t>
      </w:r>
    </w:p>
    <w:p>
      <w:pPr>
        <w:pBdr>
          <w:bottom w:val="single" w:color="auto" w:sz="6" w:space="1"/>
        </w:pBdr>
        <w:adjustRightInd w:val="0"/>
        <w:spacing w:line="360" w:lineRule="auto"/>
        <w:ind w:firstLine="411" w:firstLineChars="195"/>
        <w:textAlignment w:val="baseline"/>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 xml:space="preserve">24.2 </w:t>
      </w:r>
      <w:r>
        <w:rPr>
          <w:rFonts w:hint="eastAsia" w:ascii="宋体" w:hAnsi="宋体" w:cs="宋体"/>
          <w:color w:val="auto"/>
          <w:szCs w:val="21"/>
          <w:highlight w:val="none"/>
        </w:rPr>
        <w:t>在投标文件的评审和比较、</w:t>
      </w:r>
      <w:r>
        <w:rPr>
          <w:rFonts w:hint="eastAsia" w:ascii="宋体" w:hAnsi="宋体" w:cs="宋体"/>
          <w:color w:val="auto"/>
          <w:szCs w:val="21"/>
          <w:highlight w:val="none"/>
          <w:u w:val="single"/>
        </w:rPr>
        <w:t>合格</w:t>
      </w:r>
      <w:r>
        <w:rPr>
          <w:rFonts w:hint="eastAsia" w:ascii="宋体" w:hAnsi="宋体" w:cs="宋体"/>
          <w:color w:val="auto"/>
          <w:szCs w:val="21"/>
          <w:highlight w:val="none"/>
        </w:rPr>
        <w:t>中标候选人推荐以及授予合同的过程中，投标人向招标人和评标委员会施加不公正影响的任何行为，都将会导致其投标被拒绝。</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27.1                        </w:t>
      </w:r>
      <w:r>
        <w:rPr>
          <w:rFonts w:hint="eastAsia" w:ascii="宋体" w:hAnsi="宋体" w:cs="宋体"/>
          <w:b/>
          <w:color w:val="auto"/>
          <w:szCs w:val="21"/>
          <w:highlight w:val="none"/>
        </w:rPr>
        <w:t>修改类型：修改</w:t>
      </w:r>
    </w:p>
    <w:p>
      <w:pP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27.1招标人将在</w:t>
      </w:r>
      <w:r>
        <w:rPr>
          <w:rFonts w:ascii="宋体" w:hAnsi="宋体" w:cs="宋体"/>
          <w:color w:val="auto"/>
          <w:szCs w:val="21"/>
          <w:highlight w:val="none"/>
          <w:u w:val="single"/>
        </w:rPr>
        <w:t xml:space="preserve">        </w:t>
      </w:r>
      <w:r>
        <w:rPr>
          <w:rFonts w:hint="eastAsia" w:ascii="宋体" w:hAnsi="宋体" w:cs="宋体"/>
          <w:color w:val="auto"/>
          <w:szCs w:val="21"/>
          <w:highlight w:val="none"/>
        </w:rPr>
        <w:t>交易平台、广东省招标投标监管网和中国招标投标公共服务平台公示中标候选人，公示期为三天。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27.1招标人将在</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交易平台、广东省招标投标监管网和中国招标投标公共服务平台公示</w:t>
      </w:r>
      <w:r>
        <w:rPr>
          <w:rFonts w:hint="eastAsia" w:ascii="宋体" w:hAnsi="宋体" w:cs="宋体"/>
          <w:color w:val="auto"/>
          <w:szCs w:val="21"/>
          <w:highlight w:val="none"/>
          <w:u w:val="single"/>
        </w:rPr>
        <w:t>合格</w:t>
      </w:r>
      <w:r>
        <w:rPr>
          <w:rFonts w:hint="eastAsia" w:ascii="宋体" w:hAnsi="宋体" w:cs="宋体"/>
          <w:color w:val="auto"/>
          <w:szCs w:val="21"/>
          <w:highlight w:val="none"/>
        </w:rPr>
        <w:t>中标候选人，公示期为三天。投标人或其他利害关系人对评标结果有异议的，应当在</w:t>
      </w:r>
      <w:r>
        <w:rPr>
          <w:rFonts w:hint="eastAsia" w:ascii="宋体" w:hAnsi="宋体" w:cs="宋体"/>
          <w:color w:val="auto"/>
          <w:szCs w:val="21"/>
          <w:highlight w:val="none"/>
          <w:u w:val="single"/>
        </w:rPr>
        <w:t>合格</w:t>
      </w:r>
      <w:r>
        <w:rPr>
          <w:rFonts w:hint="eastAsia" w:ascii="宋体" w:hAnsi="宋体" w:cs="宋体"/>
          <w:color w:val="auto"/>
          <w:szCs w:val="21"/>
          <w:highlight w:val="none"/>
        </w:rPr>
        <w:t>中标候选人公示期间提出，可以通过线下或线上的形式提出异议。线上提交的，应通过交易平台进行，招标人也应通过交易平台答复线上提交的异议。作出答复前，应当暂停招标投标活动。</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27.4                        </w:t>
      </w:r>
      <w:r>
        <w:rPr>
          <w:rFonts w:hint="eastAsia" w:ascii="宋体" w:hAnsi="宋体" w:cs="宋体"/>
          <w:b/>
          <w:color w:val="auto"/>
          <w:szCs w:val="21"/>
          <w:highlight w:val="none"/>
        </w:rPr>
        <w:t>修改类型：修改</w:t>
      </w:r>
    </w:p>
    <w:p>
      <w:pP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27.4在产生中标候选人后，招标人将中标候选人的投标文件商务部分文件的所有内容（包括人员、业绩、奖项等资料）在</w:t>
      </w:r>
      <w:r>
        <w:rPr>
          <w:rFonts w:ascii="宋体" w:hAnsi="宋体" w:cs="宋体"/>
          <w:color w:val="auto"/>
          <w:szCs w:val="21"/>
          <w:highlight w:val="none"/>
          <w:u w:val="single"/>
        </w:rPr>
        <w:t xml:space="preserve">        </w:t>
      </w:r>
      <w:r>
        <w:rPr>
          <w:rFonts w:hint="eastAsia" w:ascii="宋体" w:hAnsi="宋体" w:cs="宋体"/>
          <w:color w:val="auto"/>
          <w:szCs w:val="21"/>
          <w:highlight w:val="none"/>
        </w:rPr>
        <w:t>交易平台和广东省招标投标监管网公开。</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27.4在产生</w:t>
      </w:r>
      <w:r>
        <w:rPr>
          <w:rFonts w:hint="eastAsia" w:ascii="宋体" w:hAnsi="宋体" w:cs="宋体"/>
          <w:color w:val="auto"/>
          <w:szCs w:val="21"/>
          <w:highlight w:val="none"/>
          <w:u w:val="single"/>
        </w:rPr>
        <w:t>合格</w:t>
      </w:r>
      <w:r>
        <w:rPr>
          <w:rFonts w:hint="eastAsia" w:ascii="宋体" w:hAnsi="宋体" w:cs="宋体"/>
          <w:color w:val="auto"/>
          <w:szCs w:val="21"/>
          <w:highlight w:val="none"/>
        </w:rPr>
        <w:t>中标候选人后，招标人将</w:t>
      </w:r>
      <w:r>
        <w:rPr>
          <w:rFonts w:hint="eastAsia" w:ascii="宋体" w:hAnsi="宋体" w:cs="宋体"/>
          <w:color w:val="auto"/>
          <w:szCs w:val="21"/>
          <w:highlight w:val="none"/>
          <w:u w:val="single"/>
        </w:rPr>
        <w:t>合格</w:t>
      </w:r>
      <w:r>
        <w:rPr>
          <w:rFonts w:hint="eastAsia" w:ascii="宋体" w:hAnsi="宋体" w:cs="宋体"/>
          <w:color w:val="auto"/>
          <w:szCs w:val="21"/>
          <w:highlight w:val="none"/>
        </w:rPr>
        <w:t>中标候选人的投标文件商务部分文件的所有内容（包括人员、业绩、奖项等资料）在</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交易平台和广东省招标投标监管网公开。</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28.2                        修改类型：修改</w:t>
      </w:r>
    </w:p>
    <w:p>
      <w:pP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28.2中标通知书发出之日起30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28.2中标通知书发出之日起30日后，中标人未按上款的规定与招标人订立合同，招标人将解除中标通知书，</w:t>
      </w:r>
      <w:r>
        <w:rPr>
          <w:rFonts w:hint="eastAsia" w:ascii="宋体" w:hAnsi="宋体" w:cs="宋体"/>
          <w:color w:val="auto"/>
          <w:szCs w:val="21"/>
          <w:highlight w:val="none"/>
          <w:u w:val="single"/>
        </w:rPr>
        <w:t>原中标人依法承担相应法律责任。原中标人给招标人造成的损失，应当对其予以赔偿。</w:t>
      </w:r>
      <w:r>
        <w:rPr>
          <w:rFonts w:hint="eastAsia" w:ascii="宋体" w:hAnsi="宋体" w:cs="宋体"/>
          <w:color w:val="auto"/>
          <w:szCs w:val="21"/>
          <w:highlight w:val="none"/>
        </w:rPr>
        <w:t>原中标人有异议的，可以向人民法院起诉。</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28.3                        </w:t>
      </w:r>
      <w:r>
        <w:rPr>
          <w:rFonts w:hint="eastAsia" w:ascii="宋体" w:hAnsi="宋体" w:cs="宋体"/>
          <w:b/>
          <w:color w:val="auto"/>
          <w:szCs w:val="21"/>
          <w:highlight w:val="none"/>
        </w:rPr>
        <w:t>修改类型：修改</w:t>
      </w:r>
    </w:p>
    <w:p>
      <w:pP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28.3非经招标人同意，中标人在投标过程中使用的银行名称及帐号至完成竣工结算不得变更，否则招标人有权停止工程款项的拔付及至解除合同，由此造成的一切责任由中标人承担。</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28.3非经招标人同意，中标人在投标过程中使用的银行名称及帐号至完成竣工结算不得变更，否则招标人有权停止工程款项的</w:t>
      </w:r>
      <w:r>
        <w:rPr>
          <w:rFonts w:hint="eastAsia" w:ascii="宋体" w:hAnsi="宋体" w:cs="宋体"/>
          <w:color w:val="auto"/>
          <w:szCs w:val="21"/>
          <w:highlight w:val="none"/>
          <w:u w:val="single"/>
        </w:rPr>
        <w:t>拨付</w:t>
      </w:r>
      <w:r>
        <w:rPr>
          <w:rFonts w:hint="eastAsia" w:ascii="宋体" w:hAnsi="宋体" w:cs="宋体"/>
          <w:color w:val="auto"/>
          <w:szCs w:val="21"/>
          <w:highlight w:val="none"/>
        </w:rPr>
        <w:t>及至解除合同，由此造成的一切责任由中标人承担。</w:t>
      </w:r>
    </w:p>
    <w:p>
      <w:pPr>
        <w:spacing w:line="360" w:lineRule="auto"/>
        <w:ind w:firstLine="411" w:firstLineChars="195"/>
        <w:contextualSpacing/>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28.5                        </w:t>
      </w:r>
      <w:r>
        <w:rPr>
          <w:rFonts w:hint="eastAsia" w:ascii="宋体" w:hAnsi="宋体" w:cs="宋体"/>
          <w:b/>
          <w:color w:val="auto"/>
          <w:szCs w:val="21"/>
          <w:highlight w:val="none"/>
        </w:rPr>
        <w:t>修改类型：增加</w:t>
      </w:r>
    </w:p>
    <w:p>
      <w:pPr>
        <w:pBdr>
          <w:bottom w:val="single" w:color="auto" w:sz="6" w:space="1"/>
        </w:pBdr>
        <w:spacing w:line="360" w:lineRule="auto"/>
        <w:ind w:firstLine="411" w:firstLineChars="195"/>
        <w:rPr>
          <w:rFonts w:ascii="宋体" w:hAnsi="宋体" w:cs="宋体"/>
          <w:b/>
          <w:color w:val="auto"/>
          <w:szCs w:val="21"/>
          <w:highlight w:val="none"/>
          <w:u w:val="single"/>
        </w:rPr>
      </w:pPr>
      <w:r>
        <w:rPr>
          <w:rFonts w:hint="eastAsia" w:ascii="宋体" w:hAnsi="宋体" w:cs="宋体"/>
          <w:b/>
          <w:color w:val="auto"/>
          <w:szCs w:val="21"/>
          <w:highlight w:val="none"/>
        </w:rPr>
        <w:t>现文：</w:t>
      </w:r>
      <w:r>
        <w:rPr>
          <w:rFonts w:ascii="宋体" w:hAnsi="宋体" w:cs="宋体"/>
          <w:color w:val="auto"/>
          <w:szCs w:val="21"/>
          <w:highlight w:val="none"/>
          <w:u w:val="single"/>
        </w:rPr>
        <w:t>28.5如本工程委托代建单位（项目建设管理单位），则可由代建单位作为发包人与中标人签订合同。</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29.1                        </w:t>
      </w:r>
      <w:r>
        <w:rPr>
          <w:rFonts w:hint="eastAsia" w:ascii="宋体" w:hAnsi="宋体" w:cs="宋体"/>
          <w:b/>
          <w:color w:val="auto"/>
          <w:szCs w:val="21"/>
          <w:highlight w:val="none"/>
        </w:rPr>
        <w:t>修改类型：修改</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29.1在收到中标通知书后的</w:t>
      </w:r>
      <w:r>
        <w:rPr>
          <w:rFonts w:ascii="宋体" w:hAnsi="宋体" w:cs="宋体"/>
          <w:b/>
          <w:color w:val="auto"/>
          <w:szCs w:val="21"/>
          <w:highlight w:val="none"/>
        </w:rPr>
        <w:t>15日</w:t>
      </w:r>
      <w:r>
        <w:rPr>
          <w:rFonts w:hint="eastAsia" w:ascii="宋体" w:hAnsi="宋体" w:cs="宋体"/>
          <w:color w:val="auto"/>
          <w:szCs w:val="21"/>
          <w:highlight w:val="none"/>
        </w:rPr>
        <w:t>内，中标人应按本须知前附表第</w:t>
      </w:r>
      <w:r>
        <w:rPr>
          <w:rFonts w:ascii="宋体" w:hAnsi="宋体" w:cs="宋体"/>
          <w:color w:val="auto"/>
          <w:szCs w:val="21"/>
          <w:highlight w:val="none"/>
        </w:rPr>
        <w:t>20项的规定向招标人提交履约担保。</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29.1</w:t>
      </w:r>
      <w:r>
        <w:rPr>
          <w:rFonts w:hint="eastAsia" w:ascii="宋体" w:hAnsi="宋体" w:cs="宋体"/>
          <w:color w:val="auto"/>
          <w:szCs w:val="21"/>
          <w:highlight w:val="none"/>
          <w:u w:val="single"/>
        </w:rPr>
        <w:t>合同正式签订之日后的</w:t>
      </w:r>
      <w:r>
        <w:rPr>
          <w:rFonts w:ascii="宋体" w:hAnsi="宋体" w:cs="宋体"/>
          <w:color w:val="auto"/>
          <w:szCs w:val="21"/>
          <w:highlight w:val="none"/>
          <w:u w:val="single"/>
        </w:rPr>
        <w:t>30日内</w:t>
      </w:r>
      <w:r>
        <w:rPr>
          <w:rFonts w:hint="eastAsia" w:ascii="宋体" w:hAnsi="宋体" w:cs="宋体"/>
          <w:color w:val="auto"/>
          <w:szCs w:val="21"/>
          <w:highlight w:val="none"/>
        </w:rPr>
        <w:t>，中标人应按本须知前附表第</w:t>
      </w:r>
      <w:r>
        <w:rPr>
          <w:rFonts w:ascii="宋体" w:hAnsi="宋体" w:cs="宋体"/>
          <w:color w:val="auto"/>
          <w:szCs w:val="21"/>
          <w:highlight w:val="none"/>
        </w:rPr>
        <w:t>20项的规定向招标人提交履约担保。</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29.2                        </w:t>
      </w:r>
      <w:r>
        <w:rPr>
          <w:rFonts w:hint="eastAsia" w:ascii="宋体" w:hAnsi="宋体" w:cs="宋体"/>
          <w:b/>
          <w:color w:val="auto"/>
          <w:szCs w:val="21"/>
          <w:highlight w:val="none"/>
        </w:rPr>
        <w:t>修改类型：修改</w:t>
      </w:r>
    </w:p>
    <w:p>
      <w:pP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29.2中标通知书发出之日起15日后，中标人未按上款的规定提交履约担保，招标人将解除中标通知书，原中标人的投标保证金不予退还，且依法承担相应法律责任。原中标人给招标人</w:t>
      </w:r>
      <w:r>
        <w:rPr>
          <w:rFonts w:hint="eastAsia" w:ascii="宋体" w:hAnsi="宋体" w:cs="宋体"/>
          <w:color w:val="auto"/>
          <w:szCs w:val="21"/>
          <w:highlight w:val="none"/>
        </w:rPr>
        <w:t>造成的损失超过投标保证金数额的，还应当对超过部分予以赔偿。原中标人有异议的，可以向人民法院起诉</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w:t>
      </w:r>
      <w:r>
        <w:rPr>
          <w:rFonts w:ascii="宋体" w:hAnsi="宋体" w:cs="宋体"/>
          <w:color w:val="auto"/>
          <w:szCs w:val="21"/>
          <w:highlight w:val="none"/>
        </w:rPr>
        <w:t>29.2</w:t>
      </w:r>
      <w:r>
        <w:rPr>
          <w:rFonts w:hint="eastAsia" w:ascii="宋体" w:hAnsi="宋体" w:cs="宋体"/>
          <w:color w:val="auto"/>
          <w:szCs w:val="21"/>
          <w:highlight w:val="none"/>
          <w:u w:val="single"/>
        </w:rPr>
        <w:t>合同正式签订之日后的</w:t>
      </w:r>
      <w:r>
        <w:rPr>
          <w:rFonts w:ascii="宋体" w:hAnsi="宋体" w:cs="宋体"/>
          <w:color w:val="auto"/>
          <w:szCs w:val="21"/>
          <w:highlight w:val="none"/>
          <w:u w:val="single"/>
        </w:rPr>
        <w:t>30日内</w:t>
      </w:r>
      <w:r>
        <w:rPr>
          <w:rFonts w:hint="eastAsia" w:ascii="宋体" w:hAnsi="宋体" w:cs="宋体"/>
          <w:color w:val="auto"/>
          <w:szCs w:val="21"/>
          <w:highlight w:val="none"/>
        </w:rPr>
        <w:t>，中标人未按上款的规定递交履约担保，招标人将解除中标通知书，</w:t>
      </w:r>
      <w:r>
        <w:rPr>
          <w:rFonts w:hint="eastAsia" w:ascii="宋体" w:hAnsi="宋体" w:cs="宋体"/>
          <w:color w:val="auto"/>
          <w:szCs w:val="21"/>
          <w:highlight w:val="none"/>
          <w:u w:val="single"/>
        </w:rPr>
        <w:t>原中标人依法承担相应法律责任。原中标人给招标人造成的损失，应当对其予以赔偿。</w:t>
      </w:r>
      <w:r>
        <w:rPr>
          <w:rFonts w:hint="eastAsia" w:ascii="宋体" w:hAnsi="宋体" w:cs="宋体"/>
          <w:color w:val="auto"/>
          <w:szCs w:val="21"/>
          <w:highlight w:val="none"/>
        </w:rPr>
        <w:t>原中标人有异议的，可以向人民法院起诉。</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30.1                        </w:t>
      </w:r>
      <w:r>
        <w:rPr>
          <w:rFonts w:hint="eastAsia" w:ascii="宋体" w:hAnsi="宋体" w:cs="宋体"/>
          <w:b/>
          <w:color w:val="auto"/>
          <w:szCs w:val="21"/>
          <w:highlight w:val="none"/>
        </w:rPr>
        <w:t>修改类型：修改</w:t>
      </w:r>
    </w:p>
    <w:p>
      <w:pP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30.1在合同双方全权代表在合同协议书上签字，并分别加盖双方单位的公章后，合同正式生效。</w:t>
      </w:r>
    </w:p>
    <w:p>
      <w:pPr>
        <w:pBdr>
          <w:bottom w:val="single" w:color="auto" w:sz="6" w:space="1"/>
        </w:pBd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30.1在合同双方全权代表在合同协议书上签字，并分别加盖双方单位的公章</w:t>
      </w:r>
      <w:r>
        <w:rPr>
          <w:rFonts w:hint="eastAsia" w:ascii="宋体" w:hAnsi="宋体" w:cs="宋体"/>
          <w:color w:val="auto"/>
          <w:szCs w:val="21"/>
          <w:highlight w:val="none"/>
          <w:u w:val="single"/>
        </w:rPr>
        <w:t>且承包人提交履约担保后，合同正式生效。</w:t>
      </w:r>
    </w:p>
    <w:p>
      <w:pPr>
        <w:spacing w:line="360" w:lineRule="auto"/>
        <w:ind w:firstLine="411" w:firstLineChars="195"/>
        <w:rPr>
          <w:rFonts w:ascii="宋体" w:hAnsi="宋体" w:cs="宋体"/>
          <w:b/>
          <w:bCs/>
          <w:color w:val="auto"/>
          <w:szCs w:val="21"/>
          <w:highlight w:val="none"/>
        </w:rPr>
      </w:pPr>
      <w:r>
        <w:rPr>
          <w:rFonts w:hint="eastAsia" w:ascii="宋体" w:hAnsi="宋体" w:cs="宋体"/>
          <w:b/>
          <w:bCs/>
          <w:color w:val="auto"/>
          <w:szCs w:val="21"/>
          <w:highlight w:val="none"/>
        </w:rPr>
        <w:t>条款号：</w:t>
      </w:r>
      <w:r>
        <w:rPr>
          <w:rFonts w:ascii="宋体" w:hAnsi="宋体" w:cs="宋体"/>
          <w:b/>
          <w:bCs/>
          <w:color w:val="auto"/>
          <w:szCs w:val="21"/>
          <w:highlight w:val="none"/>
        </w:rPr>
        <w:t xml:space="preserve">31                          </w:t>
      </w:r>
      <w:r>
        <w:rPr>
          <w:rFonts w:hint="eastAsia" w:ascii="宋体" w:hAnsi="宋体" w:cs="宋体"/>
          <w:b/>
          <w:bCs/>
          <w:color w:val="auto"/>
          <w:szCs w:val="21"/>
          <w:highlight w:val="none"/>
        </w:rPr>
        <w:t>修改类型：修改</w:t>
      </w:r>
    </w:p>
    <w:p>
      <w:pPr>
        <w:pBdr>
          <w:bottom w:val="single" w:color="auto" w:sz="6" w:space="1"/>
        </w:pBdr>
        <w:spacing w:line="360" w:lineRule="auto"/>
        <w:ind w:firstLine="411" w:firstLineChars="195"/>
        <w:rPr>
          <w:rFonts w:ascii="宋体" w:hAnsi="宋体" w:cs="宋体"/>
          <w:b/>
          <w:bCs/>
          <w:color w:val="auto"/>
          <w:szCs w:val="21"/>
          <w:highlight w:val="none"/>
        </w:rPr>
      </w:pPr>
      <w:r>
        <w:rPr>
          <w:rFonts w:hint="eastAsia" w:ascii="宋体" w:hAnsi="宋体" w:cs="宋体"/>
          <w:b/>
          <w:bCs/>
          <w:color w:val="auto"/>
          <w:szCs w:val="21"/>
          <w:highlight w:val="none"/>
        </w:rPr>
        <w:t>原文：</w:t>
      </w:r>
      <w:r>
        <w:rPr>
          <w:rFonts w:ascii="宋体" w:hAnsi="宋体" w:cs="宋体"/>
          <w:b/>
          <w:bCs/>
          <w:color w:val="auto"/>
          <w:szCs w:val="21"/>
          <w:highlight w:val="none"/>
        </w:rPr>
        <w:t>31.其它费用</w:t>
      </w:r>
    </w:p>
    <w:p>
      <w:pPr>
        <w:pBdr>
          <w:bottom w:val="single" w:color="auto" w:sz="6" w:space="1"/>
        </w:pBdr>
        <w:spacing w:line="360" w:lineRule="auto"/>
        <w:ind w:firstLine="411" w:firstLineChars="195"/>
        <w:rPr>
          <w:rFonts w:hint="eastAsia"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rPr>
        <w:t>：</w:t>
      </w:r>
      <w:r>
        <w:rPr>
          <w:rFonts w:ascii="宋体" w:hAnsi="宋体" w:cs="宋体"/>
          <w:b/>
          <w:color w:val="auto"/>
          <w:szCs w:val="21"/>
          <w:highlight w:val="none"/>
        </w:rPr>
        <w:t>31.</w:t>
      </w:r>
      <w:r>
        <w:rPr>
          <w:rFonts w:hint="eastAsia" w:ascii="宋体" w:hAnsi="宋体" w:cs="宋体"/>
          <w:b/>
          <w:bCs/>
          <w:color w:val="auto"/>
          <w:szCs w:val="21"/>
          <w:highlight w:val="none"/>
        </w:rPr>
        <w:t>其它费用</w:t>
      </w:r>
    </w:p>
    <w:p>
      <w:pPr>
        <w:pBdr>
          <w:bottom w:val="single" w:color="auto" w:sz="6" w:space="1"/>
        </w:pBd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u w:val="single"/>
        </w:rPr>
        <w:t>中标人应交纳交易服务费，该费用包含在投标价中。</w:t>
      </w:r>
    </w:p>
    <w:p>
      <w:pPr>
        <w:spacing w:line="360" w:lineRule="auto"/>
        <w:ind w:firstLine="211" w:firstLineChars="100"/>
        <w:rPr>
          <w:rFonts w:ascii="宋体" w:hAnsi="宋体" w:cs="宋体"/>
          <w:b/>
          <w:color w:val="auto"/>
          <w:szCs w:val="21"/>
          <w:highlight w:val="none"/>
        </w:rPr>
      </w:pPr>
      <w:r>
        <w:rPr>
          <w:rFonts w:hint="eastAsia" w:ascii="宋体" w:hAnsi="宋体" w:cs="宋体"/>
          <w:b/>
          <w:color w:val="auto"/>
          <w:szCs w:val="21"/>
          <w:highlight w:val="none"/>
        </w:rPr>
        <w:t>注：以上修改，仅限于本范本中有可供选择条款的情形。</w:t>
      </w:r>
    </w:p>
    <w:p>
      <w:pPr>
        <w:spacing w:line="360" w:lineRule="auto"/>
        <w:rPr>
          <w:rFonts w:ascii="宋体" w:hAnsi="宋体" w:cs="宋体"/>
          <w:color w:val="auto"/>
          <w:highlight w:val="none"/>
        </w:rPr>
      </w:pPr>
      <w:r>
        <w:rPr>
          <w:rFonts w:hint="eastAsia" w:ascii="宋体" w:hAnsi="宋体" w:cs="宋体"/>
          <w:b/>
          <w:color w:val="auto"/>
          <w:szCs w:val="21"/>
          <w:highlight w:val="none"/>
        </w:rPr>
        <w:t>（以下无正文）</w:t>
      </w:r>
    </w:p>
    <w:p>
      <w:pPr>
        <w:pStyle w:val="5"/>
        <w:rPr>
          <w:rFonts w:ascii="宋体" w:hAnsi="宋体"/>
          <w:color w:val="auto"/>
          <w:highlight w:val="none"/>
        </w:rPr>
      </w:pPr>
      <w:r>
        <w:rPr>
          <w:rFonts w:ascii="宋体" w:hAnsi="宋体"/>
          <w:color w:val="auto"/>
          <w:highlight w:val="none"/>
        </w:rPr>
        <w:br w:type="page"/>
      </w:r>
      <w:bookmarkStart w:id="17" w:name="_Toc2272548"/>
      <w:bookmarkStart w:id="18" w:name="_Toc18112"/>
      <w:bookmarkStart w:id="19" w:name="_Toc18045"/>
      <w:bookmarkStart w:id="20" w:name="_Toc8369"/>
      <w:bookmarkStart w:id="21" w:name="_Toc18316"/>
      <w:bookmarkStart w:id="22" w:name="_Toc112397808"/>
      <w:r>
        <w:rPr>
          <w:rFonts w:hint="eastAsia" w:ascii="宋体" w:hAnsi="宋体"/>
          <w:color w:val="auto"/>
          <w:highlight w:val="none"/>
        </w:rPr>
        <w:t>三、投标须知通用条款</w:t>
      </w:r>
      <w:bookmarkEnd w:id="17"/>
      <w:bookmarkEnd w:id="18"/>
      <w:bookmarkEnd w:id="19"/>
      <w:bookmarkEnd w:id="20"/>
      <w:bookmarkEnd w:id="21"/>
      <w:bookmarkEnd w:id="22"/>
    </w:p>
    <w:p>
      <w:pPr>
        <w:widowControl/>
        <w:spacing w:before="100" w:beforeAutospacing="1" w:after="100" w:afterAutospacing="1" w:line="360" w:lineRule="auto"/>
        <w:jc w:val="left"/>
        <w:outlineLvl w:val="2"/>
        <w:rPr>
          <w:rFonts w:ascii="宋体" w:hAnsi="宋体" w:cs="宋体"/>
          <w:color w:val="auto"/>
          <w:kern w:val="0"/>
          <w:sz w:val="24"/>
          <w:szCs w:val="24"/>
          <w:highlight w:val="none"/>
        </w:rPr>
      </w:pPr>
      <w:bookmarkStart w:id="23" w:name="_Toc112397809"/>
      <w:bookmarkStart w:id="24" w:name="_Toc58838571"/>
      <w:bookmarkStart w:id="25" w:name="_Toc9367"/>
      <w:bookmarkStart w:id="26" w:name="_Toc29496"/>
      <w:bookmarkStart w:id="27" w:name="_Toc18706"/>
      <w:bookmarkStart w:id="28" w:name="_Toc2272549"/>
      <w:bookmarkStart w:id="29" w:name="_Toc30739"/>
      <w:r>
        <w:rPr>
          <w:rFonts w:hint="eastAsia" w:ascii="宋体" w:hAnsi="宋体" w:cs="宋体"/>
          <w:color w:val="auto"/>
          <w:kern w:val="0"/>
          <w:sz w:val="24"/>
          <w:szCs w:val="24"/>
          <w:highlight w:val="none"/>
        </w:rPr>
        <w:t>（一）总则</w:t>
      </w:r>
      <w:bookmarkEnd w:id="23"/>
      <w:bookmarkEnd w:id="24"/>
      <w:bookmarkEnd w:id="25"/>
      <w:bookmarkEnd w:id="26"/>
      <w:bookmarkEnd w:id="27"/>
      <w:bookmarkEnd w:id="28"/>
      <w:bookmarkEnd w:id="29"/>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1</w:t>
      </w:r>
      <w:r>
        <w:rPr>
          <w:rFonts w:hint="eastAsia" w:ascii="宋体" w:hAnsi="宋体"/>
          <w:b/>
          <w:bCs/>
          <w:color w:val="auto"/>
          <w:sz w:val="24"/>
          <w:szCs w:val="24"/>
          <w:highlight w:val="none"/>
        </w:rPr>
        <w:t>、定义</w:t>
      </w:r>
    </w:p>
    <w:p>
      <w:pPr>
        <w:spacing w:line="360" w:lineRule="auto"/>
        <w:ind w:firstLine="480" w:firstLineChars="200"/>
        <w:rPr>
          <w:rFonts w:ascii="宋体" w:hAnsi="宋体"/>
          <w:b/>
          <w:bCs/>
          <w:color w:val="auto"/>
          <w:sz w:val="24"/>
          <w:szCs w:val="24"/>
          <w:highlight w:val="none"/>
        </w:rPr>
      </w:pPr>
      <w:r>
        <w:rPr>
          <w:rFonts w:hint="eastAsia" w:ascii="宋体" w:hAnsi="宋体"/>
          <w:color w:val="auto"/>
          <w:sz w:val="24"/>
          <w:szCs w:val="24"/>
          <w:highlight w:val="none"/>
        </w:rPr>
        <w:t>本招标文件使用的下列词语具有如下规定的意义：</w:t>
      </w:r>
    </w:p>
    <w:p>
      <w:pPr>
        <w:spacing w:line="360" w:lineRule="auto"/>
        <w:ind w:firstLine="480" w:firstLineChars="200"/>
        <w:rPr>
          <w:rFonts w:ascii="宋体" w:hAnsi="宋体"/>
          <w:b/>
          <w:bCs/>
          <w:color w:val="auto"/>
          <w:sz w:val="24"/>
          <w:szCs w:val="24"/>
          <w:highlight w:val="none"/>
          <w:u w:val="single"/>
        </w:rPr>
      </w:pPr>
      <w:r>
        <w:rPr>
          <w:rFonts w:hint="eastAsia" w:ascii="宋体" w:hAnsi="宋体"/>
          <w:color w:val="auto"/>
          <w:sz w:val="24"/>
          <w:szCs w:val="24"/>
          <w:highlight w:val="none"/>
        </w:rPr>
        <w:t>（</w:t>
      </w:r>
      <w:r>
        <w:rPr>
          <w:rFonts w:ascii="宋体" w:hAnsi="宋体"/>
          <w:color w:val="auto"/>
          <w:sz w:val="24"/>
          <w:szCs w:val="24"/>
          <w:highlight w:val="none"/>
        </w:rPr>
        <w:t>1</w:t>
      </w:r>
      <w:r>
        <w:rPr>
          <w:rFonts w:hint="eastAsia" w:ascii="宋体" w:hAnsi="宋体"/>
          <w:color w:val="auto"/>
          <w:sz w:val="24"/>
          <w:szCs w:val="24"/>
          <w:highlight w:val="none"/>
        </w:rPr>
        <w:t>）“招标人”（即发包人）、“项目建设管理单位”（或称“项目代建单位”）、“招标代理”、“设计单位”、“监理单位”均已在投标须知前附表中列明。</w:t>
      </w:r>
    </w:p>
    <w:p>
      <w:pPr>
        <w:spacing w:line="360" w:lineRule="auto"/>
        <w:ind w:firstLine="480" w:firstLineChars="200"/>
        <w:rPr>
          <w:rFonts w:ascii="宋体" w:hAnsi="宋体"/>
          <w:color w:val="auto"/>
          <w:sz w:val="24"/>
          <w:szCs w:val="24"/>
          <w:highlight w:val="none"/>
          <w:u w:val="single"/>
        </w:rPr>
      </w:pPr>
      <w:r>
        <w:rPr>
          <w:rFonts w:hint="eastAsia" w:ascii="宋体" w:hAnsi="宋体"/>
          <w:color w:val="auto"/>
          <w:sz w:val="24"/>
          <w:szCs w:val="24"/>
          <w:highlight w:val="none"/>
        </w:rPr>
        <w:t>（</w:t>
      </w:r>
      <w:r>
        <w:rPr>
          <w:rFonts w:ascii="宋体" w:hAnsi="宋体"/>
          <w:color w:val="auto"/>
          <w:sz w:val="24"/>
          <w:szCs w:val="24"/>
          <w:highlight w:val="none"/>
        </w:rPr>
        <w:t>2</w:t>
      </w:r>
      <w:r>
        <w:rPr>
          <w:rFonts w:hint="eastAsia" w:ascii="宋体" w:hAnsi="宋体"/>
          <w:color w:val="auto"/>
          <w:sz w:val="24"/>
          <w:szCs w:val="24"/>
          <w:highlight w:val="none"/>
        </w:rPr>
        <w:t>）“投标人”指向招标人提交投标文件的当事人。</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3</w:t>
      </w:r>
      <w:r>
        <w:rPr>
          <w:rFonts w:hint="eastAsia" w:ascii="宋体" w:hAnsi="宋体"/>
          <w:color w:val="auto"/>
          <w:sz w:val="24"/>
          <w:szCs w:val="24"/>
          <w:highlight w:val="none"/>
        </w:rPr>
        <w:t>）“承包人”指其投标被招标人接受并与其签订承包合同的当事人。</w:t>
      </w:r>
    </w:p>
    <w:p>
      <w:pPr>
        <w:spacing w:line="360" w:lineRule="auto"/>
        <w:ind w:firstLine="480" w:firstLineChars="200"/>
        <w:rPr>
          <w:rFonts w:ascii="宋体" w:hAnsi="宋体"/>
          <w:color w:val="auto"/>
          <w:sz w:val="24"/>
          <w:szCs w:val="24"/>
          <w:highlight w:val="none"/>
          <w:u w:val="single"/>
        </w:rPr>
      </w:pPr>
      <w:r>
        <w:rPr>
          <w:rFonts w:hint="eastAsia" w:ascii="宋体" w:hAnsi="宋体"/>
          <w:color w:val="auto"/>
          <w:sz w:val="24"/>
          <w:szCs w:val="24"/>
          <w:highlight w:val="none"/>
        </w:rPr>
        <w:t>（</w:t>
      </w:r>
      <w:r>
        <w:rPr>
          <w:rFonts w:ascii="宋体" w:hAnsi="宋体"/>
          <w:color w:val="auto"/>
          <w:sz w:val="24"/>
          <w:szCs w:val="24"/>
          <w:highlight w:val="none"/>
        </w:rPr>
        <w:t>4</w:t>
      </w:r>
      <w:r>
        <w:rPr>
          <w:rFonts w:hint="eastAsia" w:ascii="宋体" w:hAnsi="宋体"/>
          <w:color w:val="auto"/>
          <w:sz w:val="24"/>
          <w:szCs w:val="24"/>
          <w:highlight w:val="none"/>
        </w:rPr>
        <w:t>）“招标文件”指由招标代理发出的本文件（包括全部章节、附件）及招标答疑会会议纪要和</w:t>
      </w:r>
      <w:r>
        <w:rPr>
          <w:rFonts w:hint="eastAsia" w:ascii="宋体" w:hAnsi="宋体"/>
          <w:bCs/>
          <w:color w:val="auto"/>
          <w:sz w:val="24"/>
          <w:szCs w:val="24"/>
          <w:highlight w:val="none"/>
        </w:rPr>
        <w:t>招标文件的澄清与修改</w:t>
      </w:r>
      <w:r>
        <w:rPr>
          <w:rFonts w:hint="eastAsia" w:ascii="宋体" w:hAnsi="宋体"/>
          <w:color w:val="auto"/>
          <w:sz w:val="24"/>
          <w:szCs w:val="24"/>
          <w:highlight w:val="none"/>
        </w:rPr>
        <w:t>文件。</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5</w:t>
      </w:r>
      <w:r>
        <w:rPr>
          <w:rFonts w:hint="eastAsia" w:ascii="宋体" w:hAnsi="宋体"/>
          <w:color w:val="auto"/>
          <w:sz w:val="24"/>
          <w:szCs w:val="24"/>
          <w:highlight w:val="none"/>
        </w:rPr>
        <w:t>）“投标文件”指投标人根据本项目招标文件向招标人提交的全部文件。</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6</w:t>
      </w:r>
      <w:r>
        <w:rPr>
          <w:rFonts w:hint="eastAsia" w:ascii="宋体" w:hAnsi="宋体"/>
          <w:color w:val="auto"/>
          <w:sz w:val="24"/>
          <w:szCs w:val="24"/>
          <w:highlight w:val="none"/>
        </w:rPr>
        <w:t>）“书面形式”指打字或印刷的文件和数据电文（包括电报、电传、传真、电子数据交换和电子邮件）。</w:t>
      </w:r>
    </w:p>
    <w:p>
      <w:pPr>
        <w:spacing w:line="360" w:lineRule="auto"/>
        <w:ind w:firstLine="482" w:firstLineChars="200"/>
        <w:rPr>
          <w:rFonts w:ascii="宋体" w:hAnsi="宋体"/>
          <w:b/>
          <w:color w:val="auto"/>
          <w:sz w:val="24"/>
          <w:szCs w:val="24"/>
          <w:highlight w:val="none"/>
        </w:rPr>
      </w:pPr>
      <w:r>
        <w:rPr>
          <w:rFonts w:ascii="宋体" w:hAnsi="宋体"/>
          <w:b/>
          <w:color w:val="auto"/>
          <w:sz w:val="24"/>
          <w:szCs w:val="24"/>
          <w:highlight w:val="none"/>
        </w:rPr>
        <w:t>2</w:t>
      </w:r>
      <w:r>
        <w:rPr>
          <w:rFonts w:hint="eastAsia" w:ascii="宋体" w:hAnsi="宋体"/>
          <w:b/>
          <w:color w:val="auto"/>
          <w:sz w:val="24"/>
          <w:szCs w:val="24"/>
          <w:highlight w:val="none"/>
        </w:rPr>
        <w:t>、招标说明</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2.1</w:t>
      </w:r>
      <w:r>
        <w:rPr>
          <w:rFonts w:hint="eastAsia" w:ascii="宋体" w:hAnsi="宋体"/>
          <w:bCs/>
          <w:color w:val="auto"/>
          <w:sz w:val="24"/>
          <w:szCs w:val="24"/>
          <w:highlight w:val="none"/>
        </w:rPr>
        <w:t>本招标工程项目按照《中华人民共和国招标投标法》等有关法律、行政法规、规章和规范性文件，通过招标方式选定承包人。</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2.2</w:t>
      </w:r>
      <w:r>
        <w:rPr>
          <w:rFonts w:hint="eastAsia" w:ascii="宋体" w:hAnsi="宋体"/>
          <w:bCs/>
          <w:color w:val="auto"/>
          <w:sz w:val="24"/>
          <w:szCs w:val="24"/>
          <w:highlight w:val="none"/>
        </w:rPr>
        <w:t>工程名称、建设地点、建设规模、承包方式、质量标准、招标范围、工期要求等均在投标须知前附表中列明。</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2.3</w:t>
      </w:r>
      <w:r>
        <w:rPr>
          <w:rFonts w:hint="eastAsia" w:ascii="宋体" w:hAnsi="宋体"/>
          <w:bCs/>
          <w:color w:val="auto"/>
          <w:sz w:val="24"/>
          <w:szCs w:val="24"/>
          <w:highlight w:val="none"/>
        </w:rPr>
        <w:t>设计说明：详见招标图纸。</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2.4</w:t>
      </w:r>
      <w:r>
        <w:rPr>
          <w:rFonts w:hint="eastAsia" w:ascii="宋体" w:hAnsi="宋体"/>
          <w:bCs/>
          <w:color w:val="auto"/>
          <w:sz w:val="24"/>
          <w:szCs w:val="24"/>
          <w:highlight w:val="none"/>
        </w:rPr>
        <w:t>工程施工特点：详见招标图纸。</w:t>
      </w:r>
    </w:p>
    <w:p>
      <w:pPr>
        <w:tabs>
          <w:tab w:val="left" w:pos="105"/>
        </w:tabs>
        <w:spacing w:line="360" w:lineRule="auto"/>
        <w:ind w:firstLine="482" w:firstLineChars="200"/>
        <w:rPr>
          <w:rFonts w:ascii="宋体" w:hAnsi="宋体"/>
          <w:b/>
          <w:color w:val="auto"/>
          <w:sz w:val="24"/>
          <w:szCs w:val="24"/>
          <w:highlight w:val="none"/>
        </w:rPr>
      </w:pPr>
      <w:r>
        <w:rPr>
          <w:rFonts w:ascii="宋体" w:hAnsi="宋体"/>
          <w:b/>
          <w:color w:val="auto"/>
          <w:sz w:val="24"/>
          <w:szCs w:val="24"/>
          <w:highlight w:val="none"/>
        </w:rPr>
        <w:t>3</w:t>
      </w:r>
      <w:r>
        <w:rPr>
          <w:rFonts w:hint="eastAsia" w:ascii="宋体" w:hAnsi="宋体"/>
          <w:b/>
          <w:color w:val="auto"/>
          <w:sz w:val="24"/>
          <w:szCs w:val="24"/>
          <w:highlight w:val="none"/>
        </w:rPr>
        <w:t>．资金来源</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3.1</w:t>
      </w:r>
      <w:r>
        <w:rPr>
          <w:rFonts w:hint="eastAsia" w:ascii="宋体" w:hAnsi="宋体"/>
          <w:bCs/>
          <w:color w:val="auto"/>
          <w:sz w:val="24"/>
          <w:szCs w:val="24"/>
          <w:highlight w:val="none"/>
        </w:rPr>
        <w:t>本招标工程项目资金来源见投标须知前附表第</w:t>
      </w:r>
      <w:r>
        <w:rPr>
          <w:rFonts w:ascii="宋体" w:hAnsi="宋体"/>
          <w:bCs/>
          <w:color w:val="auto"/>
          <w:sz w:val="24"/>
          <w:szCs w:val="24"/>
          <w:highlight w:val="none"/>
        </w:rPr>
        <w:t>9</w:t>
      </w:r>
      <w:r>
        <w:rPr>
          <w:rFonts w:hint="eastAsia" w:ascii="宋体" w:hAnsi="宋体"/>
          <w:bCs/>
          <w:color w:val="auto"/>
          <w:sz w:val="24"/>
          <w:szCs w:val="24"/>
          <w:highlight w:val="none"/>
        </w:rPr>
        <w:t>项</w:t>
      </w:r>
    </w:p>
    <w:p>
      <w:pPr>
        <w:tabs>
          <w:tab w:val="left" w:pos="105"/>
        </w:tabs>
        <w:spacing w:line="360" w:lineRule="auto"/>
        <w:ind w:firstLine="482" w:firstLineChars="200"/>
        <w:rPr>
          <w:rFonts w:ascii="宋体" w:hAnsi="宋体"/>
          <w:b/>
          <w:color w:val="auto"/>
          <w:sz w:val="24"/>
          <w:szCs w:val="24"/>
          <w:highlight w:val="none"/>
        </w:rPr>
      </w:pPr>
      <w:r>
        <w:rPr>
          <w:rFonts w:ascii="宋体" w:hAnsi="宋体"/>
          <w:b/>
          <w:color w:val="auto"/>
          <w:sz w:val="24"/>
          <w:szCs w:val="24"/>
          <w:highlight w:val="none"/>
        </w:rPr>
        <w:t>4</w:t>
      </w:r>
      <w:r>
        <w:rPr>
          <w:rFonts w:hint="eastAsia" w:ascii="宋体" w:hAnsi="宋体"/>
          <w:b/>
          <w:color w:val="auto"/>
          <w:sz w:val="24"/>
          <w:szCs w:val="24"/>
          <w:highlight w:val="none"/>
        </w:rPr>
        <w:t>．合格投标人的条件</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4.1</w:t>
      </w:r>
      <w:r>
        <w:rPr>
          <w:rFonts w:hint="eastAsia" w:ascii="宋体" w:hAnsi="宋体"/>
          <w:bCs/>
          <w:color w:val="auto"/>
          <w:sz w:val="24"/>
          <w:szCs w:val="24"/>
          <w:highlight w:val="none"/>
        </w:rPr>
        <w:t>详见本项目招标公告</w:t>
      </w:r>
    </w:p>
    <w:p>
      <w:pPr>
        <w:tabs>
          <w:tab w:val="left" w:pos="105"/>
        </w:tabs>
        <w:spacing w:line="360" w:lineRule="auto"/>
        <w:ind w:firstLine="482" w:firstLineChars="200"/>
        <w:rPr>
          <w:rFonts w:ascii="宋体" w:hAnsi="宋体"/>
          <w:b/>
          <w:color w:val="auto"/>
          <w:sz w:val="24"/>
          <w:szCs w:val="24"/>
          <w:highlight w:val="none"/>
        </w:rPr>
      </w:pPr>
      <w:r>
        <w:rPr>
          <w:rFonts w:ascii="宋体" w:hAnsi="宋体"/>
          <w:b/>
          <w:color w:val="auto"/>
          <w:sz w:val="24"/>
          <w:szCs w:val="24"/>
          <w:highlight w:val="none"/>
        </w:rPr>
        <w:t>5</w:t>
      </w:r>
      <w:r>
        <w:rPr>
          <w:rFonts w:hint="eastAsia" w:ascii="宋体" w:hAnsi="宋体"/>
          <w:b/>
          <w:color w:val="auto"/>
          <w:sz w:val="24"/>
          <w:szCs w:val="24"/>
          <w:highlight w:val="none"/>
        </w:rPr>
        <w:t>．踏勘现场</w:t>
      </w:r>
    </w:p>
    <w:p>
      <w:pPr>
        <w:spacing w:line="360" w:lineRule="auto"/>
        <w:ind w:firstLine="480" w:firstLineChars="200"/>
        <w:rPr>
          <w:rFonts w:ascii="宋体" w:hAnsi="宋体"/>
          <w:bCs/>
          <w:color w:val="auto"/>
          <w:sz w:val="24"/>
          <w:szCs w:val="24"/>
          <w:highlight w:val="none"/>
          <w:u w:val="single"/>
        </w:rPr>
      </w:pPr>
      <w:r>
        <w:rPr>
          <w:rFonts w:ascii="宋体" w:hAnsi="宋体"/>
          <w:bCs/>
          <w:color w:val="auto"/>
          <w:sz w:val="24"/>
          <w:szCs w:val="24"/>
          <w:highlight w:val="none"/>
        </w:rPr>
        <w:t xml:space="preserve">5.1 </w:t>
      </w:r>
      <w:r>
        <w:rPr>
          <w:rFonts w:hint="eastAsia" w:ascii="宋体" w:hAnsi="宋体"/>
          <w:bCs/>
          <w:color w:val="auto"/>
          <w:sz w:val="24"/>
          <w:szCs w:val="24"/>
          <w:highlight w:val="none"/>
        </w:rPr>
        <w:t>投标人应按本投标须知前附表第</w:t>
      </w:r>
      <w:r>
        <w:rPr>
          <w:rFonts w:ascii="宋体" w:hAnsi="宋体"/>
          <w:bCs/>
          <w:color w:val="auto"/>
          <w:sz w:val="24"/>
          <w:szCs w:val="24"/>
          <w:highlight w:val="none"/>
        </w:rPr>
        <w:t>15</w:t>
      </w:r>
      <w:r>
        <w:rPr>
          <w:rFonts w:hint="eastAsia" w:ascii="宋体" w:hAnsi="宋体"/>
          <w:bCs/>
          <w:color w:val="auto"/>
          <w:sz w:val="24"/>
          <w:szCs w:val="24"/>
          <w:highlight w:val="none"/>
        </w:rPr>
        <w:t>项所述时间和要求对工程现场及周围环境进行踏勘，</w:t>
      </w:r>
      <w:r>
        <w:rPr>
          <w:rFonts w:hint="eastAsia" w:ascii="宋体" w:hAnsi="宋体"/>
          <w:color w:val="auto"/>
          <w:sz w:val="24"/>
          <w:szCs w:val="24"/>
          <w:highlight w:val="none"/>
        </w:rPr>
        <w:t>投标人应充分重视和仔细地进行这种考察，</w:t>
      </w:r>
      <w:r>
        <w:rPr>
          <w:rFonts w:hint="eastAsia" w:ascii="宋体" w:hAnsi="宋体"/>
          <w:bCs/>
          <w:color w:val="auto"/>
          <w:sz w:val="24"/>
          <w:szCs w:val="24"/>
          <w:highlight w:val="none"/>
        </w:rPr>
        <w:t>以便投标人获取</w:t>
      </w:r>
      <w:r>
        <w:rPr>
          <w:rFonts w:hint="eastAsia" w:ascii="宋体" w:hAnsi="宋体"/>
          <w:color w:val="auto"/>
          <w:sz w:val="24"/>
          <w:szCs w:val="24"/>
          <w:highlight w:val="none"/>
        </w:rPr>
        <w:t>那些须投标人自己负责的</w:t>
      </w:r>
      <w:r>
        <w:rPr>
          <w:rFonts w:hint="eastAsia" w:ascii="宋体" w:hAnsi="宋体"/>
          <w:bCs/>
          <w:color w:val="auto"/>
          <w:sz w:val="24"/>
          <w:szCs w:val="24"/>
          <w:highlight w:val="none"/>
        </w:rPr>
        <w:t>有关编制投标文件和签署合同所涉及现场所有的资料。</w:t>
      </w:r>
      <w:r>
        <w:rPr>
          <w:rFonts w:hint="eastAsia" w:ascii="宋体" w:hAnsi="宋体"/>
          <w:color w:val="auto"/>
          <w:sz w:val="24"/>
          <w:szCs w:val="24"/>
          <w:highlight w:val="none"/>
        </w:rPr>
        <w:t>一旦中标，这种考察即被认为其结果已在中标文件中得到充分反映。考察现场的费用由投标人自己承担。</w:t>
      </w:r>
    </w:p>
    <w:p>
      <w:pPr>
        <w:tabs>
          <w:tab w:val="left" w:pos="105"/>
        </w:tabs>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 xml:space="preserve">5.2 </w:t>
      </w:r>
      <w:r>
        <w:rPr>
          <w:rFonts w:hint="eastAsia" w:ascii="宋体" w:hAnsi="宋体"/>
          <w:bCs/>
          <w:color w:val="auto"/>
          <w:sz w:val="24"/>
          <w:szCs w:val="24"/>
          <w:highlight w:val="none"/>
        </w:rPr>
        <w:t>招标人向投标人提供的有关现场的数据和资料，是招标人现有的能被投标人利用的资料，招标人对投标人做出的任何推论、理解和结论均不负责任。</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 xml:space="preserve">5.3 </w:t>
      </w:r>
      <w:r>
        <w:rPr>
          <w:rFonts w:hint="eastAsia" w:ascii="宋体" w:hAnsi="宋体"/>
          <w:bCs/>
          <w:color w:val="auto"/>
          <w:sz w:val="24"/>
          <w:szCs w:val="24"/>
          <w:highlight w:val="none"/>
        </w:rPr>
        <w:t>经招标人允许，投标人可为踏勘目的进入招标人的项目现场。</w:t>
      </w:r>
      <w:r>
        <w:rPr>
          <w:rFonts w:hint="eastAsia" w:ascii="宋体" w:hAnsi="宋体"/>
          <w:color w:val="auto"/>
          <w:sz w:val="24"/>
          <w:szCs w:val="24"/>
          <w:highlight w:val="none"/>
        </w:rPr>
        <w:t>在考察过程中，投标人及其代表必须承担那些进入现场后，由于他们的行为所造成的人身伤害（不管是否致命）、财产损失或损坏，以及其他任何原因造成的损失、损坏或费用，</w:t>
      </w:r>
      <w:r>
        <w:rPr>
          <w:rFonts w:hint="eastAsia" w:ascii="宋体" w:hAnsi="宋体"/>
          <w:bCs/>
          <w:color w:val="auto"/>
          <w:sz w:val="24"/>
          <w:szCs w:val="24"/>
          <w:highlight w:val="none"/>
        </w:rPr>
        <w:t>投标人不得因此使招标人承担有关的责任和蒙受损失。</w:t>
      </w:r>
    </w:p>
    <w:p>
      <w:pPr>
        <w:tabs>
          <w:tab w:val="left" w:pos="105"/>
        </w:tabs>
        <w:spacing w:line="360" w:lineRule="auto"/>
        <w:ind w:firstLine="482" w:firstLineChars="200"/>
        <w:rPr>
          <w:rFonts w:ascii="宋体" w:hAnsi="宋体"/>
          <w:b/>
          <w:color w:val="auto"/>
          <w:sz w:val="24"/>
          <w:szCs w:val="24"/>
          <w:highlight w:val="none"/>
        </w:rPr>
      </w:pPr>
      <w:r>
        <w:rPr>
          <w:rFonts w:ascii="宋体" w:hAnsi="宋体"/>
          <w:b/>
          <w:color w:val="auto"/>
          <w:sz w:val="24"/>
          <w:szCs w:val="24"/>
          <w:highlight w:val="none"/>
        </w:rPr>
        <w:t>6</w:t>
      </w:r>
      <w:r>
        <w:rPr>
          <w:rFonts w:hint="eastAsia" w:ascii="宋体" w:hAnsi="宋体"/>
          <w:b/>
          <w:color w:val="auto"/>
          <w:sz w:val="24"/>
          <w:szCs w:val="24"/>
          <w:highlight w:val="none"/>
        </w:rPr>
        <w:t>．投标费用</w:t>
      </w:r>
    </w:p>
    <w:p>
      <w:pPr>
        <w:tabs>
          <w:tab w:val="left" w:pos="105"/>
        </w:tabs>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6.1</w:t>
      </w:r>
      <w:r>
        <w:rPr>
          <w:rFonts w:hint="eastAsia" w:ascii="宋体" w:hAnsi="宋体"/>
          <w:color w:val="auto"/>
          <w:sz w:val="24"/>
          <w:szCs w:val="24"/>
          <w:highlight w:val="none"/>
        </w:rPr>
        <w:t>不论投标结果如何，投标人应承担</w:t>
      </w:r>
      <w:r>
        <w:rPr>
          <w:rFonts w:hint="eastAsia" w:ascii="宋体" w:hAnsi="宋体"/>
          <w:bCs/>
          <w:color w:val="auto"/>
          <w:sz w:val="24"/>
          <w:szCs w:val="24"/>
          <w:highlight w:val="none"/>
        </w:rPr>
        <w:t>自身</w:t>
      </w:r>
      <w:r>
        <w:rPr>
          <w:rFonts w:hint="eastAsia" w:ascii="宋体" w:hAnsi="宋体"/>
          <w:color w:val="auto"/>
          <w:sz w:val="24"/>
          <w:szCs w:val="24"/>
          <w:highlight w:val="none"/>
        </w:rPr>
        <w:t>因投标文件编制、递交及其他</w:t>
      </w:r>
      <w:r>
        <w:rPr>
          <w:rFonts w:hint="eastAsia" w:ascii="宋体" w:hAnsi="宋体"/>
          <w:bCs/>
          <w:color w:val="auto"/>
          <w:sz w:val="24"/>
          <w:szCs w:val="24"/>
          <w:highlight w:val="none"/>
        </w:rPr>
        <w:t>参加本招标活动</w:t>
      </w:r>
      <w:r>
        <w:rPr>
          <w:rFonts w:hint="eastAsia" w:ascii="宋体" w:hAnsi="宋体"/>
          <w:color w:val="auto"/>
          <w:sz w:val="24"/>
          <w:szCs w:val="24"/>
          <w:highlight w:val="none"/>
        </w:rPr>
        <w:t>所涉及的一切费用，招标人对上述费用不负任何责任。</w:t>
      </w:r>
    </w:p>
    <w:p>
      <w:pPr>
        <w:widowControl/>
        <w:spacing w:before="100" w:beforeAutospacing="1" w:after="100" w:afterAutospacing="1" w:line="360" w:lineRule="auto"/>
        <w:jc w:val="left"/>
        <w:outlineLvl w:val="2"/>
        <w:rPr>
          <w:rFonts w:ascii="宋体" w:hAnsi="宋体" w:cs="宋体"/>
          <w:color w:val="auto"/>
          <w:kern w:val="0"/>
          <w:sz w:val="24"/>
          <w:szCs w:val="24"/>
          <w:highlight w:val="none"/>
        </w:rPr>
      </w:pPr>
      <w:bookmarkStart w:id="30" w:name="_Toc2272550"/>
      <w:bookmarkStart w:id="31" w:name="_Toc29668"/>
      <w:bookmarkStart w:id="32" w:name="_Toc21925"/>
      <w:bookmarkStart w:id="33" w:name="_Toc58838572"/>
      <w:bookmarkStart w:id="34" w:name="_Toc27738"/>
      <w:bookmarkStart w:id="35" w:name="_Toc2915"/>
      <w:bookmarkStart w:id="36" w:name="_Toc112397810"/>
      <w:r>
        <w:rPr>
          <w:rFonts w:hint="eastAsia" w:ascii="宋体" w:hAnsi="宋体" w:cs="宋体"/>
          <w:color w:val="auto"/>
          <w:kern w:val="0"/>
          <w:sz w:val="24"/>
          <w:szCs w:val="24"/>
          <w:highlight w:val="none"/>
        </w:rPr>
        <w:t>（二）招标文件</w:t>
      </w:r>
      <w:bookmarkEnd w:id="30"/>
      <w:bookmarkEnd w:id="31"/>
      <w:bookmarkEnd w:id="32"/>
      <w:bookmarkEnd w:id="33"/>
      <w:bookmarkEnd w:id="34"/>
      <w:bookmarkEnd w:id="35"/>
      <w:bookmarkEnd w:id="36"/>
    </w:p>
    <w:p>
      <w:pPr>
        <w:tabs>
          <w:tab w:val="left" w:pos="105"/>
        </w:tabs>
        <w:spacing w:line="360" w:lineRule="auto"/>
        <w:ind w:firstLine="482" w:firstLineChars="200"/>
        <w:rPr>
          <w:rFonts w:ascii="宋体" w:hAnsi="宋体"/>
          <w:b/>
          <w:color w:val="auto"/>
          <w:sz w:val="24"/>
          <w:szCs w:val="24"/>
          <w:highlight w:val="none"/>
        </w:rPr>
      </w:pPr>
      <w:r>
        <w:rPr>
          <w:rFonts w:ascii="宋体" w:hAnsi="宋体"/>
          <w:b/>
          <w:color w:val="auto"/>
          <w:sz w:val="24"/>
          <w:szCs w:val="24"/>
          <w:highlight w:val="none"/>
        </w:rPr>
        <w:t>7.</w:t>
      </w:r>
      <w:r>
        <w:rPr>
          <w:rFonts w:hint="eastAsia" w:ascii="宋体" w:hAnsi="宋体"/>
          <w:b/>
          <w:color w:val="auto"/>
          <w:sz w:val="24"/>
          <w:szCs w:val="24"/>
          <w:highlight w:val="none"/>
        </w:rPr>
        <w:t>招标文件的组成</w:t>
      </w:r>
    </w:p>
    <w:p>
      <w:pPr>
        <w:spacing w:line="360" w:lineRule="auto"/>
        <w:ind w:firstLine="480" w:firstLineChars="200"/>
        <w:rPr>
          <w:rFonts w:ascii="宋体" w:hAnsi="宋体"/>
          <w:color w:val="auto"/>
          <w:sz w:val="24"/>
          <w:szCs w:val="24"/>
          <w:highlight w:val="none"/>
        </w:rPr>
      </w:pPr>
      <w:r>
        <w:rPr>
          <w:rFonts w:ascii="宋体" w:hAnsi="宋体"/>
          <w:bCs/>
          <w:color w:val="auto"/>
          <w:sz w:val="24"/>
          <w:szCs w:val="24"/>
          <w:highlight w:val="none"/>
        </w:rPr>
        <w:t>7.1</w:t>
      </w:r>
      <w:r>
        <w:rPr>
          <w:rFonts w:hint="eastAsia" w:ascii="宋体" w:hAnsi="宋体"/>
          <w:color w:val="auto"/>
          <w:sz w:val="24"/>
          <w:szCs w:val="24"/>
          <w:highlight w:val="none"/>
        </w:rPr>
        <w:t>本招标文件包括下列文件，以及所有按本须知第</w:t>
      </w:r>
      <w:r>
        <w:rPr>
          <w:rFonts w:ascii="宋体" w:hAnsi="宋体"/>
          <w:color w:val="auto"/>
          <w:sz w:val="24"/>
          <w:szCs w:val="24"/>
          <w:highlight w:val="none"/>
        </w:rPr>
        <w:t>8</w:t>
      </w:r>
      <w:r>
        <w:rPr>
          <w:rFonts w:hint="eastAsia" w:ascii="宋体" w:hAnsi="宋体"/>
          <w:color w:val="auto"/>
          <w:sz w:val="24"/>
          <w:szCs w:val="24"/>
          <w:highlight w:val="none"/>
        </w:rPr>
        <w:t>条发出的招标答疑会会议纪要和按本须知第</w:t>
      </w:r>
      <w:r>
        <w:rPr>
          <w:rFonts w:ascii="宋体" w:hAnsi="宋体"/>
          <w:color w:val="auto"/>
          <w:sz w:val="24"/>
          <w:szCs w:val="24"/>
          <w:highlight w:val="none"/>
        </w:rPr>
        <w:t>9</w:t>
      </w:r>
      <w:r>
        <w:rPr>
          <w:rFonts w:hint="eastAsia" w:ascii="宋体" w:hAnsi="宋体"/>
          <w:color w:val="auto"/>
          <w:sz w:val="24"/>
          <w:szCs w:val="24"/>
          <w:highlight w:val="none"/>
        </w:rPr>
        <w:t>条发出的澄清或修改：</w:t>
      </w:r>
    </w:p>
    <w:p>
      <w:pPr>
        <w:spacing w:line="360" w:lineRule="auto"/>
        <w:ind w:left="-2" w:firstLine="480" w:firstLineChars="200"/>
        <w:rPr>
          <w:rFonts w:ascii="宋体" w:hAnsi="宋体"/>
          <w:color w:val="auto"/>
          <w:sz w:val="24"/>
          <w:szCs w:val="24"/>
          <w:highlight w:val="none"/>
        </w:rPr>
      </w:pPr>
      <w:r>
        <w:rPr>
          <w:rFonts w:hint="eastAsia" w:ascii="宋体" w:hAnsi="宋体"/>
          <w:bCs/>
          <w:color w:val="auto"/>
          <w:sz w:val="24"/>
          <w:szCs w:val="24"/>
          <w:highlight w:val="none"/>
        </w:rPr>
        <w:t>第一章</w:t>
      </w:r>
      <w:r>
        <w:rPr>
          <w:rFonts w:ascii="宋体" w:hAnsi="宋体"/>
          <w:bCs/>
          <w:color w:val="auto"/>
          <w:sz w:val="24"/>
          <w:szCs w:val="24"/>
          <w:highlight w:val="none"/>
        </w:rPr>
        <w:t xml:space="preserve">  </w:t>
      </w:r>
      <w:r>
        <w:rPr>
          <w:rFonts w:hint="eastAsia" w:ascii="宋体" w:hAnsi="宋体"/>
          <w:color w:val="auto"/>
          <w:sz w:val="24"/>
          <w:szCs w:val="24"/>
          <w:highlight w:val="none"/>
        </w:rPr>
        <w:t>投标须知</w:t>
      </w:r>
    </w:p>
    <w:p>
      <w:pPr>
        <w:spacing w:line="360" w:lineRule="auto"/>
        <w:ind w:left="-2" w:firstLine="480" w:firstLineChars="200"/>
        <w:rPr>
          <w:rFonts w:ascii="宋体" w:hAnsi="宋体"/>
          <w:color w:val="auto"/>
          <w:sz w:val="24"/>
          <w:szCs w:val="24"/>
          <w:highlight w:val="none"/>
        </w:rPr>
      </w:pPr>
      <w:r>
        <w:rPr>
          <w:rFonts w:hint="eastAsia" w:ascii="宋体" w:hAnsi="宋体"/>
          <w:bCs/>
          <w:color w:val="auto"/>
          <w:sz w:val="24"/>
          <w:szCs w:val="24"/>
          <w:highlight w:val="none"/>
        </w:rPr>
        <w:t>第二章</w:t>
      </w:r>
      <w:r>
        <w:rPr>
          <w:rFonts w:ascii="宋体" w:hAnsi="宋体"/>
          <w:bCs/>
          <w:color w:val="auto"/>
          <w:sz w:val="24"/>
          <w:szCs w:val="24"/>
          <w:highlight w:val="none"/>
        </w:rPr>
        <w:t xml:space="preserve">  </w:t>
      </w:r>
      <w:r>
        <w:rPr>
          <w:rFonts w:hint="eastAsia" w:ascii="宋体" w:hAnsi="宋体"/>
          <w:color w:val="auto"/>
          <w:sz w:val="24"/>
          <w:szCs w:val="24"/>
          <w:highlight w:val="none"/>
        </w:rPr>
        <w:t>开标、评标及定标办法</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第三章</w:t>
      </w:r>
      <w:r>
        <w:rPr>
          <w:rFonts w:ascii="宋体" w:hAnsi="宋体"/>
          <w:color w:val="auto"/>
          <w:sz w:val="24"/>
          <w:szCs w:val="24"/>
          <w:highlight w:val="none"/>
        </w:rPr>
        <w:t xml:space="preserve">  </w:t>
      </w:r>
      <w:r>
        <w:rPr>
          <w:rFonts w:hint="eastAsia" w:ascii="宋体" w:hAnsi="宋体"/>
          <w:color w:val="auto"/>
          <w:sz w:val="24"/>
          <w:szCs w:val="24"/>
          <w:highlight w:val="none"/>
        </w:rPr>
        <w:t>合同条款</w:t>
      </w:r>
    </w:p>
    <w:p>
      <w:pPr>
        <w:spacing w:line="360" w:lineRule="auto"/>
        <w:ind w:firstLine="480" w:firstLineChars="200"/>
        <w:rPr>
          <w:rFonts w:ascii="宋体" w:hAnsi="宋体"/>
          <w:color w:val="auto"/>
          <w:sz w:val="24"/>
          <w:szCs w:val="24"/>
          <w:highlight w:val="none"/>
        </w:rPr>
      </w:pPr>
      <w:r>
        <w:rPr>
          <w:rFonts w:hint="eastAsia" w:ascii="宋体" w:hAnsi="宋体"/>
          <w:bCs/>
          <w:color w:val="auto"/>
          <w:sz w:val="24"/>
          <w:szCs w:val="24"/>
          <w:highlight w:val="none"/>
        </w:rPr>
        <w:t>第四章</w:t>
      </w:r>
      <w:r>
        <w:rPr>
          <w:rFonts w:ascii="宋体" w:hAnsi="宋体"/>
          <w:bCs/>
          <w:color w:val="auto"/>
          <w:sz w:val="24"/>
          <w:szCs w:val="24"/>
          <w:highlight w:val="none"/>
        </w:rPr>
        <w:t xml:space="preserve">  </w:t>
      </w:r>
      <w:r>
        <w:rPr>
          <w:rFonts w:hint="eastAsia" w:ascii="宋体" w:hAnsi="宋体"/>
          <w:color w:val="auto"/>
          <w:sz w:val="24"/>
          <w:szCs w:val="24"/>
          <w:highlight w:val="none"/>
        </w:rPr>
        <w:t>投标文件格式</w:t>
      </w:r>
    </w:p>
    <w:p>
      <w:pPr>
        <w:spacing w:line="360" w:lineRule="auto"/>
        <w:ind w:left="-2" w:firstLine="480" w:firstLineChars="200"/>
        <w:rPr>
          <w:rFonts w:ascii="宋体" w:hAnsi="宋体"/>
          <w:color w:val="auto"/>
          <w:sz w:val="24"/>
          <w:szCs w:val="24"/>
          <w:highlight w:val="none"/>
        </w:rPr>
      </w:pPr>
      <w:r>
        <w:rPr>
          <w:rFonts w:hint="eastAsia" w:ascii="宋体" w:hAnsi="宋体"/>
          <w:bCs/>
          <w:color w:val="auto"/>
          <w:sz w:val="24"/>
          <w:szCs w:val="24"/>
          <w:highlight w:val="none"/>
        </w:rPr>
        <w:t>第五章</w:t>
      </w:r>
      <w:r>
        <w:rPr>
          <w:rFonts w:ascii="宋体" w:hAnsi="宋体"/>
          <w:bCs/>
          <w:color w:val="auto"/>
          <w:sz w:val="24"/>
          <w:szCs w:val="24"/>
          <w:highlight w:val="none"/>
        </w:rPr>
        <w:t xml:space="preserve">  </w:t>
      </w:r>
      <w:r>
        <w:rPr>
          <w:rFonts w:hint="eastAsia" w:ascii="宋体" w:hAnsi="宋体"/>
          <w:color w:val="auto"/>
          <w:sz w:val="24"/>
          <w:szCs w:val="24"/>
          <w:highlight w:val="none"/>
        </w:rPr>
        <w:t>技术条件（工程建设标准）（另册）</w:t>
      </w:r>
    </w:p>
    <w:p>
      <w:pPr>
        <w:spacing w:line="360" w:lineRule="auto"/>
        <w:ind w:left="-2" w:firstLine="480" w:firstLineChars="200"/>
        <w:rPr>
          <w:rFonts w:ascii="宋体" w:hAnsi="宋体"/>
          <w:color w:val="auto"/>
          <w:sz w:val="24"/>
          <w:szCs w:val="24"/>
          <w:highlight w:val="none"/>
        </w:rPr>
      </w:pPr>
      <w:r>
        <w:rPr>
          <w:rFonts w:hint="eastAsia" w:ascii="宋体" w:hAnsi="宋体"/>
          <w:bCs/>
          <w:color w:val="auto"/>
          <w:sz w:val="24"/>
          <w:szCs w:val="24"/>
          <w:highlight w:val="none"/>
        </w:rPr>
        <w:t>第六章</w:t>
      </w:r>
      <w:r>
        <w:rPr>
          <w:rFonts w:ascii="宋体" w:hAnsi="宋体"/>
          <w:bCs/>
          <w:color w:val="auto"/>
          <w:sz w:val="24"/>
          <w:szCs w:val="24"/>
          <w:highlight w:val="none"/>
        </w:rPr>
        <w:t xml:space="preserve">  </w:t>
      </w:r>
      <w:r>
        <w:rPr>
          <w:rFonts w:hint="eastAsia" w:ascii="宋体" w:hAnsi="宋体"/>
          <w:color w:val="auto"/>
          <w:sz w:val="24"/>
          <w:szCs w:val="24"/>
          <w:highlight w:val="none"/>
        </w:rPr>
        <w:t>图纸及勘察资料（另册）</w:t>
      </w:r>
    </w:p>
    <w:p>
      <w:pPr>
        <w:spacing w:line="360" w:lineRule="auto"/>
        <w:ind w:left="-2" w:firstLine="480" w:firstLineChars="200"/>
        <w:rPr>
          <w:rFonts w:ascii="宋体" w:hAnsi="宋体"/>
          <w:color w:val="auto"/>
          <w:sz w:val="24"/>
          <w:szCs w:val="24"/>
          <w:highlight w:val="none"/>
        </w:rPr>
      </w:pPr>
      <w:r>
        <w:rPr>
          <w:rFonts w:hint="eastAsia" w:ascii="宋体" w:hAnsi="宋体"/>
          <w:bCs/>
          <w:color w:val="auto"/>
          <w:sz w:val="24"/>
          <w:szCs w:val="24"/>
          <w:highlight w:val="none"/>
        </w:rPr>
        <w:t>第七章</w:t>
      </w:r>
      <w:r>
        <w:rPr>
          <w:rFonts w:ascii="宋体" w:hAnsi="宋体"/>
          <w:bCs/>
          <w:color w:val="auto"/>
          <w:sz w:val="24"/>
          <w:szCs w:val="24"/>
          <w:highlight w:val="none"/>
        </w:rPr>
        <w:t xml:space="preserve">  </w:t>
      </w:r>
      <w:r>
        <w:rPr>
          <w:rFonts w:hint="eastAsia" w:ascii="宋体" w:hAnsi="宋体"/>
          <w:bCs/>
          <w:color w:val="auto"/>
          <w:sz w:val="24"/>
          <w:szCs w:val="24"/>
          <w:highlight w:val="none"/>
        </w:rPr>
        <w:t>招标</w:t>
      </w:r>
      <w:r>
        <w:rPr>
          <w:rFonts w:hint="eastAsia" w:ascii="宋体" w:hAnsi="宋体"/>
          <w:color w:val="auto"/>
          <w:sz w:val="24"/>
          <w:szCs w:val="24"/>
          <w:highlight w:val="none"/>
        </w:rPr>
        <w:t>工程量清单（另册）</w:t>
      </w:r>
    </w:p>
    <w:p>
      <w:pPr>
        <w:spacing w:line="360" w:lineRule="auto"/>
        <w:ind w:left="-2" w:firstLine="480" w:firstLineChars="200"/>
        <w:rPr>
          <w:rFonts w:ascii="宋体" w:hAnsi="宋体"/>
          <w:color w:val="auto"/>
          <w:sz w:val="24"/>
          <w:szCs w:val="24"/>
          <w:highlight w:val="none"/>
        </w:rPr>
      </w:pPr>
      <w:r>
        <w:rPr>
          <w:rFonts w:hint="eastAsia" w:ascii="宋体" w:hAnsi="宋体"/>
          <w:color w:val="auto"/>
          <w:sz w:val="24"/>
          <w:szCs w:val="24"/>
          <w:highlight w:val="none"/>
        </w:rPr>
        <w:t>第八章</w:t>
      </w:r>
      <w:r>
        <w:rPr>
          <w:rFonts w:ascii="宋体" w:hAnsi="宋体"/>
          <w:color w:val="auto"/>
          <w:sz w:val="24"/>
          <w:szCs w:val="24"/>
          <w:highlight w:val="none"/>
        </w:rPr>
        <w:t xml:space="preserve">  </w:t>
      </w:r>
      <w:r>
        <w:rPr>
          <w:rFonts w:hint="eastAsia" w:ascii="宋体" w:hAnsi="宋体"/>
          <w:color w:val="auto"/>
          <w:sz w:val="24"/>
          <w:szCs w:val="24"/>
          <w:highlight w:val="none"/>
        </w:rPr>
        <w:t>最高投标限价</w:t>
      </w:r>
    </w:p>
    <w:p>
      <w:pPr>
        <w:spacing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注：招标人应在技术条件（工程建设标准）中明确施工现场建筑垃圾源头减量的具体要求和建筑垃圾综合利用产品的使用要求。</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7.2 </w:t>
      </w:r>
      <w:r>
        <w:rPr>
          <w:rFonts w:hint="eastAsia" w:ascii="宋体" w:hAnsi="宋体"/>
          <w:color w:val="auto"/>
          <w:sz w:val="24"/>
          <w:szCs w:val="24"/>
          <w:highlight w:val="none"/>
        </w:rPr>
        <w:t>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通过修改或撤消其不符合要求的差异或保留使之成为具有响应性的投标文件。</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7.3 </w:t>
      </w:r>
      <w:r>
        <w:rPr>
          <w:rFonts w:hint="eastAsia" w:ascii="宋体" w:hAnsi="宋体"/>
          <w:color w:val="auto"/>
          <w:sz w:val="24"/>
          <w:szCs w:val="24"/>
          <w:highlight w:val="none"/>
        </w:rPr>
        <w:t>投标人一旦中标，招标文件的内容对招标人和中标人双方均有约束力。</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8</w:t>
      </w:r>
      <w:r>
        <w:rPr>
          <w:rFonts w:hint="eastAsia" w:ascii="宋体" w:hAnsi="宋体"/>
          <w:b/>
          <w:bCs/>
          <w:color w:val="auto"/>
          <w:sz w:val="24"/>
          <w:szCs w:val="24"/>
          <w:highlight w:val="none"/>
        </w:rPr>
        <w:t>．招标答疑</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8.1 </w:t>
      </w:r>
      <w:r>
        <w:rPr>
          <w:rFonts w:hint="eastAsia" w:ascii="宋体" w:hAnsi="宋体"/>
          <w:color w:val="auto"/>
          <w:sz w:val="24"/>
          <w:szCs w:val="24"/>
          <w:highlight w:val="none"/>
        </w:rPr>
        <w:t>投标人若对招标文件（包括招标图纸）中有疑问，可以书面形式通过</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交易平台提交给招标人或招标代理人，提交形式见本须知前附表第</w:t>
      </w:r>
      <w:r>
        <w:rPr>
          <w:rFonts w:ascii="宋体" w:hAnsi="宋体"/>
          <w:color w:val="auto"/>
          <w:sz w:val="24"/>
          <w:szCs w:val="24"/>
          <w:highlight w:val="none"/>
        </w:rPr>
        <w:t>16</w:t>
      </w:r>
      <w:r>
        <w:rPr>
          <w:rFonts w:hint="eastAsia" w:ascii="宋体" w:hAnsi="宋体"/>
          <w:color w:val="auto"/>
          <w:sz w:val="24"/>
          <w:szCs w:val="24"/>
          <w:highlight w:val="none"/>
        </w:rPr>
        <w:t>项。</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8.2</w:t>
      </w:r>
      <w:r>
        <w:rPr>
          <w:rFonts w:hint="eastAsia" w:ascii="宋体" w:hAnsi="宋体"/>
          <w:color w:val="auto"/>
          <w:sz w:val="24"/>
          <w:szCs w:val="24"/>
          <w:highlight w:val="none"/>
        </w:rPr>
        <w:t>招标答疑会会议纪要将在提交投标文件截止时间</w:t>
      </w:r>
      <w:r>
        <w:rPr>
          <w:rFonts w:ascii="宋体" w:hAnsi="宋体"/>
          <w:color w:val="auto"/>
          <w:sz w:val="24"/>
          <w:szCs w:val="24"/>
          <w:highlight w:val="none"/>
        </w:rPr>
        <w:t>15日前在</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交易平台“项目答疑纪要”专区公开发布。答疑纪要一经在</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交易平台发布，视作已发放给所有投标人。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8.3</w:t>
      </w:r>
      <w:r>
        <w:rPr>
          <w:rFonts w:hint="eastAsia" w:ascii="宋体" w:hAnsi="宋体"/>
          <w:color w:val="auto"/>
          <w:sz w:val="24"/>
          <w:szCs w:val="24"/>
          <w:highlight w:val="none"/>
        </w:rPr>
        <w:t>答疑会会议纪要为招标文件的一部分。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8.4</w:t>
      </w:r>
      <w:r>
        <w:rPr>
          <w:rFonts w:hint="eastAsia" w:ascii="宋体" w:hAnsi="宋体"/>
          <w:color w:val="auto"/>
          <w:sz w:val="24"/>
          <w:szCs w:val="24"/>
          <w:highlight w:val="none"/>
        </w:rPr>
        <w:t>若招标答疑会会议纪要与招标文件有矛盾，以答疑会议纪要最后发出的书面形式的文件为准。</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9.</w:t>
      </w:r>
      <w:r>
        <w:rPr>
          <w:rFonts w:hint="eastAsia" w:ascii="宋体" w:hAnsi="宋体"/>
          <w:b/>
          <w:bCs/>
          <w:color w:val="auto"/>
          <w:sz w:val="24"/>
          <w:szCs w:val="24"/>
          <w:highlight w:val="none"/>
        </w:rPr>
        <w:t>招标文件的澄清与修改</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9.1</w:t>
      </w:r>
      <w:r>
        <w:rPr>
          <w:rFonts w:hint="eastAsia" w:ascii="宋体" w:hAnsi="宋体"/>
          <w:color w:val="auto"/>
          <w:sz w:val="24"/>
          <w:szCs w:val="24"/>
          <w:highlight w:val="none"/>
        </w:rPr>
        <w:t>招标文件发出后</w:t>
      </w:r>
      <w:r>
        <w:rPr>
          <w:rFonts w:ascii="宋体" w:hAnsi="宋体"/>
          <w:color w:val="auto"/>
          <w:sz w:val="24"/>
          <w:szCs w:val="24"/>
          <w:highlight w:val="none"/>
        </w:rPr>
        <w:t>,</w:t>
      </w:r>
      <w:r>
        <w:rPr>
          <w:rFonts w:hint="eastAsia" w:ascii="宋体" w:hAnsi="宋体"/>
          <w:color w:val="auto"/>
          <w:sz w:val="24"/>
          <w:szCs w:val="24"/>
          <w:highlight w:val="none"/>
        </w:rPr>
        <w:t>在提交投标文件截止时间</w:t>
      </w:r>
      <w:r>
        <w:rPr>
          <w:rFonts w:ascii="宋体" w:hAnsi="宋体"/>
          <w:color w:val="auto"/>
          <w:sz w:val="24"/>
          <w:szCs w:val="24"/>
          <w:highlight w:val="none"/>
        </w:rPr>
        <w:t>15日前，招标人可对招标文件进行必要的澄清或修改。</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9.2</w:t>
      </w:r>
      <w:r>
        <w:rPr>
          <w:rFonts w:hint="eastAsia" w:ascii="宋体" w:hAnsi="宋体"/>
          <w:color w:val="auto"/>
          <w:sz w:val="24"/>
          <w:szCs w:val="24"/>
          <w:highlight w:val="none"/>
        </w:rPr>
        <w:t>招标文件的澄清或修改将在</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交易平台“项目答疑纪要”专区公开发布。答疑纪要一经在</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交易平台发布，视作已发放给所有投标人，以</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交易平台上网发布时间作为送达时间。</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9.3</w:t>
      </w:r>
      <w:r>
        <w:rPr>
          <w:rFonts w:hint="eastAsia" w:ascii="宋体" w:hAnsi="宋体"/>
          <w:color w:val="auto"/>
          <w:sz w:val="24"/>
          <w:szCs w:val="24"/>
          <w:highlight w:val="none"/>
        </w:rPr>
        <w:t>招标文件的修改内容为招标文件的组成部分。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9.4</w:t>
      </w:r>
      <w:r>
        <w:rPr>
          <w:rFonts w:hint="eastAsia" w:ascii="宋体" w:hAnsi="宋体"/>
          <w:color w:val="auto"/>
          <w:sz w:val="24"/>
          <w:szCs w:val="24"/>
          <w:highlight w:val="none"/>
        </w:rPr>
        <w:t>招标文件的澄清或修改均以书面形式明确的内容为准。当招标文件的澄清、修改、补充等在同一内容的表述不一致时，以最后发出的书面形式的文件为准。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9.5</w:t>
      </w:r>
      <w:r>
        <w:rPr>
          <w:rFonts w:hint="eastAsia" w:ascii="宋体" w:hAnsi="宋体"/>
          <w:color w:val="auto"/>
          <w:sz w:val="24"/>
          <w:szCs w:val="24"/>
          <w:highlight w:val="none"/>
        </w:rPr>
        <w:t>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pPr>
        <w:widowControl/>
        <w:spacing w:before="100" w:beforeAutospacing="1" w:after="100" w:afterAutospacing="1" w:line="360" w:lineRule="auto"/>
        <w:jc w:val="left"/>
        <w:outlineLvl w:val="2"/>
        <w:rPr>
          <w:rFonts w:ascii="宋体" w:hAnsi="宋体" w:cs="宋体"/>
          <w:color w:val="auto"/>
          <w:kern w:val="0"/>
          <w:sz w:val="24"/>
          <w:szCs w:val="24"/>
          <w:highlight w:val="none"/>
        </w:rPr>
      </w:pPr>
      <w:bookmarkStart w:id="37" w:name="_Toc9334"/>
      <w:bookmarkStart w:id="38" w:name="_Toc112397811"/>
      <w:bookmarkStart w:id="39" w:name="_Toc1198"/>
      <w:bookmarkStart w:id="40" w:name="_Toc58838573"/>
      <w:bookmarkStart w:id="41" w:name="_Toc832"/>
      <w:bookmarkStart w:id="42" w:name="_Toc7093"/>
      <w:bookmarkStart w:id="43" w:name="_Toc2272551"/>
      <w:r>
        <w:rPr>
          <w:rFonts w:hint="eastAsia" w:ascii="宋体" w:hAnsi="宋体" w:cs="宋体"/>
          <w:color w:val="auto"/>
          <w:kern w:val="0"/>
          <w:sz w:val="24"/>
          <w:szCs w:val="24"/>
          <w:highlight w:val="none"/>
        </w:rPr>
        <w:t>（三）投标文件的编制</w:t>
      </w:r>
      <w:bookmarkEnd w:id="37"/>
      <w:bookmarkEnd w:id="38"/>
      <w:bookmarkEnd w:id="39"/>
      <w:bookmarkEnd w:id="40"/>
      <w:bookmarkEnd w:id="41"/>
      <w:bookmarkEnd w:id="42"/>
      <w:bookmarkEnd w:id="43"/>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10</w:t>
      </w:r>
      <w:r>
        <w:rPr>
          <w:rFonts w:hint="eastAsia" w:ascii="宋体" w:hAnsi="宋体"/>
          <w:b/>
          <w:bCs/>
          <w:color w:val="auto"/>
          <w:sz w:val="24"/>
          <w:szCs w:val="24"/>
          <w:highlight w:val="none"/>
        </w:rPr>
        <w:t>．投标文件的语言及度量衡单位</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10.1 </w:t>
      </w:r>
      <w:r>
        <w:rPr>
          <w:rFonts w:hint="eastAsia" w:ascii="宋体" w:hAnsi="宋体"/>
          <w:color w:val="auto"/>
          <w:sz w:val="24"/>
          <w:szCs w:val="24"/>
          <w:highlight w:val="none"/>
        </w:rPr>
        <w:t>投标文件和与投标有关的所有文件均应使用中文。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10.2 </w:t>
      </w:r>
      <w:r>
        <w:rPr>
          <w:rFonts w:hint="eastAsia" w:ascii="宋体" w:hAnsi="宋体"/>
          <w:color w:val="auto"/>
          <w:sz w:val="24"/>
          <w:szCs w:val="24"/>
          <w:highlight w:val="none"/>
        </w:rPr>
        <w:t>除工程规范另有规定外，投标文件使用的度量衡单位，均采用中华人民共和国法定计量单位。</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11</w:t>
      </w:r>
      <w:r>
        <w:rPr>
          <w:rFonts w:hint="eastAsia" w:ascii="宋体" w:hAnsi="宋体"/>
          <w:b/>
          <w:bCs/>
          <w:color w:val="auto"/>
          <w:sz w:val="24"/>
          <w:szCs w:val="24"/>
          <w:highlight w:val="none"/>
        </w:rPr>
        <w:t>．投标文件的组成</w:t>
      </w:r>
    </w:p>
    <w:p>
      <w:pPr>
        <w:spacing w:line="360" w:lineRule="auto"/>
        <w:ind w:firstLine="480" w:firstLineChars="200"/>
        <w:rPr>
          <w:rFonts w:ascii="宋体" w:hAnsi="宋体"/>
          <w:b/>
          <w:color w:val="auto"/>
          <w:sz w:val="24"/>
          <w:szCs w:val="24"/>
          <w:highlight w:val="none"/>
        </w:rPr>
      </w:pPr>
      <w:r>
        <w:rPr>
          <w:rFonts w:ascii="宋体" w:hAnsi="宋体"/>
          <w:color w:val="auto"/>
          <w:sz w:val="24"/>
          <w:szCs w:val="24"/>
          <w:highlight w:val="none"/>
        </w:rPr>
        <w:t xml:space="preserve">11.1 </w:t>
      </w:r>
      <w:r>
        <w:rPr>
          <w:rFonts w:hint="eastAsia" w:ascii="宋体" w:hAnsi="宋体"/>
          <w:color w:val="auto"/>
          <w:sz w:val="24"/>
          <w:szCs w:val="24"/>
          <w:highlight w:val="none"/>
        </w:rPr>
        <w:t>投标文件由技术部分（含资格审查文件）和经济部分二部分投标文件组成</w:t>
      </w:r>
      <w:r>
        <w:rPr>
          <w:rFonts w:hint="eastAsia" w:ascii="宋体" w:hAnsi="宋体"/>
          <w:b w:val="0"/>
          <w:bCs/>
          <w:color w:val="auto"/>
          <w:sz w:val="24"/>
          <w:szCs w:val="24"/>
          <w:highlight w:val="none"/>
        </w:rPr>
        <w:t>。</w:t>
      </w:r>
    </w:p>
    <w:p>
      <w:pPr>
        <w:spacing w:line="360" w:lineRule="auto"/>
        <w:ind w:firstLine="480" w:firstLineChars="200"/>
        <w:rPr>
          <w:rFonts w:hint="eastAsia" w:ascii="宋体" w:hAnsi="宋体" w:eastAsia="宋体"/>
          <w:bCs/>
          <w:color w:val="auto"/>
          <w:sz w:val="24"/>
          <w:szCs w:val="24"/>
          <w:highlight w:val="none"/>
          <w:lang w:eastAsia="zh-CN"/>
        </w:rPr>
      </w:pPr>
      <w:r>
        <w:rPr>
          <w:rFonts w:ascii="宋体" w:hAnsi="宋体"/>
          <w:bCs/>
          <w:color w:val="auto"/>
          <w:sz w:val="24"/>
          <w:szCs w:val="24"/>
          <w:highlight w:val="none"/>
        </w:rPr>
        <w:t>11.2</w:t>
      </w:r>
      <w:r>
        <w:rPr>
          <w:rFonts w:hint="eastAsia" w:ascii="宋体" w:hAnsi="宋体"/>
          <w:bCs/>
          <w:color w:val="auto"/>
          <w:sz w:val="24"/>
          <w:szCs w:val="24"/>
          <w:highlight w:val="none"/>
        </w:rPr>
        <w:t>投标文件技术标部分主要包括下列内容</w:t>
      </w:r>
      <w:r>
        <w:rPr>
          <w:rFonts w:hint="eastAsia" w:ascii="宋体" w:hAnsi="宋体"/>
          <w:bCs/>
          <w:color w:val="auto"/>
          <w:sz w:val="24"/>
          <w:szCs w:val="24"/>
          <w:highlight w:val="none"/>
          <w:lang w:eastAsia="zh-CN"/>
        </w:rPr>
        <w:t>：</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 xml:space="preserve">11.2.1 </w:t>
      </w:r>
      <w:r>
        <w:rPr>
          <w:rFonts w:hint="eastAsia" w:ascii="宋体" w:hAnsi="宋体"/>
          <w:bCs/>
          <w:color w:val="auto"/>
          <w:sz w:val="24"/>
          <w:szCs w:val="24"/>
          <w:highlight w:val="none"/>
        </w:rPr>
        <w:t>技术投标文件</w:t>
      </w:r>
      <w:r>
        <w:rPr>
          <w:rFonts w:ascii="宋体" w:hAnsi="宋体"/>
          <w:color w:val="auto"/>
          <w:sz w:val="24"/>
          <w:szCs w:val="24"/>
          <w:highlight w:val="none"/>
        </w:rPr>
        <w:t>(</w:t>
      </w:r>
      <w:r>
        <w:rPr>
          <w:rFonts w:hint="eastAsia" w:ascii="宋体" w:hAnsi="宋体"/>
          <w:color w:val="auto"/>
          <w:sz w:val="24"/>
          <w:szCs w:val="24"/>
          <w:highlight w:val="none"/>
        </w:rPr>
        <w:t>按招标文件的要求填写</w:t>
      </w:r>
      <w:r>
        <w:rPr>
          <w:rFonts w:ascii="宋体" w:hAnsi="宋体"/>
          <w:color w:val="auto"/>
          <w:sz w:val="24"/>
          <w:szCs w:val="24"/>
          <w:highlight w:val="none"/>
        </w:rPr>
        <w:t>)</w:t>
      </w:r>
      <w:r>
        <w:rPr>
          <w:rFonts w:hint="eastAsia" w:ascii="宋体" w:hAnsi="宋体"/>
          <w:bCs/>
          <w:color w:val="auto"/>
          <w:sz w:val="24"/>
          <w:szCs w:val="24"/>
          <w:highlight w:val="none"/>
        </w:rPr>
        <w:t>；</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 xml:space="preserve">11.2.2 </w:t>
      </w:r>
      <w:r>
        <w:rPr>
          <w:rFonts w:hint="eastAsia" w:ascii="宋体" w:hAnsi="宋体"/>
          <w:bCs/>
          <w:color w:val="auto"/>
          <w:sz w:val="24"/>
          <w:szCs w:val="24"/>
          <w:highlight w:val="none"/>
        </w:rPr>
        <w:t>资格审查文件：</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 xml:space="preserve">1）投标人声明； </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2）法定代表人证明书、法定代表人签字或盖章的本投标文件授权委托证明书；</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3）企业营业执照（取自平台内上传件）；</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4）企业资质证书（取自平台内上传件）；</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5）建筑施工企业安全生产许可证（取自平台内上传件）；</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6）项目负责人（按网上投标登记时选择拟投标的项目负责人）</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7）专职安全员（按网上投标登记时选择拟投标的专职安全员）</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8）拟委托技术负责人的相关证书、资料（具体要求由招标人明确）</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 xml:space="preserve">9）拟委派项目负责人的建造师注册证书（取自平台内上传件）； </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10）项目负责人安全生产考核合格证明或在有效期内的安全考核合格证书（B类）或建筑施工企业项目负责人安全生产考核合格证书（取自平台内上传件）；</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11）专职安全员须具有在有效期内的安全考核合格证书（C类）或建筑施工企业专职安全生产管理人员安全生产考核合格证书（取自平台内上传件）；</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12）用于资格审查的业绩（设置业绩要求时选择此项，投标人</w:t>
      </w:r>
      <w:r>
        <w:rPr>
          <w:rFonts w:hint="eastAsia" w:ascii="宋体" w:hAnsi="宋体"/>
          <w:color w:val="auto"/>
          <w:sz w:val="24"/>
          <w:szCs w:val="24"/>
          <w:highlight w:val="none"/>
        </w:rPr>
        <w:t>须提供类似工程业绩的项目名称及项目编号，具体格式由招标人自定</w:t>
      </w:r>
      <w:r>
        <w:rPr>
          <w:rFonts w:hint="eastAsia" w:ascii="宋体" w:hAnsi="宋体"/>
          <w:bCs/>
          <w:color w:val="auto"/>
          <w:sz w:val="24"/>
          <w:szCs w:val="24"/>
          <w:highlight w:val="none"/>
        </w:rPr>
        <w:t>）；</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13）资格审查前，投标人须在广州市住房和城乡建设局建立企业信用档案，拟担任本工程项目负责人、专职安全员须是本企业信用档案中的在册人员</w:t>
      </w:r>
      <w:r>
        <w:rPr>
          <w:rFonts w:hint="eastAsia" w:ascii="宋体" w:hAnsi="宋体"/>
          <w:bCs/>
          <w:color w:val="auto"/>
          <w:sz w:val="24"/>
          <w:szCs w:val="24"/>
          <w:highlight w:val="none"/>
        </w:rPr>
        <w:t>；</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 xml:space="preserve">14）列明主办单位的联合体工作协议（采用联合体投标时需递交，投标人拟任本工程项目负责人、专职安全员应为联合体主办方信用档案中的在册人员，联合体工作协议应明确约定各方拟承担的工作和责任）； </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15）</w:t>
      </w:r>
      <w:r>
        <w:rPr>
          <w:rFonts w:hint="eastAsia" w:ascii="宋体" w:hAnsi="宋体"/>
          <w:color w:val="auto"/>
          <w:sz w:val="24"/>
          <w:szCs w:val="24"/>
          <w:highlight w:val="none"/>
        </w:rPr>
        <w:t>投标人具有在广州地区可使用适合本工程的机械设备的证明文件（提供沥青摊铺机自有发票或权属证明及设备现场全貌彩照（彩照须能反映其规格型号））。（含有市政道路面层沥青摊铺且沥青摊铺占预计发包价</w:t>
      </w:r>
      <w:r>
        <w:rPr>
          <w:rFonts w:ascii="宋体" w:hAnsi="宋体"/>
          <w:color w:val="auto"/>
          <w:sz w:val="24"/>
          <w:szCs w:val="24"/>
          <w:highlight w:val="none"/>
        </w:rPr>
        <w:t>50%或以上的大、中修市政公用工程需提供该项内容的证明文件）。</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11.2.3</w:t>
      </w:r>
      <w:r>
        <w:rPr>
          <w:rFonts w:hint="eastAsia" w:ascii="宋体" w:hAnsi="宋体"/>
          <w:color w:val="auto"/>
          <w:sz w:val="24"/>
          <w:szCs w:val="24"/>
          <w:highlight w:val="none"/>
        </w:rPr>
        <w:t>项目管理机构配备。</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w:t>
      </w:r>
      <w:r>
        <w:rPr>
          <w:rFonts w:hint="eastAsia" w:ascii="宋体" w:hAnsi="宋体"/>
          <w:color w:val="auto"/>
          <w:sz w:val="24"/>
          <w:szCs w:val="24"/>
          <w:highlight w:val="none"/>
        </w:rPr>
        <w:t>）投标人应列出该项目工程的施工组织机构构成和画出机构框架图及其负责人；</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2</w:t>
      </w:r>
      <w:r>
        <w:rPr>
          <w:rFonts w:hint="eastAsia" w:ascii="宋体" w:hAnsi="宋体"/>
          <w:color w:val="auto"/>
          <w:sz w:val="24"/>
          <w:szCs w:val="24"/>
          <w:highlight w:val="none"/>
        </w:rPr>
        <w:t>）投标人应详细列出该施工组织机构中主要成员的名单、简历资料、职务职称和在本项目中拟担任的职务等资料，并附上有关证明材料扫描件；</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3</w:t>
      </w:r>
      <w:r>
        <w:rPr>
          <w:rFonts w:hint="eastAsia" w:ascii="宋体" w:hAnsi="宋体"/>
          <w:color w:val="auto"/>
          <w:sz w:val="24"/>
          <w:szCs w:val="24"/>
          <w:highlight w:val="none"/>
        </w:rPr>
        <w:t>）其他辅助说明资料。</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11.2.4</w:t>
      </w:r>
      <w:r>
        <w:rPr>
          <w:rFonts w:hint="eastAsia" w:ascii="宋体" w:hAnsi="宋体"/>
          <w:color w:val="auto"/>
          <w:sz w:val="24"/>
          <w:szCs w:val="24"/>
          <w:highlight w:val="none"/>
        </w:rPr>
        <w:t>投标人在广州市可使用适合本工程的机械设备（附：机械设备为自有或租赁的说明；及承诺机械设备如属于租赁的，其租赁是不属于重复租赁）。</w:t>
      </w:r>
    </w:p>
    <w:p>
      <w:pPr>
        <w:tabs>
          <w:tab w:val="left" w:pos="1125"/>
        </w:tabs>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11.2.5</w:t>
      </w:r>
      <w:r>
        <w:rPr>
          <w:rFonts w:hint="eastAsia" w:ascii="宋体" w:hAnsi="宋体"/>
          <w:color w:val="auto"/>
          <w:sz w:val="24"/>
          <w:szCs w:val="24"/>
          <w:highlight w:val="none"/>
        </w:rPr>
        <w:t>施工组织设计或施工方案。（投标人在编制施工组织设计或施工方案时应按照招标人提出的施工现场建筑垃圾源头减量的具体要求以及建筑垃圾综合利用产品的使用要求提供相应措施。）</w:t>
      </w:r>
    </w:p>
    <w:p>
      <w:pPr>
        <w:tabs>
          <w:tab w:val="left" w:pos="1125"/>
        </w:tabs>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11.2.6按照</w:t>
      </w:r>
      <w:r>
        <w:rPr>
          <w:rFonts w:hint="eastAsia" w:ascii="宋体" w:hAnsi="宋体"/>
          <w:bCs/>
          <w:color w:val="auto"/>
          <w:sz w:val="24"/>
          <w:szCs w:val="24"/>
          <w:highlight w:val="none"/>
        </w:rPr>
        <w:t>招标文件要求</w:t>
      </w:r>
      <w:r>
        <w:rPr>
          <w:rFonts w:hint="eastAsia" w:ascii="宋体" w:hAnsi="宋体"/>
          <w:color w:val="auto"/>
          <w:sz w:val="24"/>
          <w:szCs w:val="24"/>
          <w:highlight w:val="none"/>
        </w:rPr>
        <w:t>填写的《参与编制技术标投标文件人员名单》。</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 xml:space="preserve">11.3 </w:t>
      </w:r>
      <w:r>
        <w:rPr>
          <w:rFonts w:hint="eastAsia" w:ascii="宋体" w:hAnsi="宋体"/>
          <w:bCs/>
          <w:color w:val="auto"/>
          <w:sz w:val="24"/>
          <w:szCs w:val="24"/>
          <w:highlight w:val="none"/>
        </w:rPr>
        <w:t>经济部分投标文件主要包括下列内容：</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11.3.1 </w:t>
      </w:r>
      <w:r>
        <w:rPr>
          <w:rFonts w:hint="eastAsia" w:ascii="宋体" w:hAnsi="宋体"/>
          <w:color w:val="auto"/>
          <w:sz w:val="24"/>
          <w:szCs w:val="24"/>
          <w:highlight w:val="none"/>
        </w:rPr>
        <w:t>经济投标文件</w:t>
      </w:r>
      <w:r>
        <w:rPr>
          <w:rFonts w:ascii="宋体" w:hAnsi="宋体"/>
          <w:color w:val="auto"/>
          <w:sz w:val="24"/>
          <w:szCs w:val="24"/>
          <w:highlight w:val="none"/>
        </w:rPr>
        <w:t>(</w:t>
      </w:r>
      <w:r>
        <w:rPr>
          <w:rFonts w:hint="eastAsia" w:ascii="宋体" w:hAnsi="宋体"/>
          <w:color w:val="auto"/>
          <w:sz w:val="24"/>
          <w:szCs w:val="24"/>
          <w:highlight w:val="none"/>
        </w:rPr>
        <w:t>按招标文件的要求填写</w:t>
      </w:r>
      <w:r>
        <w:rPr>
          <w:rFonts w:ascii="宋体" w:hAnsi="宋体"/>
          <w:color w:val="auto"/>
          <w:sz w:val="24"/>
          <w:szCs w:val="24"/>
          <w:highlight w:val="none"/>
        </w:rPr>
        <w:t>)</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11.3.2</w:t>
      </w:r>
      <w:r>
        <w:rPr>
          <w:rFonts w:hint="eastAsia" w:ascii="宋体" w:hAnsi="宋体"/>
          <w:color w:val="auto"/>
          <w:sz w:val="24"/>
          <w:szCs w:val="24"/>
          <w:highlight w:val="none"/>
        </w:rPr>
        <w:t>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w:t>
      </w:r>
      <w:r>
        <w:rPr>
          <w:rFonts w:ascii="宋体" w:hAnsi="宋体"/>
          <w:color w:val="auto"/>
          <w:sz w:val="24"/>
          <w:szCs w:val="24"/>
          <w:highlight w:val="none"/>
        </w:rPr>
        <w:t xml:space="preserve"> </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w:t>
      </w:r>
      <w:r>
        <w:rPr>
          <w:rFonts w:hint="eastAsia" w:ascii="宋体" w:hAnsi="宋体"/>
          <w:color w:val="auto"/>
          <w:sz w:val="24"/>
          <w:szCs w:val="24"/>
          <w:highlight w:val="none"/>
        </w:rPr>
        <w:t>）投标总价封面、扉页；</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2</w:t>
      </w:r>
      <w:r>
        <w:rPr>
          <w:rFonts w:hint="eastAsia" w:ascii="宋体" w:hAnsi="宋体"/>
          <w:color w:val="auto"/>
          <w:sz w:val="24"/>
          <w:szCs w:val="24"/>
          <w:highlight w:val="none"/>
        </w:rPr>
        <w:t>）总说明</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3）工程项目投标报价汇总表；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4）单项工程投标报价汇总表；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5）单位工程投标报价汇总表；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6）分部分项工程清单与计价表；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7）单价措施项目清单与计价表；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8）总价措施项目清单与计价表；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9）综合单价分析表；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10）其他项目清单与计价汇总表；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11）暂列金额明细表；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12）材料（工程设备）暂估价明细表；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13）专业工程暂估价明细表；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14）计日工表；</w:t>
      </w:r>
    </w:p>
    <w:p>
      <w:pPr>
        <w:spacing w:line="360" w:lineRule="auto"/>
        <w:ind w:firstLine="564" w:firstLineChars="235"/>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15）总承包服务计价表；</w:t>
      </w:r>
    </w:p>
    <w:p>
      <w:pPr>
        <w:spacing w:line="360" w:lineRule="auto"/>
        <w:ind w:firstLine="564" w:firstLineChars="235"/>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16）规费和税金项目计价表；</w:t>
      </w:r>
    </w:p>
    <w:p>
      <w:pPr>
        <w:spacing w:line="360" w:lineRule="auto"/>
        <w:ind w:firstLine="564" w:firstLineChars="235"/>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17）人工、主要材料和设备一览表</w:t>
      </w:r>
    </w:p>
    <w:p>
      <w:pPr>
        <w:tabs>
          <w:tab w:val="left" w:pos="1125"/>
        </w:tabs>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11.3.3按照</w:t>
      </w:r>
      <w:r>
        <w:rPr>
          <w:rFonts w:hint="eastAsia" w:ascii="宋体" w:hAnsi="宋体"/>
          <w:bCs/>
          <w:color w:val="auto"/>
          <w:sz w:val="24"/>
          <w:szCs w:val="24"/>
          <w:highlight w:val="none"/>
        </w:rPr>
        <w:t>招标文件要求</w:t>
      </w:r>
      <w:r>
        <w:rPr>
          <w:rFonts w:hint="eastAsia" w:ascii="宋体" w:hAnsi="宋体"/>
          <w:color w:val="auto"/>
          <w:sz w:val="24"/>
          <w:szCs w:val="24"/>
          <w:highlight w:val="none"/>
        </w:rPr>
        <w:t>填写的《参与编制经济标投标文件人员名单》。</w:t>
      </w:r>
    </w:p>
    <w:p>
      <w:pPr>
        <w:tabs>
          <w:tab w:val="left" w:pos="1125"/>
        </w:tabs>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11.3.4若投标人的投标报价低于工程成本警戒价的，投标人还须提供详细的施工组织设计、单价、措施性费用、单价分析表、主要材料价格表、投标人成本分析供评标委员会评审。</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12</w:t>
      </w:r>
      <w:r>
        <w:rPr>
          <w:rFonts w:hint="eastAsia" w:ascii="宋体" w:hAnsi="宋体"/>
          <w:b/>
          <w:bCs/>
          <w:color w:val="auto"/>
          <w:sz w:val="24"/>
          <w:szCs w:val="24"/>
          <w:highlight w:val="none"/>
        </w:rPr>
        <w:t>．投标文件格式</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12.1 </w:t>
      </w:r>
      <w:r>
        <w:rPr>
          <w:rFonts w:hint="eastAsia" w:ascii="宋体" w:hAnsi="宋体"/>
          <w:color w:val="auto"/>
          <w:sz w:val="24"/>
          <w:szCs w:val="24"/>
          <w:highlight w:val="none"/>
        </w:rPr>
        <w:t>投标文件包括本须知第</w:t>
      </w:r>
      <w:r>
        <w:rPr>
          <w:rFonts w:ascii="宋体" w:hAnsi="宋体"/>
          <w:color w:val="auto"/>
          <w:sz w:val="24"/>
          <w:szCs w:val="24"/>
          <w:highlight w:val="none"/>
        </w:rPr>
        <w:t>11</w:t>
      </w:r>
      <w:r>
        <w:rPr>
          <w:rFonts w:hint="eastAsia" w:ascii="宋体" w:hAnsi="宋体"/>
          <w:color w:val="auto"/>
          <w:sz w:val="24"/>
          <w:szCs w:val="24"/>
          <w:highlight w:val="none"/>
        </w:rPr>
        <w:t>条中规定的内容，投标人提交的投标文件应当使用招标文件所提供的投标文件全部格式（表格可以按同样格式扩展）。</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12.2 </w:t>
      </w:r>
      <w:r>
        <w:rPr>
          <w:rFonts w:hint="eastAsia" w:ascii="宋体" w:hAnsi="宋体"/>
          <w:color w:val="auto"/>
          <w:sz w:val="24"/>
          <w:szCs w:val="24"/>
          <w:highlight w:val="none"/>
        </w:rPr>
        <w:t>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ascii="宋体" w:hAnsi="宋体"/>
          <w:color w:val="auto"/>
          <w:sz w:val="24"/>
          <w:szCs w:val="24"/>
          <w:highlight w:val="none"/>
          <w:u w:val="single"/>
        </w:rPr>
        <w:t xml:space="preserve">            </w:t>
      </w:r>
      <w:r>
        <w:rPr>
          <w:rFonts w:ascii="宋体" w:hAnsi="宋体"/>
          <w:color w:val="auto"/>
          <w:sz w:val="24"/>
          <w:szCs w:val="24"/>
          <w:highlight w:val="none"/>
        </w:rPr>
        <w:t xml:space="preserve"> 。</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12.3 </w:t>
      </w:r>
      <w:r>
        <w:rPr>
          <w:rFonts w:hint="eastAsia" w:ascii="宋体" w:hAnsi="宋体"/>
          <w:bCs/>
          <w:color w:val="auto"/>
          <w:sz w:val="24"/>
          <w:szCs w:val="24"/>
          <w:highlight w:val="none"/>
        </w:rPr>
        <w:t>投标文件应按</w:t>
      </w:r>
      <w:r>
        <w:rPr>
          <w:rFonts w:hint="eastAsia" w:ascii="宋体" w:hAnsi="宋体"/>
          <w:color w:val="auto"/>
          <w:sz w:val="24"/>
          <w:szCs w:val="24"/>
          <w:highlight w:val="none"/>
        </w:rPr>
        <w:t>照交易平台关于全流程电子化项目的相关指南进行编制，详见：</w:t>
      </w:r>
      <w:r>
        <w:rPr>
          <w:rFonts w:ascii="宋体" w:hAnsi="宋体"/>
          <w:color w:val="auto"/>
          <w:sz w:val="24"/>
          <w:szCs w:val="24"/>
          <w:highlight w:val="none"/>
          <w:u w:val="single"/>
        </w:rPr>
        <w:t xml:space="preserve">            </w:t>
      </w:r>
      <w:r>
        <w:rPr>
          <w:rFonts w:hint="eastAsia" w:ascii="宋体" w:hAnsi="宋体"/>
          <w:color w:val="auto"/>
          <w:sz w:val="24"/>
          <w:szCs w:val="24"/>
          <w:highlight w:val="none"/>
        </w:rPr>
        <w:t>。</w:t>
      </w:r>
    </w:p>
    <w:p>
      <w:pPr>
        <w:spacing w:line="360" w:lineRule="auto"/>
        <w:rPr>
          <w:rFonts w:ascii="宋体" w:hAnsi="宋体"/>
          <w:color w:val="auto"/>
          <w:sz w:val="24"/>
          <w:szCs w:val="24"/>
          <w:highlight w:val="none"/>
        </w:rPr>
      </w:pPr>
      <w:r>
        <w:rPr>
          <w:rFonts w:hint="eastAsia" w:ascii="宋体" w:hAnsi="宋体"/>
          <w:bCs/>
          <w:color w:val="auto"/>
          <w:sz w:val="24"/>
          <w:szCs w:val="24"/>
          <w:highlight w:val="none"/>
        </w:rPr>
        <w:t>如不按上述要求编制引起系统无法检索、读取相关信息的，其后果由投标人承担。</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13</w:t>
      </w:r>
      <w:r>
        <w:rPr>
          <w:rFonts w:hint="eastAsia" w:ascii="宋体" w:hAnsi="宋体"/>
          <w:b/>
          <w:bCs/>
          <w:color w:val="auto"/>
          <w:sz w:val="24"/>
          <w:szCs w:val="24"/>
          <w:highlight w:val="none"/>
        </w:rPr>
        <w:t>．投标报价及造价承包和变更结算方式</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13.1 </w:t>
      </w:r>
      <w:r>
        <w:rPr>
          <w:rFonts w:hint="eastAsia" w:ascii="宋体" w:hAnsi="宋体"/>
          <w:color w:val="auto"/>
          <w:sz w:val="24"/>
          <w:szCs w:val="24"/>
          <w:highlight w:val="none"/>
        </w:rPr>
        <w:t>本工程的投标报价采用投标须知前附表第</w:t>
      </w:r>
      <w:r>
        <w:rPr>
          <w:rFonts w:ascii="宋体" w:hAnsi="宋体"/>
          <w:color w:val="auto"/>
          <w:sz w:val="24"/>
          <w:szCs w:val="24"/>
          <w:highlight w:val="none"/>
        </w:rPr>
        <w:t>12</w:t>
      </w:r>
      <w:r>
        <w:rPr>
          <w:rFonts w:hint="eastAsia" w:ascii="宋体" w:hAnsi="宋体"/>
          <w:color w:val="auto"/>
          <w:sz w:val="24"/>
          <w:szCs w:val="24"/>
          <w:highlight w:val="none"/>
        </w:rPr>
        <w:t>项所规定的方式。投标报价（含单价及总价）精确到“分”。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13.2</w:t>
      </w:r>
      <w:r>
        <w:rPr>
          <w:rFonts w:hint="eastAsia" w:ascii="宋体" w:hAnsi="宋体"/>
          <w:color w:val="auto"/>
          <w:sz w:val="24"/>
          <w:szCs w:val="24"/>
          <w:highlight w:val="none"/>
        </w:rPr>
        <w:t>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投标人未填报单价或合价的工程项目，视为此项费用已包含在已标价工程量清单中其他项目的单价和合价之中，在实施后，此项目不得重新组价予以调整，招标人将不予支付。</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13.3</w:t>
      </w:r>
      <w:r>
        <w:rPr>
          <w:rFonts w:hint="eastAsia" w:ascii="宋体" w:hAnsi="宋体"/>
          <w:color w:val="auto"/>
          <w:sz w:val="24"/>
          <w:szCs w:val="24"/>
          <w:highlight w:val="none"/>
        </w:rPr>
        <w:t>投标人的投标报价，应是按照投标须知前附表第</w:t>
      </w:r>
      <w:r>
        <w:rPr>
          <w:rFonts w:ascii="宋体" w:hAnsi="宋体"/>
          <w:color w:val="auto"/>
          <w:sz w:val="24"/>
          <w:szCs w:val="24"/>
          <w:highlight w:val="none"/>
        </w:rPr>
        <w:t>8</w:t>
      </w:r>
      <w:r>
        <w:rPr>
          <w:rFonts w:hint="eastAsia" w:ascii="宋体" w:hAnsi="宋体"/>
          <w:color w:val="auto"/>
          <w:sz w:val="24"/>
          <w:szCs w:val="24"/>
          <w:highlight w:val="none"/>
        </w:rPr>
        <w:t>项的工期要求，在投标须知前附表第</w:t>
      </w:r>
      <w:r>
        <w:rPr>
          <w:rFonts w:ascii="宋体" w:hAnsi="宋体"/>
          <w:color w:val="auto"/>
          <w:sz w:val="24"/>
          <w:szCs w:val="24"/>
          <w:highlight w:val="none"/>
        </w:rPr>
        <w:t>3</w:t>
      </w:r>
      <w:r>
        <w:rPr>
          <w:rFonts w:hint="eastAsia" w:ascii="宋体" w:hAnsi="宋体"/>
          <w:color w:val="auto"/>
          <w:sz w:val="24"/>
          <w:szCs w:val="24"/>
          <w:highlight w:val="none"/>
        </w:rPr>
        <w:t>项的建设地点，完成投标须知前附表第</w:t>
      </w:r>
      <w:r>
        <w:rPr>
          <w:rFonts w:ascii="宋体" w:hAnsi="宋体"/>
          <w:color w:val="auto"/>
          <w:sz w:val="24"/>
          <w:szCs w:val="24"/>
          <w:highlight w:val="none"/>
        </w:rPr>
        <w:t>7</w:t>
      </w:r>
      <w:r>
        <w:rPr>
          <w:rFonts w:hint="eastAsia" w:ascii="宋体" w:hAnsi="宋体"/>
          <w:color w:val="auto"/>
          <w:sz w:val="24"/>
          <w:szCs w:val="24"/>
          <w:highlight w:val="none"/>
        </w:rPr>
        <w:t>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13.4</w:t>
      </w:r>
      <w:r>
        <w:rPr>
          <w:rFonts w:hint="eastAsia" w:ascii="宋体" w:hAnsi="宋体"/>
          <w:color w:val="auto"/>
          <w:sz w:val="24"/>
          <w:szCs w:val="24"/>
          <w:highlight w:val="none"/>
        </w:rPr>
        <w:t>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13.5</w:t>
      </w:r>
      <w:r>
        <w:rPr>
          <w:rFonts w:hint="eastAsia" w:ascii="宋体" w:hAnsi="宋体"/>
          <w:color w:val="auto"/>
          <w:sz w:val="24"/>
          <w:szCs w:val="24"/>
          <w:highlight w:val="none"/>
        </w:rPr>
        <w:t>工程项目实施期间和结算时，招标文件工程量清单中漏列而由监理单位和招标人现场签证确认的工程项目、原设计没有而由招标人批准设计变更产生的工程项目，视为新增项目，按以下顺序确定价格：</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13.5.1</w:t>
      </w:r>
      <w:r>
        <w:rPr>
          <w:rFonts w:hint="eastAsia" w:ascii="宋体" w:hAnsi="宋体"/>
          <w:color w:val="auto"/>
          <w:sz w:val="24"/>
          <w:szCs w:val="24"/>
          <w:highlight w:val="none"/>
        </w:rPr>
        <w:t>中标的投标文件工程量清单中已有相同项目的适用综合单价，则沿用；</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13.5.2</w:t>
      </w:r>
      <w:r>
        <w:rPr>
          <w:rFonts w:hint="eastAsia" w:ascii="宋体" w:hAnsi="宋体"/>
          <w:color w:val="auto"/>
          <w:sz w:val="24"/>
          <w:szCs w:val="24"/>
          <w:highlight w:val="none"/>
        </w:rPr>
        <w:t>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13.5.3 </w:t>
      </w:r>
      <w:r>
        <w:rPr>
          <w:rFonts w:hint="eastAsia" w:ascii="宋体" w:hAnsi="宋体"/>
          <w:color w:val="auto"/>
          <w:sz w:val="24"/>
          <w:szCs w:val="24"/>
          <w:highlight w:val="none"/>
        </w:rPr>
        <w:t>中标的投标文件工程量清单中没有相同项目或类似项目的，如可套取相关定额，则以相关定额为基数下浮计算单价</w:t>
      </w:r>
      <w:r>
        <w:rPr>
          <w:rFonts w:ascii="宋体" w:hAnsi="宋体"/>
          <w:color w:val="auto"/>
          <w:sz w:val="24"/>
          <w:szCs w:val="24"/>
          <w:highlight w:val="none"/>
        </w:rPr>
        <w:t>,</w:t>
      </w:r>
      <w:r>
        <w:rPr>
          <w:rFonts w:hint="eastAsia" w:ascii="宋体" w:hAnsi="宋体"/>
          <w:color w:val="auto"/>
          <w:sz w:val="24"/>
          <w:szCs w:val="24"/>
          <w:highlight w:val="none"/>
        </w:rPr>
        <w:t>下浮率为中标价相对于最高投标限价的下浮率（下浮率</w:t>
      </w:r>
      <w:r>
        <w:rPr>
          <w:rFonts w:ascii="宋体" w:hAnsi="宋体"/>
          <w:color w:val="auto"/>
          <w:sz w:val="24"/>
          <w:szCs w:val="24"/>
          <w:highlight w:val="none"/>
        </w:rPr>
        <w:t>=(</w:t>
      </w:r>
      <w:r>
        <w:rPr>
          <w:rFonts w:hint="eastAsia" w:ascii="宋体" w:hAnsi="宋体"/>
          <w:color w:val="auto"/>
          <w:sz w:val="24"/>
          <w:szCs w:val="24"/>
          <w:highlight w:val="none"/>
        </w:rPr>
        <w:t>最高投标限价</w:t>
      </w:r>
      <w:r>
        <w:rPr>
          <w:rFonts w:ascii="宋体" w:hAnsi="宋体"/>
          <w:color w:val="auto"/>
          <w:sz w:val="24"/>
          <w:szCs w:val="24"/>
          <w:highlight w:val="none"/>
        </w:rPr>
        <w:t>-</w:t>
      </w:r>
      <w:r>
        <w:rPr>
          <w:rFonts w:hint="eastAsia" w:ascii="宋体" w:hAnsi="宋体"/>
          <w:color w:val="auto"/>
          <w:sz w:val="24"/>
          <w:szCs w:val="24"/>
          <w:highlight w:val="none"/>
        </w:rPr>
        <w:t>中标价</w:t>
      </w:r>
      <w:r>
        <w:rPr>
          <w:rFonts w:ascii="宋体" w:hAnsi="宋体"/>
          <w:color w:val="auto"/>
          <w:sz w:val="24"/>
          <w:szCs w:val="24"/>
          <w:highlight w:val="none"/>
        </w:rPr>
        <w:t xml:space="preserve">)/ </w:t>
      </w:r>
      <w:r>
        <w:rPr>
          <w:rFonts w:hint="eastAsia" w:ascii="宋体" w:hAnsi="宋体"/>
          <w:color w:val="auto"/>
          <w:sz w:val="24"/>
          <w:szCs w:val="24"/>
          <w:highlight w:val="none"/>
        </w:rPr>
        <w:t>最高投标限价）。</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13.5.4 </w:t>
      </w:r>
      <w:r>
        <w:rPr>
          <w:rFonts w:hint="eastAsia" w:ascii="宋体" w:hAnsi="宋体"/>
          <w:color w:val="auto"/>
          <w:sz w:val="24"/>
          <w:szCs w:val="24"/>
          <w:highlight w:val="none"/>
        </w:rPr>
        <w:t>如相关定额没有相应子目的，其计价方式由招标人在本招标文件第三章中另行规定。未规定的，中标后双方协商约定。</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13.6</w:t>
      </w:r>
      <w:r>
        <w:rPr>
          <w:rFonts w:hint="eastAsia" w:ascii="宋体" w:hAnsi="宋体"/>
          <w:color w:val="auto"/>
          <w:sz w:val="24"/>
          <w:szCs w:val="24"/>
          <w:highlight w:val="none"/>
        </w:rPr>
        <w:t>暂列金额、暂估价</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13.6.1</w:t>
      </w:r>
      <w:r>
        <w:rPr>
          <w:rFonts w:hint="eastAsia" w:ascii="宋体" w:hAnsi="宋体"/>
          <w:color w:val="auto"/>
          <w:sz w:val="24"/>
          <w:szCs w:val="24"/>
          <w:highlight w:val="none"/>
        </w:rPr>
        <w:t>暂列金额指招标人在工程量清单中暂定并包括在合同价款中的一笔款项。用于施工合同签订时尚未确定或者不可预见的所需材料、设备、服务的采购，施工中可能发生的工程量变更、合同约定调整因素出现时的工程价款调整以及发生的索赔、现场签证等费用。</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暂估价是指招标人在工程量清单中提供的用于支付必然发生但暂时不能确定价格的材料的单价以及专业工程的金额。</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13.6.2</w:t>
      </w:r>
      <w:r>
        <w:rPr>
          <w:rFonts w:hint="eastAsia" w:ascii="宋体" w:hAnsi="宋体"/>
          <w:color w:val="auto"/>
          <w:sz w:val="24"/>
          <w:szCs w:val="24"/>
          <w:highlight w:val="none"/>
        </w:rPr>
        <w:t>在工程实施中，暂列金额、暂估价所包含的工作范围和图纸、标准深化固定后，按照工程专业、设备、材料类别等分类汇总的金额，达到法定招标范围标准的，应由招标人同中标人联合招标，确定承包人和承包价格。</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13.6.3</w:t>
      </w:r>
      <w:r>
        <w:rPr>
          <w:rFonts w:hint="eastAsia" w:ascii="宋体" w:hAnsi="宋体"/>
          <w:color w:val="auto"/>
          <w:sz w:val="24"/>
          <w:szCs w:val="24"/>
          <w:highlight w:val="none"/>
        </w:rPr>
        <w:t>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13.6.4</w:t>
      </w:r>
      <w:r>
        <w:rPr>
          <w:rFonts w:hint="eastAsia" w:ascii="宋体" w:hAnsi="宋体"/>
          <w:color w:val="auto"/>
          <w:sz w:val="24"/>
          <w:szCs w:val="24"/>
          <w:highlight w:val="none"/>
        </w:rPr>
        <w:t>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w:t>
      </w:r>
      <w:r>
        <w:rPr>
          <w:rFonts w:ascii="宋体" w:hAnsi="宋体"/>
          <w:color w:val="auto"/>
          <w:sz w:val="24"/>
          <w:szCs w:val="24"/>
          <w:highlight w:val="none"/>
        </w:rPr>
        <w:t>13.5</w:t>
      </w:r>
      <w:r>
        <w:rPr>
          <w:rFonts w:hint="eastAsia" w:ascii="宋体" w:hAnsi="宋体"/>
          <w:color w:val="auto"/>
          <w:sz w:val="24"/>
          <w:szCs w:val="24"/>
          <w:highlight w:val="none"/>
        </w:rPr>
        <w:t>款规定确定。</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13.6.5</w:t>
      </w:r>
      <w:r>
        <w:rPr>
          <w:rFonts w:hint="eastAsia" w:ascii="宋体" w:hAnsi="宋体"/>
          <w:color w:val="auto"/>
          <w:sz w:val="24"/>
          <w:szCs w:val="24"/>
          <w:highlight w:val="none"/>
        </w:rPr>
        <w:t>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13.6.6 </w:t>
      </w:r>
      <w:r>
        <w:rPr>
          <w:rFonts w:hint="eastAsia" w:ascii="宋体" w:hAnsi="宋体"/>
          <w:color w:val="auto"/>
          <w:sz w:val="24"/>
          <w:szCs w:val="24"/>
          <w:highlight w:val="none"/>
        </w:rPr>
        <w:t>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13.7</w:t>
      </w:r>
      <w:r>
        <w:rPr>
          <w:rFonts w:hint="eastAsia" w:ascii="宋体" w:hAnsi="宋体"/>
          <w:color w:val="auto"/>
          <w:sz w:val="24"/>
          <w:szCs w:val="24"/>
          <w:highlight w:val="none"/>
        </w:rPr>
        <w:t>投标人可先到工地踏勘以充分了解工地位置、情况、道路、储存空间、装卸限制及任何其他足以影响承包价的情况，任何因忽视或误解工地情况而导致的索赔或工期延长申请将不被批准。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13.8</w:t>
      </w:r>
      <w:r>
        <w:rPr>
          <w:rFonts w:hint="eastAsia" w:ascii="宋体" w:hAnsi="宋体"/>
          <w:color w:val="auto"/>
          <w:sz w:val="24"/>
          <w:szCs w:val="24"/>
          <w:highlight w:val="none"/>
        </w:rPr>
        <w:t>属于承包人自行采购的主要材料、设备，招标人应当在招标文件中提出材料、设备的技术标准或者质量要求，或者提出不少于</w:t>
      </w:r>
      <w:r>
        <w:rPr>
          <w:rFonts w:ascii="宋体" w:hAnsi="宋体"/>
          <w:color w:val="auto"/>
          <w:sz w:val="24"/>
          <w:szCs w:val="24"/>
          <w:highlight w:val="none"/>
        </w:rPr>
        <w:t>3</w:t>
      </w:r>
      <w:r>
        <w:rPr>
          <w:rFonts w:hint="eastAsia" w:ascii="宋体" w:hAnsi="宋体"/>
          <w:color w:val="auto"/>
          <w:sz w:val="24"/>
          <w:szCs w:val="24"/>
          <w:highlight w:val="none"/>
        </w:rPr>
        <w:t>个同等档次品牌或分包商供投标人报价时选择</w:t>
      </w:r>
      <w:r>
        <w:rPr>
          <w:rFonts w:ascii="宋体" w:hAnsi="宋体"/>
          <w:color w:val="auto"/>
          <w:sz w:val="24"/>
          <w:szCs w:val="24"/>
          <w:highlight w:val="none"/>
        </w:rPr>
        <w:t>,</w:t>
      </w:r>
      <w:r>
        <w:rPr>
          <w:rFonts w:hint="eastAsia" w:ascii="宋体" w:hAnsi="宋体"/>
          <w:color w:val="auto"/>
          <w:sz w:val="24"/>
          <w:szCs w:val="24"/>
          <w:highlight w:val="none"/>
        </w:rPr>
        <w:t>凡招标人在招标文件中提出参考品牌的，必须在参考品牌后面加上“或相当于”字样。投标人在投标文件中应明确所选用主要材料、设备的品牌、厂家以及质量等级，并且应当符合招标文件的要求。</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13.9</w:t>
      </w:r>
      <w:r>
        <w:rPr>
          <w:rFonts w:hint="eastAsia" w:ascii="宋体" w:hAnsi="宋体"/>
          <w:color w:val="auto"/>
          <w:sz w:val="24"/>
          <w:szCs w:val="24"/>
          <w:highlight w:val="none"/>
        </w:rPr>
        <w:t>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料、机械的具体名称、工种等）、价格变动时限、幅度以及相应的合同价款调整方法。</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14</w:t>
      </w:r>
      <w:r>
        <w:rPr>
          <w:rFonts w:hint="eastAsia" w:ascii="宋体" w:hAnsi="宋体"/>
          <w:b/>
          <w:bCs/>
          <w:color w:val="auto"/>
          <w:sz w:val="24"/>
          <w:szCs w:val="24"/>
          <w:highlight w:val="none"/>
        </w:rPr>
        <w:t>．投标货币</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14.1 </w:t>
      </w:r>
      <w:r>
        <w:rPr>
          <w:rFonts w:hint="eastAsia" w:ascii="宋体" w:hAnsi="宋体"/>
          <w:color w:val="auto"/>
          <w:sz w:val="24"/>
          <w:szCs w:val="24"/>
          <w:highlight w:val="none"/>
        </w:rPr>
        <w:t>本工程投标报价采用的币种为人民币。</w:t>
      </w:r>
    </w:p>
    <w:p>
      <w:pPr>
        <w:spacing w:line="360" w:lineRule="auto"/>
        <w:ind w:firstLine="482" w:firstLineChars="200"/>
        <w:rPr>
          <w:rFonts w:ascii="宋体" w:hAnsi="宋体"/>
          <w:color w:val="auto"/>
          <w:sz w:val="24"/>
          <w:szCs w:val="24"/>
          <w:highlight w:val="none"/>
        </w:rPr>
      </w:pPr>
      <w:r>
        <w:rPr>
          <w:rFonts w:ascii="宋体" w:hAnsi="宋体"/>
          <w:b/>
          <w:bCs/>
          <w:color w:val="auto"/>
          <w:sz w:val="24"/>
          <w:szCs w:val="24"/>
          <w:highlight w:val="none"/>
        </w:rPr>
        <w:t>15</w:t>
      </w:r>
      <w:r>
        <w:rPr>
          <w:rFonts w:hint="eastAsia" w:ascii="宋体" w:hAnsi="宋体"/>
          <w:b/>
          <w:bCs/>
          <w:color w:val="auto"/>
          <w:sz w:val="24"/>
          <w:szCs w:val="24"/>
          <w:highlight w:val="none"/>
        </w:rPr>
        <w:t>．投标有效期</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15.1 </w:t>
      </w:r>
      <w:r>
        <w:rPr>
          <w:rFonts w:hint="eastAsia" w:ascii="宋体" w:hAnsi="宋体"/>
          <w:color w:val="auto"/>
          <w:sz w:val="24"/>
          <w:szCs w:val="24"/>
          <w:highlight w:val="none"/>
        </w:rPr>
        <w:t>投标有效期见投标须知前附表第</w:t>
      </w:r>
      <w:r>
        <w:rPr>
          <w:rFonts w:ascii="宋体" w:hAnsi="宋体"/>
          <w:color w:val="auto"/>
          <w:sz w:val="24"/>
          <w:szCs w:val="24"/>
          <w:highlight w:val="none"/>
        </w:rPr>
        <w:t>13</w:t>
      </w:r>
      <w:r>
        <w:rPr>
          <w:rFonts w:hint="eastAsia" w:ascii="宋体" w:hAnsi="宋体"/>
          <w:color w:val="auto"/>
          <w:sz w:val="24"/>
          <w:szCs w:val="24"/>
          <w:highlight w:val="none"/>
        </w:rPr>
        <w:t>项所规定的期限，在此期限内，凡符合本招标文件要求的投标文件均保持有效。</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15.2 </w:t>
      </w:r>
      <w:r>
        <w:rPr>
          <w:rFonts w:hint="eastAsia" w:ascii="宋体" w:hAnsi="宋体"/>
          <w:color w:val="auto"/>
          <w:sz w:val="24"/>
          <w:szCs w:val="24"/>
          <w:highlight w:val="none"/>
        </w:rPr>
        <w:t>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w:t>
      </w:r>
      <w:r>
        <w:rPr>
          <w:rFonts w:ascii="宋体" w:hAnsi="宋体"/>
          <w:color w:val="auto"/>
          <w:sz w:val="24"/>
          <w:szCs w:val="24"/>
          <w:highlight w:val="none"/>
        </w:rPr>
        <w:t>16</w:t>
      </w:r>
      <w:r>
        <w:rPr>
          <w:rFonts w:hint="eastAsia" w:ascii="宋体" w:hAnsi="宋体"/>
          <w:color w:val="auto"/>
          <w:sz w:val="24"/>
          <w:szCs w:val="24"/>
          <w:highlight w:val="none"/>
        </w:rPr>
        <w:t>条关于投标保证金的退还与不予退还的规定仍然适用。</w:t>
      </w:r>
    </w:p>
    <w:p>
      <w:pPr>
        <w:pStyle w:val="47"/>
        <w:spacing w:after="0"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16．投标保证金</w:t>
      </w:r>
    </w:p>
    <w:p>
      <w:pPr>
        <w:pStyle w:val="47"/>
        <w:spacing w:after="0"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16.1投标人应按投标须知前附表第14项所述金额和时间递交投标保证金。招标人应当允许投标人自主选择现金、银行保函、保证保险、专业工程担保公司担保等方式缴纳投标保证金。</w:t>
      </w:r>
    </w:p>
    <w:p>
      <w:pPr>
        <w:pStyle w:val="47"/>
        <w:spacing w:after="0"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16.1.1采用现金或者支票形式提交的，投标保证金须从投标人的银行基本账户转出。</w:t>
      </w:r>
    </w:p>
    <w:p>
      <w:pPr>
        <w:pStyle w:val="47"/>
        <w:spacing w:after="0"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16.1.2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pStyle w:val="47"/>
        <w:spacing w:after="0"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16.1.3采用电子形式的保函、担保或保证保险提交投标保证金的，应在招标文件中明确电子递交途径。</w:t>
      </w:r>
    </w:p>
    <w:p>
      <w:pPr>
        <w:pStyle w:val="47"/>
        <w:spacing w:after="0"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16.2开标时投标人没有按要求提供投标保证金的，其投标文件将被否决；未按招标文件要求提交符合免予提供投标保证金相关证明材料，且未提交投标保证金的投标人，视为未按要求提供投标保证金。</w:t>
      </w:r>
    </w:p>
    <w:p>
      <w:pPr>
        <w:pStyle w:val="47"/>
        <w:spacing w:after="0"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16.3投标保证金应依据法律法规的相关规定退还。</w:t>
      </w:r>
    </w:p>
    <w:p>
      <w:pPr>
        <w:pStyle w:val="47"/>
        <w:spacing w:after="0"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16.4如有下列情况之一的，招标人可以不予退还投标保证金（是否退还投标保证金由招标人在招标文件中规定）：</w:t>
      </w:r>
    </w:p>
    <w:p>
      <w:pPr>
        <w:pStyle w:val="47"/>
        <w:spacing w:after="0"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16.4.1因投标人原因造成投标文件未解密的；</w:t>
      </w:r>
    </w:p>
    <w:p>
      <w:pPr>
        <w:pStyle w:val="47"/>
        <w:spacing w:after="0"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16.4.2投标人在投标有效期内撤销投标文件；</w:t>
      </w:r>
    </w:p>
    <w:p>
      <w:pPr>
        <w:pStyle w:val="47"/>
        <w:spacing w:after="0"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16.4.3中标人未能在规定期限内按要求提交履约担保；</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16.4.4中标人未能在规定期限内签署合同协议。</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16.5投标人如存在下列情况之一的，将被拒绝在一定时期内参与招标人后续工程投标（拒绝时限需在招标文件中明确）：</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16.5.1投标人存在16.4条款所列情形且投标人提交的保函、担保或保证保险无法兑付的；</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16.5.2采用非电子形式提交投标保证金的投标人存在16.4条款所列情形，且未按招标人要求补交银行保函、专业工程担保公司担保或保证保险原件的；</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16.5.3按招标文件要求免于提供投标保证金的投标人存在16.4条款所列情形，且未按招标人要求补交投标保证金的；</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16.5.3按招标文件要求免于提供投标保证金的投标人存在16.4条款所列情形的。</w:t>
      </w:r>
    </w:p>
    <w:p>
      <w:pPr>
        <w:spacing w:line="360" w:lineRule="auto"/>
        <w:ind w:firstLine="480" w:firstLineChars="200"/>
        <w:rPr>
          <w:rFonts w:ascii="宋体" w:hAnsi="宋体"/>
          <w:b/>
          <w:bCs/>
          <w:color w:val="auto"/>
          <w:sz w:val="24"/>
          <w:szCs w:val="24"/>
          <w:highlight w:val="none"/>
        </w:rPr>
      </w:pPr>
      <w:r>
        <w:rPr>
          <w:rFonts w:hint="eastAsia" w:ascii="宋体" w:hAnsi="宋体"/>
          <w:color w:val="auto"/>
          <w:sz w:val="24"/>
          <w:highlight w:val="none"/>
        </w:rPr>
        <w:t>注：</w:t>
      </w:r>
      <w:r>
        <w:rPr>
          <w:rFonts w:ascii="宋体" w:hAnsi="宋体"/>
          <w:color w:val="auto"/>
          <w:sz w:val="24"/>
          <w:highlight w:val="none"/>
        </w:rPr>
        <w:t>16.5.3款由招标人二选一，需在招标文件中明确。</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17</w:t>
      </w:r>
      <w:r>
        <w:rPr>
          <w:rFonts w:hint="eastAsia" w:ascii="宋体" w:hAnsi="宋体"/>
          <w:b/>
          <w:bCs/>
          <w:color w:val="auto"/>
          <w:sz w:val="24"/>
          <w:szCs w:val="24"/>
          <w:highlight w:val="none"/>
        </w:rPr>
        <w:t>．投标文件的签署</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17.1</w:t>
      </w:r>
      <w:r>
        <w:rPr>
          <w:rFonts w:hint="eastAsia" w:ascii="宋体" w:hAnsi="宋体"/>
          <w:color w:val="auto"/>
          <w:sz w:val="24"/>
          <w:szCs w:val="24"/>
          <w:highlight w:val="none"/>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ascii="宋体" w:hAnsi="宋体"/>
          <w:color w:val="auto"/>
          <w:sz w:val="24"/>
          <w:szCs w:val="24"/>
          <w:highlight w:val="none"/>
          <w:u w:val="single"/>
        </w:rPr>
        <w:t xml:space="preserve">            </w:t>
      </w:r>
      <w:r>
        <w:rPr>
          <w:rFonts w:ascii="宋体" w:hAnsi="宋体"/>
          <w:color w:val="auto"/>
          <w:sz w:val="24"/>
          <w:szCs w:val="24"/>
          <w:highlight w:val="none"/>
        </w:rPr>
        <w:t>。</w:t>
      </w:r>
    </w:p>
    <w:p>
      <w:pPr>
        <w:widowControl/>
        <w:spacing w:before="100" w:beforeAutospacing="1" w:after="100" w:afterAutospacing="1" w:line="360" w:lineRule="auto"/>
        <w:jc w:val="left"/>
        <w:outlineLvl w:val="2"/>
        <w:rPr>
          <w:rFonts w:ascii="宋体" w:hAnsi="宋体" w:cs="宋体"/>
          <w:color w:val="auto"/>
          <w:kern w:val="0"/>
          <w:sz w:val="24"/>
          <w:szCs w:val="24"/>
          <w:highlight w:val="none"/>
        </w:rPr>
      </w:pPr>
      <w:bookmarkStart w:id="44" w:name="_Toc2513"/>
      <w:bookmarkStart w:id="45" w:name="_Toc1187"/>
      <w:bookmarkStart w:id="46" w:name="_Toc112397812"/>
      <w:bookmarkStart w:id="47" w:name="_Toc58838574"/>
      <w:bookmarkStart w:id="48" w:name="_Toc5802"/>
      <w:bookmarkStart w:id="49" w:name="_Toc2272552"/>
      <w:bookmarkStart w:id="50" w:name="_Toc26418"/>
      <w:r>
        <w:rPr>
          <w:rFonts w:hint="eastAsia" w:ascii="宋体" w:hAnsi="宋体" w:cs="宋体"/>
          <w:color w:val="auto"/>
          <w:kern w:val="0"/>
          <w:sz w:val="24"/>
          <w:szCs w:val="24"/>
          <w:highlight w:val="none"/>
        </w:rPr>
        <w:t>（四）投标文件的提交</w:t>
      </w:r>
      <w:bookmarkEnd w:id="44"/>
      <w:bookmarkEnd w:id="45"/>
      <w:bookmarkEnd w:id="46"/>
      <w:bookmarkEnd w:id="47"/>
      <w:bookmarkEnd w:id="48"/>
      <w:bookmarkEnd w:id="49"/>
      <w:bookmarkEnd w:id="50"/>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18</w:t>
      </w:r>
      <w:r>
        <w:rPr>
          <w:rFonts w:hint="eastAsia" w:ascii="宋体" w:hAnsi="宋体"/>
          <w:b/>
          <w:bCs/>
          <w:color w:val="auto"/>
          <w:sz w:val="24"/>
          <w:szCs w:val="24"/>
          <w:highlight w:val="none"/>
        </w:rPr>
        <w:t>．</w:t>
      </w:r>
      <w:r>
        <w:rPr>
          <w:rFonts w:hint="eastAsia" w:ascii="宋体" w:hAnsi="宋体"/>
          <w:b/>
          <w:color w:val="auto"/>
          <w:sz w:val="24"/>
          <w:szCs w:val="24"/>
          <w:highlight w:val="none"/>
        </w:rPr>
        <w:t>投标文件的密封和标记</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18.1</w:t>
      </w:r>
      <w:r>
        <w:rPr>
          <w:rFonts w:hint="eastAsia" w:ascii="宋体" w:hAnsi="宋体"/>
          <w:bCs/>
          <w:color w:val="auto"/>
          <w:sz w:val="24"/>
          <w:szCs w:val="24"/>
          <w:highlight w:val="none"/>
        </w:rPr>
        <w:t>递交的电子投标文件（不含备用光盘）必须进行加密。按照交易平台关于</w:t>
      </w:r>
      <w:r>
        <w:rPr>
          <w:rFonts w:hint="eastAsia" w:ascii="宋体" w:hAnsi="宋体"/>
          <w:color w:val="auto"/>
          <w:sz w:val="24"/>
          <w:szCs w:val="24"/>
          <w:highlight w:val="none"/>
        </w:rPr>
        <w:t>全流程电子化项目的相关指南进行操作。详见：</w:t>
      </w:r>
      <w:r>
        <w:rPr>
          <w:rFonts w:ascii="宋体" w:hAnsi="宋体"/>
          <w:color w:val="auto"/>
          <w:sz w:val="24"/>
          <w:szCs w:val="24"/>
          <w:highlight w:val="none"/>
          <w:u w:val="single"/>
        </w:rPr>
        <w:t xml:space="preserve">           </w:t>
      </w:r>
      <w:r>
        <w:rPr>
          <w:rFonts w:ascii="宋体" w:hAnsi="宋体"/>
          <w:color w:val="auto"/>
          <w:sz w:val="24"/>
          <w:szCs w:val="24"/>
          <w:highlight w:val="none"/>
        </w:rPr>
        <w:t>。</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 xml:space="preserve">18.2 </w:t>
      </w:r>
      <w:r>
        <w:rPr>
          <w:rFonts w:hint="eastAsia" w:ascii="宋体" w:hAnsi="宋体"/>
          <w:bCs/>
          <w:color w:val="auto"/>
          <w:sz w:val="24"/>
          <w:szCs w:val="24"/>
          <w:highlight w:val="none"/>
        </w:rPr>
        <w:t>未按要求加密的投标文件，</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w:t>
      </w:r>
      <w:r>
        <w:rPr>
          <w:rFonts w:hint="eastAsia" w:ascii="宋体" w:hAnsi="宋体"/>
          <w:bCs/>
          <w:color w:val="auto"/>
          <w:sz w:val="24"/>
          <w:szCs w:val="24"/>
          <w:highlight w:val="none"/>
        </w:rPr>
        <w:t>将予以拒收。</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19</w:t>
      </w:r>
      <w:r>
        <w:rPr>
          <w:rFonts w:hint="eastAsia" w:ascii="宋体" w:hAnsi="宋体"/>
          <w:b/>
          <w:bCs/>
          <w:color w:val="auto"/>
          <w:sz w:val="24"/>
          <w:szCs w:val="24"/>
          <w:highlight w:val="none"/>
        </w:rPr>
        <w:t>．投标文件的递交和接收</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19.1投标人通过</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交易平台递交电子投标文件。</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19.2投标人完成电子</w:t>
      </w:r>
      <w:r>
        <w:rPr>
          <w:rFonts w:hint="eastAsia" w:ascii="宋体" w:hAnsi="宋体"/>
          <w:color w:val="auto"/>
          <w:sz w:val="24"/>
          <w:szCs w:val="24"/>
          <w:highlight w:val="none"/>
        </w:rPr>
        <w:t>投标文件</w:t>
      </w:r>
      <w:r>
        <w:rPr>
          <w:rFonts w:hint="eastAsia" w:ascii="宋体" w:hAnsi="宋体"/>
          <w:bCs/>
          <w:color w:val="auto"/>
          <w:sz w:val="24"/>
          <w:szCs w:val="24"/>
          <w:highlight w:val="none"/>
        </w:rPr>
        <w:t>上传后，</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交易平台即时向投标人发出递交回执通知。递交时间以递交回执通知载明的传输完成时间为准。</w:t>
      </w:r>
    </w:p>
    <w:p>
      <w:pPr>
        <w:spacing w:line="360" w:lineRule="auto"/>
        <w:ind w:firstLine="480" w:firstLineChars="200"/>
        <w:rPr>
          <w:rFonts w:ascii="宋体" w:hAnsi="宋体"/>
          <w:color w:val="auto"/>
          <w:sz w:val="24"/>
          <w:szCs w:val="24"/>
          <w:highlight w:val="none"/>
        </w:rPr>
      </w:pPr>
      <w:r>
        <w:rPr>
          <w:rFonts w:ascii="宋体" w:hAnsi="宋体"/>
          <w:bCs/>
          <w:color w:val="auto"/>
          <w:sz w:val="24"/>
          <w:szCs w:val="24"/>
          <w:highlight w:val="none"/>
        </w:rPr>
        <w:t>19.3逾期送达的电子投标文件，</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交易平台将予以拒收。</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19.4 </w:t>
      </w:r>
      <w:r>
        <w:rPr>
          <w:rFonts w:hint="eastAsia" w:ascii="宋体" w:hAnsi="宋体"/>
          <w:color w:val="auto"/>
          <w:sz w:val="24"/>
          <w:szCs w:val="24"/>
          <w:highlight w:val="none"/>
        </w:rPr>
        <w:t>投标截止前，招标人拒绝接收符合条件的投标文件，投标人可向招标投标监督机构投诉。</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19.5如技术标和经济标先后分别开启，</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交易平台将按招标文件规定的时间分别开启技术标和经济标。</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20</w:t>
      </w:r>
      <w:r>
        <w:rPr>
          <w:rFonts w:hint="eastAsia" w:ascii="宋体" w:hAnsi="宋体"/>
          <w:b/>
          <w:bCs/>
          <w:color w:val="auto"/>
          <w:sz w:val="24"/>
          <w:szCs w:val="24"/>
          <w:highlight w:val="none"/>
        </w:rPr>
        <w:t>．投标文件提交的截止时间</w:t>
      </w:r>
    </w:p>
    <w:p>
      <w:pPr>
        <w:spacing w:line="360" w:lineRule="auto"/>
        <w:ind w:firstLine="480" w:firstLineChars="200"/>
        <w:rPr>
          <w:rFonts w:ascii="宋体" w:hAnsi="宋体"/>
          <w:b/>
          <w:bCs/>
          <w:color w:val="auto"/>
          <w:sz w:val="24"/>
          <w:szCs w:val="24"/>
          <w:highlight w:val="none"/>
        </w:rPr>
      </w:pPr>
      <w:r>
        <w:rPr>
          <w:rFonts w:ascii="宋体" w:hAnsi="宋体"/>
          <w:color w:val="auto"/>
          <w:sz w:val="24"/>
          <w:szCs w:val="24"/>
          <w:highlight w:val="none"/>
        </w:rPr>
        <w:t>20.1</w:t>
      </w:r>
      <w:r>
        <w:rPr>
          <w:rFonts w:hint="eastAsia" w:ascii="宋体" w:hAnsi="宋体"/>
          <w:color w:val="auto"/>
          <w:sz w:val="24"/>
          <w:szCs w:val="24"/>
          <w:highlight w:val="none"/>
        </w:rPr>
        <w:t>投标人应在投标须知前附表第</w:t>
      </w:r>
      <w:r>
        <w:rPr>
          <w:rFonts w:ascii="宋体" w:hAnsi="宋体"/>
          <w:color w:val="auto"/>
          <w:sz w:val="24"/>
          <w:szCs w:val="24"/>
          <w:highlight w:val="none"/>
        </w:rPr>
        <w:t>17项所述的时间前提交投标文件。</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20.2</w:t>
      </w:r>
      <w:r>
        <w:rPr>
          <w:rFonts w:hint="eastAsia" w:ascii="宋体" w:hAnsi="宋体"/>
          <w:color w:val="auto"/>
          <w:sz w:val="24"/>
          <w:szCs w:val="24"/>
          <w:highlight w:val="none"/>
        </w:rPr>
        <w:t>招标人可按本须知第</w:t>
      </w:r>
      <w:r>
        <w:rPr>
          <w:rFonts w:ascii="宋体" w:hAnsi="宋体"/>
          <w:color w:val="auto"/>
          <w:sz w:val="24"/>
          <w:szCs w:val="24"/>
          <w:highlight w:val="none"/>
        </w:rPr>
        <w:t>9</w:t>
      </w:r>
      <w:r>
        <w:rPr>
          <w:rFonts w:hint="eastAsia" w:ascii="宋体" w:hAnsi="宋体"/>
          <w:color w:val="auto"/>
          <w:sz w:val="24"/>
          <w:szCs w:val="24"/>
          <w:highlight w:val="none"/>
        </w:rPr>
        <w:t>条规定以招标文件修改的方式，酌情延长提交投标文件的截止时间。在此情况下，投标人的所有权利和义务以及投标人受制约的截止时间，均以延长后新的投标截止时间为准。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20.3 </w:t>
      </w:r>
      <w:r>
        <w:rPr>
          <w:rFonts w:hint="eastAsia" w:ascii="宋体" w:hAnsi="宋体"/>
          <w:color w:val="auto"/>
          <w:sz w:val="24"/>
          <w:szCs w:val="24"/>
          <w:highlight w:val="none"/>
        </w:rPr>
        <w:t>到投标截止时间止，招标人收到的投标文件少于</w:t>
      </w:r>
      <w:r>
        <w:rPr>
          <w:rFonts w:ascii="宋体" w:hAnsi="宋体"/>
          <w:color w:val="auto"/>
          <w:sz w:val="24"/>
          <w:szCs w:val="24"/>
          <w:highlight w:val="none"/>
        </w:rPr>
        <w:t>3家的，招标人将重新组织招标（当N</w:t>
      </w:r>
      <w:r>
        <w:rPr>
          <w:rFonts w:hint="eastAsia" w:ascii="宋体" w:hAnsi="宋体"/>
          <w:color w:val="auto"/>
          <w:sz w:val="24"/>
          <w:szCs w:val="24"/>
          <w:highlight w:val="none"/>
        </w:rPr>
        <w:t>个标段同时招标且不允许兼中时，若有效投标人不足</w:t>
      </w:r>
      <w:r>
        <w:rPr>
          <w:rFonts w:ascii="宋体" w:hAnsi="宋体"/>
          <w:color w:val="auto"/>
          <w:sz w:val="24"/>
          <w:szCs w:val="24"/>
          <w:highlight w:val="none"/>
        </w:rPr>
        <w:t>N+2家，则重新组织招标）。</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21</w:t>
      </w:r>
      <w:r>
        <w:rPr>
          <w:rFonts w:hint="eastAsia" w:ascii="宋体" w:hAnsi="宋体"/>
          <w:b/>
          <w:bCs/>
          <w:color w:val="auto"/>
          <w:sz w:val="24"/>
          <w:szCs w:val="24"/>
          <w:highlight w:val="none"/>
        </w:rPr>
        <w:t>．迟交的投标文件</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21.1 </w:t>
      </w:r>
      <w:r>
        <w:rPr>
          <w:rFonts w:hint="eastAsia" w:ascii="宋体" w:hAnsi="宋体"/>
          <w:color w:val="auto"/>
          <w:sz w:val="24"/>
          <w:szCs w:val="24"/>
          <w:highlight w:val="none"/>
        </w:rPr>
        <w:t>本须知前附表第</w:t>
      </w:r>
      <w:r>
        <w:rPr>
          <w:rFonts w:ascii="宋体" w:hAnsi="宋体"/>
          <w:color w:val="auto"/>
          <w:sz w:val="24"/>
          <w:szCs w:val="24"/>
          <w:highlight w:val="none"/>
        </w:rPr>
        <w:t>17项规定的投标截止时间</w:t>
      </w:r>
      <w:r>
        <w:rPr>
          <w:rFonts w:hint="eastAsia" w:ascii="宋体" w:hAnsi="宋体"/>
          <w:bCs/>
          <w:color w:val="auto"/>
          <w:sz w:val="24"/>
          <w:szCs w:val="24"/>
          <w:highlight w:val="none"/>
        </w:rPr>
        <w:t>后送达的电子投标文件，</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交易平台将予以拒收。</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22</w:t>
      </w:r>
      <w:r>
        <w:rPr>
          <w:rFonts w:hint="eastAsia" w:ascii="宋体" w:hAnsi="宋体"/>
          <w:b/>
          <w:bCs/>
          <w:color w:val="auto"/>
          <w:sz w:val="24"/>
          <w:szCs w:val="24"/>
          <w:highlight w:val="none"/>
        </w:rPr>
        <w:t>．投标文件的修改与撤回</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22.1</w:t>
      </w:r>
      <w:r>
        <w:rPr>
          <w:rFonts w:hint="eastAsia" w:ascii="宋体" w:hAnsi="宋体"/>
          <w:color w:val="auto"/>
          <w:sz w:val="24"/>
          <w:szCs w:val="24"/>
          <w:highlight w:val="none"/>
        </w:rPr>
        <w:t>在规定的投标截止时间前，投标人可以修改或撤回已递交的投标文件，但应以书面形式通知招标人。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22.2投标人修改或撤回已递交</w:t>
      </w:r>
      <w:r>
        <w:rPr>
          <w:rFonts w:hint="eastAsia" w:ascii="宋体" w:hAnsi="宋体"/>
          <w:color w:val="auto"/>
          <w:sz w:val="24"/>
          <w:szCs w:val="24"/>
          <w:highlight w:val="none"/>
        </w:rPr>
        <w:t>的</w:t>
      </w:r>
      <w:r>
        <w:rPr>
          <w:rFonts w:ascii="宋体" w:hAnsi="宋体"/>
          <w:color w:val="auto"/>
          <w:sz w:val="24"/>
          <w:szCs w:val="24"/>
          <w:highlight w:val="none"/>
        </w:rPr>
        <w:t>投标文件</w:t>
      </w:r>
      <w:r>
        <w:rPr>
          <w:rFonts w:hint="eastAsia" w:ascii="宋体" w:hAnsi="宋体"/>
          <w:color w:val="auto"/>
          <w:sz w:val="24"/>
          <w:szCs w:val="24"/>
          <w:highlight w:val="none"/>
        </w:rPr>
        <w:t>，需在交易平台发出修改或撤回</w:t>
      </w:r>
      <w:r>
        <w:rPr>
          <w:rFonts w:ascii="宋体" w:hAnsi="宋体"/>
          <w:color w:val="auto"/>
          <w:sz w:val="24"/>
          <w:szCs w:val="24"/>
          <w:highlight w:val="none"/>
        </w:rPr>
        <w:t>通知，</w:t>
      </w:r>
      <w:r>
        <w:rPr>
          <w:rFonts w:hint="eastAsia" w:ascii="宋体" w:hAnsi="宋体"/>
          <w:color w:val="auto"/>
          <w:sz w:val="24"/>
          <w:szCs w:val="24"/>
          <w:highlight w:val="none"/>
        </w:rPr>
        <w:t>并按</w:t>
      </w:r>
      <w:r>
        <w:rPr>
          <w:rFonts w:ascii="宋体" w:hAnsi="宋体"/>
          <w:color w:val="auto"/>
          <w:sz w:val="24"/>
          <w:szCs w:val="24"/>
          <w:highlight w:val="none"/>
        </w:rPr>
        <w:t>要求加盖电子印章。</w:t>
      </w:r>
      <w:r>
        <w:rPr>
          <w:rFonts w:ascii="宋体" w:hAnsi="宋体"/>
          <w:bCs/>
          <w:iCs/>
          <w:color w:val="auto"/>
          <w:sz w:val="24"/>
          <w:szCs w:val="24"/>
          <w:highlight w:val="none"/>
        </w:rPr>
        <w:t>电子招标投标交易平台收到通知后，</w:t>
      </w:r>
      <w:r>
        <w:rPr>
          <w:rFonts w:ascii="宋体" w:hAnsi="宋体"/>
          <w:color w:val="auto"/>
          <w:sz w:val="24"/>
          <w:szCs w:val="24"/>
          <w:highlight w:val="none"/>
        </w:rPr>
        <w:t>即时向投标人发出确认回执通知。</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22.3修改后再次递交的，按19点的规定执行。</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22.4 </w:t>
      </w:r>
      <w:r>
        <w:rPr>
          <w:rFonts w:hint="eastAsia" w:ascii="宋体" w:hAnsi="宋体"/>
          <w:color w:val="auto"/>
          <w:sz w:val="24"/>
          <w:szCs w:val="24"/>
          <w:highlight w:val="none"/>
        </w:rPr>
        <w:t>在投标截止时间之后，投标人不得补充、修改和更换投标文件。</w:t>
      </w:r>
    </w:p>
    <w:p>
      <w:pPr>
        <w:widowControl/>
        <w:spacing w:before="100" w:beforeAutospacing="1" w:after="100" w:afterAutospacing="1" w:line="360" w:lineRule="auto"/>
        <w:jc w:val="left"/>
        <w:outlineLvl w:val="2"/>
        <w:rPr>
          <w:rFonts w:ascii="宋体" w:hAnsi="宋体" w:cs="宋体"/>
          <w:color w:val="auto"/>
          <w:kern w:val="0"/>
          <w:sz w:val="24"/>
          <w:szCs w:val="24"/>
          <w:highlight w:val="none"/>
        </w:rPr>
      </w:pPr>
      <w:bookmarkStart w:id="51" w:name="_Toc2272553"/>
      <w:bookmarkStart w:id="52" w:name="_Toc31279"/>
      <w:bookmarkStart w:id="53" w:name="_Toc112397813"/>
      <w:bookmarkStart w:id="54" w:name="_Toc58838575"/>
      <w:bookmarkStart w:id="55" w:name="_Toc3633"/>
      <w:bookmarkStart w:id="56" w:name="_Toc23838"/>
      <w:bookmarkStart w:id="57" w:name="_Toc2082"/>
      <w:r>
        <w:rPr>
          <w:rFonts w:hint="eastAsia" w:ascii="宋体" w:hAnsi="宋体" w:cs="宋体"/>
          <w:color w:val="auto"/>
          <w:kern w:val="0"/>
          <w:sz w:val="24"/>
          <w:szCs w:val="24"/>
          <w:highlight w:val="none"/>
        </w:rPr>
        <w:t>（五）开标、评标、定标及合同签定</w:t>
      </w:r>
      <w:bookmarkEnd w:id="51"/>
      <w:bookmarkEnd w:id="52"/>
      <w:bookmarkEnd w:id="53"/>
      <w:bookmarkEnd w:id="54"/>
      <w:bookmarkEnd w:id="55"/>
      <w:bookmarkEnd w:id="56"/>
      <w:bookmarkEnd w:id="57"/>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23</w:t>
      </w:r>
      <w:r>
        <w:rPr>
          <w:rFonts w:hint="eastAsia" w:ascii="宋体" w:hAnsi="宋体"/>
          <w:b/>
          <w:bCs/>
          <w:color w:val="auto"/>
          <w:sz w:val="24"/>
          <w:szCs w:val="24"/>
          <w:highlight w:val="none"/>
        </w:rPr>
        <w:t>、开标。</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详见第二章开标、评标及定标办法</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24</w:t>
      </w:r>
      <w:r>
        <w:rPr>
          <w:rFonts w:hint="eastAsia" w:ascii="宋体" w:hAnsi="宋体"/>
          <w:b/>
          <w:bCs/>
          <w:color w:val="auto"/>
          <w:sz w:val="24"/>
          <w:szCs w:val="24"/>
          <w:highlight w:val="none"/>
        </w:rPr>
        <w:t>．评标过程的保密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24.1 </w:t>
      </w:r>
      <w:r>
        <w:rPr>
          <w:rFonts w:hint="eastAsia" w:ascii="宋体" w:hAnsi="宋体"/>
          <w:color w:val="auto"/>
          <w:sz w:val="24"/>
          <w:szCs w:val="24"/>
          <w:highlight w:val="none"/>
        </w:rPr>
        <w:t>开标后，直至中标公示为止，凡属于对投标文件的审查、澄清、评价和比较有关的资料以及中标候选人的推荐情况，与评标有关的其他任何情况均严格保密。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24.2 </w:t>
      </w:r>
      <w:r>
        <w:rPr>
          <w:rFonts w:hint="eastAsia" w:ascii="宋体" w:hAnsi="宋体"/>
          <w:color w:val="auto"/>
          <w:sz w:val="24"/>
          <w:szCs w:val="24"/>
          <w:highlight w:val="none"/>
        </w:rPr>
        <w:t>在投标文件的评审和比较、中标候选人推荐以及授予合同的过程中，投标人向招标人和评标委员会施加不公正影响的任何行为，都将会导致其投标被拒绝。</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25</w:t>
      </w:r>
      <w:r>
        <w:rPr>
          <w:rFonts w:hint="eastAsia" w:ascii="宋体" w:hAnsi="宋体"/>
          <w:b/>
          <w:bCs/>
          <w:color w:val="auto"/>
          <w:sz w:val="24"/>
          <w:szCs w:val="24"/>
          <w:highlight w:val="none"/>
        </w:rPr>
        <w:t>．投标文件的澄清，计算错误的修正</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详见招标文件第二章开标、评标及定标办法</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26</w:t>
      </w:r>
      <w:r>
        <w:rPr>
          <w:rFonts w:hint="eastAsia" w:ascii="宋体" w:hAnsi="宋体"/>
          <w:b/>
          <w:bCs/>
          <w:color w:val="auto"/>
          <w:sz w:val="24"/>
          <w:szCs w:val="24"/>
          <w:highlight w:val="none"/>
        </w:rPr>
        <w:t>．投标文件的评审、比较和否决</w:t>
      </w:r>
    </w:p>
    <w:p>
      <w:pPr>
        <w:spacing w:line="360" w:lineRule="auto"/>
        <w:ind w:firstLine="480" w:firstLineChars="200"/>
        <w:rPr>
          <w:rFonts w:ascii="宋体" w:hAnsi="宋体"/>
          <w:bCs/>
          <w:color w:val="auto"/>
          <w:sz w:val="24"/>
          <w:szCs w:val="24"/>
          <w:highlight w:val="none"/>
        </w:rPr>
      </w:pPr>
      <w:r>
        <w:rPr>
          <w:rFonts w:hint="eastAsia" w:ascii="宋体" w:hAnsi="宋体"/>
          <w:color w:val="auto"/>
          <w:sz w:val="24"/>
          <w:szCs w:val="24"/>
          <w:highlight w:val="none"/>
        </w:rPr>
        <w:t>详见招标文件第二章开标、评标及定标办法。</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27</w:t>
      </w:r>
      <w:r>
        <w:rPr>
          <w:rFonts w:hint="eastAsia" w:ascii="宋体" w:hAnsi="宋体"/>
          <w:b/>
          <w:bCs/>
          <w:color w:val="auto"/>
          <w:sz w:val="24"/>
          <w:szCs w:val="24"/>
          <w:highlight w:val="none"/>
        </w:rPr>
        <w:t>．中标通知书</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27.1</w:t>
      </w:r>
      <w:r>
        <w:rPr>
          <w:rFonts w:hint="eastAsia" w:ascii="宋体" w:hAnsi="宋体"/>
          <w:color w:val="auto"/>
          <w:sz w:val="24"/>
          <w:szCs w:val="24"/>
          <w:highlight w:val="none"/>
        </w:rPr>
        <w:t>招标人将在</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广东省招标投标监管网和中国招标投标公共服务平台公示中标候选人，公示期为三天。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27.2</w:t>
      </w:r>
      <w:r>
        <w:rPr>
          <w:rFonts w:hint="eastAsia" w:ascii="宋体" w:hAnsi="宋体"/>
          <w:color w:val="auto"/>
          <w:sz w:val="24"/>
          <w:szCs w:val="24"/>
          <w:highlight w:val="none"/>
        </w:rPr>
        <w:t>招标人应当自确定中标人后，向招标投标监管机构提交招标投标情况的书面报告；经招投标监管机构备案后，方可发出中标通知书。</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27.3</w:t>
      </w:r>
      <w:r>
        <w:rPr>
          <w:rFonts w:hint="eastAsia" w:ascii="宋体" w:hAnsi="宋体"/>
          <w:color w:val="auto"/>
          <w:sz w:val="24"/>
          <w:szCs w:val="24"/>
          <w:highlight w:val="none"/>
        </w:rPr>
        <w:t>中标人必须在收到中标通知书后</w:t>
      </w:r>
      <w:r>
        <w:rPr>
          <w:rFonts w:ascii="宋体" w:hAnsi="宋体"/>
          <w:color w:val="auto"/>
          <w:sz w:val="24"/>
          <w:szCs w:val="24"/>
          <w:highlight w:val="none"/>
        </w:rPr>
        <w:t>24</w:t>
      </w:r>
      <w:r>
        <w:rPr>
          <w:rFonts w:hint="eastAsia" w:ascii="宋体" w:hAnsi="宋体"/>
          <w:color w:val="auto"/>
          <w:sz w:val="24"/>
          <w:szCs w:val="24"/>
          <w:highlight w:val="none"/>
        </w:rPr>
        <w:t>小时之内以书面形式回复招标人，确认收到。</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27.4在产生中标候选人后，招标人将中标候选人的投标文件商务部分文件的所有内容（包括人员、业绩、奖项等资料）在</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交易平台和广东省招标投标监管网公开。</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28</w:t>
      </w:r>
      <w:r>
        <w:rPr>
          <w:rFonts w:hint="eastAsia" w:ascii="宋体" w:hAnsi="宋体"/>
          <w:b/>
          <w:bCs/>
          <w:color w:val="auto"/>
          <w:sz w:val="24"/>
          <w:szCs w:val="24"/>
          <w:highlight w:val="none"/>
        </w:rPr>
        <w:t>．合同协议书的签订</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28.1 </w:t>
      </w:r>
      <w:r>
        <w:rPr>
          <w:rFonts w:hint="eastAsia" w:ascii="宋体" w:hAnsi="宋体"/>
          <w:color w:val="auto"/>
          <w:sz w:val="24"/>
          <w:szCs w:val="24"/>
          <w:highlight w:val="none"/>
        </w:rPr>
        <w:t>招标人与中标人将于中标通知书发出之日起</w:t>
      </w:r>
      <w:r>
        <w:rPr>
          <w:rFonts w:ascii="宋体" w:hAnsi="宋体"/>
          <w:color w:val="auto"/>
          <w:sz w:val="24"/>
          <w:szCs w:val="24"/>
          <w:highlight w:val="none"/>
        </w:rPr>
        <w:t>30</w:t>
      </w:r>
      <w:r>
        <w:rPr>
          <w:rFonts w:hint="eastAsia" w:ascii="宋体" w:hAnsi="宋体"/>
          <w:color w:val="auto"/>
          <w:sz w:val="24"/>
          <w:szCs w:val="24"/>
          <w:highlight w:val="none"/>
        </w:rPr>
        <w:t>日内，按照招标文件和中标人的投标文件商定和签订合同，招标人和中标人不得再行订立背离合同实质性内容的其他协议。</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28.2</w:t>
      </w:r>
      <w:r>
        <w:rPr>
          <w:rFonts w:hint="eastAsia" w:ascii="宋体" w:hAnsi="宋体"/>
          <w:color w:val="auto"/>
          <w:sz w:val="24"/>
          <w:szCs w:val="24"/>
          <w:highlight w:val="none"/>
        </w:rPr>
        <w:t>中标通知书发出之日起</w:t>
      </w:r>
      <w:r>
        <w:rPr>
          <w:rFonts w:ascii="宋体" w:hAnsi="宋体"/>
          <w:color w:val="auto"/>
          <w:sz w:val="24"/>
          <w:szCs w:val="24"/>
          <w:highlight w:val="none"/>
        </w:rPr>
        <w:t>30</w:t>
      </w:r>
      <w:r>
        <w:rPr>
          <w:rFonts w:hint="eastAsia" w:ascii="宋体" w:hAnsi="宋体"/>
          <w:color w:val="auto"/>
          <w:sz w:val="24"/>
          <w:szCs w:val="24"/>
          <w:highlight w:val="none"/>
        </w:rPr>
        <w:t>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28.3</w:t>
      </w:r>
      <w:r>
        <w:rPr>
          <w:rFonts w:hint="eastAsia" w:ascii="宋体" w:hAnsi="宋体"/>
          <w:color w:val="auto"/>
          <w:sz w:val="24"/>
          <w:szCs w:val="24"/>
          <w:highlight w:val="none"/>
        </w:rPr>
        <w:t>非经招标人同意，中标人在投标过程中使用的银行名称及帐号至完成竣工结算不得变更，否则招标人有权停止工程款项的拔付及至解除合同，由此造成的一切责任由中标人承担。</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28.4</w:t>
      </w:r>
      <w:r>
        <w:rPr>
          <w:rFonts w:hint="eastAsia" w:ascii="宋体" w:hAnsi="宋体"/>
          <w:color w:val="auto"/>
          <w:sz w:val="24"/>
          <w:szCs w:val="24"/>
          <w:highlight w:val="none"/>
        </w:rPr>
        <w:t>招标人支付工程款时，中标人应按规定开具发票。</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29</w:t>
      </w:r>
      <w:r>
        <w:rPr>
          <w:rFonts w:hint="eastAsia" w:ascii="宋体" w:hAnsi="宋体"/>
          <w:b/>
          <w:bCs/>
          <w:color w:val="auto"/>
          <w:sz w:val="24"/>
          <w:szCs w:val="24"/>
          <w:highlight w:val="none"/>
        </w:rPr>
        <w:t>．履约担保</w:t>
      </w:r>
    </w:p>
    <w:p>
      <w:pPr>
        <w:snapToGrid w:val="0"/>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29.1</w:t>
      </w:r>
      <w:r>
        <w:rPr>
          <w:rFonts w:hint="eastAsia" w:ascii="宋体" w:hAnsi="宋体"/>
          <w:color w:val="auto"/>
          <w:sz w:val="24"/>
          <w:szCs w:val="24"/>
          <w:highlight w:val="none"/>
        </w:rPr>
        <w:t>在收到中标通知书后的</w:t>
      </w:r>
      <w:r>
        <w:rPr>
          <w:rFonts w:ascii="宋体" w:hAnsi="宋体"/>
          <w:color w:val="auto"/>
          <w:sz w:val="24"/>
          <w:szCs w:val="24"/>
          <w:highlight w:val="none"/>
        </w:rPr>
        <w:t>15日内，中标人应按本须知前附表第20项的规定向招标人提交履约担保。</w:t>
      </w:r>
    </w:p>
    <w:p>
      <w:pPr>
        <w:snapToGrid w:val="0"/>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29.2</w:t>
      </w:r>
      <w:r>
        <w:rPr>
          <w:rFonts w:hint="eastAsia" w:ascii="宋体" w:hAnsi="宋体"/>
          <w:color w:val="auto"/>
          <w:sz w:val="24"/>
          <w:szCs w:val="24"/>
          <w:highlight w:val="none"/>
        </w:rPr>
        <w:t>中标通知书发出之日起</w:t>
      </w:r>
      <w:r>
        <w:rPr>
          <w:rFonts w:ascii="宋体" w:hAnsi="宋体"/>
          <w:color w:val="auto"/>
          <w:sz w:val="24"/>
          <w:szCs w:val="24"/>
          <w:highlight w:val="none"/>
        </w:rPr>
        <w:t>15</w:t>
      </w:r>
      <w:r>
        <w:rPr>
          <w:rFonts w:hint="eastAsia" w:ascii="宋体" w:hAnsi="宋体"/>
          <w:color w:val="auto"/>
          <w:sz w:val="24"/>
          <w:szCs w:val="24"/>
          <w:highlight w:val="none"/>
        </w:rPr>
        <w:t>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30</w:t>
      </w:r>
      <w:r>
        <w:rPr>
          <w:rFonts w:hint="eastAsia" w:ascii="宋体" w:hAnsi="宋体"/>
          <w:b/>
          <w:bCs/>
          <w:color w:val="auto"/>
          <w:sz w:val="24"/>
          <w:szCs w:val="24"/>
          <w:highlight w:val="none"/>
        </w:rPr>
        <w:t>．合同生效</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30.1</w:t>
      </w:r>
      <w:r>
        <w:rPr>
          <w:rFonts w:hint="eastAsia" w:ascii="宋体" w:hAnsi="宋体"/>
          <w:color w:val="auto"/>
          <w:sz w:val="24"/>
          <w:szCs w:val="24"/>
          <w:highlight w:val="none"/>
        </w:rPr>
        <w:t>在合同双方全权代表在合同协议书上签字，并分别加盖双方单位的公章后，合同正式生效。</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31</w:t>
      </w:r>
      <w:r>
        <w:rPr>
          <w:rFonts w:hint="eastAsia" w:ascii="宋体" w:hAnsi="宋体"/>
          <w:b/>
          <w:bCs/>
          <w:color w:val="auto"/>
          <w:sz w:val="24"/>
          <w:szCs w:val="24"/>
          <w:highlight w:val="none"/>
        </w:rPr>
        <w:t>．其它费用</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32</w:t>
      </w:r>
      <w:r>
        <w:rPr>
          <w:rFonts w:hint="eastAsia" w:ascii="宋体" w:hAnsi="宋体"/>
          <w:b/>
          <w:bCs/>
          <w:color w:val="auto"/>
          <w:sz w:val="24"/>
          <w:szCs w:val="24"/>
          <w:highlight w:val="none"/>
        </w:rPr>
        <w:t>．腐败与欺诈行为</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在招标和合同实施期间，招标人要求投标人和承包人遵守最高的道德标准。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32</w:t>
      </w:r>
      <w:r>
        <w:rPr>
          <w:rFonts w:hint="eastAsia" w:ascii="宋体" w:hAnsi="宋体"/>
          <w:color w:val="auto"/>
          <w:sz w:val="24"/>
          <w:szCs w:val="24"/>
          <w:highlight w:val="none"/>
        </w:rPr>
        <w:t>．</w:t>
      </w:r>
      <w:r>
        <w:rPr>
          <w:rFonts w:ascii="宋体" w:hAnsi="宋体"/>
          <w:color w:val="auto"/>
          <w:sz w:val="24"/>
          <w:szCs w:val="24"/>
          <w:highlight w:val="none"/>
        </w:rPr>
        <w:t>1</w:t>
      </w:r>
      <w:r>
        <w:rPr>
          <w:rFonts w:hint="eastAsia" w:ascii="宋体" w:hAnsi="宋体"/>
          <w:color w:val="auto"/>
          <w:sz w:val="24"/>
          <w:szCs w:val="24"/>
          <w:highlight w:val="none"/>
        </w:rPr>
        <w:t>对本条款的规定，特定义如下词汇：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）、“腐败行为”是指在招标或合同执行期间，通过提供、给予、接受或索要任何有价值的东西，从而影响招标人有关人员工作的行为；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欺诈行为”是指通过提供伪证影响招标或合同执行，从而损害招标人利益的行为；也包括投标人之间串通（在提交投标文件之前或之后），人为地使招标过程失去竞争性，从而使招标人无法从公开的自由竞争中获得利益的行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32</w:t>
      </w:r>
      <w:r>
        <w:rPr>
          <w:rFonts w:hint="eastAsia" w:ascii="宋体" w:hAnsi="宋体"/>
          <w:color w:val="auto"/>
          <w:sz w:val="24"/>
          <w:szCs w:val="24"/>
          <w:highlight w:val="none"/>
        </w:rPr>
        <w:t>．</w:t>
      </w:r>
      <w:r>
        <w:rPr>
          <w:rFonts w:ascii="宋体" w:hAnsi="宋体"/>
          <w:color w:val="auto"/>
          <w:sz w:val="24"/>
          <w:szCs w:val="24"/>
          <w:highlight w:val="none"/>
        </w:rPr>
        <w:t>2</w:t>
      </w:r>
      <w:r>
        <w:rPr>
          <w:rFonts w:hint="eastAsia" w:ascii="宋体" w:hAnsi="宋体"/>
          <w:color w:val="auto"/>
          <w:sz w:val="24"/>
          <w:szCs w:val="24"/>
          <w:highlight w:val="none"/>
        </w:rPr>
        <w:t>如果投标人被认定在本招标的竞争中有腐败或欺诈行为，则会被取消投标资格。</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32.3投标人如在本项目中存在串通投标、弄虚作假骗取中标、行贿情形的，中标无效，行政监督部门将对其违法行为进行政处罚。该投标人将被招标人列入黑名单并限制其参与招标人后续项目的投标。</w:t>
      </w:r>
    </w:p>
    <w:p>
      <w:pPr>
        <w:pStyle w:val="3"/>
        <w:rPr>
          <w:rFonts w:ascii="宋体" w:hAnsi="宋体"/>
          <w:color w:val="auto"/>
          <w:highlight w:val="none"/>
        </w:rPr>
      </w:pPr>
      <w:r>
        <w:rPr>
          <w:rFonts w:ascii="宋体" w:hAnsi="宋体"/>
          <w:color w:val="auto"/>
          <w:sz w:val="24"/>
          <w:highlight w:val="none"/>
        </w:rPr>
        <w:br w:type="page"/>
      </w:r>
      <w:bookmarkStart w:id="58" w:name="_Toc17921"/>
      <w:bookmarkStart w:id="59" w:name="_Toc112397814"/>
      <w:bookmarkStart w:id="60" w:name="_Toc2272554"/>
      <w:bookmarkStart w:id="61" w:name="_Toc14092"/>
      <w:bookmarkStart w:id="62" w:name="_Toc24329"/>
      <w:bookmarkStart w:id="63" w:name="_Toc15285"/>
      <w:r>
        <w:rPr>
          <w:rFonts w:hint="eastAsia" w:ascii="宋体" w:hAnsi="宋体"/>
          <w:color w:val="auto"/>
          <w:highlight w:val="none"/>
        </w:rPr>
        <w:t>第二章</w:t>
      </w:r>
      <w:r>
        <w:rPr>
          <w:rFonts w:ascii="宋体" w:hAnsi="宋体"/>
          <w:color w:val="auto"/>
          <w:highlight w:val="none"/>
        </w:rPr>
        <w:t xml:space="preserve"> </w:t>
      </w:r>
      <w:r>
        <w:rPr>
          <w:rFonts w:hint="eastAsia" w:ascii="宋体" w:hAnsi="宋体"/>
          <w:color w:val="auto"/>
          <w:highlight w:val="none"/>
          <w:lang w:val="en-US" w:eastAsia="zh-CN"/>
        </w:rPr>
        <w:t xml:space="preserve"> </w:t>
      </w:r>
      <w:r>
        <w:rPr>
          <w:rFonts w:hint="eastAsia" w:ascii="宋体" w:hAnsi="宋体"/>
          <w:color w:val="auto"/>
          <w:highlight w:val="none"/>
        </w:rPr>
        <w:t>开标、评标及定标办法</w:t>
      </w:r>
      <w:bookmarkEnd w:id="58"/>
      <w:bookmarkEnd w:id="59"/>
      <w:bookmarkEnd w:id="60"/>
      <w:bookmarkEnd w:id="61"/>
      <w:bookmarkEnd w:id="62"/>
      <w:bookmarkEnd w:id="63"/>
    </w:p>
    <w:p>
      <w:pPr>
        <w:pStyle w:val="5"/>
        <w:rPr>
          <w:rFonts w:ascii="宋体" w:hAnsi="宋体"/>
          <w:color w:val="auto"/>
          <w:highlight w:val="none"/>
        </w:rPr>
      </w:pPr>
      <w:bookmarkStart w:id="64" w:name="_Toc2096"/>
      <w:bookmarkStart w:id="65" w:name="_Toc112397815"/>
      <w:bookmarkStart w:id="66" w:name="_Toc26516"/>
      <w:bookmarkStart w:id="67" w:name="_Toc10324"/>
      <w:bookmarkStart w:id="68" w:name="_Toc3798"/>
      <w:bookmarkStart w:id="69" w:name="_Toc2272555"/>
      <w:r>
        <w:rPr>
          <w:rFonts w:hint="eastAsia" w:ascii="宋体" w:hAnsi="宋体"/>
          <w:color w:val="auto"/>
          <w:sz w:val="28"/>
          <w:szCs w:val="28"/>
          <w:highlight w:val="none"/>
        </w:rPr>
        <w:t>一、</w:t>
      </w:r>
      <w:r>
        <w:rPr>
          <w:rFonts w:hint="eastAsia" w:ascii="宋体" w:hAnsi="宋体"/>
          <w:color w:val="auto"/>
          <w:highlight w:val="none"/>
        </w:rPr>
        <w:t>开标、评标及定标办法修改表</w:t>
      </w:r>
      <w:bookmarkEnd w:id="64"/>
      <w:bookmarkEnd w:id="65"/>
      <w:bookmarkEnd w:id="66"/>
      <w:bookmarkEnd w:id="67"/>
      <w:bookmarkEnd w:id="68"/>
    </w:p>
    <w:p>
      <w:pPr>
        <w:pStyle w:val="47"/>
        <w:pBdr>
          <w:bottom w:val="single" w:color="auto" w:sz="6" w:space="1"/>
        </w:pBdr>
        <w:spacing w:after="0" w:line="360" w:lineRule="auto"/>
        <w:rPr>
          <w:rFonts w:ascii="宋体" w:hAnsi="宋体" w:cs="宋体"/>
          <w:b/>
          <w:color w:val="auto"/>
          <w:szCs w:val="21"/>
          <w:highlight w:val="none"/>
        </w:rPr>
      </w:pPr>
      <w:r>
        <w:rPr>
          <w:rFonts w:hint="eastAsia" w:ascii="宋体" w:hAnsi="宋体" w:cs="宋体"/>
          <w:b/>
          <w:color w:val="auto"/>
          <w:szCs w:val="21"/>
          <w:highlight w:val="none"/>
        </w:rPr>
        <w:t>声明：本开标、评标及定标办法使用</w:t>
      </w:r>
      <w:r>
        <w:rPr>
          <w:rFonts w:ascii="宋体" w:hAnsi="宋体" w:cs="宋体"/>
          <w:b/>
          <w:color w:val="auto"/>
          <w:szCs w:val="21"/>
          <w:highlight w:val="none"/>
        </w:rPr>
        <w:t>GZZB2018-3招标文件范本的开标、评标及定标办法通用条款，与该通用条款不同之处，均在本表中列明，并以现文为准，原文不再有效。本招标文件中不再转录开标、评标及定标办法通用条款，请投标人自行到广州市住房和城乡建设局网站（</w:t>
      </w:r>
      <w:r>
        <w:rPr>
          <w:color w:val="auto"/>
          <w:highlight w:val="none"/>
        </w:rPr>
        <w:fldChar w:fldCharType="begin"/>
      </w:r>
      <w:r>
        <w:rPr>
          <w:color w:val="auto"/>
          <w:highlight w:val="none"/>
        </w:rPr>
        <w:instrText xml:space="preserve"> HYPERLINK "http://www.gzcc.gov.cn/）下载GZZB2018-3" </w:instrText>
      </w:r>
      <w:r>
        <w:rPr>
          <w:color w:val="auto"/>
          <w:highlight w:val="none"/>
        </w:rPr>
        <w:fldChar w:fldCharType="separate"/>
      </w:r>
      <w:r>
        <w:rPr>
          <w:rFonts w:hint="eastAsia" w:ascii="宋体" w:hAnsi="宋体" w:cs="宋体"/>
          <w:b/>
          <w:color w:val="auto"/>
          <w:szCs w:val="21"/>
          <w:highlight w:val="none"/>
          <w:u w:val="single"/>
        </w:rPr>
        <w:t>网址：</w:t>
      </w:r>
      <w:r>
        <w:rPr>
          <w:rFonts w:ascii="宋体" w:hAnsi="宋体" w:cs="宋体"/>
          <w:b/>
          <w:color w:val="auto"/>
          <w:szCs w:val="21"/>
          <w:highlight w:val="none"/>
          <w:u w:val="single"/>
        </w:rPr>
        <w:t>http://zfcj.gz.gov.cn/</w:t>
      </w:r>
      <w:r>
        <w:rPr>
          <w:rStyle w:val="58"/>
          <w:rFonts w:hint="eastAsia" w:ascii="宋体" w:hAnsi="宋体" w:cs="宋体"/>
          <w:b/>
          <w:color w:val="auto"/>
          <w:szCs w:val="21"/>
          <w:highlight w:val="none"/>
          <w:u w:val="none"/>
        </w:rPr>
        <w:t>）下载</w:t>
      </w:r>
      <w:r>
        <w:rPr>
          <w:rStyle w:val="58"/>
          <w:rFonts w:ascii="宋体" w:hAnsi="宋体" w:cs="宋体"/>
          <w:b/>
          <w:color w:val="auto"/>
          <w:szCs w:val="21"/>
          <w:highlight w:val="none"/>
          <w:u w:val="none"/>
        </w:rPr>
        <w:t>GZZB2018-3</w:t>
      </w:r>
      <w:r>
        <w:rPr>
          <w:rStyle w:val="58"/>
          <w:rFonts w:ascii="宋体" w:hAnsi="宋体" w:cs="宋体"/>
          <w:b/>
          <w:color w:val="auto"/>
          <w:szCs w:val="21"/>
          <w:highlight w:val="none"/>
          <w:u w:val="none"/>
        </w:rPr>
        <w:fldChar w:fldCharType="end"/>
      </w:r>
      <w:r>
        <w:rPr>
          <w:rFonts w:hint="eastAsia" w:ascii="宋体" w:hAnsi="宋体" w:cs="宋体"/>
          <w:b/>
          <w:color w:val="auto"/>
          <w:szCs w:val="21"/>
          <w:highlight w:val="none"/>
        </w:rPr>
        <w:t>范本查阅。</w:t>
      </w:r>
    </w:p>
    <w:bookmarkEnd w:id="69"/>
    <w:p>
      <w:pPr>
        <w:spacing w:line="360" w:lineRule="auto"/>
        <w:ind w:firstLine="495" w:firstLineChars="235"/>
        <w:rPr>
          <w:rFonts w:ascii="宋体" w:hAnsi="宋体" w:cs="宋体"/>
          <w:b/>
          <w:color w:val="auto"/>
          <w:szCs w:val="21"/>
          <w:highlight w:val="none"/>
        </w:rPr>
      </w:pPr>
      <w:bookmarkStart w:id="70" w:name="_Hlk135490239"/>
      <w:bookmarkStart w:id="71" w:name="_Toc2272556"/>
      <w:r>
        <w:rPr>
          <w:rFonts w:hint="eastAsia" w:ascii="宋体" w:hAnsi="宋体" w:cs="宋体"/>
          <w:b/>
          <w:color w:val="auto"/>
          <w:szCs w:val="21"/>
          <w:highlight w:val="none"/>
        </w:rPr>
        <w:t>条款号：</w:t>
      </w:r>
      <w:r>
        <w:rPr>
          <w:rFonts w:ascii="宋体" w:hAnsi="宋体" w:cs="宋体"/>
          <w:b/>
          <w:color w:val="auto"/>
          <w:szCs w:val="21"/>
          <w:highlight w:val="none"/>
        </w:rPr>
        <w:t xml:space="preserve"> 36.1                       </w:t>
      </w:r>
      <w:r>
        <w:rPr>
          <w:rFonts w:hint="eastAsia" w:ascii="宋体" w:hAnsi="宋体" w:cs="宋体"/>
          <w:b/>
          <w:color w:val="auto"/>
          <w:szCs w:val="21"/>
          <w:highlight w:val="none"/>
        </w:rPr>
        <w:t>修改类型：修改</w:t>
      </w:r>
    </w:p>
    <w:p>
      <w:pPr>
        <w:spacing w:line="360" w:lineRule="auto"/>
        <w:ind w:firstLine="495" w:firstLineChars="235"/>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 xml:space="preserve">36.1 </w:t>
      </w:r>
      <w:r>
        <w:rPr>
          <w:rFonts w:hint="eastAsia" w:ascii="宋体" w:hAnsi="宋体" w:cs="宋体"/>
          <w:color w:val="auto"/>
          <w:szCs w:val="21"/>
          <w:highlight w:val="none"/>
        </w:rPr>
        <w:t>招标人按投标须知前附表第</w:t>
      </w:r>
      <w:r>
        <w:rPr>
          <w:rFonts w:ascii="宋体" w:hAnsi="宋体" w:cs="宋体"/>
          <w:color w:val="auto"/>
          <w:szCs w:val="21"/>
          <w:highlight w:val="none"/>
        </w:rPr>
        <w:t>18项所规定的时间和地点公开开标，并邀请所有投标人参加。截标后，开标开始时间因故推迟的，相关评标信息仍以原定的开标开始时间的信息为准。</w:t>
      </w:r>
    </w:p>
    <w:p>
      <w:pPr>
        <w:pBdr>
          <w:bottom w:val="single" w:color="auto" w:sz="6" w:space="1"/>
        </w:pBd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 xml:space="preserve">36.1 </w:t>
      </w:r>
      <w:r>
        <w:rPr>
          <w:rFonts w:hint="eastAsia" w:ascii="宋体" w:hAnsi="宋体" w:cs="宋体"/>
          <w:color w:val="auto"/>
          <w:szCs w:val="21"/>
          <w:highlight w:val="none"/>
        </w:rPr>
        <w:t>招标人按投标须知前附表第</w:t>
      </w:r>
      <w:r>
        <w:rPr>
          <w:rFonts w:ascii="宋体" w:hAnsi="宋体" w:cs="宋体"/>
          <w:color w:val="auto"/>
          <w:szCs w:val="21"/>
          <w:highlight w:val="none"/>
        </w:rPr>
        <w:t>18项所规定的时间和地点公开开标，并邀请所有投标人参加。截标后，开标开始时间因故推迟的，相关评标信息仍以原定的开标开始时间的信息为准。</w:t>
      </w:r>
      <w:r>
        <w:rPr>
          <w:rFonts w:hint="eastAsia" w:ascii="宋体" w:hAnsi="宋体" w:cs="宋体"/>
          <w:color w:val="auto"/>
          <w:szCs w:val="21"/>
          <w:highlight w:val="none"/>
          <w:u w:val="single"/>
        </w:rPr>
        <w:t>若投标人不参加开标会的，其投标文件在开标现场的投标人或招标人代表、招标代理机构代表及交易中心代表见证下公开开启、解密、公布，并视同该投标人认可开标结果</w:t>
      </w:r>
      <w:r>
        <w:rPr>
          <w:rFonts w:hint="eastAsia" w:ascii="宋体" w:hAnsi="宋体" w:cs="宋体"/>
          <w:color w:val="auto"/>
          <w:szCs w:val="21"/>
          <w:highlight w:val="none"/>
        </w:rPr>
        <w:t>。</w:t>
      </w:r>
      <w:bookmarkEnd w:id="70"/>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36.3                        </w:t>
      </w:r>
      <w:r>
        <w:rPr>
          <w:rFonts w:hint="eastAsia" w:ascii="宋体" w:hAnsi="宋体" w:cs="宋体"/>
          <w:b/>
          <w:color w:val="auto"/>
          <w:szCs w:val="21"/>
          <w:highlight w:val="none"/>
        </w:rPr>
        <w:t>修改类型：删除</w:t>
      </w:r>
    </w:p>
    <w:p>
      <w:pPr>
        <w:pBdr>
          <w:bottom w:val="single" w:color="auto" w:sz="6" w:space="1"/>
        </w:pBd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36.3根据投标须知前附表第19项，如需抽取某一种评标办法供评标时使用的，应在开标前抽取。首先对招标文件中约定的若干种评标方法进行编号，再随机抽取某一编号，该编号所对应的评标办法供评标时使用。</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36.5.1                      </w:t>
      </w:r>
      <w:r>
        <w:rPr>
          <w:rFonts w:hint="eastAsia" w:ascii="宋体" w:hAnsi="宋体" w:cs="宋体"/>
          <w:b/>
          <w:color w:val="auto"/>
          <w:szCs w:val="21"/>
          <w:highlight w:val="none"/>
        </w:rPr>
        <w:t>修改类型：修改</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36.5.1在投标截止时间后半小时内，投标人通过</w:t>
      </w:r>
      <w:r>
        <w:rPr>
          <w:rFonts w:ascii="宋体" w:hAnsi="宋体" w:cs="宋体"/>
          <w:color w:val="auto"/>
          <w:szCs w:val="21"/>
          <w:highlight w:val="none"/>
          <w:u w:val="single"/>
        </w:rPr>
        <w:t xml:space="preserve">        </w:t>
      </w:r>
      <w:r>
        <w:rPr>
          <w:rFonts w:hint="eastAsia" w:ascii="宋体" w:hAnsi="宋体" w:cs="宋体"/>
          <w:color w:val="auto"/>
          <w:szCs w:val="21"/>
          <w:highlight w:val="none"/>
        </w:rPr>
        <w:t>交易平台对已递交的电子投标文件进行解密。投标人完成解密后，再由招标人进行解密。解密完成后，公布招标项目名称、投标人名称、投标保证金的递交情况、投标报价、工期及其他内容；</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36.5.1在投标截止时间后半小时内，投标人通过</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交易平台对已递交的电子投标文件进行解密。投标人完成解密后，再由招标人</w:t>
      </w:r>
      <w:r>
        <w:rPr>
          <w:rFonts w:hint="eastAsia" w:ascii="宋体" w:hAnsi="宋体" w:cs="宋体"/>
          <w:color w:val="auto"/>
          <w:szCs w:val="21"/>
          <w:highlight w:val="none"/>
          <w:u w:val="single"/>
        </w:rPr>
        <w:t>或招标代理</w:t>
      </w:r>
      <w:r>
        <w:rPr>
          <w:rFonts w:hint="eastAsia" w:ascii="宋体" w:hAnsi="宋体" w:cs="宋体"/>
          <w:color w:val="auto"/>
          <w:szCs w:val="21"/>
          <w:highlight w:val="none"/>
        </w:rPr>
        <w:t>进行解密。解密完成后，公布招标项目名称、投标人名称</w:t>
      </w:r>
      <w:r>
        <w:rPr>
          <w:rFonts w:hint="eastAsia" w:ascii="宋体" w:hAnsi="宋体" w:cs="宋体"/>
          <w:strike/>
          <w:color w:val="auto"/>
          <w:szCs w:val="21"/>
          <w:highlight w:val="none"/>
        </w:rPr>
        <w:t>、投标保证金</w:t>
      </w:r>
      <w:r>
        <w:rPr>
          <w:rFonts w:hint="eastAsia" w:ascii="宋体" w:hAnsi="宋体" w:cs="宋体"/>
          <w:color w:val="auto"/>
          <w:szCs w:val="21"/>
          <w:highlight w:val="none"/>
        </w:rPr>
        <w:t>的递交情况、投标报价、工期及其他内容；</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36.5.3                      </w:t>
      </w:r>
      <w:r>
        <w:rPr>
          <w:rFonts w:hint="eastAsia" w:ascii="宋体" w:hAnsi="宋体" w:cs="宋体"/>
          <w:b/>
          <w:color w:val="auto"/>
          <w:szCs w:val="21"/>
          <w:highlight w:val="none"/>
        </w:rPr>
        <w:t>修改类型：修改</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36.5.3</w:t>
      </w:r>
      <w:r>
        <w:rPr>
          <w:rFonts w:hint="eastAsia" w:ascii="宋体" w:hAnsi="宋体" w:cs="宋体"/>
          <w:color w:val="auto"/>
          <w:szCs w:val="21"/>
          <w:highlight w:val="none"/>
        </w:rPr>
        <w:t>投标人代表、招标人代表、监标人、记录人等有关人员在开标记录上签字确认；若有关人员不签字的，不影响开标程序；</w:t>
      </w:r>
    </w:p>
    <w:p>
      <w:pPr>
        <w:pBdr>
          <w:bottom w:val="single" w:color="auto" w:sz="6" w:space="1"/>
        </w:pBdr>
        <w:spacing w:line="360" w:lineRule="auto"/>
        <w:ind w:firstLine="424" w:firstLineChars="201"/>
        <w:rPr>
          <w:rFonts w:ascii="宋体" w:hAnsi="宋体" w:cs="宋体"/>
          <w:color w:val="auto"/>
          <w:szCs w:val="21"/>
          <w:highlight w:val="none"/>
          <w:u w:val="single"/>
        </w:rPr>
      </w:pPr>
      <w:r>
        <w:rPr>
          <w:rFonts w:hint="eastAsia" w:ascii="宋体" w:hAnsi="宋体" w:cs="宋体"/>
          <w:b/>
          <w:color w:val="auto"/>
          <w:szCs w:val="21"/>
          <w:highlight w:val="none"/>
        </w:rPr>
        <w:t>现文：</w:t>
      </w:r>
      <w:r>
        <w:rPr>
          <w:rFonts w:ascii="宋体" w:hAnsi="宋体" w:cs="宋体"/>
          <w:color w:val="auto"/>
          <w:szCs w:val="21"/>
          <w:highlight w:val="none"/>
        </w:rPr>
        <w:t>36.5.3</w:t>
      </w:r>
      <w:r>
        <w:rPr>
          <w:rFonts w:hint="eastAsia" w:ascii="宋体" w:hAnsi="宋体" w:cs="宋体"/>
          <w:color w:val="auto"/>
          <w:szCs w:val="21"/>
          <w:highlight w:val="none"/>
        </w:rPr>
        <w:t>投标人代表、招标人代表、监标人、记录人等有关人员在开标记录上签字确认；若有关人员不签字的，不影响开标程序；</w:t>
      </w:r>
      <w:r>
        <w:rPr>
          <w:rFonts w:hint="eastAsia" w:ascii="宋体" w:hAnsi="宋体" w:cs="宋体"/>
          <w:color w:val="auto"/>
          <w:szCs w:val="21"/>
          <w:highlight w:val="none"/>
          <w:u w:val="single"/>
        </w:rPr>
        <w:t>若投标人不参加开标会的，或不签字确认的，视同该投标人认可开标结果。</w:t>
      </w:r>
    </w:p>
    <w:p>
      <w:pP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37.2.2                      </w:t>
      </w:r>
      <w:r>
        <w:rPr>
          <w:rFonts w:hint="eastAsia" w:ascii="宋体" w:hAnsi="宋体" w:cs="宋体"/>
          <w:b/>
          <w:color w:val="auto"/>
          <w:szCs w:val="21"/>
          <w:highlight w:val="none"/>
        </w:rPr>
        <w:t>修改类型：修改</w:t>
      </w:r>
    </w:p>
    <w:p>
      <w:pPr>
        <w:spacing w:line="360" w:lineRule="auto"/>
        <w:ind w:firstLine="472" w:firstLineChars="224"/>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37.2.2向招标人报告评审意见，推荐合格的中标候选人。</w:t>
      </w:r>
    </w:p>
    <w:p>
      <w:pPr>
        <w:pBdr>
          <w:bottom w:val="single" w:color="auto" w:sz="6" w:space="1"/>
        </w:pBdr>
        <w:spacing w:line="360" w:lineRule="auto"/>
        <w:ind w:firstLine="527" w:firstLineChars="250"/>
        <w:rPr>
          <w:rFonts w:hint="default" w:ascii="宋体" w:hAnsi="宋体" w:eastAsia="宋体" w:cs="宋体"/>
          <w:color w:val="auto"/>
          <w:szCs w:val="21"/>
          <w:highlight w:val="none"/>
          <w:lang w:val="en-US" w:eastAsia="zh-CN"/>
        </w:rPr>
      </w:pPr>
      <w:r>
        <w:rPr>
          <w:rFonts w:hint="eastAsia" w:ascii="宋体" w:hAnsi="宋体" w:cs="宋体"/>
          <w:b/>
          <w:color w:val="auto"/>
          <w:szCs w:val="21"/>
          <w:highlight w:val="none"/>
        </w:rPr>
        <w:t>现文：</w:t>
      </w:r>
      <w:r>
        <w:rPr>
          <w:rFonts w:ascii="宋体" w:hAnsi="宋体" w:cs="宋体"/>
          <w:color w:val="auto"/>
          <w:szCs w:val="21"/>
          <w:highlight w:val="none"/>
        </w:rPr>
        <w:t>37.2.2向招标人报告评审意见，</w:t>
      </w:r>
      <w:r>
        <w:rPr>
          <w:rFonts w:hint="eastAsia" w:ascii="宋体" w:hAnsi="宋体" w:cs="宋体"/>
          <w:color w:val="auto"/>
          <w:szCs w:val="21"/>
          <w:highlight w:val="none"/>
          <w:u w:val="single"/>
        </w:rPr>
        <w:t>评标委员会按照第二阶段的排序推荐</w:t>
      </w:r>
      <w:r>
        <w:rPr>
          <w:rFonts w:ascii="宋体" w:hAnsi="宋体" w:cs="宋体"/>
          <w:color w:val="auto"/>
          <w:szCs w:val="21"/>
          <w:highlight w:val="none"/>
          <w:u w:val="single"/>
        </w:rPr>
        <w:t>前</w:t>
      </w:r>
      <w:r>
        <w:rPr>
          <w:rFonts w:hint="eastAsia" w:ascii="宋体" w:hAnsi="宋体" w:cs="宋体"/>
          <w:color w:val="auto"/>
          <w:szCs w:val="21"/>
          <w:highlight w:val="none"/>
          <w:u w:val="single"/>
          <w:lang w:val="en-US" w:eastAsia="zh-CN"/>
        </w:rPr>
        <w:t>9</w:t>
      </w:r>
      <w:r>
        <w:rPr>
          <w:rFonts w:ascii="宋体" w:hAnsi="宋体" w:cs="宋体"/>
          <w:color w:val="auto"/>
          <w:szCs w:val="21"/>
          <w:highlight w:val="none"/>
          <w:u w:val="single"/>
        </w:rPr>
        <w:t>名（通过经济标有效性审查家数在[3,</w:t>
      </w:r>
      <w:r>
        <w:rPr>
          <w:rFonts w:hint="eastAsia" w:ascii="宋体" w:hAnsi="宋体" w:cs="宋体"/>
          <w:color w:val="auto"/>
          <w:szCs w:val="21"/>
          <w:highlight w:val="none"/>
          <w:u w:val="single"/>
          <w:lang w:val="en-US" w:eastAsia="zh-CN"/>
        </w:rPr>
        <w:t>9</w:t>
      </w:r>
      <w:r>
        <w:rPr>
          <w:rFonts w:ascii="宋体" w:hAnsi="宋体" w:cs="宋体"/>
          <w:color w:val="auto"/>
          <w:szCs w:val="21"/>
          <w:highlight w:val="none"/>
          <w:u w:val="single"/>
        </w:rPr>
        <w:t>]的，以实际家数为准；超过</w:t>
      </w:r>
      <w:r>
        <w:rPr>
          <w:rFonts w:hint="eastAsia" w:ascii="宋体" w:hAnsi="宋体" w:cs="宋体"/>
          <w:color w:val="auto"/>
          <w:szCs w:val="21"/>
          <w:highlight w:val="none"/>
          <w:u w:val="single"/>
          <w:lang w:val="en-US" w:eastAsia="zh-CN"/>
        </w:rPr>
        <w:t>9</w:t>
      </w:r>
      <w:r>
        <w:rPr>
          <w:rFonts w:ascii="宋体" w:hAnsi="宋体" w:cs="宋体"/>
          <w:color w:val="auto"/>
          <w:szCs w:val="21"/>
          <w:highlight w:val="none"/>
          <w:u w:val="single"/>
        </w:rPr>
        <w:t>家的，则只推荐</w:t>
      </w:r>
      <w:r>
        <w:rPr>
          <w:rFonts w:hint="eastAsia" w:ascii="宋体" w:hAnsi="宋体" w:cs="宋体"/>
          <w:color w:val="auto"/>
          <w:szCs w:val="21"/>
          <w:highlight w:val="none"/>
          <w:u w:val="single"/>
          <w:lang w:eastAsia="zh-CN"/>
        </w:rPr>
        <w:t>前</w:t>
      </w:r>
      <w:r>
        <w:rPr>
          <w:rFonts w:hint="eastAsia" w:ascii="宋体" w:hAnsi="宋体" w:cs="宋体"/>
          <w:color w:val="auto"/>
          <w:szCs w:val="21"/>
          <w:highlight w:val="none"/>
          <w:u w:val="single"/>
          <w:lang w:val="en-US" w:eastAsia="zh-CN"/>
        </w:rPr>
        <w:t>9</w:t>
      </w:r>
      <w:r>
        <w:rPr>
          <w:rFonts w:ascii="宋体" w:hAnsi="宋体" w:cs="宋体"/>
          <w:color w:val="auto"/>
          <w:szCs w:val="21"/>
          <w:highlight w:val="none"/>
          <w:u w:val="single"/>
        </w:rPr>
        <w:t>家）不排序的合格中标候选人进入定标阶段【按统一社会信用代码后4位（除校验码外）大小排位，如统一社会信用代码后4位出现字母情况的，字母以“0”进行代替大小排位；如出现后4位（除校验码外）大小一致的，则随机排位】。</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38.1                               </w:t>
      </w:r>
      <w:r>
        <w:rPr>
          <w:rFonts w:hint="eastAsia" w:ascii="宋体" w:hAnsi="宋体" w:cs="宋体"/>
          <w:b/>
          <w:color w:val="auto"/>
          <w:szCs w:val="21"/>
          <w:highlight w:val="none"/>
        </w:rPr>
        <w:t>修改类型：修改</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38.1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38.1为有助于投标文件的审查、评价和比较，评标期间，经评标委员会或评标委员会专业评审组中两人以上（含两人）</w:t>
      </w:r>
      <w:r>
        <w:rPr>
          <w:rFonts w:hint="eastAsia" w:ascii="宋体" w:hAnsi="宋体" w:cs="宋体"/>
          <w:color w:val="auto"/>
          <w:szCs w:val="21"/>
          <w:highlight w:val="none"/>
          <w:u w:val="single"/>
        </w:rPr>
        <w:t>的成员</w:t>
      </w:r>
      <w:r>
        <w:rPr>
          <w:rFonts w:hint="eastAsia" w:ascii="宋体" w:hAnsi="宋体" w:cs="宋体"/>
          <w:color w:val="auto"/>
          <w:szCs w:val="21"/>
          <w:highlight w:val="none"/>
        </w:rPr>
        <w:t>以书面形式提出动议，评标委员会或评标委员会专业评审组应当书面发出澄清通知，要求投标人对投标文件含义不明确</w:t>
      </w:r>
      <w:r>
        <w:rPr>
          <w:rFonts w:hint="eastAsia" w:ascii="宋体" w:hAnsi="宋体" w:cs="宋体"/>
          <w:color w:val="auto"/>
          <w:szCs w:val="21"/>
          <w:highlight w:val="none"/>
          <w:u w:val="single"/>
        </w:rPr>
        <w:t>、对同类问题表述不一致、有明显文字和计算错误的内容以及细微偏差</w:t>
      </w:r>
      <w:r>
        <w:rPr>
          <w:rFonts w:hint="eastAsia" w:ascii="宋体" w:hAnsi="宋体" w:cs="宋体"/>
          <w:color w:val="auto"/>
          <w:szCs w:val="21"/>
          <w:highlight w:val="none"/>
        </w:rPr>
        <w:t>的内容作出澄清。</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条款号：38.5                               修改类型：修改</w:t>
      </w:r>
    </w:p>
    <w:p>
      <w:pPr>
        <w:pBdr>
          <w:bottom w:val="single" w:color="auto" w:sz="6" w:space="1"/>
        </w:pBdr>
        <w:spacing w:line="360" w:lineRule="auto"/>
        <w:ind w:firstLine="404" w:firstLineChars="201"/>
        <w:rPr>
          <w:rFonts w:ascii="宋体" w:hAnsi="宋体" w:cs="宋体"/>
          <w:color w:val="auto"/>
          <w:szCs w:val="21"/>
          <w:highlight w:val="none"/>
        </w:rPr>
      </w:pPr>
      <w:r>
        <w:rPr>
          <w:rFonts w:hint="eastAsia" w:ascii="宋体" w:hAnsi="宋体" w:cs="宋体"/>
          <w:b/>
          <w:color w:val="auto"/>
          <w:sz w:val="20"/>
          <w:szCs w:val="20"/>
          <w:highlight w:val="none"/>
        </w:rPr>
        <w:t>原文：</w:t>
      </w:r>
      <w:r>
        <w:rPr>
          <w:rFonts w:hint="eastAsia" w:ascii="宋体" w:hAnsi="宋体"/>
          <w:color w:val="auto"/>
          <w:sz w:val="22"/>
          <w:highlight w:val="none"/>
        </w:rPr>
        <w:t>3</w:t>
      </w:r>
      <w:r>
        <w:rPr>
          <w:rFonts w:hint="eastAsia" w:ascii="宋体" w:hAnsi="宋体" w:cs="宋体"/>
          <w:color w:val="auto"/>
          <w:szCs w:val="21"/>
          <w:highlight w:val="none"/>
        </w:rPr>
        <w:t>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pPr>
        <w:pBdr>
          <w:bottom w:val="single" w:color="auto" w:sz="6" w:space="1"/>
        </w:pBdr>
        <w:spacing w:line="360" w:lineRule="auto"/>
        <w:ind w:firstLine="404" w:firstLineChars="201"/>
        <w:rPr>
          <w:rFonts w:ascii="宋体" w:hAnsi="宋体" w:cs="宋体"/>
          <w:color w:val="auto"/>
          <w:szCs w:val="21"/>
          <w:highlight w:val="none"/>
          <w:u w:val="single"/>
        </w:rPr>
      </w:pPr>
      <w:r>
        <w:rPr>
          <w:rFonts w:hint="eastAsia" w:ascii="宋体" w:hAnsi="宋体" w:cs="宋体"/>
          <w:b/>
          <w:color w:val="auto"/>
          <w:sz w:val="20"/>
          <w:szCs w:val="20"/>
          <w:highlight w:val="none"/>
        </w:rPr>
        <w:t>现文：</w:t>
      </w:r>
      <w:r>
        <w:rPr>
          <w:rFonts w:hint="eastAsia" w:ascii="宋体" w:hAnsi="宋体" w:cs="宋体"/>
          <w:color w:val="auto"/>
          <w:szCs w:val="21"/>
          <w:highlight w:val="none"/>
        </w:rPr>
        <w:t>38.5</w:t>
      </w:r>
      <w:r>
        <w:rPr>
          <w:rFonts w:hint="eastAsia" w:ascii="宋体" w:hAnsi="宋体" w:cs="宋体"/>
          <w:color w:val="auto"/>
          <w:szCs w:val="21"/>
          <w:highlight w:val="none"/>
          <w:u w:val="single"/>
        </w:rPr>
        <w:t>投标人如在本项目中存在串通投标、弄虚作假、行贿情形且在评标或定标过程中未被发现的，该投标不改变本项目评标结果排序，若在定标过程中被确定为中标人，其中标无效，招标人可从其他合格中标候选人中采用原定标办法，由原定标委员会重新确定中标人，也可以重新招标</w:t>
      </w:r>
      <w:r>
        <w:rPr>
          <w:rFonts w:hint="eastAsia" w:ascii="宋体" w:hAnsi="宋体" w:cs="宋体"/>
          <w:color w:val="auto"/>
          <w:sz w:val="20"/>
          <w:szCs w:val="20"/>
          <w:highlight w:val="none"/>
          <w:u w:val="single"/>
        </w:rPr>
        <w:t>。</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39                                </w:t>
      </w:r>
      <w:r>
        <w:rPr>
          <w:rFonts w:hint="eastAsia" w:ascii="宋体" w:hAnsi="宋体" w:cs="宋体"/>
          <w:b/>
          <w:color w:val="auto"/>
          <w:szCs w:val="21"/>
          <w:highlight w:val="none"/>
        </w:rPr>
        <w:t>修改类型：删除</w:t>
      </w:r>
    </w:p>
    <w:p>
      <w:pPr>
        <w:spacing w:line="360" w:lineRule="auto"/>
        <w:ind w:firstLine="424" w:firstLineChars="201"/>
        <w:rPr>
          <w:rFonts w:ascii="宋体" w:hAnsi="宋体" w:cs="宋体"/>
          <w:b/>
          <w:bCs/>
          <w:color w:val="auto"/>
          <w:szCs w:val="21"/>
          <w:highlight w:val="none"/>
        </w:rPr>
      </w:pPr>
      <w:r>
        <w:rPr>
          <w:rFonts w:hint="eastAsia" w:ascii="宋体" w:hAnsi="宋体"/>
          <w:b/>
          <w:bCs/>
          <w:color w:val="auto"/>
          <w:szCs w:val="21"/>
          <w:highlight w:val="none"/>
        </w:rPr>
        <w:t>原文：</w:t>
      </w:r>
      <w:r>
        <w:rPr>
          <w:rFonts w:ascii="宋体" w:hAnsi="宋体" w:cs="宋体"/>
          <w:b/>
          <w:bCs/>
          <w:color w:val="auto"/>
          <w:szCs w:val="21"/>
          <w:highlight w:val="none"/>
        </w:rPr>
        <w:t>39．定标</w:t>
      </w:r>
    </w:p>
    <w:p>
      <w:pP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39.1招标人根据评标委员会递交的评标报告，最终审定中标人。</w:t>
      </w:r>
    </w:p>
    <w:p>
      <w:pP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39.2依法必须进行公开招标的项目，招标人应当确定排名第一的中标候选人为中标人。</w:t>
      </w:r>
    </w:p>
    <w:p>
      <w:pP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39.3排名第一的中标候选人放弃中标、或因不可抗力提出不能履行合同，或者招标文件规定应当提交履约担保而在规定的期限内未能提交的，招标人可以确定排名第二的中标候选人为中标人。</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39.4排名第二的中标候选人出现前款所列的情形的，招标人可以确定排名第三的中标候选人为中标人。以此类推，如所有中标候选人均出现前款所列的情形，为招标失败，招标人依法重新招标。</w:t>
      </w:r>
    </w:p>
    <w:p>
      <w:pPr>
        <w:pBdr>
          <w:bottom w:val="single" w:color="auto" w:sz="6" w:space="1"/>
        </w:pBd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39.5重新评标的，评标信息（含业绩、奖项等）仍以投标截止时投标人的信息为准。因特殊原因需要延长投标有效期，投标人拒绝延长投标有效期的，仍参与评标，但不被推荐为中标候选人。</w:t>
      </w:r>
    </w:p>
    <w:p>
      <w:pPr>
        <w:spacing w:line="360" w:lineRule="auto"/>
        <w:ind w:firstLine="472" w:firstLineChars="224"/>
        <w:rPr>
          <w:rFonts w:ascii="宋体" w:hAnsi="宋体" w:cs="宋体"/>
          <w:color w:val="auto"/>
          <w:szCs w:val="21"/>
          <w:highlight w:val="none"/>
        </w:rPr>
      </w:pPr>
      <w:r>
        <w:rPr>
          <w:rFonts w:hint="eastAsia" w:ascii="宋体" w:hAnsi="宋体" w:cs="宋体"/>
          <w:b/>
          <w:color w:val="auto"/>
          <w:szCs w:val="21"/>
          <w:highlight w:val="none"/>
        </w:rPr>
        <w:t>条款号：（二）开标评标办法程序和细则　注</w:t>
      </w:r>
      <w:r>
        <w:rPr>
          <w:rFonts w:ascii="宋体" w:hAnsi="宋体" w:cs="宋体"/>
          <w:b/>
          <w:color w:val="auto"/>
          <w:szCs w:val="21"/>
          <w:highlight w:val="none"/>
        </w:rPr>
        <w:t xml:space="preserve">       </w:t>
      </w:r>
      <w:r>
        <w:rPr>
          <w:rFonts w:hint="eastAsia" w:ascii="宋体" w:hAnsi="宋体" w:cs="宋体"/>
          <w:b/>
          <w:color w:val="auto"/>
          <w:szCs w:val="21"/>
          <w:highlight w:val="none"/>
        </w:rPr>
        <w:t>　修改类型：删除</w:t>
      </w:r>
    </w:p>
    <w:p>
      <w:pPr>
        <w:spacing w:line="360" w:lineRule="auto"/>
        <w:ind w:firstLine="422" w:firstLineChars="200"/>
        <w:rPr>
          <w:rFonts w:ascii="宋体" w:hAnsi="宋体"/>
          <w:color w:val="auto"/>
          <w:szCs w:val="21"/>
          <w:highlight w:val="none"/>
        </w:rPr>
      </w:pPr>
      <w:r>
        <w:rPr>
          <w:rFonts w:hint="eastAsia" w:ascii="宋体" w:hAnsi="宋体"/>
          <w:b/>
          <w:bCs/>
          <w:color w:val="auto"/>
          <w:szCs w:val="21"/>
          <w:highlight w:val="none"/>
        </w:rPr>
        <w:t>原文：</w:t>
      </w:r>
      <w:r>
        <w:rPr>
          <w:rFonts w:hint="eastAsia" w:ascii="宋体" w:hAnsi="宋体"/>
          <w:color w:val="auto"/>
          <w:szCs w:val="21"/>
          <w:highlight w:val="none"/>
        </w:rPr>
        <w:t>（二）开标评标办法程序和细则</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注：以下七种评标办法所述企业综合诚信评价分数即投标截止当日广州市工程招标代理行业协会网站上公布的企业综合诚信评价</w:t>
      </w:r>
      <w:r>
        <w:rPr>
          <w:rFonts w:ascii="宋体" w:hAnsi="宋体" w:cs="宋体"/>
          <w:color w:val="auto"/>
          <w:szCs w:val="21"/>
          <w:highlight w:val="none"/>
        </w:rPr>
        <w:t>60</w:t>
      </w:r>
      <w:r>
        <w:rPr>
          <w:rFonts w:hint="eastAsia" w:ascii="宋体" w:hAnsi="宋体" w:cs="宋体"/>
          <w:color w:val="auto"/>
          <w:szCs w:val="21"/>
          <w:highlight w:val="none"/>
        </w:rPr>
        <w:t>日诚信分。</w:t>
      </w:r>
    </w:p>
    <w:p>
      <w:pPr>
        <w:pBdr>
          <w:bottom w:val="single" w:color="auto" w:sz="6" w:space="1"/>
        </w:pBdr>
        <w:spacing w:line="360" w:lineRule="auto"/>
        <w:ind w:firstLine="472" w:firstLineChars="224"/>
        <w:rPr>
          <w:rFonts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u w:val="single"/>
        </w:rPr>
        <w:t>（二）开标评标办法程序和细则</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可选办法一（适合综合评分法一，技术标与经济标先后分别开启）</w:t>
      </w:r>
      <w:r>
        <w:rPr>
          <w:rFonts w:ascii="宋体" w:hAnsi="宋体" w:cs="宋体"/>
          <w:b/>
          <w:color w:val="auto"/>
          <w:szCs w:val="21"/>
          <w:highlight w:val="none"/>
        </w:rPr>
        <w:t xml:space="preserve"> 修改类型：删除</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详见</w:t>
      </w:r>
      <w:r>
        <w:rPr>
          <w:rFonts w:hint="eastAsia" w:ascii="宋体" w:hAnsi="宋体" w:cs="宋体"/>
          <w:bCs/>
          <w:color w:val="auto"/>
          <w:szCs w:val="21"/>
          <w:highlight w:val="none"/>
        </w:rPr>
        <w:t>最新版广州市建设工程施工公开招标项目招标文件范本（适用于资格后审综合评分法、经评审的最低投标价法的施工电子招标项目）</w:t>
      </w:r>
      <w:r>
        <w:rPr>
          <w:rFonts w:ascii="宋体" w:hAnsi="宋体" w:cs="宋体"/>
          <w:bCs/>
          <w:color w:val="auto"/>
          <w:szCs w:val="21"/>
          <w:highlight w:val="none"/>
        </w:rPr>
        <w:t>GZZB2018-3</w:t>
      </w:r>
      <w:r>
        <w:rPr>
          <w:rFonts w:hint="eastAsia" w:ascii="宋体" w:hAnsi="宋体" w:cs="宋体"/>
          <w:color w:val="auto"/>
          <w:szCs w:val="21"/>
          <w:highlight w:val="none"/>
        </w:rPr>
        <w:t>。</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可选办法二（适合综合评分法一，技术标与经济标同时开启）</w:t>
      </w:r>
      <w:r>
        <w:rPr>
          <w:rFonts w:ascii="宋体" w:hAnsi="宋体" w:cs="宋体"/>
          <w:b/>
          <w:color w:val="auto"/>
          <w:szCs w:val="21"/>
          <w:highlight w:val="none"/>
        </w:rPr>
        <w:t xml:space="preserve">     修改类型：删除</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详见</w:t>
      </w:r>
      <w:r>
        <w:rPr>
          <w:rFonts w:hint="eastAsia" w:ascii="宋体" w:hAnsi="宋体" w:cs="宋体"/>
          <w:bCs/>
          <w:color w:val="auto"/>
          <w:szCs w:val="21"/>
          <w:highlight w:val="none"/>
        </w:rPr>
        <w:t>最新版广州市建设工程施工公开招标项目招标文件范本（适用于资格后审综合评分法、经评审的最低投标价法的施工电子招标项目）</w:t>
      </w:r>
      <w:r>
        <w:rPr>
          <w:rFonts w:ascii="宋体" w:hAnsi="宋体" w:cs="宋体"/>
          <w:bCs/>
          <w:color w:val="auto"/>
          <w:szCs w:val="21"/>
          <w:highlight w:val="none"/>
        </w:rPr>
        <w:t>GZZB2018-3</w:t>
      </w:r>
      <w:r>
        <w:rPr>
          <w:rFonts w:hint="eastAsia" w:ascii="宋体" w:hAnsi="宋体" w:cs="宋体"/>
          <w:color w:val="auto"/>
          <w:szCs w:val="21"/>
          <w:highlight w:val="none"/>
        </w:rPr>
        <w:t>。</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可选办法三（适合综合评分法二，技术标与经济标先后分别开启）</w:t>
      </w:r>
      <w:r>
        <w:rPr>
          <w:rFonts w:ascii="宋体" w:hAnsi="宋体" w:cs="宋体"/>
          <w:b/>
          <w:color w:val="auto"/>
          <w:szCs w:val="21"/>
          <w:highlight w:val="none"/>
        </w:rPr>
        <w:t xml:space="preserve"> 修改类型：删除</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详见</w:t>
      </w:r>
      <w:r>
        <w:rPr>
          <w:rFonts w:hint="eastAsia" w:ascii="宋体" w:hAnsi="宋体" w:cs="宋体"/>
          <w:bCs/>
          <w:color w:val="auto"/>
          <w:szCs w:val="21"/>
          <w:highlight w:val="none"/>
        </w:rPr>
        <w:t>最新版广州市建设工程施工公开招标项目招标文件范本（适用于资格后审综合评分法、经评审的最低投标价法的施工电子招标项目）</w:t>
      </w:r>
      <w:r>
        <w:rPr>
          <w:rFonts w:ascii="宋体" w:hAnsi="宋体" w:cs="宋体"/>
          <w:bCs/>
          <w:color w:val="auto"/>
          <w:szCs w:val="21"/>
          <w:highlight w:val="none"/>
        </w:rPr>
        <w:t>GZZB2018-3</w:t>
      </w:r>
      <w:r>
        <w:rPr>
          <w:rFonts w:hint="eastAsia" w:ascii="宋体" w:hAnsi="宋体" w:cs="宋体"/>
          <w:color w:val="auto"/>
          <w:szCs w:val="21"/>
          <w:highlight w:val="none"/>
        </w:rPr>
        <w:t>。</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可选办法四（适合综合评分法二，技术标与经济标同时开启）</w:t>
      </w:r>
      <w:r>
        <w:rPr>
          <w:rFonts w:ascii="宋体" w:hAnsi="宋体" w:cs="宋体"/>
          <w:b/>
          <w:color w:val="auto"/>
          <w:szCs w:val="21"/>
          <w:highlight w:val="none"/>
        </w:rPr>
        <w:t xml:space="preserve">     修改类型：删除</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详见</w:t>
      </w:r>
      <w:r>
        <w:rPr>
          <w:rFonts w:hint="eastAsia" w:ascii="宋体" w:hAnsi="宋体" w:cs="宋体"/>
          <w:bCs/>
          <w:color w:val="auto"/>
          <w:szCs w:val="21"/>
          <w:highlight w:val="none"/>
        </w:rPr>
        <w:t>最新版广州市建设工程施工公开招标项目招标文件范本（适用于资格后审综合评分法、经评审的最低投标价法的施工电子招标项目）</w:t>
      </w:r>
      <w:r>
        <w:rPr>
          <w:rFonts w:ascii="宋体" w:hAnsi="宋体" w:cs="宋体"/>
          <w:bCs/>
          <w:color w:val="auto"/>
          <w:szCs w:val="21"/>
          <w:highlight w:val="none"/>
        </w:rPr>
        <w:t>GZZB2018-3</w:t>
      </w:r>
      <w:r>
        <w:rPr>
          <w:rFonts w:hint="eastAsia" w:ascii="宋体" w:hAnsi="宋体" w:cs="宋体"/>
          <w:color w:val="auto"/>
          <w:szCs w:val="21"/>
          <w:highlight w:val="none"/>
        </w:rPr>
        <w:t>。</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可选办法五（适合综合评分法三，技术标与经济标先后分别开启）</w:t>
      </w:r>
      <w:r>
        <w:rPr>
          <w:rFonts w:ascii="宋体" w:hAnsi="宋体" w:cs="宋体"/>
          <w:b/>
          <w:color w:val="auto"/>
          <w:szCs w:val="21"/>
          <w:highlight w:val="none"/>
        </w:rPr>
        <w:t xml:space="preserve"> 修改类型：删除</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详见</w:t>
      </w:r>
      <w:r>
        <w:rPr>
          <w:rFonts w:hint="eastAsia" w:ascii="宋体" w:hAnsi="宋体" w:cs="宋体"/>
          <w:bCs/>
          <w:color w:val="auto"/>
          <w:szCs w:val="21"/>
          <w:highlight w:val="none"/>
        </w:rPr>
        <w:t>最新版广州市建设工程施工公开招标项目招标文件范本（适用于资格后审综合评分法、经评审的最低投标价法的施工电子招标项目）</w:t>
      </w:r>
      <w:r>
        <w:rPr>
          <w:rFonts w:ascii="宋体" w:hAnsi="宋体" w:cs="宋体"/>
          <w:bCs/>
          <w:color w:val="auto"/>
          <w:szCs w:val="21"/>
          <w:highlight w:val="none"/>
        </w:rPr>
        <w:t>GZZB2018-3</w:t>
      </w:r>
      <w:r>
        <w:rPr>
          <w:rFonts w:hint="eastAsia" w:ascii="宋体" w:hAnsi="宋体" w:cs="宋体"/>
          <w:color w:val="auto"/>
          <w:szCs w:val="21"/>
          <w:highlight w:val="none"/>
        </w:rPr>
        <w:t>。</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可选办法七（适合综合评分法四，技术标与经济标同时开启）</w:t>
      </w:r>
      <w:r>
        <w:rPr>
          <w:rFonts w:ascii="宋体" w:hAnsi="宋体" w:cs="宋体"/>
          <w:b/>
          <w:color w:val="auto"/>
          <w:szCs w:val="21"/>
          <w:highlight w:val="none"/>
        </w:rPr>
        <w:t xml:space="preserve">     修改类型：删除</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详见</w:t>
      </w:r>
      <w:r>
        <w:rPr>
          <w:rFonts w:hint="eastAsia" w:ascii="宋体" w:hAnsi="宋体" w:cs="宋体"/>
          <w:bCs/>
          <w:color w:val="auto"/>
          <w:szCs w:val="21"/>
          <w:highlight w:val="none"/>
        </w:rPr>
        <w:t>最新版广州市建设工程施工公开招标项目招标文件范本（适用于资格后审综合评分法、经评审的最低投标价法的施工电子招标项目）</w:t>
      </w:r>
      <w:r>
        <w:rPr>
          <w:rFonts w:ascii="宋体" w:hAnsi="宋体" w:cs="宋体"/>
          <w:bCs/>
          <w:color w:val="auto"/>
          <w:szCs w:val="21"/>
          <w:highlight w:val="none"/>
        </w:rPr>
        <w:t>GZZB2018-3</w:t>
      </w:r>
      <w:r>
        <w:rPr>
          <w:rFonts w:hint="eastAsia" w:ascii="宋体" w:hAnsi="宋体" w:cs="宋体"/>
          <w:color w:val="auto"/>
          <w:szCs w:val="21"/>
          <w:highlight w:val="none"/>
        </w:rPr>
        <w:t>。</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 w:val="18"/>
          <w:szCs w:val="18"/>
          <w:highlight w:val="none"/>
        </w:rPr>
        <w:t>可选办法八（适合经评审的最低投标价法，技术标与经济标同时开启）</w:t>
      </w:r>
      <w:r>
        <w:rPr>
          <w:rFonts w:ascii="宋体" w:hAnsi="宋体" w:cs="宋体"/>
          <w:color w:val="auto"/>
          <w:sz w:val="18"/>
          <w:szCs w:val="18"/>
          <w:highlight w:val="none"/>
        </w:rPr>
        <w:t xml:space="preserve">       </w:t>
      </w:r>
      <w:r>
        <w:rPr>
          <w:rFonts w:hint="eastAsia" w:ascii="宋体" w:hAnsi="宋体" w:cs="宋体"/>
          <w:b/>
          <w:color w:val="auto"/>
          <w:szCs w:val="21"/>
          <w:highlight w:val="none"/>
        </w:rPr>
        <w:t>修改类型：删除</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详见</w:t>
      </w:r>
      <w:r>
        <w:rPr>
          <w:rFonts w:hint="eastAsia" w:ascii="宋体" w:hAnsi="宋体" w:cs="宋体"/>
          <w:bCs/>
          <w:color w:val="auto"/>
          <w:szCs w:val="21"/>
          <w:highlight w:val="none"/>
        </w:rPr>
        <w:t>最新版广州市建设工程施工公开招标项目招标文件范本（适用于资格后审综合评分法、经评审的最低投标价法的施工电子招标项目）</w:t>
      </w:r>
      <w:r>
        <w:rPr>
          <w:rFonts w:ascii="宋体" w:hAnsi="宋体" w:cs="宋体"/>
          <w:bCs/>
          <w:color w:val="auto"/>
          <w:szCs w:val="21"/>
          <w:highlight w:val="none"/>
        </w:rPr>
        <w:t>GZZB2018-3</w:t>
      </w:r>
      <w:r>
        <w:rPr>
          <w:rFonts w:hint="eastAsia" w:ascii="宋体" w:hAnsi="宋体" w:cs="宋体"/>
          <w:color w:val="auto"/>
          <w:szCs w:val="21"/>
          <w:highlight w:val="none"/>
        </w:rPr>
        <w:t>。</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40                          </w:t>
      </w:r>
      <w:r>
        <w:rPr>
          <w:rFonts w:hint="eastAsia" w:ascii="宋体" w:hAnsi="宋体" w:cs="宋体"/>
          <w:b/>
          <w:color w:val="auto"/>
          <w:szCs w:val="21"/>
          <w:highlight w:val="none"/>
        </w:rPr>
        <w:t>修改类型：修改</w:t>
      </w:r>
    </w:p>
    <w:p>
      <w:pP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40．开标和评标程序：</w:t>
      </w:r>
    </w:p>
    <w:p>
      <w:pP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40.1投标人递交技术标、经济标投标文件；</w:t>
      </w:r>
    </w:p>
    <w:p>
      <w:pP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40.2技术标与经济标投标文件同时公开开标；</w:t>
      </w:r>
    </w:p>
    <w:p>
      <w:pP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40.3由评标委员会对所有已公开开标的投标人进行资格审查；</w:t>
      </w:r>
    </w:p>
    <w:p>
      <w:pP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40.4技术标投标文件有效性审查；</w:t>
      </w:r>
    </w:p>
    <w:p>
      <w:pP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40.5技术标详细审查评分；</w:t>
      </w:r>
    </w:p>
    <w:p>
      <w:pP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 xml:space="preserve">40.6计算第一阶段得分，并按照总分从高到低排列先后次序，编写第一阶段评审报告； </w:t>
      </w:r>
    </w:p>
    <w:p>
      <w:pP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40.7按投标须知前附表第25项规定，确定进入第二阶段评审的投标人；</w:t>
      </w:r>
    </w:p>
    <w:p>
      <w:pP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40.8将进入第二阶段评审的投标人进行排序；</w:t>
      </w:r>
    </w:p>
    <w:p>
      <w:pP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40.9按排序对经济标投标文件进行有效性审查（含投标报价算术校核），直至评出所有中标候选人；</w:t>
      </w:r>
    </w:p>
    <w:p>
      <w:pPr>
        <w:spacing w:line="360" w:lineRule="auto"/>
        <w:ind w:firstLine="422" w:firstLineChars="201"/>
        <w:rPr>
          <w:rFonts w:ascii="宋体" w:hAnsi="宋体" w:cs="宋体"/>
          <w:b/>
          <w:color w:val="auto"/>
          <w:szCs w:val="21"/>
          <w:highlight w:val="none"/>
        </w:rPr>
      </w:pPr>
      <w:r>
        <w:rPr>
          <w:rFonts w:ascii="宋体" w:hAnsi="宋体" w:cs="宋体"/>
          <w:color w:val="auto"/>
          <w:szCs w:val="21"/>
          <w:highlight w:val="none"/>
        </w:rPr>
        <w:t>40.10评标委员会编写评标报告，向招标人推荐中标候选人名单。</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40．开标和评标程序：</w:t>
      </w:r>
    </w:p>
    <w:p>
      <w:pPr>
        <w:pBdr>
          <w:bottom w:val="single" w:color="auto" w:sz="6" w:space="1"/>
        </w:pBd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40.1投标人递交技术标、经济标投标文件；</w:t>
      </w:r>
    </w:p>
    <w:p>
      <w:pPr>
        <w:pBdr>
          <w:bottom w:val="single" w:color="auto" w:sz="6" w:space="1"/>
        </w:pBd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40.2技术标与经济标投标文件同时公开开标；</w:t>
      </w:r>
    </w:p>
    <w:p>
      <w:pPr>
        <w:pBdr>
          <w:bottom w:val="single" w:color="auto" w:sz="6" w:space="1"/>
        </w:pBd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40.3由评标委员会对所有已公开开标的投标人进行资格审查</w:t>
      </w:r>
      <w:r>
        <w:rPr>
          <w:rFonts w:hint="eastAsia" w:ascii="宋体" w:hAnsi="宋体" w:cs="宋体"/>
          <w:color w:val="auto"/>
          <w:szCs w:val="21"/>
          <w:highlight w:val="none"/>
          <w:u w:val="single"/>
        </w:rPr>
        <w:t>，并编写资格审查报告</w:t>
      </w:r>
      <w:r>
        <w:rPr>
          <w:rFonts w:hint="eastAsia" w:ascii="宋体" w:hAnsi="宋体" w:cs="宋体"/>
          <w:color w:val="auto"/>
          <w:szCs w:val="21"/>
          <w:highlight w:val="none"/>
        </w:rPr>
        <w:t>；</w:t>
      </w:r>
    </w:p>
    <w:p>
      <w:pPr>
        <w:pBdr>
          <w:bottom w:val="single" w:color="auto" w:sz="6" w:space="1"/>
        </w:pBd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40.4技术标投标文件有效性审查；</w:t>
      </w:r>
    </w:p>
    <w:p>
      <w:pPr>
        <w:pBdr>
          <w:bottom w:val="single" w:color="auto" w:sz="6" w:space="1"/>
        </w:pBd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40.5技术标详细审查评分；</w:t>
      </w:r>
    </w:p>
    <w:p>
      <w:pPr>
        <w:pBdr>
          <w:bottom w:val="single" w:color="auto" w:sz="6" w:space="1"/>
        </w:pBd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40.6</w:t>
      </w:r>
      <w:r>
        <w:rPr>
          <w:rFonts w:hint="eastAsia" w:ascii="宋体" w:hAnsi="宋体" w:cs="宋体"/>
          <w:color w:val="auto"/>
          <w:szCs w:val="21"/>
          <w:highlight w:val="none"/>
          <w:u w:val="single"/>
        </w:rPr>
        <w:t>按投标须知前附表第</w:t>
      </w:r>
      <w:r>
        <w:rPr>
          <w:rFonts w:ascii="宋体" w:hAnsi="宋体" w:cs="宋体"/>
          <w:color w:val="auto"/>
          <w:szCs w:val="21"/>
          <w:highlight w:val="none"/>
          <w:u w:val="single"/>
        </w:rPr>
        <w:t>19项规定</w:t>
      </w:r>
      <w:r>
        <w:rPr>
          <w:rFonts w:hint="eastAsia" w:ascii="宋体" w:hAnsi="宋体" w:cs="宋体"/>
          <w:color w:val="auto"/>
          <w:szCs w:val="21"/>
          <w:highlight w:val="none"/>
        </w:rPr>
        <w:t>计算第一阶段得分，并按照总分从高到低排列先后次序，编写第一阶段评审报告；</w:t>
      </w:r>
      <w:r>
        <w:rPr>
          <w:rFonts w:ascii="宋体" w:hAnsi="宋体" w:cs="宋体"/>
          <w:color w:val="auto"/>
          <w:szCs w:val="21"/>
          <w:highlight w:val="none"/>
        </w:rPr>
        <w:t xml:space="preserve"> </w:t>
      </w:r>
    </w:p>
    <w:p>
      <w:pPr>
        <w:pBdr>
          <w:bottom w:val="single" w:color="auto" w:sz="6" w:space="1"/>
        </w:pBd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rPr>
        <w:t>40.7</w:t>
      </w:r>
      <w:r>
        <w:rPr>
          <w:rFonts w:hint="eastAsia" w:ascii="宋体" w:hAnsi="宋体" w:cs="宋体"/>
          <w:color w:val="auto"/>
          <w:szCs w:val="21"/>
          <w:highlight w:val="none"/>
          <w:u w:val="single"/>
        </w:rPr>
        <w:t>按投标须知前附表第</w:t>
      </w:r>
      <w:r>
        <w:rPr>
          <w:rFonts w:hint="eastAsia" w:ascii="宋体" w:hAnsi="宋体" w:cs="宋体"/>
          <w:color w:val="auto"/>
          <w:szCs w:val="21"/>
          <w:highlight w:val="none"/>
          <w:u w:val="single"/>
          <w:lang w:val="en-US" w:eastAsia="zh-CN"/>
        </w:rPr>
        <w:t>25</w:t>
      </w:r>
      <w:r>
        <w:rPr>
          <w:rFonts w:ascii="宋体" w:hAnsi="宋体" w:cs="宋体"/>
          <w:color w:val="auto"/>
          <w:szCs w:val="21"/>
          <w:highlight w:val="none"/>
          <w:u w:val="single"/>
        </w:rPr>
        <w:t>项规定</w:t>
      </w:r>
      <w:r>
        <w:rPr>
          <w:rFonts w:ascii="宋体" w:hAnsi="宋体" w:cs="宋体"/>
          <w:color w:val="auto"/>
          <w:szCs w:val="21"/>
          <w:highlight w:val="none"/>
        </w:rPr>
        <w:t>，确定进入第二阶段评审的投标人；</w:t>
      </w:r>
    </w:p>
    <w:p>
      <w:pPr>
        <w:pBdr>
          <w:bottom w:val="single" w:color="auto" w:sz="6" w:space="1"/>
        </w:pBd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u w:val="single"/>
        </w:rPr>
        <w:t>40.8</w:t>
      </w:r>
      <w:r>
        <w:rPr>
          <w:rFonts w:hint="eastAsia" w:ascii="宋体" w:hAnsi="宋体" w:cs="宋体"/>
          <w:bCs/>
          <w:color w:val="auto"/>
          <w:szCs w:val="21"/>
          <w:highlight w:val="none"/>
          <w:u w:val="single"/>
        </w:rPr>
        <w:t>经济标详细审查评分</w:t>
      </w:r>
      <w:r>
        <w:rPr>
          <w:rFonts w:hint="eastAsia" w:ascii="宋体" w:hAnsi="宋体" w:cs="宋体"/>
          <w:color w:val="auto"/>
          <w:szCs w:val="21"/>
          <w:highlight w:val="none"/>
          <w:u w:val="single"/>
        </w:rPr>
        <w:t>；</w:t>
      </w:r>
    </w:p>
    <w:p>
      <w:pPr>
        <w:pBdr>
          <w:bottom w:val="single" w:color="auto" w:sz="6" w:space="1"/>
        </w:pBdr>
        <w:spacing w:line="360" w:lineRule="auto"/>
        <w:ind w:firstLine="422" w:firstLineChars="201"/>
        <w:rPr>
          <w:rFonts w:ascii="宋体" w:hAnsi="宋体" w:cs="宋体"/>
          <w:color w:val="auto"/>
          <w:szCs w:val="21"/>
          <w:highlight w:val="none"/>
        </w:rPr>
      </w:pPr>
      <w:r>
        <w:rPr>
          <w:rFonts w:ascii="宋体" w:hAnsi="宋体" w:cs="宋体"/>
          <w:color w:val="auto"/>
          <w:szCs w:val="21"/>
          <w:highlight w:val="none"/>
          <w:u w:val="single"/>
        </w:rPr>
        <w:t>40.9对进入第二阶段的投标人按投标须知前附表第19项规定计算第二阶段得分并排序；</w:t>
      </w:r>
    </w:p>
    <w:p>
      <w:pPr>
        <w:pBdr>
          <w:bottom w:val="single" w:color="auto" w:sz="6" w:space="1"/>
        </w:pBdr>
        <w:spacing w:line="360" w:lineRule="auto"/>
        <w:ind w:firstLine="470" w:firstLineChars="224"/>
        <w:rPr>
          <w:rFonts w:ascii="宋体" w:hAnsi="宋体" w:cs="宋体"/>
          <w:color w:val="auto"/>
          <w:szCs w:val="21"/>
          <w:highlight w:val="none"/>
        </w:rPr>
      </w:pPr>
      <w:r>
        <w:rPr>
          <w:rFonts w:ascii="宋体" w:hAnsi="宋体" w:cs="宋体"/>
          <w:color w:val="auto"/>
          <w:szCs w:val="21"/>
          <w:highlight w:val="none"/>
        </w:rPr>
        <w:t>40.10</w:t>
      </w:r>
      <w:r>
        <w:rPr>
          <w:rFonts w:hint="eastAsia" w:ascii="宋体" w:hAnsi="宋体" w:cs="宋体"/>
          <w:bCs/>
          <w:color w:val="auto"/>
          <w:szCs w:val="21"/>
          <w:highlight w:val="none"/>
        </w:rPr>
        <w:t>经济标投标文件有效性审查</w:t>
      </w:r>
      <w:r>
        <w:rPr>
          <w:rFonts w:hint="eastAsia" w:ascii="宋体" w:hAnsi="宋体" w:cs="宋体"/>
          <w:color w:val="auto"/>
          <w:szCs w:val="21"/>
          <w:highlight w:val="none"/>
        </w:rPr>
        <w:t>；</w:t>
      </w:r>
    </w:p>
    <w:p>
      <w:pPr>
        <w:pBdr>
          <w:bottom w:val="single" w:color="auto" w:sz="6" w:space="1"/>
        </w:pBdr>
        <w:spacing w:line="360" w:lineRule="auto"/>
        <w:ind w:firstLine="422" w:firstLineChars="201"/>
        <w:rPr>
          <w:rFonts w:hAnsi="宋体" w:cs="宋体"/>
          <w:color w:val="auto"/>
          <w:szCs w:val="21"/>
          <w:highlight w:val="none"/>
          <w:u w:val="single"/>
        </w:rPr>
      </w:pPr>
      <w:r>
        <w:rPr>
          <w:rFonts w:ascii="宋体" w:hAnsi="宋体" w:cs="宋体"/>
          <w:color w:val="auto"/>
          <w:szCs w:val="21"/>
          <w:highlight w:val="none"/>
          <w:u w:val="single"/>
        </w:rPr>
        <w:t>40.11</w:t>
      </w:r>
      <w:r>
        <w:rPr>
          <w:rFonts w:hint="eastAsia" w:ascii="宋体" w:hAnsi="宋体" w:cs="宋体"/>
          <w:bCs/>
          <w:color w:val="auto"/>
          <w:szCs w:val="21"/>
          <w:highlight w:val="none"/>
          <w:u w:val="single"/>
        </w:rPr>
        <w:t>评标委员会编写资格审查报告以及评标报告，</w:t>
      </w:r>
      <w:r>
        <w:rPr>
          <w:rFonts w:hint="eastAsia" w:ascii="宋体" w:hAnsi="宋体"/>
          <w:color w:val="auto"/>
          <w:szCs w:val="21"/>
          <w:highlight w:val="none"/>
          <w:u w:val="single"/>
        </w:rPr>
        <w:t>评标委员会按照第二阶段的排序</w:t>
      </w:r>
      <w:r>
        <w:rPr>
          <w:rFonts w:hint="eastAsia" w:ascii="宋体" w:hAnsi="宋体" w:cs="宋体"/>
          <w:bCs/>
          <w:color w:val="auto"/>
          <w:szCs w:val="21"/>
          <w:highlight w:val="none"/>
          <w:u w:val="single"/>
        </w:rPr>
        <w:t>推荐</w:t>
      </w:r>
      <w:r>
        <w:rPr>
          <w:rFonts w:hint="eastAsia" w:ascii="宋体" w:hAnsi="宋体" w:cs="宋体"/>
          <w:bCs/>
          <w:color w:val="auto"/>
          <w:szCs w:val="21"/>
          <w:highlight w:val="none"/>
          <w:u w:val="single"/>
          <w:lang w:eastAsia="zh-CN"/>
        </w:rPr>
        <w:t>前</w:t>
      </w:r>
      <w:r>
        <w:rPr>
          <w:rFonts w:hint="eastAsia" w:ascii="宋体" w:hAnsi="宋体" w:cs="宋体"/>
          <w:bCs/>
          <w:color w:val="auto"/>
          <w:szCs w:val="21"/>
          <w:highlight w:val="none"/>
          <w:u w:val="single"/>
          <w:lang w:val="en-US" w:eastAsia="zh-CN"/>
        </w:rPr>
        <w:t>9</w:t>
      </w:r>
      <w:r>
        <w:rPr>
          <w:rFonts w:ascii="宋体" w:hAnsi="宋体" w:cs="宋体"/>
          <w:bCs/>
          <w:color w:val="auto"/>
          <w:szCs w:val="21"/>
          <w:highlight w:val="none"/>
          <w:u w:val="single"/>
        </w:rPr>
        <w:t>名</w:t>
      </w:r>
      <w:r>
        <w:rPr>
          <w:rFonts w:hint="eastAsia" w:ascii="宋体" w:hAnsi="宋体" w:cs="宋体"/>
          <w:color w:val="auto"/>
          <w:szCs w:val="21"/>
          <w:highlight w:val="none"/>
          <w:u w:val="single"/>
        </w:rPr>
        <w:t>（通过经济标有效性审查家数在</w:t>
      </w:r>
      <w:r>
        <w:rPr>
          <w:rFonts w:ascii="宋体" w:hAnsi="宋体" w:cs="宋体"/>
          <w:color w:val="auto"/>
          <w:szCs w:val="21"/>
          <w:highlight w:val="none"/>
          <w:u w:val="single"/>
        </w:rPr>
        <w:t>[3,</w:t>
      </w:r>
      <w:r>
        <w:rPr>
          <w:rFonts w:hint="eastAsia" w:ascii="宋体" w:hAnsi="宋体" w:cs="宋体"/>
          <w:color w:val="auto"/>
          <w:szCs w:val="21"/>
          <w:highlight w:val="none"/>
          <w:u w:val="single"/>
          <w:lang w:val="en-US" w:eastAsia="zh-CN"/>
        </w:rPr>
        <w:t>9</w:t>
      </w:r>
      <w:r>
        <w:rPr>
          <w:rFonts w:ascii="宋体" w:hAnsi="宋体" w:cs="宋体"/>
          <w:color w:val="auto"/>
          <w:szCs w:val="21"/>
          <w:highlight w:val="none"/>
          <w:u w:val="single"/>
        </w:rPr>
        <w:t>]的，以实际家数为准；超过</w:t>
      </w:r>
      <w:r>
        <w:rPr>
          <w:rFonts w:hint="eastAsia" w:ascii="宋体" w:hAnsi="宋体" w:cs="宋体"/>
          <w:color w:val="auto"/>
          <w:szCs w:val="21"/>
          <w:highlight w:val="none"/>
          <w:u w:val="single"/>
          <w:lang w:val="en-US" w:eastAsia="zh-CN"/>
        </w:rPr>
        <w:t>9</w:t>
      </w:r>
      <w:r>
        <w:rPr>
          <w:rFonts w:ascii="宋体" w:hAnsi="宋体" w:cs="宋体"/>
          <w:color w:val="auto"/>
          <w:szCs w:val="21"/>
          <w:highlight w:val="none"/>
          <w:u w:val="single"/>
        </w:rPr>
        <w:t>家的，则只推荐</w:t>
      </w:r>
      <w:r>
        <w:rPr>
          <w:rFonts w:hint="eastAsia" w:ascii="宋体" w:hAnsi="宋体" w:cs="宋体"/>
          <w:color w:val="auto"/>
          <w:szCs w:val="21"/>
          <w:highlight w:val="none"/>
          <w:u w:val="single"/>
          <w:lang w:val="en-US" w:eastAsia="zh-CN"/>
        </w:rPr>
        <w:t>前9</w:t>
      </w:r>
      <w:r>
        <w:rPr>
          <w:rFonts w:ascii="宋体" w:hAnsi="宋体" w:cs="宋体"/>
          <w:color w:val="auto"/>
          <w:szCs w:val="21"/>
          <w:highlight w:val="none"/>
          <w:u w:val="single"/>
        </w:rPr>
        <w:t>家）不排序的合格中标候选人进入定标阶段【按统一社会信用代码后4位（除校验码外）大小排位，如统一社会信用代码后4位出现字母情况的，字母以“0”进行代替大小排位；如出现后4位（除校验码外）大小一致的，则随机排位】。</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41.1                        </w:t>
      </w:r>
      <w:r>
        <w:rPr>
          <w:rFonts w:hint="eastAsia" w:ascii="宋体" w:hAnsi="宋体" w:cs="宋体"/>
          <w:b/>
          <w:color w:val="auto"/>
          <w:szCs w:val="21"/>
          <w:highlight w:val="none"/>
        </w:rPr>
        <w:t>修改类型：修改</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41.1开标由招标人主持；</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41.1开标由招标人</w:t>
      </w:r>
      <w:r>
        <w:rPr>
          <w:rFonts w:hint="eastAsia" w:ascii="宋体" w:hAnsi="宋体" w:cs="宋体"/>
          <w:color w:val="auto"/>
          <w:szCs w:val="21"/>
          <w:highlight w:val="none"/>
          <w:u w:val="single"/>
        </w:rPr>
        <w:t>或招标代理</w:t>
      </w:r>
      <w:r>
        <w:rPr>
          <w:rFonts w:hint="eastAsia" w:ascii="宋体" w:hAnsi="宋体" w:cs="宋体"/>
          <w:color w:val="auto"/>
          <w:szCs w:val="21"/>
          <w:highlight w:val="none"/>
        </w:rPr>
        <w:t>主持；</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41.2.1                      </w:t>
      </w:r>
      <w:r>
        <w:rPr>
          <w:rFonts w:hint="eastAsia" w:ascii="宋体" w:hAnsi="宋体" w:cs="宋体"/>
          <w:b/>
          <w:color w:val="auto"/>
          <w:szCs w:val="21"/>
          <w:highlight w:val="none"/>
        </w:rPr>
        <w:t>修改类型：修改</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41.2.1投标截止期前，各投标人递交投标文件（包括技术标投标文件、经济标投标文件）至</w:t>
      </w:r>
      <w:r>
        <w:rPr>
          <w:rFonts w:ascii="宋体" w:hAnsi="宋体" w:cs="宋体"/>
          <w:color w:val="auto"/>
          <w:szCs w:val="21"/>
          <w:highlight w:val="none"/>
          <w:u w:val="single"/>
        </w:rPr>
        <w:t xml:space="preserve">        </w:t>
      </w:r>
      <w:r>
        <w:rPr>
          <w:rFonts w:hint="eastAsia" w:ascii="宋体" w:hAnsi="宋体" w:cs="宋体"/>
          <w:color w:val="auto"/>
          <w:szCs w:val="21"/>
          <w:highlight w:val="none"/>
        </w:rPr>
        <w:t>交易平台。有关投标文件提交的事项详见第一章投标须知。</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41.2.1投标截止期前，各投标人递交投标文件（包括</w:t>
      </w:r>
      <w:r>
        <w:rPr>
          <w:rFonts w:hint="eastAsia" w:ascii="宋体" w:hAnsi="宋体" w:cs="宋体"/>
          <w:color w:val="auto"/>
          <w:szCs w:val="21"/>
          <w:highlight w:val="none"/>
          <w:u w:val="single"/>
        </w:rPr>
        <w:t>技术标投标文件（含资格审查文件）</w:t>
      </w:r>
      <w:r>
        <w:rPr>
          <w:rFonts w:hint="eastAsia" w:ascii="宋体" w:hAnsi="宋体" w:cs="宋体"/>
          <w:color w:val="auto"/>
          <w:szCs w:val="21"/>
          <w:highlight w:val="none"/>
        </w:rPr>
        <w:t>、经济标投标文件）</w:t>
      </w:r>
      <w:r>
        <w:rPr>
          <w:rFonts w:hint="eastAsia" w:ascii="宋体" w:hAnsi="宋体" w:cs="宋体"/>
          <w:color w:val="auto"/>
          <w:szCs w:val="21"/>
          <w:highlight w:val="none"/>
          <w:lang w:eastAsia="zh-CN"/>
        </w:rPr>
        <w:t>、定标文件</w:t>
      </w:r>
      <w:r>
        <w:rPr>
          <w:rFonts w:hint="eastAsia" w:ascii="宋体" w:hAnsi="宋体" w:cs="宋体"/>
          <w:color w:val="auto"/>
          <w:szCs w:val="21"/>
          <w:highlight w:val="none"/>
        </w:rPr>
        <w:t>至</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交易平台。有关投标文件提交的事项详见第一章投标须知。</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41.3.1                      </w:t>
      </w:r>
      <w:r>
        <w:rPr>
          <w:rFonts w:hint="eastAsia" w:ascii="宋体" w:hAnsi="宋体" w:cs="宋体"/>
          <w:b/>
          <w:color w:val="auto"/>
          <w:szCs w:val="21"/>
          <w:highlight w:val="none"/>
        </w:rPr>
        <w:t>修改类型：修改</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41.3.1开标时，公布：a、投标人名称；b、投标文件密封情况；c、投标报价；d、投标保证金；e、项目经理（负责人）名称；f、法定代表人证明及授权委托等主要内容及开标记录表中的其他必要内容。投标报价以数字和文字两种方式表述的，应公布文字表述的投标报价。</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41.3.1开标时，公布：a、投标人名称；b、投标文件密封情况；c、投标报价；</w:t>
      </w:r>
      <w:r>
        <w:rPr>
          <w:rFonts w:ascii="宋体" w:hAnsi="宋体" w:cs="宋体"/>
          <w:strike/>
          <w:color w:val="auto"/>
          <w:szCs w:val="21"/>
          <w:highlight w:val="none"/>
        </w:rPr>
        <w:t>d、投标保证金；</w:t>
      </w:r>
      <w:r>
        <w:rPr>
          <w:rFonts w:ascii="宋体" w:hAnsi="宋体" w:cs="宋体"/>
          <w:color w:val="auto"/>
          <w:szCs w:val="21"/>
          <w:highlight w:val="none"/>
        </w:rPr>
        <w:t>e、项目经理（负责人）名称；f、法定代表人证明及授权委托等主要内容及开标记录表中的其他必要内容。投标报价以数字和文字两种方式表述的，应公布文字表述的投标报价。</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41.4                        修改类型：修改</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41.4招标人对开标过程进行记录，并存档备查，投标人在开标记录上签字。</w:t>
      </w:r>
    </w:p>
    <w:p>
      <w:pPr>
        <w:pBdr>
          <w:bottom w:val="single" w:color="auto" w:sz="6" w:space="1"/>
        </w:pBd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41.4</w:t>
      </w:r>
      <w:r>
        <w:rPr>
          <w:rFonts w:hint="eastAsia" w:ascii="宋体" w:hAnsi="宋体" w:cs="宋体"/>
          <w:color w:val="auto"/>
          <w:szCs w:val="21"/>
          <w:highlight w:val="none"/>
        </w:rPr>
        <w:t>招标人</w:t>
      </w:r>
      <w:r>
        <w:rPr>
          <w:rFonts w:hint="eastAsia" w:ascii="宋体" w:hAnsi="宋体" w:cs="宋体"/>
          <w:color w:val="auto"/>
          <w:szCs w:val="21"/>
          <w:highlight w:val="none"/>
          <w:u w:val="single"/>
        </w:rPr>
        <w:t>或招标代理机构</w:t>
      </w:r>
      <w:r>
        <w:rPr>
          <w:rFonts w:hint="eastAsia" w:ascii="宋体" w:hAnsi="宋体" w:cs="宋体"/>
          <w:color w:val="auto"/>
          <w:szCs w:val="21"/>
          <w:highlight w:val="none"/>
        </w:rPr>
        <w:t>对开标过程进行记录，并存档备查，</w:t>
      </w:r>
      <w:r>
        <w:rPr>
          <w:rFonts w:hint="eastAsia" w:ascii="宋体" w:hAnsi="宋体" w:cs="宋体"/>
          <w:color w:val="auto"/>
          <w:szCs w:val="21"/>
          <w:highlight w:val="none"/>
          <w:u w:val="single"/>
        </w:rPr>
        <w:t>参加开标会的</w:t>
      </w:r>
      <w:r>
        <w:rPr>
          <w:rFonts w:hint="eastAsia" w:ascii="宋体" w:hAnsi="宋体" w:cs="宋体"/>
          <w:color w:val="auto"/>
          <w:szCs w:val="21"/>
          <w:highlight w:val="none"/>
        </w:rPr>
        <w:t>投标人在开标记录上签字。</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42.1                        修改类型：修改</w:t>
      </w:r>
    </w:p>
    <w:p>
      <w:pP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42.1</w:t>
      </w:r>
      <w:r>
        <w:rPr>
          <w:rFonts w:hint="eastAsia" w:ascii="宋体" w:hAnsi="宋体" w:cs="宋体"/>
          <w:color w:val="auto"/>
          <w:szCs w:val="21"/>
          <w:highlight w:val="none"/>
        </w:rPr>
        <w:t>评标委员会的组成：方式</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2" w:firstLineChars="201"/>
        <w:rPr>
          <w:rFonts w:ascii="宋体" w:hAnsi="宋体" w:cs="宋体"/>
          <w:color w:val="auto"/>
          <w:szCs w:val="21"/>
          <w:highlight w:val="none"/>
        </w:rPr>
      </w:pPr>
      <w:r>
        <w:rPr>
          <w:rFonts w:hint="eastAsia" w:ascii="宋体" w:hAnsi="宋体" w:cs="宋体"/>
          <w:color w:val="auto"/>
          <w:szCs w:val="21"/>
          <w:highlight w:val="none"/>
        </w:rPr>
        <w:t>方式一：评标委员会为综合评标委员会，负责资格审查及评标工作。</w:t>
      </w:r>
    </w:p>
    <w:p>
      <w:pPr>
        <w:spacing w:line="360" w:lineRule="auto"/>
        <w:ind w:firstLine="422" w:firstLineChars="201"/>
        <w:rPr>
          <w:rFonts w:ascii="宋体" w:hAnsi="宋体" w:cs="宋体"/>
          <w:color w:val="auto"/>
          <w:szCs w:val="21"/>
          <w:highlight w:val="none"/>
        </w:rPr>
      </w:pPr>
      <w:r>
        <w:rPr>
          <w:rFonts w:hint="eastAsia" w:ascii="宋体" w:hAnsi="宋体" w:cs="宋体"/>
          <w:color w:val="auto"/>
          <w:szCs w:val="21"/>
          <w:highlight w:val="none"/>
        </w:rPr>
        <w:t>方式二：评标委员会由技术评审组和经济评审组组成。其中：资格审查及技术评审由技术评标组负责，经济评审由经济评审组负责。</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s="宋体"/>
          <w:color w:val="auto"/>
          <w:szCs w:val="21"/>
          <w:highlight w:val="none"/>
        </w:rPr>
        <w:t>42.1</w:t>
      </w:r>
      <w:r>
        <w:rPr>
          <w:rFonts w:hint="eastAsia" w:ascii="宋体" w:hAnsi="宋体" w:cs="宋体"/>
          <w:color w:val="auto"/>
          <w:szCs w:val="21"/>
          <w:highlight w:val="none"/>
        </w:rPr>
        <w:t>评标委员会的组成：方式</w:t>
      </w:r>
      <w:r>
        <w:rPr>
          <w:rFonts w:hint="eastAsia" w:ascii="宋体" w:hAnsi="宋体" w:cs="宋体"/>
          <w:color w:val="auto"/>
          <w:szCs w:val="21"/>
          <w:highlight w:val="none"/>
          <w:u w:val="single"/>
        </w:rPr>
        <w:t>一：评标委员会为综合评标委员会，负责资格审查及评标工作。</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42.3.2                      修改类型：修改</w:t>
      </w:r>
    </w:p>
    <w:p>
      <w:pP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olor w:val="auto"/>
          <w:szCs w:val="21"/>
          <w:highlight w:val="none"/>
        </w:rPr>
        <w:t>42.3.2</w:t>
      </w:r>
      <w:r>
        <w:rPr>
          <w:rFonts w:ascii="宋体" w:hAnsi="宋体"/>
          <w:color w:val="auto"/>
          <w:szCs w:val="21"/>
          <w:highlight w:val="none"/>
          <w:u w:val="single"/>
        </w:rPr>
        <w:t xml:space="preserve">     </w:t>
      </w:r>
      <w:r>
        <w:rPr>
          <w:rFonts w:hint="eastAsia" w:ascii="宋体" w:hAnsi="宋体"/>
          <w:color w:val="auto"/>
          <w:szCs w:val="21"/>
          <w:highlight w:val="none"/>
        </w:rPr>
        <w:t>详细审查评分：评标委员会按照本办法附表</w:t>
      </w:r>
      <w:r>
        <w:rPr>
          <w:rFonts w:ascii="宋体" w:hAnsi="宋体"/>
          <w:color w:val="auto"/>
          <w:szCs w:val="21"/>
          <w:highlight w:val="none"/>
          <w:u w:val="single"/>
        </w:rPr>
        <w:t xml:space="preserve">    </w:t>
      </w:r>
      <w:r>
        <w:rPr>
          <w:rFonts w:hint="eastAsia" w:ascii="宋体" w:hAnsi="宋体"/>
          <w:color w:val="auto"/>
          <w:szCs w:val="21"/>
          <w:highlight w:val="none"/>
        </w:rPr>
        <w:t>《</w:t>
      </w:r>
      <w:r>
        <w:rPr>
          <w:rFonts w:ascii="宋体" w:hAnsi="宋体"/>
          <w:color w:val="auto"/>
          <w:szCs w:val="21"/>
          <w:highlight w:val="none"/>
          <w:u w:val="single"/>
        </w:rPr>
        <w:t xml:space="preserve">      </w:t>
      </w:r>
      <w:r>
        <w:rPr>
          <w:rFonts w:hint="eastAsia" w:ascii="宋体" w:hAnsi="宋体"/>
          <w:color w:val="auto"/>
          <w:szCs w:val="21"/>
          <w:highlight w:val="none"/>
        </w:rPr>
        <w:t>详细审查评分表》对通过技术标有效性审查的投标文件进行详细审查，评出</w:t>
      </w:r>
      <w:r>
        <w:rPr>
          <w:rFonts w:ascii="宋体" w:hAnsi="宋体"/>
          <w:color w:val="auto"/>
          <w:szCs w:val="21"/>
          <w:highlight w:val="none"/>
          <w:u w:val="single"/>
        </w:rPr>
        <w:t xml:space="preserve">     </w:t>
      </w:r>
      <w:r>
        <w:rPr>
          <w:rFonts w:hint="eastAsia" w:ascii="宋体" w:hAnsi="宋体"/>
          <w:color w:val="auto"/>
          <w:szCs w:val="21"/>
          <w:highlight w:val="none"/>
        </w:rPr>
        <w:t>得分。</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olor w:val="auto"/>
          <w:szCs w:val="21"/>
          <w:highlight w:val="none"/>
        </w:rPr>
        <w:t>42.3.2</w:t>
      </w:r>
      <w:r>
        <w:rPr>
          <w:rFonts w:hint="eastAsia" w:ascii="宋体" w:hAnsi="宋体" w:cs="宋体"/>
          <w:color w:val="auto"/>
          <w:szCs w:val="21"/>
          <w:highlight w:val="none"/>
          <w:u w:val="single"/>
        </w:rPr>
        <w:t>技术标</w:t>
      </w:r>
      <w:r>
        <w:rPr>
          <w:rFonts w:hint="eastAsia" w:ascii="宋体" w:hAnsi="宋体" w:cs="宋体"/>
          <w:color w:val="auto"/>
          <w:szCs w:val="21"/>
          <w:highlight w:val="none"/>
        </w:rPr>
        <w:t>详细审查评分：评标委员会按照本办法附表</w:t>
      </w:r>
      <w:r>
        <w:rPr>
          <w:rFonts w:hint="eastAsia" w:ascii="宋体" w:hAnsi="宋体" w:cs="宋体"/>
          <w:color w:val="auto"/>
          <w:szCs w:val="21"/>
          <w:highlight w:val="none"/>
          <w:u w:val="single"/>
        </w:rPr>
        <w:t>四</w:t>
      </w:r>
      <w:r>
        <w:rPr>
          <w:rFonts w:hint="eastAsia" w:ascii="宋体" w:hAnsi="宋体" w:cs="宋体"/>
          <w:color w:val="auto"/>
          <w:szCs w:val="21"/>
          <w:highlight w:val="none"/>
        </w:rPr>
        <w:t>《</w:t>
      </w:r>
      <w:r>
        <w:rPr>
          <w:rFonts w:hint="eastAsia" w:ascii="宋体" w:hAnsi="宋体" w:cs="宋体"/>
          <w:color w:val="auto"/>
          <w:szCs w:val="21"/>
          <w:highlight w:val="none"/>
          <w:u w:val="single"/>
        </w:rPr>
        <w:t>技术标</w:t>
      </w:r>
      <w:r>
        <w:rPr>
          <w:rFonts w:hint="eastAsia" w:ascii="宋体" w:hAnsi="宋体" w:cs="宋体"/>
          <w:color w:val="auto"/>
          <w:szCs w:val="21"/>
          <w:highlight w:val="none"/>
        </w:rPr>
        <w:t>详细审查评分表》对通过技术标有效性审查的投标文件进行详细审查，评出</w:t>
      </w:r>
      <w:r>
        <w:rPr>
          <w:rFonts w:hint="eastAsia" w:ascii="宋体" w:hAnsi="宋体" w:cs="宋体"/>
          <w:color w:val="auto"/>
          <w:szCs w:val="21"/>
          <w:highlight w:val="none"/>
          <w:u w:val="single"/>
        </w:rPr>
        <w:t>技术标</w:t>
      </w:r>
      <w:r>
        <w:rPr>
          <w:rFonts w:hint="eastAsia" w:ascii="宋体" w:hAnsi="宋体" w:cs="宋体"/>
          <w:color w:val="auto"/>
          <w:szCs w:val="21"/>
          <w:highlight w:val="none"/>
        </w:rPr>
        <w:t>得分</w:t>
      </w:r>
      <w:r>
        <w:rPr>
          <w:rFonts w:hint="eastAsia" w:ascii="宋体" w:hAnsi="宋体" w:cs="宋体"/>
          <w:color w:val="auto"/>
          <w:szCs w:val="21"/>
          <w:highlight w:val="none"/>
          <w:u w:val="single"/>
        </w:rPr>
        <w:t>（即技术分）</w:t>
      </w:r>
      <w:r>
        <w:rPr>
          <w:rFonts w:hint="eastAsia" w:ascii="宋体" w:hAnsi="宋体" w:cs="宋体"/>
          <w:color w:val="auto"/>
          <w:szCs w:val="21"/>
          <w:highlight w:val="none"/>
        </w:rPr>
        <w:t>。</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42.3.4                      修改类型：修改</w:t>
      </w:r>
    </w:p>
    <w:p>
      <w:pP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olor w:val="auto"/>
          <w:szCs w:val="21"/>
          <w:highlight w:val="none"/>
        </w:rPr>
        <w:t>42.3.4评标委员会按照“第一阶段得分=</w:t>
      </w:r>
      <w:r>
        <w:rPr>
          <w:rFonts w:ascii="宋体" w:hAnsi="宋体"/>
          <w:color w:val="auto"/>
          <w:szCs w:val="21"/>
          <w:highlight w:val="none"/>
          <w:u w:val="single"/>
        </w:rPr>
        <w:t xml:space="preserve">               </w:t>
      </w:r>
      <w:r>
        <w:rPr>
          <w:rFonts w:hint="eastAsia" w:ascii="宋体" w:hAnsi="宋体"/>
          <w:color w:val="auto"/>
          <w:szCs w:val="21"/>
          <w:highlight w:val="none"/>
        </w:rPr>
        <w:t>的公式及投标须知前附表第</w:t>
      </w:r>
      <w:r>
        <w:rPr>
          <w:rFonts w:ascii="宋体" w:hAnsi="宋体"/>
          <w:color w:val="auto"/>
          <w:szCs w:val="21"/>
          <w:highlight w:val="none"/>
        </w:rPr>
        <w:t>27项的规定，计算各投标人第一阶段得分(按四舍五入的原则保留两位小数)，并按照得分从高到低排列先后次序，若投标人得分相同的，则名次并列，占用名次。编写第一阶段评审报告。（适用于进行了技术标评分的）</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olor w:val="auto"/>
          <w:szCs w:val="21"/>
          <w:highlight w:val="none"/>
        </w:rPr>
        <w:t>42.3.4评标委员会按照“第一阶段得分=</w:t>
      </w:r>
      <w:r>
        <w:rPr>
          <w:rFonts w:hint="eastAsia" w:ascii="宋体" w:hAnsi="宋体"/>
          <w:color w:val="auto"/>
          <w:szCs w:val="21"/>
          <w:highlight w:val="none"/>
          <w:u w:val="single"/>
        </w:rPr>
        <w:t>技术分</w:t>
      </w:r>
      <w:r>
        <w:rPr>
          <w:rFonts w:hint="eastAsia" w:ascii="宋体" w:hAnsi="宋体" w:cs="宋体"/>
          <w:color w:val="auto"/>
          <w:szCs w:val="21"/>
          <w:highlight w:val="none"/>
          <w:u w:val="single"/>
        </w:rPr>
        <w:t>（满分为</w:t>
      </w:r>
      <w:r>
        <w:rPr>
          <w:rFonts w:ascii="宋体" w:hAnsi="宋体" w:cs="宋体"/>
          <w:color w:val="auto"/>
          <w:szCs w:val="21"/>
          <w:highlight w:val="none"/>
          <w:u w:val="single"/>
        </w:rPr>
        <w:t>100分）×技术</w:t>
      </w:r>
      <w:r>
        <w:rPr>
          <w:rFonts w:hint="eastAsia" w:ascii="宋体" w:hAnsi="宋体" w:cs="宋体"/>
          <w:color w:val="auto"/>
          <w:szCs w:val="21"/>
          <w:highlight w:val="none"/>
          <w:u w:val="single"/>
        </w:rPr>
        <w:t>分权重（</w:t>
      </w:r>
      <w:r>
        <w:rPr>
          <w:rFonts w:ascii="宋体" w:hAnsi="宋体" w:cs="宋体"/>
          <w:color w:val="auto"/>
          <w:szCs w:val="21"/>
          <w:highlight w:val="none"/>
          <w:u w:val="single"/>
        </w:rPr>
        <w:t>100%）</w:t>
      </w:r>
      <w:r>
        <w:rPr>
          <w:rFonts w:hint="eastAsia" w:ascii="宋体" w:hAnsi="宋体"/>
          <w:color w:val="auto"/>
          <w:szCs w:val="21"/>
          <w:highlight w:val="none"/>
        </w:rPr>
        <w:t>的公式及投标须知前附表第</w:t>
      </w:r>
      <w:r>
        <w:rPr>
          <w:rFonts w:ascii="宋体" w:hAnsi="宋体"/>
          <w:color w:val="auto"/>
          <w:szCs w:val="21"/>
          <w:highlight w:val="none"/>
        </w:rPr>
        <w:t>2</w:t>
      </w:r>
      <w:r>
        <w:rPr>
          <w:rFonts w:hint="eastAsia" w:ascii="宋体" w:hAnsi="宋体"/>
          <w:color w:val="auto"/>
          <w:szCs w:val="21"/>
          <w:highlight w:val="none"/>
          <w:lang w:val="en-US" w:eastAsia="zh-CN"/>
        </w:rPr>
        <w:t>7</w:t>
      </w:r>
      <w:r>
        <w:rPr>
          <w:rFonts w:ascii="宋体" w:hAnsi="宋体"/>
          <w:color w:val="auto"/>
          <w:szCs w:val="21"/>
          <w:highlight w:val="none"/>
        </w:rPr>
        <w:t>项的规定，计算各投标人第一阶段得分(按四舍五入的原则保留两位小数)，</w:t>
      </w:r>
      <w:r>
        <w:rPr>
          <w:rFonts w:hint="eastAsia" w:ascii="宋体" w:hAnsi="宋体"/>
          <w:color w:val="auto"/>
          <w:szCs w:val="21"/>
          <w:highlight w:val="none"/>
        </w:rPr>
        <w:t>并按照投标须知前附表第19项规定排序。编写第一阶段评审报告</w:t>
      </w:r>
      <w:r>
        <w:rPr>
          <w:rFonts w:hint="eastAsia" w:ascii="宋体" w:hAnsi="宋体"/>
          <w:color w:val="auto"/>
          <w:szCs w:val="21"/>
          <w:highlight w:val="none"/>
          <w:lang w:eastAsia="zh-CN"/>
        </w:rPr>
        <w:t>。</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42.4.</w:t>
      </w:r>
      <w:r>
        <w:rPr>
          <w:rFonts w:hint="eastAsia" w:ascii="宋体" w:hAnsi="宋体" w:cs="宋体"/>
          <w:b/>
          <w:color w:val="auto"/>
          <w:szCs w:val="21"/>
          <w:highlight w:val="none"/>
          <w:lang w:val="en-US" w:eastAsia="zh-CN"/>
        </w:rPr>
        <w:t>1</w:t>
      </w:r>
      <w:r>
        <w:rPr>
          <w:rFonts w:ascii="宋体" w:hAnsi="宋体" w:cs="宋体"/>
          <w:b/>
          <w:color w:val="auto"/>
          <w:szCs w:val="21"/>
          <w:highlight w:val="none"/>
        </w:rPr>
        <w:t xml:space="preserve">                     修改类型：修改</w:t>
      </w:r>
    </w:p>
    <w:p>
      <w:pPr>
        <w:spacing w:line="360" w:lineRule="auto"/>
        <w:ind w:firstLine="422" w:firstLineChars="200"/>
        <w:rPr>
          <w:rFonts w:ascii="宋体" w:hAnsi="宋体"/>
          <w:color w:val="auto"/>
          <w:sz w:val="21"/>
          <w:szCs w:val="21"/>
          <w:highlight w:val="none"/>
        </w:rPr>
      </w:pPr>
      <w:r>
        <w:rPr>
          <w:rFonts w:hint="eastAsia" w:ascii="宋体" w:hAnsi="宋体" w:cs="宋体"/>
          <w:b/>
          <w:color w:val="auto"/>
          <w:szCs w:val="21"/>
          <w:highlight w:val="none"/>
        </w:rPr>
        <w:t>原文：</w:t>
      </w:r>
      <w:r>
        <w:rPr>
          <w:rFonts w:ascii="宋体" w:hAnsi="宋体"/>
          <w:color w:val="auto"/>
          <w:sz w:val="21"/>
          <w:szCs w:val="21"/>
          <w:highlight w:val="none"/>
        </w:rPr>
        <w:t>42.4.1</w:t>
      </w:r>
      <w:r>
        <w:rPr>
          <w:rFonts w:hint="eastAsia" w:ascii="宋体" w:hAnsi="宋体"/>
          <w:color w:val="auto"/>
          <w:sz w:val="21"/>
          <w:szCs w:val="21"/>
          <w:highlight w:val="none"/>
        </w:rPr>
        <w:t>按照投标须知前附表第</w:t>
      </w:r>
      <w:r>
        <w:rPr>
          <w:rFonts w:ascii="宋体" w:hAnsi="宋体"/>
          <w:color w:val="auto"/>
          <w:sz w:val="21"/>
          <w:szCs w:val="21"/>
          <w:highlight w:val="none"/>
        </w:rPr>
        <w:t>25项规定，确定进入第二阶段评审的投标人。若在进入第二阶段的最后名次发生并列的，则所有并列的投标人均进入第二阶段。</w:t>
      </w:r>
    </w:p>
    <w:p>
      <w:pPr>
        <w:pBdr>
          <w:bottom w:val="single" w:color="auto" w:sz="6" w:space="1"/>
        </w:pBdr>
        <w:spacing w:line="360" w:lineRule="auto"/>
        <w:ind w:firstLine="424" w:firstLineChars="201"/>
        <w:rPr>
          <w:rFonts w:ascii="宋体" w:hAnsi="宋体" w:cs="宋体"/>
          <w:color w:val="auto"/>
          <w:sz w:val="21"/>
          <w:szCs w:val="21"/>
          <w:highlight w:val="none"/>
        </w:rPr>
      </w:pPr>
      <w:r>
        <w:rPr>
          <w:rFonts w:hint="eastAsia" w:ascii="宋体" w:hAnsi="宋体" w:cs="宋体"/>
          <w:b/>
          <w:color w:val="auto"/>
          <w:sz w:val="21"/>
          <w:szCs w:val="21"/>
          <w:highlight w:val="none"/>
        </w:rPr>
        <w:t>现文：</w:t>
      </w:r>
      <w:r>
        <w:rPr>
          <w:rFonts w:hint="eastAsia" w:ascii="宋体" w:hAnsi="宋体"/>
          <w:color w:val="auto"/>
          <w:sz w:val="21"/>
          <w:szCs w:val="21"/>
          <w:highlight w:val="none"/>
        </w:rPr>
        <w:t>42.4.1按照投标须知前附表第2</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项规定，确定进入第二阶段评审的投标人。</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42.4.</w:t>
      </w:r>
      <w:r>
        <w:rPr>
          <w:rFonts w:hint="eastAsia" w:ascii="宋体" w:hAnsi="宋体" w:cs="宋体"/>
          <w:b/>
          <w:color w:val="auto"/>
          <w:szCs w:val="21"/>
          <w:highlight w:val="none"/>
          <w:lang w:val="en-US" w:eastAsia="zh-CN"/>
        </w:rPr>
        <w:t>2</w:t>
      </w:r>
      <w:r>
        <w:rPr>
          <w:rFonts w:ascii="宋体" w:hAnsi="宋体" w:cs="宋体"/>
          <w:b/>
          <w:color w:val="auto"/>
          <w:szCs w:val="21"/>
          <w:highlight w:val="none"/>
        </w:rPr>
        <w:t>.1                    修改类型：修改</w:t>
      </w:r>
    </w:p>
    <w:p>
      <w:pPr>
        <w:spacing w:line="360" w:lineRule="auto"/>
        <w:ind w:firstLine="422" w:firstLineChars="200"/>
        <w:rPr>
          <w:rFonts w:ascii="宋体" w:hAnsi="宋体"/>
          <w:color w:val="auto"/>
          <w:szCs w:val="21"/>
          <w:highlight w:val="none"/>
        </w:rPr>
      </w:pPr>
      <w:r>
        <w:rPr>
          <w:rFonts w:hint="eastAsia" w:ascii="宋体" w:hAnsi="宋体" w:cs="宋体"/>
          <w:b/>
          <w:color w:val="auto"/>
          <w:szCs w:val="21"/>
          <w:highlight w:val="none"/>
        </w:rPr>
        <w:t>原文：</w:t>
      </w:r>
      <w:r>
        <w:rPr>
          <w:rFonts w:ascii="宋体" w:hAnsi="宋体"/>
          <w:color w:val="auto"/>
          <w:szCs w:val="21"/>
          <w:highlight w:val="none"/>
        </w:rPr>
        <w:t>42.4.</w:t>
      </w:r>
      <w:r>
        <w:rPr>
          <w:rFonts w:hint="eastAsia" w:ascii="宋体" w:hAnsi="宋体"/>
          <w:color w:val="auto"/>
          <w:szCs w:val="21"/>
          <w:highlight w:val="none"/>
          <w:lang w:val="en-US" w:eastAsia="zh-CN"/>
        </w:rPr>
        <w:t>2</w:t>
      </w:r>
      <w:r>
        <w:rPr>
          <w:rFonts w:ascii="宋体" w:hAnsi="宋体"/>
          <w:color w:val="auto"/>
          <w:szCs w:val="21"/>
          <w:highlight w:val="none"/>
        </w:rPr>
        <w:t>.1按方法</w:t>
      </w:r>
      <w:r>
        <w:rPr>
          <w:rFonts w:ascii="宋体" w:hAnsi="宋体"/>
          <w:color w:val="auto"/>
          <w:szCs w:val="21"/>
          <w:highlight w:val="none"/>
          <w:u w:val="single"/>
        </w:rPr>
        <w:t xml:space="preserve">    </w:t>
      </w:r>
      <w:r>
        <w:rPr>
          <w:rFonts w:hint="eastAsia" w:ascii="宋体" w:hAnsi="宋体"/>
          <w:color w:val="auto"/>
          <w:szCs w:val="21"/>
          <w:highlight w:val="none"/>
        </w:rPr>
        <w:t>计算评标参考价：</w:t>
      </w:r>
    </w:p>
    <w:p>
      <w:pPr>
        <w:widowControl/>
        <w:spacing w:line="360" w:lineRule="auto"/>
        <w:ind w:firstLine="422" w:firstLineChars="200"/>
        <w:rPr>
          <w:rFonts w:ascii="宋体" w:hAnsi="宋体"/>
          <w:b/>
          <w:bCs/>
          <w:color w:val="auto"/>
          <w:kern w:val="0"/>
          <w:szCs w:val="21"/>
          <w:highlight w:val="none"/>
        </w:rPr>
      </w:pPr>
      <w:r>
        <w:rPr>
          <w:rFonts w:hint="eastAsia" w:ascii="宋体" w:hAnsi="宋体" w:cs="仿宋"/>
          <w:b/>
          <w:bCs/>
          <w:color w:val="auto"/>
          <w:kern w:val="0"/>
          <w:szCs w:val="21"/>
          <w:highlight w:val="none"/>
        </w:rPr>
        <w:t>方法一：加权平均法</w:t>
      </w:r>
    </w:p>
    <w:p>
      <w:pPr>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技术标或技术标加诚信得分或第一阶段入围得分（具体由招标人自定）前</w:t>
      </w:r>
      <w:r>
        <w:rPr>
          <w:rFonts w:ascii="宋体" w:hAnsi="宋体" w:cs="仿宋"/>
          <w:color w:val="auto"/>
          <w:szCs w:val="21"/>
          <w:highlight w:val="none"/>
        </w:rPr>
        <w:t>N</w:t>
      </w:r>
      <w:r>
        <w:rPr>
          <w:rFonts w:hint="eastAsia" w:ascii="宋体" w:hAnsi="宋体" w:cs="仿宋"/>
          <w:color w:val="auto"/>
          <w:szCs w:val="21"/>
          <w:highlight w:val="none"/>
        </w:rPr>
        <w:t>名（</w:t>
      </w:r>
      <w:r>
        <w:rPr>
          <w:rFonts w:ascii="宋体" w:hAnsi="宋体" w:cs="仿宋"/>
          <w:color w:val="auto"/>
          <w:szCs w:val="21"/>
          <w:highlight w:val="none"/>
        </w:rPr>
        <w:t>N≥5，具体由招标人自定）的经济报价加权平均，计算评标参考价。公式如下：</w:t>
      </w:r>
    </w:p>
    <w:p>
      <w:pPr>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评标参考价</w:t>
      </w:r>
      <w:r>
        <w:rPr>
          <w:rFonts w:ascii="宋体" w:hAnsi="宋体" w:cs="仿宋"/>
          <w:color w:val="auto"/>
          <w:szCs w:val="21"/>
          <w:highlight w:val="none"/>
        </w:rPr>
        <w:t>=</w:t>
      </w:r>
      <w:r>
        <w:rPr>
          <w:rFonts w:hint="eastAsia" w:ascii="宋体" w:hAnsi="宋体" w:cs="仿宋"/>
          <w:color w:val="auto"/>
          <w:szCs w:val="21"/>
          <w:highlight w:val="none"/>
        </w:rPr>
        <w:t>Σ（投标人的投标报价</w:t>
      </w:r>
      <w:r>
        <w:rPr>
          <w:rFonts w:ascii="宋体" w:hAnsi="宋体" w:cs="仿宋"/>
          <w:color w:val="auto"/>
          <w:szCs w:val="21"/>
          <w:highlight w:val="none"/>
        </w:rPr>
        <w:t>*</w:t>
      </w:r>
      <w:r>
        <w:rPr>
          <w:rFonts w:hint="eastAsia" w:ascii="宋体" w:hAnsi="宋体" w:cs="仿宋"/>
          <w:color w:val="auto"/>
          <w:szCs w:val="21"/>
          <w:highlight w:val="none"/>
        </w:rPr>
        <w:t>报价权重）。</w:t>
      </w:r>
    </w:p>
    <w:p>
      <w:pPr>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其中：报价权重的计算方法为：将</w:t>
      </w:r>
      <w:r>
        <w:rPr>
          <w:rFonts w:ascii="宋体" w:hAnsi="宋体" w:cs="仿宋"/>
          <w:color w:val="auto"/>
          <w:szCs w:val="21"/>
          <w:highlight w:val="none"/>
        </w:rPr>
        <w:t>N</w:t>
      </w:r>
      <w:r>
        <w:rPr>
          <w:rFonts w:hint="eastAsia" w:ascii="宋体" w:hAnsi="宋体" w:cs="仿宋"/>
          <w:color w:val="auto"/>
          <w:szCs w:val="21"/>
          <w:highlight w:val="none"/>
        </w:rPr>
        <w:t>名投标人按技术分由高至低进行排序，第一名投标人的权重为（</w:t>
      </w:r>
      <w:r>
        <w:rPr>
          <w:rFonts w:ascii="宋体" w:hAnsi="宋体" w:cs="仿宋"/>
          <w:color w:val="auto"/>
          <w:szCs w:val="21"/>
          <w:highlight w:val="none"/>
        </w:rPr>
        <w:fldChar w:fldCharType="begin"/>
      </w:r>
      <w:r>
        <w:rPr>
          <w:rFonts w:ascii="宋体" w:hAnsi="宋体" w:cs="仿宋"/>
          <w:color w:val="auto"/>
          <w:szCs w:val="21"/>
          <w:highlight w:val="none"/>
        </w:rPr>
        <w:instrText xml:space="preserve"> QUOTE </w:instrText>
      </w:r>
      <w:r>
        <w:rPr>
          <w:rFonts w:ascii="宋体" w:hAnsi="宋体"/>
          <w:color w:val="auto"/>
          <w:szCs w:val="21"/>
          <w:highlight w:val="none"/>
        </w:rPr>
        <w:drawing>
          <wp:inline distT="0" distB="0" distL="0" distR="0">
            <wp:extent cx="381000" cy="447675"/>
            <wp:effectExtent l="0" t="0" r="0" b="0"/>
            <wp:docPr id="1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仿宋"/>
          <w:color w:val="auto"/>
          <w:szCs w:val="21"/>
          <w:highlight w:val="none"/>
        </w:rPr>
        <w:fldChar w:fldCharType="separate"/>
      </w:r>
      <w:r>
        <w:rPr>
          <w:rFonts w:ascii="宋体" w:hAnsi="宋体"/>
          <w:color w:val="auto"/>
          <w:szCs w:val="21"/>
          <w:highlight w:val="none"/>
        </w:rPr>
        <w:drawing>
          <wp:inline distT="0" distB="0" distL="0" distR="0">
            <wp:extent cx="381000" cy="44767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仿宋"/>
          <w:color w:val="auto"/>
          <w:szCs w:val="21"/>
          <w:highlight w:val="none"/>
        </w:rPr>
        <w:fldChar w:fldCharType="end"/>
      </w:r>
      <w:r>
        <w:rPr>
          <w:rFonts w:hint="eastAsia" w:ascii="宋体" w:hAnsi="宋体" w:cs="仿宋"/>
          <w:color w:val="auto"/>
          <w:szCs w:val="21"/>
          <w:highlight w:val="none"/>
        </w:rPr>
        <w:t>），第二名投标人的权重为（</w:t>
      </w:r>
      <w:r>
        <w:rPr>
          <w:rFonts w:ascii="宋体" w:hAnsi="宋体" w:cs="仿宋"/>
          <w:color w:val="auto"/>
          <w:szCs w:val="21"/>
          <w:highlight w:val="none"/>
        </w:rPr>
        <w:fldChar w:fldCharType="begin"/>
      </w:r>
      <w:r>
        <w:rPr>
          <w:rFonts w:ascii="宋体" w:hAnsi="宋体" w:cs="仿宋"/>
          <w:color w:val="auto"/>
          <w:szCs w:val="21"/>
          <w:highlight w:val="none"/>
        </w:rPr>
        <w:instrText xml:space="preserve"> QUOTE </w:instrText>
      </w:r>
      <w:r>
        <w:rPr>
          <w:rFonts w:ascii="宋体" w:hAnsi="宋体"/>
          <w:color w:val="auto"/>
          <w:position w:val="-23"/>
          <w:szCs w:val="21"/>
          <w:highlight w:val="none"/>
        </w:rPr>
        <w:drawing>
          <wp:inline distT="0" distB="0" distL="0" distR="0">
            <wp:extent cx="323850" cy="400050"/>
            <wp:effectExtent l="0" t="0" r="0" b="0"/>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Cs w:val="21"/>
          <w:highlight w:val="none"/>
        </w:rPr>
        <w:fldChar w:fldCharType="separate"/>
      </w:r>
      <w:r>
        <w:rPr>
          <w:rFonts w:ascii="宋体" w:hAnsi="宋体"/>
          <w:color w:val="auto"/>
          <w:position w:val="-23"/>
          <w:szCs w:val="21"/>
          <w:highlight w:val="none"/>
        </w:rPr>
        <w:drawing>
          <wp:inline distT="0" distB="0" distL="0" distR="0">
            <wp:extent cx="323850" cy="400050"/>
            <wp:effectExtent l="0" t="0" r="0" b="0"/>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Cs w:val="21"/>
          <w:highlight w:val="none"/>
        </w:rPr>
        <w:fldChar w:fldCharType="end"/>
      </w:r>
      <w:r>
        <w:rPr>
          <w:rFonts w:hint="eastAsia" w:ascii="宋体" w:hAnsi="宋体" w:cs="仿宋"/>
          <w:color w:val="auto"/>
          <w:szCs w:val="21"/>
          <w:highlight w:val="none"/>
        </w:rPr>
        <w:t>），以此类推，最后一名投标人的权重为（</w:t>
      </w:r>
      <w:r>
        <w:rPr>
          <w:rFonts w:ascii="宋体" w:hAnsi="宋体" w:cs="仿宋"/>
          <w:color w:val="auto"/>
          <w:szCs w:val="21"/>
          <w:highlight w:val="none"/>
        </w:rPr>
        <w:fldChar w:fldCharType="begin"/>
      </w:r>
      <w:r>
        <w:rPr>
          <w:rFonts w:ascii="宋体" w:hAnsi="宋体" w:cs="仿宋"/>
          <w:color w:val="auto"/>
          <w:szCs w:val="21"/>
          <w:highlight w:val="none"/>
        </w:rPr>
        <w:instrText xml:space="preserve"> QUOTE </w:instrText>
      </w:r>
      <w:r>
        <w:rPr>
          <w:rFonts w:ascii="宋体" w:hAnsi="宋体"/>
          <w:color w:val="auto"/>
          <w:position w:val="-23"/>
          <w:szCs w:val="21"/>
          <w:highlight w:val="none"/>
        </w:rPr>
        <w:drawing>
          <wp:inline distT="0" distB="0" distL="0" distR="0">
            <wp:extent cx="323850" cy="400050"/>
            <wp:effectExtent l="0" t="0" r="0" b="0"/>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Cs w:val="21"/>
          <w:highlight w:val="none"/>
        </w:rPr>
        <w:fldChar w:fldCharType="separate"/>
      </w:r>
      <w:r>
        <w:rPr>
          <w:rFonts w:ascii="宋体" w:hAnsi="宋体"/>
          <w:color w:val="auto"/>
          <w:position w:val="-23"/>
          <w:szCs w:val="21"/>
          <w:highlight w:val="none"/>
        </w:rPr>
        <w:drawing>
          <wp:inline distT="0" distB="0" distL="0" distR="0">
            <wp:extent cx="323850" cy="400050"/>
            <wp:effectExtent l="0" t="0" r="0" b="0"/>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Cs w:val="21"/>
          <w:highlight w:val="none"/>
        </w:rPr>
        <w:fldChar w:fldCharType="end"/>
      </w:r>
      <w:r>
        <w:rPr>
          <w:rFonts w:hint="eastAsia" w:ascii="宋体" w:hAnsi="宋体" w:cs="仿宋"/>
          <w:color w:val="auto"/>
          <w:szCs w:val="21"/>
          <w:highlight w:val="none"/>
        </w:rPr>
        <w:t>）。</w:t>
      </w:r>
    </w:p>
    <w:p>
      <w:pPr>
        <w:widowControl/>
        <w:spacing w:line="360" w:lineRule="auto"/>
        <w:ind w:firstLine="422" w:firstLineChars="200"/>
        <w:rPr>
          <w:rFonts w:ascii="宋体" w:hAnsi="宋体"/>
          <w:b/>
          <w:bCs/>
          <w:color w:val="auto"/>
          <w:kern w:val="0"/>
          <w:szCs w:val="21"/>
          <w:highlight w:val="none"/>
        </w:rPr>
      </w:pPr>
      <w:r>
        <w:rPr>
          <w:rFonts w:hint="eastAsia" w:ascii="宋体" w:hAnsi="宋体" w:cs="仿宋"/>
          <w:b/>
          <w:bCs/>
          <w:color w:val="auto"/>
          <w:kern w:val="0"/>
          <w:szCs w:val="21"/>
          <w:highlight w:val="none"/>
        </w:rPr>
        <w:t>方法二：区间抽取法</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设立入围合格分数线（技术标或技术标加诚信得分或第一阶段入围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评标参考价=（Q高-Q低）/100*Ｘ+Q低</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Q低：为达到或超过技术标及格分数线的投标人最低报价与工程成本警示价两者中的较高值；</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Q高：为最高投标限价</w:t>
      </w:r>
    </w:p>
    <w:p>
      <w:pPr>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X</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rPr>
        <w:t>为等分点值，在开标前从[0,100]整数中随机抽取</w:t>
      </w:r>
    </w:p>
    <w:p>
      <w:pP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olor w:val="auto"/>
          <w:szCs w:val="21"/>
          <w:highlight w:val="none"/>
        </w:rPr>
        <w:t>42.4.</w:t>
      </w:r>
      <w:r>
        <w:rPr>
          <w:rFonts w:hint="eastAsia" w:ascii="宋体" w:hAnsi="宋体"/>
          <w:color w:val="auto"/>
          <w:szCs w:val="21"/>
          <w:highlight w:val="none"/>
          <w:lang w:val="en-US" w:eastAsia="zh-CN"/>
        </w:rPr>
        <w:t>2</w:t>
      </w:r>
      <w:r>
        <w:rPr>
          <w:rFonts w:ascii="宋体" w:hAnsi="宋体"/>
          <w:color w:val="auto"/>
          <w:szCs w:val="21"/>
          <w:highlight w:val="none"/>
        </w:rPr>
        <w:t>.1</w:t>
      </w:r>
      <w:r>
        <w:rPr>
          <w:rFonts w:hint="eastAsia" w:ascii="宋体" w:hAnsi="宋体" w:cs="宋体"/>
          <w:color w:val="auto"/>
          <w:szCs w:val="21"/>
          <w:highlight w:val="none"/>
        </w:rPr>
        <w:t>按方法</w:t>
      </w:r>
      <w:r>
        <w:rPr>
          <w:rFonts w:ascii="宋体" w:hAnsi="宋体" w:cs="宋体"/>
          <w:color w:val="auto"/>
          <w:szCs w:val="21"/>
          <w:highlight w:val="none"/>
          <w:u w:val="single"/>
        </w:rPr>
        <w:t xml:space="preserve">  一  </w:t>
      </w:r>
      <w:r>
        <w:rPr>
          <w:rFonts w:hint="eastAsia" w:ascii="宋体" w:hAnsi="宋体" w:cs="宋体"/>
          <w:color w:val="auto"/>
          <w:szCs w:val="21"/>
          <w:highlight w:val="none"/>
        </w:rPr>
        <w:t>计算评标参考价：</w:t>
      </w:r>
      <w:r>
        <w:rPr>
          <w:rFonts w:ascii="宋体" w:hAnsi="宋体" w:cs="宋体"/>
          <w:color w:val="auto"/>
          <w:szCs w:val="21"/>
          <w:highlight w:val="none"/>
        </w:rPr>
        <w:t xml:space="preserve"> </w:t>
      </w:r>
    </w:p>
    <w:p>
      <w:pPr>
        <w:spacing w:line="360" w:lineRule="auto"/>
        <w:ind w:firstLine="424" w:firstLineChars="201"/>
        <w:rPr>
          <w:rFonts w:ascii="宋体" w:hAnsi="宋体" w:cs="宋体"/>
          <w:b/>
          <w:bCs/>
          <w:color w:val="auto"/>
          <w:kern w:val="0"/>
          <w:szCs w:val="21"/>
          <w:highlight w:val="none"/>
        </w:rPr>
      </w:pPr>
      <w:r>
        <w:rPr>
          <w:rFonts w:hint="eastAsia" w:ascii="宋体" w:hAnsi="宋体" w:cs="宋体"/>
          <w:b/>
          <w:bCs/>
          <w:color w:val="auto"/>
          <w:kern w:val="0"/>
          <w:szCs w:val="21"/>
          <w:highlight w:val="none"/>
        </w:rPr>
        <w:t>方法一：加权平均法</w:t>
      </w:r>
    </w:p>
    <w:p>
      <w:pPr>
        <w:spacing w:line="360" w:lineRule="auto"/>
        <w:ind w:firstLine="422" w:firstLineChars="201"/>
        <w:rPr>
          <w:rFonts w:ascii="宋体" w:hAnsi="宋体" w:cs="宋体"/>
          <w:color w:val="auto"/>
          <w:szCs w:val="21"/>
          <w:highlight w:val="none"/>
        </w:rPr>
      </w:pPr>
      <w:r>
        <w:rPr>
          <w:rFonts w:hint="eastAsia" w:ascii="宋体" w:hAnsi="宋体"/>
          <w:color w:val="auto"/>
          <w:szCs w:val="21"/>
          <w:highlight w:val="none"/>
          <w:u w:val="single"/>
          <w:lang w:val="en-US" w:eastAsia="zh-CN"/>
        </w:rPr>
        <w:t>经济报价在[工程成本警戒价，最高投标限价]区间中的投标人按技术标得分由高至低排序后，取</w:t>
      </w:r>
      <w:r>
        <w:rPr>
          <w:rFonts w:hint="eastAsia" w:ascii="宋体" w:hAnsi="宋体"/>
          <w:color w:val="auto"/>
          <w:szCs w:val="21"/>
          <w:highlight w:val="none"/>
          <w:u w:val="single"/>
        </w:rPr>
        <w:t>前</w:t>
      </w:r>
      <w:r>
        <w:rPr>
          <w:rFonts w:ascii="宋体" w:hAnsi="宋体"/>
          <w:color w:val="auto"/>
          <w:szCs w:val="21"/>
          <w:highlight w:val="none"/>
          <w:u w:val="single"/>
        </w:rPr>
        <w:t>N名（当通过技术标有效性审查的投标人家数大于等于3家且小于5家的，N取通过技术标有效性审查的全部家数；当通过技术标有效性审查的投标人家数大于或等于5家的，N=5）</w:t>
      </w:r>
      <w:r>
        <w:rPr>
          <w:rFonts w:hint="eastAsia" w:ascii="宋体" w:hAnsi="宋体" w:cs="宋体"/>
          <w:color w:val="auto"/>
          <w:szCs w:val="21"/>
          <w:highlight w:val="none"/>
        </w:rPr>
        <w:t>的经济报价加权平均，计算评标参考价。公式如下：</w:t>
      </w:r>
    </w:p>
    <w:p>
      <w:pPr>
        <w:spacing w:line="360" w:lineRule="auto"/>
        <w:ind w:firstLine="422" w:firstLineChars="201"/>
        <w:rPr>
          <w:rFonts w:ascii="宋体" w:hAnsi="宋体" w:cs="宋体"/>
          <w:color w:val="auto"/>
          <w:szCs w:val="21"/>
          <w:highlight w:val="none"/>
        </w:rPr>
      </w:pPr>
      <w:r>
        <w:rPr>
          <w:rFonts w:hint="eastAsia" w:ascii="宋体" w:hAnsi="宋体" w:cs="宋体"/>
          <w:color w:val="auto"/>
          <w:szCs w:val="21"/>
          <w:highlight w:val="none"/>
        </w:rPr>
        <w:t>评标参考价</w:t>
      </w:r>
      <w:r>
        <w:rPr>
          <w:rFonts w:ascii="宋体" w:hAnsi="宋体" w:cs="宋体"/>
          <w:color w:val="auto"/>
          <w:szCs w:val="21"/>
          <w:highlight w:val="none"/>
        </w:rPr>
        <w:t>=Σ（投标人的投标报价*报价权重）。</w:t>
      </w:r>
    </w:p>
    <w:p>
      <w:pPr>
        <w:widowControl/>
        <w:spacing w:line="360" w:lineRule="auto"/>
        <w:ind w:firstLine="422" w:firstLineChars="201"/>
        <w:rPr>
          <w:rFonts w:ascii="宋体" w:hAnsi="宋体" w:cs="宋体"/>
          <w:color w:val="auto"/>
          <w:szCs w:val="21"/>
          <w:highlight w:val="none"/>
        </w:rPr>
      </w:pPr>
      <w:r>
        <w:rPr>
          <w:rFonts w:hint="eastAsia" w:ascii="宋体" w:hAnsi="宋体" w:cs="宋体"/>
          <w:color w:val="auto"/>
          <w:szCs w:val="21"/>
          <w:highlight w:val="none"/>
        </w:rPr>
        <w:t>其中：报价权重的计算方法为：将</w:t>
      </w:r>
      <w:r>
        <w:rPr>
          <w:rFonts w:ascii="宋体" w:hAnsi="宋体" w:cs="宋体"/>
          <w:color w:val="auto"/>
          <w:szCs w:val="21"/>
          <w:highlight w:val="none"/>
        </w:rPr>
        <w:t>N名投标人按</w:t>
      </w:r>
      <w:r>
        <w:rPr>
          <w:rFonts w:hint="eastAsia" w:ascii="宋体" w:hAnsi="宋体"/>
          <w:b/>
          <w:color w:val="auto"/>
          <w:szCs w:val="21"/>
          <w:highlight w:val="none"/>
          <w:u w:val="single"/>
        </w:rPr>
        <w:t>技术分</w:t>
      </w:r>
      <w:r>
        <w:rPr>
          <w:rFonts w:hint="eastAsia" w:ascii="宋体" w:hAnsi="宋体" w:cs="宋体"/>
          <w:color w:val="auto"/>
          <w:szCs w:val="21"/>
          <w:highlight w:val="none"/>
        </w:rPr>
        <w:t>由高至低进行排序，第一名投标人的权重为（</w:t>
      </w:r>
      <w:r>
        <w:rPr>
          <w:rFonts w:hint="eastAsia" w:ascii="宋体" w:hAnsi="宋体" w:cs="宋体"/>
          <w:color w:val="auto"/>
          <w:szCs w:val="21"/>
          <w:highlight w:val="none"/>
        </w:rPr>
        <w:fldChar w:fldCharType="begin"/>
      </w:r>
      <w:r>
        <w:rPr>
          <w:rFonts w:ascii="宋体" w:hAnsi="宋体" w:cs="宋体"/>
          <w:color w:val="auto"/>
          <w:szCs w:val="21"/>
          <w:highlight w:val="none"/>
        </w:rPr>
        <w:instrText xml:space="preserve"> QUOTE </w:instrText>
      </w:r>
      <w:r>
        <w:rPr>
          <w:rFonts w:ascii="宋体" w:hAnsi="宋体" w:cs="宋体"/>
          <w:color w:val="auto"/>
          <w:szCs w:val="21"/>
          <w:highlight w:val="none"/>
        </w:rPr>
        <w:drawing>
          <wp:inline distT="0" distB="0" distL="0" distR="0">
            <wp:extent cx="381000" cy="447675"/>
            <wp:effectExtent l="0" t="0" r="0" b="952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宋体"/>
          <w:color w:val="auto"/>
          <w:szCs w:val="21"/>
          <w:highlight w:val="none"/>
        </w:rPr>
        <w:instrText xml:space="preserve"> \* MERGEFORMAT </w:instrText>
      </w:r>
      <w:r>
        <w:rPr>
          <w:rFonts w:hint="eastAsia" w:ascii="宋体" w:hAnsi="宋体" w:cs="宋体"/>
          <w:color w:val="auto"/>
          <w:szCs w:val="21"/>
          <w:highlight w:val="none"/>
        </w:rPr>
        <w:fldChar w:fldCharType="separate"/>
      </w:r>
      <w:r>
        <w:rPr>
          <w:rFonts w:ascii="宋体" w:hAnsi="宋体" w:cs="宋体"/>
          <w:color w:val="auto"/>
          <w:szCs w:val="21"/>
          <w:highlight w:val="none"/>
        </w:rPr>
        <w:drawing>
          <wp:inline distT="0" distB="0" distL="0" distR="0">
            <wp:extent cx="381000" cy="447675"/>
            <wp:effectExtent l="0" t="0" r="0" b="952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hint="eastAsia" w:ascii="宋体" w:hAnsi="宋体" w:cs="宋体"/>
          <w:color w:val="auto"/>
          <w:szCs w:val="21"/>
          <w:highlight w:val="none"/>
        </w:rPr>
        <w:fldChar w:fldCharType="end"/>
      </w:r>
      <w:r>
        <w:rPr>
          <w:rFonts w:hint="eastAsia" w:ascii="宋体" w:hAnsi="宋体" w:cs="宋体"/>
          <w:color w:val="auto"/>
          <w:szCs w:val="21"/>
          <w:highlight w:val="none"/>
        </w:rPr>
        <w:t>），第二名投标人的权重为（</w:t>
      </w:r>
      <w:r>
        <w:rPr>
          <w:rFonts w:hint="eastAsia" w:ascii="宋体" w:hAnsi="宋体" w:cs="宋体"/>
          <w:color w:val="auto"/>
          <w:szCs w:val="21"/>
          <w:highlight w:val="none"/>
        </w:rPr>
        <w:fldChar w:fldCharType="begin"/>
      </w:r>
      <w:r>
        <w:rPr>
          <w:rFonts w:ascii="宋体" w:hAnsi="宋体" w:cs="宋体"/>
          <w:color w:val="auto"/>
          <w:szCs w:val="21"/>
          <w:highlight w:val="none"/>
        </w:rPr>
        <w:instrText xml:space="preserve"> QUOTE </w:instrText>
      </w:r>
      <w:r>
        <w:rPr>
          <w:rFonts w:ascii="宋体" w:hAnsi="宋体" w:cs="宋体"/>
          <w:color w:val="auto"/>
          <w:position w:val="-23"/>
          <w:szCs w:val="21"/>
          <w:highlight w:val="none"/>
        </w:rPr>
        <w:drawing>
          <wp:inline distT="0" distB="0" distL="0" distR="0">
            <wp:extent cx="323850" cy="40005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宋体"/>
          <w:color w:val="auto"/>
          <w:position w:val="-23"/>
          <w:szCs w:val="21"/>
          <w:highlight w:val="none"/>
        </w:rPr>
        <w:instrText xml:space="preserve"> \* MERGEFORMAT </w:instrText>
      </w:r>
      <w:r>
        <w:rPr>
          <w:rFonts w:hint="eastAsia" w:ascii="宋体" w:hAnsi="宋体" w:cs="宋体"/>
          <w:color w:val="auto"/>
          <w:szCs w:val="21"/>
          <w:highlight w:val="none"/>
        </w:rPr>
        <w:fldChar w:fldCharType="separate"/>
      </w:r>
      <w:r>
        <w:rPr>
          <w:rFonts w:ascii="宋体" w:hAnsi="宋体" w:cs="宋体"/>
          <w:color w:val="auto"/>
          <w:position w:val="-23"/>
          <w:szCs w:val="21"/>
          <w:highlight w:val="none"/>
        </w:rPr>
        <w:drawing>
          <wp:inline distT="0" distB="0" distL="0" distR="0">
            <wp:extent cx="323850" cy="40005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color w:val="auto"/>
          <w:szCs w:val="21"/>
          <w:highlight w:val="none"/>
        </w:rPr>
        <w:fldChar w:fldCharType="end"/>
      </w:r>
      <w:r>
        <w:rPr>
          <w:rFonts w:hint="eastAsia" w:ascii="宋体" w:hAnsi="宋体" w:cs="宋体"/>
          <w:color w:val="auto"/>
          <w:szCs w:val="21"/>
          <w:highlight w:val="none"/>
        </w:rPr>
        <w:t>），以此类推，最后一名投标人的权重为（</w:t>
      </w:r>
      <w:r>
        <w:rPr>
          <w:rFonts w:hint="eastAsia" w:ascii="宋体" w:hAnsi="宋体" w:cs="宋体"/>
          <w:color w:val="auto"/>
          <w:szCs w:val="21"/>
          <w:highlight w:val="none"/>
        </w:rPr>
        <w:fldChar w:fldCharType="begin"/>
      </w:r>
      <w:r>
        <w:rPr>
          <w:rFonts w:ascii="宋体" w:hAnsi="宋体" w:cs="宋体"/>
          <w:color w:val="auto"/>
          <w:szCs w:val="21"/>
          <w:highlight w:val="none"/>
        </w:rPr>
        <w:instrText xml:space="preserve"> QUOTE </w:instrText>
      </w:r>
      <w:r>
        <w:rPr>
          <w:rFonts w:ascii="宋体" w:hAnsi="宋体" w:cs="宋体"/>
          <w:color w:val="auto"/>
          <w:position w:val="-23"/>
          <w:szCs w:val="21"/>
          <w:highlight w:val="none"/>
        </w:rPr>
        <w:drawing>
          <wp:inline distT="0" distB="0" distL="0" distR="0">
            <wp:extent cx="323850" cy="40005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宋体"/>
          <w:color w:val="auto"/>
          <w:position w:val="-23"/>
          <w:szCs w:val="21"/>
          <w:highlight w:val="none"/>
        </w:rPr>
        <w:instrText xml:space="preserve"> \* MERGEFORMAT </w:instrText>
      </w:r>
      <w:r>
        <w:rPr>
          <w:rFonts w:hint="eastAsia" w:ascii="宋体" w:hAnsi="宋体" w:cs="宋体"/>
          <w:color w:val="auto"/>
          <w:szCs w:val="21"/>
          <w:highlight w:val="none"/>
        </w:rPr>
        <w:fldChar w:fldCharType="separate"/>
      </w:r>
      <w:r>
        <w:rPr>
          <w:rFonts w:ascii="宋体" w:hAnsi="宋体" w:cs="宋体"/>
          <w:color w:val="auto"/>
          <w:position w:val="-23"/>
          <w:szCs w:val="21"/>
          <w:highlight w:val="none"/>
        </w:rPr>
        <w:drawing>
          <wp:inline distT="0" distB="0" distL="0" distR="0">
            <wp:extent cx="323850" cy="40005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color w:val="auto"/>
          <w:szCs w:val="21"/>
          <w:highlight w:val="none"/>
        </w:rPr>
        <w:fldChar w:fldCharType="end"/>
      </w:r>
      <w:r>
        <w:rPr>
          <w:rFonts w:hint="eastAsia" w:ascii="宋体" w:hAnsi="宋体" w:cs="宋体"/>
          <w:color w:val="auto"/>
          <w:szCs w:val="21"/>
          <w:highlight w:val="none"/>
        </w:rPr>
        <w:t>）。</w:t>
      </w:r>
      <w:r>
        <w:rPr>
          <w:rFonts w:ascii="宋体" w:hAnsi="宋体" w:cs="宋体"/>
          <w:color w:val="auto"/>
          <w:szCs w:val="21"/>
          <w:highlight w:val="none"/>
        </w:rPr>
        <w:t xml:space="preserve"> </w:t>
      </w:r>
    </w:p>
    <w:p>
      <w:pPr>
        <w:pBdr>
          <w:bottom w:val="single" w:color="auto" w:sz="6" w:space="1"/>
        </w:pBdr>
        <w:spacing w:line="360" w:lineRule="auto"/>
        <w:ind w:firstLine="422" w:firstLineChars="201"/>
        <w:rPr>
          <w:rFonts w:hint="eastAsia" w:ascii="宋体" w:hAnsi="宋体" w:cs="宋体"/>
          <w:szCs w:val="21"/>
          <w:highlight w:val="none"/>
          <w:u w:val="single"/>
          <w:lang w:val="en-US" w:eastAsia="zh-CN"/>
        </w:rPr>
      </w:pPr>
      <w:r>
        <w:rPr>
          <w:rFonts w:hint="eastAsia" w:ascii="宋体" w:hAnsi="宋体" w:eastAsia="宋体" w:cs="宋体"/>
          <w:szCs w:val="21"/>
          <w:highlight w:val="none"/>
          <w:u w:val="single"/>
          <w:lang w:val="en-US" w:eastAsia="zh-CN"/>
        </w:rPr>
        <w:t>若投标人技术分相同的，则以投标总报价较低的排前；投标总报价仍相同的，则对投标总报价仍相同的投标人，以施工组织设计得分较高的排前</w:t>
      </w:r>
      <w:r>
        <w:rPr>
          <w:rFonts w:hint="eastAsia" w:ascii="宋体" w:hAnsi="宋体" w:cs="宋体"/>
          <w:szCs w:val="21"/>
          <w:highlight w:val="none"/>
          <w:u w:val="single"/>
          <w:lang w:val="en-US" w:eastAsia="zh-CN"/>
        </w:rPr>
        <w:t>；</w:t>
      </w:r>
      <w:r>
        <w:rPr>
          <w:rFonts w:hint="eastAsia" w:ascii="宋体" w:hAnsi="宋体" w:eastAsia="宋体" w:cs="宋体"/>
          <w:szCs w:val="21"/>
          <w:highlight w:val="none"/>
          <w:u w:val="single"/>
          <w:lang w:val="en-US" w:eastAsia="zh-CN"/>
        </w:rPr>
        <w:t>若施工组织设计得分仍相同的，则对相同的情况投标人采用随机抽取方式</w:t>
      </w:r>
      <w:r>
        <w:rPr>
          <w:rFonts w:hint="eastAsia" w:ascii="宋体" w:hAnsi="宋体" w:cs="宋体"/>
          <w:szCs w:val="21"/>
          <w:highlight w:val="none"/>
          <w:u w:val="single"/>
          <w:lang w:val="en-US" w:eastAsia="zh-CN"/>
        </w:rPr>
        <w:t>，</w:t>
      </w:r>
      <w:r>
        <w:rPr>
          <w:rFonts w:hint="eastAsia" w:ascii="宋体" w:hAnsi="宋体" w:eastAsia="宋体" w:cs="宋体"/>
          <w:szCs w:val="21"/>
          <w:highlight w:val="none"/>
          <w:u w:val="single"/>
          <w:lang w:val="en-US" w:eastAsia="zh-CN"/>
        </w:rPr>
        <w:t>确定投标人技术分名次的排序</w:t>
      </w:r>
      <w:r>
        <w:rPr>
          <w:rFonts w:hint="eastAsia" w:ascii="宋体" w:hAnsi="宋体" w:cs="宋体"/>
          <w:szCs w:val="21"/>
          <w:highlight w:val="none"/>
          <w:u w:val="single"/>
          <w:lang w:val="en-US" w:eastAsia="zh-CN"/>
        </w:rPr>
        <w:t>。</w:t>
      </w:r>
    </w:p>
    <w:p>
      <w:pPr>
        <w:pBdr>
          <w:bottom w:val="single" w:color="auto" w:sz="6" w:space="1"/>
        </w:pBdr>
        <w:spacing w:line="360" w:lineRule="auto"/>
        <w:ind w:firstLine="422" w:firstLineChars="201"/>
        <w:rPr>
          <w:rFonts w:ascii="宋体" w:hAnsi="宋体" w:cs="宋体"/>
          <w:color w:val="auto"/>
          <w:szCs w:val="21"/>
          <w:highlight w:val="none"/>
          <w:u w:val="single"/>
        </w:rPr>
      </w:pPr>
      <w:r>
        <w:rPr>
          <w:rFonts w:hint="eastAsia" w:ascii="宋体" w:hAnsi="宋体" w:eastAsia="宋体" w:cs="宋体"/>
          <w:b w:val="0"/>
          <w:bCs w:val="0"/>
          <w:sz w:val="21"/>
          <w:szCs w:val="21"/>
          <w:highlight w:val="none"/>
          <w:u w:val="single"/>
          <w:lang w:val="en-US" w:eastAsia="zh-CN"/>
        </w:rPr>
        <w:t>注：随机抽取方式确定排序的具体操作步骤为：由评标委员会对出现该情况的投标人进行编号，采用交易中心提供的摇珠机和对应编号的球现场抽取，按抽取的先后顺序确定</w:t>
      </w:r>
      <w:r>
        <w:rPr>
          <w:rFonts w:hint="eastAsia" w:ascii="宋体" w:hAnsi="宋体" w:cs="宋体"/>
          <w:color w:val="auto"/>
          <w:szCs w:val="21"/>
          <w:highlight w:val="none"/>
          <w:u w:val="single"/>
        </w:rPr>
        <w:t>。</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kern w:val="0"/>
          <w:szCs w:val="21"/>
          <w:highlight w:val="none"/>
        </w:rPr>
        <w:t>42.4.</w:t>
      </w:r>
      <w:r>
        <w:rPr>
          <w:rFonts w:hint="eastAsia" w:ascii="宋体" w:hAnsi="宋体" w:cs="宋体"/>
          <w:b/>
          <w:color w:val="auto"/>
          <w:kern w:val="0"/>
          <w:szCs w:val="21"/>
          <w:highlight w:val="none"/>
          <w:lang w:val="en-US" w:eastAsia="zh-CN"/>
        </w:rPr>
        <w:t>2</w:t>
      </w:r>
      <w:r>
        <w:rPr>
          <w:rFonts w:ascii="宋体" w:hAnsi="宋体" w:cs="宋体"/>
          <w:b/>
          <w:color w:val="auto"/>
          <w:kern w:val="0"/>
          <w:szCs w:val="21"/>
          <w:highlight w:val="none"/>
        </w:rPr>
        <w:t>.2</w:t>
      </w:r>
      <w:r>
        <w:rPr>
          <w:rFonts w:ascii="宋体" w:hAnsi="宋体" w:cs="宋体"/>
          <w:b/>
          <w:color w:val="auto"/>
          <w:szCs w:val="21"/>
          <w:highlight w:val="none"/>
        </w:rPr>
        <w:t xml:space="preserve">                      修改类型：修改</w:t>
      </w:r>
    </w:p>
    <w:p>
      <w:pP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kern w:val="0"/>
          <w:szCs w:val="21"/>
          <w:highlight w:val="none"/>
        </w:rPr>
        <w:t>42.4.</w:t>
      </w:r>
      <w:r>
        <w:rPr>
          <w:rFonts w:hint="eastAsia" w:ascii="宋体" w:hAnsi="宋体" w:cs="宋体"/>
          <w:color w:val="auto"/>
          <w:kern w:val="0"/>
          <w:szCs w:val="21"/>
          <w:highlight w:val="none"/>
          <w:lang w:val="en-US" w:eastAsia="zh-CN"/>
        </w:rPr>
        <w:t>2</w:t>
      </w:r>
      <w:r>
        <w:rPr>
          <w:rFonts w:ascii="宋体" w:hAnsi="宋体" w:cs="宋体"/>
          <w:color w:val="auto"/>
          <w:kern w:val="0"/>
          <w:szCs w:val="21"/>
          <w:highlight w:val="none"/>
        </w:rPr>
        <w:t>.2当标价等于评标参考价时得100分，标价每高于评标参考价1%，扣1.5分，每低于评标参考价1%，扣1分，扣至0分为止，得出经济分，精确到小数点后两位。</w:t>
      </w:r>
    </w:p>
    <w:p>
      <w:pPr>
        <w:pBdr>
          <w:bottom w:val="single" w:color="auto" w:sz="6" w:space="1"/>
        </w:pBdr>
        <w:spacing w:line="360" w:lineRule="auto"/>
        <w:ind w:firstLine="424" w:firstLineChars="201"/>
        <w:rPr>
          <w:rFonts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rPr>
        <w:t>：</w:t>
      </w:r>
      <w:r>
        <w:rPr>
          <w:rFonts w:ascii="宋体" w:hAnsi="宋体" w:cs="宋体"/>
          <w:color w:val="auto"/>
          <w:kern w:val="0"/>
          <w:szCs w:val="21"/>
          <w:highlight w:val="none"/>
        </w:rPr>
        <w:t>42.4.</w:t>
      </w:r>
      <w:r>
        <w:rPr>
          <w:rFonts w:hint="eastAsia" w:ascii="宋体" w:hAnsi="宋体" w:cs="宋体"/>
          <w:color w:val="auto"/>
          <w:kern w:val="0"/>
          <w:szCs w:val="21"/>
          <w:highlight w:val="none"/>
          <w:lang w:val="en-US" w:eastAsia="zh-CN"/>
        </w:rPr>
        <w:t>2</w:t>
      </w:r>
      <w:r>
        <w:rPr>
          <w:rFonts w:ascii="宋体" w:hAnsi="宋体" w:cs="宋体"/>
          <w:color w:val="auto"/>
          <w:kern w:val="0"/>
          <w:szCs w:val="21"/>
          <w:highlight w:val="none"/>
        </w:rPr>
        <w:t>.2当</w:t>
      </w:r>
      <w:r>
        <w:rPr>
          <w:rFonts w:hint="eastAsia" w:ascii="宋体" w:hAnsi="宋体"/>
          <w:color w:val="auto"/>
          <w:szCs w:val="21"/>
          <w:highlight w:val="none"/>
          <w:u w:val="single"/>
        </w:rPr>
        <w:t>投标总报价</w:t>
      </w:r>
      <w:r>
        <w:rPr>
          <w:rFonts w:ascii="宋体" w:hAnsi="宋体" w:cs="宋体"/>
          <w:color w:val="auto"/>
          <w:kern w:val="0"/>
          <w:szCs w:val="21"/>
          <w:highlight w:val="none"/>
        </w:rPr>
        <w:t>等于评标参考价时得100分，</w:t>
      </w:r>
      <w:r>
        <w:rPr>
          <w:rFonts w:hint="eastAsia" w:ascii="宋体" w:hAnsi="宋体"/>
          <w:color w:val="auto"/>
          <w:szCs w:val="21"/>
          <w:highlight w:val="none"/>
          <w:u w:val="single"/>
        </w:rPr>
        <w:t>投标总报价</w:t>
      </w:r>
      <w:r>
        <w:rPr>
          <w:rFonts w:ascii="宋体" w:hAnsi="宋体" w:cs="宋体"/>
          <w:color w:val="auto"/>
          <w:kern w:val="0"/>
          <w:szCs w:val="21"/>
          <w:highlight w:val="none"/>
        </w:rPr>
        <w:t>每高于评标参考价1%，扣1.5</w:t>
      </w:r>
      <w:r>
        <w:rPr>
          <w:rFonts w:hint="eastAsia" w:ascii="宋体" w:hAnsi="宋体" w:cs="宋体"/>
          <w:color w:val="auto"/>
          <w:kern w:val="0"/>
          <w:szCs w:val="21"/>
          <w:highlight w:val="none"/>
        </w:rPr>
        <w:t>分，每低于评标参考价</w:t>
      </w:r>
      <w:r>
        <w:rPr>
          <w:rFonts w:ascii="宋体" w:hAnsi="宋体" w:cs="宋体"/>
          <w:color w:val="auto"/>
          <w:kern w:val="0"/>
          <w:szCs w:val="21"/>
          <w:highlight w:val="none"/>
        </w:rPr>
        <w:t>1%，扣1</w:t>
      </w:r>
      <w:r>
        <w:rPr>
          <w:rFonts w:hint="eastAsia" w:ascii="宋体" w:hAnsi="宋体" w:cs="宋体"/>
          <w:color w:val="auto"/>
          <w:kern w:val="0"/>
          <w:szCs w:val="21"/>
          <w:highlight w:val="none"/>
        </w:rPr>
        <w:t>分，扣至</w:t>
      </w:r>
      <w:r>
        <w:rPr>
          <w:rFonts w:ascii="宋体" w:hAnsi="宋体" w:cs="宋体"/>
          <w:color w:val="auto"/>
          <w:kern w:val="0"/>
          <w:szCs w:val="21"/>
          <w:highlight w:val="none"/>
        </w:rPr>
        <w:t>0分为止，得出经济分，精确到小数点后两位。</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42.4.</w:t>
      </w:r>
      <w:r>
        <w:rPr>
          <w:rFonts w:hint="eastAsia" w:ascii="宋体" w:hAnsi="宋体" w:cs="宋体"/>
          <w:b/>
          <w:color w:val="auto"/>
          <w:szCs w:val="21"/>
          <w:highlight w:val="none"/>
          <w:lang w:val="en-US" w:eastAsia="zh-CN"/>
        </w:rPr>
        <w:t>4</w:t>
      </w:r>
      <w:r>
        <w:rPr>
          <w:rFonts w:ascii="宋体" w:hAnsi="宋体" w:cs="宋体"/>
          <w:b/>
          <w:color w:val="auto"/>
          <w:szCs w:val="21"/>
          <w:highlight w:val="none"/>
        </w:rPr>
        <w:t>.8                      修改类型：修改</w:t>
      </w:r>
    </w:p>
    <w:p>
      <w:pP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42.4.</w:t>
      </w:r>
      <w:r>
        <w:rPr>
          <w:rFonts w:hint="eastAsia" w:ascii="宋体" w:hAnsi="宋体" w:cs="宋体"/>
          <w:color w:val="auto"/>
          <w:szCs w:val="21"/>
          <w:highlight w:val="none"/>
          <w:lang w:val="en-US" w:eastAsia="zh-CN"/>
        </w:rPr>
        <w:t>4</w:t>
      </w:r>
      <w:r>
        <w:rPr>
          <w:rFonts w:ascii="宋体" w:hAnsi="宋体" w:cs="宋体"/>
          <w:color w:val="auto"/>
          <w:szCs w:val="21"/>
          <w:highlight w:val="none"/>
        </w:rPr>
        <w:t>.8按上述修正错误的原则及方法调整或修正投标文件的投标报价，调整后的投标报价对投标人起约束作用。如果投标人不接受修正后的报价，则取消其投标资格，并且其投标保证金也将不予退还。</w:t>
      </w:r>
    </w:p>
    <w:p>
      <w:pPr>
        <w:pBdr>
          <w:bottom w:val="single" w:color="auto" w:sz="6" w:space="1"/>
        </w:pBdr>
        <w:spacing w:line="360" w:lineRule="auto"/>
        <w:ind w:firstLine="424" w:firstLineChars="201"/>
        <w:rPr>
          <w:rFonts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rPr>
        <w:t>：</w:t>
      </w:r>
      <w:r>
        <w:rPr>
          <w:rFonts w:ascii="宋体" w:hAnsi="宋体" w:cs="宋体"/>
          <w:color w:val="auto"/>
          <w:szCs w:val="21"/>
          <w:highlight w:val="none"/>
        </w:rPr>
        <w:t>42.4.</w:t>
      </w:r>
      <w:r>
        <w:rPr>
          <w:rFonts w:hint="eastAsia" w:ascii="宋体" w:hAnsi="宋体" w:cs="宋体"/>
          <w:color w:val="auto"/>
          <w:szCs w:val="21"/>
          <w:highlight w:val="none"/>
          <w:lang w:val="en-US" w:eastAsia="zh-CN"/>
        </w:rPr>
        <w:t>4</w:t>
      </w:r>
      <w:r>
        <w:rPr>
          <w:rFonts w:ascii="宋体" w:hAnsi="宋体" w:cs="宋体"/>
          <w:color w:val="auto"/>
          <w:szCs w:val="21"/>
          <w:highlight w:val="none"/>
        </w:rPr>
        <w:t>.8按上述修正错误的原则及方法调整或修正投标文件的投标报价，调整后的投标报价对投标人起约束作用。如果投标人不接受修正后的报价，</w:t>
      </w:r>
      <w:r>
        <w:rPr>
          <w:rFonts w:hint="eastAsia" w:ascii="宋体" w:hAnsi="宋体" w:cs="宋体"/>
          <w:color w:val="auto"/>
          <w:szCs w:val="21"/>
          <w:highlight w:val="none"/>
          <w:u w:val="single"/>
        </w:rPr>
        <w:t>则取消其投标资格。</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42.5                          修改类型：修改</w:t>
      </w:r>
    </w:p>
    <w:p>
      <w:pP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42.5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pBdr>
          <w:bottom w:val="single" w:color="auto" w:sz="6" w:space="1"/>
        </w:pBdr>
        <w:spacing w:line="360" w:lineRule="auto"/>
        <w:ind w:firstLine="424" w:firstLineChars="201"/>
        <w:rPr>
          <w:rFonts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rPr>
        <w:t>：</w:t>
      </w:r>
      <w:r>
        <w:rPr>
          <w:rFonts w:ascii="宋体" w:hAnsi="宋体" w:cs="宋体"/>
          <w:color w:val="auto"/>
          <w:szCs w:val="21"/>
          <w:highlight w:val="none"/>
        </w:rPr>
        <w:t>42.5评标委员会按只有通过有效性审查的投标人的投标文件方可进入下一阶段评审的评审原则，根据有效性审查结果，取消被否决投标的投标人的排序，其余通过有效性审查的投标人的排序依次上升替补确定，以此类推。</w:t>
      </w:r>
      <w:r>
        <w:rPr>
          <w:rFonts w:hint="eastAsia" w:ascii="宋体" w:hAnsi="宋体" w:cs="宋体"/>
          <w:color w:val="auto"/>
          <w:szCs w:val="21"/>
          <w:highlight w:val="none"/>
          <w:u w:val="single"/>
        </w:rPr>
        <w:t>直至经济标有效性审查结束。</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42.6                           修改类型：删除</w:t>
      </w:r>
    </w:p>
    <w:p>
      <w:pPr>
        <w:pBdr>
          <w:bottom w:val="single" w:color="auto" w:sz="6" w:space="1"/>
        </w:pBdr>
        <w:spacing w:line="360" w:lineRule="auto"/>
        <w:ind w:firstLine="424" w:firstLineChars="201"/>
        <w:rPr>
          <w:rFonts w:hint="eastAsia" w:ascii="宋体" w:hAnsi="宋体" w:cs="宋体"/>
          <w:color w:val="auto"/>
          <w:szCs w:val="21"/>
          <w:highlight w:val="none"/>
          <w:lang w:eastAsia="zh-CN"/>
        </w:rPr>
      </w:pPr>
      <w:r>
        <w:rPr>
          <w:rFonts w:hint="eastAsia" w:ascii="宋体" w:hAnsi="宋体" w:cs="宋体"/>
          <w:b/>
          <w:color w:val="auto"/>
          <w:szCs w:val="21"/>
          <w:highlight w:val="none"/>
        </w:rPr>
        <w:t>原文：</w:t>
      </w:r>
      <w:r>
        <w:rPr>
          <w:rFonts w:ascii="宋体" w:hAnsi="宋体" w:cs="宋体"/>
          <w:color w:val="auto"/>
          <w:szCs w:val="21"/>
          <w:highlight w:val="none"/>
        </w:rPr>
        <w:t>42.6评标委员会应在通过投标文件经济标有效性审查的投标人中，按步骤42.4确定的投标人第二阶段排序，推荐前3名依次为第一中标候选人至第三中标候选人</w:t>
      </w:r>
      <w:r>
        <w:rPr>
          <w:rFonts w:hint="eastAsia" w:ascii="宋体" w:hAnsi="宋体" w:cs="宋体"/>
          <w:color w:val="auto"/>
          <w:szCs w:val="21"/>
          <w:highlight w:val="none"/>
          <w:lang w:eastAsia="zh-CN"/>
        </w:rPr>
        <w:t>，</w:t>
      </w:r>
      <w:r>
        <w:rPr>
          <w:rFonts w:ascii="宋体" w:hAnsi="宋体" w:cs="宋体"/>
          <w:color w:val="auto"/>
          <w:szCs w:val="21"/>
          <w:highlight w:val="none"/>
        </w:rPr>
        <w:t>并编制评标报告。</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bCs/>
          <w:color w:val="auto"/>
          <w:szCs w:val="21"/>
          <w:highlight w:val="none"/>
          <w:lang w:eastAsia="zh-CN"/>
        </w:rPr>
        <w:t>现文</w:t>
      </w:r>
      <w:r>
        <w:rPr>
          <w:rFonts w:hint="eastAsia" w:ascii="宋体" w:hAnsi="宋体" w:cs="宋体"/>
          <w:color w:val="auto"/>
          <w:szCs w:val="21"/>
          <w:highlight w:val="none"/>
          <w:lang w:eastAsia="zh-CN"/>
        </w:rPr>
        <w:t>：42.6评标委员会应在通过投标文件经济标有效性审查的投标人中，按步骤42.4确定的投标人第二阶段排序，并按总得分从高到低顺序推荐前9名（通过经济标有效性审查家数在[3,9]的，以实际家数为准；超过9家的，则只推荐前9家）合格中标候选人，进入定标阶段。</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kern w:val="0"/>
          <w:szCs w:val="21"/>
          <w:highlight w:val="none"/>
        </w:rPr>
        <w:t>43</w:t>
      </w:r>
      <w:r>
        <w:rPr>
          <w:rFonts w:ascii="宋体" w:hAnsi="宋体" w:cs="宋体"/>
          <w:b/>
          <w:color w:val="auto"/>
          <w:szCs w:val="21"/>
          <w:highlight w:val="none"/>
        </w:rPr>
        <w:t xml:space="preserve">                             修改类型：增加</w:t>
      </w:r>
    </w:p>
    <w:p>
      <w:pPr>
        <w:pBdr>
          <w:bottom w:val="single" w:color="auto" w:sz="6" w:space="1"/>
        </w:pBdr>
        <w:spacing w:line="360" w:lineRule="auto"/>
        <w:ind w:firstLine="422" w:firstLineChars="200"/>
        <w:rPr>
          <w:rFonts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rPr>
        <w:t>：</w:t>
      </w:r>
      <w:r>
        <w:rPr>
          <w:rFonts w:ascii="宋体" w:hAnsi="宋体" w:cs="宋体"/>
          <w:b/>
          <w:bCs/>
          <w:color w:val="auto"/>
          <w:szCs w:val="21"/>
          <w:highlight w:val="none"/>
          <w:u w:val="single"/>
        </w:rPr>
        <w:t>43.定标</w:t>
      </w:r>
    </w:p>
    <w:p>
      <w:pPr>
        <w:pBdr>
          <w:bottom w:val="single" w:color="auto" w:sz="6" w:space="1"/>
        </w:pBdr>
        <w:spacing w:line="360" w:lineRule="auto"/>
        <w:ind w:firstLine="420" w:firstLineChars="200"/>
        <w:rPr>
          <w:rFonts w:ascii="宋体" w:hAnsi="宋体" w:cs="宋体"/>
          <w:color w:val="auto"/>
          <w:szCs w:val="21"/>
          <w:highlight w:val="none"/>
          <w:u w:val="single"/>
        </w:rPr>
      </w:pPr>
      <w:r>
        <w:rPr>
          <w:rFonts w:ascii="宋体" w:hAnsi="宋体" w:cs="宋体"/>
          <w:color w:val="auto"/>
          <w:szCs w:val="21"/>
          <w:highlight w:val="none"/>
          <w:u w:val="single"/>
        </w:rPr>
        <w:t>43.1定标时间和地点</w:t>
      </w:r>
    </w:p>
    <w:p>
      <w:pPr>
        <w:pBdr>
          <w:bottom w:val="single" w:color="auto" w:sz="6" w:space="1"/>
        </w:pBd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招标人在合格中标候选人公示结束后</w:t>
      </w:r>
      <w:r>
        <w:rPr>
          <w:rFonts w:ascii="宋体" w:hAnsi="宋体" w:cs="宋体"/>
          <w:color w:val="auto"/>
          <w:szCs w:val="21"/>
          <w:highlight w:val="none"/>
          <w:u w:val="single"/>
        </w:rPr>
        <w:t>10个工作日内在广州交易集团有限公司（广州公共资源交易中心）开展定标工作，招标人按规定程序在投标人须知的时间和地点完成定标工作。</w:t>
      </w:r>
    </w:p>
    <w:p>
      <w:pPr>
        <w:pBdr>
          <w:bottom w:val="single" w:color="auto" w:sz="6" w:space="1"/>
        </w:pBdr>
        <w:spacing w:line="360" w:lineRule="auto"/>
        <w:ind w:firstLine="420" w:firstLineChars="200"/>
        <w:rPr>
          <w:rFonts w:ascii="宋体" w:hAnsi="宋体" w:cs="宋体"/>
          <w:color w:val="auto"/>
          <w:szCs w:val="21"/>
          <w:highlight w:val="none"/>
          <w:u w:val="single"/>
        </w:rPr>
      </w:pPr>
      <w:r>
        <w:rPr>
          <w:rFonts w:ascii="宋体" w:hAnsi="宋体" w:cs="宋体"/>
          <w:color w:val="auto"/>
          <w:szCs w:val="21"/>
          <w:highlight w:val="none"/>
          <w:u w:val="single"/>
        </w:rPr>
        <w:t>43.2定标委员会：成员数量为5人，由招标人组建。</w:t>
      </w:r>
    </w:p>
    <w:p>
      <w:pPr>
        <w:pBdr>
          <w:bottom w:val="single" w:color="auto" w:sz="6" w:space="1"/>
        </w:pBdr>
        <w:spacing w:line="360" w:lineRule="auto"/>
        <w:ind w:firstLine="420" w:firstLineChars="200"/>
        <w:rPr>
          <w:rFonts w:ascii="宋体" w:hAnsi="宋体" w:cs="宋体"/>
          <w:color w:val="auto"/>
          <w:szCs w:val="21"/>
          <w:highlight w:val="none"/>
          <w:u w:val="single"/>
        </w:rPr>
      </w:pPr>
      <w:r>
        <w:rPr>
          <w:rFonts w:ascii="宋体" w:hAnsi="宋体" w:cs="宋体"/>
          <w:color w:val="auto"/>
          <w:szCs w:val="21"/>
          <w:highlight w:val="none"/>
          <w:u w:val="single"/>
        </w:rPr>
        <w:t>43.3监督小组：成员数量为1人，由招标人组建。</w:t>
      </w:r>
    </w:p>
    <w:p>
      <w:pPr>
        <w:pBdr>
          <w:bottom w:val="single" w:color="auto" w:sz="6" w:space="1"/>
        </w:pBdr>
        <w:spacing w:line="360" w:lineRule="auto"/>
        <w:ind w:firstLine="420" w:firstLineChars="200"/>
        <w:rPr>
          <w:rFonts w:hint="eastAsia" w:ascii="宋体" w:hAnsi="宋体" w:cs="宋体"/>
          <w:color w:val="auto"/>
          <w:szCs w:val="21"/>
          <w:highlight w:val="none"/>
          <w:u w:val="single"/>
        </w:rPr>
      </w:pPr>
      <w:r>
        <w:rPr>
          <w:rFonts w:ascii="宋体" w:hAnsi="宋体" w:cs="宋体"/>
          <w:color w:val="auto"/>
          <w:szCs w:val="21"/>
          <w:highlight w:val="none"/>
          <w:u w:val="single"/>
        </w:rPr>
        <w:t>43.4定标办法：</w:t>
      </w:r>
      <w:r>
        <w:rPr>
          <w:rFonts w:hint="eastAsia" w:ascii="宋体" w:hAnsi="宋体" w:cs="宋体"/>
          <w:color w:val="auto"/>
          <w:szCs w:val="21"/>
          <w:highlight w:val="none"/>
          <w:u w:val="single"/>
        </w:rPr>
        <w:t>采用直接票决定标法（记名投票+撰写评语），定标委员会从</w:t>
      </w:r>
      <w:r>
        <w:rPr>
          <w:rFonts w:hint="eastAsia" w:ascii="宋体" w:hAnsi="宋体" w:cs="宋体"/>
          <w:color w:val="auto"/>
          <w:szCs w:val="21"/>
          <w:highlight w:val="none"/>
          <w:u w:val="single"/>
          <w:lang w:val="en-US" w:eastAsia="zh-CN"/>
        </w:rPr>
        <w:t>所有</w:t>
      </w:r>
      <w:r>
        <w:rPr>
          <w:rFonts w:hint="eastAsia" w:ascii="宋体" w:hAnsi="宋体" w:cs="宋体"/>
          <w:color w:val="auto"/>
          <w:szCs w:val="21"/>
          <w:highlight w:val="none"/>
          <w:u w:val="single"/>
        </w:rPr>
        <w:t>合格中标候选人当中以“记名投票+撰写评语”方式产生中标人。</w:t>
      </w:r>
    </w:p>
    <w:p>
      <w:pPr>
        <w:pBdr>
          <w:bottom w:val="single" w:color="auto" w:sz="6" w:space="1"/>
        </w:pBdr>
        <w:spacing w:line="360" w:lineRule="auto"/>
        <w:ind w:firstLine="420" w:firstLineChars="200"/>
        <w:rPr>
          <w:rFonts w:ascii="宋体" w:hAnsi="宋体" w:cs="宋体"/>
          <w:color w:val="auto"/>
          <w:szCs w:val="21"/>
          <w:highlight w:val="none"/>
          <w:u w:val="single"/>
        </w:rPr>
      </w:pPr>
      <w:r>
        <w:rPr>
          <w:rFonts w:ascii="宋体" w:hAnsi="宋体" w:cs="宋体"/>
          <w:color w:val="auto"/>
          <w:szCs w:val="21"/>
          <w:highlight w:val="none"/>
          <w:u w:val="single"/>
        </w:rPr>
        <w:t>43.5</w:t>
      </w:r>
      <w:r>
        <w:rPr>
          <w:rFonts w:hint="eastAsia" w:ascii="宋体" w:hAnsi="宋体" w:cs="宋体"/>
          <w:color w:val="auto"/>
          <w:szCs w:val="21"/>
          <w:highlight w:val="none"/>
          <w:u w:val="single"/>
        </w:rPr>
        <w:t>定标因素：详见《定标因素表》。</w:t>
      </w:r>
    </w:p>
    <w:p>
      <w:pPr>
        <w:pBdr>
          <w:bottom w:val="single" w:color="auto" w:sz="6" w:space="1"/>
        </w:pBdr>
        <w:spacing w:line="360" w:lineRule="auto"/>
        <w:ind w:firstLine="420" w:firstLineChars="200"/>
        <w:rPr>
          <w:rFonts w:ascii="宋体" w:hAnsi="宋体" w:cs="宋体"/>
          <w:color w:val="auto"/>
          <w:szCs w:val="21"/>
          <w:highlight w:val="none"/>
          <w:u w:val="single"/>
        </w:rPr>
      </w:pPr>
      <w:r>
        <w:rPr>
          <w:rFonts w:ascii="宋体" w:hAnsi="宋体" w:cs="宋体"/>
          <w:color w:val="auto"/>
          <w:szCs w:val="21"/>
          <w:highlight w:val="none"/>
          <w:u w:val="single"/>
        </w:rPr>
        <w:t>43.6定标程序</w:t>
      </w:r>
    </w:p>
    <w:p>
      <w:pPr>
        <w:pBdr>
          <w:bottom w:val="single" w:color="auto" w:sz="6" w:space="1"/>
        </w:pBd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招标人或其委托的招标代理机构应安排</w:t>
      </w:r>
      <w:r>
        <w:rPr>
          <w:rFonts w:ascii="宋体" w:hAnsi="宋体" w:cs="宋体"/>
          <w:color w:val="auto"/>
          <w:szCs w:val="21"/>
          <w:highlight w:val="none"/>
          <w:u w:val="single"/>
        </w:rPr>
        <w:t>1名熟悉情况的工作人员在定标会场担任招标项目负责人，按程序组织定标工作：</w:t>
      </w:r>
    </w:p>
    <w:p>
      <w:pPr>
        <w:pBdr>
          <w:bottom w:val="single" w:color="auto" w:sz="6" w:space="1"/>
        </w:pBdr>
        <w:spacing w:line="360" w:lineRule="auto"/>
        <w:ind w:firstLine="420" w:firstLineChars="200"/>
        <w:rPr>
          <w:rFonts w:ascii="宋体" w:hAnsi="宋体" w:cs="宋体"/>
          <w:color w:val="auto"/>
          <w:szCs w:val="21"/>
          <w:highlight w:val="none"/>
          <w:u w:val="single"/>
        </w:rPr>
      </w:pPr>
      <w:r>
        <w:rPr>
          <w:rFonts w:ascii="宋体" w:hAnsi="宋体" w:cs="宋体"/>
          <w:color w:val="auto"/>
          <w:szCs w:val="21"/>
          <w:highlight w:val="none"/>
          <w:u w:val="single"/>
        </w:rPr>
        <w:t>43.6.1招标项目负责人宣读定标委员会组建情况及成员名单，宣读定标纪律，签订廉政责任书。</w:t>
      </w:r>
    </w:p>
    <w:p>
      <w:pPr>
        <w:pBdr>
          <w:bottom w:val="single" w:color="auto" w:sz="6" w:space="1"/>
        </w:pBdr>
        <w:spacing w:line="360" w:lineRule="auto"/>
        <w:ind w:firstLine="420" w:firstLineChars="200"/>
        <w:rPr>
          <w:rFonts w:ascii="宋体" w:hAnsi="宋体" w:cs="宋体"/>
          <w:color w:val="auto"/>
          <w:szCs w:val="21"/>
          <w:highlight w:val="none"/>
          <w:u w:val="single"/>
        </w:rPr>
      </w:pPr>
      <w:r>
        <w:rPr>
          <w:rFonts w:ascii="宋体" w:hAnsi="宋体" w:cs="宋体"/>
          <w:color w:val="auto"/>
          <w:szCs w:val="21"/>
          <w:highlight w:val="none"/>
          <w:u w:val="single"/>
        </w:rPr>
        <w:t>43.6.2定标工作开始后，定标委员会应推荐一人为定标委员会组长</w:t>
      </w:r>
      <w:r>
        <w:rPr>
          <w:rFonts w:hint="eastAsia" w:ascii="宋体" w:hAnsi="宋体" w:cs="宋体"/>
          <w:color w:val="auto"/>
          <w:szCs w:val="21"/>
          <w:highlight w:val="none"/>
          <w:u w:val="single"/>
          <w:lang w:eastAsia="zh-CN"/>
        </w:rPr>
        <w:t>，</w:t>
      </w:r>
      <w:r>
        <w:rPr>
          <w:rFonts w:hint="eastAsia" w:ascii="宋体" w:hAnsi="宋体" w:cs="宋体"/>
          <w:color w:val="auto"/>
          <w:szCs w:val="21"/>
          <w:highlight w:val="none"/>
          <w:u w:val="single"/>
          <w:lang w:val="en-US" w:eastAsia="zh-CN"/>
        </w:rPr>
        <w:t>主持当次定标会议</w:t>
      </w:r>
      <w:r>
        <w:rPr>
          <w:rFonts w:ascii="宋体" w:hAnsi="宋体" w:cs="宋体"/>
          <w:color w:val="auto"/>
          <w:szCs w:val="21"/>
          <w:highlight w:val="none"/>
          <w:u w:val="single"/>
        </w:rPr>
        <w:t>。</w:t>
      </w:r>
    </w:p>
    <w:p>
      <w:pPr>
        <w:pBdr>
          <w:bottom w:val="single" w:color="auto" w:sz="6" w:space="1"/>
        </w:pBdr>
        <w:spacing w:line="360" w:lineRule="auto"/>
        <w:ind w:firstLine="420" w:firstLineChars="200"/>
        <w:rPr>
          <w:rFonts w:ascii="宋体" w:hAnsi="宋体" w:cs="宋体"/>
          <w:color w:val="auto"/>
          <w:szCs w:val="21"/>
          <w:highlight w:val="none"/>
          <w:u w:val="single"/>
        </w:rPr>
      </w:pPr>
      <w:r>
        <w:rPr>
          <w:rFonts w:ascii="宋体" w:hAnsi="宋体" w:cs="宋体"/>
          <w:color w:val="auto"/>
          <w:szCs w:val="21"/>
          <w:highlight w:val="none"/>
          <w:u w:val="single"/>
        </w:rPr>
        <w:t>43.6.3发放定标辅助资料：</w:t>
      </w:r>
      <w:r>
        <w:rPr>
          <w:rFonts w:hint="eastAsia" w:ascii="宋体" w:hAnsi="宋体" w:cs="宋体"/>
          <w:color w:val="auto"/>
          <w:szCs w:val="21"/>
          <w:highlight w:val="none"/>
          <w:u w:val="single"/>
        </w:rPr>
        <w:t>评标阶段的评标报告、合格中标候选人提交的投标文件</w:t>
      </w:r>
      <w:r>
        <w:rPr>
          <w:rFonts w:hint="eastAsia" w:ascii="宋体" w:hAnsi="宋体" w:cs="宋体"/>
          <w:color w:val="auto"/>
          <w:szCs w:val="21"/>
          <w:highlight w:val="none"/>
          <w:u w:val="single"/>
          <w:lang w:val="en-US" w:eastAsia="zh-CN"/>
        </w:rPr>
        <w:t>及定标文件</w:t>
      </w:r>
      <w:r>
        <w:rPr>
          <w:rFonts w:hint="eastAsia" w:ascii="宋体" w:hAnsi="宋体" w:cs="宋体"/>
          <w:color w:val="auto"/>
          <w:szCs w:val="21"/>
          <w:highlight w:val="none"/>
          <w:u w:val="single"/>
        </w:rPr>
        <w:t>。</w:t>
      </w:r>
    </w:p>
    <w:p>
      <w:pPr>
        <w:pBdr>
          <w:bottom w:val="single" w:color="auto" w:sz="6" w:space="1"/>
        </w:pBdr>
        <w:spacing w:line="360" w:lineRule="auto"/>
        <w:ind w:firstLine="420" w:firstLineChars="200"/>
        <w:rPr>
          <w:rFonts w:ascii="宋体" w:hAnsi="宋体" w:cs="宋体"/>
          <w:color w:val="auto"/>
          <w:szCs w:val="21"/>
          <w:highlight w:val="none"/>
          <w:u w:val="single"/>
        </w:rPr>
      </w:pPr>
      <w:r>
        <w:rPr>
          <w:rFonts w:ascii="宋体" w:hAnsi="宋体" w:cs="宋体"/>
          <w:color w:val="auto"/>
          <w:szCs w:val="21"/>
          <w:highlight w:val="none"/>
          <w:u w:val="single"/>
        </w:rPr>
        <w:t>43.6.4</w:t>
      </w:r>
      <w:r>
        <w:rPr>
          <w:rFonts w:hint="eastAsia" w:ascii="宋体" w:hAnsi="宋体" w:cs="宋体"/>
          <w:color w:val="auto"/>
          <w:szCs w:val="21"/>
          <w:u w:val="single"/>
        </w:rPr>
        <w:t>定标委员会在评标委员会评审的基础上，根据评标阶段的评标报告、合格中标候选人提交的投标文件</w:t>
      </w:r>
      <w:r>
        <w:rPr>
          <w:rFonts w:hint="eastAsia" w:ascii="宋体" w:hAnsi="宋体" w:cs="宋体"/>
          <w:color w:val="auto"/>
          <w:szCs w:val="21"/>
          <w:u w:val="single"/>
          <w:lang w:val="en-US" w:eastAsia="zh-CN"/>
        </w:rPr>
        <w:t>及定标文件、</w:t>
      </w:r>
      <w:r>
        <w:rPr>
          <w:rFonts w:hint="eastAsia" w:ascii="宋体" w:hAnsi="宋体" w:cs="宋体"/>
          <w:color w:val="auto"/>
          <w:szCs w:val="21"/>
          <w:u w:val="single"/>
        </w:rPr>
        <w:t>定标因素对进入定标阶段合格中标候选人的</w:t>
      </w:r>
      <w:r>
        <w:rPr>
          <w:rFonts w:hint="eastAsia" w:ascii="宋体" w:hAnsi="宋体" w:cs="宋体"/>
          <w:color w:val="auto"/>
          <w:szCs w:val="21"/>
          <w:u w:val="single"/>
          <w:lang w:val="en-US" w:eastAsia="zh-CN"/>
        </w:rPr>
        <w:t>定标文件</w:t>
      </w:r>
      <w:r>
        <w:rPr>
          <w:rFonts w:hint="eastAsia" w:ascii="宋体" w:hAnsi="宋体" w:cs="宋体"/>
          <w:color w:val="auto"/>
          <w:szCs w:val="21"/>
          <w:u w:val="single"/>
        </w:rPr>
        <w:t>合理性、价格进行比较、评审。</w:t>
      </w:r>
    </w:p>
    <w:p>
      <w:pPr>
        <w:pBdr>
          <w:bottom w:val="single" w:color="auto" w:sz="6" w:space="1"/>
        </w:pBdr>
        <w:spacing w:line="360" w:lineRule="auto"/>
        <w:ind w:firstLine="420" w:firstLineChars="200"/>
        <w:rPr>
          <w:rFonts w:ascii="宋体" w:hAnsi="宋体" w:cs="宋体"/>
          <w:color w:val="auto"/>
          <w:szCs w:val="21"/>
          <w:u w:val="single"/>
        </w:rPr>
      </w:pPr>
      <w:r>
        <w:rPr>
          <w:rFonts w:ascii="宋体" w:hAnsi="宋体" w:cs="宋体"/>
          <w:color w:val="auto"/>
          <w:szCs w:val="21"/>
          <w:highlight w:val="none"/>
          <w:u w:val="single"/>
        </w:rPr>
        <w:t>43.6.5</w:t>
      </w:r>
      <w:r>
        <w:rPr>
          <w:rFonts w:hint="eastAsia" w:ascii="宋体" w:hAnsi="宋体" w:cs="宋体"/>
          <w:color w:val="auto"/>
          <w:szCs w:val="21"/>
          <w:u w:val="single"/>
        </w:rPr>
        <w:t>定标委员会根据定标因素对各合格中标候选人进行评审后，进行一轮一次性票决，每位定标委员会成员只有1票表决权（即只能对其中1家合格中标候选人投票），得票数最多的合格中标候选人确定为中标人，若出现票数相同且无法决出中标人时，对票数相同的合格中标候选人再进行附加的一次性票决，直至决出中标人。</w:t>
      </w:r>
    </w:p>
    <w:p>
      <w:pPr>
        <w:pBdr>
          <w:bottom w:val="single" w:color="auto" w:sz="6" w:space="1"/>
        </w:pBdr>
        <w:spacing w:line="360" w:lineRule="auto"/>
        <w:ind w:firstLine="420" w:firstLineChars="200"/>
        <w:rPr>
          <w:rFonts w:hint="eastAsia" w:ascii="宋体" w:hAnsi="宋体" w:cs="宋体"/>
          <w:color w:val="auto"/>
          <w:szCs w:val="21"/>
          <w:highlight w:val="none"/>
          <w:u w:val="single"/>
        </w:rPr>
      </w:pPr>
      <w:r>
        <w:rPr>
          <w:rFonts w:ascii="宋体" w:hAnsi="宋体" w:cs="宋体"/>
          <w:color w:val="auto"/>
          <w:szCs w:val="21"/>
          <w:highlight w:val="none"/>
          <w:u w:val="single"/>
        </w:rPr>
        <w:t>43.6.6</w:t>
      </w:r>
      <w:r>
        <w:rPr>
          <w:rFonts w:hint="eastAsia" w:ascii="宋体" w:hAnsi="宋体" w:cs="宋体"/>
          <w:color w:val="auto"/>
          <w:szCs w:val="21"/>
          <w:highlight w:val="none"/>
          <w:u w:val="single"/>
        </w:rPr>
        <w:t>定标委员会根据选票情况确定中标人。</w:t>
      </w:r>
    </w:p>
    <w:p>
      <w:pPr>
        <w:pBdr>
          <w:bottom w:val="single" w:color="auto" w:sz="6" w:space="1"/>
        </w:pBdr>
        <w:spacing w:line="240" w:lineRule="auto"/>
        <w:ind w:firstLine="420" w:firstLineChars="200"/>
        <w:rPr>
          <w:rFonts w:ascii="宋体" w:hAnsi="宋体" w:cs="宋体"/>
          <w:color w:val="auto"/>
          <w:szCs w:val="21"/>
          <w:highlight w:val="none"/>
          <w:u w:val="single"/>
        </w:rPr>
      </w:pPr>
      <w:r>
        <w:rPr>
          <w:rFonts w:ascii="宋体" w:hAnsi="宋体" w:cs="宋体"/>
          <w:color w:val="auto"/>
          <w:szCs w:val="21"/>
          <w:highlight w:val="none"/>
          <w:u w:val="single"/>
        </w:rPr>
        <w:t>43.6.7</w:t>
      </w:r>
      <w:r>
        <w:rPr>
          <w:rFonts w:hint="eastAsia" w:ascii="宋体" w:hAnsi="宋体" w:cs="宋体"/>
          <w:color w:val="auto"/>
          <w:szCs w:val="21"/>
          <w:highlight w:val="none"/>
          <w:u w:val="single"/>
        </w:rPr>
        <w:t>编写定标报告，定标委员会全体确认后签署定标报告</w:t>
      </w:r>
      <w:r>
        <w:rPr>
          <w:rFonts w:hint="eastAsia" w:ascii="宋体" w:hAnsi="宋体" w:cs="宋体"/>
          <w:color w:val="auto"/>
          <w:szCs w:val="21"/>
          <w:highlight w:val="none"/>
          <w:u w:val="single"/>
          <w:lang w:val="en-US" w:eastAsia="zh-CN"/>
        </w:rPr>
        <w:t>。</w:t>
      </w:r>
    </w:p>
    <w:p>
      <w:pPr>
        <w:pBdr>
          <w:bottom w:val="single" w:color="auto" w:sz="6" w:space="1"/>
        </w:pBdr>
        <w:spacing w:line="360" w:lineRule="auto"/>
        <w:ind w:firstLine="420" w:firstLineChars="200"/>
        <w:rPr>
          <w:rFonts w:ascii="宋体" w:hAnsi="宋体" w:cs="宋体"/>
          <w:color w:val="auto"/>
          <w:szCs w:val="21"/>
          <w:highlight w:val="none"/>
          <w:u w:val="single"/>
        </w:rPr>
      </w:pPr>
      <w:r>
        <w:rPr>
          <w:rFonts w:ascii="宋体" w:hAnsi="宋体" w:cs="宋体"/>
          <w:color w:val="auto"/>
          <w:szCs w:val="21"/>
          <w:highlight w:val="none"/>
          <w:u w:val="single"/>
        </w:rPr>
        <w:t xml:space="preserve">43.7 </w:t>
      </w:r>
      <w:r>
        <w:rPr>
          <w:rFonts w:hint="eastAsia" w:ascii="宋体" w:hAnsi="宋体" w:cs="宋体"/>
          <w:color w:val="auto"/>
          <w:szCs w:val="21"/>
          <w:highlight w:val="none"/>
          <w:u w:val="single"/>
        </w:rPr>
        <w:t>招标人应当在定标工作完成后</w:t>
      </w:r>
      <w:r>
        <w:rPr>
          <w:rFonts w:ascii="宋体" w:hAnsi="宋体" w:cs="宋体"/>
          <w:color w:val="auto"/>
          <w:szCs w:val="21"/>
          <w:highlight w:val="none"/>
          <w:u w:val="single"/>
        </w:rPr>
        <w:t>3日内公示中标结果。</w:t>
      </w:r>
    </w:p>
    <w:p>
      <w:pPr>
        <w:pBdr>
          <w:bottom w:val="single" w:color="auto" w:sz="6" w:space="1"/>
        </w:pBd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43.8重新评标或定标的，评标信息（含业绩、奖项等）、定标信息仍以投标截止时投标人的信息为准。因特殊原因需要延长投标有效期，投标人拒绝延长投标有效期的，仍参与评标、定标，但不被推荐为合格中标候选人。</w:t>
      </w:r>
    </w:p>
    <w:p>
      <w:pPr>
        <w:pBdr>
          <w:bottom w:val="single" w:color="auto" w:sz="6" w:space="1"/>
        </w:pBd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43.9在合格中标候选人公示期间或在定标前</w:t>
      </w:r>
      <w:r>
        <w:rPr>
          <w:rFonts w:hint="eastAsia" w:ascii="宋体" w:hAnsi="宋体" w:cs="宋体"/>
          <w:color w:val="auto"/>
          <w:szCs w:val="21"/>
          <w:highlight w:val="none"/>
          <w:u w:val="single"/>
          <w:lang w:eastAsia="zh-CN"/>
        </w:rPr>
        <w:t>，</w:t>
      </w:r>
      <w:r>
        <w:rPr>
          <w:rFonts w:hint="eastAsia" w:ascii="宋体" w:hAnsi="宋体" w:cs="宋体"/>
          <w:color w:val="auto"/>
          <w:szCs w:val="21"/>
          <w:highlight w:val="none"/>
          <w:u w:val="single"/>
        </w:rPr>
        <w:t>如有合格中标候选人放弃中标候选人资格或者被查实存在影响中标候选人资格的违法行为等情形</w:t>
      </w:r>
      <w:r>
        <w:rPr>
          <w:rFonts w:hint="eastAsia" w:ascii="宋体" w:hAnsi="宋体" w:cs="宋体"/>
          <w:color w:val="auto"/>
          <w:szCs w:val="21"/>
          <w:highlight w:val="none"/>
          <w:u w:val="single"/>
          <w:lang w:eastAsia="zh-CN"/>
        </w:rPr>
        <w:t>，</w:t>
      </w:r>
      <w:r>
        <w:rPr>
          <w:rFonts w:hint="eastAsia" w:ascii="宋体" w:hAnsi="宋体" w:cs="宋体"/>
          <w:color w:val="auto"/>
          <w:szCs w:val="21"/>
          <w:highlight w:val="none"/>
          <w:u w:val="single"/>
        </w:rPr>
        <w:t>且合格中标候选人至少有1名的</w:t>
      </w:r>
      <w:r>
        <w:rPr>
          <w:rFonts w:hint="eastAsia" w:ascii="宋体" w:hAnsi="宋体" w:cs="宋体"/>
          <w:color w:val="auto"/>
          <w:szCs w:val="21"/>
          <w:highlight w:val="none"/>
          <w:u w:val="single"/>
          <w:lang w:eastAsia="zh-CN"/>
        </w:rPr>
        <w:t>，</w:t>
      </w:r>
      <w:r>
        <w:rPr>
          <w:rFonts w:hint="eastAsia" w:ascii="宋体" w:hAnsi="宋体" w:cs="宋体"/>
          <w:color w:val="auto"/>
          <w:szCs w:val="21"/>
          <w:highlight w:val="none"/>
          <w:u w:val="single"/>
        </w:rPr>
        <w:t>招标人不再递补其他合格中标候选人，可以继续定标或依法重新招标</w:t>
      </w:r>
      <w:r>
        <w:rPr>
          <w:rFonts w:hint="eastAsia" w:ascii="宋体" w:hAnsi="宋体" w:cs="宋体"/>
          <w:color w:val="auto"/>
          <w:szCs w:val="21"/>
          <w:highlight w:val="none"/>
          <w:u w:val="single"/>
          <w:lang w:eastAsia="zh-CN"/>
        </w:rPr>
        <w:t>；</w:t>
      </w:r>
      <w:r>
        <w:rPr>
          <w:rFonts w:hint="eastAsia" w:ascii="宋体" w:hAnsi="宋体" w:cs="宋体"/>
          <w:color w:val="auto"/>
          <w:szCs w:val="21"/>
          <w:highlight w:val="none"/>
          <w:u w:val="single"/>
        </w:rPr>
        <w:t>如没有合格中标候选人的，则依法重新招标。</w:t>
      </w:r>
    </w:p>
    <w:p>
      <w:pPr>
        <w:pBdr>
          <w:bottom w:val="single" w:color="auto" w:sz="6" w:space="1"/>
        </w:pBd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43.10在定标后，如中标人放弃中标、或因不可抗力提出不能履行合同</w:t>
      </w:r>
      <w:r>
        <w:rPr>
          <w:rFonts w:hint="eastAsia" w:ascii="宋体" w:hAnsi="宋体" w:cs="宋体"/>
          <w:color w:val="auto"/>
          <w:szCs w:val="21"/>
          <w:highlight w:val="none"/>
          <w:u w:val="single"/>
          <w:lang w:eastAsia="zh-CN"/>
        </w:rPr>
        <w:t>，</w:t>
      </w:r>
      <w:r>
        <w:rPr>
          <w:rFonts w:hint="eastAsia" w:ascii="宋体" w:hAnsi="宋体" w:cs="宋体"/>
          <w:color w:val="auto"/>
          <w:szCs w:val="21"/>
          <w:highlight w:val="none"/>
          <w:u w:val="single"/>
        </w:rPr>
        <w:t>或者招标文件规定应当提交履约担保而在规定的期限内未能提交的</w:t>
      </w:r>
      <w:r>
        <w:rPr>
          <w:rFonts w:hint="eastAsia" w:ascii="宋体" w:hAnsi="宋体" w:cs="宋体"/>
          <w:color w:val="auto"/>
          <w:szCs w:val="21"/>
          <w:highlight w:val="none"/>
          <w:u w:val="single"/>
          <w:lang w:eastAsia="zh-CN"/>
        </w:rPr>
        <w:t>，</w:t>
      </w:r>
      <w:r>
        <w:rPr>
          <w:rFonts w:hint="eastAsia" w:ascii="宋体" w:hAnsi="宋体" w:cs="宋体"/>
          <w:color w:val="auto"/>
          <w:szCs w:val="21"/>
          <w:highlight w:val="none"/>
          <w:u w:val="single"/>
        </w:rPr>
        <w:t>或经核查发现委派的项目负责人已在其他在建项目中担任本职务的</w:t>
      </w:r>
      <w:r>
        <w:rPr>
          <w:rFonts w:hint="eastAsia" w:ascii="宋体" w:hAnsi="宋体" w:cs="宋体"/>
          <w:color w:val="auto"/>
          <w:szCs w:val="21"/>
          <w:highlight w:val="none"/>
          <w:u w:val="single"/>
          <w:lang w:eastAsia="zh-CN"/>
        </w:rPr>
        <w:t>，</w:t>
      </w:r>
      <w:r>
        <w:rPr>
          <w:rFonts w:hint="eastAsia" w:ascii="宋体" w:hAnsi="宋体" w:cs="宋体"/>
          <w:color w:val="auto"/>
          <w:szCs w:val="21"/>
          <w:highlight w:val="none"/>
          <w:u w:val="single"/>
        </w:rPr>
        <w:t>或者被查实存在影响中标结果的违法行为等情形</w:t>
      </w:r>
      <w:r>
        <w:rPr>
          <w:rFonts w:hint="eastAsia" w:ascii="宋体" w:hAnsi="宋体" w:cs="宋体"/>
          <w:color w:val="auto"/>
          <w:szCs w:val="21"/>
          <w:highlight w:val="none"/>
          <w:u w:val="single"/>
          <w:lang w:eastAsia="zh-CN"/>
        </w:rPr>
        <w:t>，</w:t>
      </w:r>
      <w:r>
        <w:rPr>
          <w:rFonts w:hint="eastAsia" w:ascii="宋体" w:hAnsi="宋体" w:cs="宋体"/>
          <w:color w:val="auto"/>
          <w:szCs w:val="21"/>
          <w:highlight w:val="none"/>
          <w:u w:val="single"/>
        </w:rPr>
        <w:t>招标人有权取消其中标人资格或解除合同</w:t>
      </w:r>
      <w:r>
        <w:rPr>
          <w:rFonts w:hint="eastAsia" w:ascii="宋体" w:hAnsi="宋体" w:cs="宋体"/>
          <w:color w:val="auto"/>
          <w:szCs w:val="21"/>
          <w:highlight w:val="none"/>
          <w:u w:val="single"/>
          <w:lang w:eastAsia="zh-CN"/>
        </w:rPr>
        <w:t>，</w:t>
      </w:r>
      <w:r>
        <w:rPr>
          <w:rFonts w:hint="eastAsia" w:ascii="宋体" w:hAnsi="宋体" w:cs="宋体"/>
          <w:color w:val="auto"/>
          <w:szCs w:val="21"/>
          <w:highlight w:val="none"/>
          <w:u w:val="single"/>
        </w:rPr>
        <w:t>可由原定标委员会确定定标因素总得分排名第二的合格中标候选人为中标人</w:t>
      </w:r>
      <w:r>
        <w:rPr>
          <w:rFonts w:hint="eastAsia" w:ascii="宋体" w:hAnsi="宋体" w:cs="宋体"/>
          <w:color w:val="auto"/>
          <w:szCs w:val="21"/>
          <w:highlight w:val="none"/>
          <w:u w:val="single"/>
          <w:lang w:eastAsia="zh-CN"/>
        </w:rPr>
        <w:t>，</w:t>
      </w:r>
      <w:r>
        <w:rPr>
          <w:rFonts w:hint="eastAsia" w:ascii="宋体" w:hAnsi="宋体" w:cs="宋体"/>
          <w:color w:val="auto"/>
          <w:szCs w:val="21"/>
          <w:highlight w:val="none"/>
          <w:u w:val="single"/>
        </w:rPr>
        <w:t>依此类推</w:t>
      </w:r>
      <w:r>
        <w:rPr>
          <w:rFonts w:hint="eastAsia" w:ascii="宋体" w:hAnsi="宋体" w:cs="宋体"/>
          <w:color w:val="auto"/>
          <w:szCs w:val="21"/>
          <w:highlight w:val="none"/>
          <w:u w:val="single"/>
          <w:lang w:eastAsia="zh-CN"/>
        </w:rPr>
        <w:t>，</w:t>
      </w:r>
      <w:r>
        <w:rPr>
          <w:rFonts w:hint="eastAsia" w:ascii="宋体" w:hAnsi="宋体" w:cs="宋体"/>
          <w:color w:val="auto"/>
          <w:szCs w:val="21"/>
          <w:highlight w:val="none"/>
          <w:u w:val="single"/>
        </w:rPr>
        <w:t>招标人也可以依法重新招标。</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条款号：附表一《资格审查表》</w:t>
      </w:r>
      <w:r>
        <w:rPr>
          <w:rFonts w:ascii="宋体" w:hAnsi="宋体" w:cs="宋体"/>
          <w:b/>
          <w:color w:val="auto"/>
          <w:szCs w:val="21"/>
          <w:highlight w:val="none"/>
        </w:rPr>
        <w:t xml:space="preserve">                   </w:t>
      </w:r>
      <w:r>
        <w:rPr>
          <w:rFonts w:hint="eastAsia" w:ascii="宋体" w:hAnsi="宋体" w:cs="宋体"/>
          <w:b/>
          <w:color w:val="auto"/>
          <w:szCs w:val="21"/>
          <w:highlight w:val="none"/>
        </w:rPr>
        <w:t>修改类型：修改</w:t>
      </w:r>
    </w:p>
    <w:p>
      <w:pPr>
        <w:spacing w:line="360" w:lineRule="auto"/>
        <w:ind w:firstLine="424" w:firstLineChars="201"/>
        <w:rPr>
          <w:rFonts w:ascii="宋体" w:hAnsi="宋体" w:cs="宋体"/>
          <w:bCs/>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详见最新版广州市建设工程施工公开招标项目招标文件范本（适用于资格后审综合评分法、经评审的最低投标价法的施工电子招标项目）</w:t>
      </w:r>
      <w:r>
        <w:rPr>
          <w:rFonts w:ascii="宋体" w:hAnsi="宋体" w:cs="宋体"/>
          <w:bCs/>
          <w:color w:val="auto"/>
          <w:szCs w:val="21"/>
          <w:highlight w:val="none"/>
        </w:rPr>
        <w:t>GZZB2018-3</w:t>
      </w:r>
    </w:p>
    <w:p>
      <w:pPr>
        <w:pBdr>
          <w:bottom w:val="single" w:color="auto" w:sz="6" w:space="1"/>
        </w:pBdr>
        <w:spacing w:line="360" w:lineRule="auto"/>
        <w:ind w:firstLine="424" w:firstLineChars="201"/>
        <w:rPr>
          <w:rFonts w:ascii="宋体" w:hAnsi="宋体" w:cs="宋体"/>
          <w:color w:val="auto"/>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u w:val="single"/>
        </w:rPr>
        <w:t>详见本招标文件第二章附表一《资格审查表》</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条款号：附表二</w:t>
      </w:r>
      <w:r>
        <w:rPr>
          <w:rFonts w:ascii="宋体" w:hAnsi="宋体" w:cs="宋体"/>
          <w:b/>
          <w:color w:val="auto"/>
          <w:szCs w:val="21"/>
          <w:highlight w:val="none"/>
        </w:rPr>
        <w:t xml:space="preserve"> </w:t>
      </w:r>
      <w:r>
        <w:rPr>
          <w:rFonts w:hint="eastAsia" w:ascii="宋体" w:hAnsi="宋体" w:cs="宋体"/>
          <w:b/>
          <w:color w:val="auto"/>
          <w:szCs w:val="21"/>
          <w:highlight w:val="none"/>
        </w:rPr>
        <w:t>《技术标有效性审查表》</w:t>
      </w:r>
      <w:r>
        <w:rPr>
          <w:rFonts w:ascii="宋体" w:hAnsi="宋体" w:cs="宋体"/>
          <w:b/>
          <w:color w:val="auto"/>
          <w:szCs w:val="21"/>
          <w:highlight w:val="none"/>
        </w:rPr>
        <w:t xml:space="preserve">          </w:t>
      </w:r>
      <w:r>
        <w:rPr>
          <w:rFonts w:hint="eastAsia" w:ascii="宋体" w:hAnsi="宋体" w:cs="宋体"/>
          <w:b/>
          <w:color w:val="auto"/>
          <w:szCs w:val="21"/>
          <w:highlight w:val="none"/>
        </w:rPr>
        <w:t>修改类型：修改</w:t>
      </w:r>
    </w:p>
    <w:p>
      <w:pPr>
        <w:pBdr>
          <w:bottom w:val="single" w:color="auto" w:sz="6" w:space="1"/>
        </w:pBdr>
        <w:spacing w:line="360" w:lineRule="auto"/>
        <w:ind w:firstLine="424" w:firstLineChars="201"/>
        <w:rPr>
          <w:rFonts w:ascii="宋体" w:hAnsi="宋体" w:cs="宋体"/>
          <w:bCs/>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详见最新版广州市建设工程施工公开招标项目招标文件范本（适用于资格后审综合评分法、经评审的最低投标价法的施工电子招标项目）</w:t>
      </w:r>
      <w:r>
        <w:rPr>
          <w:rFonts w:ascii="宋体" w:hAnsi="宋体" w:cs="宋体"/>
          <w:bCs/>
          <w:color w:val="auto"/>
          <w:szCs w:val="21"/>
          <w:highlight w:val="none"/>
        </w:rPr>
        <w:t>GZZB2018-3</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u w:val="single"/>
        </w:rPr>
        <w:t>详见本招标文件第二章附表二《技术标有效性审查表》</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条款号：附表三《经济标有效性审查表》</w:t>
      </w:r>
      <w:r>
        <w:rPr>
          <w:rFonts w:ascii="宋体" w:hAnsi="宋体" w:cs="宋体"/>
          <w:b/>
          <w:color w:val="auto"/>
          <w:szCs w:val="21"/>
          <w:highlight w:val="none"/>
        </w:rPr>
        <w:t xml:space="preserve">           </w:t>
      </w:r>
      <w:r>
        <w:rPr>
          <w:rFonts w:hint="eastAsia" w:ascii="宋体" w:hAnsi="宋体" w:cs="宋体"/>
          <w:b/>
          <w:color w:val="auto"/>
          <w:szCs w:val="21"/>
          <w:highlight w:val="none"/>
        </w:rPr>
        <w:t>修改类型：修改</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详见最新版广州市建设工程施工公开招标项目招标文件范本（适用于资格后审综合评分法、经评审的最低投标价法的施工电子招标项目）</w:t>
      </w:r>
      <w:r>
        <w:rPr>
          <w:rFonts w:ascii="宋体" w:hAnsi="宋体" w:cs="宋体"/>
          <w:bCs/>
          <w:color w:val="auto"/>
          <w:szCs w:val="21"/>
          <w:highlight w:val="none"/>
        </w:rPr>
        <w:t>GZZB2018-3</w:t>
      </w:r>
    </w:p>
    <w:p>
      <w:pPr>
        <w:pBdr>
          <w:bottom w:val="single" w:color="auto" w:sz="6" w:space="1"/>
        </w:pBd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u w:val="single"/>
        </w:rPr>
        <w:t>详见本招标文件第二章附表三《经济标有效性审查表》</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条款号：附表四《技术标详细审查评分表》</w:t>
      </w:r>
      <w:r>
        <w:rPr>
          <w:rFonts w:ascii="宋体" w:hAnsi="宋体" w:cs="宋体"/>
          <w:b/>
          <w:color w:val="auto"/>
          <w:szCs w:val="21"/>
          <w:highlight w:val="none"/>
        </w:rPr>
        <w:t xml:space="preserve">         修改类型：修改</w:t>
      </w:r>
    </w:p>
    <w:p>
      <w:pPr>
        <w:spacing w:line="360" w:lineRule="auto"/>
        <w:ind w:firstLine="424" w:firstLineChars="201"/>
        <w:rPr>
          <w:rFonts w:ascii="宋体" w:hAnsi="宋体" w:cs="宋体"/>
          <w:bCs/>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详见最新版广州市建设工程施工公开招标项目招标文件范本（适用于资格后审综合评分法、经评审的最低投标价法的施工电子招标项目）</w:t>
      </w:r>
      <w:r>
        <w:rPr>
          <w:rFonts w:ascii="宋体" w:hAnsi="宋体" w:cs="宋体"/>
          <w:bCs/>
          <w:color w:val="auto"/>
          <w:szCs w:val="21"/>
          <w:highlight w:val="none"/>
        </w:rPr>
        <w:t>GZZB2018-3</w:t>
      </w:r>
    </w:p>
    <w:p>
      <w:pPr>
        <w:pBdr>
          <w:bottom w:val="single" w:color="auto" w:sz="6" w:space="1"/>
        </w:pBd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u w:val="single"/>
        </w:rPr>
        <w:t>详见本招标文件第二章附表四《技术标详细审查评分表》</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条款号：附表五（适用于区间抽取法）《经济标评分表》</w:t>
      </w:r>
      <w:r>
        <w:rPr>
          <w:rFonts w:ascii="宋体" w:hAnsi="宋体" w:cs="宋体"/>
          <w:b/>
          <w:color w:val="auto"/>
          <w:szCs w:val="21"/>
          <w:highlight w:val="none"/>
        </w:rPr>
        <w:t xml:space="preserve">        </w:t>
      </w:r>
      <w:r>
        <w:rPr>
          <w:rFonts w:hint="eastAsia" w:ascii="宋体" w:hAnsi="宋体" w:cs="宋体"/>
          <w:b/>
          <w:color w:val="auto"/>
          <w:szCs w:val="21"/>
          <w:highlight w:val="none"/>
        </w:rPr>
        <w:t>修改类型：删除</w:t>
      </w:r>
    </w:p>
    <w:p>
      <w:pPr>
        <w:pBdr>
          <w:bottom w:val="single" w:color="auto" w:sz="6" w:space="1"/>
        </w:pBd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详见最新版广州市建设工程施工公开招标项目招标文件范本（适用于资格后审综合评分法、经评审的最低投标价法的施工电子招标项目）</w:t>
      </w:r>
      <w:r>
        <w:rPr>
          <w:rFonts w:ascii="宋体" w:hAnsi="宋体" w:cs="宋体"/>
          <w:bCs/>
          <w:color w:val="auto"/>
          <w:szCs w:val="21"/>
          <w:highlight w:val="none"/>
        </w:rPr>
        <w:t>GZZB2018-3</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条款号：附表六至附表十</w:t>
      </w:r>
      <w:r>
        <w:rPr>
          <w:rFonts w:hint="eastAsia" w:ascii="宋体" w:hAnsi="宋体" w:cs="宋体"/>
          <w:b/>
          <w:color w:val="auto"/>
          <w:szCs w:val="21"/>
          <w:highlight w:val="none"/>
          <w:lang w:val="en-US" w:eastAsia="zh-CN"/>
        </w:rPr>
        <w:t>二</w:t>
      </w:r>
      <w:r>
        <w:rPr>
          <w:rFonts w:ascii="宋体" w:hAnsi="宋体" w:cs="宋体"/>
          <w:b/>
          <w:color w:val="auto"/>
          <w:szCs w:val="21"/>
          <w:highlight w:val="none"/>
        </w:rPr>
        <w:t xml:space="preserve">                                   </w:t>
      </w:r>
      <w:r>
        <w:rPr>
          <w:rFonts w:hint="eastAsia" w:ascii="宋体" w:hAnsi="宋体" w:cs="宋体"/>
          <w:b/>
          <w:color w:val="auto"/>
          <w:szCs w:val="21"/>
          <w:highlight w:val="none"/>
        </w:rPr>
        <w:t>修改类型：增加</w:t>
      </w:r>
    </w:p>
    <w:p>
      <w:pPr>
        <w:pBdr>
          <w:bottom w:val="single" w:color="auto" w:sz="6" w:space="1"/>
        </w:pBd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u w:val="single"/>
        </w:rPr>
        <w:t>详见</w:t>
      </w:r>
      <w:r>
        <w:rPr>
          <w:rFonts w:hint="eastAsia" w:ascii="宋体" w:hAnsi="宋体" w:cs="宋体"/>
          <w:bCs/>
          <w:color w:val="auto"/>
          <w:szCs w:val="21"/>
          <w:highlight w:val="none"/>
          <w:u w:val="single"/>
        </w:rPr>
        <w:t>附表六至附表十</w:t>
      </w:r>
      <w:r>
        <w:rPr>
          <w:rFonts w:hint="eastAsia" w:ascii="宋体" w:hAnsi="宋体" w:cs="宋体"/>
          <w:bCs/>
          <w:color w:val="auto"/>
          <w:szCs w:val="21"/>
          <w:highlight w:val="none"/>
          <w:u w:val="single"/>
          <w:lang w:val="en-US" w:eastAsia="zh-CN"/>
        </w:rPr>
        <w:t>二</w:t>
      </w:r>
      <w:r>
        <w:rPr>
          <w:rFonts w:hint="eastAsia" w:ascii="宋体" w:hAnsi="宋体" w:cs="宋体"/>
          <w:bCs/>
          <w:color w:val="auto"/>
          <w:szCs w:val="21"/>
          <w:highlight w:val="none"/>
          <w:u w:val="single"/>
        </w:rPr>
        <w:t>。</w:t>
      </w:r>
    </w:p>
    <w:p>
      <w:pPr>
        <w:spacing w:line="360" w:lineRule="auto"/>
        <w:ind w:firstLine="211" w:firstLineChars="100"/>
        <w:rPr>
          <w:rFonts w:ascii="宋体" w:hAnsi="宋体" w:cs="宋体"/>
          <w:b/>
          <w:color w:val="auto"/>
          <w:szCs w:val="21"/>
          <w:highlight w:val="none"/>
        </w:rPr>
      </w:pPr>
      <w:r>
        <w:rPr>
          <w:rFonts w:hint="eastAsia" w:ascii="宋体" w:hAnsi="宋体" w:cs="宋体"/>
          <w:b/>
          <w:color w:val="auto"/>
          <w:szCs w:val="21"/>
          <w:highlight w:val="none"/>
        </w:rPr>
        <w:t>注：以上修改，仅限于本范本中有可供选择条款的情形。</w:t>
      </w:r>
    </w:p>
    <w:p>
      <w:pPr>
        <w:spacing w:line="360" w:lineRule="auto"/>
        <w:rPr>
          <w:rFonts w:ascii="宋体" w:hAnsi="宋体" w:cs="宋体"/>
          <w:b/>
          <w:bCs/>
          <w:color w:val="auto"/>
          <w:highlight w:val="none"/>
        </w:rPr>
      </w:pPr>
      <w:r>
        <w:rPr>
          <w:rFonts w:hint="eastAsia" w:ascii="宋体" w:hAnsi="宋体" w:cs="宋体"/>
          <w:b/>
          <w:color w:val="auto"/>
          <w:szCs w:val="21"/>
          <w:highlight w:val="none"/>
        </w:rPr>
        <w:t>（以下无正文）</w:t>
      </w:r>
      <w:r>
        <w:rPr>
          <w:rFonts w:ascii="宋体" w:hAnsi="宋体" w:cs="宋体"/>
          <w:b/>
          <w:bCs/>
          <w:color w:val="auto"/>
          <w:highlight w:val="none"/>
        </w:rPr>
        <w:br w:type="page"/>
      </w:r>
    </w:p>
    <w:bookmarkEnd w:id="71"/>
    <w:p>
      <w:pPr>
        <w:pStyle w:val="5"/>
        <w:rPr>
          <w:rFonts w:ascii="宋体" w:hAnsi="宋体"/>
          <w:color w:val="auto"/>
          <w:highlight w:val="none"/>
        </w:rPr>
      </w:pPr>
      <w:bookmarkStart w:id="72" w:name="_Toc16245"/>
      <w:bookmarkStart w:id="73" w:name="_Toc13255"/>
      <w:bookmarkStart w:id="74" w:name="_Toc8628"/>
      <w:bookmarkStart w:id="75" w:name="_Toc112397816"/>
      <w:bookmarkStart w:id="76" w:name="_Toc21407"/>
      <w:r>
        <w:rPr>
          <w:rFonts w:hint="eastAsia" w:ascii="宋体" w:hAnsi="宋体"/>
          <w:color w:val="auto"/>
          <w:highlight w:val="none"/>
        </w:rPr>
        <w:t>二、开标、评标及定标办法</w:t>
      </w:r>
      <w:r>
        <w:rPr>
          <w:rFonts w:hint="eastAsia" w:ascii="宋体" w:hAnsi="宋体"/>
          <w:color w:val="auto"/>
          <w:szCs w:val="30"/>
          <w:highlight w:val="none"/>
        </w:rPr>
        <w:t>通用条款</w:t>
      </w:r>
      <w:bookmarkEnd w:id="72"/>
      <w:bookmarkEnd w:id="73"/>
      <w:bookmarkEnd w:id="74"/>
      <w:bookmarkEnd w:id="75"/>
      <w:bookmarkEnd w:id="76"/>
    </w:p>
    <w:p>
      <w:pPr>
        <w:widowControl/>
        <w:spacing w:before="100" w:beforeAutospacing="1" w:after="100" w:afterAutospacing="1" w:line="360" w:lineRule="auto"/>
        <w:ind w:firstLine="480" w:firstLineChars="200"/>
        <w:jc w:val="left"/>
        <w:outlineLvl w:val="2"/>
        <w:rPr>
          <w:rFonts w:ascii="宋体" w:hAnsi="宋体" w:cs="宋体"/>
          <w:color w:val="auto"/>
          <w:kern w:val="0"/>
          <w:sz w:val="24"/>
          <w:szCs w:val="24"/>
          <w:highlight w:val="none"/>
        </w:rPr>
      </w:pPr>
      <w:bookmarkStart w:id="77" w:name="_Toc112397817"/>
      <w:bookmarkStart w:id="78" w:name="_Toc28999"/>
      <w:bookmarkStart w:id="79" w:name="_Toc15382"/>
      <w:bookmarkStart w:id="80" w:name="_Toc10423"/>
      <w:bookmarkStart w:id="81" w:name="_Toc14448"/>
      <w:bookmarkStart w:id="82" w:name="_Toc58838579"/>
      <w:r>
        <w:rPr>
          <w:rFonts w:hint="eastAsia" w:ascii="宋体" w:hAnsi="宋体" w:cs="宋体"/>
          <w:color w:val="auto"/>
          <w:kern w:val="0"/>
          <w:sz w:val="24"/>
          <w:szCs w:val="24"/>
          <w:highlight w:val="none"/>
        </w:rPr>
        <w:t>（一）总则</w:t>
      </w:r>
      <w:bookmarkEnd w:id="77"/>
      <w:bookmarkEnd w:id="78"/>
      <w:bookmarkEnd w:id="79"/>
      <w:bookmarkEnd w:id="80"/>
      <w:bookmarkEnd w:id="81"/>
      <w:bookmarkEnd w:id="82"/>
    </w:p>
    <w:p>
      <w:pPr>
        <w:spacing w:line="360" w:lineRule="auto"/>
        <w:ind w:firstLine="480" w:firstLineChars="200"/>
        <w:rPr>
          <w:rFonts w:ascii="宋体" w:hAnsi="宋体"/>
          <w:b/>
          <w:color w:val="auto"/>
          <w:sz w:val="24"/>
          <w:szCs w:val="24"/>
          <w:highlight w:val="none"/>
        </w:rPr>
      </w:pPr>
      <w:r>
        <w:rPr>
          <w:rFonts w:ascii="宋体" w:hAnsi="宋体"/>
          <w:color w:val="auto"/>
          <w:sz w:val="24"/>
          <w:szCs w:val="24"/>
          <w:highlight w:val="none"/>
        </w:rPr>
        <w:t xml:space="preserve">35 </w:t>
      </w:r>
      <w:r>
        <w:rPr>
          <w:rFonts w:hint="eastAsia" w:ascii="宋体" w:hAnsi="宋体"/>
          <w:color w:val="auto"/>
          <w:sz w:val="24"/>
          <w:szCs w:val="24"/>
          <w:highlight w:val="none"/>
        </w:rPr>
        <w:t>开标、评标及定标所依据的规则</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35.1</w:t>
      </w:r>
      <w:r>
        <w:rPr>
          <w:rFonts w:hint="eastAsia" w:ascii="宋体" w:hAnsi="宋体"/>
          <w:color w:val="auto"/>
          <w:sz w:val="24"/>
          <w:szCs w:val="24"/>
          <w:highlight w:val="none"/>
        </w:rPr>
        <w:t>《中华人民共和国招标投标法》；</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35.2</w:t>
      </w:r>
      <w:r>
        <w:rPr>
          <w:rFonts w:hint="eastAsia" w:ascii="宋体" w:hAnsi="宋体"/>
          <w:color w:val="auto"/>
          <w:sz w:val="24"/>
          <w:szCs w:val="24"/>
          <w:highlight w:val="none"/>
        </w:rPr>
        <w:t>《中华人民共和国招标投标法实施条例》；</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35.3</w:t>
      </w:r>
      <w:r>
        <w:rPr>
          <w:rFonts w:hint="eastAsia" w:ascii="宋体" w:hAnsi="宋体"/>
          <w:color w:val="auto"/>
          <w:sz w:val="24"/>
          <w:szCs w:val="24"/>
          <w:highlight w:val="none"/>
        </w:rPr>
        <w:t>《评标委员会和评标方法暂行规定》（七部委第</w:t>
      </w:r>
      <w:r>
        <w:rPr>
          <w:rFonts w:ascii="宋体" w:hAnsi="宋体"/>
          <w:color w:val="auto"/>
          <w:sz w:val="24"/>
          <w:szCs w:val="24"/>
          <w:highlight w:val="none"/>
        </w:rPr>
        <w:t>12</w:t>
      </w:r>
      <w:r>
        <w:rPr>
          <w:rFonts w:hint="eastAsia" w:ascii="宋体" w:hAnsi="宋体"/>
          <w:color w:val="auto"/>
          <w:sz w:val="24"/>
          <w:szCs w:val="24"/>
          <w:highlight w:val="none"/>
        </w:rPr>
        <w:t>号令）</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35.4</w:t>
      </w:r>
      <w:r>
        <w:rPr>
          <w:rFonts w:hint="eastAsia" w:ascii="宋体" w:hAnsi="宋体"/>
          <w:color w:val="auto"/>
          <w:sz w:val="24"/>
          <w:szCs w:val="24"/>
          <w:highlight w:val="none"/>
        </w:rPr>
        <w:t>《工程建设项目施工招标投标办法》（七部委</w:t>
      </w:r>
      <w:r>
        <w:rPr>
          <w:rFonts w:ascii="宋体" w:hAnsi="宋体"/>
          <w:color w:val="auto"/>
          <w:sz w:val="24"/>
          <w:szCs w:val="24"/>
          <w:highlight w:val="none"/>
        </w:rPr>
        <w:t>2003</w:t>
      </w:r>
      <w:r>
        <w:rPr>
          <w:rFonts w:hint="eastAsia" w:ascii="宋体" w:hAnsi="宋体"/>
          <w:color w:val="auto"/>
          <w:sz w:val="24"/>
          <w:szCs w:val="24"/>
          <w:highlight w:val="none"/>
        </w:rPr>
        <w:t>年第</w:t>
      </w:r>
      <w:r>
        <w:rPr>
          <w:rFonts w:ascii="宋体" w:hAnsi="宋体"/>
          <w:color w:val="auto"/>
          <w:sz w:val="24"/>
          <w:szCs w:val="24"/>
          <w:highlight w:val="none"/>
        </w:rPr>
        <w:t>30</w:t>
      </w:r>
      <w:r>
        <w:rPr>
          <w:rFonts w:hint="eastAsia" w:ascii="宋体" w:hAnsi="宋体"/>
          <w:color w:val="auto"/>
          <w:sz w:val="24"/>
          <w:szCs w:val="24"/>
          <w:highlight w:val="none"/>
        </w:rPr>
        <w:t>号令）</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35.5</w:t>
      </w:r>
      <w:r>
        <w:rPr>
          <w:rFonts w:hint="eastAsia" w:ascii="宋体" w:hAnsi="宋体"/>
          <w:color w:val="auto"/>
          <w:sz w:val="24"/>
          <w:szCs w:val="24"/>
          <w:highlight w:val="none"/>
        </w:rPr>
        <w:t>《广东省实施〈中华人民共和国招标投标法〉办法》；</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35.6</w:t>
      </w:r>
      <w:r>
        <w:rPr>
          <w:rFonts w:hint="eastAsia" w:ascii="宋体" w:hAnsi="宋体"/>
          <w:color w:val="auto"/>
          <w:sz w:val="24"/>
          <w:szCs w:val="24"/>
          <w:highlight w:val="none"/>
        </w:rPr>
        <w:t>《房屋建筑和市政基础设施工程施工招标投标管理办法》（建设部令第</w:t>
      </w:r>
      <w:r>
        <w:rPr>
          <w:rFonts w:ascii="宋体" w:hAnsi="宋体"/>
          <w:color w:val="auto"/>
          <w:sz w:val="24"/>
          <w:szCs w:val="24"/>
          <w:highlight w:val="none"/>
        </w:rPr>
        <w:t>89</w:t>
      </w:r>
      <w:r>
        <w:rPr>
          <w:rFonts w:hint="eastAsia" w:ascii="宋体" w:hAnsi="宋体"/>
          <w:color w:val="auto"/>
          <w:sz w:val="24"/>
          <w:szCs w:val="24"/>
          <w:highlight w:val="none"/>
        </w:rPr>
        <w:t>号）</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35.7</w:t>
      </w:r>
      <w:r>
        <w:rPr>
          <w:rFonts w:hint="eastAsia" w:ascii="宋体" w:hAnsi="宋体"/>
          <w:color w:val="auto"/>
          <w:sz w:val="24"/>
          <w:szCs w:val="24"/>
          <w:highlight w:val="none"/>
        </w:rPr>
        <w:t>《广东省加强建设工程招标投标监督管理的若干规定》（粤发</w:t>
      </w:r>
      <w:r>
        <w:rPr>
          <w:rFonts w:ascii="宋体" w:hAnsi="宋体"/>
          <w:color w:val="auto"/>
          <w:sz w:val="24"/>
          <w:szCs w:val="24"/>
          <w:highlight w:val="none"/>
        </w:rPr>
        <w:t>[2004]4号）；</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35.8</w:t>
      </w:r>
      <w:r>
        <w:rPr>
          <w:rFonts w:hint="eastAsia" w:ascii="宋体" w:hAnsi="宋体"/>
          <w:color w:val="auto"/>
          <w:sz w:val="24"/>
          <w:szCs w:val="24"/>
          <w:highlight w:val="none"/>
        </w:rPr>
        <w:t>《广州市工程建设项目招标投标管理办法》（穗建规字〔2023〕12号）；</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35.9本项目招标文件。</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36</w:t>
      </w:r>
      <w:r>
        <w:rPr>
          <w:rFonts w:hint="eastAsia" w:ascii="宋体" w:hAnsi="宋体"/>
          <w:color w:val="auto"/>
          <w:sz w:val="24"/>
          <w:szCs w:val="24"/>
          <w:highlight w:val="none"/>
        </w:rPr>
        <w:t>．开标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36.1 </w:t>
      </w:r>
      <w:r>
        <w:rPr>
          <w:rFonts w:hint="eastAsia" w:ascii="宋体" w:hAnsi="宋体"/>
          <w:color w:val="auto"/>
          <w:sz w:val="24"/>
          <w:szCs w:val="24"/>
          <w:highlight w:val="none"/>
        </w:rPr>
        <w:t>招标人按投标须知前附表第</w:t>
      </w:r>
      <w:r>
        <w:rPr>
          <w:rFonts w:ascii="宋体" w:hAnsi="宋体"/>
          <w:color w:val="auto"/>
          <w:sz w:val="24"/>
          <w:szCs w:val="24"/>
          <w:highlight w:val="none"/>
        </w:rPr>
        <w:t>18项所规定的时间和地点公开开标，并邀请所有投标人参加。截标后，开标开始时间因故推迟的，相关评标信息仍以原定的开标开始时间的信息为准。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36.2 招标人在招标文件要求提交投标文件的截止时间前收到的投标文件，开标时都当众予以解密、公布。</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36.3根据投标须知前附表第19项，如需抽取某一种评标办法供评标时使用的，应在开标前抽取。首先对招标文件中约定的若干种评标方法进行编号，再随机抽取某一编号，该编号所对应的评标办法供评标时使用。</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36.4若递交投标文件的投标人不足3家，则重新组织招标。（当N</w:t>
      </w:r>
      <w:r>
        <w:rPr>
          <w:rFonts w:hint="eastAsia" w:ascii="宋体" w:hAnsi="宋体"/>
          <w:color w:val="auto"/>
          <w:sz w:val="24"/>
          <w:szCs w:val="24"/>
          <w:highlight w:val="none"/>
        </w:rPr>
        <w:t>个标段同时招标且不允许兼中时，若有效投标人不足</w:t>
      </w:r>
      <w:r>
        <w:rPr>
          <w:rFonts w:ascii="宋体" w:hAnsi="宋体"/>
          <w:color w:val="auto"/>
          <w:sz w:val="24"/>
          <w:szCs w:val="24"/>
          <w:highlight w:val="none"/>
        </w:rPr>
        <w:t>N+2家，则重新组织招标）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36.5按下列程序进行开标：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36.5.1在投标截止时间后半小时内，投标人通过交易平台对已递交的电子投标文件进行解密。投标人完成解密后，再由招标人进行解密。解密完成后，公布招标项目名称、投标人名称、投标保证金的递交情况、投标报价、工期及其他内容；</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36.5.2备用光盘的读取按投标须知前附表第36项的规定执行；</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36.5.3投标人代表、招标人代表、监标人、记录人等有关人员在开标记录上签字确</w:t>
      </w:r>
      <w:r>
        <w:rPr>
          <w:rFonts w:hint="eastAsia" w:ascii="宋体" w:hAnsi="宋体"/>
          <w:color w:val="auto"/>
          <w:sz w:val="24"/>
          <w:szCs w:val="24"/>
          <w:highlight w:val="none"/>
        </w:rPr>
        <w:t>认；若有关人员不签字的，不影响开标程序；</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36.5.4开标结束。</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36.6投标截止时间前未完成投标文件传输的或因投标人之外的原因造成投标文件未解密且未按要求递交备用光盘的，视为投标人撤回投标文件。因投标人原因造成投标文件未解密或未在规定的时间内解密的，视为撤销其投标文件。</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36.7开标时，两个（含两个）以上的投标人加密打包投标文件电脑机器特征码一致的，不参与下一程序，并由评标委员会否决其投标。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37</w:t>
      </w:r>
      <w:r>
        <w:rPr>
          <w:rFonts w:hint="eastAsia" w:ascii="宋体" w:hAnsi="宋体"/>
          <w:color w:val="auto"/>
          <w:sz w:val="24"/>
          <w:szCs w:val="24"/>
          <w:highlight w:val="none"/>
        </w:rPr>
        <w:t>．评标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37.1</w:t>
      </w:r>
      <w:r>
        <w:rPr>
          <w:rFonts w:hint="eastAsia" w:ascii="宋体" w:hAnsi="宋体"/>
          <w:color w:val="auto"/>
          <w:sz w:val="24"/>
          <w:szCs w:val="24"/>
          <w:highlight w:val="none"/>
        </w:rPr>
        <w:t>评标委员会由招标人依法组建。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37.2</w:t>
      </w:r>
      <w:r>
        <w:rPr>
          <w:rFonts w:hint="eastAsia" w:ascii="宋体" w:hAnsi="宋体"/>
          <w:color w:val="auto"/>
          <w:sz w:val="24"/>
          <w:szCs w:val="24"/>
          <w:highlight w:val="none"/>
        </w:rPr>
        <w:t>评标委员会的职责及守则：</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37.2.1</w:t>
      </w:r>
      <w:r>
        <w:rPr>
          <w:rFonts w:hint="eastAsia" w:ascii="宋体" w:hAnsi="宋体"/>
          <w:color w:val="auto"/>
          <w:sz w:val="24"/>
          <w:szCs w:val="24"/>
          <w:highlight w:val="none"/>
        </w:rPr>
        <w:t>根据评标细则，对投标文件进行认真评审，完成评审报告；</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37.2.2</w:t>
      </w:r>
      <w:r>
        <w:rPr>
          <w:rFonts w:hint="eastAsia" w:ascii="宋体" w:hAnsi="宋体"/>
          <w:color w:val="auto"/>
          <w:sz w:val="24"/>
          <w:szCs w:val="24"/>
          <w:highlight w:val="none"/>
        </w:rPr>
        <w:t>向招标人报告评审意见，推荐合格的中标候选人。</w:t>
      </w:r>
    </w:p>
    <w:p>
      <w:pPr>
        <w:spacing w:line="360" w:lineRule="auto"/>
        <w:ind w:firstLine="480" w:firstLineChars="200"/>
        <w:rPr>
          <w:rFonts w:ascii="宋体" w:hAnsi="宋体"/>
          <w:color w:val="auto"/>
          <w:sz w:val="24"/>
          <w:szCs w:val="24"/>
          <w:highlight w:val="none"/>
        </w:rPr>
      </w:pPr>
      <w:r>
        <w:rPr>
          <w:rFonts w:ascii="宋体" w:hAnsi="宋体"/>
          <w:bCs/>
          <w:color w:val="auto"/>
          <w:sz w:val="24"/>
          <w:szCs w:val="24"/>
          <w:highlight w:val="none"/>
        </w:rPr>
        <w:t>37.2.3</w:t>
      </w:r>
      <w:r>
        <w:rPr>
          <w:rFonts w:ascii="宋体" w:hAnsi="宋体"/>
          <w:b/>
          <w:bCs/>
          <w:color w:val="auto"/>
          <w:sz w:val="24"/>
          <w:szCs w:val="24"/>
          <w:highlight w:val="none"/>
        </w:rPr>
        <w:t xml:space="preserve"> </w:t>
      </w:r>
      <w:r>
        <w:rPr>
          <w:rFonts w:hint="eastAsia" w:ascii="宋体" w:hAnsi="宋体"/>
          <w:color w:val="auto"/>
          <w:sz w:val="24"/>
          <w:szCs w:val="24"/>
          <w:highlight w:val="none"/>
        </w:rPr>
        <w:t>所有参加评标人员必须遵守国家、地方政府制定的有关工程招标投标的法则、规定，遵守有关工程招标投标的保密制度；如有违反者，给予行政处分；情节严重，构成犯罪的，由司法机关依法追究其刑事责任。</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37.2.4</w:t>
      </w:r>
      <w:r>
        <w:rPr>
          <w:rFonts w:hint="eastAsia" w:ascii="宋体" w:hAnsi="宋体"/>
          <w:color w:val="auto"/>
          <w:sz w:val="24"/>
          <w:szCs w:val="24"/>
          <w:highlight w:val="none"/>
        </w:rPr>
        <w:t>全体参与评标人员：</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37.2.4.1 </w:t>
      </w:r>
      <w:r>
        <w:rPr>
          <w:rFonts w:hint="eastAsia" w:ascii="宋体" w:hAnsi="宋体"/>
          <w:color w:val="auto"/>
          <w:sz w:val="24"/>
          <w:szCs w:val="24"/>
          <w:highlight w:val="none"/>
        </w:rPr>
        <w:t>必须遵守评标纪律、不得泄密；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37.2.4.2 </w:t>
      </w:r>
      <w:r>
        <w:rPr>
          <w:rFonts w:hint="eastAsia" w:ascii="宋体" w:hAnsi="宋体"/>
          <w:color w:val="auto"/>
          <w:sz w:val="24"/>
          <w:szCs w:val="24"/>
          <w:highlight w:val="none"/>
        </w:rPr>
        <w:t>必须公正、不得循私；</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37.2.4.3 </w:t>
      </w:r>
      <w:r>
        <w:rPr>
          <w:rFonts w:hint="eastAsia" w:ascii="宋体" w:hAnsi="宋体"/>
          <w:color w:val="auto"/>
          <w:sz w:val="24"/>
          <w:szCs w:val="24"/>
          <w:highlight w:val="none"/>
        </w:rPr>
        <w:t>必须科学、不得草率；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37.2.4.4 </w:t>
      </w:r>
      <w:r>
        <w:rPr>
          <w:rFonts w:hint="eastAsia" w:ascii="宋体" w:hAnsi="宋体"/>
          <w:color w:val="auto"/>
          <w:sz w:val="24"/>
          <w:szCs w:val="24"/>
          <w:highlight w:val="none"/>
        </w:rPr>
        <w:t>必须客观、不得带有成见；</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37.2.4.5 </w:t>
      </w:r>
      <w:r>
        <w:rPr>
          <w:rFonts w:hint="eastAsia" w:ascii="宋体" w:hAnsi="宋体"/>
          <w:color w:val="auto"/>
          <w:sz w:val="24"/>
          <w:szCs w:val="24"/>
          <w:highlight w:val="none"/>
        </w:rPr>
        <w:t>必须平等、不得强加于人；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37.2.4.6 </w:t>
      </w:r>
      <w:r>
        <w:rPr>
          <w:rFonts w:hint="eastAsia" w:ascii="宋体" w:hAnsi="宋体"/>
          <w:color w:val="auto"/>
          <w:sz w:val="24"/>
          <w:szCs w:val="24"/>
          <w:highlight w:val="none"/>
        </w:rPr>
        <w:t>必须严谨、不得随意马虎。</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37.3 </w:t>
      </w:r>
      <w:r>
        <w:rPr>
          <w:rFonts w:hint="eastAsia" w:ascii="宋体" w:hAnsi="宋体"/>
          <w:color w:val="auto"/>
          <w:sz w:val="24"/>
          <w:szCs w:val="24"/>
          <w:highlight w:val="none"/>
        </w:rPr>
        <w:t>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37.4评标结束后，评标委员会递交评标报告并依法推荐中标候选人。</w:t>
      </w:r>
      <w:r>
        <w:rPr>
          <w:rFonts w:ascii="宋体" w:hAnsi="宋体"/>
          <w:color w:val="auto"/>
          <w:sz w:val="24"/>
          <w:szCs w:val="24"/>
          <w:highlight w:val="none"/>
        </w:rPr>
        <w:t xml:space="preserve"> </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38</w:t>
      </w:r>
      <w:r>
        <w:rPr>
          <w:rFonts w:hint="eastAsia" w:ascii="宋体" w:hAnsi="宋体"/>
          <w:color w:val="auto"/>
          <w:sz w:val="24"/>
          <w:szCs w:val="24"/>
          <w:highlight w:val="none"/>
        </w:rPr>
        <w:t>．投标文件的澄清</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38.1</w:t>
      </w:r>
      <w:r>
        <w:rPr>
          <w:rFonts w:hint="eastAsia" w:ascii="宋体" w:hAnsi="宋体"/>
          <w:color w:val="auto"/>
          <w:sz w:val="24"/>
          <w:szCs w:val="24"/>
          <w:highlight w:val="none"/>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38.2 </w:t>
      </w:r>
      <w:r>
        <w:rPr>
          <w:rFonts w:hint="eastAsia" w:ascii="宋体" w:hAnsi="宋体"/>
          <w:color w:val="auto"/>
          <w:sz w:val="24"/>
          <w:szCs w:val="24"/>
          <w:highlight w:val="none"/>
        </w:rPr>
        <w:t>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38.3 </w:t>
      </w:r>
      <w:r>
        <w:rPr>
          <w:rFonts w:hint="eastAsia" w:ascii="宋体" w:hAnsi="宋体"/>
          <w:color w:val="auto"/>
          <w:sz w:val="24"/>
          <w:szCs w:val="24"/>
          <w:highlight w:val="none"/>
        </w:rPr>
        <w:t>评标委员会或评标委员会专业评审组成员均应当阅读投标人的澄清，但应独立参考澄清对投标文件进行评审。</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38.4</w:t>
      </w:r>
      <w:r>
        <w:rPr>
          <w:rFonts w:hint="eastAsia" w:ascii="宋体" w:hAnsi="宋体"/>
          <w:color w:val="auto"/>
          <w:sz w:val="24"/>
          <w:szCs w:val="24"/>
          <w:highlight w:val="none"/>
        </w:rPr>
        <w:t>如果投标文件实质上不响应招标文件的各项要求，评标委员会将按照符合性审查标准予以拒绝，不接受投标人通过修改或撤销其不符合要求的差异或保留，使之成为具有响应性的投标。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39</w:t>
      </w:r>
      <w:r>
        <w:rPr>
          <w:rFonts w:hint="eastAsia" w:ascii="宋体" w:hAnsi="宋体"/>
          <w:color w:val="auto"/>
          <w:sz w:val="24"/>
          <w:szCs w:val="24"/>
          <w:highlight w:val="none"/>
        </w:rPr>
        <w:t>．定标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39.1 </w:t>
      </w:r>
      <w:r>
        <w:rPr>
          <w:rFonts w:hint="eastAsia" w:ascii="宋体" w:hAnsi="宋体"/>
          <w:color w:val="auto"/>
          <w:sz w:val="24"/>
          <w:szCs w:val="24"/>
          <w:highlight w:val="none"/>
        </w:rPr>
        <w:t>招标人根据评标委员会递交的评标报告，最终审定中标人。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39.2 </w:t>
      </w:r>
      <w:r>
        <w:rPr>
          <w:rFonts w:hint="eastAsia" w:ascii="宋体" w:hAnsi="宋体"/>
          <w:color w:val="auto"/>
          <w:sz w:val="24"/>
          <w:szCs w:val="24"/>
          <w:highlight w:val="none"/>
        </w:rPr>
        <w:t>依法必须进行公开招标的项目，招标人应当确定排名第一的中标候选人为中标人。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39.3</w:t>
      </w:r>
      <w:r>
        <w:rPr>
          <w:rFonts w:hint="eastAsia" w:ascii="宋体" w:hAnsi="宋体"/>
          <w:color w:val="auto"/>
          <w:sz w:val="24"/>
          <w:szCs w:val="24"/>
          <w:highlight w:val="none"/>
        </w:rPr>
        <w:t>排名第一的中标候选人放弃中标、或因不可抗力提出不能履行合同，或者招标文件规定应当提交履约担保而在规定的期限内未能提交的，招标人可以确定排名第二的中标候选人为中标人。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39.4</w:t>
      </w:r>
      <w:r>
        <w:rPr>
          <w:rFonts w:hint="eastAsia" w:ascii="宋体" w:hAnsi="宋体"/>
          <w:color w:val="auto"/>
          <w:sz w:val="24"/>
          <w:szCs w:val="24"/>
          <w:highlight w:val="none"/>
        </w:rPr>
        <w:t>排名第二的中标候选人出现前款所列的情形的，招标人可以确定排名第三的中标候选人为中标人。以此类推，如所有中标候选人均出现前款所列的情形，为招标失败，招标人依法重新招标。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39.5 </w:t>
      </w:r>
      <w:r>
        <w:rPr>
          <w:rFonts w:hint="eastAsia" w:ascii="宋体" w:hAnsi="宋体"/>
          <w:color w:val="auto"/>
          <w:sz w:val="24"/>
          <w:szCs w:val="24"/>
          <w:highlight w:val="none"/>
        </w:rPr>
        <w:t>重新评标的，评标信息（含业绩、奖项等）仍以投标截止时投标人的信息为准。因特殊原因需要延长投标有效期，投标人拒绝延长投标有效期的，仍参与评标，但不被推荐为中标候选人。</w:t>
      </w:r>
    </w:p>
    <w:p>
      <w:pPr>
        <w:widowControl/>
        <w:spacing w:before="100" w:beforeAutospacing="1" w:after="100" w:afterAutospacing="1" w:line="360" w:lineRule="auto"/>
        <w:ind w:firstLine="480" w:firstLineChars="200"/>
        <w:jc w:val="left"/>
        <w:outlineLvl w:val="2"/>
        <w:rPr>
          <w:rFonts w:ascii="宋体" w:hAnsi="宋体" w:cs="宋体"/>
          <w:color w:val="auto"/>
          <w:kern w:val="0"/>
          <w:sz w:val="24"/>
          <w:szCs w:val="24"/>
          <w:highlight w:val="none"/>
        </w:rPr>
      </w:pPr>
      <w:bookmarkStart w:id="83" w:name="_Toc58838580"/>
      <w:bookmarkStart w:id="84" w:name="_Toc25909"/>
      <w:bookmarkStart w:id="85" w:name="_Toc112397818"/>
      <w:bookmarkStart w:id="86" w:name="_Toc26728"/>
      <w:bookmarkStart w:id="87" w:name="_Toc20188"/>
      <w:bookmarkStart w:id="88" w:name="_Toc6061"/>
      <w:r>
        <w:rPr>
          <w:rFonts w:hint="eastAsia" w:ascii="宋体" w:hAnsi="宋体" w:cs="宋体"/>
          <w:color w:val="auto"/>
          <w:kern w:val="0"/>
          <w:sz w:val="24"/>
          <w:szCs w:val="24"/>
          <w:highlight w:val="none"/>
        </w:rPr>
        <w:t>（二）开标评标办法程序和细则</w:t>
      </w:r>
      <w:bookmarkEnd w:id="83"/>
      <w:bookmarkEnd w:id="84"/>
      <w:bookmarkEnd w:id="85"/>
      <w:bookmarkEnd w:id="86"/>
      <w:bookmarkEnd w:id="87"/>
      <w:bookmarkEnd w:id="88"/>
    </w:p>
    <w:p>
      <w:pPr>
        <w:spacing w:line="360" w:lineRule="auto"/>
        <w:ind w:firstLine="480" w:firstLineChars="200"/>
        <w:rPr>
          <w:rFonts w:ascii="宋体" w:hAnsi="宋体"/>
          <w:strike/>
          <w:color w:val="auto"/>
          <w:sz w:val="24"/>
          <w:szCs w:val="24"/>
          <w:highlight w:val="none"/>
        </w:rPr>
      </w:pPr>
      <w:r>
        <w:rPr>
          <w:rFonts w:hint="eastAsia" w:ascii="宋体" w:hAnsi="宋体"/>
          <w:strike/>
          <w:color w:val="auto"/>
          <w:sz w:val="24"/>
          <w:szCs w:val="24"/>
          <w:highlight w:val="none"/>
        </w:rPr>
        <w:t>注：以下八种评标办法所述企业诚信综合评价分数即投标截止当日广州市工程招标代理行业协会网站上公布的企业诚信综合评价</w:t>
      </w:r>
      <w:r>
        <w:rPr>
          <w:rFonts w:ascii="宋体" w:hAnsi="宋体"/>
          <w:strike/>
          <w:color w:val="auto"/>
          <w:sz w:val="24"/>
          <w:szCs w:val="24"/>
          <w:highlight w:val="none"/>
        </w:rPr>
        <w:t>60</w:t>
      </w:r>
      <w:r>
        <w:rPr>
          <w:rFonts w:hint="eastAsia" w:ascii="宋体" w:hAnsi="宋体"/>
          <w:strike/>
          <w:color w:val="auto"/>
          <w:sz w:val="24"/>
          <w:szCs w:val="24"/>
          <w:highlight w:val="none"/>
        </w:rPr>
        <w:t>日诚信分。</w:t>
      </w:r>
    </w:p>
    <w:p>
      <w:pPr>
        <w:spacing w:line="360" w:lineRule="auto"/>
        <w:ind w:firstLine="480" w:firstLineChars="200"/>
        <w:rPr>
          <w:rFonts w:ascii="宋体" w:hAnsi="宋体"/>
          <w:color w:val="auto"/>
          <w:sz w:val="24"/>
          <w:szCs w:val="24"/>
          <w:highlight w:val="none"/>
        </w:rPr>
      </w:pPr>
    </w:p>
    <w:p>
      <w:pPr>
        <w:spacing w:line="360" w:lineRule="auto"/>
        <w:jc w:val="left"/>
        <w:rPr>
          <w:rFonts w:ascii="宋体" w:hAnsi="宋体" w:cs="宋体"/>
          <w:color w:val="auto"/>
          <w:sz w:val="24"/>
          <w:szCs w:val="24"/>
          <w:highlight w:val="none"/>
        </w:rPr>
      </w:pPr>
    </w:p>
    <w:p>
      <w:pPr>
        <w:pStyle w:val="6"/>
        <w:rPr>
          <w:color w:val="auto"/>
          <w:highlight w:val="none"/>
        </w:rPr>
      </w:pPr>
      <w:bookmarkStart w:id="89" w:name="_Toc2272563"/>
      <w:bookmarkStart w:id="90" w:name="_Toc31320"/>
      <w:bookmarkStart w:id="91" w:name="_Toc21525508"/>
      <w:bookmarkStart w:id="92" w:name="_Toc5496"/>
      <w:bookmarkStart w:id="93" w:name="_Toc31797"/>
      <w:bookmarkStart w:id="94" w:name="_Toc26815"/>
      <w:bookmarkStart w:id="95" w:name="_Toc112397819"/>
      <w:r>
        <w:rPr>
          <w:rFonts w:hint="eastAsia"/>
          <w:color w:val="auto"/>
          <w:highlight w:val="none"/>
        </w:rPr>
        <w:t>可选办法六（适合综合评分法三，技术标与经济标同时开启）</w:t>
      </w:r>
      <w:bookmarkEnd w:id="89"/>
      <w:bookmarkEnd w:id="90"/>
      <w:bookmarkEnd w:id="91"/>
      <w:bookmarkEnd w:id="92"/>
      <w:bookmarkEnd w:id="93"/>
      <w:bookmarkEnd w:id="94"/>
      <w:bookmarkEnd w:id="95"/>
    </w:p>
    <w:p>
      <w:pPr>
        <w:pStyle w:val="47"/>
        <w:spacing w:after="0"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40．开标和评标程序：</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40.1投标人递交技术标、经济标投标文件；</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40.2技术标与经济标投标文件同时公开开标；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40.3由评标委员会对所有已公开开标的投标人进行资格审查；</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40.4技术标投标文件有效性审查；</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40.5技术标详细审查评分；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40.6计算第一阶段得分，并按照总分从高到低排列先后次序，编写第一阶段评审报告；</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40.7按投标须知前附表第25项规定，确定进入第二阶段评审的投标人；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40.8将进入第二阶段评审的投标人进行排序；</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40.9按排序对经济标投标文件进行有效性审查（含投标报价算术校核），直至评出所有中标候选人；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40.10评标委员会编写评标报告，向招标人推荐中标候选人名单。</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41. </w:t>
      </w:r>
      <w:r>
        <w:rPr>
          <w:rFonts w:hint="eastAsia" w:ascii="宋体" w:hAnsi="宋体"/>
          <w:color w:val="auto"/>
          <w:sz w:val="24"/>
          <w:szCs w:val="24"/>
          <w:highlight w:val="none"/>
        </w:rPr>
        <w:t>开标细则</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41.1开标由招标人主持；</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41.2细则</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41.2.1投标截止期前，各投标人递交投标文件（包括技术标投标文件、经济标投标文件）至</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交易平台。有关投标文件提交的事项详见第一章投标须知。</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41.2.2开标时，投标人代表有权参加现场开标或在线开标，也可以自主决定不参加开标，若投标人代表对开标过程有异议的，参加现场开标的应当在开标现场提出，同时出示本人身份证原件，招标人应当当场作出答复，并制作记录；参加在线开标的，投标人应通过交易平台在线提出，招标人应通过交易平台答复，答复后方可结束开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41.3按36.5.1的规定完成解密后，公布下列内容，并予以记录，记录提交评标委员会评审：</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41.3.1开标时，公布：a、投标人名称；b、</w:t>
      </w:r>
      <w:r>
        <w:rPr>
          <w:rFonts w:hint="eastAsia" w:ascii="宋体" w:hAnsi="宋体"/>
          <w:color w:val="auto"/>
          <w:sz w:val="24"/>
          <w:highlight w:val="none"/>
        </w:rPr>
        <w:t>投标文件</w:t>
      </w:r>
      <w:r>
        <w:rPr>
          <w:rFonts w:hint="eastAsia" w:ascii="宋体" w:hAnsi="宋体"/>
          <w:color w:val="auto"/>
          <w:sz w:val="24"/>
          <w:szCs w:val="24"/>
          <w:highlight w:val="none"/>
        </w:rPr>
        <w:t>密封情况；</w:t>
      </w:r>
      <w:r>
        <w:rPr>
          <w:rFonts w:ascii="宋体" w:hAnsi="宋体"/>
          <w:color w:val="auto"/>
          <w:sz w:val="24"/>
          <w:szCs w:val="24"/>
          <w:highlight w:val="none"/>
        </w:rPr>
        <w:t>c、投标报价；d、投标保证金；e、项目经理（负责人）名称；f、法定代表人证明及授权委托等主要内容及开标记录表中的其他必要内容。投标报价以数字和文字两种方式表述的，应公布文字表述的投标报价。</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41.4招标人对开标过程进行记录，并存档备查，投标人在开标记录上签字。</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41.5 </w:t>
      </w:r>
      <w:r>
        <w:rPr>
          <w:rFonts w:hint="eastAsia" w:ascii="宋体" w:hAnsi="宋体"/>
          <w:color w:val="auto"/>
          <w:sz w:val="24"/>
          <w:szCs w:val="24"/>
          <w:highlight w:val="none"/>
        </w:rPr>
        <w:t>招标人将上述符合要求的投标文件，送至评标委员会进行评审。</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42. </w:t>
      </w:r>
      <w:r>
        <w:rPr>
          <w:rFonts w:hint="eastAsia" w:ascii="宋体" w:hAnsi="宋体"/>
          <w:color w:val="auto"/>
          <w:sz w:val="24"/>
          <w:szCs w:val="24"/>
          <w:highlight w:val="none"/>
        </w:rPr>
        <w:t>评标细则</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42.1评标委员会的组成：方式</w:t>
      </w:r>
      <w:r>
        <w:rPr>
          <w:rFonts w:ascii="宋体" w:hAnsi="宋体"/>
          <w:color w:val="auto"/>
          <w:sz w:val="24"/>
          <w:szCs w:val="24"/>
          <w:highlight w:val="none"/>
          <w:u w:val="single"/>
        </w:rPr>
        <w:t xml:space="preserve">      </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方式一：评标委员会为综合评标委员会，负责评标工作。</w:t>
      </w:r>
    </w:p>
    <w:p>
      <w:pPr>
        <w:widowControl/>
        <w:spacing w:line="360" w:lineRule="auto"/>
        <w:ind w:firstLine="480" w:firstLineChars="200"/>
        <w:jc w:val="left"/>
        <w:rPr>
          <w:rFonts w:ascii="宋体" w:hAnsi="宋体" w:cs="宋体"/>
          <w:color w:val="auto"/>
          <w:kern w:val="0"/>
          <w:sz w:val="24"/>
          <w:szCs w:val="24"/>
          <w:highlight w:val="none"/>
        </w:rPr>
      </w:pPr>
      <w:r>
        <w:rPr>
          <w:rFonts w:hint="eastAsia" w:ascii="宋体" w:hAnsi="宋体"/>
          <w:color w:val="auto"/>
          <w:sz w:val="24"/>
          <w:szCs w:val="24"/>
          <w:highlight w:val="none"/>
        </w:rPr>
        <w:t>方式二：评标委员会由技术评审组和经济评审组组成。其中：资格审查、技术评审由技术评标组负责，经济评审由经济评审组负责。</w:t>
      </w:r>
      <w:r>
        <w:rPr>
          <w:rFonts w:ascii="宋体" w:hAnsi="宋体" w:cs="宋体"/>
          <w:color w:val="auto"/>
          <w:kern w:val="0"/>
          <w:sz w:val="24"/>
          <w:szCs w:val="24"/>
          <w:highlight w:val="none"/>
        </w:rPr>
        <w:t xml:space="preserve"> </w:t>
      </w:r>
    </w:p>
    <w:p>
      <w:pPr>
        <w:pStyle w:val="47"/>
        <w:tabs>
          <w:tab w:val="left" w:pos="7380"/>
        </w:tabs>
        <w:snapToGrid w:val="0"/>
        <w:spacing w:after="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42.2投标人资格审查</w:t>
      </w:r>
    </w:p>
    <w:p>
      <w:pPr>
        <w:pStyle w:val="47"/>
        <w:tabs>
          <w:tab w:val="left" w:pos="7380"/>
        </w:tabs>
        <w:snapToGrid w:val="0"/>
        <w:spacing w:after="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42.2.1资格审查文件中全部符合附表一《资格审查表》中情形的，为资格审查合格；否则为资格审查不合格。如评标委员会成员的评审意见不一致时，以评标委员会过半数成员的意见作为评标委员会对该情形的认定结论。评委发现资格审查文件中含义不明确、对同类问题表述不一致、有明显文字和计算错误的，应当要求投标人作必要的澄清、说明后再判定投标人是否通过资格审查，不得直接认定其不通过资格审查。</w:t>
      </w:r>
    </w:p>
    <w:p>
      <w:pPr>
        <w:pStyle w:val="47"/>
        <w:tabs>
          <w:tab w:val="left" w:pos="7380"/>
        </w:tabs>
        <w:snapToGrid w:val="0"/>
        <w:spacing w:after="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42.2.2汇总资格审查情况，编写资格审查报告。</w:t>
      </w:r>
    </w:p>
    <w:p>
      <w:pPr>
        <w:pStyle w:val="47"/>
        <w:tabs>
          <w:tab w:val="left" w:pos="7380"/>
        </w:tabs>
        <w:snapToGrid w:val="0"/>
        <w:spacing w:after="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42.2.3资格审查不合格的投标文件不参加下一阶段的评标，不参与评标参考价的计算。</w:t>
      </w:r>
    </w:p>
    <w:p>
      <w:pPr>
        <w:pStyle w:val="47"/>
        <w:tabs>
          <w:tab w:val="left" w:pos="7380"/>
        </w:tabs>
        <w:snapToGrid w:val="0"/>
        <w:spacing w:after="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42.2.4资格审查时，投标企业名称已经工商变更的，但企业及个人的资质证书未完成企业名称变更，仍然承认其有效。资质证书、安全生产许可证之间登记的信息不一致，应当允许投标人澄清，不得直接否决其投标。</w:t>
      </w:r>
    </w:p>
    <w:p>
      <w:pPr>
        <w:pStyle w:val="47"/>
        <w:tabs>
          <w:tab w:val="left" w:pos="7380"/>
        </w:tabs>
        <w:snapToGrid w:val="0"/>
        <w:spacing w:after="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42.2.5资审合格后，投标人的资格发生变化而不满足投标人合格条件，在发出中标通知书前，资格问题仍未解决的，招标人将取消其中标资格。</w:t>
      </w:r>
    </w:p>
    <w:p>
      <w:pPr>
        <w:widowControl/>
        <w:spacing w:line="360" w:lineRule="auto"/>
        <w:ind w:firstLine="480" w:firstLineChars="200"/>
        <w:jc w:val="left"/>
        <w:rPr>
          <w:rFonts w:ascii="宋体" w:hAnsi="宋体" w:cs="宋体"/>
          <w:color w:val="auto"/>
          <w:kern w:val="0"/>
          <w:sz w:val="24"/>
          <w:szCs w:val="24"/>
          <w:highlight w:val="none"/>
        </w:rPr>
      </w:pPr>
      <w:r>
        <w:rPr>
          <w:rFonts w:hint="eastAsia" w:ascii="宋体" w:hAnsi="宋体"/>
          <w:color w:val="auto"/>
          <w:sz w:val="24"/>
          <w:szCs w:val="24"/>
          <w:highlight w:val="none"/>
        </w:rPr>
        <w:t>42.2.6资格审查合格的投标人少于3名的（当N个标段同时招标且不允许兼中时，资格审查合格的投标人少于N+2名），则本项目招标失败。</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42.3 </w:t>
      </w:r>
      <w:r>
        <w:rPr>
          <w:rFonts w:hint="eastAsia" w:ascii="宋体" w:hAnsi="宋体"/>
          <w:color w:val="auto"/>
          <w:sz w:val="24"/>
          <w:szCs w:val="24"/>
          <w:highlight w:val="none"/>
        </w:rPr>
        <w:t>第一阶段评审</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42.3.1技术标的有效性审查：投标文件中没有任一种列于本办法附表二《技术标有效性审查表》中情形的，为有效投标文件。否则其投标文件将被否决。被否决的投标人不参与下一阶段评审，不参与评标参考价的计算。如评标委员会成员的评审意见不一致时，以评标委员会过半数成员的意见作为评标委员会对该情形的认定结论。若通过技术标有效性审查的投标人不足三家，则重新招标。（当N个标段同时招标且不允许兼中时，若通过技术标有效性审查投标人不足N+2家，则重新招标）。评委发现投标文件中含义不明确、对同类问题表述不一致、有明显文字和计算错误的，应当要求投标人作必要的</w:t>
      </w:r>
      <w:r>
        <w:rPr>
          <w:rFonts w:hint="eastAsia" w:ascii="宋体" w:hAnsi="宋体"/>
          <w:color w:val="auto"/>
          <w:sz w:val="24"/>
          <w:szCs w:val="24"/>
          <w:highlight w:val="none"/>
        </w:rPr>
        <w:t>澄清、说明后再判定投标人是否通过有效性审查，不得直接否决投标。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42.3.2</w:t>
      </w:r>
      <w:r>
        <w:rPr>
          <w:rFonts w:ascii="宋体" w:hAnsi="宋体"/>
          <w:color w:val="auto"/>
          <w:sz w:val="24"/>
          <w:szCs w:val="24"/>
          <w:highlight w:val="none"/>
          <w:u w:val="single"/>
        </w:rPr>
        <w:t xml:space="preserve">     </w:t>
      </w:r>
      <w:r>
        <w:rPr>
          <w:rFonts w:hint="eastAsia" w:ascii="宋体" w:hAnsi="宋体"/>
          <w:color w:val="auto"/>
          <w:sz w:val="24"/>
          <w:szCs w:val="24"/>
          <w:highlight w:val="none"/>
        </w:rPr>
        <w:t>详细审查评分：评标委员会按照本办法附表</w:t>
      </w:r>
      <w:r>
        <w:rPr>
          <w:rFonts w:ascii="宋体" w:hAnsi="宋体"/>
          <w:color w:val="auto"/>
          <w:sz w:val="24"/>
          <w:szCs w:val="24"/>
          <w:highlight w:val="none"/>
          <w:u w:val="single"/>
        </w:rPr>
        <w:t xml:space="preserve">    </w:t>
      </w:r>
      <w:r>
        <w:rPr>
          <w:rFonts w:hint="eastAsia" w:ascii="宋体" w:hAnsi="宋体"/>
          <w:color w:val="auto"/>
          <w:sz w:val="24"/>
          <w:szCs w:val="24"/>
          <w:highlight w:val="none"/>
        </w:rPr>
        <w:t>《</w:t>
      </w:r>
      <w:r>
        <w:rPr>
          <w:rFonts w:ascii="宋体" w:hAnsi="宋体"/>
          <w:color w:val="auto"/>
          <w:sz w:val="24"/>
          <w:szCs w:val="24"/>
          <w:highlight w:val="none"/>
          <w:u w:val="single"/>
        </w:rPr>
        <w:t xml:space="preserve">      </w:t>
      </w:r>
      <w:r>
        <w:rPr>
          <w:rFonts w:hint="eastAsia" w:ascii="宋体" w:hAnsi="宋体"/>
          <w:color w:val="auto"/>
          <w:sz w:val="24"/>
          <w:szCs w:val="24"/>
          <w:highlight w:val="none"/>
        </w:rPr>
        <w:t>详细审查评分表》对通过技术标有效性审查的投标文件进行详细审查，评出</w:t>
      </w:r>
      <w:r>
        <w:rPr>
          <w:rFonts w:ascii="宋体" w:hAnsi="宋体"/>
          <w:color w:val="auto"/>
          <w:sz w:val="24"/>
          <w:szCs w:val="24"/>
          <w:highlight w:val="none"/>
          <w:u w:val="single"/>
        </w:rPr>
        <w:t xml:space="preserve">     </w:t>
      </w:r>
      <w:r>
        <w:rPr>
          <w:rFonts w:hint="eastAsia" w:ascii="宋体" w:hAnsi="宋体"/>
          <w:color w:val="auto"/>
          <w:sz w:val="24"/>
          <w:szCs w:val="24"/>
          <w:highlight w:val="none"/>
        </w:rPr>
        <w:t>得分。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42.3.4评标委员会按照“第一阶段得分=</w:t>
      </w:r>
      <w:r>
        <w:rPr>
          <w:rFonts w:ascii="宋体" w:hAnsi="宋体"/>
          <w:color w:val="auto"/>
          <w:sz w:val="24"/>
          <w:szCs w:val="24"/>
          <w:highlight w:val="none"/>
          <w:u w:val="single"/>
        </w:rPr>
        <w:t xml:space="preserve">               </w:t>
      </w:r>
      <w:r>
        <w:rPr>
          <w:rFonts w:hint="eastAsia" w:ascii="宋体" w:hAnsi="宋体"/>
          <w:color w:val="auto"/>
          <w:sz w:val="24"/>
          <w:szCs w:val="24"/>
          <w:highlight w:val="none"/>
        </w:rPr>
        <w:t>的公式及投标须知前附表第</w:t>
      </w:r>
      <w:r>
        <w:rPr>
          <w:rFonts w:ascii="宋体" w:hAnsi="宋体"/>
          <w:color w:val="auto"/>
          <w:sz w:val="24"/>
          <w:szCs w:val="24"/>
          <w:highlight w:val="none"/>
        </w:rPr>
        <w:t>27项的规定，计算各投标人第一阶段得分(按四舍五入的原则保留两位小数)，并按照得分从高到低排列先后次序，若投标人得分相同的，则名次并列，占用名次。编写第一阶段评审报告。（适用于进行了技术标评分的）</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42.3.5招标人应在《投标须知前附表》中明确选择使用施工企业总排名或相应的施工专业承包排名计分。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42.4 第二阶段评审</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42.4.1</w:t>
      </w:r>
      <w:r>
        <w:rPr>
          <w:rFonts w:hint="eastAsia" w:ascii="宋体" w:hAnsi="宋体"/>
          <w:color w:val="auto"/>
          <w:sz w:val="24"/>
          <w:szCs w:val="24"/>
          <w:highlight w:val="none"/>
        </w:rPr>
        <w:t>按照投标须知前附表第</w:t>
      </w:r>
      <w:r>
        <w:rPr>
          <w:rFonts w:ascii="宋体" w:hAnsi="宋体"/>
          <w:color w:val="auto"/>
          <w:sz w:val="24"/>
          <w:szCs w:val="24"/>
          <w:highlight w:val="none"/>
        </w:rPr>
        <w:t>25项规定，确定进入第二阶段评审的投标人。若在进入第二阶段的最后名次发生并列的，则所有并列的投标人均进入第二阶段。</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42.4.</w:t>
      </w:r>
      <w:r>
        <w:rPr>
          <w:rFonts w:hint="eastAsia" w:ascii="宋体" w:hAnsi="宋体"/>
          <w:color w:val="auto"/>
          <w:sz w:val="24"/>
          <w:szCs w:val="24"/>
          <w:highlight w:val="none"/>
          <w:lang w:val="en-US" w:eastAsia="zh-CN"/>
        </w:rPr>
        <w:t>2</w:t>
      </w:r>
      <w:r>
        <w:rPr>
          <w:rFonts w:ascii="宋体" w:hAnsi="宋体"/>
          <w:color w:val="auto"/>
          <w:sz w:val="24"/>
          <w:szCs w:val="24"/>
          <w:highlight w:val="none"/>
        </w:rPr>
        <w:t>投标文件经济标的评分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42.4.</w:t>
      </w:r>
      <w:r>
        <w:rPr>
          <w:rFonts w:hint="eastAsia" w:ascii="宋体" w:hAnsi="宋体"/>
          <w:color w:val="auto"/>
          <w:sz w:val="24"/>
          <w:szCs w:val="24"/>
          <w:highlight w:val="none"/>
          <w:lang w:val="en-US" w:eastAsia="zh-CN"/>
        </w:rPr>
        <w:t>2</w:t>
      </w:r>
      <w:r>
        <w:rPr>
          <w:rFonts w:ascii="宋体" w:hAnsi="宋体"/>
          <w:color w:val="auto"/>
          <w:sz w:val="24"/>
          <w:szCs w:val="24"/>
          <w:highlight w:val="none"/>
        </w:rPr>
        <w:t>.1按方法</w:t>
      </w:r>
      <w:r>
        <w:rPr>
          <w:rFonts w:ascii="宋体" w:hAnsi="宋体"/>
          <w:color w:val="auto"/>
          <w:sz w:val="24"/>
          <w:szCs w:val="24"/>
          <w:highlight w:val="none"/>
          <w:u w:val="single"/>
        </w:rPr>
        <w:t xml:space="preserve">    </w:t>
      </w:r>
      <w:r>
        <w:rPr>
          <w:rFonts w:hint="eastAsia" w:ascii="宋体" w:hAnsi="宋体"/>
          <w:color w:val="auto"/>
          <w:sz w:val="24"/>
          <w:szCs w:val="24"/>
          <w:highlight w:val="none"/>
        </w:rPr>
        <w:t>计算评标参考价：</w:t>
      </w:r>
    </w:p>
    <w:p>
      <w:pPr>
        <w:widowControl/>
        <w:spacing w:line="360" w:lineRule="auto"/>
        <w:ind w:firstLine="482" w:firstLineChars="200"/>
        <w:rPr>
          <w:rFonts w:ascii="宋体" w:hAnsi="宋体"/>
          <w:b/>
          <w:bCs/>
          <w:color w:val="auto"/>
          <w:kern w:val="0"/>
          <w:sz w:val="24"/>
          <w:szCs w:val="24"/>
          <w:highlight w:val="none"/>
        </w:rPr>
      </w:pPr>
      <w:r>
        <w:rPr>
          <w:rFonts w:hint="eastAsia" w:ascii="宋体" w:hAnsi="宋体" w:cs="仿宋"/>
          <w:b/>
          <w:bCs/>
          <w:color w:val="auto"/>
          <w:kern w:val="0"/>
          <w:sz w:val="24"/>
          <w:szCs w:val="24"/>
          <w:highlight w:val="none"/>
        </w:rPr>
        <w:t>方法一：加权平均法</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技术标或技术标加诚信得分或第一阶段入围得分（具体由招标人自定）前</w:t>
      </w:r>
      <w:r>
        <w:rPr>
          <w:rFonts w:ascii="宋体" w:hAnsi="宋体" w:cs="仿宋"/>
          <w:color w:val="auto"/>
          <w:sz w:val="24"/>
          <w:szCs w:val="24"/>
          <w:highlight w:val="none"/>
        </w:rPr>
        <w:t>N</w:t>
      </w:r>
      <w:r>
        <w:rPr>
          <w:rFonts w:hint="eastAsia" w:ascii="宋体" w:hAnsi="宋体" w:cs="仿宋"/>
          <w:color w:val="auto"/>
          <w:sz w:val="24"/>
          <w:szCs w:val="24"/>
          <w:highlight w:val="none"/>
        </w:rPr>
        <w:t>名（</w:t>
      </w:r>
      <w:r>
        <w:rPr>
          <w:rFonts w:ascii="宋体" w:hAnsi="宋体" w:cs="仿宋"/>
          <w:color w:val="auto"/>
          <w:sz w:val="24"/>
          <w:szCs w:val="24"/>
          <w:highlight w:val="none"/>
        </w:rPr>
        <w:t>N≥5，具体由招标人自定）的经济报价加权平均，计算评标参考价。公式如下：</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评标参考价</w:t>
      </w:r>
      <w:r>
        <w:rPr>
          <w:rFonts w:ascii="宋体" w:hAnsi="宋体" w:cs="仿宋"/>
          <w:color w:val="auto"/>
          <w:sz w:val="24"/>
          <w:szCs w:val="24"/>
          <w:highlight w:val="none"/>
        </w:rPr>
        <w:t>=</w:t>
      </w:r>
      <w:r>
        <w:rPr>
          <w:rFonts w:hint="eastAsia" w:ascii="宋体" w:hAnsi="宋体" w:cs="仿宋"/>
          <w:color w:val="auto"/>
          <w:sz w:val="24"/>
          <w:szCs w:val="24"/>
          <w:highlight w:val="none"/>
        </w:rPr>
        <w:t>Σ（投标人的投标报价</w:t>
      </w:r>
      <w:r>
        <w:rPr>
          <w:rFonts w:ascii="宋体" w:hAnsi="宋体" w:cs="仿宋"/>
          <w:color w:val="auto"/>
          <w:sz w:val="24"/>
          <w:szCs w:val="24"/>
          <w:highlight w:val="none"/>
        </w:rPr>
        <w:t>*</w:t>
      </w:r>
      <w:r>
        <w:rPr>
          <w:rFonts w:hint="eastAsia" w:ascii="宋体" w:hAnsi="宋体" w:cs="仿宋"/>
          <w:color w:val="auto"/>
          <w:sz w:val="24"/>
          <w:szCs w:val="24"/>
          <w:highlight w:val="none"/>
        </w:rPr>
        <w:t>报价权重）。</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其中：报价权重的计算方法为：将</w:t>
      </w:r>
      <w:r>
        <w:rPr>
          <w:rFonts w:ascii="宋体" w:hAnsi="宋体" w:cs="仿宋"/>
          <w:color w:val="auto"/>
          <w:sz w:val="24"/>
          <w:szCs w:val="24"/>
          <w:highlight w:val="none"/>
        </w:rPr>
        <w:t>N</w:t>
      </w:r>
      <w:r>
        <w:rPr>
          <w:rFonts w:hint="eastAsia" w:ascii="宋体" w:hAnsi="宋体" w:cs="仿宋"/>
          <w:color w:val="auto"/>
          <w:sz w:val="24"/>
          <w:szCs w:val="24"/>
          <w:highlight w:val="none"/>
        </w:rPr>
        <w:t>名投标人按技术分由高至低进行排序，第一名投标人的权重为（</w:t>
      </w:r>
      <w:r>
        <w:rPr>
          <w:rFonts w:ascii="宋体" w:hAnsi="宋体" w:cs="仿宋"/>
          <w:color w:val="auto"/>
          <w:sz w:val="24"/>
          <w:szCs w:val="24"/>
          <w:highlight w:val="none"/>
        </w:rPr>
        <w:fldChar w:fldCharType="begin"/>
      </w:r>
      <w:r>
        <w:rPr>
          <w:rFonts w:ascii="宋体" w:hAnsi="宋体" w:cs="仿宋"/>
          <w:color w:val="auto"/>
          <w:sz w:val="24"/>
          <w:szCs w:val="24"/>
          <w:highlight w:val="none"/>
        </w:rPr>
        <w:instrText xml:space="preserve"> QUOTE </w:instrText>
      </w:r>
      <w:r>
        <w:rPr>
          <w:rFonts w:ascii="宋体" w:hAnsi="宋体"/>
          <w:color w:val="auto"/>
          <w:sz w:val="24"/>
          <w:szCs w:val="24"/>
          <w:highlight w:val="none"/>
        </w:rPr>
        <w:drawing>
          <wp:inline distT="0" distB="0" distL="0" distR="0">
            <wp:extent cx="381000" cy="447675"/>
            <wp:effectExtent l="0" t="0" r="0" b="0"/>
            <wp:docPr id="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仿宋"/>
          <w:color w:val="auto"/>
          <w:sz w:val="24"/>
          <w:szCs w:val="24"/>
          <w:highlight w:val="none"/>
        </w:rPr>
        <w:fldChar w:fldCharType="separate"/>
      </w:r>
      <w:r>
        <w:rPr>
          <w:rFonts w:ascii="宋体" w:hAnsi="宋体"/>
          <w:color w:val="auto"/>
          <w:sz w:val="24"/>
          <w:szCs w:val="24"/>
          <w:highlight w:val="none"/>
        </w:rPr>
        <w:drawing>
          <wp:inline distT="0" distB="0" distL="0" distR="0">
            <wp:extent cx="381000" cy="447675"/>
            <wp:effectExtent l="0" t="0" r="0" b="0"/>
            <wp:docPr id="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仿宋"/>
          <w:color w:val="auto"/>
          <w:sz w:val="24"/>
          <w:szCs w:val="24"/>
          <w:highlight w:val="none"/>
        </w:rPr>
        <w:fldChar w:fldCharType="end"/>
      </w:r>
      <w:r>
        <w:rPr>
          <w:rFonts w:hint="eastAsia" w:ascii="宋体" w:hAnsi="宋体" w:cs="仿宋"/>
          <w:color w:val="auto"/>
          <w:sz w:val="24"/>
          <w:szCs w:val="24"/>
          <w:highlight w:val="none"/>
        </w:rPr>
        <w:t>），第二名投标人的权重为（</w:t>
      </w:r>
      <w:r>
        <w:rPr>
          <w:rFonts w:ascii="宋体" w:hAnsi="宋体" w:cs="仿宋"/>
          <w:color w:val="auto"/>
          <w:sz w:val="24"/>
          <w:szCs w:val="24"/>
          <w:highlight w:val="none"/>
        </w:rPr>
        <w:fldChar w:fldCharType="begin"/>
      </w:r>
      <w:r>
        <w:rPr>
          <w:rFonts w:ascii="宋体" w:hAnsi="宋体" w:cs="仿宋"/>
          <w:color w:val="auto"/>
          <w:sz w:val="24"/>
          <w:szCs w:val="24"/>
          <w:highlight w:val="none"/>
        </w:rPr>
        <w:instrText xml:space="preserve"> QUOTE </w:instrText>
      </w:r>
      <w:r>
        <w:rPr>
          <w:rFonts w:ascii="宋体" w:hAnsi="宋体"/>
          <w:color w:val="auto"/>
          <w:position w:val="-23"/>
          <w:sz w:val="24"/>
          <w:szCs w:val="24"/>
          <w:highlight w:val="none"/>
        </w:rPr>
        <w:drawing>
          <wp:inline distT="0" distB="0" distL="0" distR="0">
            <wp:extent cx="323850" cy="400050"/>
            <wp:effectExtent l="0" t="0" r="0" b="0"/>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 w:val="24"/>
          <w:szCs w:val="24"/>
          <w:highlight w:val="none"/>
        </w:rPr>
        <w:fldChar w:fldCharType="separate"/>
      </w:r>
      <w:r>
        <w:rPr>
          <w:rFonts w:ascii="宋体" w:hAnsi="宋体"/>
          <w:color w:val="auto"/>
          <w:position w:val="-23"/>
          <w:sz w:val="24"/>
          <w:szCs w:val="24"/>
          <w:highlight w:val="none"/>
        </w:rPr>
        <w:drawing>
          <wp:inline distT="0" distB="0" distL="0" distR="0">
            <wp:extent cx="323850" cy="400050"/>
            <wp:effectExtent l="0" t="0" r="0" b="0"/>
            <wp:docPr id="2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9"/>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 w:val="24"/>
          <w:szCs w:val="24"/>
          <w:highlight w:val="none"/>
        </w:rPr>
        <w:fldChar w:fldCharType="end"/>
      </w:r>
      <w:r>
        <w:rPr>
          <w:rFonts w:hint="eastAsia" w:ascii="宋体" w:hAnsi="宋体" w:cs="仿宋"/>
          <w:color w:val="auto"/>
          <w:sz w:val="24"/>
          <w:szCs w:val="24"/>
          <w:highlight w:val="none"/>
        </w:rPr>
        <w:t>），以此类推，最后一名投标人的权重为（</w:t>
      </w:r>
      <w:r>
        <w:rPr>
          <w:rFonts w:ascii="宋体" w:hAnsi="宋体" w:cs="仿宋"/>
          <w:color w:val="auto"/>
          <w:sz w:val="24"/>
          <w:szCs w:val="24"/>
          <w:highlight w:val="none"/>
        </w:rPr>
        <w:fldChar w:fldCharType="begin"/>
      </w:r>
      <w:r>
        <w:rPr>
          <w:rFonts w:ascii="宋体" w:hAnsi="宋体" w:cs="仿宋"/>
          <w:color w:val="auto"/>
          <w:sz w:val="24"/>
          <w:szCs w:val="24"/>
          <w:highlight w:val="none"/>
        </w:rPr>
        <w:instrText xml:space="preserve"> QUOTE </w:instrText>
      </w:r>
      <w:r>
        <w:rPr>
          <w:rFonts w:ascii="宋体" w:hAnsi="宋体"/>
          <w:color w:val="auto"/>
          <w:position w:val="-23"/>
          <w:sz w:val="24"/>
          <w:szCs w:val="24"/>
          <w:highlight w:val="none"/>
        </w:rPr>
        <w:drawing>
          <wp:inline distT="0" distB="0" distL="0" distR="0">
            <wp:extent cx="323850" cy="400050"/>
            <wp:effectExtent l="0" t="0" r="0" b="0"/>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 w:val="24"/>
          <w:szCs w:val="24"/>
          <w:highlight w:val="none"/>
        </w:rPr>
        <w:fldChar w:fldCharType="separate"/>
      </w:r>
      <w:r>
        <w:rPr>
          <w:rFonts w:ascii="宋体" w:hAnsi="宋体"/>
          <w:color w:val="auto"/>
          <w:position w:val="-23"/>
          <w:sz w:val="24"/>
          <w:szCs w:val="24"/>
          <w:highlight w:val="none"/>
        </w:rPr>
        <w:drawing>
          <wp:inline distT="0" distB="0" distL="0" distR="0">
            <wp:extent cx="323850" cy="400050"/>
            <wp:effectExtent l="0" t="0" r="0" b="0"/>
            <wp:docPr id="2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7"/>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 w:val="24"/>
          <w:szCs w:val="24"/>
          <w:highlight w:val="none"/>
        </w:rPr>
        <w:fldChar w:fldCharType="end"/>
      </w:r>
      <w:r>
        <w:rPr>
          <w:rFonts w:hint="eastAsia" w:ascii="宋体" w:hAnsi="宋体" w:cs="仿宋"/>
          <w:color w:val="auto"/>
          <w:sz w:val="24"/>
          <w:szCs w:val="24"/>
          <w:highlight w:val="none"/>
        </w:rPr>
        <w:t>）。</w:t>
      </w:r>
    </w:p>
    <w:p>
      <w:pPr>
        <w:widowControl/>
        <w:spacing w:line="360" w:lineRule="auto"/>
        <w:ind w:firstLine="482" w:firstLineChars="200"/>
        <w:rPr>
          <w:rFonts w:ascii="宋体" w:hAnsi="宋体"/>
          <w:b/>
          <w:bCs/>
          <w:color w:val="auto"/>
          <w:kern w:val="0"/>
          <w:sz w:val="24"/>
          <w:szCs w:val="24"/>
          <w:highlight w:val="none"/>
        </w:rPr>
      </w:pPr>
      <w:r>
        <w:rPr>
          <w:rFonts w:hint="eastAsia" w:ascii="宋体" w:hAnsi="宋体" w:cs="仿宋"/>
          <w:b/>
          <w:bCs/>
          <w:color w:val="auto"/>
          <w:kern w:val="0"/>
          <w:sz w:val="24"/>
          <w:szCs w:val="24"/>
          <w:highlight w:val="none"/>
        </w:rPr>
        <w:t>方法二：区间抽取法</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设立入围合格分数线（技术标或技术标加诚信得分或第一阶段入围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评标参考价=（Q高-Q低）/100*Ｘ+Q低</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Q低：为达到或超过技术标及格分数线的投标人最低报价与工程成本警示价两者中的较高值；</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Q高：为最高投标限价</w:t>
      </w:r>
    </w:p>
    <w:p>
      <w:pPr>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X</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rPr>
        <w:t>为等分点值，在开标前从[0,100]整数中随机抽取</w:t>
      </w:r>
    </w:p>
    <w:p>
      <w:pPr>
        <w:spacing w:line="360" w:lineRule="auto"/>
        <w:ind w:firstLine="480" w:firstLineChars="200"/>
        <w:rPr>
          <w:rFonts w:ascii="宋体" w:hAnsi="宋体"/>
          <w:color w:val="auto"/>
          <w:sz w:val="24"/>
          <w:szCs w:val="24"/>
          <w:highlight w:val="none"/>
        </w:rPr>
      </w:pPr>
      <w:r>
        <w:rPr>
          <w:rFonts w:ascii="宋体" w:hAnsi="宋体" w:cs="宋体"/>
          <w:color w:val="auto"/>
          <w:kern w:val="0"/>
          <w:sz w:val="24"/>
          <w:szCs w:val="24"/>
          <w:highlight w:val="none"/>
        </w:rPr>
        <w:t>42.4.</w:t>
      </w:r>
      <w:r>
        <w:rPr>
          <w:rFonts w:hint="eastAsia" w:ascii="宋体" w:hAnsi="宋体" w:cs="宋体"/>
          <w:color w:val="auto"/>
          <w:kern w:val="0"/>
          <w:sz w:val="24"/>
          <w:szCs w:val="24"/>
          <w:highlight w:val="none"/>
          <w:lang w:val="en-US" w:eastAsia="zh-CN"/>
        </w:rPr>
        <w:t>2</w:t>
      </w:r>
      <w:r>
        <w:rPr>
          <w:rFonts w:ascii="宋体" w:hAnsi="宋体" w:cs="宋体"/>
          <w:color w:val="auto"/>
          <w:kern w:val="0"/>
          <w:sz w:val="24"/>
          <w:szCs w:val="24"/>
          <w:highlight w:val="none"/>
        </w:rPr>
        <w:t>.2</w:t>
      </w:r>
      <w:r>
        <w:rPr>
          <w:rFonts w:hint="eastAsia" w:ascii="宋体" w:hAnsi="宋体"/>
          <w:color w:val="auto"/>
          <w:sz w:val="24"/>
          <w:szCs w:val="24"/>
          <w:highlight w:val="none"/>
        </w:rPr>
        <w:t>当标价等于评标参考价时得</w:t>
      </w:r>
      <w:r>
        <w:rPr>
          <w:rFonts w:ascii="宋体" w:hAnsi="宋体"/>
          <w:color w:val="auto"/>
          <w:sz w:val="24"/>
          <w:szCs w:val="24"/>
          <w:highlight w:val="none"/>
        </w:rPr>
        <w:t>100</w:t>
      </w:r>
      <w:r>
        <w:rPr>
          <w:rFonts w:hint="eastAsia" w:ascii="宋体" w:hAnsi="宋体"/>
          <w:color w:val="auto"/>
          <w:sz w:val="24"/>
          <w:szCs w:val="24"/>
          <w:highlight w:val="none"/>
        </w:rPr>
        <w:t>分，标价每高于评标参考价</w:t>
      </w:r>
      <w:r>
        <w:rPr>
          <w:rFonts w:ascii="宋体" w:hAnsi="宋体"/>
          <w:color w:val="auto"/>
          <w:sz w:val="24"/>
          <w:szCs w:val="24"/>
          <w:highlight w:val="none"/>
        </w:rPr>
        <w:t>1%</w:t>
      </w:r>
      <w:r>
        <w:rPr>
          <w:rFonts w:hint="eastAsia" w:ascii="宋体" w:hAnsi="宋体"/>
          <w:color w:val="auto"/>
          <w:sz w:val="24"/>
          <w:szCs w:val="24"/>
          <w:highlight w:val="none"/>
        </w:rPr>
        <w:t>，扣</w:t>
      </w:r>
      <w:r>
        <w:rPr>
          <w:rFonts w:ascii="宋体" w:hAnsi="宋体"/>
          <w:color w:val="auto"/>
          <w:sz w:val="24"/>
          <w:szCs w:val="24"/>
          <w:highlight w:val="none"/>
        </w:rPr>
        <w:t>1.5</w:t>
      </w:r>
      <w:r>
        <w:rPr>
          <w:rFonts w:hint="eastAsia" w:ascii="宋体" w:hAnsi="宋体"/>
          <w:color w:val="auto"/>
          <w:sz w:val="24"/>
          <w:szCs w:val="24"/>
          <w:highlight w:val="none"/>
        </w:rPr>
        <w:t>分，每低于评标参考价</w:t>
      </w:r>
      <w:r>
        <w:rPr>
          <w:rFonts w:ascii="宋体" w:hAnsi="宋体"/>
          <w:color w:val="auto"/>
          <w:sz w:val="24"/>
          <w:szCs w:val="24"/>
          <w:highlight w:val="none"/>
        </w:rPr>
        <w:t>1%</w:t>
      </w:r>
      <w:r>
        <w:rPr>
          <w:rFonts w:hint="eastAsia" w:ascii="宋体" w:hAnsi="宋体"/>
          <w:color w:val="auto"/>
          <w:sz w:val="24"/>
          <w:szCs w:val="24"/>
          <w:highlight w:val="none"/>
        </w:rPr>
        <w:t>，扣</w:t>
      </w:r>
      <w:r>
        <w:rPr>
          <w:rFonts w:ascii="宋体" w:hAnsi="宋体"/>
          <w:color w:val="auto"/>
          <w:sz w:val="24"/>
          <w:szCs w:val="24"/>
          <w:highlight w:val="none"/>
        </w:rPr>
        <w:t>1</w:t>
      </w:r>
      <w:r>
        <w:rPr>
          <w:rFonts w:hint="eastAsia" w:ascii="宋体" w:hAnsi="宋体"/>
          <w:color w:val="auto"/>
          <w:sz w:val="24"/>
          <w:szCs w:val="24"/>
          <w:highlight w:val="none"/>
        </w:rPr>
        <w:t>分，扣至</w:t>
      </w:r>
      <w:r>
        <w:rPr>
          <w:rFonts w:ascii="宋体" w:hAnsi="宋体"/>
          <w:color w:val="auto"/>
          <w:sz w:val="24"/>
          <w:szCs w:val="24"/>
          <w:highlight w:val="none"/>
        </w:rPr>
        <w:t>0</w:t>
      </w:r>
      <w:r>
        <w:rPr>
          <w:rFonts w:hint="eastAsia" w:ascii="宋体" w:hAnsi="宋体"/>
          <w:color w:val="auto"/>
          <w:sz w:val="24"/>
          <w:szCs w:val="24"/>
          <w:highlight w:val="none"/>
        </w:rPr>
        <w:t>分为止，得出经济分，精确到小数点后两位。</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42.4.</w:t>
      </w:r>
      <w:r>
        <w:rPr>
          <w:rFonts w:hint="eastAsia" w:ascii="宋体" w:hAnsi="宋体"/>
          <w:color w:val="auto"/>
          <w:sz w:val="24"/>
          <w:szCs w:val="24"/>
          <w:highlight w:val="none"/>
          <w:lang w:val="en-US" w:eastAsia="zh-CN"/>
        </w:rPr>
        <w:t>2</w:t>
      </w:r>
      <w:r>
        <w:rPr>
          <w:rFonts w:ascii="宋体" w:hAnsi="宋体"/>
          <w:color w:val="auto"/>
          <w:sz w:val="24"/>
          <w:szCs w:val="24"/>
          <w:highlight w:val="none"/>
        </w:rPr>
        <w:t>.3评标委员会按投标须知前附表第32项的规定确定排序。</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42.4.</w:t>
      </w:r>
      <w:r>
        <w:rPr>
          <w:rFonts w:hint="eastAsia" w:ascii="宋体" w:hAnsi="宋体"/>
          <w:color w:val="auto"/>
          <w:sz w:val="24"/>
          <w:szCs w:val="24"/>
          <w:highlight w:val="none"/>
          <w:lang w:val="en-US" w:eastAsia="zh-CN"/>
        </w:rPr>
        <w:t>3</w:t>
      </w:r>
      <w:r>
        <w:rPr>
          <w:rFonts w:ascii="宋体" w:hAnsi="宋体"/>
          <w:color w:val="auto"/>
          <w:sz w:val="24"/>
          <w:szCs w:val="24"/>
          <w:highlight w:val="none"/>
        </w:rPr>
        <w:t>经济标的有效性审查：按照投标人第二阶段排序，依次对进入第二阶段评审的投标文件进行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42.4.</w:t>
      </w:r>
      <w:r>
        <w:rPr>
          <w:rFonts w:hint="eastAsia" w:ascii="宋体" w:hAnsi="宋体"/>
          <w:color w:val="auto"/>
          <w:sz w:val="24"/>
          <w:szCs w:val="24"/>
          <w:highlight w:val="none"/>
          <w:lang w:val="en-US" w:eastAsia="zh-CN"/>
        </w:rPr>
        <w:t>4</w:t>
      </w:r>
      <w:r>
        <w:rPr>
          <w:rFonts w:ascii="宋体" w:hAnsi="宋体"/>
          <w:color w:val="auto"/>
          <w:sz w:val="24"/>
          <w:szCs w:val="24"/>
          <w:highlight w:val="none"/>
        </w:rPr>
        <w:t>经济标的算术校核。评标委员会对进行经济标有效性审查的投标文件投标报价按照就低不就高的原则进行算术校核，具体标准如下：</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42.4.</w:t>
      </w:r>
      <w:r>
        <w:rPr>
          <w:rFonts w:hint="eastAsia" w:ascii="宋体" w:hAnsi="宋体"/>
          <w:color w:val="auto"/>
          <w:sz w:val="24"/>
          <w:szCs w:val="24"/>
          <w:highlight w:val="none"/>
          <w:lang w:val="en-US" w:eastAsia="zh-CN"/>
        </w:rPr>
        <w:t>4</w:t>
      </w:r>
      <w:r>
        <w:rPr>
          <w:rFonts w:ascii="宋体" w:hAnsi="宋体"/>
          <w:color w:val="auto"/>
          <w:sz w:val="24"/>
          <w:szCs w:val="24"/>
          <w:highlight w:val="none"/>
        </w:rPr>
        <w:t>.1如果数字表示的金额和用文字表示的金额不一致时，应以文字表示的金额为准；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42.4.</w:t>
      </w:r>
      <w:r>
        <w:rPr>
          <w:rFonts w:hint="eastAsia" w:ascii="宋体" w:hAnsi="宋体"/>
          <w:color w:val="auto"/>
          <w:sz w:val="24"/>
          <w:szCs w:val="24"/>
          <w:highlight w:val="none"/>
          <w:lang w:val="en-US" w:eastAsia="zh-CN"/>
        </w:rPr>
        <w:t>4</w:t>
      </w:r>
      <w:r>
        <w:rPr>
          <w:rFonts w:ascii="宋体" w:hAnsi="宋体"/>
          <w:color w:val="auto"/>
          <w:sz w:val="24"/>
          <w:szCs w:val="24"/>
          <w:highlight w:val="none"/>
        </w:rPr>
        <w:t>.2经算术复核的投标人报价与其投标报价不一致时，按就低不就高原则确定其最终报价；</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42.4.</w:t>
      </w:r>
      <w:r>
        <w:rPr>
          <w:rFonts w:hint="eastAsia" w:ascii="宋体" w:hAnsi="宋体"/>
          <w:color w:val="auto"/>
          <w:sz w:val="24"/>
          <w:szCs w:val="24"/>
          <w:highlight w:val="none"/>
          <w:lang w:val="en-US" w:eastAsia="zh-CN"/>
        </w:rPr>
        <w:t>4</w:t>
      </w:r>
      <w:r>
        <w:rPr>
          <w:rFonts w:ascii="宋体" w:hAnsi="宋体"/>
          <w:color w:val="auto"/>
          <w:sz w:val="24"/>
          <w:szCs w:val="24"/>
          <w:highlight w:val="none"/>
        </w:rPr>
        <w:t>.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42.4.</w:t>
      </w:r>
      <w:r>
        <w:rPr>
          <w:rFonts w:hint="eastAsia" w:ascii="宋体" w:hAnsi="宋体"/>
          <w:color w:val="auto"/>
          <w:sz w:val="24"/>
          <w:szCs w:val="24"/>
          <w:highlight w:val="none"/>
          <w:lang w:val="en-US" w:eastAsia="zh-CN"/>
        </w:rPr>
        <w:t>4</w:t>
      </w:r>
      <w:r>
        <w:rPr>
          <w:rFonts w:ascii="宋体" w:hAnsi="宋体"/>
          <w:color w:val="auto"/>
          <w:sz w:val="24"/>
          <w:szCs w:val="24"/>
          <w:highlight w:val="none"/>
        </w:rPr>
        <w:t>.4</w:t>
      </w:r>
      <w:r>
        <w:rPr>
          <w:rFonts w:hint="eastAsia" w:ascii="宋体" w:hAnsi="宋体"/>
          <w:color w:val="auto"/>
          <w:sz w:val="24"/>
          <w:szCs w:val="24"/>
          <w:highlight w:val="none"/>
        </w:rPr>
        <w:t>当合价、金额累加错误时，按就低不就高原则，如果累加修正值小于原累加值，则按累加修正值；如果累加修正值大于原累加值，则按原累加值；</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42.4.</w:t>
      </w:r>
      <w:r>
        <w:rPr>
          <w:rFonts w:hint="eastAsia" w:ascii="宋体" w:hAnsi="宋体"/>
          <w:color w:val="auto"/>
          <w:sz w:val="24"/>
          <w:szCs w:val="24"/>
          <w:highlight w:val="none"/>
          <w:lang w:val="en-US" w:eastAsia="zh-CN"/>
        </w:rPr>
        <w:t>4</w:t>
      </w:r>
      <w:r>
        <w:rPr>
          <w:rFonts w:ascii="宋体" w:hAnsi="宋体"/>
          <w:color w:val="auto"/>
          <w:sz w:val="24"/>
          <w:szCs w:val="24"/>
          <w:highlight w:val="none"/>
        </w:rPr>
        <w:t>.5</w:t>
      </w:r>
      <w:r>
        <w:rPr>
          <w:rFonts w:hint="eastAsia" w:ascii="宋体" w:hAnsi="宋体"/>
          <w:color w:val="auto"/>
          <w:sz w:val="24"/>
          <w:szCs w:val="24"/>
          <w:highlight w:val="none"/>
        </w:rPr>
        <w:t>如果投标人的有关规费、暂列金额、暂估价、绿色施工安全防护措施费等未按招标文件规定的金额填写的，由评标委员会按照招标文件规定的金额进行修正；</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42.4.</w:t>
      </w:r>
      <w:r>
        <w:rPr>
          <w:rFonts w:hint="eastAsia" w:ascii="宋体" w:hAnsi="宋体"/>
          <w:color w:val="auto"/>
          <w:sz w:val="24"/>
          <w:szCs w:val="24"/>
          <w:highlight w:val="none"/>
          <w:lang w:val="en-US" w:eastAsia="zh-CN"/>
        </w:rPr>
        <w:t>4</w:t>
      </w:r>
      <w:r>
        <w:rPr>
          <w:rFonts w:ascii="宋体" w:hAnsi="宋体"/>
          <w:color w:val="auto"/>
          <w:sz w:val="24"/>
          <w:szCs w:val="24"/>
          <w:highlight w:val="none"/>
        </w:rPr>
        <w:t>.6</w:t>
      </w:r>
      <w:r>
        <w:rPr>
          <w:rFonts w:hint="eastAsia" w:ascii="宋体" w:hAnsi="宋体"/>
          <w:color w:val="auto"/>
          <w:sz w:val="24"/>
          <w:szCs w:val="24"/>
          <w:highlight w:val="none"/>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42.4.</w:t>
      </w:r>
      <w:r>
        <w:rPr>
          <w:rFonts w:hint="eastAsia" w:ascii="宋体" w:hAnsi="宋体"/>
          <w:color w:val="auto"/>
          <w:sz w:val="24"/>
          <w:szCs w:val="24"/>
          <w:highlight w:val="none"/>
          <w:lang w:val="en-US" w:eastAsia="zh-CN"/>
        </w:rPr>
        <w:t>4</w:t>
      </w:r>
      <w:r>
        <w:rPr>
          <w:rFonts w:ascii="宋体" w:hAnsi="宋体"/>
          <w:color w:val="auto"/>
          <w:sz w:val="24"/>
          <w:szCs w:val="24"/>
          <w:highlight w:val="none"/>
        </w:rPr>
        <w:t>.7</w:t>
      </w:r>
      <w:r>
        <w:rPr>
          <w:rFonts w:hint="eastAsia" w:ascii="宋体" w:hAnsi="宋体"/>
          <w:color w:val="auto"/>
          <w:sz w:val="24"/>
          <w:szCs w:val="24"/>
          <w:highlight w:val="none"/>
        </w:rPr>
        <w:t>按就低不就高原则，当修正后报价小于原报价，总价按修正后报价；当修正后报价大于原报价，总价按原报价，并在签订合同时载明在结算价中扣除修正报价与原报价的差额。</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42.4.</w:t>
      </w:r>
      <w:r>
        <w:rPr>
          <w:rFonts w:hint="eastAsia" w:ascii="宋体" w:hAnsi="宋体"/>
          <w:color w:val="auto"/>
          <w:sz w:val="24"/>
          <w:szCs w:val="24"/>
          <w:highlight w:val="none"/>
          <w:lang w:val="en-US" w:eastAsia="zh-CN"/>
        </w:rPr>
        <w:t>4</w:t>
      </w:r>
      <w:r>
        <w:rPr>
          <w:rFonts w:ascii="宋体" w:hAnsi="宋体"/>
          <w:color w:val="auto"/>
          <w:sz w:val="24"/>
          <w:szCs w:val="24"/>
          <w:highlight w:val="none"/>
        </w:rPr>
        <w:t>.8</w:t>
      </w:r>
      <w:r>
        <w:rPr>
          <w:rFonts w:hint="eastAsia" w:ascii="宋体" w:hAnsi="宋体"/>
          <w:color w:val="auto"/>
          <w:sz w:val="24"/>
          <w:szCs w:val="24"/>
          <w:highlight w:val="none"/>
        </w:rPr>
        <w:t>按上述修正错误的原则及方法调整或修正投标文件的投标报价，调整后的投标报价对投标人起约束作用。如果投标人不接受修正后的报价，则取消其投标资格，并且其投标保证金也将不予退还。</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42.5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42.6评标委员会应在通过投标文件经济标有效性审查的投标人中，按步骤42.4确定的投标人第二阶段排序，推荐前3</w:t>
      </w:r>
      <w:r>
        <w:rPr>
          <w:rFonts w:hint="eastAsia" w:ascii="宋体" w:hAnsi="宋体"/>
          <w:color w:val="auto"/>
          <w:sz w:val="24"/>
          <w:szCs w:val="24"/>
          <w:highlight w:val="none"/>
        </w:rPr>
        <w:t>名依次为第一中标候选人至第三中标候选人</w:t>
      </w:r>
      <w:r>
        <w:rPr>
          <w:rFonts w:ascii="宋体" w:hAnsi="宋体"/>
          <w:color w:val="auto"/>
          <w:sz w:val="24"/>
          <w:szCs w:val="24"/>
          <w:highlight w:val="none"/>
        </w:rPr>
        <w:t>,</w:t>
      </w:r>
      <w:r>
        <w:rPr>
          <w:rFonts w:hint="eastAsia" w:ascii="宋体" w:hAnsi="宋体"/>
          <w:color w:val="auto"/>
          <w:sz w:val="24"/>
          <w:szCs w:val="24"/>
          <w:highlight w:val="none"/>
        </w:rPr>
        <w:t>并编制评标报告。</w:t>
      </w:r>
    </w:p>
    <w:p>
      <w:pPr>
        <w:spacing w:line="360" w:lineRule="auto"/>
        <w:ind w:firstLine="480" w:firstLineChars="200"/>
        <w:rPr>
          <w:rFonts w:ascii="宋体" w:hAnsi="宋体" w:cs="宋体"/>
          <w:strike/>
          <w:color w:val="auto"/>
          <w:szCs w:val="21"/>
          <w:highlight w:val="none"/>
        </w:rPr>
      </w:pPr>
      <w:r>
        <w:rPr>
          <w:rFonts w:ascii="宋体" w:hAnsi="宋体"/>
          <w:color w:val="auto"/>
          <w:sz w:val="24"/>
          <w:szCs w:val="24"/>
          <w:highlight w:val="none"/>
        </w:rPr>
        <w:t>42.7若通过经济标有效性审查的投标人不足三家，应当依法重新招标。（当N</w:t>
      </w:r>
      <w:r>
        <w:rPr>
          <w:rFonts w:hint="eastAsia" w:ascii="宋体" w:hAnsi="宋体"/>
          <w:color w:val="auto"/>
          <w:sz w:val="24"/>
          <w:szCs w:val="24"/>
          <w:highlight w:val="none"/>
        </w:rPr>
        <w:t>个标段同时招标且不允许兼中时，若有效投标人不足</w:t>
      </w:r>
      <w:r>
        <w:rPr>
          <w:rFonts w:ascii="宋体" w:hAnsi="宋体"/>
          <w:color w:val="auto"/>
          <w:sz w:val="24"/>
          <w:szCs w:val="24"/>
          <w:highlight w:val="none"/>
        </w:rPr>
        <w:t>N+2</w:t>
      </w:r>
      <w:r>
        <w:rPr>
          <w:rFonts w:hint="eastAsia" w:ascii="宋体" w:hAnsi="宋体"/>
          <w:color w:val="auto"/>
          <w:sz w:val="24"/>
          <w:szCs w:val="24"/>
          <w:highlight w:val="none"/>
        </w:rPr>
        <w:t>家，应当依法重新招标）</w:t>
      </w:r>
    </w:p>
    <w:p>
      <w:pPr>
        <w:spacing w:line="360" w:lineRule="auto"/>
        <w:ind w:firstLine="480" w:firstLineChars="200"/>
        <w:rPr>
          <w:rFonts w:ascii="宋体" w:hAnsi="宋体" w:cs="宋体"/>
          <w:color w:val="auto"/>
          <w:sz w:val="24"/>
          <w:szCs w:val="24"/>
          <w:highlight w:val="none"/>
        </w:rPr>
      </w:pPr>
    </w:p>
    <w:p>
      <w:pPr>
        <w:spacing w:line="360" w:lineRule="auto"/>
        <w:rPr>
          <w:rFonts w:ascii="宋体" w:hAnsi="宋体" w:cs="宋体"/>
          <w:color w:val="auto"/>
          <w:sz w:val="24"/>
          <w:szCs w:val="24"/>
          <w:highlight w:val="none"/>
        </w:rPr>
        <w:sectPr>
          <w:endnotePr>
            <w:numFmt w:val="decimal"/>
          </w:endnotePr>
          <w:pgSz w:w="11906" w:h="16838"/>
          <w:pgMar w:top="1134" w:right="1418" w:bottom="1247" w:left="1418" w:header="851" w:footer="907" w:gutter="0"/>
          <w:pgNumType w:fmt="decimal"/>
          <w:cols w:space="720" w:num="1"/>
          <w:titlePg/>
          <w:docGrid w:type="lines" w:linePitch="312" w:charSpace="0"/>
        </w:sectPr>
      </w:pPr>
    </w:p>
    <w:p>
      <w:pPr>
        <w:pStyle w:val="6"/>
        <w:rPr>
          <w:color w:val="auto"/>
          <w:highlight w:val="none"/>
        </w:rPr>
      </w:pPr>
      <w:bookmarkStart w:id="96" w:name="_Toc17895"/>
      <w:bookmarkStart w:id="97" w:name="_Toc28239"/>
      <w:bookmarkStart w:id="98" w:name="_Toc112397820"/>
      <w:bookmarkStart w:id="99" w:name="_Toc8523"/>
      <w:bookmarkStart w:id="100" w:name="_Toc24792"/>
      <w:r>
        <w:rPr>
          <w:rFonts w:hint="eastAsia"/>
          <w:color w:val="auto"/>
          <w:highlight w:val="none"/>
        </w:rPr>
        <w:t>附表一</w:t>
      </w:r>
      <w:bookmarkEnd w:id="96"/>
      <w:bookmarkEnd w:id="97"/>
      <w:bookmarkEnd w:id="98"/>
      <w:bookmarkEnd w:id="99"/>
      <w:bookmarkEnd w:id="100"/>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资格审查表</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工程名称：</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投标人名称：</w:t>
      </w:r>
    </w:p>
    <w:tbl>
      <w:tblPr>
        <w:tblStyle w:val="49"/>
        <w:tblW w:w="14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831"/>
        <w:gridCol w:w="604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6831"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b/>
                <w:color w:val="auto"/>
                <w:szCs w:val="21"/>
                <w:highlight w:val="none"/>
              </w:rPr>
            </w:pPr>
            <w:r>
              <w:rPr>
                <w:rFonts w:hint="eastAsia" w:ascii="宋体" w:hAnsi="宋体" w:cs="宋体"/>
                <w:b/>
                <w:color w:val="auto"/>
                <w:szCs w:val="21"/>
                <w:highlight w:val="none"/>
              </w:rPr>
              <w:t>审查项目</w:t>
            </w:r>
          </w:p>
        </w:tc>
        <w:tc>
          <w:tcPr>
            <w:tcW w:w="604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b/>
                <w:color w:val="auto"/>
                <w:szCs w:val="21"/>
                <w:highlight w:val="none"/>
              </w:rPr>
            </w:pPr>
            <w:r>
              <w:rPr>
                <w:rFonts w:hint="eastAsia" w:ascii="宋体" w:hAnsi="宋体" w:cs="宋体"/>
                <w:b/>
                <w:color w:val="auto"/>
                <w:szCs w:val="21"/>
                <w:highlight w:val="none"/>
              </w:rPr>
              <w:t>须审查的资料</w:t>
            </w:r>
          </w:p>
        </w:tc>
        <w:tc>
          <w:tcPr>
            <w:tcW w:w="106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b/>
                <w:color w:val="auto"/>
                <w:szCs w:val="21"/>
                <w:highlight w:val="none"/>
              </w:rPr>
            </w:pPr>
            <w:r>
              <w:rPr>
                <w:rFonts w:hint="eastAsia" w:ascii="宋体" w:hAnsi="宋体" w:cs="宋体"/>
                <w:b/>
                <w:color w:val="auto"/>
                <w:szCs w:val="21"/>
                <w:highlight w:val="none"/>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ascii="宋体" w:hAnsi="宋体" w:cs="宋体"/>
                <w:color w:val="auto"/>
                <w:szCs w:val="21"/>
                <w:highlight w:val="none"/>
              </w:rPr>
              <w:t>1</w:t>
            </w:r>
          </w:p>
        </w:tc>
        <w:tc>
          <w:tcPr>
            <w:tcW w:w="683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投标人（联合体各成员）参加投标的意思表达清楚，投标人代表被授权有效。</w:t>
            </w:r>
          </w:p>
        </w:tc>
        <w:tc>
          <w:tcPr>
            <w:tcW w:w="60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投标人声明、法定代表人证明书；委托投标的还应提供法人授权委托证明书。</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ascii="宋体" w:hAnsi="宋体" w:cs="宋体"/>
                <w:color w:val="auto"/>
                <w:szCs w:val="21"/>
                <w:highlight w:val="none"/>
              </w:rPr>
              <w:t>2</w:t>
            </w:r>
          </w:p>
        </w:tc>
        <w:tc>
          <w:tcPr>
            <w:tcW w:w="683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投标人</w:t>
            </w:r>
            <w:r>
              <w:rPr>
                <w:rFonts w:hint="eastAsia" w:ascii="宋体" w:hAnsi="宋体"/>
                <w:color w:val="auto"/>
                <w:szCs w:val="21"/>
                <w:highlight w:val="none"/>
                <w:u w:val="single"/>
              </w:rPr>
              <w:t>（联合体各成员）</w:t>
            </w:r>
            <w:r>
              <w:rPr>
                <w:rFonts w:hint="eastAsia" w:ascii="宋体" w:hAnsi="宋体" w:cs="宋体"/>
                <w:color w:val="auto"/>
                <w:szCs w:val="21"/>
                <w:highlight w:val="none"/>
              </w:rPr>
              <w:t>均具有独立法人资格，按国家法律经营。</w:t>
            </w:r>
          </w:p>
        </w:tc>
        <w:tc>
          <w:tcPr>
            <w:tcW w:w="60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营业执照</w:t>
            </w:r>
            <w:r>
              <w:rPr>
                <w:rFonts w:hint="eastAsia" w:ascii="宋体" w:hAnsi="宋体"/>
                <w:color w:val="auto"/>
                <w:szCs w:val="21"/>
                <w:highlight w:val="none"/>
              </w:rPr>
              <w:t>扫描件。</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ascii="宋体" w:hAnsi="宋体" w:cs="宋体"/>
                <w:color w:val="auto"/>
                <w:szCs w:val="21"/>
                <w:highlight w:val="none"/>
              </w:rPr>
              <w:t>3</w:t>
            </w:r>
          </w:p>
        </w:tc>
        <w:tc>
          <w:tcPr>
            <w:tcW w:w="683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投标人</w:t>
            </w:r>
            <w:r>
              <w:rPr>
                <w:rFonts w:hint="eastAsia" w:ascii="宋体" w:hAnsi="宋体"/>
                <w:color w:val="auto"/>
                <w:szCs w:val="21"/>
                <w:highlight w:val="none"/>
                <w:u w:val="single"/>
              </w:rPr>
              <w:t>（联合体各成员）</w:t>
            </w:r>
            <w:r>
              <w:rPr>
                <w:rFonts w:hint="eastAsia" w:ascii="宋体" w:hAnsi="宋体" w:cs="宋体"/>
                <w:color w:val="auto"/>
                <w:szCs w:val="21"/>
                <w:highlight w:val="none"/>
              </w:rPr>
              <w:t>均持有建设行政主管部门颁发的</w:t>
            </w:r>
            <w:r>
              <w:rPr>
                <w:rFonts w:hint="eastAsia" w:ascii="宋体" w:hAnsi="宋体" w:cs="宋体"/>
                <w:color w:val="auto"/>
                <w:szCs w:val="21"/>
                <w:highlight w:val="none"/>
                <w:lang w:val="en-US" w:eastAsia="zh-CN"/>
              </w:rPr>
              <w:t>有效期内</w:t>
            </w:r>
            <w:r>
              <w:rPr>
                <w:rFonts w:hint="eastAsia" w:ascii="宋体" w:hAnsi="宋体" w:cs="宋体"/>
                <w:color w:val="auto"/>
                <w:szCs w:val="21"/>
                <w:highlight w:val="none"/>
              </w:rPr>
              <w:t>企业资质证书及安全生产许可证；投标人</w:t>
            </w:r>
            <w:r>
              <w:rPr>
                <w:rFonts w:hint="eastAsia" w:ascii="宋体" w:hAnsi="宋体"/>
                <w:color w:val="auto"/>
                <w:szCs w:val="21"/>
                <w:highlight w:val="none"/>
                <w:u w:val="single"/>
              </w:rPr>
              <w:t>（联合体各成员）</w:t>
            </w:r>
            <w:r>
              <w:rPr>
                <w:rFonts w:hint="eastAsia" w:ascii="宋体" w:hAnsi="宋体" w:cs="宋体"/>
                <w:color w:val="auto"/>
                <w:szCs w:val="21"/>
                <w:highlight w:val="none"/>
              </w:rPr>
              <w:t>资质符合公告要求。</w:t>
            </w:r>
          </w:p>
        </w:tc>
        <w:tc>
          <w:tcPr>
            <w:tcW w:w="60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资质证书及安全生产许可证</w:t>
            </w:r>
            <w:r>
              <w:rPr>
                <w:rFonts w:hint="eastAsia" w:ascii="宋体" w:hAnsi="宋体"/>
                <w:color w:val="auto"/>
                <w:szCs w:val="21"/>
                <w:highlight w:val="none"/>
              </w:rPr>
              <w:t>扫描件。</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ascii="宋体" w:hAnsi="宋体" w:cs="宋体"/>
                <w:color w:val="auto"/>
                <w:szCs w:val="21"/>
                <w:highlight w:val="none"/>
              </w:rPr>
              <w:t>4</w:t>
            </w:r>
          </w:p>
        </w:tc>
        <w:tc>
          <w:tcPr>
            <w:tcW w:w="683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投标人拟担任本工程项目负责人符合公告要求。</w:t>
            </w:r>
          </w:p>
        </w:tc>
        <w:tc>
          <w:tcPr>
            <w:tcW w:w="60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u w:val="single"/>
              </w:rPr>
            </w:pPr>
            <w:r>
              <w:rPr>
                <w:rFonts w:hint="eastAsia" w:ascii="宋体" w:hAnsi="宋体" w:cs="宋体"/>
                <w:color w:val="auto"/>
                <w:szCs w:val="21"/>
                <w:highlight w:val="none"/>
                <w:u w:val="single"/>
              </w:rPr>
              <w:t>建造师注册证书扫描件。</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ascii="宋体" w:hAnsi="宋体" w:cs="宋体"/>
                <w:color w:val="auto"/>
                <w:szCs w:val="21"/>
                <w:highlight w:val="none"/>
              </w:rPr>
              <w:t>5</w:t>
            </w:r>
          </w:p>
        </w:tc>
        <w:tc>
          <w:tcPr>
            <w:tcW w:w="683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持有</w:t>
            </w:r>
            <w:r>
              <w:rPr>
                <w:rFonts w:hint="eastAsia" w:ascii="宋体" w:hAnsi="宋体" w:cs="宋体"/>
                <w:color w:val="auto"/>
                <w:szCs w:val="21"/>
                <w:highlight w:val="none"/>
                <w:lang w:val="en-US" w:eastAsia="zh-CN"/>
              </w:rPr>
              <w:t>有效期内的</w:t>
            </w:r>
            <w:r>
              <w:rPr>
                <w:rFonts w:hint="eastAsia" w:ascii="宋体" w:hAnsi="宋体" w:cs="宋体"/>
                <w:color w:val="auto"/>
                <w:szCs w:val="21"/>
                <w:highlight w:val="none"/>
              </w:rPr>
              <w:t>项目负责人安全生产考核合格证书（</w:t>
            </w:r>
            <w:r>
              <w:rPr>
                <w:rFonts w:ascii="宋体" w:hAnsi="宋体" w:cs="宋体"/>
                <w:color w:val="auto"/>
                <w:szCs w:val="21"/>
                <w:highlight w:val="none"/>
              </w:rPr>
              <w:t>B类）或建筑施工企业项目负责人安全生产考核合格证</w:t>
            </w:r>
            <w:r>
              <w:rPr>
                <w:rFonts w:hint="eastAsia" w:ascii="宋体" w:hAnsi="宋体" w:cs="宋体"/>
                <w:color w:val="auto"/>
                <w:szCs w:val="21"/>
                <w:highlight w:val="none"/>
              </w:rPr>
              <w:t>书。</w:t>
            </w:r>
          </w:p>
        </w:tc>
        <w:tc>
          <w:tcPr>
            <w:tcW w:w="60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项目负责人安全生产考核合格证书（</w:t>
            </w:r>
            <w:r>
              <w:rPr>
                <w:rFonts w:ascii="宋体" w:hAnsi="宋体" w:cs="宋体"/>
                <w:color w:val="auto"/>
                <w:szCs w:val="21"/>
                <w:highlight w:val="none"/>
              </w:rPr>
              <w:t>B类）或建筑施工企业项目负责人安全生产考核合格证</w:t>
            </w:r>
            <w:r>
              <w:rPr>
                <w:rFonts w:hint="eastAsia" w:ascii="宋体" w:hAnsi="宋体" w:cs="宋体"/>
                <w:color w:val="auto"/>
                <w:szCs w:val="21"/>
                <w:highlight w:val="none"/>
              </w:rPr>
              <w:t>书</w:t>
            </w:r>
            <w:r>
              <w:rPr>
                <w:rFonts w:ascii="宋体" w:hAnsi="宋体" w:cs="宋体"/>
                <w:color w:val="auto"/>
                <w:szCs w:val="21"/>
                <w:highlight w:val="none"/>
              </w:rPr>
              <w:t>扫描件</w:t>
            </w:r>
            <w:r>
              <w:rPr>
                <w:rFonts w:hint="eastAsia" w:ascii="宋体" w:hAnsi="宋体" w:cs="宋体"/>
                <w:color w:val="auto"/>
                <w:szCs w:val="21"/>
                <w:highlight w:val="none"/>
              </w:rPr>
              <w:t>。</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ascii="宋体" w:hAnsi="宋体" w:cs="宋体"/>
                <w:color w:val="auto"/>
                <w:szCs w:val="21"/>
                <w:highlight w:val="none"/>
              </w:rPr>
              <w:t>6</w:t>
            </w:r>
          </w:p>
        </w:tc>
        <w:tc>
          <w:tcPr>
            <w:tcW w:w="683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投标人拟担任本工程技术负责人符合公告要求。</w:t>
            </w:r>
          </w:p>
        </w:tc>
        <w:tc>
          <w:tcPr>
            <w:tcW w:w="60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bCs/>
                <w:color w:val="auto"/>
                <w:szCs w:val="21"/>
                <w:highlight w:val="none"/>
                <w:u w:val="single"/>
              </w:rPr>
              <w:t>拟委派技术负责人的职称证书扫描件。</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ascii="宋体" w:hAnsi="宋体" w:cs="宋体"/>
                <w:color w:val="auto"/>
                <w:szCs w:val="21"/>
                <w:highlight w:val="none"/>
              </w:rPr>
              <w:t>7</w:t>
            </w:r>
          </w:p>
        </w:tc>
        <w:tc>
          <w:tcPr>
            <w:tcW w:w="683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专职安全员须具有</w:t>
            </w:r>
            <w:r>
              <w:rPr>
                <w:rFonts w:hint="eastAsia" w:ascii="宋体" w:hAnsi="宋体" w:cs="宋体"/>
                <w:color w:val="auto"/>
                <w:szCs w:val="21"/>
                <w:highlight w:val="none"/>
                <w:lang w:val="en-US" w:eastAsia="zh-CN"/>
              </w:rPr>
              <w:t>有效期内的</w:t>
            </w:r>
            <w:r>
              <w:rPr>
                <w:rFonts w:hint="eastAsia" w:ascii="宋体" w:hAnsi="宋体" w:cs="宋体"/>
                <w:color w:val="auto"/>
                <w:szCs w:val="21"/>
                <w:highlight w:val="none"/>
              </w:rPr>
              <w:t>安全生产考核合格证书（</w:t>
            </w:r>
            <w:r>
              <w:rPr>
                <w:rFonts w:ascii="宋体" w:hAnsi="宋体" w:cs="宋体"/>
                <w:color w:val="auto"/>
                <w:szCs w:val="21"/>
                <w:highlight w:val="none"/>
              </w:rPr>
              <w:t>C类）或建筑施工企业专职安全生产管理人员安全生产考核合格证</w:t>
            </w:r>
            <w:r>
              <w:rPr>
                <w:rFonts w:hint="eastAsia" w:ascii="宋体" w:hAnsi="宋体" w:cs="宋体"/>
                <w:color w:val="auto"/>
                <w:szCs w:val="21"/>
                <w:highlight w:val="none"/>
              </w:rPr>
              <w:t>书</w:t>
            </w:r>
            <w:r>
              <w:rPr>
                <w:rFonts w:hint="eastAsia" w:ascii="宋体" w:hAnsi="宋体" w:cs="宋体"/>
                <w:color w:val="auto"/>
                <w:szCs w:val="21"/>
                <w:highlight w:val="none"/>
                <w:u w:val="single"/>
              </w:rPr>
              <w:t>（</w:t>
            </w:r>
            <w:r>
              <w:rPr>
                <w:rFonts w:ascii="宋体" w:hAnsi="宋体" w:cs="宋体"/>
                <w:color w:val="auto"/>
                <w:szCs w:val="21"/>
                <w:highlight w:val="none"/>
                <w:u w:val="single"/>
              </w:rPr>
              <w:t>C3类）</w:t>
            </w:r>
            <w:r>
              <w:rPr>
                <w:rFonts w:hint="eastAsia" w:ascii="宋体" w:hAnsi="宋体" w:cs="宋体"/>
                <w:color w:val="auto"/>
                <w:szCs w:val="21"/>
                <w:highlight w:val="none"/>
              </w:rPr>
              <w:t>。</w:t>
            </w:r>
          </w:p>
        </w:tc>
        <w:tc>
          <w:tcPr>
            <w:tcW w:w="60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专职安全员的安全生产考核合格证书（</w:t>
            </w:r>
            <w:r>
              <w:rPr>
                <w:rFonts w:ascii="宋体" w:hAnsi="宋体" w:cs="宋体"/>
                <w:color w:val="auto"/>
                <w:szCs w:val="21"/>
                <w:highlight w:val="none"/>
              </w:rPr>
              <w:t>C类）或建筑施工企业专职安全生产管理人员安全生产考核合格证</w:t>
            </w:r>
            <w:r>
              <w:rPr>
                <w:rFonts w:hint="eastAsia" w:ascii="宋体" w:hAnsi="宋体" w:cs="宋体"/>
                <w:color w:val="auto"/>
                <w:szCs w:val="21"/>
                <w:highlight w:val="none"/>
              </w:rPr>
              <w:t>书</w:t>
            </w:r>
            <w:r>
              <w:rPr>
                <w:rFonts w:hint="eastAsia" w:ascii="宋体" w:hAnsi="宋体" w:cs="宋体"/>
                <w:color w:val="auto"/>
                <w:szCs w:val="21"/>
                <w:highlight w:val="none"/>
                <w:u w:val="single"/>
              </w:rPr>
              <w:t>（</w:t>
            </w:r>
            <w:r>
              <w:rPr>
                <w:rFonts w:ascii="宋体" w:hAnsi="宋体" w:cs="宋体"/>
                <w:color w:val="auto"/>
                <w:szCs w:val="21"/>
                <w:highlight w:val="none"/>
                <w:u w:val="single"/>
              </w:rPr>
              <w:t>C3类）</w:t>
            </w:r>
            <w:r>
              <w:rPr>
                <w:rFonts w:hint="eastAsia" w:ascii="宋体" w:hAnsi="宋体"/>
                <w:color w:val="auto"/>
                <w:szCs w:val="21"/>
                <w:highlight w:val="none"/>
              </w:rPr>
              <w:t>扫描件。</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8</w:t>
            </w:r>
          </w:p>
        </w:tc>
        <w:tc>
          <w:tcPr>
            <w:tcW w:w="683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投标人提供的投标人声明符合公告要求。</w:t>
            </w:r>
          </w:p>
        </w:tc>
        <w:tc>
          <w:tcPr>
            <w:tcW w:w="604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color w:val="auto"/>
                <w:szCs w:val="21"/>
                <w:highlight w:val="none"/>
              </w:rPr>
            </w:pPr>
            <w:r>
              <w:rPr>
                <w:rFonts w:hint="eastAsia" w:ascii="宋体" w:hAnsi="宋体" w:cs="宋体"/>
                <w:color w:val="auto"/>
                <w:szCs w:val="21"/>
                <w:highlight w:val="none"/>
              </w:rPr>
              <w:t>投标人声明</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9</w:t>
            </w:r>
          </w:p>
        </w:tc>
        <w:tc>
          <w:tcPr>
            <w:tcW w:w="683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投标人声明中签字的项目负责人和技术负责人与本项目拟派的项目负责人和技术负责人一致。</w:t>
            </w:r>
          </w:p>
        </w:tc>
        <w:tc>
          <w:tcPr>
            <w:tcW w:w="60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网上投标时选择拟投标的项目负责人、资格审查文件中拟委派的技术负责人及投标人声明。</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1</w:t>
            </w:r>
            <w:r>
              <w:rPr>
                <w:rFonts w:hint="eastAsia" w:ascii="宋体" w:hAnsi="宋体" w:cs="宋体"/>
                <w:color w:val="auto"/>
                <w:szCs w:val="21"/>
                <w:highlight w:val="none"/>
                <w:lang w:val="en-US" w:eastAsia="zh-CN"/>
              </w:rPr>
              <w:t>0</w:t>
            </w:r>
          </w:p>
        </w:tc>
        <w:tc>
          <w:tcPr>
            <w:tcW w:w="683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Style w:val="235"/>
                <w:rFonts w:hint="default" w:cs="宋体"/>
                <w:color w:val="auto"/>
                <w:sz w:val="21"/>
                <w:szCs w:val="21"/>
                <w:highlight w:val="none"/>
              </w:rPr>
              <w:t>关于联合体投标：本项目</w:t>
            </w:r>
            <w:r>
              <w:rPr>
                <w:rStyle w:val="235"/>
                <w:rFonts w:hint="default" w:cs="宋体"/>
                <w:b/>
                <w:color w:val="auto"/>
                <w:sz w:val="21"/>
                <w:szCs w:val="21"/>
                <w:highlight w:val="none"/>
              </w:rPr>
              <w:t>接受</w:t>
            </w:r>
            <w:r>
              <w:rPr>
                <w:rStyle w:val="235"/>
                <w:rFonts w:hint="default" w:cs="宋体"/>
                <w:color w:val="auto"/>
                <w:sz w:val="21"/>
                <w:szCs w:val="21"/>
                <w:highlight w:val="none"/>
              </w:rPr>
              <w:t>联合体投标。</w:t>
            </w:r>
          </w:p>
        </w:tc>
        <w:tc>
          <w:tcPr>
            <w:tcW w:w="604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trike/>
                <w:color w:val="auto"/>
                <w:szCs w:val="21"/>
                <w:highlight w:val="none"/>
                <w:u w:val="single"/>
              </w:rPr>
            </w:pPr>
            <w:r>
              <w:rPr>
                <w:rFonts w:hint="eastAsia" w:ascii="宋体" w:hAnsi="宋体"/>
                <w:color w:val="auto"/>
                <w:szCs w:val="21"/>
                <w:highlight w:val="none"/>
                <w:u w:val="single"/>
              </w:rPr>
              <w:t>如联合体投标，应符合招标公告要求。</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1</w:t>
            </w:r>
            <w:r>
              <w:rPr>
                <w:rFonts w:hint="eastAsia" w:ascii="宋体" w:hAnsi="宋体" w:cs="宋体"/>
                <w:color w:val="auto"/>
                <w:szCs w:val="21"/>
                <w:highlight w:val="none"/>
                <w:lang w:val="en-US" w:eastAsia="zh-CN"/>
              </w:rPr>
              <w:t>1</w:t>
            </w:r>
          </w:p>
        </w:tc>
        <w:tc>
          <w:tcPr>
            <w:tcW w:w="683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投标登记前，投标人</w:t>
            </w:r>
            <w:r>
              <w:rPr>
                <w:rFonts w:hint="eastAsia" w:ascii="宋体" w:hAnsi="宋体" w:cs="宋体"/>
                <w:color w:val="auto"/>
                <w:szCs w:val="21"/>
                <w:highlight w:val="none"/>
                <w:u w:val="single"/>
              </w:rPr>
              <w:t>（联合体各成员）</w:t>
            </w:r>
            <w:r>
              <w:rPr>
                <w:rFonts w:hint="eastAsia" w:ascii="宋体" w:hAnsi="宋体" w:cs="宋体"/>
                <w:color w:val="auto"/>
                <w:szCs w:val="21"/>
                <w:highlight w:val="none"/>
              </w:rPr>
              <w:t>须在广州交易集团有限公司（广州公共资源交易中心）办理企业信息登记及拟担任本工程项目负责人、专职安全员须是本企业</w:t>
            </w:r>
            <w:r>
              <w:rPr>
                <w:rFonts w:hint="eastAsia" w:ascii="宋体" w:hAnsi="宋体" w:cs="宋体"/>
                <w:color w:val="auto"/>
                <w:szCs w:val="21"/>
                <w:highlight w:val="none"/>
                <w:u w:val="single"/>
              </w:rPr>
              <w:t>（联合体主办方）</w:t>
            </w:r>
            <w:r>
              <w:rPr>
                <w:rFonts w:hint="eastAsia" w:ascii="宋体" w:hAnsi="宋体" w:cs="宋体"/>
                <w:color w:val="auto"/>
                <w:szCs w:val="21"/>
                <w:highlight w:val="none"/>
              </w:rPr>
              <w:t>信息登记信息中的在册人员。</w:t>
            </w:r>
          </w:p>
        </w:tc>
        <w:tc>
          <w:tcPr>
            <w:tcW w:w="60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olor w:val="auto"/>
                <w:szCs w:val="21"/>
                <w:highlight w:val="none"/>
              </w:rPr>
              <w:t>投标人在广州交易集团有限公司（广州公共资源交易中心）企业信息登记的企业和人员信息。(提供网页信息截图)</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lang w:eastAsia="zh-CN"/>
              </w:rPr>
            </w:pPr>
            <w:r>
              <w:rPr>
                <w:rFonts w:ascii="宋体" w:hAnsi="宋体" w:cs="宋体"/>
                <w:color w:val="auto"/>
                <w:szCs w:val="21"/>
                <w:highlight w:val="none"/>
              </w:rPr>
              <w:t>1</w:t>
            </w:r>
            <w:r>
              <w:rPr>
                <w:rFonts w:hint="eastAsia" w:ascii="宋体" w:hAnsi="宋体" w:cs="宋体"/>
                <w:color w:val="auto"/>
                <w:szCs w:val="21"/>
                <w:highlight w:val="none"/>
                <w:lang w:val="en-US" w:eastAsia="zh-CN"/>
              </w:rPr>
              <w:t>2</w:t>
            </w:r>
          </w:p>
        </w:tc>
        <w:tc>
          <w:tcPr>
            <w:tcW w:w="683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投标人</w:t>
            </w:r>
            <w:r>
              <w:rPr>
                <w:rFonts w:hint="eastAsia" w:ascii="宋体" w:hAnsi="宋体" w:cs="宋体"/>
                <w:color w:val="auto"/>
                <w:szCs w:val="21"/>
                <w:highlight w:val="none"/>
                <w:u w:val="single"/>
              </w:rPr>
              <w:t>（联合体各成员）</w:t>
            </w:r>
            <w:r>
              <w:rPr>
                <w:rFonts w:hint="eastAsia" w:ascii="宋体" w:hAnsi="宋体" w:cs="宋体"/>
                <w:color w:val="auto"/>
                <w:szCs w:val="21"/>
                <w:highlight w:val="none"/>
              </w:rPr>
              <w:t>未出现以下情形：与其它投标人的单位负责人为同一人或者存在控股、管理关系的（按投标人提供的《投标人声明》第八条内容进行评审）。</w:t>
            </w:r>
          </w:p>
        </w:tc>
        <w:tc>
          <w:tcPr>
            <w:tcW w:w="60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投标人声明</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u w:val="single"/>
                <w:lang w:eastAsia="zh-CN"/>
              </w:rPr>
            </w:pPr>
            <w:r>
              <w:rPr>
                <w:rFonts w:ascii="宋体" w:hAnsi="宋体" w:cs="宋体"/>
                <w:color w:val="auto"/>
                <w:szCs w:val="21"/>
                <w:highlight w:val="none"/>
              </w:rPr>
              <w:t>1</w:t>
            </w:r>
            <w:r>
              <w:rPr>
                <w:rFonts w:hint="eastAsia" w:ascii="宋体" w:hAnsi="宋体" w:cs="宋体"/>
                <w:color w:val="auto"/>
                <w:szCs w:val="21"/>
                <w:highlight w:val="none"/>
                <w:lang w:val="en-US" w:eastAsia="zh-CN"/>
              </w:rPr>
              <w:t>3</w:t>
            </w:r>
          </w:p>
        </w:tc>
        <w:tc>
          <w:tcPr>
            <w:tcW w:w="683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Cs w:val="21"/>
                <w:highlight w:val="none"/>
              </w:rPr>
            </w:pPr>
            <w:r>
              <w:rPr>
                <w:rFonts w:hint="eastAsia" w:ascii="宋体" w:hAnsi="宋体" w:cs="宋体"/>
                <w:color w:val="auto"/>
                <w:szCs w:val="21"/>
                <w:highlight w:val="none"/>
              </w:rPr>
              <w:t>投标人</w:t>
            </w:r>
            <w:r>
              <w:rPr>
                <w:rFonts w:hint="eastAsia" w:ascii="宋体" w:hAnsi="宋体" w:cs="宋体"/>
                <w:color w:val="auto"/>
                <w:szCs w:val="21"/>
                <w:highlight w:val="none"/>
                <w:u w:val="single"/>
              </w:rPr>
              <w:t>（联合体各成员）</w:t>
            </w:r>
            <w:r>
              <w:rPr>
                <w:rFonts w:hint="eastAsia" w:ascii="宋体" w:hAnsi="宋体" w:cs="宋体"/>
                <w:color w:val="auto"/>
                <w:szCs w:val="21"/>
                <w:highlight w:val="none"/>
              </w:rPr>
              <w:t>未被列入拖欠农民工工资失信联合惩戒对象名单。</w:t>
            </w:r>
          </w:p>
        </w:tc>
        <w:tc>
          <w:tcPr>
            <w:tcW w:w="604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Cs w:val="21"/>
                <w:highlight w:val="none"/>
                <w:u w:val="single"/>
              </w:rPr>
            </w:pPr>
            <w:r>
              <w:rPr>
                <w:rFonts w:hint="eastAsia" w:ascii="宋体" w:hAnsi="宋体"/>
                <w:color w:val="auto"/>
                <w:szCs w:val="21"/>
                <w:highlight w:val="none"/>
              </w:rPr>
              <w:t>投标人无需提供资料，按交易系统比对的结果进行评审。</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r>
    </w:tbl>
    <w:p>
      <w:pPr>
        <w:ind w:firstLine="470" w:firstLineChars="224"/>
        <w:rPr>
          <w:rFonts w:ascii="宋体" w:hAnsi="宋体" w:cs="宋体"/>
          <w:color w:val="auto"/>
          <w:szCs w:val="21"/>
          <w:highlight w:val="none"/>
        </w:rPr>
      </w:pPr>
      <w:r>
        <w:rPr>
          <w:rFonts w:hint="eastAsia" w:ascii="宋体" w:hAnsi="宋体" w:cs="宋体"/>
          <w:color w:val="auto"/>
          <w:szCs w:val="21"/>
          <w:highlight w:val="none"/>
        </w:rPr>
        <w:t>备注：</w:t>
      </w:r>
    </w:p>
    <w:p>
      <w:pPr>
        <w:ind w:firstLine="470" w:firstLineChars="224"/>
        <w:rPr>
          <w:rFonts w:ascii="宋体" w:hAnsi="宋体" w:cs="宋体"/>
          <w:color w:val="auto"/>
          <w:szCs w:val="21"/>
          <w:highlight w:val="none"/>
        </w:rPr>
      </w:pPr>
      <w:r>
        <w:rPr>
          <w:rFonts w:ascii="宋体" w:hAnsi="宋体" w:cs="宋体"/>
          <w:color w:val="auto"/>
          <w:szCs w:val="21"/>
          <w:highlight w:val="none"/>
        </w:rPr>
        <w:t>1、每一项目符合的打“○”，不符合的打“×”；</w:t>
      </w:r>
    </w:p>
    <w:p>
      <w:pPr>
        <w:ind w:firstLine="470" w:firstLineChars="224"/>
        <w:rPr>
          <w:rFonts w:ascii="宋体" w:hAnsi="宋体" w:cs="宋体"/>
          <w:color w:val="auto"/>
          <w:szCs w:val="21"/>
          <w:highlight w:val="none"/>
        </w:rPr>
      </w:pPr>
      <w:r>
        <w:rPr>
          <w:rFonts w:ascii="宋体" w:hAnsi="宋体" w:cs="宋体"/>
          <w:color w:val="auto"/>
          <w:szCs w:val="21"/>
          <w:highlight w:val="none"/>
        </w:rPr>
        <w:t>2、若评委意见不一致时，则按少数服从多数的原则，作出评审结论。汇总后，出现一个“×”的结论为“不通过”。</w:t>
      </w:r>
    </w:p>
    <w:p>
      <w:pPr>
        <w:ind w:firstLine="470" w:firstLineChars="224"/>
        <w:rPr>
          <w:rFonts w:ascii="宋体" w:hAnsi="宋体" w:cs="宋体"/>
          <w:color w:val="auto"/>
          <w:szCs w:val="21"/>
          <w:highlight w:val="none"/>
        </w:rPr>
      </w:pPr>
      <w:r>
        <w:rPr>
          <w:rFonts w:ascii="宋体" w:hAnsi="宋体" w:cs="宋体"/>
          <w:color w:val="auto"/>
          <w:szCs w:val="21"/>
          <w:highlight w:val="none"/>
        </w:rPr>
        <w:t>3.不得将文件顺序、明显的文字错误等列为否决投标的情形。评委发现资格审查文件中含义不明确、对同类问题表述不一致、有明显文字和计算错误的，应当要求投标人作必要的澄清、说明后再判定投标人是否通过资格审查，不得直接认定其不通过资格审查。</w:t>
      </w:r>
    </w:p>
    <w:p>
      <w:pPr>
        <w:rPr>
          <w:rFonts w:ascii="宋体" w:hAnsi="宋体" w:cs="宋体"/>
          <w:color w:val="auto"/>
          <w:highlight w:val="none"/>
        </w:rPr>
        <w:sectPr>
          <w:endnotePr>
            <w:numFmt w:val="decimal"/>
          </w:endnotePr>
          <w:pgSz w:w="16838" w:h="11906" w:orient="landscape"/>
          <w:pgMar w:top="1418" w:right="1134" w:bottom="1418" w:left="1247" w:header="851" w:footer="907" w:gutter="0"/>
          <w:pgNumType w:fmt="decimal"/>
          <w:cols w:space="720" w:num="1"/>
          <w:titlePg/>
          <w:docGrid w:type="linesAndChars" w:linePitch="312" w:charSpace="0"/>
        </w:sectPr>
      </w:pPr>
    </w:p>
    <w:p>
      <w:pPr>
        <w:pStyle w:val="6"/>
        <w:rPr>
          <w:color w:val="auto"/>
          <w:highlight w:val="none"/>
        </w:rPr>
      </w:pPr>
      <w:bookmarkStart w:id="101" w:name="_Toc16106"/>
      <w:bookmarkStart w:id="102" w:name="_Toc112397821"/>
      <w:bookmarkStart w:id="103" w:name="_Toc9665"/>
      <w:bookmarkStart w:id="104" w:name="_Toc26317"/>
      <w:bookmarkStart w:id="105" w:name="_Toc21466"/>
      <w:r>
        <w:rPr>
          <w:rFonts w:hint="eastAsia"/>
          <w:color w:val="auto"/>
          <w:highlight w:val="none"/>
        </w:rPr>
        <w:t>附表二</w:t>
      </w:r>
      <w:bookmarkEnd w:id="101"/>
      <w:bookmarkEnd w:id="102"/>
      <w:bookmarkEnd w:id="103"/>
      <w:bookmarkEnd w:id="104"/>
      <w:bookmarkEnd w:id="105"/>
    </w:p>
    <w:p>
      <w:pPr>
        <w:jc w:val="center"/>
        <w:rPr>
          <w:rFonts w:ascii="宋体" w:hAnsi="宋体"/>
          <w:b/>
          <w:color w:val="auto"/>
          <w:sz w:val="36"/>
          <w:szCs w:val="36"/>
          <w:highlight w:val="none"/>
        </w:rPr>
      </w:pPr>
      <w:r>
        <w:rPr>
          <w:rFonts w:hint="eastAsia" w:ascii="宋体" w:hAnsi="宋体"/>
          <w:b/>
          <w:color w:val="auto"/>
          <w:sz w:val="36"/>
          <w:szCs w:val="36"/>
          <w:highlight w:val="none"/>
        </w:rPr>
        <w:t>技术标有效性审查表</w:t>
      </w:r>
    </w:p>
    <w:p>
      <w:pPr>
        <w:rPr>
          <w:rFonts w:ascii="宋体" w:hAnsi="宋体"/>
          <w:color w:val="auto"/>
          <w:szCs w:val="21"/>
          <w:highlight w:val="none"/>
        </w:rPr>
      </w:pPr>
      <w:r>
        <w:rPr>
          <w:rFonts w:hint="eastAsia" w:ascii="宋体" w:hAnsi="宋体"/>
          <w:color w:val="auto"/>
          <w:szCs w:val="21"/>
          <w:highlight w:val="none"/>
        </w:rPr>
        <w:t>工程名称：</w:t>
      </w:r>
    </w:p>
    <w:tbl>
      <w:tblPr>
        <w:tblStyle w:val="49"/>
        <w:tblW w:w="14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8122"/>
        <w:gridCol w:w="978"/>
        <w:gridCol w:w="978"/>
        <w:gridCol w:w="978"/>
        <w:gridCol w:w="978"/>
        <w:gridCol w:w="978"/>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7"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highlight w:val="none"/>
              </w:rPr>
            </w:pPr>
            <w:r>
              <w:rPr>
                <w:rFonts w:hint="eastAsia" w:ascii="宋体" w:hAnsi="宋体"/>
                <w:color w:val="auto"/>
                <w:szCs w:val="21"/>
                <w:highlight w:val="none"/>
              </w:rPr>
              <w:t>序号</w:t>
            </w:r>
          </w:p>
        </w:tc>
        <w:tc>
          <w:tcPr>
            <w:tcW w:w="8122" w:type="dxa"/>
            <w:tcBorders>
              <w:top w:val="single" w:color="auto" w:sz="4" w:space="0"/>
              <w:left w:val="single" w:color="auto" w:sz="4" w:space="0"/>
              <w:bottom w:val="single" w:color="auto" w:sz="4" w:space="0"/>
              <w:right w:val="single" w:color="auto" w:sz="4" w:space="0"/>
              <w:tl2br w:val="single" w:color="auto" w:sz="4" w:space="0"/>
            </w:tcBorders>
          </w:tcPr>
          <w:p>
            <w:pPr>
              <w:adjustRightInd w:val="0"/>
              <w:ind w:firstLine="5040" w:firstLineChars="2400"/>
              <w:rPr>
                <w:rFonts w:ascii="宋体" w:hAnsi="宋体"/>
                <w:color w:val="auto"/>
                <w:szCs w:val="21"/>
                <w:highlight w:val="none"/>
              </w:rPr>
            </w:pPr>
            <w:r>
              <w:rPr>
                <w:rFonts w:hint="eastAsia" w:ascii="宋体" w:hAnsi="宋体"/>
                <w:color w:val="auto"/>
                <w:szCs w:val="21"/>
                <w:highlight w:val="none"/>
              </w:rPr>
              <w:t>投标人</w:t>
            </w:r>
          </w:p>
          <w:p>
            <w:pPr>
              <w:adjustRightInd w:val="0"/>
              <w:rPr>
                <w:rFonts w:ascii="宋体" w:hAnsi="宋体"/>
                <w:color w:val="auto"/>
                <w:szCs w:val="21"/>
                <w:highlight w:val="none"/>
              </w:rPr>
            </w:pPr>
            <w:r>
              <w:rPr>
                <w:rFonts w:hint="eastAsia" w:ascii="宋体" w:hAnsi="宋体"/>
                <w:color w:val="auto"/>
                <w:szCs w:val="21"/>
                <w:highlight w:val="none"/>
              </w:rPr>
              <w:t>评审内容</w:t>
            </w: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9"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olor w:val="auto"/>
                <w:szCs w:val="21"/>
                <w:highlight w:val="none"/>
              </w:rPr>
            </w:pPr>
            <w:r>
              <w:rPr>
                <w:rFonts w:ascii="宋体" w:hAnsi="宋体"/>
                <w:color w:val="auto"/>
                <w:szCs w:val="21"/>
                <w:highlight w:val="none"/>
              </w:rPr>
              <w:t>1</w:t>
            </w:r>
          </w:p>
        </w:tc>
        <w:tc>
          <w:tcPr>
            <w:tcW w:w="8122"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u w:val="single"/>
              </w:rPr>
            </w:pPr>
            <w:r>
              <w:rPr>
                <w:rFonts w:hint="eastAsia" w:ascii="宋体" w:hAnsi="宋体" w:cs="宋体"/>
                <w:color w:val="auto"/>
                <w:szCs w:val="21"/>
                <w:highlight w:val="none"/>
              </w:rPr>
              <w:t>《广州建设工程施工招标投标书（技术标）》中的总工期不符合招标文件要求的；</w:t>
            </w: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9"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olor w:val="auto"/>
                <w:szCs w:val="21"/>
                <w:highlight w:val="none"/>
              </w:rPr>
            </w:pPr>
            <w:r>
              <w:rPr>
                <w:rFonts w:ascii="宋体" w:hAnsi="宋体"/>
                <w:color w:val="auto"/>
                <w:szCs w:val="21"/>
                <w:highlight w:val="none"/>
              </w:rPr>
              <w:t>2</w:t>
            </w:r>
          </w:p>
        </w:tc>
        <w:tc>
          <w:tcPr>
            <w:tcW w:w="8122"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《广州建设工程施工招标投标书（技术标）》中的工程质量标准不符合招标文件要求的；</w:t>
            </w: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9"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olor w:val="auto"/>
                <w:szCs w:val="21"/>
                <w:highlight w:val="none"/>
              </w:rPr>
            </w:pPr>
            <w:r>
              <w:rPr>
                <w:rFonts w:ascii="宋体" w:hAnsi="宋体"/>
                <w:color w:val="auto"/>
                <w:szCs w:val="21"/>
                <w:highlight w:val="none"/>
              </w:rPr>
              <w:t>3</w:t>
            </w:r>
          </w:p>
        </w:tc>
        <w:tc>
          <w:tcPr>
            <w:tcW w:w="8122"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highlight w:val="none"/>
              </w:rPr>
            </w:pPr>
            <w:r>
              <w:rPr>
                <w:rFonts w:hint="eastAsia" w:ascii="宋体" w:hAnsi="宋体"/>
                <w:color w:val="auto"/>
                <w:szCs w:val="21"/>
                <w:highlight w:val="none"/>
              </w:rPr>
              <w:t>投标文件中没有有效的法定代表人证明书，或由委托代理人</w:t>
            </w:r>
            <w:r>
              <w:rPr>
                <w:rFonts w:hint="eastAsia" w:ascii="宋体" w:hAnsi="宋体"/>
                <w:color w:val="auto"/>
                <w:szCs w:val="21"/>
                <w:highlight w:val="none"/>
                <w:u w:val="single"/>
              </w:rPr>
              <w:t>盖章或签字</w:t>
            </w:r>
            <w:r>
              <w:rPr>
                <w:rFonts w:hint="eastAsia" w:ascii="宋体" w:hAnsi="宋体"/>
                <w:color w:val="auto"/>
                <w:szCs w:val="21"/>
                <w:highlight w:val="none"/>
              </w:rPr>
              <w:t>的投标文件中没有法定代表人授权书；</w:t>
            </w: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9"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olor w:val="auto"/>
                <w:szCs w:val="21"/>
                <w:highlight w:val="none"/>
              </w:rPr>
            </w:pPr>
            <w:r>
              <w:rPr>
                <w:rFonts w:ascii="宋体" w:hAnsi="宋体"/>
                <w:color w:val="auto"/>
                <w:szCs w:val="21"/>
                <w:highlight w:val="none"/>
              </w:rPr>
              <w:t>4</w:t>
            </w:r>
          </w:p>
        </w:tc>
        <w:tc>
          <w:tcPr>
            <w:tcW w:w="8122"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u w:val="single"/>
              </w:rPr>
            </w:pPr>
            <w:r>
              <w:rPr>
                <w:rFonts w:hint="eastAsia" w:ascii="宋体" w:hAnsi="宋体" w:cs="宋体"/>
                <w:color w:val="auto"/>
                <w:szCs w:val="21"/>
                <w:highlight w:val="none"/>
              </w:rPr>
              <w:t>投标文件未按规定的格式</w:t>
            </w:r>
            <w:r>
              <w:rPr>
                <w:rFonts w:hint="eastAsia" w:ascii="宋体" w:hAnsi="宋体" w:cs="宋体"/>
                <w:color w:val="auto"/>
                <w:szCs w:val="21"/>
                <w:highlight w:val="none"/>
                <w:u w:val="single"/>
              </w:rPr>
              <w:t>（指招标文件第一章第</w:t>
            </w:r>
            <w:r>
              <w:rPr>
                <w:rFonts w:ascii="宋体" w:hAnsi="宋体" w:cs="宋体"/>
                <w:color w:val="auto"/>
                <w:szCs w:val="21"/>
                <w:highlight w:val="none"/>
                <w:u w:val="single"/>
              </w:rPr>
              <w:t>11条投标文件的组成规定内容中有关</w:t>
            </w:r>
            <w:r>
              <w:rPr>
                <w:rFonts w:hint="eastAsia" w:ascii="宋体" w:hAnsi="宋体" w:cs="宋体"/>
                <w:color w:val="auto"/>
                <w:szCs w:val="21"/>
                <w:highlight w:val="none"/>
                <w:u w:val="single"/>
              </w:rPr>
              <w:t>技术标的</w:t>
            </w:r>
            <w:r>
              <w:rPr>
                <w:rFonts w:ascii="宋体" w:hAnsi="宋体" w:cs="宋体"/>
                <w:color w:val="auto"/>
                <w:szCs w:val="21"/>
                <w:highlight w:val="none"/>
                <w:u w:val="single"/>
              </w:rPr>
              <w:t>规定内容）</w:t>
            </w:r>
            <w:r>
              <w:rPr>
                <w:rFonts w:hint="eastAsia" w:ascii="宋体" w:hAnsi="宋体" w:cs="宋体"/>
                <w:color w:val="auto"/>
                <w:szCs w:val="21"/>
                <w:highlight w:val="none"/>
              </w:rPr>
              <w:t>填写，或主要内容（指投标文件组成内容）不全，或关键字迹模糊、无法辨认的；</w:t>
            </w: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9"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olor w:val="auto"/>
                <w:szCs w:val="21"/>
                <w:highlight w:val="none"/>
              </w:rPr>
            </w:pPr>
            <w:r>
              <w:rPr>
                <w:rFonts w:ascii="宋体" w:hAnsi="宋体"/>
                <w:color w:val="auto"/>
                <w:szCs w:val="21"/>
                <w:highlight w:val="none"/>
              </w:rPr>
              <w:t>5</w:t>
            </w:r>
          </w:p>
        </w:tc>
        <w:tc>
          <w:tcPr>
            <w:tcW w:w="8122"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highlight w:val="none"/>
              </w:rPr>
            </w:pPr>
            <w:r>
              <w:rPr>
                <w:rFonts w:hint="eastAsia" w:ascii="宋体" w:hAnsi="宋体"/>
                <w:color w:val="auto"/>
                <w:szCs w:val="21"/>
                <w:highlight w:val="none"/>
              </w:rPr>
              <w:t>投标人之间存在《广东省实施</w:t>
            </w:r>
            <w:r>
              <w:rPr>
                <w:rFonts w:ascii="宋体" w:hAnsi="宋体"/>
                <w:color w:val="auto"/>
                <w:szCs w:val="21"/>
                <w:highlight w:val="none"/>
              </w:rPr>
              <w:t>&lt;中华人民共和国招标投标法&gt;办法》第十六条所禁止的情形的；</w:t>
            </w: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9"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olor w:val="auto"/>
                <w:szCs w:val="21"/>
                <w:highlight w:val="none"/>
              </w:rPr>
            </w:pPr>
            <w:r>
              <w:rPr>
                <w:rFonts w:ascii="宋体" w:hAnsi="宋体"/>
                <w:color w:val="auto"/>
                <w:szCs w:val="21"/>
                <w:highlight w:val="none"/>
              </w:rPr>
              <w:t>6</w:t>
            </w:r>
          </w:p>
        </w:tc>
        <w:tc>
          <w:tcPr>
            <w:tcW w:w="8122"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highlight w:val="none"/>
              </w:rPr>
            </w:pPr>
            <w:r>
              <w:rPr>
                <w:rFonts w:hint="eastAsia" w:ascii="宋体" w:hAnsi="宋体"/>
                <w:color w:val="auto"/>
                <w:szCs w:val="21"/>
                <w:highlight w:val="none"/>
              </w:rPr>
              <w:t>无《参与编制技术标投标文件人员名单》的；</w:t>
            </w: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9"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6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7</w:t>
            </w:r>
          </w:p>
        </w:tc>
        <w:tc>
          <w:tcPr>
            <w:tcW w:w="8122"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highlight w:val="none"/>
              </w:rPr>
            </w:pPr>
            <w:r>
              <w:rPr>
                <w:rFonts w:hint="eastAsia" w:ascii="宋体" w:hAnsi="宋体"/>
                <w:color w:val="auto"/>
                <w:szCs w:val="21"/>
                <w:highlight w:val="none"/>
              </w:rPr>
              <w:t>投标人与本项目其他投标人加密打包投标文件电脑机器特征码一致的</w:t>
            </w:r>
            <w:r>
              <w:rPr>
                <w:rFonts w:ascii="宋体" w:hAnsi="宋体"/>
                <w:color w:val="auto"/>
                <w:szCs w:val="21"/>
                <w:highlight w:val="none"/>
              </w:rPr>
              <w:t>(以</w:t>
            </w:r>
            <w:r>
              <w:rPr>
                <w:rFonts w:hint="eastAsia" w:ascii="宋体" w:hAnsi="宋体" w:cs="宋体"/>
                <w:color w:val="auto"/>
                <w:szCs w:val="21"/>
                <w:highlight w:val="none"/>
                <w:u w:val="single"/>
              </w:rPr>
              <w:t>广州交易集团有限公司（广州公共资源交易中心）</w:t>
            </w:r>
            <w:r>
              <w:rPr>
                <w:rFonts w:hint="eastAsia" w:ascii="宋体" w:hAnsi="宋体"/>
                <w:color w:val="auto"/>
                <w:szCs w:val="21"/>
                <w:highlight w:val="none"/>
              </w:rPr>
              <w:t>交易平台评标系统的检索信息为准</w:t>
            </w:r>
            <w:r>
              <w:rPr>
                <w:rFonts w:ascii="宋体" w:hAnsi="宋体"/>
                <w:color w:val="auto"/>
                <w:szCs w:val="21"/>
                <w:highlight w:val="none"/>
              </w:rPr>
              <w:t>)</w:t>
            </w:r>
            <w:r>
              <w:rPr>
                <w:rFonts w:hint="eastAsia" w:ascii="宋体" w:hAnsi="宋体"/>
                <w:color w:val="auto"/>
                <w:szCs w:val="21"/>
                <w:highlight w:val="none"/>
              </w:rPr>
              <w:t>；</w:t>
            </w: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8"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979"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r>
    </w:tbl>
    <w:p>
      <w:pPr>
        <w:ind w:firstLine="420" w:firstLineChars="200"/>
        <w:rPr>
          <w:rFonts w:ascii="宋体" w:hAnsi="宋体"/>
          <w:color w:val="auto"/>
          <w:szCs w:val="21"/>
          <w:highlight w:val="none"/>
        </w:rPr>
      </w:pPr>
      <w:r>
        <w:rPr>
          <w:rFonts w:hint="eastAsia" w:ascii="宋体" w:hAnsi="宋体"/>
          <w:color w:val="auto"/>
          <w:szCs w:val="21"/>
          <w:highlight w:val="none"/>
        </w:rPr>
        <w:t>注：</w:t>
      </w:r>
      <w:r>
        <w:rPr>
          <w:rFonts w:ascii="宋体" w:hAnsi="宋体"/>
          <w:color w:val="auto"/>
          <w:szCs w:val="21"/>
          <w:highlight w:val="none"/>
        </w:rPr>
        <w:t>1.本表使用GZZB2018-3招标文件范本，与范本内容不同之处均以下划线标明。技术标评审中，响应性、承诺性内容不应作为评分因素，可在该表中对上述内容进行符合性审查。审查标准须具备可操作性。</w:t>
      </w:r>
    </w:p>
    <w:p>
      <w:pPr>
        <w:ind w:firstLine="420" w:firstLineChars="200"/>
        <w:rPr>
          <w:rFonts w:ascii="宋体" w:hAnsi="宋体"/>
          <w:color w:val="auto"/>
          <w:szCs w:val="21"/>
          <w:highlight w:val="none"/>
        </w:rPr>
      </w:pPr>
      <w:r>
        <w:rPr>
          <w:rFonts w:ascii="宋体" w:hAnsi="宋体"/>
          <w:color w:val="auto"/>
          <w:szCs w:val="21"/>
          <w:highlight w:val="none"/>
        </w:rPr>
        <w:t>2.不得将文件顺序、明显的文字错误等列为否决投标的情形。评委发现投标文件中含义不明确、对同类问题表述不一致、有明显文字和计算错误的，应当要求投标人作必要的澄清、说明后再判定投标人是否通过有效性审查，不得直接否决投标，若出现评标委员会否决投标的，应在评标报告中载明否决投标的具体情形、原因；</w:t>
      </w:r>
    </w:p>
    <w:p>
      <w:pPr>
        <w:ind w:firstLine="420" w:firstLineChars="200"/>
        <w:rPr>
          <w:rFonts w:ascii="宋体" w:hAnsi="宋体"/>
          <w:color w:val="auto"/>
          <w:szCs w:val="21"/>
          <w:highlight w:val="none"/>
        </w:rPr>
      </w:pPr>
      <w:r>
        <w:rPr>
          <w:rFonts w:ascii="宋体" w:hAnsi="宋体"/>
          <w:color w:val="auto"/>
          <w:szCs w:val="21"/>
          <w:highlight w:val="none"/>
        </w:rPr>
        <w:t>3.凡出现以上任何一项情形，结论均为无效，否则就为有效。</w:t>
      </w:r>
    </w:p>
    <w:p>
      <w:pPr>
        <w:ind w:firstLine="420" w:firstLineChars="200"/>
        <w:rPr>
          <w:rFonts w:hint="eastAsia" w:ascii="宋体" w:hAnsi="宋体"/>
          <w:color w:val="auto"/>
          <w:szCs w:val="21"/>
          <w:highlight w:val="none"/>
        </w:rPr>
      </w:pPr>
      <w:r>
        <w:rPr>
          <w:rFonts w:ascii="宋体" w:hAnsi="宋体"/>
          <w:color w:val="auto"/>
          <w:szCs w:val="21"/>
          <w:highlight w:val="none"/>
        </w:rPr>
        <w:t>4.如对本表中某种情形的评审意见不一致时，以评标委员会过半数成员的意见作为评标委员会对该情形的认定结论。</w:t>
      </w:r>
    </w:p>
    <w:p>
      <w:pPr>
        <w:ind w:firstLine="420" w:firstLineChars="200"/>
        <w:rPr>
          <w:color w:val="auto"/>
          <w:highlight w:val="none"/>
        </w:rPr>
      </w:pPr>
      <w:r>
        <w:rPr>
          <w:rFonts w:hint="eastAsia" w:ascii="宋体" w:hAnsi="宋体"/>
          <w:color w:val="auto"/>
          <w:szCs w:val="21"/>
          <w:highlight w:val="none"/>
        </w:rPr>
        <w:t>评委签名：</w:t>
      </w:r>
      <w:r>
        <w:rPr>
          <w:color w:val="auto"/>
          <w:highlight w:val="none"/>
        </w:rPr>
        <w:br w:type="page"/>
      </w:r>
      <w:bookmarkStart w:id="106" w:name="_Toc112397822"/>
      <w:r>
        <w:rPr>
          <w:rFonts w:hint="eastAsia"/>
          <w:color w:val="auto"/>
          <w:highlight w:val="none"/>
        </w:rPr>
        <w:t>附表三</w:t>
      </w:r>
      <w:bookmarkEnd w:id="106"/>
    </w:p>
    <w:p>
      <w:pPr>
        <w:jc w:val="center"/>
        <w:rPr>
          <w:rFonts w:ascii="宋体" w:hAnsi="宋体"/>
          <w:b/>
          <w:color w:val="auto"/>
          <w:sz w:val="36"/>
          <w:szCs w:val="36"/>
          <w:highlight w:val="none"/>
        </w:rPr>
      </w:pPr>
      <w:r>
        <w:rPr>
          <w:rFonts w:hint="eastAsia" w:ascii="宋体" w:hAnsi="宋体"/>
          <w:b/>
          <w:color w:val="auto"/>
          <w:sz w:val="36"/>
          <w:szCs w:val="36"/>
          <w:highlight w:val="none"/>
        </w:rPr>
        <w:t>经济标有效性审查表</w:t>
      </w:r>
    </w:p>
    <w:p>
      <w:pPr>
        <w:rPr>
          <w:rFonts w:ascii="宋体" w:hAnsi="宋体"/>
          <w:color w:val="auto"/>
          <w:szCs w:val="21"/>
          <w:highlight w:val="none"/>
        </w:rPr>
      </w:pPr>
      <w:r>
        <w:rPr>
          <w:rFonts w:hint="eastAsia" w:ascii="宋体" w:hAnsi="宋体"/>
          <w:color w:val="auto"/>
          <w:szCs w:val="21"/>
          <w:highlight w:val="none"/>
        </w:rPr>
        <w:t>工程名称：</w:t>
      </w:r>
    </w:p>
    <w:tbl>
      <w:tblPr>
        <w:tblStyle w:val="49"/>
        <w:tblW w:w="14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141"/>
        <w:gridCol w:w="927"/>
        <w:gridCol w:w="927"/>
        <w:gridCol w:w="927"/>
        <w:gridCol w:w="927"/>
        <w:gridCol w:w="927"/>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7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序号</w:t>
            </w:r>
          </w:p>
        </w:tc>
        <w:tc>
          <w:tcPr>
            <w:tcW w:w="8141" w:type="dxa"/>
            <w:tcBorders>
              <w:top w:val="single" w:color="auto" w:sz="4" w:space="0"/>
              <w:left w:val="single" w:color="auto" w:sz="4" w:space="0"/>
              <w:bottom w:val="single" w:color="auto" w:sz="4" w:space="0"/>
              <w:right w:val="single" w:color="auto" w:sz="4" w:space="0"/>
              <w:tl2br w:val="single" w:color="auto" w:sz="4" w:space="0"/>
            </w:tcBorders>
          </w:tcPr>
          <w:p>
            <w:pPr>
              <w:ind w:firstLine="2940" w:firstLineChars="1400"/>
              <w:rPr>
                <w:rFonts w:ascii="宋体" w:hAnsi="宋体"/>
                <w:color w:val="auto"/>
                <w:szCs w:val="21"/>
                <w:highlight w:val="none"/>
              </w:rPr>
            </w:pPr>
            <w:r>
              <w:rPr>
                <w:rFonts w:hint="eastAsia" w:ascii="宋体" w:hAnsi="宋体"/>
                <w:color w:val="auto"/>
                <w:szCs w:val="21"/>
                <w:highlight w:val="none"/>
              </w:rPr>
              <w:t>投标人</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评审内容</w:t>
            </w: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1</w:t>
            </w:r>
          </w:p>
        </w:tc>
        <w:tc>
          <w:tcPr>
            <w:tcW w:w="814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对同一招标项目出现两个或以上的投标报价，且没有申明哪个有效；</w:t>
            </w: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2</w:t>
            </w:r>
          </w:p>
        </w:tc>
        <w:tc>
          <w:tcPr>
            <w:tcW w:w="814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投标报价高于最高投标限价的；</w:t>
            </w: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3</w:t>
            </w:r>
          </w:p>
        </w:tc>
        <w:tc>
          <w:tcPr>
            <w:tcW w:w="81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2" w:leftChars="-1"/>
              <w:jc w:val="left"/>
              <w:rPr>
                <w:rFonts w:ascii="宋体" w:hAnsi="宋体" w:cs="宋体"/>
                <w:color w:val="auto"/>
                <w:szCs w:val="21"/>
                <w:highlight w:val="none"/>
              </w:rPr>
            </w:pPr>
            <w:r>
              <w:rPr>
                <w:rFonts w:hint="eastAsia" w:ascii="宋体" w:hAnsi="宋体" w:cs="宋体"/>
                <w:color w:val="auto"/>
                <w:szCs w:val="21"/>
                <w:highlight w:val="none"/>
              </w:rPr>
              <w:t>投标报价低于成本的</w:t>
            </w:r>
            <w:r>
              <w:rPr>
                <w:rFonts w:hint="eastAsia" w:ascii="宋体" w:hAnsi="宋体" w:cs="宋体"/>
                <w:color w:val="auto"/>
                <w:szCs w:val="21"/>
                <w:highlight w:val="none"/>
                <w:u w:val="single"/>
              </w:rPr>
              <w:t>（投标人的报价明显低于其他投标报价或者低于成本警戒价，使得其投标报价可能低于其个别成本，并且投标人不能合理说明或者不能提供相关证明材料的，由评标委员会认定该投标人以低于成本报价竞标）；</w:t>
            </w: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4</w:t>
            </w:r>
          </w:p>
        </w:tc>
        <w:tc>
          <w:tcPr>
            <w:tcW w:w="814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算术复核后的投标报价与原投标报价相比存在</w:t>
            </w:r>
            <w:r>
              <w:rPr>
                <w:rFonts w:ascii="宋体" w:hAnsi="宋体"/>
                <w:color w:val="auto"/>
                <w:szCs w:val="21"/>
                <w:highlight w:val="none"/>
              </w:rPr>
              <w:t>1%</w:t>
            </w:r>
            <w:r>
              <w:rPr>
                <w:rFonts w:hint="eastAsia" w:ascii="宋体" w:hAnsi="宋体"/>
                <w:color w:val="auto"/>
                <w:szCs w:val="21"/>
                <w:highlight w:val="none"/>
              </w:rPr>
              <w:t>或以上误差的；</w:t>
            </w: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5</w:t>
            </w:r>
          </w:p>
        </w:tc>
        <w:tc>
          <w:tcPr>
            <w:tcW w:w="81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bCs/>
                <w:color w:val="auto"/>
                <w:szCs w:val="21"/>
                <w:highlight w:val="none"/>
              </w:rPr>
              <w:t>投标文件未按规定的格式填写，或主要内容</w:t>
            </w:r>
            <w:r>
              <w:rPr>
                <w:rFonts w:hint="eastAsia" w:ascii="宋体" w:hAnsi="宋体"/>
                <w:bCs/>
                <w:color w:val="auto"/>
                <w:szCs w:val="21"/>
                <w:highlight w:val="none"/>
                <w:u w:val="single"/>
              </w:rPr>
              <w:t>（指招标文件第一章第</w:t>
            </w:r>
            <w:r>
              <w:rPr>
                <w:rFonts w:ascii="宋体" w:hAnsi="宋体"/>
                <w:bCs/>
                <w:color w:val="auto"/>
                <w:szCs w:val="21"/>
                <w:highlight w:val="none"/>
                <w:u w:val="single"/>
              </w:rPr>
              <w:t>11条投标文件的组成规定内容中有关经济标的规定内容）</w:t>
            </w:r>
            <w:r>
              <w:rPr>
                <w:rFonts w:hint="eastAsia" w:ascii="宋体" w:hAnsi="宋体"/>
                <w:bCs/>
                <w:color w:val="auto"/>
                <w:szCs w:val="21"/>
                <w:highlight w:val="none"/>
              </w:rPr>
              <w:t>不全，或关键字迹模糊、无法辨认；</w:t>
            </w: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6</w:t>
            </w:r>
          </w:p>
        </w:tc>
        <w:tc>
          <w:tcPr>
            <w:tcW w:w="814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不同投标人的投标报价中分部分项工程量清单综合单价相似度达到</w:t>
            </w:r>
            <w:r>
              <w:rPr>
                <w:rFonts w:ascii="宋体" w:hAnsi="宋体"/>
                <w:color w:val="auto"/>
                <w:szCs w:val="21"/>
                <w:highlight w:val="none"/>
              </w:rPr>
              <w:t>80%及以上的(以</w:t>
            </w:r>
            <w:r>
              <w:rPr>
                <w:rFonts w:hint="eastAsia" w:ascii="宋体" w:hAnsi="宋体" w:cs="宋体"/>
                <w:color w:val="auto"/>
                <w:szCs w:val="21"/>
                <w:highlight w:val="none"/>
                <w:u w:val="single"/>
              </w:rPr>
              <w:t>广州交易集团有限公司（广州公共资源交易中心）</w:t>
            </w:r>
            <w:r>
              <w:rPr>
                <w:rFonts w:hint="eastAsia" w:ascii="宋体" w:hAnsi="宋体"/>
                <w:color w:val="auto"/>
                <w:szCs w:val="21"/>
                <w:highlight w:val="none"/>
              </w:rPr>
              <w:t>交易平台评标系统的检索信息为准</w:t>
            </w:r>
            <w:r>
              <w:rPr>
                <w:rFonts w:ascii="宋体" w:hAnsi="宋体"/>
                <w:color w:val="auto"/>
                <w:szCs w:val="21"/>
                <w:highlight w:val="none"/>
              </w:rPr>
              <w:t>)</w:t>
            </w:r>
            <w:r>
              <w:rPr>
                <w:rFonts w:hint="eastAsia" w:ascii="宋体" w:hAnsi="宋体"/>
                <w:color w:val="auto"/>
                <w:szCs w:val="21"/>
                <w:highlight w:val="none"/>
              </w:rPr>
              <w:t>；</w:t>
            </w: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7</w:t>
            </w:r>
          </w:p>
        </w:tc>
        <w:tc>
          <w:tcPr>
            <w:tcW w:w="814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投标人之间存在《广东省实施</w:t>
            </w:r>
            <w:r>
              <w:rPr>
                <w:rFonts w:ascii="宋体" w:hAnsi="宋体"/>
                <w:color w:val="auto"/>
                <w:szCs w:val="21"/>
                <w:highlight w:val="none"/>
              </w:rPr>
              <w:t>&lt;中华人民共和国招标投标法&gt;办法》第十六条所禁止的情形的；</w:t>
            </w: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8</w:t>
            </w:r>
          </w:p>
        </w:tc>
        <w:tc>
          <w:tcPr>
            <w:tcW w:w="814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无《参与编制经济标投标文件人员名单》的；</w:t>
            </w: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9</w:t>
            </w:r>
          </w:p>
        </w:tc>
        <w:tc>
          <w:tcPr>
            <w:tcW w:w="814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无《对投标文件编制的承诺》；</w:t>
            </w: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10</w:t>
            </w:r>
          </w:p>
        </w:tc>
        <w:tc>
          <w:tcPr>
            <w:tcW w:w="814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投标人与本项目其他投标人的投标文件工程量清单编制机器硬件信息一致的（以</w:t>
            </w:r>
            <w:r>
              <w:rPr>
                <w:rFonts w:hint="eastAsia" w:ascii="宋体" w:hAnsi="宋体" w:cs="宋体"/>
                <w:color w:val="auto"/>
                <w:szCs w:val="21"/>
                <w:highlight w:val="none"/>
                <w:u w:val="single"/>
              </w:rPr>
              <w:t>广州交易集团有限公司（广州公共资源交易中心）</w:t>
            </w:r>
            <w:r>
              <w:rPr>
                <w:rFonts w:hint="eastAsia" w:ascii="宋体" w:hAnsi="宋体"/>
                <w:color w:val="auto"/>
                <w:szCs w:val="21"/>
                <w:highlight w:val="none"/>
              </w:rPr>
              <w:t>交易平台评标系统的检索信息为准）；</w:t>
            </w: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92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bl>
    <w:p>
      <w:pPr>
        <w:ind w:firstLine="458"/>
        <w:rPr>
          <w:rFonts w:ascii="宋体" w:hAnsi="宋体"/>
          <w:color w:val="auto"/>
          <w:szCs w:val="21"/>
          <w:highlight w:val="none"/>
        </w:rPr>
      </w:pPr>
      <w:r>
        <w:rPr>
          <w:rFonts w:hint="eastAsia" w:ascii="宋体" w:hAnsi="宋体"/>
          <w:color w:val="auto"/>
          <w:szCs w:val="21"/>
          <w:highlight w:val="none"/>
        </w:rPr>
        <w:t>注：</w:t>
      </w:r>
      <w:r>
        <w:rPr>
          <w:rFonts w:ascii="宋体" w:hAnsi="宋体"/>
          <w:color w:val="auto"/>
          <w:szCs w:val="21"/>
          <w:highlight w:val="none"/>
        </w:rPr>
        <w:t>1.本表使用GZZB2018-3招标文件范本，与范本内容不同之处均以下划线标明。</w:t>
      </w:r>
    </w:p>
    <w:p>
      <w:pPr>
        <w:ind w:firstLine="458"/>
        <w:rPr>
          <w:rFonts w:ascii="宋体" w:hAnsi="宋体"/>
          <w:color w:val="auto"/>
          <w:szCs w:val="21"/>
          <w:highlight w:val="none"/>
        </w:rPr>
      </w:pPr>
      <w:r>
        <w:rPr>
          <w:rFonts w:ascii="宋体" w:hAnsi="宋体"/>
          <w:color w:val="auto"/>
          <w:szCs w:val="21"/>
          <w:highlight w:val="none"/>
        </w:rPr>
        <w:t>2.凡出现以上任何一项情形，结论均为无效，否则就为有效。</w:t>
      </w:r>
    </w:p>
    <w:p>
      <w:pPr>
        <w:ind w:firstLine="458"/>
        <w:rPr>
          <w:rFonts w:ascii="宋体" w:hAnsi="宋体"/>
          <w:color w:val="auto"/>
          <w:szCs w:val="21"/>
          <w:highlight w:val="none"/>
        </w:rPr>
      </w:pPr>
      <w:r>
        <w:rPr>
          <w:rFonts w:ascii="宋体" w:hAnsi="宋体"/>
          <w:color w:val="auto"/>
          <w:szCs w:val="21"/>
          <w:highlight w:val="none"/>
        </w:rPr>
        <w:t>3.如对本表中某种情形的评审意见不一致时，以评标委员会过半数成员的意见作为评标委员会对该情形的认定结论。</w:t>
      </w:r>
    </w:p>
    <w:p>
      <w:pPr>
        <w:ind w:firstLine="458"/>
        <w:rPr>
          <w:rFonts w:ascii="宋体" w:hAnsi="宋体"/>
          <w:color w:val="auto"/>
          <w:szCs w:val="21"/>
          <w:highlight w:val="none"/>
        </w:rPr>
      </w:pPr>
      <w:r>
        <w:rPr>
          <w:rFonts w:ascii="宋体" w:hAnsi="宋体"/>
          <w:color w:val="auto"/>
          <w:szCs w:val="21"/>
          <w:highlight w:val="none"/>
        </w:rPr>
        <w:t>4.不得将文件顺序、明显的文字错误等列为否决投标的情形。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ind w:firstLine="458"/>
        <w:rPr>
          <w:rFonts w:ascii="宋体" w:hAnsi="宋体" w:cs="宋体"/>
          <w:color w:val="auto"/>
          <w:szCs w:val="21"/>
          <w:highlight w:val="none"/>
        </w:rPr>
        <w:sectPr>
          <w:endnotePr>
            <w:numFmt w:val="decimal"/>
          </w:endnotePr>
          <w:pgSz w:w="16838" w:h="11906" w:orient="landscape"/>
          <w:pgMar w:top="1418" w:right="1247" w:bottom="1418" w:left="1134" w:header="851" w:footer="907" w:gutter="0"/>
          <w:pgNumType w:fmt="decimal"/>
          <w:cols w:space="720" w:num="1"/>
          <w:titlePg/>
          <w:docGrid w:type="lines" w:linePitch="312" w:charSpace="0"/>
        </w:sectPr>
      </w:pPr>
      <w:r>
        <w:rPr>
          <w:rFonts w:hint="eastAsia" w:ascii="宋体" w:hAnsi="宋体"/>
          <w:color w:val="auto"/>
          <w:szCs w:val="21"/>
          <w:highlight w:val="none"/>
        </w:rPr>
        <w:t>评委签名：</w:t>
      </w:r>
    </w:p>
    <w:p>
      <w:pPr>
        <w:pStyle w:val="6"/>
        <w:rPr>
          <w:color w:val="auto"/>
          <w:highlight w:val="none"/>
        </w:rPr>
      </w:pPr>
      <w:bookmarkStart w:id="107" w:name="_Toc112397823"/>
      <w:bookmarkStart w:id="108" w:name="_Toc9031"/>
      <w:bookmarkStart w:id="109" w:name="_Toc2598"/>
      <w:bookmarkStart w:id="110" w:name="_Toc24295"/>
      <w:bookmarkStart w:id="111" w:name="_Toc9965"/>
      <w:r>
        <w:rPr>
          <w:rFonts w:hint="eastAsia"/>
          <w:color w:val="auto"/>
          <w:highlight w:val="none"/>
        </w:rPr>
        <w:t>附表四</w:t>
      </w:r>
      <w:bookmarkEnd w:id="107"/>
      <w:bookmarkEnd w:id="108"/>
      <w:bookmarkEnd w:id="109"/>
      <w:bookmarkEnd w:id="110"/>
      <w:bookmarkEnd w:id="111"/>
    </w:p>
    <w:p>
      <w:pPr>
        <w:spacing w:line="360" w:lineRule="auto"/>
        <w:jc w:val="center"/>
        <w:rPr>
          <w:rFonts w:hint="eastAsia" w:ascii="宋体" w:hAnsi="宋体"/>
          <w:b/>
          <w:color w:val="auto"/>
          <w:sz w:val="36"/>
          <w:szCs w:val="36"/>
          <w:highlight w:val="none"/>
        </w:rPr>
      </w:pPr>
      <w:bookmarkStart w:id="112" w:name="_Toc23494909"/>
      <w:r>
        <w:rPr>
          <w:rFonts w:hint="eastAsia" w:ascii="宋体" w:hAnsi="宋体"/>
          <w:b/>
          <w:color w:val="auto"/>
          <w:sz w:val="36"/>
          <w:szCs w:val="36"/>
          <w:highlight w:val="none"/>
        </w:rPr>
        <w:t>技术标详细审查评分表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700"/>
        <w:gridCol w:w="1084"/>
        <w:gridCol w:w="582"/>
        <w:gridCol w:w="2837"/>
        <w:gridCol w:w="2837"/>
        <w:gridCol w:w="2837"/>
        <w:gridCol w:w="2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83" w:type="dxa"/>
            <w:vMerge w:val="restart"/>
            <w:vAlign w:val="center"/>
          </w:tcPr>
          <w:p>
            <w:pPr>
              <w:pStyle w:val="4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b w:val="0"/>
                <w:bCs/>
                <w:i w:val="0"/>
                <w:caps w:val="0"/>
                <w:color w:val="auto"/>
                <w:spacing w:val="0"/>
                <w:sz w:val="21"/>
                <w:szCs w:val="21"/>
                <w:highlight w:val="none"/>
                <w:u w:val="none"/>
                <w:shd w:val="clear" w:fill="FFFFFF"/>
                <w:vertAlign w:val="baseline"/>
              </w:rPr>
              <w:t>评分项目</w:t>
            </w:r>
          </w:p>
        </w:tc>
        <w:tc>
          <w:tcPr>
            <w:tcW w:w="1784" w:type="dxa"/>
            <w:gridSpan w:val="2"/>
            <w:vMerge w:val="restart"/>
            <w:vAlign w:val="center"/>
          </w:tcPr>
          <w:p>
            <w:pPr>
              <w:pStyle w:val="4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b w:val="0"/>
                <w:bCs/>
                <w:i w:val="0"/>
                <w:caps w:val="0"/>
                <w:color w:val="auto"/>
                <w:spacing w:val="0"/>
                <w:sz w:val="21"/>
                <w:szCs w:val="21"/>
                <w:highlight w:val="none"/>
                <w:u w:val="none"/>
                <w:shd w:val="clear" w:fill="FFFFFF"/>
                <w:vertAlign w:val="baseline"/>
              </w:rPr>
              <w:t>评分内容</w:t>
            </w:r>
          </w:p>
        </w:tc>
        <w:tc>
          <w:tcPr>
            <w:tcW w:w="582" w:type="dxa"/>
            <w:vMerge w:val="restart"/>
            <w:vAlign w:val="center"/>
          </w:tcPr>
          <w:p>
            <w:pPr>
              <w:pStyle w:val="4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b w:val="0"/>
                <w:bCs/>
                <w:i w:val="0"/>
                <w:caps w:val="0"/>
                <w:color w:val="auto"/>
                <w:spacing w:val="0"/>
                <w:sz w:val="21"/>
                <w:szCs w:val="21"/>
                <w:highlight w:val="none"/>
                <w:u w:val="none"/>
                <w:shd w:val="clear" w:fill="FFFFFF"/>
                <w:vertAlign w:val="baseline"/>
              </w:rPr>
              <w:t>分值</w:t>
            </w:r>
          </w:p>
        </w:tc>
        <w:tc>
          <w:tcPr>
            <w:tcW w:w="11350" w:type="dxa"/>
            <w:gridSpan w:val="4"/>
            <w:vAlign w:val="center"/>
          </w:tcPr>
          <w:p>
            <w:pPr>
              <w:pStyle w:val="4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eastAsia" w:ascii="宋体" w:hAnsi="宋体" w:eastAsia="宋体" w:cs="宋体"/>
                <w:b/>
                <w:bCs w:val="0"/>
                <w:i w:val="0"/>
                <w:caps w:val="0"/>
                <w:color w:val="auto"/>
                <w:spacing w:val="0"/>
                <w:sz w:val="21"/>
                <w:szCs w:val="21"/>
                <w:highlight w:val="none"/>
                <w:u w:val="none"/>
                <w:shd w:val="clear" w:fill="FFFFFF"/>
                <w:vertAlign w:val="baseline"/>
              </w:rPr>
            </w:pPr>
            <w:r>
              <w:rPr>
                <w:rFonts w:hint="eastAsia" w:ascii="宋体" w:hAnsi="宋体" w:eastAsia="宋体" w:cs="宋体"/>
                <w:b/>
                <w:bCs w:val="0"/>
                <w:i w:val="0"/>
                <w:caps w:val="0"/>
                <w:color w:val="auto"/>
                <w:spacing w:val="0"/>
                <w:sz w:val="21"/>
                <w:szCs w:val="21"/>
                <w:highlight w:val="none"/>
                <w:u w:val="none"/>
                <w:shd w:val="clear" w:fill="FFFFFF"/>
                <w:vertAlign w:val="baseli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83" w:type="dxa"/>
            <w:vMerge w:val="continue"/>
          </w:tcPr>
          <w:p>
            <w:pPr>
              <w:pStyle w:val="4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p>
        </w:tc>
        <w:tc>
          <w:tcPr>
            <w:tcW w:w="1784" w:type="dxa"/>
            <w:gridSpan w:val="2"/>
            <w:vMerge w:val="continue"/>
          </w:tcPr>
          <w:p>
            <w:pPr>
              <w:pStyle w:val="4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p>
        </w:tc>
        <w:tc>
          <w:tcPr>
            <w:tcW w:w="582" w:type="dxa"/>
            <w:vMerge w:val="continue"/>
          </w:tcPr>
          <w:p>
            <w:pPr>
              <w:pStyle w:val="4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p>
        </w:tc>
        <w:tc>
          <w:tcPr>
            <w:tcW w:w="2837" w:type="dxa"/>
            <w:vAlign w:val="center"/>
          </w:tcPr>
          <w:p>
            <w:pPr>
              <w:pStyle w:val="284"/>
              <w:keepNext w:val="0"/>
              <w:keepLines w:val="0"/>
              <w:pageBreakBefore w:val="0"/>
              <w:widowControl w:val="0"/>
              <w:kinsoku/>
              <w:wordWrap/>
              <w:overflowPunct/>
              <w:topLinePunct w:val="0"/>
              <w:autoSpaceDE/>
              <w:autoSpaceDN/>
              <w:bidi w:val="0"/>
              <w:adjustRightInd/>
              <w:snapToGrid/>
              <w:spacing w:line="320" w:lineRule="exact"/>
              <w:ind w:firstLine="422" w:firstLineChars="200"/>
              <w:jc w:val="center"/>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b/>
                <w:bCs/>
                <w:color w:val="auto"/>
                <w:sz w:val="21"/>
                <w:szCs w:val="21"/>
                <w:highlight w:val="none"/>
              </w:rPr>
              <w:t>优</w:t>
            </w:r>
          </w:p>
        </w:tc>
        <w:tc>
          <w:tcPr>
            <w:tcW w:w="2837" w:type="dxa"/>
            <w:vAlign w:val="center"/>
          </w:tcPr>
          <w:p>
            <w:pPr>
              <w:pStyle w:val="284"/>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b/>
                <w:bCs/>
                <w:color w:val="auto"/>
                <w:sz w:val="21"/>
                <w:szCs w:val="21"/>
                <w:highlight w:val="none"/>
              </w:rPr>
              <w:t>良</w:t>
            </w:r>
          </w:p>
        </w:tc>
        <w:tc>
          <w:tcPr>
            <w:tcW w:w="2837" w:type="dxa"/>
            <w:vAlign w:val="center"/>
          </w:tcPr>
          <w:p>
            <w:pPr>
              <w:pStyle w:val="284"/>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b/>
                <w:bCs/>
                <w:color w:val="auto"/>
                <w:sz w:val="21"/>
                <w:szCs w:val="21"/>
                <w:highlight w:val="none"/>
              </w:rPr>
              <w:t>一般</w:t>
            </w:r>
          </w:p>
        </w:tc>
        <w:tc>
          <w:tcPr>
            <w:tcW w:w="2839" w:type="dxa"/>
            <w:vAlign w:val="center"/>
          </w:tcPr>
          <w:p>
            <w:pPr>
              <w:pStyle w:val="284"/>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b/>
                <w:bCs/>
                <w:color w:val="auto"/>
                <w:sz w:val="21"/>
                <w:szCs w:val="21"/>
                <w:highlight w:val="none"/>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83" w:type="dxa"/>
            <w:vMerge w:val="restart"/>
            <w:vAlign w:val="center"/>
          </w:tcPr>
          <w:p>
            <w:pPr>
              <w:pStyle w:val="4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rPr>
              <w:t>一、施工组织设计（30分）</w:t>
            </w:r>
          </w:p>
        </w:tc>
        <w:tc>
          <w:tcPr>
            <w:tcW w:w="1784" w:type="dxa"/>
            <w:gridSpan w:val="2"/>
            <w:vAlign w:val="center"/>
          </w:tcPr>
          <w:p>
            <w:pPr>
              <w:pStyle w:val="284"/>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rPr>
              <w:t>对工程重点、难点的分析及对策</w:t>
            </w:r>
          </w:p>
        </w:tc>
        <w:tc>
          <w:tcPr>
            <w:tcW w:w="582" w:type="dxa"/>
            <w:vAlign w:val="center"/>
          </w:tcPr>
          <w:p>
            <w:pPr>
              <w:pStyle w:val="284"/>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lang w:val="en-US" w:eastAsia="zh-CN"/>
              </w:rPr>
              <w:t>3</w:t>
            </w:r>
          </w:p>
        </w:tc>
        <w:tc>
          <w:tcPr>
            <w:tcW w:w="283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Cs w:val="21"/>
                <w:highlight w:val="none"/>
                <w:u w:val="none"/>
              </w:rPr>
              <w:t>依据工程特点制定专项施工方案，对本项目工程重点、难点分析透切，制定的相应对策针对性强，可行性高，得</w:t>
            </w:r>
            <w:r>
              <w:rPr>
                <w:rFonts w:hint="eastAsia" w:ascii="宋体" w:hAnsi="宋体" w:eastAsia="宋体" w:cs="宋体"/>
                <w:color w:val="auto"/>
                <w:szCs w:val="21"/>
                <w:highlight w:val="none"/>
                <w:u w:val="none"/>
                <w:lang w:val="en-US" w:eastAsia="zh-CN"/>
              </w:rPr>
              <w:t>3</w:t>
            </w:r>
            <w:r>
              <w:rPr>
                <w:rFonts w:hint="eastAsia" w:ascii="宋体" w:hAnsi="宋体" w:eastAsia="宋体" w:cs="宋体"/>
                <w:color w:val="auto"/>
                <w:szCs w:val="21"/>
                <w:highlight w:val="none"/>
                <w:u w:val="none"/>
              </w:rPr>
              <w:t>分。</w:t>
            </w:r>
          </w:p>
        </w:tc>
        <w:tc>
          <w:tcPr>
            <w:tcW w:w="283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Cs w:val="21"/>
                <w:highlight w:val="none"/>
                <w:u w:val="none"/>
              </w:rPr>
              <w:t>依据工程特点制定专项施工方案，对本项目工程重点、难点分析</w:t>
            </w:r>
            <w:r>
              <w:rPr>
                <w:rFonts w:hint="eastAsia" w:ascii="宋体" w:hAnsi="宋体" w:eastAsia="宋体" w:cs="宋体"/>
                <w:color w:val="auto"/>
                <w:szCs w:val="21"/>
                <w:highlight w:val="none"/>
                <w:u w:val="none"/>
                <w:lang w:eastAsia="zh-CN"/>
              </w:rPr>
              <w:t>较</w:t>
            </w:r>
            <w:r>
              <w:rPr>
                <w:rFonts w:hint="eastAsia" w:ascii="宋体" w:hAnsi="宋体" w:eastAsia="宋体" w:cs="宋体"/>
                <w:color w:val="auto"/>
                <w:szCs w:val="21"/>
                <w:highlight w:val="none"/>
                <w:u w:val="none"/>
              </w:rPr>
              <w:t>透切，制定的相应对策针对性较强，可行性较高，得</w:t>
            </w:r>
            <w:r>
              <w:rPr>
                <w:rFonts w:hint="eastAsia" w:ascii="宋体" w:hAnsi="宋体" w:eastAsia="宋体" w:cs="宋体"/>
                <w:color w:val="auto"/>
                <w:szCs w:val="21"/>
                <w:highlight w:val="none"/>
                <w:u w:val="none"/>
                <w:lang w:val="en-US" w:eastAsia="zh-CN"/>
              </w:rPr>
              <w:t>2</w:t>
            </w:r>
            <w:r>
              <w:rPr>
                <w:rFonts w:hint="eastAsia" w:ascii="宋体" w:hAnsi="宋体" w:eastAsia="宋体" w:cs="宋体"/>
                <w:color w:val="auto"/>
                <w:szCs w:val="21"/>
                <w:highlight w:val="none"/>
                <w:u w:val="none"/>
              </w:rPr>
              <w:t>分。</w:t>
            </w:r>
          </w:p>
        </w:tc>
        <w:tc>
          <w:tcPr>
            <w:tcW w:w="283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Cs w:val="21"/>
                <w:highlight w:val="none"/>
                <w:u w:val="none"/>
              </w:rPr>
              <w:t>依据工程特点制定专项施工方案，对本项目工程重点、难点分析</w:t>
            </w:r>
            <w:r>
              <w:rPr>
                <w:rFonts w:hint="eastAsia" w:ascii="宋体" w:hAnsi="宋体" w:eastAsia="宋体" w:cs="宋体"/>
                <w:color w:val="auto"/>
                <w:szCs w:val="21"/>
                <w:highlight w:val="none"/>
                <w:u w:val="none"/>
                <w:lang w:eastAsia="zh-CN"/>
              </w:rPr>
              <w:t>一般</w:t>
            </w:r>
            <w:r>
              <w:rPr>
                <w:rFonts w:hint="eastAsia" w:ascii="宋体" w:hAnsi="宋体" w:eastAsia="宋体" w:cs="宋体"/>
                <w:color w:val="auto"/>
                <w:szCs w:val="21"/>
                <w:highlight w:val="none"/>
                <w:u w:val="none"/>
              </w:rPr>
              <w:t>，制定的相应对策针对性一般，</w:t>
            </w:r>
            <w:r>
              <w:rPr>
                <w:rFonts w:hint="eastAsia" w:ascii="宋体" w:hAnsi="宋体" w:eastAsia="宋体" w:cs="宋体"/>
                <w:color w:val="auto"/>
                <w:szCs w:val="21"/>
                <w:highlight w:val="none"/>
                <w:u w:val="none"/>
                <w:lang w:eastAsia="zh-CN"/>
              </w:rPr>
              <w:t>基本</w:t>
            </w:r>
            <w:r>
              <w:rPr>
                <w:rFonts w:hint="eastAsia" w:ascii="宋体" w:hAnsi="宋体" w:eastAsia="宋体" w:cs="宋体"/>
                <w:color w:val="auto"/>
                <w:szCs w:val="21"/>
                <w:highlight w:val="none"/>
                <w:u w:val="none"/>
              </w:rPr>
              <w:t>可行，得</w:t>
            </w:r>
            <w:r>
              <w:rPr>
                <w:rFonts w:hint="eastAsia" w:ascii="宋体" w:hAnsi="宋体" w:eastAsia="宋体" w:cs="宋体"/>
                <w:color w:val="auto"/>
                <w:szCs w:val="21"/>
                <w:highlight w:val="none"/>
                <w:u w:val="none"/>
                <w:lang w:val="en-US" w:eastAsia="zh-CN"/>
              </w:rPr>
              <w:t>1</w:t>
            </w:r>
            <w:r>
              <w:rPr>
                <w:rFonts w:hint="eastAsia" w:ascii="宋体" w:hAnsi="宋体" w:eastAsia="宋体" w:cs="宋体"/>
                <w:color w:val="auto"/>
                <w:szCs w:val="21"/>
                <w:highlight w:val="none"/>
                <w:u w:val="none"/>
              </w:rPr>
              <w:t>分。</w:t>
            </w:r>
          </w:p>
        </w:tc>
        <w:tc>
          <w:tcPr>
            <w:tcW w:w="2839" w:type="dxa"/>
            <w:vAlign w:val="center"/>
          </w:tcPr>
          <w:p>
            <w:pPr>
              <w:pStyle w:val="284"/>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u w:val="none"/>
              </w:rPr>
              <w:t>不满足前述要求者，得0分。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83" w:type="dxa"/>
            <w:vMerge w:val="continue"/>
          </w:tcPr>
          <w:p>
            <w:pPr>
              <w:pStyle w:val="4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p>
        </w:tc>
        <w:tc>
          <w:tcPr>
            <w:tcW w:w="1784" w:type="dxa"/>
            <w:gridSpan w:val="2"/>
            <w:vAlign w:val="center"/>
          </w:tcPr>
          <w:p>
            <w:pPr>
              <w:pStyle w:val="284"/>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rPr>
              <w:t>施工组织方案与技术措施</w:t>
            </w:r>
          </w:p>
        </w:tc>
        <w:tc>
          <w:tcPr>
            <w:tcW w:w="582" w:type="dxa"/>
            <w:vAlign w:val="center"/>
          </w:tcPr>
          <w:p>
            <w:pPr>
              <w:pStyle w:val="284"/>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rPr>
              <w:t>6</w:t>
            </w:r>
          </w:p>
        </w:tc>
        <w:tc>
          <w:tcPr>
            <w:tcW w:w="283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kern w:val="0"/>
                <w:szCs w:val="21"/>
                <w:highlight w:val="none"/>
                <w:u w:val="none"/>
              </w:rPr>
              <w:t>施工组织方案及施工方法先进，工程重点难点、施工关键技术工艺把握及应用准确，技术措施可以充分保障工程质量、工期和施工安全生产，得</w:t>
            </w:r>
            <w:r>
              <w:rPr>
                <w:rFonts w:hint="eastAsia" w:ascii="宋体" w:hAnsi="宋体" w:eastAsia="宋体" w:cs="宋体"/>
                <w:color w:val="auto"/>
                <w:szCs w:val="21"/>
                <w:highlight w:val="none"/>
                <w:u w:val="none"/>
              </w:rPr>
              <w:t>6</w:t>
            </w:r>
            <w:r>
              <w:rPr>
                <w:rFonts w:hint="eastAsia" w:ascii="宋体" w:hAnsi="宋体" w:eastAsia="宋体" w:cs="宋体"/>
                <w:color w:val="auto"/>
                <w:kern w:val="0"/>
                <w:szCs w:val="21"/>
                <w:highlight w:val="none"/>
                <w:u w:val="none"/>
              </w:rPr>
              <w:t>分。</w:t>
            </w:r>
          </w:p>
        </w:tc>
        <w:tc>
          <w:tcPr>
            <w:tcW w:w="283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kern w:val="0"/>
                <w:szCs w:val="21"/>
                <w:highlight w:val="none"/>
                <w:u w:val="none"/>
              </w:rPr>
              <w:t>施工组织方案及施工方法较好，工程重点难点、施工关键技术工艺把握及应用较好，技术措施</w:t>
            </w:r>
            <w:r>
              <w:rPr>
                <w:rFonts w:hint="eastAsia" w:ascii="宋体" w:hAnsi="宋体" w:eastAsia="宋体" w:cs="宋体"/>
                <w:color w:val="auto"/>
                <w:kern w:val="0"/>
                <w:szCs w:val="21"/>
                <w:highlight w:val="none"/>
                <w:u w:val="none"/>
                <w:lang w:eastAsia="zh-CN"/>
              </w:rPr>
              <w:t>较</w:t>
            </w:r>
            <w:r>
              <w:rPr>
                <w:rFonts w:hint="eastAsia" w:ascii="宋体" w:hAnsi="宋体" w:eastAsia="宋体" w:cs="宋体"/>
                <w:color w:val="auto"/>
                <w:kern w:val="0"/>
                <w:szCs w:val="21"/>
                <w:highlight w:val="none"/>
                <w:u w:val="none"/>
              </w:rPr>
              <w:t>能保障工程质量、工期和施工安全生产，得</w:t>
            </w:r>
            <w:r>
              <w:rPr>
                <w:rFonts w:hint="eastAsia" w:ascii="宋体" w:hAnsi="宋体" w:eastAsia="宋体" w:cs="宋体"/>
                <w:color w:val="auto"/>
                <w:szCs w:val="21"/>
                <w:highlight w:val="none"/>
                <w:u w:val="none"/>
              </w:rPr>
              <w:t>4</w:t>
            </w:r>
            <w:r>
              <w:rPr>
                <w:rFonts w:hint="eastAsia" w:ascii="宋体" w:hAnsi="宋体" w:eastAsia="宋体" w:cs="宋体"/>
                <w:color w:val="auto"/>
                <w:kern w:val="0"/>
                <w:szCs w:val="21"/>
                <w:highlight w:val="none"/>
                <w:u w:val="none"/>
              </w:rPr>
              <w:t>分。</w:t>
            </w:r>
          </w:p>
        </w:tc>
        <w:tc>
          <w:tcPr>
            <w:tcW w:w="283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Cs w:val="21"/>
                <w:highlight w:val="none"/>
                <w:u w:val="none"/>
              </w:rPr>
              <w:t>施工组织方案或施工方法一般，工程重点难点、施工关键技术工艺把握及应用基本可行，技术措施基本</w:t>
            </w:r>
            <w:r>
              <w:rPr>
                <w:rFonts w:hint="eastAsia" w:ascii="宋体" w:hAnsi="宋体" w:eastAsia="宋体" w:cs="宋体"/>
                <w:color w:val="auto"/>
                <w:szCs w:val="21"/>
                <w:highlight w:val="none"/>
                <w:u w:val="none"/>
                <w:lang w:eastAsia="zh-CN"/>
              </w:rPr>
              <w:t>能</w:t>
            </w:r>
            <w:r>
              <w:rPr>
                <w:rFonts w:hint="eastAsia" w:ascii="宋体" w:hAnsi="宋体" w:eastAsia="宋体" w:cs="宋体"/>
                <w:color w:val="auto"/>
                <w:szCs w:val="21"/>
                <w:highlight w:val="none"/>
                <w:u w:val="none"/>
              </w:rPr>
              <w:t>保障工程质量、工期和施工安全生产，得2分。</w:t>
            </w:r>
          </w:p>
        </w:tc>
        <w:tc>
          <w:tcPr>
            <w:tcW w:w="2839" w:type="dxa"/>
            <w:vAlign w:val="center"/>
          </w:tcPr>
          <w:p>
            <w:pPr>
              <w:pStyle w:val="284"/>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u w:val="none"/>
              </w:rPr>
              <w:t>不满足前述要求者，得0分。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83" w:type="dxa"/>
            <w:vMerge w:val="continue"/>
          </w:tcPr>
          <w:p>
            <w:pPr>
              <w:pStyle w:val="4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p>
        </w:tc>
        <w:tc>
          <w:tcPr>
            <w:tcW w:w="1784" w:type="dxa"/>
            <w:gridSpan w:val="2"/>
            <w:vAlign w:val="center"/>
          </w:tcPr>
          <w:p>
            <w:pPr>
              <w:pStyle w:val="284"/>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rPr>
              <w:t>施工总进度计划</w:t>
            </w:r>
          </w:p>
        </w:tc>
        <w:tc>
          <w:tcPr>
            <w:tcW w:w="582" w:type="dxa"/>
            <w:vAlign w:val="center"/>
          </w:tcPr>
          <w:p>
            <w:pPr>
              <w:pStyle w:val="284"/>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lang w:val="en-US" w:eastAsia="zh-CN"/>
              </w:rPr>
              <w:t>3</w:t>
            </w:r>
          </w:p>
        </w:tc>
        <w:tc>
          <w:tcPr>
            <w:tcW w:w="2837" w:type="dxa"/>
            <w:vAlign w:val="center"/>
          </w:tcPr>
          <w:p>
            <w:pPr>
              <w:pStyle w:val="284"/>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u w:val="none"/>
              </w:rPr>
              <w:t>施工总进度计划逻辑性强、合理</w:t>
            </w:r>
            <w:r>
              <w:rPr>
                <w:rFonts w:hint="eastAsia" w:ascii="宋体" w:hAnsi="宋体" w:eastAsia="宋体" w:cs="宋体"/>
                <w:color w:val="auto"/>
                <w:sz w:val="21"/>
                <w:szCs w:val="21"/>
                <w:highlight w:val="none"/>
                <w:u w:val="none"/>
                <w:lang w:eastAsia="zh-CN"/>
              </w:rPr>
              <w:t>、可行</w:t>
            </w:r>
            <w:r>
              <w:rPr>
                <w:rFonts w:hint="eastAsia" w:ascii="宋体" w:hAnsi="宋体" w:eastAsia="宋体" w:cs="宋体"/>
                <w:color w:val="auto"/>
                <w:sz w:val="21"/>
                <w:szCs w:val="21"/>
                <w:highlight w:val="none"/>
                <w:u w:val="none"/>
              </w:rPr>
              <w:t>，保证措施明确具体，得</w:t>
            </w:r>
            <w:r>
              <w:rPr>
                <w:rFonts w:hint="eastAsia" w:ascii="宋体" w:hAnsi="宋体" w:eastAsia="宋体" w:cs="宋体"/>
                <w:color w:val="auto"/>
                <w:kern w:val="2"/>
                <w:sz w:val="21"/>
                <w:szCs w:val="21"/>
                <w:highlight w:val="none"/>
                <w:u w:val="none"/>
                <w:lang w:val="en-US" w:eastAsia="zh-CN"/>
              </w:rPr>
              <w:t>3</w:t>
            </w:r>
            <w:r>
              <w:rPr>
                <w:rFonts w:hint="eastAsia" w:ascii="宋体" w:hAnsi="宋体" w:eastAsia="宋体" w:cs="宋体"/>
                <w:color w:val="auto"/>
                <w:sz w:val="21"/>
                <w:szCs w:val="21"/>
                <w:highlight w:val="none"/>
                <w:u w:val="none"/>
              </w:rPr>
              <w:t>分。</w:t>
            </w:r>
          </w:p>
        </w:tc>
        <w:tc>
          <w:tcPr>
            <w:tcW w:w="2837" w:type="dxa"/>
            <w:vAlign w:val="center"/>
          </w:tcPr>
          <w:p>
            <w:pPr>
              <w:pStyle w:val="284"/>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u w:val="none"/>
              </w:rPr>
              <w:t>施工总进度计划逻辑性较强、较合理</w:t>
            </w:r>
            <w:r>
              <w:rPr>
                <w:rFonts w:hint="eastAsia" w:ascii="宋体" w:hAnsi="宋体" w:eastAsia="宋体" w:cs="宋体"/>
                <w:color w:val="auto"/>
                <w:sz w:val="21"/>
                <w:szCs w:val="21"/>
                <w:highlight w:val="none"/>
                <w:u w:val="none"/>
                <w:lang w:eastAsia="zh-CN"/>
              </w:rPr>
              <w:t>可行</w:t>
            </w:r>
            <w:r>
              <w:rPr>
                <w:rFonts w:hint="eastAsia" w:ascii="宋体" w:hAnsi="宋体" w:eastAsia="宋体" w:cs="宋体"/>
                <w:color w:val="auto"/>
                <w:sz w:val="21"/>
                <w:szCs w:val="21"/>
                <w:highlight w:val="none"/>
                <w:u w:val="none"/>
              </w:rPr>
              <w:t>，有保证措施，得</w:t>
            </w:r>
            <w:r>
              <w:rPr>
                <w:rFonts w:hint="eastAsia" w:ascii="宋体" w:hAnsi="宋体" w:eastAsia="宋体" w:cs="宋体"/>
                <w:color w:val="auto"/>
                <w:kern w:val="2"/>
                <w:sz w:val="21"/>
                <w:szCs w:val="21"/>
                <w:highlight w:val="none"/>
                <w:u w:val="none"/>
                <w:lang w:val="en-US" w:eastAsia="zh-CN"/>
              </w:rPr>
              <w:t>2</w:t>
            </w:r>
            <w:r>
              <w:rPr>
                <w:rFonts w:hint="eastAsia" w:ascii="宋体" w:hAnsi="宋体" w:eastAsia="宋体" w:cs="宋体"/>
                <w:color w:val="auto"/>
                <w:sz w:val="21"/>
                <w:szCs w:val="21"/>
                <w:highlight w:val="none"/>
                <w:u w:val="none"/>
              </w:rPr>
              <w:t>分。</w:t>
            </w:r>
          </w:p>
        </w:tc>
        <w:tc>
          <w:tcPr>
            <w:tcW w:w="283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kern w:val="0"/>
                <w:szCs w:val="21"/>
                <w:highlight w:val="none"/>
                <w:u w:val="none"/>
              </w:rPr>
              <w:t>施工总进度计划逻辑性一般、</w:t>
            </w:r>
            <w:r>
              <w:rPr>
                <w:rFonts w:hint="eastAsia" w:ascii="宋体" w:hAnsi="宋体" w:eastAsia="宋体" w:cs="宋体"/>
                <w:color w:val="auto"/>
                <w:kern w:val="0"/>
                <w:szCs w:val="21"/>
                <w:highlight w:val="none"/>
                <w:u w:val="none"/>
                <w:lang w:eastAsia="zh-CN"/>
              </w:rPr>
              <w:t>基本</w:t>
            </w:r>
            <w:r>
              <w:rPr>
                <w:rFonts w:hint="eastAsia" w:ascii="宋体" w:hAnsi="宋体" w:eastAsia="宋体" w:cs="宋体"/>
                <w:color w:val="auto"/>
                <w:kern w:val="0"/>
                <w:szCs w:val="21"/>
                <w:highlight w:val="none"/>
                <w:u w:val="none"/>
              </w:rPr>
              <w:t>合理</w:t>
            </w:r>
            <w:r>
              <w:rPr>
                <w:rFonts w:hint="eastAsia" w:ascii="宋体" w:hAnsi="宋体" w:eastAsia="宋体" w:cs="宋体"/>
                <w:color w:val="auto"/>
                <w:kern w:val="0"/>
                <w:szCs w:val="21"/>
                <w:highlight w:val="none"/>
                <w:u w:val="none"/>
                <w:lang w:eastAsia="zh-CN"/>
              </w:rPr>
              <w:t>可行</w:t>
            </w:r>
            <w:r>
              <w:rPr>
                <w:rFonts w:hint="eastAsia" w:ascii="宋体" w:hAnsi="宋体" w:eastAsia="宋体" w:cs="宋体"/>
                <w:color w:val="auto"/>
                <w:kern w:val="0"/>
                <w:szCs w:val="21"/>
                <w:highlight w:val="none"/>
                <w:u w:val="none"/>
              </w:rPr>
              <w:t>，得</w:t>
            </w:r>
            <w:r>
              <w:rPr>
                <w:rFonts w:hint="eastAsia" w:ascii="宋体" w:hAnsi="宋体" w:eastAsia="宋体" w:cs="宋体"/>
                <w:color w:val="auto"/>
                <w:szCs w:val="21"/>
                <w:highlight w:val="none"/>
                <w:u w:val="none"/>
                <w:lang w:val="en-US" w:eastAsia="zh-CN"/>
              </w:rPr>
              <w:t>1</w:t>
            </w:r>
            <w:r>
              <w:rPr>
                <w:rFonts w:hint="eastAsia" w:ascii="宋体" w:hAnsi="宋体" w:eastAsia="宋体" w:cs="宋体"/>
                <w:color w:val="auto"/>
                <w:kern w:val="0"/>
                <w:szCs w:val="21"/>
                <w:highlight w:val="none"/>
                <w:u w:val="none"/>
              </w:rPr>
              <w:t>分。</w:t>
            </w:r>
          </w:p>
        </w:tc>
        <w:tc>
          <w:tcPr>
            <w:tcW w:w="2839" w:type="dxa"/>
            <w:vAlign w:val="center"/>
          </w:tcPr>
          <w:p>
            <w:pPr>
              <w:pStyle w:val="284"/>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u w:val="none"/>
              </w:rPr>
              <w:t>不满足前述要求者，得0分。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83" w:type="dxa"/>
            <w:vMerge w:val="continue"/>
          </w:tcPr>
          <w:p>
            <w:pPr>
              <w:pStyle w:val="4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p>
        </w:tc>
        <w:tc>
          <w:tcPr>
            <w:tcW w:w="1784" w:type="dxa"/>
            <w:gridSpan w:val="2"/>
            <w:vAlign w:val="center"/>
          </w:tcPr>
          <w:p>
            <w:pPr>
              <w:pStyle w:val="284"/>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rPr>
              <w:t>资源供应计划</w:t>
            </w:r>
          </w:p>
        </w:tc>
        <w:tc>
          <w:tcPr>
            <w:tcW w:w="582" w:type="dxa"/>
            <w:vAlign w:val="center"/>
          </w:tcPr>
          <w:p>
            <w:pPr>
              <w:pStyle w:val="284"/>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lang w:val="en-US" w:eastAsia="zh-CN"/>
              </w:rPr>
              <w:t>3</w:t>
            </w:r>
          </w:p>
        </w:tc>
        <w:tc>
          <w:tcPr>
            <w:tcW w:w="283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Cs w:val="21"/>
                <w:highlight w:val="none"/>
                <w:u w:val="none"/>
                <w:lang w:eastAsia="zh-CN"/>
              </w:rPr>
              <w:t>有</w:t>
            </w:r>
            <w:r>
              <w:rPr>
                <w:rFonts w:hint="eastAsia" w:ascii="宋体" w:hAnsi="宋体" w:eastAsia="宋体" w:cs="宋体"/>
                <w:color w:val="auto"/>
                <w:szCs w:val="21"/>
                <w:highlight w:val="none"/>
                <w:u w:val="none"/>
              </w:rPr>
              <w:t>劳动力需求计划及保障措施、机械设备需求计划及保障措施</w:t>
            </w:r>
            <w:r>
              <w:rPr>
                <w:rFonts w:hint="eastAsia" w:ascii="宋体" w:hAnsi="宋体" w:eastAsia="宋体" w:cs="宋体"/>
                <w:color w:val="auto"/>
                <w:szCs w:val="21"/>
                <w:highlight w:val="none"/>
                <w:u w:val="none"/>
                <w:lang w:eastAsia="zh-CN"/>
              </w:rPr>
              <w:t>和</w:t>
            </w:r>
            <w:r>
              <w:rPr>
                <w:rFonts w:hint="eastAsia" w:ascii="宋体" w:hAnsi="宋体" w:eastAsia="宋体" w:cs="宋体"/>
                <w:color w:val="auto"/>
                <w:szCs w:val="21"/>
                <w:highlight w:val="none"/>
                <w:u w:val="none"/>
              </w:rPr>
              <w:t>材料需求计划及保障措施，</w:t>
            </w:r>
            <w:r>
              <w:rPr>
                <w:rFonts w:hint="eastAsia" w:ascii="宋体" w:hAnsi="宋体" w:eastAsia="宋体" w:cs="宋体"/>
                <w:color w:val="auto"/>
                <w:szCs w:val="21"/>
                <w:highlight w:val="none"/>
                <w:u w:val="none"/>
                <w:lang w:eastAsia="zh-CN"/>
              </w:rPr>
              <w:t>措施合理、可行</w:t>
            </w:r>
            <w:r>
              <w:rPr>
                <w:rFonts w:hint="eastAsia" w:ascii="宋体" w:hAnsi="宋体" w:eastAsia="宋体" w:cs="宋体"/>
                <w:color w:val="auto"/>
                <w:szCs w:val="21"/>
                <w:highlight w:val="none"/>
                <w:u w:val="none"/>
              </w:rPr>
              <w:t>得</w:t>
            </w:r>
            <w:r>
              <w:rPr>
                <w:rFonts w:hint="eastAsia" w:ascii="宋体" w:hAnsi="宋体" w:eastAsia="宋体" w:cs="宋体"/>
                <w:color w:val="auto"/>
                <w:szCs w:val="21"/>
                <w:highlight w:val="none"/>
                <w:u w:val="none"/>
                <w:lang w:val="en-US" w:eastAsia="zh-CN"/>
              </w:rPr>
              <w:t>3</w:t>
            </w:r>
            <w:r>
              <w:rPr>
                <w:rFonts w:hint="eastAsia" w:ascii="宋体" w:hAnsi="宋体" w:eastAsia="宋体" w:cs="宋体"/>
                <w:color w:val="auto"/>
                <w:szCs w:val="21"/>
                <w:highlight w:val="none"/>
                <w:u w:val="none"/>
              </w:rPr>
              <w:t>分。</w:t>
            </w:r>
          </w:p>
        </w:tc>
        <w:tc>
          <w:tcPr>
            <w:tcW w:w="283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Cs w:val="21"/>
                <w:highlight w:val="none"/>
                <w:u w:val="none"/>
                <w:lang w:eastAsia="zh-CN"/>
              </w:rPr>
              <w:t>有</w:t>
            </w:r>
            <w:r>
              <w:rPr>
                <w:rFonts w:hint="eastAsia" w:ascii="宋体" w:hAnsi="宋体" w:eastAsia="宋体" w:cs="宋体"/>
                <w:color w:val="auto"/>
                <w:szCs w:val="21"/>
                <w:highlight w:val="none"/>
                <w:u w:val="none"/>
              </w:rPr>
              <w:t>劳动力需求计划及保障措施、机械设备需求计划及保障措施</w:t>
            </w:r>
            <w:r>
              <w:rPr>
                <w:rFonts w:hint="eastAsia" w:ascii="宋体" w:hAnsi="宋体" w:eastAsia="宋体" w:cs="宋体"/>
                <w:color w:val="auto"/>
                <w:szCs w:val="21"/>
                <w:highlight w:val="none"/>
                <w:u w:val="none"/>
                <w:lang w:eastAsia="zh-CN"/>
              </w:rPr>
              <w:t>和</w:t>
            </w:r>
            <w:r>
              <w:rPr>
                <w:rFonts w:hint="eastAsia" w:ascii="宋体" w:hAnsi="宋体" w:eastAsia="宋体" w:cs="宋体"/>
                <w:color w:val="auto"/>
                <w:szCs w:val="21"/>
                <w:highlight w:val="none"/>
                <w:u w:val="none"/>
              </w:rPr>
              <w:t>材料需求计划及保障措施，</w:t>
            </w:r>
            <w:r>
              <w:rPr>
                <w:rFonts w:hint="eastAsia" w:ascii="宋体" w:hAnsi="宋体" w:eastAsia="宋体" w:cs="宋体"/>
                <w:color w:val="auto"/>
                <w:szCs w:val="21"/>
                <w:highlight w:val="none"/>
                <w:u w:val="none"/>
                <w:lang w:eastAsia="zh-CN"/>
              </w:rPr>
              <w:t>措施较合理、可行</w:t>
            </w:r>
            <w:r>
              <w:rPr>
                <w:rFonts w:hint="eastAsia" w:ascii="宋体" w:hAnsi="宋体" w:eastAsia="宋体" w:cs="宋体"/>
                <w:color w:val="auto"/>
                <w:szCs w:val="21"/>
                <w:highlight w:val="none"/>
                <w:u w:val="none"/>
              </w:rPr>
              <w:t>得</w:t>
            </w:r>
            <w:r>
              <w:rPr>
                <w:rFonts w:hint="eastAsia" w:ascii="宋体" w:hAnsi="宋体" w:eastAsia="宋体" w:cs="宋体"/>
                <w:color w:val="auto"/>
                <w:szCs w:val="21"/>
                <w:highlight w:val="none"/>
                <w:u w:val="none"/>
                <w:lang w:val="en-US" w:eastAsia="zh-CN"/>
              </w:rPr>
              <w:t>2</w:t>
            </w:r>
            <w:r>
              <w:rPr>
                <w:rFonts w:hint="eastAsia" w:ascii="宋体" w:hAnsi="宋体" w:eastAsia="宋体" w:cs="宋体"/>
                <w:color w:val="auto"/>
                <w:szCs w:val="21"/>
                <w:highlight w:val="none"/>
                <w:u w:val="none"/>
              </w:rPr>
              <w:t>分。</w:t>
            </w:r>
          </w:p>
        </w:tc>
        <w:tc>
          <w:tcPr>
            <w:tcW w:w="283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Cs w:val="21"/>
                <w:highlight w:val="none"/>
                <w:u w:val="none"/>
                <w:lang w:eastAsia="zh-CN"/>
              </w:rPr>
              <w:t>有</w:t>
            </w:r>
            <w:r>
              <w:rPr>
                <w:rFonts w:hint="eastAsia" w:ascii="宋体" w:hAnsi="宋体" w:eastAsia="宋体" w:cs="宋体"/>
                <w:color w:val="auto"/>
                <w:szCs w:val="21"/>
                <w:highlight w:val="none"/>
                <w:u w:val="none"/>
              </w:rPr>
              <w:t>劳动力需求计划及保障措施、机械设备需求计划及保障措施</w:t>
            </w:r>
            <w:r>
              <w:rPr>
                <w:rFonts w:hint="eastAsia" w:ascii="宋体" w:hAnsi="宋体" w:eastAsia="宋体" w:cs="宋体"/>
                <w:color w:val="auto"/>
                <w:szCs w:val="21"/>
                <w:highlight w:val="none"/>
                <w:u w:val="none"/>
                <w:lang w:eastAsia="zh-CN"/>
              </w:rPr>
              <w:t>和</w:t>
            </w:r>
            <w:r>
              <w:rPr>
                <w:rFonts w:hint="eastAsia" w:ascii="宋体" w:hAnsi="宋体" w:eastAsia="宋体" w:cs="宋体"/>
                <w:color w:val="auto"/>
                <w:szCs w:val="21"/>
                <w:highlight w:val="none"/>
                <w:u w:val="none"/>
              </w:rPr>
              <w:t>材料需求计划及保障措施，</w:t>
            </w:r>
            <w:r>
              <w:rPr>
                <w:rFonts w:hint="eastAsia" w:ascii="宋体" w:hAnsi="宋体" w:eastAsia="宋体" w:cs="宋体"/>
                <w:color w:val="auto"/>
                <w:szCs w:val="21"/>
                <w:highlight w:val="none"/>
                <w:u w:val="none"/>
                <w:lang w:eastAsia="zh-CN"/>
              </w:rPr>
              <w:t>措施基本合理、可行</w:t>
            </w:r>
            <w:r>
              <w:rPr>
                <w:rFonts w:hint="eastAsia" w:ascii="宋体" w:hAnsi="宋体" w:eastAsia="宋体" w:cs="宋体"/>
                <w:color w:val="auto"/>
                <w:szCs w:val="21"/>
                <w:highlight w:val="none"/>
                <w:u w:val="none"/>
              </w:rPr>
              <w:t>得</w:t>
            </w:r>
            <w:r>
              <w:rPr>
                <w:rFonts w:hint="eastAsia" w:ascii="宋体" w:hAnsi="宋体" w:eastAsia="宋体" w:cs="宋体"/>
                <w:color w:val="auto"/>
                <w:szCs w:val="21"/>
                <w:highlight w:val="none"/>
                <w:u w:val="none"/>
                <w:lang w:val="en-US" w:eastAsia="zh-CN"/>
              </w:rPr>
              <w:t>1</w:t>
            </w:r>
            <w:r>
              <w:rPr>
                <w:rFonts w:hint="eastAsia" w:ascii="宋体" w:hAnsi="宋体" w:eastAsia="宋体" w:cs="宋体"/>
                <w:color w:val="auto"/>
                <w:szCs w:val="21"/>
                <w:highlight w:val="none"/>
                <w:u w:val="none"/>
              </w:rPr>
              <w:t>分。</w:t>
            </w:r>
          </w:p>
        </w:tc>
        <w:tc>
          <w:tcPr>
            <w:tcW w:w="28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kern w:val="0"/>
                <w:szCs w:val="21"/>
                <w:highlight w:val="none"/>
                <w:u w:val="none"/>
              </w:rPr>
              <w:t>不满足前述要求者，得0分。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83" w:type="dxa"/>
            <w:vMerge w:val="continue"/>
          </w:tcPr>
          <w:p>
            <w:pPr>
              <w:pStyle w:val="4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p>
        </w:tc>
        <w:tc>
          <w:tcPr>
            <w:tcW w:w="1784" w:type="dxa"/>
            <w:gridSpan w:val="2"/>
            <w:vAlign w:val="center"/>
          </w:tcPr>
          <w:p>
            <w:pPr>
              <w:pStyle w:val="284"/>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rPr>
              <w:t>施工质量目标</w:t>
            </w:r>
          </w:p>
        </w:tc>
        <w:tc>
          <w:tcPr>
            <w:tcW w:w="582" w:type="dxa"/>
            <w:vAlign w:val="center"/>
          </w:tcPr>
          <w:p>
            <w:pPr>
              <w:pStyle w:val="284"/>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lang w:val="en-US" w:eastAsia="zh-CN"/>
              </w:rPr>
              <w:t>5</w:t>
            </w:r>
          </w:p>
        </w:tc>
        <w:tc>
          <w:tcPr>
            <w:tcW w:w="2837" w:type="dxa"/>
            <w:vAlign w:val="center"/>
          </w:tcPr>
          <w:p>
            <w:pPr>
              <w:pStyle w:val="284"/>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u w:val="none"/>
                <w:lang w:eastAsia="zh-CN"/>
              </w:rPr>
              <w:t>有</w:t>
            </w:r>
            <w:r>
              <w:rPr>
                <w:rFonts w:hint="eastAsia" w:ascii="宋体" w:hAnsi="宋体" w:eastAsia="宋体" w:cs="宋体"/>
                <w:color w:val="auto"/>
                <w:sz w:val="21"/>
                <w:szCs w:val="21"/>
                <w:highlight w:val="none"/>
                <w:u w:val="none"/>
              </w:rPr>
              <w:t>质量目标保证措施且质量目标符合招标文件要求</w:t>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u w:val="none"/>
              </w:rPr>
              <w:t>质量保证体系</w:t>
            </w:r>
            <w:r>
              <w:rPr>
                <w:rFonts w:hint="eastAsia" w:ascii="宋体" w:hAnsi="宋体" w:eastAsia="宋体" w:cs="宋体"/>
                <w:color w:val="auto"/>
                <w:sz w:val="21"/>
                <w:szCs w:val="21"/>
                <w:highlight w:val="none"/>
                <w:u w:val="none"/>
                <w:lang w:eastAsia="zh-CN"/>
              </w:rPr>
              <w:t>及</w:t>
            </w:r>
            <w:r>
              <w:rPr>
                <w:rFonts w:hint="eastAsia" w:ascii="宋体" w:hAnsi="宋体" w:eastAsia="宋体" w:cs="宋体"/>
                <w:color w:val="auto"/>
                <w:sz w:val="21"/>
                <w:szCs w:val="21"/>
                <w:highlight w:val="none"/>
                <w:u w:val="none"/>
              </w:rPr>
              <w:t>质量事故应急预案</w:t>
            </w:r>
            <w:r>
              <w:rPr>
                <w:rFonts w:hint="eastAsia" w:ascii="宋体" w:hAnsi="宋体" w:eastAsia="宋体" w:cs="宋体"/>
                <w:color w:val="auto"/>
                <w:kern w:val="2"/>
                <w:sz w:val="21"/>
                <w:szCs w:val="21"/>
                <w:highlight w:val="none"/>
                <w:u w:val="none"/>
                <w:lang w:val="en-US" w:eastAsia="zh-CN" w:bidi="ar-SA"/>
              </w:rPr>
              <w:t>合理、可行，得5分。</w:t>
            </w:r>
          </w:p>
        </w:tc>
        <w:tc>
          <w:tcPr>
            <w:tcW w:w="2837" w:type="dxa"/>
            <w:vAlign w:val="center"/>
          </w:tcPr>
          <w:p>
            <w:pPr>
              <w:pStyle w:val="284"/>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u w:val="none"/>
                <w:lang w:eastAsia="zh-CN"/>
              </w:rPr>
              <w:t>有</w:t>
            </w:r>
            <w:r>
              <w:rPr>
                <w:rFonts w:hint="eastAsia" w:ascii="宋体" w:hAnsi="宋体" w:eastAsia="宋体" w:cs="宋体"/>
                <w:color w:val="auto"/>
                <w:sz w:val="21"/>
                <w:szCs w:val="21"/>
                <w:highlight w:val="none"/>
                <w:u w:val="none"/>
              </w:rPr>
              <w:t>质量目标保证措施且质量目标符合招标文件要求</w:t>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u w:val="none"/>
              </w:rPr>
              <w:t>质量保证体系</w:t>
            </w:r>
            <w:r>
              <w:rPr>
                <w:rFonts w:hint="eastAsia" w:ascii="宋体" w:hAnsi="宋体" w:eastAsia="宋体" w:cs="宋体"/>
                <w:color w:val="auto"/>
                <w:sz w:val="21"/>
                <w:szCs w:val="21"/>
                <w:highlight w:val="none"/>
                <w:u w:val="none"/>
                <w:lang w:eastAsia="zh-CN"/>
              </w:rPr>
              <w:t>及</w:t>
            </w:r>
            <w:r>
              <w:rPr>
                <w:rFonts w:hint="eastAsia" w:ascii="宋体" w:hAnsi="宋体" w:eastAsia="宋体" w:cs="宋体"/>
                <w:color w:val="auto"/>
                <w:sz w:val="21"/>
                <w:szCs w:val="21"/>
                <w:highlight w:val="none"/>
                <w:u w:val="none"/>
              </w:rPr>
              <w:t>质量事故应急预案</w:t>
            </w:r>
            <w:r>
              <w:rPr>
                <w:rFonts w:hint="eastAsia" w:ascii="宋体" w:hAnsi="宋体" w:eastAsia="宋体" w:cs="宋体"/>
                <w:color w:val="auto"/>
                <w:sz w:val="21"/>
                <w:szCs w:val="21"/>
                <w:highlight w:val="none"/>
                <w:u w:val="none"/>
                <w:lang w:eastAsia="zh-CN"/>
              </w:rPr>
              <w:t>较</w:t>
            </w:r>
            <w:r>
              <w:rPr>
                <w:rFonts w:hint="eastAsia" w:ascii="宋体" w:hAnsi="宋体" w:eastAsia="宋体" w:cs="宋体"/>
                <w:color w:val="auto"/>
                <w:kern w:val="2"/>
                <w:sz w:val="21"/>
                <w:szCs w:val="21"/>
                <w:highlight w:val="none"/>
                <w:u w:val="none"/>
                <w:lang w:val="en-US" w:eastAsia="zh-CN" w:bidi="ar-SA"/>
              </w:rPr>
              <w:t>合理可行，得3分。</w:t>
            </w:r>
          </w:p>
        </w:tc>
        <w:tc>
          <w:tcPr>
            <w:tcW w:w="2837" w:type="dxa"/>
            <w:vAlign w:val="center"/>
          </w:tcPr>
          <w:p>
            <w:pPr>
              <w:pStyle w:val="284"/>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u w:val="none"/>
                <w:lang w:eastAsia="zh-CN"/>
              </w:rPr>
              <w:t>有</w:t>
            </w:r>
            <w:r>
              <w:rPr>
                <w:rFonts w:hint="eastAsia" w:ascii="宋体" w:hAnsi="宋体" w:eastAsia="宋体" w:cs="宋体"/>
                <w:color w:val="auto"/>
                <w:sz w:val="21"/>
                <w:szCs w:val="21"/>
                <w:highlight w:val="none"/>
                <w:u w:val="none"/>
              </w:rPr>
              <w:t>质量目标保证措施且质量目标符合招标文件要求</w:t>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u w:val="none"/>
              </w:rPr>
              <w:t>质量保证体系</w:t>
            </w:r>
            <w:r>
              <w:rPr>
                <w:rFonts w:hint="eastAsia" w:ascii="宋体" w:hAnsi="宋体" w:eastAsia="宋体" w:cs="宋体"/>
                <w:color w:val="auto"/>
                <w:sz w:val="21"/>
                <w:szCs w:val="21"/>
                <w:highlight w:val="none"/>
                <w:u w:val="none"/>
                <w:lang w:eastAsia="zh-CN"/>
              </w:rPr>
              <w:t>及</w:t>
            </w:r>
            <w:r>
              <w:rPr>
                <w:rFonts w:hint="eastAsia" w:ascii="宋体" w:hAnsi="宋体" w:eastAsia="宋体" w:cs="宋体"/>
                <w:color w:val="auto"/>
                <w:sz w:val="21"/>
                <w:szCs w:val="21"/>
                <w:highlight w:val="none"/>
                <w:u w:val="none"/>
              </w:rPr>
              <w:t>质量事故应急预案</w:t>
            </w:r>
            <w:r>
              <w:rPr>
                <w:rFonts w:hint="eastAsia" w:ascii="宋体" w:hAnsi="宋体" w:eastAsia="宋体" w:cs="宋体"/>
                <w:color w:val="auto"/>
                <w:sz w:val="21"/>
                <w:szCs w:val="21"/>
                <w:highlight w:val="none"/>
                <w:u w:val="none"/>
                <w:lang w:eastAsia="zh-CN"/>
              </w:rPr>
              <w:t>基本</w:t>
            </w:r>
            <w:r>
              <w:rPr>
                <w:rFonts w:hint="eastAsia" w:ascii="宋体" w:hAnsi="宋体" w:eastAsia="宋体" w:cs="宋体"/>
                <w:color w:val="auto"/>
                <w:kern w:val="2"/>
                <w:sz w:val="21"/>
                <w:szCs w:val="21"/>
                <w:highlight w:val="none"/>
                <w:u w:val="none"/>
                <w:lang w:val="en-US" w:eastAsia="zh-CN" w:bidi="ar-SA"/>
              </w:rPr>
              <w:t>合理可行，得1分。</w:t>
            </w:r>
          </w:p>
        </w:tc>
        <w:tc>
          <w:tcPr>
            <w:tcW w:w="2839" w:type="dxa"/>
            <w:vAlign w:val="center"/>
          </w:tcPr>
          <w:p>
            <w:pPr>
              <w:pStyle w:val="284"/>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u w:val="none"/>
              </w:rPr>
              <w:t>不满足前述要求者，得0分。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83" w:type="dxa"/>
            <w:vMerge w:val="continue"/>
          </w:tcPr>
          <w:p>
            <w:pPr>
              <w:pStyle w:val="4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p>
        </w:tc>
        <w:tc>
          <w:tcPr>
            <w:tcW w:w="1784" w:type="dxa"/>
            <w:gridSpan w:val="2"/>
            <w:vAlign w:val="center"/>
          </w:tcPr>
          <w:p>
            <w:pPr>
              <w:pStyle w:val="284"/>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rPr>
              <w:t>安全文明施工措施</w:t>
            </w:r>
          </w:p>
        </w:tc>
        <w:tc>
          <w:tcPr>
            <w:tcW w:w="582" w:type="dxa"/>
            <w:vAlign w:val="center"/>
          </w:tcPr>
          <w:p>
            <w:pPr>
              <w:pStyle w:val="284"/>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lang w:val="en-US" w:eastAsia="zh-CN"/>
              </w:rPr>
              <w:t>5</w:t>
            </w:r>
          </w:p>
        </w:tc>
        <w:tc>
          <w:tcPr>
            <w:tcW w:w="2837" w:type="dxa"/>
            <w:vAlign w:val="center"/>
          </w:tcPr>
          <w:p>
            <w:pPr>
              <w:pStyle w:val="284"/>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u w:val="none"/>
                <w:lang w:eastAsia="zh-CN"/>
              </w:rPr>
              <w:t>有</w:t>
            </w:r>
            <w:r>
              <w:rPr>
                <w:rFonts w:hint="eastAsia" w:ascii="宋体" w:hAnsi="宋体" w:eastAsia="宋体" w:cs="宋体"/>
                <w:color w:val="auto"/>
                <w:sz w:val="21"/>
                <w:szCs w:val="21"/>
                <w:highlight w:val="none"/>
                <w:u w:val="none"/>
              </w:rPr>
              <w:t>安全文明施工目标、安全文明保障体系</w:t>
            </w:r>
            <w:r>
              <w:rPr>
                <w:rFonts w:hint="eastAsia" w:ascii="宋体" w:hAnsi="宋体" w:eastAsia="宋体" w:cs="宋体"/>
                <w:color w:val="auto"/>
                <w:sz w:val="21"/>
                <w:szCs w:val="21"/>
                <w:highlight w:val="none"/>
                <w:u w:val="none"/>
                <w:lang w:eastAsia="zh-CN"/>
              </w:rPr>
              <w:t>及</w:t>
            </w:r>
            <w:r>
              <w:rPr>
                <w:rFonts w:hint="eastAsia" w:ascii="宋体" w:hAnsi="宋体" w:eastAsia="宋体" w:cs="宋体"/>
                <w:color w:val="auto"/>
                <w:sz w:val="21"/>
                <w:szCs w:val="21"/>
                <w:highlight w:val="none"/>
                <w:u w:val="none"/>
              </w:rPr>
              <w:t>安全文明施工保证措施，</w:t>
            </w:r>
            <w:r>
              <w:rPr>
                <w:rFonts w:hint="eastAsia" w:ascii="宋体" w:hAnsi="宋体" w:eastAsia="宋体" w:cs="宋体"/>
                <w:color w:val="auto"/>
                <w:sz w:val="21"/>
                <w:szCs w:val="21"/>
                <w:highlight w:val="none"/>
                <w:u w:val="none"/>
                <w:lang w:eastAsia="zh-CN"/>
              </w:rPr>
              <w:t>措施合理、可行得</w:t>
            </w:r>
            <w:r>
              <w:rPr>
                <w:rFonts w:hint="eastAsia" w:ascii="宋体" w:hAnsi="宋体" w:eastAsia="宋体" w:cs="宋体"/>
                <w:color w:val="auto"/>
                <w:sz w:val="21"/>
                <w:szCs w:val="21"/>
                <w:highlight w:val="none"/>
                <w:u w:val="none"/>
                <w:lang w:val="en-US" w:eastAsia="zh-CN"/>
              </w:rPr>
              <w:t>5</w:t>
            </w:r>
            <w:r>
              <w:rPr>
                <w:rFonts w:hint="eastAsia" w:ascii="宋体" w:hAnsi="宋体" w:eastAsia="宋体" w:cs="宋体"/>
                <w:color w:val="auto"/>
                <w:sz w:val="21"/>
                <w:szCs w:val="21"/>
                <w:highlight w:val="none"/>
                <w:u w:val="none"/>
                <w:lang w:eastAsia="zh-CN"/>
              </w:rPr>
              <w:t>分。</w:t>
            </w:r>
          </w:p>
        </w:tc>
        <w:tc>
          <w:tcPr>
            <w:tcW w:w="2837" w:type="dxa"/>
            <w:vAlign w:val="center"/>
          </w:tcPr>
          <w:p>
            <w:pPr>
              <w:pStyle w:val="284"/>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u w:val="none"/>
                <w:lang w:eastAsia="zh-CN"/>
              </w:rPr>
              <w:t>有</w:t>
            </w:r>
            <w:r>
              <w:rPr>
                <w:rFonts w:hint="eastAsia" w:ascii="宋体" w:hAnsi="宋体" w:eastAsia="宋体" w:cs="宋体"/>
                <w:color w:val="auto"/>
                <w:sz w:val="21"/>
                <w:szCs w:val="21"/>
                <w:highlight w:val="none"/>
                <w:u w:val="none"/>
              </w:rPr>
              <w:t>安全文明施工目标、安全文明保障体系</w:t>
            </w:r>
            <w:r>
              <w:rPr>
                <w:rFonts w:hint="eastAsia" w:ascii="宋体" w:hAnsi="宋体" w:eastAsia="宋体" w:cs="宋体"/>
                <w:color w:val="auto"/>
                <w:sz w:val="21"/>
                <w:szCs w:val="21"/>
                <w:highlight w:val="none"/>
                <w:u w:val="none"/>
                <w:lang w:eastAsia="zh-CN"/>
              </w:rPr>
              <w:t>及</w:t>
            </w:r>
            <w:r>
              <w:rPr>
                <w:rFonts w:hint="eastAsia" w:ascii="宋体" w:hAnsi="宋体" w:eastAsia="宋体" w:cs="宋体"/>
                <w:color w:val="auto"/>
                <w:sz w:val="21"/>
                <w:szCs w:val="21"/>
                <w:highlight w:val="none"/>
                <w:u w:val="none"/>
              </w:rPr>
              <w:t>安全文明施工保证措施，</w:t>
            </w:r>
            <w:r>
              <w:rPr>
                <w:rFonts w:hint="eastAsia" w:ascii="宋体" w:hAnsi="宋体" w:eastAsia="宋体" w:cs="宋体"/>
                <w:color w:val="auto"/>
                <w:sz w:val="21"/>
                <w:szCs w:val="21"/>
                <w:highlight w:val="none"/>
                <w:u w:val="none"/>
                <w:lang w:eastAsia="zh-CN"/>
              </w:rPr>
              <w:t>措施较合理、可行得</w:t>
            </w:r>
            <w:r>
              <w:rPr>
                <w:rFonts w:hint="eastAsia" w:ascii="宋体" w:hAnsi="宋体" w:eastAsia="宋体" w:cs="宋体"/>
                <w:color w:val="auto"/>
                <w:sz w:val="21"/>
                <w:szCs w:val="21"/>
                <w:highlight w:val="none"/>
                <w:u w:val="none"/>
                <w:lang w:val="en-US" w:eastAsia="zh-CN"/>
              </w:rPr>
              <w:t>3</w:t>
            </w:r>
            <w:r>
              <w:rPr>
                <w:rFonts w:hint="eastAsia" w:ascii="宋体" w:hAnsi="宋体" w:eastAsia="宋体" w:cs="宋体"/>
                <w:color w:val="auto"/>
                <w:sz w:val="21"/>
                <w:szCs w:val="21"/>
                <w:highlight w:val="none"/>
                <w:u w:val="none"/>
                <w:lang w:eastAsia="zh-CN"/>
              </w:rPr>
              <w:t>分。</w:t>
            </w:r>
          </w:p>
        </w:tc>
        <w:tc>
          <w:tcPr>
            <w:tcW w:w="2837" w:type="dxa"/>
            <w:vAlign w:val="center"/>
          </w:tcPr>
          <w:p>
            <w:pPr>
              <w:pStyle w:val="284"/>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u w:val="none"/>
                <w:lang w:eastAsia="zh-CN"/>
              </w:rPr>
              <w:t>有</w:t>
            </w:r>
            <w:r>
              <w:rPr>
                <w:rFonts w:hint="eastAsia" w:ascii="宋体" w:hAnsi="宋体" w:eastAsia="宋体" w:cs="宋体"/>
                <w:color w:val="auto"/>
                <w:sz w:val="21"/>
                <w:szCs w:val="21"/>
                <w:highlight w:val="none"/>
                <w:u w:val="none"/>
              </w:rPr>
              <w:t>安全文明施工目标、安全文明保障体系</w:t>
            </w:r>
            <w:r>
              <w:rPr>
                <w:rFonts w:hint="eastAsia" w:ascii="宋体" w:hAnsi="宋体" w:eastAsia="宋体" w:cs="宋体"/>
                <w:color w:val="auto"/>
                <w:sz w:val="21"/>
                <w:szCs w:val="21"/>
                <w:highlight w:val="none"/>
                <w:u w:val="none"/>
                <w:lang w:eastAsia="zh-CN"/>
              </w:rPr>
              <w:t>及</w:t>
            </w:r>
            <w:r>
              <w:rPr>
                <w:rFonts w:hint="eastAsia" w:ascii="宋体" w:hAnsi="宋体" w:eastAsia="宋体" w:cs="宋体"/>
                <w:color w:val="auto"/>
                <w:sz w:val="21"/>
                <w:szCs w:val="21"/>
                <w:highlight w:val="none"/>
                <w:u w:val="none"/>
              </w:rPr>
              <w:t>安全文明施工保证措施，</w:t>
            </w:r>
            <w:r>
              <w:rPr>
                <w:rFonts w:hint="eastAsia" w:ascii="宋体" w:hAnsi="宋体" w:eastAsia="宋体" w:cs="宋体"/>
                <w:color w:val="auto"/>
                <w:sz w:val="21"/>
                <w:szCs w:val="21"/>
                <w:highlight w:val="none"/>
                <w:u w:val="none"/>
                <w:lang w:eastAsia="zh-CN"/>
              </w:rPr>
              <w:t>措施基本合理、可行得</w:t>
            </w:r>
            <w:r>
              <w:rPr>
                <w:rFonts w:hint="eastAsia" w:ascii="宋体" w:hAnsi="宋体" w:eastAsia="宋体" w:cs="宋体"/>
                <w:color w:val="auto"/>
                <w:sz w:val="21"/>
                <w:szCs w:val="21"/>
                <w:highlight w:val="none"/>
                <w:u w:val="none"/>
                <w:lang w:val="en-US" w:eastAsia="zh-CN"/>
              </w:rPr>
              <w:t>1</w:t>
            </w:r>
            <w:r>
              <w:rPr>
                <w:rFonts w:hint="eastAsia" w:ascii="宋体" w:hAnsi="宋体" w:eastAsia="宋体" w:cs="宋体"/>
                <w:color w:val="auto"/>
                <w:sz w:val="21"/>
                <w:szCs w:val="21"/>
                <w:highlight w:val="none"/>
                <w:u w:val="none"/>
                <w:lang w:eastAsia="zh-CN"/>
              </w:rPr>
              <w:t>分。</w:t>
            </w:r>
          </w:p>
        </w:tc>
        <w:tc>
          <w:tcPr>
            <w:tcW w:w="2839" w:type="dxa"/>
            <w:vAlign w:val="center"/>
          </w:tcPr>
          <w:p>
            <w:pPr>
              <w:pStyle w:val="284"/>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u w:val="none"/>
              </w:rPr>
              <w:t>不满足前述要求者，得0分。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83" w:type="dxa"/>
            <w:vMerge w:val="continue"/>
          </w:tcPr>
          <w:p>
            <w:pPr>
              <w:pStyle w:val="4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p>
        </w:tc>
        <w:tc>
          <w:tcPr>
            <w:tcW w:w="1784" w:type="dxa"/>
            <w:gridSpan w:val="2"/>
            <w:vAlign w:val="center"/>
          </w:tcPr>
          <w:p>
            <w:pPr>
              <w:pStyle w:val="284"/>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rPr>
              <w:t>绿色施工措施</w:t>
            </w:r>
          </w:p>
        </w:tc>
        <w:tc>
          <w:tcPr>
            <w:tcW w:w="582" w:type="dxa"/>
            <w:vAlign w:val="center"/>
          </w:tcPr>
          <w:p>
            <w:pPr>
              <w:pStyle w:val="284"/>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lang w:val="en-US" w:eastAsia="zh-CN"/>
              </w:rPr>
              <w:t>5</w:t>
            </w:r>
          </w:p>
        </w:tc>
        <w:tc>
          <w:tcPr>
            <w:tcW w:w="283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Cs w:val="21"/>
                <w:highlight w:val="none"/>
                <w:u w:val="none"/>
              </w:rPr>
              <w:t>承诺在本项目投入使用燃料电池汽车等新能源车的数量占本项目投入建筑垃圾自卸车（渣土车）总数比例占总数比例</w:t>
            </w:r>
            <w:r>
              <w:rPr>
                <w:rFonts w:hint="eastAsia" w:ascii="宋体" w:hAnsi="宋体" w:eastAsia="宋体" w:cs="宋体"/>
                <w:color w:val="auto"/>
                <w:szCs w:val="21"/>
                <w:highlight w:val="none"/>
                <w:u w:val="none"/>
                <w:lang w:val="en-US" w:eastAsia="zh-CN"/>
              </w:rPr>
              <w:t>5</w:t>
            </w:r>
            <w:r>
              <w:rPr>
                <w:rFonts w:hint="eastAsia" w:ascii="宋体" w:hAnsi="宋体" w:eastAsia="宋体" w:cs="宋体"/>
                <w:color w:val="auto"/>
                <w:szCs w:val="21"/>
                <w:highlight w:val="none"/>
                <w:u w:val="none"/>
              </w:rPr>
              <w:t>0%或以上得</w:t>
            </w:r>
            <w:r>
              <w:rPr>
                <w:rFonts w:hint="eastAsia" w:ascii="宋体" w:hAnsi="宋体" w:eastAsia="宋体" w:cs="宋体"/>
                <w:color w:val="auto"/>
                <w:szCs w:val="21"/>
                <w:highlight w:val="none"/>
                <w:u w:val="none"/>
                <w:lang w:val="en-US" w:eastAsia="zh-CN"/>
              </w:rPr>
              <w:t>5</w:t>
            </w:r>
            <w:r>
              <w:rPr>
                <w:rFonts w:hint="eastAsia" w:ascii="宋体" w:hAnsi="宋体" w:eastAsia="宋体" w:cs="宋体"/>
                <w:color w:val="auto"/>
                <w:szCs w:val="21"/>
                <w:highlight w:val="none"/>
                <w:u w:val="none"/>
              </w:rPr>
              <w:t>分。（以《拟投入本工程施工的主要机械设备配备表》为准）</w:t>
            </w:r>
          </w:p>
        </w:tc>
        <w:tc>
          <w:tcPr>
            <w:tcW w:w="283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Cs w:val="21"/>
                <w:highlight w:val="none"/>
                <w:u w:val="none"/>
              </w:rPr>
              <w:t>承诺在本项目投入使用燃料电池汽车等新能源车的数量占本项目投入建筑垃圾自卸车（渣土车）总数比例[</w:t>
            </w:r>
            <w:r>
              <w:rPr>
                <w:rFonts w:hint="eastAsia" w:ascii="宋体" w:hAnsi="宋体" w:eastAsia="宋体" w:cs="宋体"/>
                <w:color w:val="auto"/>
                <w:szCs w:val="21"/>
                <w:highlight w:val="none"/>
                <w:u w:val="none"/>
                <w:lang w:val="en-US" w:eastAsia="zh-CN"/>
              </w:rPr>
              <w:t>45</w:t>
            </w:r>
            <w:r>
              <w:rPr>
                <w:rFonts w:hint="eastAsia" w:ascii="宋体" w:hAnsi="宋体" w:eastAsia="宋体" w:cs="宋体"/>
                <w:color w:val="auto"/>
                <w:szCs w:val="21"/>
                <w:highlight w:val="none"/>
                <w:u w:val="none"/>
              </w:rPr>
              <w:t>%，</w:t>
            </w:r>
            <w:r>
              <w:rPr>
                <w:rFonts w:hint="eastAsia" w:ascii="宋体" w:hAnsi="宋体" w:eastAsia="宋体" w:cs="宋体"/>
                <w:color w:val="auto"/>
                <w:szCs w:val="21"/>
                <w:highlight w:val="none"/>
                <w:u w:val="none"/>
                <w:lang w:val="en-US" w:eastAsia="zh-CN"/>
              </w:rPr>
              <w:t>5</w:t>
            </w:r>
            <w:r>
              <w:rPr>
                <w:rFonts w:hint="eastAsia" w:ascii="宋体" w:hAnsi="宋体" w:eastAsia="宋体" w:cs="宋体"/>
                <w:color w:val="auto"/>
                <w:szCs w:val="21"/>
                <w:highlight w:val="none"/>
                <w:u w:val="none"/>
              </w:rPr>
              <w:t>0%）得</w:t>
            </w:r>
            <w:r>
              <w:rPr>
                <w:rFonts w:hint="eastAsia" w:ascii="宋体" w:hAnsi="宋体" w:eastAsia="宋体" w:cs="宋体"/>
                <w:color w:val="auto"/>
                <w:szCs w:val="21"/>
                <w:highlight w:val="none"/>
                <w:u w:val="none"/>
                <w:lang w:val="en-US" w:eastAsia="zh-CN"/>
              </w:rPr>
              <w:t>3</w:t>
            </w:r>
            <w:r>
              <w:rPr>
                <w:rFonts w:hint="eastAsia" w:ascii="宋体" w:hAnsi="宋体" w:eastAsia="宋体" w:cs="宋体"/>
                <w:color w:val="auto"/>
                <w:szCs w:val="21"/>
                <w:highlight w:val="none"/>
                <w:u w:val="none"/>
              </w:rPr>
              <w:t>分。（以《拟投入本工程施工的主要机械设备配备表》为准）</w:t>
            </w:r>
          </w:p>
        </w:tc>
        <w:tc>
          <w:tcPr>
            <w:tcW w:w="283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Cs w:val="21"/>
                <w:highlight w:val="none"/>
                <w:u w:val="none"/>
              </w:rPr>
              <w:t>承诺在本项目投入使用燃料电池汽车等新能源车的数量占本项目投入建筑垃圾自卸车（渣土车）总数比例[</w:t>
            </w:r>
            <w:r>
              <w:rPr>
                <w:rFonts w:hint="eastAsia" w:ascii="宋体" w:hAnsi="宋体" w:eastAsia="宋体" w:cs="宋体"/>
                <w:color w:val="auto"/>
                <w:szCs w:val="21"/>
                <w:highlight w:val="none"/>
                <w:u w:val="none"/>
                <w:lang w:val="en-US" w:eastAsia="zh-CN"/>
              </w:rPr>
              <w:t>40</w:t>
            </w:r>
            <w:r>
              <w:rPr>
                <w:rFonts w:hint="eastAsia" w:ascii="宋体" w:hAnsi="宋体" w:eastAsia="宋体" w:cs="宋体"/>
                <w:color w:val="auto"/>
                <w:szCs w:val="21"/>
                <w:highlight w:val="none"/>
                <w:u w:val="none"/>
              </w:rPr>
              <w:t>%，</w:t>
            </w:r>
            <w:r>
              <w:rPr>
                <w:rFonts w:hint="eastAsia" w:ascii="宋体" w:hAnsi="宋体" w:eastAsia="宋体" w:cs="宋体"/>
                <w:color w:val="auto"/>
                <w:szCs w:val="21"/>
                <w:highlight w:val="none"/>
                <w:u w:val="none"/>
                <w:lang w:val="en-US" w:eastAsia="zh-CN"/>
              </w:rPr>
              <w:t>45</w:t>
            </w:r>
            <w:r>
              <w:rPr>
                <w:rFonts w:hint="eastAsia" w:ascii="宋体" w:hAnsi="宋体" w:eastAsia="宋体" w:cs="宋体"/>
                <w:color w:val="auto"/>
                <w:szCs w:val="21"/>
                <w:highlight w:val="none"/>
                <w:u w:val="none"/>
              </w:rPr>
              <w:t>%）得</w:t>
            </w:r>
            <w:r>
              <w:rPr>
                <w:rFonts w:hint="eastAsia" w:ascii="宋体" w:hAnsi="宋体" w:eastAsia="宋体" w:cs="宋体"/>
                <w:color w:val="auto"/>
                <w:szCs w:val="21"/>
                <w:highlight w:val="none"/>
                <w:u w:val="none"/>
                <w:lang w:val="en-US" w:eastAsia="zh-CN"/>
              </w:rPr>
              <w:t>1</w:t>
            </w:r>
            <w:r>
              <w:rPr>
                <w:rFonts w:hint="eastAsia" w:ascii="宋体" w:hAnsi="宋体" w:eastAsia="宋体" w:cs="宋体"/>
                <w:color w:val="auto"/>
                <w:szCs w:val="21"/>
                <w:highlight w:val="none"/>
                <w:u w:val="none"/>
              </w:rPr>
              <w:t>分。（以《拟投入本工程施工的主要机械设备配备表》为准）</w:t>
            </w:r>
          </w:p>
        </w:tc>
        <w:tc>
          <w:tcPr>
            <w:tcW w:w="28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Cs w:val="21"/>
                <w:highlight w:val="none"/>
                <w:u w:val="none"/>
              </w:rPr>
              <w:t>承诺在本项目投入使用燃料电池汽车等新能源车的数量占本项目投入建筑垃圾自卸车（渣土车）总数比例</w:t>
            </w:r>
            <w:r>
              <w:rPr>
                <w:rFonts w:hint="eastAsia" w:ascii="宋体" w:hAnsi="宋体" w:eastAsia="宋体" w:cs="宋体"/>
                <w:color w:val="auto"/>
                <w:szCs w:val="21"/>
                <w:highlight w:val="none"/>
                <w:u w:val="none"/>
                <w:lang w:val="en-US" w:eastAsia="zh-CN"/>
              </w:rPr>
              <w:t>4</w:t>
            </w:r>
            <w:r>
              <w:rPr>
                <w:rFonts w:hint="eastAsia" w:ascii="宋体" w:hAnsi="宋体" w:eastAsia="宋体" w:cs="宋体"/>
                <w:color w:val="auto"/>
                <w:szCs w:val="21"/>
                <w:highlight w:val="none"/>
                <w:u w:val="none"/>
              </w:rPr>
              <w:t>0%以下，或未承诺在本项目投入使用燃料电池汽车等新能源车的不得分。（以《拟投入本工程施工的主要机械设备配备表》为准）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83" w:type="dxa"/>
            <w:vMerge w:val="restart"/>
            <w:vAlign w:val="center"/>
          </w:tcPr>
          <w:p>
            <w:pPr>
              <w:pStyle w:val="4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b w:val="0"/>
                <w:bCs/>
                <w:i w:val="0"/>
                <w:caps w:val="0"/>
                <w:color w:val="auto"/>
                <w:spacing w:val="0"/>
                <w:sz w:val="21"/>
                <w:szCs w:val="21"/>
                <w:highlight w:val="none"/>
                <w:u w:val="none"/>
                <w:shd w:val="clear" w:fill="FFFFFF"/>
                <w:vertAlign w:val="baseline"/>
              </w:rPr>
              <w:t>二、项目组织管理机构能力（40分）</w:t>
            </w:r>
          </w:p>
        </w:tc>
        <w:tc>
          <w:tcPr>
            <w:tcW w:w="700" w:type="dxa"/>
            <w:vMerge w:val="restart"/>
            <w:vAlign w:val="center"/>
          </w:tcPr>
          <w:p>
            <w:pPr>
              <w:pStyle w:val="4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b w:val="0"/>
                <w:bCs/>
                <w:i w:val="0"/>
                <w:caps w:val="0"/>
                <w:color w:val="auto"/>
                <w:spacing w:val="0"/>
                <w:sz w:val="21"/>
                <w:szCs w:val="21"/>
                <w:highlight w:val="none"/>
                <w:u w:val="none"/>
                <w:shd w:val="clear" w:fill="FFFFFF"/>
                <w:vertAlign w:val="baseline"/>
              </w:rPr>
              <w:t>项目管理机构</w:t>
            </w:r>
          </w:p>
        </w:tc>
        <w:tc>
          <w:tcPr>
            <w:tcW w:w="1084" w:type="dxa"/>
            <w:vAlign w:val="center"/>
          </w:tcPr>
          <w:p>
            <w:pPr>
              <w:keepNext w:val="0"/>
              <w:keepLines w:val="0"/>
              <w:pageBreakBefore w:val="0"/>
              <w:widowControl w:val="0"/>
              <w:kinsoku/>
              <w:wordWrap/>
              <w:overflowPunct/>
              <w:topLinePunct w:val="0"/>
              <w:autoSpaceDE/>
              <w:autoSpaceDN/>
              <w:bidi w:val="0"/>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kern w:val="0"/>
                <w:szCs w:val="21"/>
                <w:highlight w:val="none"/>
              </w:rPr>
              <w:t>项目</w:t>
            </w:r>
            <w:r>
              <w:rPr>
                <w:rFonts w:hint="eastAsia" w:ascii="宋体" w:hAnsi="宋体" w:eastAsia="宋体" w:cs="宋体"/>
                <w:color w:val="auto"/>
                <w:szCs w:val="21"/>
                <w:highlight w:val="none"/>
              </w:rPr>
              <w:t>负责人</w:t>
            </w:r>
          </w:p>
        </w:tc>
        <w:tc>
          <w:tcPr>
            <w:tcW w:w="582" w:type="dxa"/>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Cs w:val="21"/>
                <w:highlight w:val="none"/>
                <w:lang w:val="en-US" w:eastAsia="zh-CN"/>
              </w:rPr>
              <w:t>8</w:t>
            </w:r>
          </w:p>
        </w:tc>
        <w:tc>
          <w:tcPr>
            <w:tcW w:w="11350"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Cs w:val="21"/>
                <w:highlight w:val="none"/>
              </w:rPr>
              <w:t>从业能力：具有【市政】工程类专业中级或以上技术职称，得</w:t>
            </w: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83" w:type="dxa"/>
            <w:vMerge w:val="continue"/>
          </w:tcPr>
          <w:p>
            <w:pPr>
              <w:pStyle w:val="4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p>
        </w:tc>
        <w:tc>
          <w:tcPr>
            <w:tcW w:w="700" w:type="dxa"/>
            <w:vMerge w:val="continue"/>
          </w:tcPr>
          <w:p>
            <w:pPr>
              <w:pStyle w:val="4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p>
        </w:tc>
        <w:tc>
          <w:tcPr>
            <w:tcW w:w="1084" w:type="dxa"/>
            <w:vAlign w:val="center"/>
          </w:tcPr>
          <w:p>
            <w:pPr>
              <w:keepNext w:val="0"/>
              <w:keepLines w:val="0"/>
              <w:pageBreakBefore w:val="0"/>
              <w:widowControl w:val="0"/>
              <w:kinsoku/>
              <w:wordWrap/>
              <w:overflowPunct/>
              <w:topLinePunct w:val="0"/>
              <w:autoSpaceDE/>
              <w:autoSpaceDN/>
              <w:bidi w:val="0"/>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Cs w:val="21"/>
                <w:highlight w:val="none"/>
              </w:rPr>
              <w:t>技术负责人</w:t>
            </w:r>
          </w:p>
        </w:tc>
        <w:tc>
          <w:tcPr>
            <w:tcW w:w="582" w:type="dxa"/>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Cs w:val="21"/>
                <w:highlight w:val="none"/>
                <w:lang w:val="en-US" w:eastAsia="zh-CN"/>
              </w:rPr>
              <w:t>8</w:t>
            </w:r>
          </w:p>
        </w:tc>
        <w:tc>
          <w:tcPr>
            <w:tcW w:w="11350"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Cs w:val="21"/>
                <w:highlight w:val="none"/>
              </w:rPr>
              <w:t>从业能力：具有【市政】工程类专业副高级或以上技术职称，得</w:t>
            </w: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83" w:type="dxa"/>
            <w:vMerge w:val="continue"/>
          </w:tcPr>
          <w:p>
            <w:pPr>
              <w:pStyle w:val="4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p>
        </w:tc>
        <w:tc>
          <w:tcPr>
            <w:tcW w:w="700" w:type="dxa"/>
            <w:vMerge w:val="continue"/>
          </w:tcPr>
          <w:p>
            <w:pPr>
              <w:pStyle w:val="4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p>
        </w:tc>
        <w:tc>
          <w:tcPr>
            <w:tcW w:w="1084" w:type="dxa"/>
            <w:vAlign w:val="center"/>
          </w:tcPr>
          <w:p>
            <w:pPr>
              <w:keepNext w:val="0"/>
              <w:keepLines w:val="0"/>
              <w:pageBreakBefore w:val="0"/>
              <w:widowControl w:val="0"/>
              <w:kinsoku/>
              <w:wordWrap/>
              <w:overflowPunct/>
              <w:topLinePunct w:val="0"/>
              <w:autoSpaceDE/>
              <w:autoSpaceDN/>
              <w:bidi w:val="0"/>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Cs w:val="21"/>
                <w:highlight w:val="none"/>
              </w:rPr>
              <w:t>质量负责人</w:t>
            </w:r>
          </w:p>
        </w:tc>
        <w:tc>
          <w:tcPr>
            <w:tcW w:w="582" w:type="dxa"/>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Cs w:val="21"/>
                <w:highlight w:val="none"/>
                <w:lang w:val="en-US" w:eastAsia="zh-CN"/>
              </w:rPr>
              <w:t>8</w:t>
            </w:r>
          </w:p>
        </w:tc>
        <w:tc>
          <w:tcPr>
            <w:tcW w:w="11350"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Cs w:val="21"/>
                <w:highlight w:val="none"/>
              </w:rPr>
              <w:t>从业能力：具有</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市政】工程类专业中级或以上技术职称，得</w:t>
            </w: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83" w:type="dxa"/>
            <w:vMerge w:val="continue"/>
          </w:tcPr>
          <w:p>
            <w:pPr>
              <w:pStyle w:val="4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p>
        </w:tc>
        <w:tc>
          <w:tcPr>
            <w:tcW w:w="700" w:type="dxa"/>
            <w:vMerge w:val="continue"/>
          </w:tcPr>
          <w:p>
            <w:pPr>
              <w:pStyle w:val="4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p>
        </w:tc>
        <w:tc>
          <w:tcPr>
            <w:tcW w:w="1084" w:type="dxa"/>
            <w:vAlign w:val="center"/>
          </w:tcPr>
          <w:p>
            <w:pPr>
              <w:keepNext w:val="0"/>
              <w:keepLines w:val="0"/>
              <w:pageBreakBefore w:val="0"/>
              <w:widowControl w:val="0"/>
              <w:kinsoku/>
              <w:wordWrap/>
              <w:overflowPunct/>
              <w:topLinePunct w:val="0"/>
              <w:autoSpaceDE/>
              <w:autoSpaceDN/>
              <w:bidi w:val="0"/>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Cs w:val="21"/>
                <w:highlight w:val="none"/>
              </w:rPr>
              <w:t>安全负责人</w:t>
            </w:r>
          </w:p>
        </w:tc>
        <w:tc>
          <w:tcPr>
            <w:tcW w:w="582" w:type="dxa"/>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Cs w:val="21"/>
                <w:highlight w:val="none"/>
                <w:lang w:val="en-US" w:eastAsia="zh-CN"/>
              </w:rPr>
              <w:t>8</w:t>
            </w:r>
          </w:p>
        </w:tc>
        <w:tc>
          <w:tcPr>
            <w:tcW w:w="11350" w:type="dxa"/>
            <w:gridSpan w:val="4"/>
            <w:vAlign w:val="center"/>
          </w:tcPr>
          <w:p>
            <w:pPr>
              <w:keepNext w:val="0"/>
              <w:keepLines w:val="0"/>
              <w:pageBreakBefore w:val="0"/>
              <w:widowControl w:val="0"/>
              <w:kinsoku/>
              <w:wordWrap/>
              <w:overflowPunct/>
              <w:topLinePunct w:val="0"/>
              <w:autoSpaceDE/>
              <w:autoSpaceDN/>
              <w:bidi w:val="0"/>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Cs w:val="21"/>
                <w:highlight w:val="none"/>
              </w:rPr>
              <w:t>从业能力：具有安全工程专业中级或以上技术职称或【市政】工程类专业中级或以上技术职称，且具有安全生产考核合格证</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B类</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或安全生产考核合格证</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C类</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或建筑施工企业项目负责人安全生产考核合格证书或建筑施工企业专职安全生产管理人员安全生产考核合格证书</w:t>
            </w:r>
            <w:r>
              <w:rPr>
                <w:rFonts w:hint="eastAsia" w:ascii="宋体" w:hAnsi="宋体" w:eastAsia="宋体" w:cs="宋体"/>
                <w:color w:val="auto"/>
                <w:szCs w:val="21"/>
                <w:highlight w:val="none"/>
                <w:lang w:eastAsia="zh-CN"/>
              </w:rPr>
              <w:t>（C3）</w:t>
            </w:r>
            <w:r>
              <w:rPr>
                <w:rFonts w:hint="eastAsia" w:ascii="宋体" w:hAnsi="宋体" w:eastAsia="宋体" w:cs="宋体"/>
                <w:color w:val="auto"/>
                <w:szCs w:val="21"/>
                <w:highlight w:val="none"/>
              </w:rPr>
              <w:t>，得</w:t>
            </w: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83" w:type="dxa"/>
            <w:vMerge w:val="continue"/>
          </w:tcPr>
          <w:p>
            <w:pPr>
              <w:pStyle w:val="4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p>
        </w:tc>
        <w:tc>
          <w:tcPr>
            <w:tcW w:w="700" w:type="dxa"/>
            <w:vMerge w:val="continue"/>
          </w:tcPr>
          <w:p>
            <w:pPr>
              <w:pStyle w:val="4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p>
        </w:tc>
        <w:tc>
          <w:tcPr>
            <w:tcW w:w="1084" w:type="dxa"/>
            <w:vAlign w:val="center"/>
          </w:tcPr>
          <w:p>
            <w:pPr>
              <w:keepNext w:val="0"/>
              <w:keepLines w:val="0"/>
              <w:pageBreakBefore w:val="0"/>
              <w:widowControl w:val="0"/>
              <w:kinsoku/>
              <w:wordWrap/>
              <w:overflowPunct/>
              <w:topLinePunct w:val="0"/>
              <w:autoSpaceDE/>
              <w:autoSpaceDN/>
              <w:bidi w:val="0"/>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Cs w:val="21"/>
                <w:highlight w:val="none"/>
              </w:rPr>
              <w:t>造价负责人</w:t>
            </w:r>
          </w:p>
        </w:tc>
        <w:tc>
          <w:tcPr>
            <w:tcW w:w="582" w:type="dxa"/>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Cs w:val="21"/>
                <w:highlight w:val="none"/>
                <w:lang w:val="en-US" w:eastAsia="zh-CN"/>
              </w:rPr>
              <w:t>8</w:t>
            </w:r>
          </w:p>
        </w:tc>
        <w:tc>
          <w:tcPr>
            <w:tcW w:w="11350"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Cs w:val="21"/>
                <w:highlight w:val="none"/>
              </w:rPr>
              <w:t>从业能力：具有有效的注册造价师（或一级注册造价师）证书、或具有工程造价类专业副高级或以上技术职称，得</w:t>
            </w: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049" w:type="dxa"/>
            <w:gridSpan w:val="4"/>
          </w:tcPr>
          <w:p>
            <w:pPr>
              <w:pStyle w:val="4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p>
        </w:tc>
        <w:tc>
          <w:tcPr>
            <w:tcW w:w="11350" w:type="dxa"/>
            <w:gridSpan w:val="4"/>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注：①上述人员须提供身份证、毕业证书（大学专科（或以上）学历）及投标截止前一个月（</w:t>
            </w:r>
            <w:r>
              <w:rPr>
                <w:rFonts w:hint="eastAsia" w:ascii="宋体" w:hAnsi="宋体" w:cs="宋体"/>
                <w:color w:val="auto"/>
                <w:szCs w:val="21"/>
                <w:highlight w:val="none"/>
                <w:lang w:val="en-US" w:eastAsia="zh-CN"/>
              </w:rPr>
              <w:t>2024</w:t>
            </w:r>
            <w:r>
              <w:rPr>
                <w:rFonts w:hint="eastAsia" w:ascii="宋体" w:hAnsi="宋体" w:eastAsia="宋体" w:cs="宋体"/>
                <w:color w:val="auto"/>
                <w:szCs w:val="21"/>
                <w:highlight w:val="none"/>
              </w:rPr>
              <w:t>年</w:t>
            </w:r>
            <w:r>
              <w:rPr>
                <w:rFonts w:hint="eastAsia" w:ascii="宋体" w:hAnsi="宋体" w:cs="宋体"/>
                <w:color w:val="auto"/>
                <w:szCs w:val="21"/>
                <w:highlight w:val="none"/>
                <w:lang w:val="en-US" w:eastAsia="zh-CN"/>
              </w:rPr>
              <w:t>6</w:t>
            </w:r>
            <w:r>
              <w:rPr>
                <w:rFonts w:hint="eastAsia" w:ascii="宋体" w:hAnsi="宋体" w:eastAsia="宋体" w:cs="宋体"/>
                <w:color w:val="auto"/>
                <w:szCs w:val="21"/>
                <w:highlight w:val="none"/>
              </w:rPr>
              <w:t>月）有效社保证明，且须按相应要求提供职称证、有效期内的注册证及有效期内的安全生产考核合格证（B类）或安全生产考核合格证（C类）或或建筑施工企业项目负责人安全生产考核合格证书或建筑施工企业专职安全生产管理人员安全生产考核合格证书（C3），所有资料为扫描件并加盖投标人电子公章</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②项目负责人、技术负责人、质量负责人、安全负责人、造价负责人不得兼任，且安全负责人不能同时兼任专职安全员。</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③有效的注册造价工程师指根据原人事部、原建设部发布的《造价工程师执业资格制度暂行规定》（人发〔1996〕77号）取得的造价工程师执业资格，并经注册且在有效期内；有效的注册一级造价工程师资格指根据住房城乡建设部、交通运输部、水利部、人力资源社会保障部发布的《造价工程师职业资格制度规定》《造价工程师职业资格考试实施办法》（建人〔2018〕67号）取得的一级造价工程师职业资格，并经注册且在有效期内。</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④广东省建筑施工企业安全生产管理人员执行《广东省住房和城乡建设厅关于加快推进建筑施工企业安全生产管理人员考核合格证书电子证照办理相关工作的通知》（粤建质函〔2023〕754号），在10月底前完成换证业务，从2023年11月1日起，旧版电子证照停止使用。其他地区建筑施工企业安全生产管理人员执行属地安全生产管理人员考核合格证书电子证照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83" w:type="dxa"/>
            <w:vMerge w:val="restart"/>
            <w:vAlign w:val="center"/>
          </w:tcPr>
          <w:p>
            <w:pPr>
              <w:pStyle w:val="4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b w:val="0"/>
                <w:bCs/>
                <w:i w:val="0"/>
                <w:caps w:val="0"/>
                <w:color w:val="auto"/>
                <w:spacing w:val="0"/>
                <w:sz w:val="21"/>
                <w:szCs w:val="21"/>
                <w:highlight w:val="none"/>
                <w:u w:val="none"/>
                <w:shd w:val="clear" w:fill="FFFFFF"/>
                <w:vertAlign w:val="baseline"/>
              </w:rPr>
              <w:t>三、企业资信（30分）</w:t>
            </w:r>
          </w:p>
        </w:tc>
        <w:tc>
          <w:tcPr>
            <w:tcW w:w="1784" w:type="dxa"/>
            <w:gridSpan w:val="2"/>
            <w:vAlign w:val="center"/>
          </w:tcPr>
          <w:p>
            <w:pPr>
              <w:pStyle w:val="284"/>
              <w:keepNext w:val="0"/>
              <w:keepLines w:val="0"/>
              <w:pageBreakBefore w:val="0"/>
              <w:widowControl w:val="0"/>
              <w:kinsoku/>
              <w:wordWrap/>
              <w:overflowPunct/>
              <w:topLinePunct w:val="0"/>
              <w:autoSpaceDE/>
              <w:autoSpaceDN/>
              <w:bidi w:val="0"/>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rPr>
              <w:t>企业类似工程业绩</w:t>
            </w:r>
          </w:p>
        </w:tc>
        <w:tc>
          <w:tcPr>
            <w:tcW w:w="582" w:type="dxa"/>
            <w:vAlign w:val="center"/>
          </w:tcPr>
          <w:p>
            <w:pPr>
              <w:pStyle w:val="284"/>
              <w:keepNext w:val="0"/>
              <w:keepLines w:val="0"/>
              <w:pageBreakBefore w:val="0"/>
              <w:widowControl w:val="0"/>
              <w:kinsoku/>
              <w:wordWrap/>
              <w:overflowPunct/>
              <w:topLinePunct w:val="0"/>
              <w:autoSpaceDE/>
              <w:autoSpaceDN/>
              <w:bidi w:val="0"/>
              <w:spacing w:line="320" w:lineRule="exact"/>
              <w:jc w:val="center"/>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lang w:val="en-US" w:eastAsia="zh-CN"/>
              </w:rPr>
              <w:t>8</w:t>
            </w:r>
          </w:p>
        </w:tc>
        <w:tc>
          <w:tcPr>
            <w:tcW w:w="11350" w:type="dxa"/>
            <w:gridSpan w:val="4"/>
            <w:vAlign w:val="top"/>
          </w:tcPr>
          <w:p>
            <w:pPr>
              <w:pStyle w:val="284"/>
              <w:keepNext w:val="0"/>
              <w:keepLines w:val="0"/>
              <w:pageBreakBefore w:val="0"/>
              <w:widowControl w:val="0"/>
              <w:kinsoku/>
              <w:wordWrap/>
              <w:overflowPunct/>
              <w:topLinePunct w:val="0"/>
              <w:autoSpaceDE/>
              <w:autoSpaceDN/>
              <w:bidi w:val="0"/>
              <w:spacing w:line="320" w:lineRule="exact"/>
              <w:jc w:val="left"/>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kern w:val="2"/>
                <w:sz w:val="21"/>
                <w:szCs w:val="21"/>
                <w:highlight w:val="none"/>
                <w:lang w:val="en-US" w:eastAsia="zh-CN" w:bidi="ar-SA"/>
              </w:rPr>
              <w:t>投标人自</w:t>
            </w:r>
            <w:r>
              <w:rPr>
                <w:rFonts w:hint="eastAsia" w:ascii="宋体" w:hAnsi="宋体" w:eastAsia="宋体" w:cs="宋体"/>
                <w:color w:val="auto"/>
                <w:kern w:val="2"/>
                <w:sz w:val="21"/>
                <w:szCs w:val="21"/>
                <w:highlight w:val="none"/>
                <w:u w:val="single"/>
                <w:lang w:val="en-US" w:eastAsia="zh-CN" w:bidi="ar-SA"/>
              </w:rPr>
              <w:t>2019</w:t>
            </w:r>
            <w:r>
              <w:rPr>
                <w:rFonts w:hint="eastAsia" w:ascii="宋体" w:hAnsi="宋体" w:eastAsia="宋体" w:cs="宋体"/>
                <w:color w:val="auto"/>
                <w:kern w:val="2"/>
                <w:sz w:val="21"/>
                <w:szCs w:val="21"/>
                <w:highlight w:val="none"/>
                <w:lang w:val="en-US" w:eastAsia="zh-CN" w:bidi="ar-SA"/>
              </w:rPr>
              <w:t>年1月1日（近五年）至今完成过质量合格的</w:t>
            </w:r>
            <w:r>
              <w:rPr>
                <w:rFonts w:hint="eastAsia" w:ascii="宋体" w:hAnsi="宋体" w:eastAsia="宋体" w:cs="宋体"/>
                <w:color w:val="auto"/>
                <w:sz w:val="21"/>
                <w:szCs w:val="21"/>
                <w:highlight w:val="none"/>
                <w:lang w:val="en-US" w:eastAsia="zh-CN"/>
              </w:rPr>
              <w:t>且工程造价金额大于或等于</w:t>
            </w:r>
            <w:r>
              <w:rPr>
                <w:rFonts w:hint="eastAsia" w:ascii="宋体" w:hAnsi="宋体" w:eastAsia="宋体" w:cs="宋体"/>
                <w:color w:val="auto"/>
                <w:sz w:val="21"/>
                <w:szCs w:val="21"/>
                <w:highlight w:val="none"/>
                <w:u w:val="single"/>
                <w:lang w:val="en-US" w:eastAsia="zh-CN"/>
              </w:rPr>
              <w:t>2500</w:t>
            </w:r>
            <w:r>
              <w:rPr>
                <w:rFonts w:hint="eastAsia" w:ascii="宋体" w:hAnsi="宋体" w:eastAsia="宋体" w:cs="宋体"/>
                <w:color w:val="auto"/>
                <w:sz w:val="21"/>
                <w:szCs w:val="21"/>
                <w:highlight w:val="none"/>
                <w:lang w:val="en-US" w:eastAsia="zh-CN"/>
              </w:rPr>
              <w:t>万元</w:t>
            </w:r>
            <w:r>
              <w:rPr>
                <w:rFonts w:hint="eastAsia" w:ascii="宋体" w:hAnsi="宋体" w:eastAsia="宋体" w:cs="宋体"/>
                <w:color w:val="auto"/>
                <w:kern w:val="2"/>
                <w:sz w:val="21"/>
                <w:szCs w:val="21"/>
                <w:highlight w:val="none"/>
                <w:lang w:val="en-US" w:eastAsia="zh-CN" w:bidi="ar-SA"/>
              </w:rPr>
              <w:t>的【市政公用】工程</w:t>
            </w:r>
            <w:r>
              <w:rPr>
                <w:rFonts w:hint="eastAsia" w:ascii="宋体" w:hAnsi="宋体" w:eastAsia="宋体" w:cs="宋体"/>
                <w:color w:val="auto"/>
                <w:kern w:val="2"/>
                <w:sz w:val="21"/>
                <w:szCs w:val="21"/>
                <w:highlight w:val="none"/>
                <w:u w:val="single"/>
                <w:lang w:val="en-US" w:eastAsia="zh-CN" w:bidi="ar-SA"/>
              </w:rPr>
              <w:t>施工总承包或工程总承包施工部分业绩</w:t>
            </w:r>
            <w:r>
              <w:rPr>
                <w:rFonts w:hint="eastAsia" w:ascii="宋体" w:hAnsi="宋体" w:eastAsia="宋体" w:cs="宋体"/>
                <w:color w:val="auto"/>
                <w:sz w:val="21"/>
                <w:szCs w:val="21"/>
                <w:highlight w:val="none"/>
              </w:rPr>
              <w:t>一项得</w:t>
            </w:r>
            <w:r>
              <w:rPr>
                <w:rFonts w:hint="eastAsia" w:ascii="宋体" w:hAnsi="宋体" w:eastAsia="宋体" w:cs="宋体"/>
                <w:color w:val="auto"/>
                <w:sz w:val="21"/>
                <w:szCs w:val="21"/>
                <w:highlight w:val="none"/>
                <w:u w:val="single"/>
                <w:lang w:val="en-US" w:eastAsia="zh-CN"/>
              </w:rPr>
              <w:t>1</w:t>
            </w:r>
            <w:r>
              <w:rPr>
                <w:rFonts w:hint="eastAsia" w:ascii="宋体" w:hAnsi="宋体" w:eastAsia="宋体" w:cs="宋体"/>
                <w:color w:val="auto"/>
                <w:sz w:val="21"/>
                <w:szCs w:val="21"/>
                <w:highlight w:val="none"/>
              </w:rPr>
              <w:t>分，最多得8分。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83" w:type="dxa"/>
            <w:vMerge w:val="continue"/>
          </w:tcPr>
          <w:p>
            <w:pPr>
              <w:pStyle w:val="4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p>
        </w:tc>
        <w:tc>
          <w:tcPr>
            <w:tcW w:w="1784" w:type="dxa"/>
            <w:gridSpan w:val="2"/>
            <w:vAlign w:val="center"/>
          </w:tcPr>
          <w:p>
            <w:pPr>
              <w:pStyle w:val="284"/>
              <w:keepNext w:val="0"/>
              <w:keepLines w:val="0"/>
              <w:pageBreakBefore w:val="0"/>
              <w:widowControl w:val="0"/>
              <w:kinsoku/>
              <w:wordWrap/>
              <w:overflowPunct/>
              <w:topLinePunct w:val="0"/>
              <w:autoSpaceDE/>
              <w:autoSpaceDN/>
              <w:bidi w:val="0"/>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rPr>
              <w:t>企业工程项目获奖情况</w:t>
            </w:r>
          </w:p>
        </w:tc>
        <w:tc>
          <w:tcPr>
            <w:tcW w:w="582" w:type="dxa"/>
            <w:vAlign w:val="center"/>
          </w:tcPr>
          <w:p>
            <w:pPr>
              <w:pStyle w:val="284"/>
              <w:keepNext w:val="0"/>
              <w:keepLines w:val="0"/>
              <w:pageBreakBefore w:val="0"/>
              <w:widowControl w:val="0"/>
              <w:kinsoku/>
              <w:wordWrap/>
              <w:overflowPunct/>
              <w:topLinePunct w:val="0"/>
              <w:autoSpaceDE/>
              <w:autoSpaceDN/>
              <w:bidi w:val="0"/>
              <w:spacing w:line="320" w:lineRule="exact"/>
              <w:jc w:val="center"/>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lang w:val="en-US" w:eastAsia="zh-CN"/>
              </w:rPr>
              <w:t>8</w:t>
            </w:r>
          </w:p>
        </w:tc>
        <w:tc>
          <w:tcPr>
            <w:tcW w:w="11350" w:type="dxa"/>
            <w:gridSpan w:val="4"/>
            <w:vAlign w:val="top"/>
          </w:tcPr>
          <w:p>
            <w:pPr>
              <w:keepNext w:val="0"/>
              <w:keepLines w:val="0"/>
              <w:pageBreakBefore w:val="0"/>
              <w:widowControl w:val="0"/>
              <w:kinsoku/>
              <w:wordWrap/>
              <w:overflowPunct/>
              <w:topLinePunct w:val="0"/>
              <w:autoSpaceDE/>
              <w:autoSpaceDN/>
              <w:bidi w:val="0"/>
              <w:spacing w:line="320" w:lineRule="exact"/>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rPr>
              <w:t>企业自</w:t>
            </w:r>
            <w:r>
              <w:rPr>
                <w:rFonts w:hint="eastAsia" w:ascii="宋体" w:hAnsi="宋体" w:eastAsia="宋体" w:cs="宋体"/>
                <w:color w:val="auto"/>
                <w:sz w:val="21"/>
                <w:szCs w:val="21"/>
                <w:highlight w:val="none"/>
                <w:u w:val="single"/>
                <w:lang w:val="en-US" w:eastAsia="zh-CN"/>
              </w:rPr>
              <w:t>202</w:t>
            </w:r>
            <w:r>
              <w:rPr>
                <w:rFonts w:hint="eastAsia" w:ascii="宋体" w:hAnsi="宋体" w:cs="宋体"/>
                <w:color w:val="auto"/>
                <w:sz w:val="21"/>
                <w:szCs w:val="21"/>
                <w:highlight w:val="none"/>
                <w:u w:val="single"/>
                <w:lang w:val="en-US" w:eastAsia="zh-CN"/>
              </w:rPr>
              <w:t>1</w:t>
            </w:r>
            <w:r>
              <w:rPr>
                <w:rFonts w:hint="eastAsia" w:ascii="宋体" w:hAnsi="宋体" w:eastAsia="宋体" w:cs="宋体"/>
                <w:color w:val="auto"/>
                <w:sz w:val="21"/>
                <w:szCs w:val="21"/>
                <w:highlight w:val="none"/>
              </w:rPr>
              <w:t>年1月1日（近三年）至今获得【市政公用】工程的市级或以上</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rPr>
              <w:t>质量或安全文明奖项，一项得</w:t>
            </w:r>
            <w:r>
              <w:rPr>
                <w:rFonts w:hint="eastAsia" w:ascii="宋体" w:hAnsi="宋体" w:eastAsia="宋体" w:cs="宋体"/>
                <w:color w:val="auto"/>
                <w:sz w:val="21"/>
                <w:szCs w:val="21"/>
                <w:highlight w:val="none"/>
                <w:u w:val="single"/>
              </w:rPr>
              <w:t>1</w:t>
            </w:r>
            <w:r>
              <w:rPr>
                <w:rFonts w:hint="eastAsia" w:ascii="宋体" w:hAnsi="宋体" w:eastAsia="宋体" w:cs="宋体"/>
                <w:color w:val="auto"/>
                <w:sz w:val="21"/>
                <w:szCs w:val="21"/>
                <w:highlight w:val="none"/>
              </w:rPr>
              <w:t>分，最多得8分。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83" w:type="dxa"/>
            <w:vMerge w:val="continue"/>
          </w:tcPr>
          <w:p>
            <w:pPr>
              <w:pStyle w:val="4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p>
        </w:tc>
        <w:tc>
          <w:tcPr>
            <w:tcW w:w="1784" w:type="dxa"/>
            <w:gridSpan w:val="2"/>
            <w:vAlign w:val="center"/>
          </w:tcPr>
          <w:p>
            <w:pPr>
              <w:pStyle w:val="284"/>
              <w:keepNext w:val="0"/>
              <w:keepLines w:val="0"/>
              <w:pageBreakBefore w:val="0"/>
              <w:widowControl w:val="0"/>
              <w:kinsoku/>
              <w:wordWrap/>
              <w:overflowPunct/>
              <w:topLinePunct w:val="0"/>
              <w:autoSpaceDE/>
              <w:autoSpaceDN/>
              <w:bidi w:val="0"/>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rPr>
              <w:t>企业工程研发能力</w:t>
            </w:r>
          </w:p>
        </w:tc>
        <w:tc>
          <w:tcPr>
            <w:tcW w:w="582" w:type="dxa"/>
            <w:vAlign w:val="center"/>
          </w:tcPr>
          <w:p>
            <w:pPr>
              <w:pStyle w:val="284"/>
              <w:keepNext w:val="0"/>
              <w:keepLines w:val="0"/>
              <w:pageBreakBefore w:val="0"/>
              <w:widowControl w:val="0"/>
              <w:kinsoku/>
              <w:wordWrap/>
              <w:overflowPunct/>
              <w:topLinePunct w:val="0"/>
              <w:autoSpaceDE/>
              <w:autoSpaceDN/>
              <w:bidi w:val="0"/>
              <w:spacing w:line="320" w:lineRule="exact"/>
              <w:jc w:val="center"/>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lang w:val="en-US" w:eastAsia="zh-CN"/>
              </w:rPr>
              <w:t>8</w:t>
            </w:r>
          </w:p>
        </w:tc>
        <w:tc>
          <w:tcPr>
            <w:tcW w:w="11350" w:type="dxa"/>
            <w:gridSpan w:val="4"/>
            <w:vAlign w:val="top"/>
          </w:tcPr>
          <w:p>
            <w:pPr>
              <w:keepNext w:val="0"/>
              <w:keepLines w:val="0"/>
              <w:pageBreakBefore w:val="0"/>
              <w:widowControl w:val="0"/>
              <w:kinsoku/>
              <w:wordWrap/>
              <w:overflowPunct/>
              <w:topLinePunct w:val="0"/>
              <w:autoSpaceDE/>
              <w:autoSpaceDN/>
              <w:bidi w:val="0"/>
              <w:spacing w:line="320" w:lineRule="exact"/>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rPr>
              <w:t>投标人自</w:t>
            </w:r>
            <w:r>
              <w:rPr>
                <w:rFonts w:hint="eastAsia" w:ascii="宋体" w:hAnsi="宋体" w:eastAsia="宋体" w:cs="宋体"/>
                <w:color w:val="auto"/>
                <w:sz w:val="21"/>
                <w:szCs w:val="21"/>
                <w:highlight w:val="none"/>
                <w:u w:val="single"/>
                <w:lang w:val="en-US" w:eastAsia="zh-CN"/>
              </w:rPr>
              <w:t>202</w:t>
            </w:r>
            <w:r>
              <w:rPr>
                <w:rFonts w:hint="eastAsia" w:ascii="宋体" w:hAnsi="宋体" w:cs="宋体"/>
                <w:color w:val="auto"/>
                <w:sz w:val="21"/>
                <w:szCs w:val="21"/>
                <w:highlight w:val="none"/>
                <w:u w:val="single"/>
                <w:lang w:val="en-US" w:eastAsia="zh-CN"/>
              </w:rPr>
              <w:t>1</w:t>
            </w:r>
            <w:r>
              <w:rPr>
                <w:rFonts w:hint="eastAsia" w:ascii="宋体" w:hAnsi="宋体" w:eastAsia="宋体" w:cs="宋体"/>
                <w:color w:val="auto"/>
                <w:sz w:val="21"/>
                <w:szCs w:val="21"/>
                <w:highlight w:val="none"/>
              </w:rPr>
              <w:t>年1月1日（近三年）至今，主要完成单位或独立完成单位获得省级或以上工法证书奖项，</w:t>
            </w:r>
            <w:r>
              <w:rPr>
                <w:rFonts w:hint="eastAsia" w:ascii="宋体" w:hAnsi="宋体" w:eastAsia="宋体" w:cs="宋体"/>
                <w:strike w:val="0"/>
                <w:dstrike w:val="0"/>
                <w:color w:val="auto"/>
                <w:sz w:val="21"/>
                <w:szCs w:val="21"/>
                <w:highlight w:val="none"/>
              </w:rPr>
              <w:t>一项得</w:t>
            </w:r>
            <w:r>
              <w:rPr>
                <w:rFonts w:hint="eastAsia" w:ascii="宋体" w:hAnsi="宋体" w:eastAsia="宋体" w:cs="宋体"/>
                <w:strike w:val="0"/>
                <w:dstrike w:val="0"/>
                <w:color w:val="auto"/>
                <w:sz w:val="21"/>
                <w:szCs w:val="21"/>
                <w:highlight w:val="none"/>
                <w:u w:val="single"/>
                <w:lang w:val="en-US" w:eastAsia="zh-CN"/>
              </w:rPr>
              <w:t>2</w:t>
            </w:r>
            <w:r>
              <w:rPr>
                <w:rFonts w:hint="eastAsia" w:ascii="宋体" w:hAnsi="宋体" w:eastAsia="宋体" w:cs="宋体"/>
                <w:strike w:val="0"/>
                <w:dstrike w:val="0"/>
                <w:color w:val="auto"/>
                <w:sz w:val="21"/>
                <w:szCs w:val="21"/>
                <w:highlight w:val="none"/>
              </w:rPr>
              <w:t>分，最多得8分。</w:t>
            </w:r>
            <w:r>
              <w:rPr>
                <w:rFonts w:hint="eastAsia" w:ascii="宋体" w:hAnsi="宋体" w:eastAsia="宋体" w:cs="宋体"/>
                <w:color w:val="auto"/>
                <w:sz w:val="21"/>
                <w:szCs w:val="21"/>
                <w:highlight w:val="none"/>
              </w:rPr>
              <w:t>相同工法按最高级别奖项只计一次得分；本项最多得</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83" w:type="dxa"/>
            <w:vMerge w:val="continue"/>
          </w:tcPr>
          <w:p>
            <w:pPr>
              <w:pStyle w:val="4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p>
        </w:tc>
        <w:tc>
          <w:tcPr>
            <w:tcW w:w="1784" w:type="dxa"/>
            <w:gridSpan w:val="2"/>
            <w:vAlign w:val="center"/>
          </w:tcPr>
          <w:p>
            <w:pPr>
              <w:pStyle w:val="284"/>
              <w:keepNext w:val="0"/>
              <w:keepLines w:val="0"/>
              <w:pageBreakBefore w:val="0"/>
              <w:widowControl w:val="0"/>
              <w:kinsoku/>
              <w:wordWrap/>
              <w:overflowPunct/>
              <w:topLinePunct w:val="0"/>
              <w:autoSpaceDE/>
              <w:autoSpaceDN/>
              <w:bidi w:val="0"/>
              <w:spacing w:line="320" w:lineRule="exact"/>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rPr>
              <w:t>第三方评价</w:t>
            </w:r>
          </w:p>
        </w:tc>
        <w:tc>
          <w:tcPr>
            <w:tcW w:w="582" w:type="dxa"/>
            <w:vAlign w:val="center"/>
          </w:tcPr>
          <w:p>
            <w:pPr>
              <w:pStyle w:val="284"/>
              <w:keepNext w:val="0"/>
              <w:keepLines w:val="0"/>
              <w:pageBreakBefore w:val="0"/>
              <w:widowControl w:val="0"/>
              <w:kinsoku/>
              <w:wordWrap/>
              <w:overflowPunct/>
              <w:topLinePunct w:val="0"/>
              <w:autoSpaceDE/>
              <w:autoSpaceDN/>
              <w:bidi w:val="0"/>
              <w:spacing w:line="320" w:lineRule="exact"/>
              <w:jc w:val="center"/>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color w:val="auto"/>
                <w:sz w:val="21"/>
                <w:szCs w:val="21"/>
                <w:highlight w:val="none"/>
              </w:rPr>
              <w:t>6</w:t>
            </w:r>
          </w:p>
        </w:tc>
        <w:tc>
          <w:tcPr>
            <w:tcW w:w="11350" w:type="dxa"/>
            <w:gridSpan w:val="4"/>
            <w:vAlign w:val="top"/>
          </w:tcPr>
          <w:p>
            <w:pPr>
              <w:keepNext w:val="0"/>
              <w:keepLines w:val="0"/>
              <w:pageBreakBefore w:val="0"/>
              <w:widowControl w:val="0"/>
              <w:kinsoku/>
              <w:wordWrap/>
              <w:overflowPunct/>
              <w:topLinePunct w:val="0"/>
              <w:autoSpaceDE/>
              <w:autoSpaceDN/>
              <w:bidi w:val="0"/>
              <w:spacing w:line="320" w:lineRule="exact"/>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b w:val="0"/>
                <w:bCs/>
                <w:i w:val="0"/>
                <w:caps w:val="0"/>
                <w:color w:val="auto"/>
                <w:spacing w:val="0"/>
                <w:sz w:val="21"/>
                <w:szCs w:val="21"/>
                <w:highlight w:val="none"/>
                <w:u w:val="none"/>
                <w:shd w:val="clear" w:fill="FFFFFF"/>
                <w:vertAlign w:val="baseline"/>
              </w:rPr>
              <w:t>按各企业自</w:t>
            </w:r>
            <w:r>
              <w:rPr>
                <w:rFonts w:hint="eastAsia" w:ascii="宋体" w:hAnsi="宋体" w:eastAsia="宋体" w:cs="宋体"/>
                <w:b w:val="0"/>
                <w:bCs/>
                <w:i w:val="0"/>
                <w:caps w:val="0"/>
                <w:color w:val="auto"/>
                <w:spacing w:val="0"/>
                <w:sz w:val="21"/>
                <w:szCs w:val="21"/>
                <w:highlight w:val="none"/>
                <w:u w:val="single"/>
                <w:shd w:val="clear" w:fill="FFFFFF"/>
                <w:vertAlign w:val="baseline"/>
              </w:rPr>
              <w:t>2021</w:t>
            </w:r>
            <w:r>
              <w:rPr>
                <w:rFonts w:hint="eastAsia" w:ascii="宋体" w:hAnsi="宋体" w:eastAsia="宋体" w:cs="宋体"/>
                <w:b w:val="0"/>
                <w:bCs/>
                <w:i w:val="0"/>
                <w:caps w:val="0"/>
                <w:color w:val="auto"/>
                <w:spacing w:val="0"/>
                <w:sz w:val="21"/>
                <w:szCs w:val="21"/>
                <w:highlight w:val="none"/>
                <w:u w:val="none"/>
                <w:shd w:val="clear" w:fill="FFFFFF"/>
                <w:vertAlign w:val="baseline"/>
              </w:rPr>
              <w:t>年</w:t>
            </w:r>
            <w:r>
              <w:rPr>
                <w:rFonts w:hint="eastAsia" w:ascii="宋体" w:hAnsi="宋体" w:cs="宋体"/>
                <w:b w:val="0"/>
                <w:bCs/>
                <w:i w:val="0"/>
                <w:caps w:val="0"/>
                <w:color w:val="auto"/>
                <w:spacing w:val="0"/>
                <w:sz w:val="21"/>
                <w:szCs w:val="21"/>
                <w:highlight w:val="none"/>
                <w:u w:val="none"/>
                <w:shd w:val="clear" w:fill="FFFFFF"/>
                <w:vertAlign w:val="baseline"/>
                <w:lang w:eastAsia="zh-CN"/>
              </w:rPr>
              <w:t>，</w:t>
            </w:r>
            <w:r>
              <w:rPr>
                <w:rFonts w:hint="eastAsia" w:ascii="宋体" w:hAnsi="宋体" w:eastAsia="宋体" w:cs="宋体"/>
                <w:b w:val="0"/>
                <w:bCs/>
                <w:i w:val="0"/>
                <w:caps w:val="0"/>
                <w:color w:val="auto"/>
                <w:spacing w:val="0"/>
                <w:sz w:val="21"/>
                <w:szCs w:val="21"/>
                <w:highlight w:val="none"/>
                <w:u w:val="none"/>
                <w:shd w:val="clear" w:fill="FFFFFF"/>
                <w:vertAlign w:val="baseline"/>
              </w:rPr>
              <w:t>至今获得过税务机关评定的“A级纳税人”称号得6分； 获得过税务机关评定的“B级纳税人”称号得3分；获得过税务机关评定的“M级纳税人”称号得1分。最多得6分。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67" w:type="dxa"/>
            <w:gridSpan w:val="3"/>
            <w:vAlign w:val="center"/>
          </w:tcPr>
          <w:p>
            <w:pPr>
              <w:pStyle w:val="4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r>
              <w:rPr>
                <w:rFonts w:hint="eastAsia" w:ascii="宋体" w:hAnsi="宋体" w:eastAsia="宋体" w:cs="宋体"/>
                <w:b w:val="0"/>
                <w:bCs/>
                <w:i w:val="0"/>
                <w:caps w:val="0"/>
                <w:color w:val="auto"/>
                <w:spacing w:val="0"/>
                <w:sz w:val="21"/>
                <w:szCs w:val="21"/>
                <w:highlight w:val="none"/>
                <w:u w:val="none"/>
                <w:shd w:val="clear" w:fill="FFFFFF"/>
                <w:vertAlign w:val="baseline"/>
              </w:rPr>
              <w:t>合计（一+二+三）</w:t>
            </w:r>
          </w:p>
        </w:tc>
        <w:tc>
          <w:tcPr>
            <w:tcW w:w="582" w:type="dxa"/>
            <w:vAlign w:val="center"/>
          </w:tcPr>
          <w:p>
            <w:pPr>
              <w:pStyle w:val="4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eastAsia" w:ascii="宋体" w:hAnsi="宋体" w:eastAsia="宋体" w:cs="宋体"/>
                <w:b w:val="0"/>
                <w:bCs/>
                <w:i w:val="0"/>
                <w:caps w:val="0"/>
                <w:color w:val="auto"/>
                <w:spacing w:val="0"/>
                <w:sz w:val="21"/>
                <w:szCs w:val="21"/>
                <w:highlight w:val="none"/>
                <w:u w:val="none"/>
                <w:shd w:val="clear" w:fill="FFFFFF"/>
                <w:vertAlign w:val="baseline"/>
                <w:lang w:val="en-US" w:eastAsia="zh-CN"/>
              </w:rPr>
            </w:pPr>
            <w:r>
              <w:rPr>
                <w:rFonts w:hint="eastAsia" w:ascii="宋体" w:hAnsi="宋体" w:eastAsia="宋体" w:cs="宋体"/>
                <w:b w:val="0"/>
                <w:bCs/>
                <w:i w:val="0"/>
                <w:caps w:val="0"/>
                <w:color w:val="auto"/>
                <w:spacing w:val="0"/>
                <w:sz w:val="21"/>
                <w:szCs w:val="21"/>
                <w:highlight w:val="none"/>
                <w:u w:val="none"/>
                <w:shd w:val="clear" w:fill="FFFFFF"/>
                <w:vertAlign w:val="baseline"/>
                <w:lang w:val="en-US" w:eastAsia="zh-CN"/>
              </w:rPr>
              <w:t>100</w:t>
            </w:r>
          </w:p>
        </w:tc>
        <w:tc>
          <w:tcPr>
            <w:tcW w:w="11350" w:type="dxa"/>
            <w:gridSpan w:val="4"/>
          </w:tcPr>
          <w:p>
            <w:pPr>
              <w:pStyle w:val="4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宋体" w:hAnsi="宋体" w:eastAsia="宋体" w:cs="宋体"/>
                <w:b w:val="0"/>
                <w:bCs/>
                <w:i w:val="0"/>
                <w:caps w:val="0"/>
                <w:color w:val="auto"/>
                <w:spacing w:val="0"/>
                <w:sz w:val="21"/>
                <w:szCs w:val="21"/>
                <w:highlight w:val="none"/>
                <w:u w:val="none"/>
                <w:shd w:val="clear" w:fill="FFFFFF"/>
                <w:vertAlign w:val="baseline"/>
              </w:rPr>
            </w:pPr>
          </w:p>
        </w:tc>
      </w:tr>
    </w:tbl>
    <w:p>
      <w:pPr>
        <w:pStyle w:val="284"/>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备注</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评委对业绩认定意见不一致时，则由招标人解释招标文件后，评委讨论业绩认定标准；经讨论后标准仍不一致时，则按少数服从多数处理。按少数服从多数仍不能形成一致意见时，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pStyle w:val="284"/>
        <w:keepNext w:val="0"/>
        <w:keepLines w:val="0"/>
        <w:pageBreakBefore w:val="0"/>
        <w:widowControl w:val="0"/>
        <w:kinsoku/>
        <w:wordWrap/>
        <w:overflowPunct/>
        <w:topLinePunct w:val="0"/>
        <w:autoSpaceDE/>
        <w:autoSpaceDN/>
        <w:bidi w:val="0"/>
        <w:adjustRightInd/>
        <w:snapToGrid/>
        <w:spacing w:line="32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2.企业类似工程业绩：</w:t>
      </w:r>
    </w:p>
    <w:p>
      <w:pPr>
        <w:pStyle w:val="284"/>
        <w:keepNext w:val="0"/>
        <w:keepLines w:val="0"/>
        <w:pageBreakBefore w:val="0"/>
        <w:widowControl w:val="0"/>
        <w:kinsoku/>
        <w:wordWrap/>
        <w:overflowPunct/>
        <w:topLinePunct w:val="0"/>
        <w:autoSpaceDE/>
        <w:autoSpaceDN/>
        <w:bidi w:val="0"/>
        <w:adjustRightInd/>
        <w:snapToGrid/>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业绩需提供相关证明材料。其中：工程总承包业绩包括勘察设计施工总承包或设计施工总承包或设计采购施工总承包或勘察设计采购施工总承包业绩等。投标人须提供业绩的中标通知书或免招标的相关证明、招标公告网页首页完整截图(需显示网址）（适用于公开招标项目）、中标公示或中标候选人公示完整截图(需显示网址）（适用于公开招标项目）、施工合同或工程总承包合同（不含补充合同）、竣工验收证明文件（验收文件至少具有建设单位、设计、施工和监理单位盖章）。完成时间以竣工验收证明材料为准。业绩金额以业绩中标通知书为准，若中标通知书没有显示中标金额或免招标的，以施工合同或工程总承包合同的施工费合同金额为准（不含补充合同）。上述资料显示的内容须一致且工程业绩须为</w:t>
      </w:r>
      <w:r>
        <w:rPr>
          <w:rFonts w:hint="eastAsia" w:ascii="宋体" w:hAnsi="宋体" w:eastAsia="宋体" w:cs="宋体"/>
          <w:color w:val="auto"/>
          <w:sz w:val="21"/>
          <w:szCs w:val="21"/>
          <w:highlight w:val="none"/>
          <w:u w:val="single"/>
        </w:rPr>
        <w:t>市政公用工程施工总承包</w:t>
      </w:r>
      <w:r>
        <w:rPr>
          <w:rFonts w:hint="eastAsia" w:ascii="宋体" w:hAnsi="宋体" w:eastAsia="宋体" w:cs="宋体"/>
          <w:color w:val="auto"/>
          <w:sz w:val="21"/>
          <w:szCs w:val="21"/>
          <w:highlight w:val="none"/>
        </w:rPr>
        <w:t>资质方能承接的业绩。不符合上述条件或提供的资料不齐全的业绩不予评审。评标委员会对业绩的评审以投标人提供的完整的证明资料为依据（提供相关证明材料的，中标单位须准备相关证明材料的原件待查，如原件不齐或与投标文件不符的，招标人有权取消其中标人资格，并上报建设行政主管部门）。其中，市政公用工程包括：给水工程、排水工程、燃气工程、热力工程、城市道路工程、城市桥梁工程、城市隧道工程（指城市规划区内的穿山过江隧道、地铁隧道、地下交通工程、地下过街通道）、公共交通工程、轨道交通工程、环境卫生工程、照明工程、绿化工程。其中，若公开招标项目因客观事实无法提供招标公告网页首页截图、中标公示（中标候选人公示）网页截图的，投标人可出具单位盖章的说明情况（及相关证明）并承诺其资料真实性，若公示阶段期间投标人因此被举证存在上述网页截图的，招标人有权按《投标人声明》执行，若投标人未出具任何说明情况（及相关证明），则按不符合上述条件或提供的资料不齐全的执行。</w:t>
      </w:r>
    </w:p>
    <w:p>
      <w:pPr>
        <w:pStyle w:val="284"/>
        <w:keepNext w:val="0"/>
        <w:keepLines w:val="0"/>
        <w:pageBreakBefore w:val="0"/>
        <w:widowControl w:val="0"/>
        <w:kinsoku/>
        <w:wordWrap/>
        <w:overflowPunct/>
        <w:topLinePunct w:val="0"/>
        <w:autoSpaceDE/>
        <w:autoSpaceDN/>
        <w:bidi w:val="0"/>
        <w:adjustRightInd/>
        <w:snapToGrid/>
        <w:spacing w:line="32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3.企业工程项目获奖情况：</w:t>
      </w:r>
    </w:p>
    <w:p>
      <w:pPr>
        <w:keepNext w:val="0"/>
        <w:keepLines w:val="0"/>
        <w:pageBreakBefore w:val="0"/>
        <w:widowControl w:val="0"/>
        <w:pBdr>
          <w:bottom w:val="none" w:color="auto" w:sz="0" w:space="0"/>
        </w:pBdr>
        <w:kinsoku/>
        <w:wordWrap/>
        <w:overflowPunct/>
        <w:topLinePunct w:val="0"/>
        <w:autoSpaceDE/>
        <w:autoSpaceDN/>
        <w:bidi w:val="0"/>
        <w:adjustRightInd/>
        <w:snapToGrid/>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只评质量或安全文明奖，不包含技术创新、QC成果、科技进步及技术应用类奖项。需提供获奖网页信息完整截图(需显示网址）及奖项证书扫描件，时间以发证时间为准，并提供可明确该质量奖项背景项目为市政公用工程项目证明材料（如招标公告或其他证明材料）。同一项目按最高级别奖项只计一次得分，以证书发证日期为准。若颁发机构非政府相关部门，还需提供该组织在“全国社会组织信用信息公示平台（试运行）”网站（https://xxgs.chinanpo.mca.gov.cn/gsxt/newList）（注：由于全国社会组织信用信息公示平台（试运行）属于试运行，平台名称及网址若有更新，以最新发布的为准。）“全国社会组织信用信息公示平台”栏查询结果完整截图(需显示网址），同时须提供其在查询结果“状态”栏必须为“正常”。其中，市政公用工程包括：给水工程、排水工程、燃气工程、热力工程、城市道路工程、城市桥梁工程、城市隧道工程（指城市规划区内的穿山过江隧道、地铁隧道、地下交通工程、地下过街通道）、公共交通工程、轨道交通工程、环境卫生工程、照明工程、绿化工程。</w:t>
      </w:r>
    </w:p>
    <w:p>
      <w:pPr>
        <w:pStyle w:val="284"/>
        <w:keepNext w:val="0"/>
        <w:keepLines w:val="0"/>
        <w:pageBreakBefore w:val="0"/>
        <w:widowControl w:val="0"/>
        <w:kinsoku/>
        <w:wordWrap/>
        <w:overflowPunct/>
        <w:topLinePunct w:val="0"/>
        <w:autoSpaceDE/>
        <w:autoSpaceDN/>
        <w:bidi w:val="0"/>
        <w:adjustRightInd/>
        <w:snapToGrid/>
        <w:spacing w:line="32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4.企业工程研发能力：</w:t>
      </w:r>
    </w:p>
    <w:p>
      <w:pPr>
        <w:pStyle w:val="284"/>
        <w:keepNext w:val="0"/>
        <w:keepLines w:val="0"/>
        <w:pageBreakBefore w:val="0"/>
        <w:widowControl w:val="0"/>
        <w:kinsoku/>
        <w:wordWrap/>
        <w:overflowPunct/>
        <w:topLinePunct w:val="0"/>
        <w:autoSpaceDE/>
        <w:autoSpaceDN/>
        <w:bidi w:val="0"/>
        <w:adjustRightInd/>
        <w:snapToGrid/>
        <w:spacing w:line="320" w:lineRule="exact"/>
        <w:ind w:firstLine="420" w:firstLineChars="200"/>
        <w:rPr>
          <w:rFonts w:hint="eastAsia" w:ascii="宋体" w:hAnsi="宋体" w:eastAsia="宋体" w:cs="宋体"/>
          <w:strike/>
          <w:dstrike w:val="0"/>
          <w:color w:val="auto"/>
          <w:sz w:val="21"/>
          <w:szCs w:val="21"/>
          <w:highlight w:val="none"/>
        </w:rPr>
      </w:pPr>
      <w:r>
        <w:rPr>
          <w:rFonts w:hint="eastAsia" w:ascii="宋体" w:hAnsi="宋体" w:eastAsia="宋体" w:cs="宋体"/>
          <w:color w:val="auto"/>
          <w:sz w:val="21"/>
          <w:szCs w:val="21"/>
          <w:highlight w:val="none"/>
        </w:rPr>
        <w:t>省级或以上工法奖，需提供经建设行政主管部门认定的获奖证书原件扫描件。证书上应可反映其为【市政工程】类工法，若无法反映，需提供建设职能部门（或其主管的行业协会）出具的科学技术成果鉴定证书扫描件，并且在科学技术成果鉴定证书中需能反映该工法的研究背景项目为【市政工程】类项目，无法证明该工法为【市政工程】类项目获得的工法不得分。相同工法按最高级别奖项只计一次得分。获奖时间以发证时间为准。如颁奖单位为协会的，还须提供其在“全国社会组织信用信息公示平台（试运行）”网站（https://xxgs.chinanpo.mca.gov.cn/gsxt/newList）（注：由于全国社会组织信用信息公示平台（试运行）属于试运行，平台名称及网址若有更新，以最新发布的为准。）“全国社会组织信用信息公示平台”栏查询结果截图，同时须提供其在查询结果“状态”栏必须为“正常”，证明其有登记备案，否则不得分。</w:t>
      </w:r>
    </w:p>
    <w:p>
      <w:pPr>
        <w:pStyle w:val="284"/>
        <w:keepNext w:val="0"/>
        <w:keepLines w:val="0"/>
        <w:pageBreakBefore w:val="0"/>
        <w:widowControl w:val="0"/>
        <w:kinsoku/>
        <w:wordWrap/>
        <w:overflowPunct/>
        <w:topLinePunct w:val="0"/>
        <w:autoSpaceDE/>
        <w:autoSpaceDN/>
        <w:bidi w:val="0"/>
        <w:adjustRightInd/>
        <w:snapToGrid/>
        <w:spacing w:line="32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5.第三方评价：</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baseline"/>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纳税信用A级纳税人”须提供国家税务总局官网（http://www.chinatax.gov.cn/）“纳税信用A级纳税人名单公布栏”查询结果网页截图或其省级（含直辖市）税务局官网“纳税信用A级纳税人名单公布栏”查询结果网页截图，时间以国家税务总局或其省级（含直辖市）税务局网站纳税信用信息查询结果的网页截图公布的评价年度为准。“B级纳税人”和“M级纳税人”须提供省级或以上的税务机关颁发的相应等级证书原件清晰扫描件或省级以上税务局官网“纳税信用”等级查询结果网页截图，时间以证书或网页截图公布的评价年度为准。按最高等级计算，且只计算一次。上述资料显示的纳税人全称须与投标人名称一致，否则不得分。不满足上述要求或无提交上述资料不得分。</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本表按百分制评分，所有评委每个分项的分数汇总后去掉一个最高分和一个最低分的算术平均值为投标人的最终得分。分数出现小数点，保留小数点后二位小数，第三位小数四舍五入,若投标人满足多个档次的，按最高档计分一次，不累计。</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7</w:t>
      </w:r>
      <w:r>
        <w:rPr>
          <w:rFonts w:hint="eastAsia" w:ascii="宋体" w:hAnsi="宋体" w:eastAsia="宋体" w:cs="宋体"/>
          <w:color w:val="auto"/>
          <w:kern w:val="0"/>
          <w:sz w:val="21"/>
          <w:szCs w:val="21"/>
          <w:highlight w:val="none"/>
        </w:rPr>
        <w:t>.项目管理机构人员不得兼任。</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8</w:t>
      </w:r>
      <w:r>
        <w:rPr>
          <w:rFonts w:hint="eastAsia" w:ascii="宋体" w:hAnsi="宋体" w:eastAsia="宋体" w:cs="宋体"/>
          <w:color w:val="auto"/>
          <w:kern w:val="0"/>
          <w:sz w:val="21"/>
          <w:szCs w:val="21"/>
          <w:highlight w:val="none"/>
        </w:rPr>
        <w:t>.除了项目组织管理机构能力可计算投标人的分公司（不具备独立法人）或投标人的分支机构（不具备独立法人）外，评分表内其他评分项目只计算投标人自身（不计算投标人的分公司、子公司和分支机构），否则不得分。</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baseline"/>
        <w:rPr>
          <w:rFonts w:hint="eastAsia" w:ascii="宋体" w:hAnsi="宋体" w:eastAsia="宋体" w:cs="宋体"/>
          <w:color w:val="auto"/>
          <w:kern w:val="0"/>
          <w:sz w:val="21"/>
          <w:szCs w:val="21"/>
          <w:highlight w:val="none"/>
          <w:u w:val="single"/>
        </w:rPr>
      </w:pPr>
      <w:r>
        <w:rPr>
          <w:rFonts w:hint="eastAsia" w:ascii="宋体" w:hAnsi="宋体" w:eastAsia="宋体" w:cs="宋体"/>
          <w:color w:val="auto"/>
          <w:kern w:val="0"/>
          <w:sz w:val="21"/>
          <w:szCs w:val="21"/>
          <w:highlight w:val="none"/>
          <w:u w:val="single"/>
          <w:lang w:val="en-US" w:eastAsia="zh-CN"/>
        </w:rPr>
        <w:t>9</w:t>
      </w:r>
      <w:r>
        <w:rPr>
          <w:rFonts w:hint="eastAsia" w:ascii="宋体" w:hAnsi="宋体" w:eastAsia="宋体" w:cs="宋体"/>
          <w:color w:val="auto"/>
          <w:kern w:val="0"/>
          <w:sz w:val="21"/>
          <w:szCs w:val="21"/>
          <w:highlight w:val="none"/>
          <w:u w:val="single"/>
        </w:rPr>
        <w:t>.若为联合体，只计算主办方得分。</w:t>
      </w:r>
    </w:p>
    <w:p>
      <w:pPr>
        <w:pStyle w:val="284"/>
        <w:ind w:firstLine="420"/>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kern w:val="0"/>
          <w:sz w:val="21"/>
          <w:szCs w:val="21"/>
          <w:highlight w:val="none"/>
          <w:u w:val="single"/>
        </w:rPr>
        <w:t>1</w:t>
      </w:r>
      <w:r>
        <w:rPr>
          <w:rFonts w:hint="eastAsia" w:ascii="宋体" w:hAnsi="宋体" w:eastAsia="宋体" w:cs="宋体"/>
          <w:color w:val="auto"/>
          <w:kern w:val="0"/>
          <w:sz w:val="21"/>
          <w:szCs w:val="21"/>
          <w:highlight w:val="none"/>
          <w:u w:val="single"/>
          <w:lang w:val="en-US" w:eastAsia="zh-CN"/>
        </w:rPr>
        <w:t>0</w:t>
      </w:r>
      <w:r>
        <w:rPr>
          <w:rFonts w:hint="eastAsia" w:ascii="宋体" w:hAnsi="宋体" w:eastAsia="宋体" w:cs="宋体"/>
          <w:color w:val="auto"/>
          <w:kern w:val="0"/>
          <w:sz w:val="21"/>
          <w:szCs w:val="21"/>
          <w:highlight w:val="none"/>
          <w:u w:val="single"/>
        </w:rPr>
        <w:t>.投标人提供的网页信息截图或证明材料扫描件内容必须清晰可辨，如因网页信息截图或证明材料扫描件内容模糊导致评标时无法判断的，后果由投标人自负。</w:t>
      </w:r>
    </w:p>
    <w:p>
      <w:pPr>
        <w:pStyle w:val="284"/>
        <w:ind w:firstLine="422" w:firstLineChars="200"/>
        <w:rPr>
          <w:rFonts w:hint="eastAsia" w:ascii="宋体" w:hAnsi="宋体" w:eastAsia="宋体" w:cs="宋体"/>
          <w:b/>
          <w:color w:val="auto"/>
          <w:sz w:val="21"/>
          <w:szCs w:val="21"/>
          <w:highlight w:val="none"/>
        </w:rPr>
      </w:pPr>
    </w:p>
    <w:p>
      <w:pP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br w:type="page"/>
      </w:r>
    </w:p>
    <w:bookmarkEnd w:id="112"/>
    <w:p>
      <w:pPr>
        <w:pStyle w:val="6"/>
        <w:rPr>
          <w:color w:val="auto"/>
          <w:highlight w:val="none"/>
        </w:rPr>
      </w:pPr>
      <w:bookmarkStart w:id="113" w:name="_Toc112397824"/>
      <w:bookmarkStart w:id="114" w:name="_Toc17914"/>
      <w:bookmarkStart w:id="115" w:name="_Toc27947"/>
      <w:bookmarkStart w:id="116" w:name="_Toc23057"/>
      <w:bookmarkStart w:id="117" w:name="_Toc30116"/>
      <w:r>
        <w:rPr>
          <w:rFonts w:hint="eastAsia"/>
          <w:color w:val="auto"/>
          <w:highlight w:val="none"/>
        </w:rPr>
        <w:t>附表五</w:t>
      </w:r>
      <w:bookmarkEnd w:id="113"/>
      <w:r>
        <w:rPr>
          <w:rFonts w:hint="eastAsia"/>
          <w:color w:val="auto"/>
          <w:highlight w:val="none"/>
        </w:rPr>
        <w:t>（适用于加权平均法）</w:t>
      </w:r>
      <w:bookmarkEnd w:id="114"/>
      <w:bookmarkEnd w:id="115"/>
      <w:bookmarkEnd w:id="116"/>
      <w:bookmarkEnd w:id="117"/>
    </w:p>
    <w:p>
      <w:pPr>
        <w:jc w:val="center"/>
        <w:rPr>
          <w:rFonts w:ascii="宋体" w:hAnsi="宋体"/>
          <w:b/>
          <w:color w:val="auto"/>
          <w:sz w:val="36"/>
          <w:szCs w:val="36"/>
          <w:highlight w:val="none"/>
        </w:rPr>
      </w:pPr>
      <w:r>
        <w:rPr>
          <w:rFonts w:hint="eastAsia" w:ascii="宋体" w:hAnsi="宋体"/>
          <w:b/>
          <w:color w:val="auto"/>
          <w:sz w:val="36"/>
          <w:szCs w:val="36"/>
          <w:highlight w:val="none"/>
        </w:rPr>
        <w:t>经济标评分表</w:t>
      </w:r>
    </w:p>
    <w:p>
      <w:pPr>
        <w:rPr>
          <w:rFonts w:ascii="宋体" w:hAnsi="宋体"/>
          <w:color w:val="auto"/>
          <w:szCs w:val="21"/>
          <w:highlight w:val="none"/>
        </w:rPr>
      </w:pPr>
      <w:r>
        <w:rPr>
          <w:rFonts w:hint="eastAsia" w:ascii="宋体" w:hAnsi="宋体"/>
          <w:color w:val="auto"/>
          <w:szCs w:val="21"/>
          <w:highlight w:val="none"/>
        </w:rPr>
        <w:t>工程名称：</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5"/>
        <w:gridCol w:w="959"/>
        <w:gridCol w:w="959"/>
        <w:gridCol w:w="959"/>
        <w:gridCol w:w="959"/>
        <w:gridCol w:w="959"/>
        <w:gridCol w:w="959"/>
        <w:gridCol w:w="959"/>
        <w:gridCol w:w="959"/>
        <w:gridCol w:w="959"/>
        <w:gridCol w:w="959"/>
        <w:gridCol w:w="959"/>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291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投标人名称</w:t>
            </w: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291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投标报价</w:t>
            </w:r>
            <w:r>
              <w:rPr>
                <w:rFonts w:ascii="宋体" w:hAnsi="宋体"/>
                <w:color w:val="auto"/>
                <w:szCs w:val="21"/>
                <w:highlight w:val="none"/>
              </w:rPr>
              <w:t>PT</w:t>
            </w:r>
            <w:r>
              <w:rPr>
                <w:rFonts w:hint="eastAsia" w:ascii="宋体" w:hAnsi="宋体"/>
                <w:color w:val="auto"/>
                <w:szCs w:val="21"/>
                <w:highlight w:val="none"/>
              </w:rPr>
              <w:t>（元）</w:t>
            </w: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291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报价权重</w:t>
            </w: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291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评标参考价</w:t>
            </w:r>
            <w:r>
              <w:rPr>
                <w:rFonts w:ascii="宋体" w:hAnsi="宋体"/>
                <w:color w:val="auto"/>
                <w:szCs w:val="21"/>
                <w:highlight w:val="none"/>
              </w:rPr>
              <w:t>PC（元）</w:t>
            </w:r>
          </w:p>
        </w:tc>
        <w:tc>
          <w:tcPr>
            <w:tcW w:w="11517" w:type="dxa"/>
            <w:gridSpan w:val="1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291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偏差（（</w:t>
            </w:r>
            <w:r>
              <w:rPr>
                <w:rFonts w:ascii="宋体" w:hAnsi="宋体"/>
                <w:color w:val="auto"/>
                <w:szCs w:val="21"/>
                <w:highlight w:val="none"/>
              </w:rPr>
              <w:t>PT-PC</w:t>
            </w:r>
            <w:r>
              <w:rPr>
                <w:rFonts w:hint="eastAsia" w:ascii="宋体" w:hAnsi="宋体"/>
                <w:color w:val="auto"/>
                <w:szCs w:val="21"/>
                <w:highlight w:val="none"/>
              </w:rPr>
              <w:t>）</w:t>
            </w:r>
            <w:r>
              <w:rPr>
                <w:rFonts w:ascii="宋体" w:hAnsi="宋体"/>
                <w:color w:val="auto"/>
                <w:szCs w:val="21"/>
                <w:highlight w:val="none"/>
              </w:rPr>
              <w:t>/PC</w:t>
            </w:r>
            <w:r>
              <w:rPr>
                <w:rFonts w:hint="eastAsia" w:ascii="宋体" w:hAnsi="宋体"/>
                <w:color w:val="auto"/>
                <w:szCs w:val="21"/>
                <w:highlight w:val="none"/>
              </w:rPr>
              <w:t>）（</w:t>
            </w:r>
            <w:r>
              <w:rPr>
                <w:rFonts w:ascii="宋体" w:hAnsi="宋体"/>
                <w:color w:val="auto"/>
                <w:szCs w:val="21"/>
                <w:highlight w:val="none"/>
              </w:rPr>
              <w:t>%</w:t>
            </w:r>
            <w:r>
              <w:rPr>
                <w:rFonts w:hint="eastAsia" w:ascii="宋体" w:hAnsi="宋体"/>
                <w:color w:val="auto"/>
                <w:szCs w:val="21"/>
                <w:highlight w:val="none"/>
              </w:rPr>
              <w:t>）</w:t>
            </w: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9" w:hRule="atLeast"/>
          <w:jc w:val="center"/>
        </w:trPr>
        <w:tc>
          <w:tcPr>
            <w:tcW w:w="291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减分（</w:t>
            </w:r>
            <w:r>
              <w:rPr>
                <w:rFonts w:ascii="宋体" w:hAnsi="宋体"/>
                <w:color w:val="auto"/>
                <w:szCs w:val="21"/>
                <w:highlight w:val="none"/>
              </w:rPr>
              <w:t>A</w:t>
            </w:r>
            <w:r>
              <w:rPr>
                <w:rFonts w:hint="eastAsia" w:ascii="宋体" w:hAnsi="宋体"/>
                <w:color w:val="auto"/>
                <w:szCs w:val="21"/>
                <w:highlight w:val="none"/>
              </w:rPr>
              <w:t>）</w:t>
            </w: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291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得分</w:t>
            </w:r>
            <w:r>
              <w:rPr>
                <w:rFonts w:ascii="宋体" w:hAnsi="宋体"/>
                <w:color w:val="auto"/>
                <w:szCs w:val="21"/>
                <w:highlight w:val="none"/>
              </w:rPr>
              <w:t>(I=100-A)</w:t>
            </w: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291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得分排名次序</w:t>
            </w: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bl>
    <w:p>
      <w:pPr>
        <w:rPr>
          <w:rFonts w:ascii="宋体" w:hAnsi="宋体"/>
          <w:color w:val="auto"/>
          <w:highlight w:val="none"/>
        </w:rPr>
      </w:pPr>
      <w:r>
        <w:rPr>
          <w:rFonts w:hint="eastAsia" w:ascii="宋体" w:hAnsi="宋体"/>
          <w:color w:val="auto"/>
          <w:szCs w:val="21"/>
          <w:highlight w:val="none"/>
        </w:rPr>
        <w:t>评委签名：</w:t>
      </w:r>
    </w:p>
    <w:p>
      <w:pPr>
        <w:pStyle w:val="6"/>
        <w:rPr>
          <w:color w:val="auto"/>
          <w:highlight w:val="none"/>
        </w:rPr>
      </w:pPr>
      <w:r>
        <w:rPr>
          <w:color w:val="auto"/>
          <w:sz w:val="36"/>
          <w:szCs w:val="36"/>
          <w:highlight w:val="none"/>
        </w:rPr>
        <w:br w:type="page"/>
      </w:r>
      <w:bookmarkStart w:id="118" w:name="_Toc112397825"/>
      <w:bookmarkStart w:id="119" w:name="_Toc27004"/>
      <w:bookmarkStart w:id="120" w:name="_Toc11056"/>
      <w:bookmarkStart w:id="121" w:name="_Toc31071"/>
      <w:bookmarkStart w:id="122" w:name="_Toc31703"/>
      <w:r>
        <w:rPr>
          <w:rFonts w:hint="eastAsia"/>
          <w:color w:val="auto"/>
          <w:highlight w:val="none"/>
        </w:rPr>
        <w:t>附表六</w:t>
      </w:r>
      <w:bookmarkEnd w:id="118"/>
      <w:bookmarkEnd w:id="119"/>
      <w:bookmarkEnd w:id="120"/>
      <w:bookmarkEnd w:id="121"/>
      <w:bookmarkEnd w:id="122"/>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t>算术复核表</w:t>
      </w:r>
    </w:p>
    <w:p>
      <w:pPr>
        <w:rPr>
          <w:rFonts w:ascii="宋体" w:hAnsi="宋体" w:cs="宋体"/>
          <w:color w:val="auto"/>
          <w:kern w:val="0"/>
          <w:szCs w:val="21"/>
          <w:highlight w:val="none"/>
        </w:rPr>
      </w:pPr>
      <w:r>
        <w:rPr>
          <w:rFonts w:hint="eastAsia" w:ascii="宋体" w:hAnsi="宋体" w:cs="宋体"/>
          <w:color w:val="auto"/>
          <w:kern w:val="0"/>
          <w:szCs w:val="21"/>
          <w:highlight w:val="none"/>
        </w:rPr>
        <w:t>工程名称：</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投标人</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单位：元</w:t>
      </w:r>
    </w:p>
    <w:tbl>
      <w:tblPr>
        <w:tblStyle w:val="49"/>
        <w:tblW w:w="0" w:type="auto"/>
        <w:jc w:val="center"/>
        <w:tblLayout w:type="fixed"/>
        <w:tblCellMar>
          <w:top w:w="0" w:type="dxa"/>
          <w:left w:w="108" w:type="dxa"/>
          <w:bottom w:w="0" w:type="dxa"/>
          <w:right w:w="108" w:type="dxa"/>
        </w:tblCellMar>
      </w:tblPr>
      <w:tblGrid>
        <w:gridCol w:w="631"/>
        <w:gridCol w:w="4391"/>
        <w:gridCol w:w="1567"/>
        <w:gridCol w:w="1540"/>
        <w:gridCol w:w="1540"/>
        <w:gridCol w:w="1438"/>
        <w:gridCol w:w="3390"/>
      </w:tblGrid>
      <w:tr>
        <w:tblPrEx>
          <w:tblCellMar>
            <w:top w:w="0" w:type="dxa"/>
            <w:left w:w="108" w:type="dxa"/>
            <w:bottom w:w="0" w:type="dxa"/>
            <w:right w:w="108" w:type="dxa"/>
          </w:tblCellMar>
        </w:tblPrEx>
        <w:trPr>
          <w:trHeight w:val="905"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编号</w:t>
            </w:r>
          </w:p>
        </w:tc>
        <w:tc>
          <w:tcPr>
            <w:tcW w:w="4391"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算术校核项目</w:t>
            </w:r>
          </w:p>
        </w:tc>
        <w:tc>
          <w:tcPr>
            <w:tcW w:w="1567"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修正前投标</w:t>
            </w:r>
          </w:p>
          <w:p>
            <w:pPr>
              <w:rPr>
                <w:rFonts w:ascii="宋体" w:hAnsi="宋体" w:cs="宋体"/>
                <w:color w:val="auto"/>
                <w:kern w:val="0"/>
                <w:szCs w:val="21"/>
                <w:highlight w:val="none"/>
              </w:rPr>
            </w:pPr>
            <w:r>
              <w:rPr>
                <w:rFonts w:hint="eastAsia" w:ascii="宋体" w:hAnsi="宋体" w:cs="宋体"/>
                <w:color w:val="auto"/>
                <w:kern w:val="0"/>
                <w:szCs w:val="21"/>
                <w:highlight w:val="none"/>
              </w:rPr>
              <w:t>报价</w:t>
            </w:r>
            <w:r>
              <w:rPr>
                <w:rFonts w:ascii="宋体" w:hAnsi="宋体" w:cs="宋体"/>
                <w:color w:val="auto"/>
                <w:kern w:val="0"/>
                <w:szCs w:val="21"/>
                <w:highlight w:val="none"/>
              </w:rPr>
              <w:t>A</w:t>
            </w:r>
          </w:p>
        </w:tc>
        <w:tc>
          <w:tcPr>
            <w:tcW w:w="1540"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修正后投标</w:t>
            </w:r>
          </w:p>
          <w:p>
            <w:pPr>
              <w:rPr>
                <w:rFonts w:ascii="宋体" w:hAnsi="宋体" w:cs="宋体"/>
                <w:color w:val="auto"/>
                <w:kern w:val="0"/>
                <w:szCs w:val="21"/>
                <w:highlight w:val="none"/>
              </w:rPr>
            </w:pPr>
            <w:r>
              <w:rPr>
                <w:rFonts w:hint="eastAsia" w:ascii="宋体" w:hAnsi="宋体" w:cs="宋体"/>
                <w:color w:val="auto"/>
                <w:kern w:val="0"/>
                <w:szCs w:val="21"/>
                <w:highlight w:val="none"/>
              </w:rPr>
              <w:t>报价</w:t>
            </w:r>
            <w:r>
              <w:rPr>
                <w:rFonts w:ascii="宋体" w:hAnsi="宋体" w:cs="宋体"/>
                <w:color w:val="auto"/>
                <w:kern w:val="0"/>
                <w:szCs w:val="21"/>
                <w:highlight w:val="none"/>
              </w:rPr>
              <w:t>B</w:t>
            </w:r>
          </w:p>
        </w:tc>
        <w:tc>
          <w:tcPr>
            <w:tcW w:w="1540"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修正率</w:t>
            </w:r>
            <w:r>
              <w:rPr>
                <w:rFonts w:ascii="宋体" w:hAnsi="宋体" w:cs="宋体"/>
                <w:color w:val="auto"/>
                <w:kern w:val="0"/>
                <w:szCs w:val="21"/>
                <w:highlight w:val="none"/>
              </w:rPr>
              <w:br w:type="textWrapping"/>
            </w:r>
            <w:r>
              <w:rPr>
                <w:rFonts w:ascii="宋体" w:hAnsi="宋体" w:cs="宋体"/>
                <w:color w:val="auto"/>
                <w:kern w:val="0"/>
                <w:szCs w:val="21"/>
                <w:highlight w:val="none"/>
              </w:rPr>
              <w:t>r=|A-B|/A*100%</w:t>
            </w:r>
          </w:p>
        </w:tc>
        <w:tc>
          <w:tcPr>
            <w:tcW w:w="1438"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经评审的最终投标报价</w:t>
            </w:r>
          </w:p>
        </w:tc>
        <w:tc>
          <w:tcPr>
            <w:tcW w:w="3390"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当</w:t>
            </w:r>
            <w:r>
              <w:rPr>
                <w:rFonts w:ascii="宋体" w:hAnsi="宋体" w:cs="宋体"/>
                <w:color w:val="auto"/>
                <w:kern w:val="0"/>
                <w:szCs w:val="21"/>
                <w:highlight w:val="none"/>
              </w:rPr>
              <w:t>B&gt;A时，修正后报价与原报价的差额；当B≤A时,R=0</w:t>
            </w:r>
          </w:p>
        </w:tc>
      </w:tr>
      <w:tr>
        <w:tblPrEx>
          <w:tblCellMar>
            <w:top w:w="0" w:type="dxa"/>
            <w:left w:w="108" w:type="dxa"/>
            <w:bottom w:w="0" w:type="dxa"/>
            <w:right w:w="108" w:type="dxa"/>
          </w:tblCellMar>
        </w:tblPrEx>
        <w:trPr>
          <w:trHeight w:val="584" w:hRule="atLeast"/>
          <w:jc w:val="center"/>
        </w:trPr>
        <w:tc>
          <w:tcPr>
            <w:tcW w:w="631"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ascii="宋体" w:hAnsi="宋体" w:cs="宋体"/>
                <w:color w:val="auto"/>
                <w:kern w:val="0"/>
                <w:szCs w:val="21"/>
                <w:highlight w:val="none"/>
              </w:rPr>
              <w:t>1</w:t>
            </w:r>
          </w:p>
        </w:tc>
        <w:tc>
          <w:tcPr>
            <w:tcW w:w="4391"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ascii="宋体" w:hAnsi="宋体" w:cs="宋体"/>
                <w:color w:val="auto"/>
                <w:kern w:val="0"/>
                <w:szCs w:val="21"/>
                <w:highlight w:val="none"/>
              </w:rPr>
              <w:t>[单位工程1]</w:t>
            </w:r>
          </w:p>
        </w:tc>
        <w:tc>
          <w:tcPr>
            <w:tcW w:w="1567"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3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390"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584" w:hRule="atLeast"/>
          <w:jc w:val="center"/>
        </w:trPr>
        <w:tc>
          <w:tcPr>
            <w:tcW w:w="631"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ascii="宋体" w:hAnsi="宋体" w:cs="宋体"/>
                <w:color w:val="auto"/>
                <w:kern w:val="0"/>
                <w:szCs w:val="21"/>
                <w:highlight w:val="none"/>
              </w:rPr>
              <w:t>2</w:t>
            </w:r>
          </w:p>
        </w:tc>
        <w:tc>
          <w:tcPr>
            <w:tcW w:w="4391"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ascii="宋体" w:hAnsi="宋体" w:cs="宋体"/>
                <w:color w:val="auto"/>
                <w:kern w:val="0"/>
                <w:szCs w:val="21"/>
                <w:highlight w:val="none"/>
              </w:rPr>
              <w:t>[单位工程2]</w:t>
            </w:r>
          </w:p>
        </w:tc>
        <w:tc>
          <w:tcPr>
            <w:tcW w:w="1567"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3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390"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584" w:hRule="atLeast"/>
          <w:jc w:val="center"/>
        </w:trPr>
        <w:tc>
          <w:tcPr>
            <w:tcW w:w="631"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4391"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567"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3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390"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584" w:hRule="atLeast"/>
          <w:jc w:val="center"/>
        </w:trPr>
        <w:tc>
          <w:tcPr>
            <w:tcW w:w="631"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4391"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567"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3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390"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584" w:hRule="atLeast"/>
          <w:jc w:val="center"/>
        </w:trPr>
        <w:tc>
          <w:tcPr>
            <w:tcW w:w="631"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4391"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567"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3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390"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584" w:hRule="atLeast"/>
          <w:jc w:val="center"/>
        </w:trPr>
        <w:tc>
          <w:tcPr>
            <w:tcW w:w="631"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ascii="宋体" w:hAnsi="宋体" w:cs="宋体"/>
                <w:color w:val="auto"/>
                <w:kern w:val="0"/>
                <w:szCs w:val="21"/>
                <w:highlight w:val="none"/>
              </w:rPr>
              <w:t>n</w:t>
            </w:r>
          </w:p>
        </w:tc>
        <w:tc>
          <w:tcPr>
            <w:tcW w:w="4391"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ascii="宋体" w:hAnsi="宋体" w:cs="宋体"/>
                <w:color w:val="auto"/>
                <w:kern w:val="0"/>
                <w:szCs w:val="21"/>
                <w:highlight w:val="none"/>
              </w:rPr>
              <w:t>[单位工程n]</w:t>
            </w:r>
          </w:p>
        </w:tc>
        <w:tc>
          <w:tcPr>
            <w:tcW w:w="1567"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3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390"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593" w:hRule="atLeast"/>
          <w:jc w:val="center"/>
        </w:trPr>
        <w:tc>
          <w:tcPr>
            <w:tcW w:w="631"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4391"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投标总报价</w:t>
            </w:r>
          </w:p>
        </w:tc>
        <w:tc>
          <w:tcPr>
            <w:tcW w:w="1567"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0" w:type="dxa"/>
            <w:tcBorders>
              <w:top w:val="nil"/>
              <w:left w:val="nil"/>
              <w:bottom w:val="single" w:color="auto" w:sz="4" w:space="0"/>
              <w:right w:val="single" w:color="auto" w:sz="4" w:space="0"/>
              <w:tr2bl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3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390"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r>
              <w:rPr>
                <w:rFonts w:ascii="宋体" w:hAnsi="宋体" w:cs="宋体"/>
                <w:color w:val="auto"/>
                <w:kern w:val="0"/>
                <w:szCs w:val="21"/>
                <w:highlight w:val="none"/>
              </w:rPr>
              <w:t>A=A</w:t>
            </w:r>
            <w:r>
              <w:rPr>
                <w:rFonts w:ascii="宋体" w:hAnsi="宋体" w:cs="宋体"/>
                <w:color w:val="auto"/>
                <w:kern w:val="0"/>
                <w:szCs w:val="21"/>
                <w:highlight w:val="none"/>
                <w:vertAlign w:val="subscript"/>
              </w:rPr>
              <w:t>1</w:t>
            </w:r>
            <w:r>
              <w:rPr>
                <w:rFonts w:ascii="宋体" w:hAnsi="宋体" w:cs="宋体"/>
                <w:color w:val="auto"/>
                <w:kern w:val="0"/>
                <w:szCs w:val="21"/>
                <w:highlight w:val="none"/>
              </w:rPr>
              <w:t>+A</w:t>
            </w:r>
            <w:r>
              <w:rPr>
                <w:rFonts w:ascii="宋体" w:hAnsi="宋体" w:cs="宋体"/>
                <w:color w:val="auto"/>
                <w:kern w:val="0"/>
                <w:szCs w:val="21"/>
                <w:highlight w:val="none"/>
                <w:vertAlign w:val="subscript"/>
              </w:rPr>
              <w:t>2</w:t>
            </w:r>
            <w:r>
              <w:rPr>
                <w:rFonts w:ascii="宋体" w:hAnsi="宋体" w:cs="宋体"/>
                <w:color w:val="auto"/>
                <w:kern w:val="0"/>
                <w:szCs w:val="21"/>
                <w:highlight w:val="none"/>
              </w:rPr>
              <w:t>+…An；∑B=B</w:t>
            </w:r>
            <w:r>
              <w:rPr>
                <w:rFonts w:ascii="宋体" w:hAnsi="宋体" w:cs="宋体"/>
                <w:color w:val="auto"/>
                <w:kern w:val="0"/>
                <w:szCs w:val="21"/>
                <w:highlight w:val="none"/>
                <w:vertAlign w:val="subscript"/>
              </w:rPr>
              <w:t>1</w:t>
            </w:r>
            <w:r>
              <w:rPr>
                <w:rFonts w:ascii="宋体" w:hAnsi="宋体" w:cs="宋体"/>
                <w:color w:val="auto"/>
                <w:kern w:val="0"/>
                <w:szCs w:val="21"/>
                <w:highlight w:val="none"/>
              </w:rPr>
              <w:t>+B</w:t>
            </w:r>
            <w:r>
              <w:rPr>
                <w:rFonts w:ascii="宋体" w:hAnsi="宋体" w:cs="宋体"/>
                <w:color w:val="auto"/>
                <w:kern w:val="0"/>
                <w:szCs w:val="21"/>
                <w:highlight w:val="none"/>
                <w:vertAlign w:val="subscript"/>
              </w:rPr>
              <w:t>2</w:t>
            </w:r>
            <w:r>
              <w:rPr>
                <w:rFonts w:ascii="宋体" w:hAnsi="宋体" w:cs="宋体"/>
                <w:color w:val="auto"/>
                <w:kern w:val="0"/>
                <w:szCs w:val="21"/>
                <w:highlight w:val="none"/>
              </w:rPr>
              <w:t>+…Bn</w:t>
            </w:r>
          </w:p>
        </w:tc>
      </w:tr>
    </w:tbl>
    <w:p>
      <w:pPr>
        <w:rPr>
          <w:rFonts w:ascii="宋体" w:hAnsi="宋体" w:cs="宋体"/>
          <w:color w:val="auto"/>
          <w:kern w:val="0"/>
          <w:szCs w:val="21"/>
          <w:highlight w:val="none"/>
        </w:rPr>
      </w:pPr>
      <w:r>
        <w:rPr>
          <w:rFonts w:hint="eastAsia" w:ascii="宋体" w:hAnsi="宋体" w:cs="宋体"/>
          <w:color w:val="auto"/>
          <w:kern w:val="0"/>
          <w:szCs w:val="21"/>
          <w:highlight w:val="none"/>
        </w:rPr>
        <w:t>修正原则：</w:t>
      </w:r>
      <w:r>
        <w:rPr>
          <w:rFonts w:hint="eastAsia" w:ascii="宋体" w:hAnsi="宋体" w:cs="宋体"/>
          <w:color w:val="auto"/>
          <w:szCs w:val="21"/>
          <w:highlight w:val="none"/>
        </w:rPr>
        <w:t>按就低不就高原则，当修正后报价小于原报价，总价按修正后报价；当修正后报价大于原报价，总价按原报价，并在签订合同时载明在结算价中扣除修正报价与原报价的差额。</w:t>
      </w:r>
    </w:p>
    <w:p>
      <w:pPr>
        <w:rPr>
          <w:rFonts w:ascii="宋体" w:hAnsi="宋体" w:cs="宋体"/>
          <w:color w:val="auto"/>
          <w:kern w:val="0"/>
          <w:szCs w:val="21"/>
          <w:highlight w:val="none"/>
        </w:rPr>
      </w:pPr>
      <w:r>
        <w:rPr>
          <w:rFonts w:hint="eastAsia" w:ascii="宋体" w:hAnsi="宋体" w:cs="宋体"/>
          <w:color w:val="auto"/>
          <w:kern w:val="0"/>
          <w:szCs w:val="21"/>
          <w:highlight w:val="none"/>
        </w:rPr>
        <w:t>评委签名：</w:t>
      </w:r>
      <w:r>
        <w:rPr>
          <w:rFonts w:ascii="宋体" w:hAnsi="宋体" w:cs="宋体"/>
          <w:color w:val="auto"/>
          <w:kern w:val="0"/>
          <w:szCs w:val="21"/>
          <w:highlight w:val="none"/>
        </w:rPr>
        <w:tab/>
      </w:r>
      <w:r>
        <w:rPr>
          <w:rFonts w:ascii="宋体" w:hAnsi="宋体" w:cs="宋体"/>
          <w:color w:val="auto"/>
          <w:kern w:val="0"/>
          <w:szCs w:val="21"/>
          <w:highlight w:val="none"/>
        </w:rPr>
        <w:tab/>
      </w:r>
      <w:r>
        <w:rPr>
          <w:rFonts w:ascii="宋体" w:hAnsi="宋体" w:cs="宋体"/>
          <w:color w:val="auto"/>
          <w:kern w:val="0"/>
          <w:szCs w:val="21"/>
          <w:highlight w:val="none"/>
        </w:rPr>
        <w:tab/>
      </w:r>
      <w:r>
        <w:rPr>
          <w:rFonts w:ascii="宋体" w:hAnsi="宋体" w:cs="宋体"/>
          <w:color w:val="auto"/>
          <w:kern w:val="0"/>
          <w:szCs w:val="21"/>
          <w:highlight w:val="none"/>
        </w:rPr>
        <w:tab/>
      </w:r>
      <w:r>
        <w:rPr>
          <w:rFonts w:ascii="宋体" w:hAnsi="宋体" w:cs="宋体"/>
          <w:color w:val="auto"/>
          <w:kern w:val="0"/>
          <w:szCs w:val="21"/>
          <w:highlight w:val="none"/>
        </w:rPr>
        <w:tab/>
      </w:r>
      <w:r>
        <w:rPr>
          <w:rFonts w:hint="eastAsia" w:ascii="宋体" w:hAnsi="宋体" w:cs="宋体"/>
          <w:color w:val="auto"/>
          <w:kern w:val="0"/>
          <w:szCs w:val="21"/>
          <w:highlight w:val="none"/>
        </w:rPr>
        <w:t>日期：</w:t>
      </w:r>
    </w:p>
    <w:p>
      <w:pPr>
        <w:rPr>
          <w:rFonts w:ascii="宋体" w:hAnsi="宋体" w:cs="宋体"/>
          <w:color w:val="auto"/>
          <w:highlight w:val="none"/>
        </w:rPr>
      </w:pPr>
    </w:p>
    <w:p>
      <w:pPr>
        <w:rPr>
          <w:rFonts w:ascii="宋体" w:hAnsi="宋体" w:cs="宋体"/>
          <w:color w:val="auto"/>
          <w:highlight w:val="none"/>
        </w:rPr>
      </w:pPr>
      <w:r>
        <w:rPr>
          <w:rFonts w:ascii="宋体" w:hAnsi="宋体" w:cs="宋体"/>
          <w:color w:val="auto"/>
          <w:highlight w:val="none"/>
        </w:rPr>
        <w:br w:type="page"/>
      </w:r>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t>算术复核表</w:t>
      </w:r>
    </w:p>
    <w:p>
      <w:pPr>
        <w:rPr>
          <w:rFonts w:ascii="宋体" w:hAnsi="宋体" w:cs="宋体"/>
          <w:color w:val="auto"/>
          <w:szCs w:val="21"/>
          <w:highlight w:val="none"/>
        </w:rPr>
      </w:pPr>
      <w:r>
        <w:rPr>
          <w:rFonts w:hint="eastAsia" w:ascii="宋体" w:hAnsi="宋体" w:cs="宋体"/>
          <w:color w:val="auto"/>
          <w:szCs w:val="21"/>
          <w:highlight w:val="none"/>
        </w:rPr>
        <w:t>工程名称：</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4446"/>
        <w:gridCol w:w="2330"/>
        <w:gridCol w:w="3101"/>
        <w:gridCol w:w="3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编号</w:t>
            </w:r>
          </w:p>
        </w:tc>
        <w:tc>
          <w:tcPr>
            <w:tcW w:w="4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投标人名称</w:t>
            </w:r>
          </w:p>
        </w:tc>
        <w:tc>
          <w:tcPr>
            <w:tcW w:w="23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原投标报价（</w:t>
            </w:r>
            <w:r>
              <w:rPr>
                <w:rFonts w:ascii="宋体" w:hAnsi="宋体" w:cs="宋体"/>
                <w:b/>
                <w:color w:val="auto"/>
                <w:sz w:val="24"/>
                <w:szCs w:val="24"/>
                <w:highlight w:val="none"/>
              </w:rPr>
              <w:t>A）</w:t>
            </w:r>
          </w:p>
        </w:tc>
        <w:tc>
          <w:tcPr>
            <w:tcW w:w="3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算数复核后投标报价（</w:t>
            </w:r>
            <w:r>
              <w:rPr>
                <w:rFonts w:ascii="宋体" w:hAnsi="宋体" w:cs="宋体"/>
                <w:b/>
                <w:color w:val="auto"/>
                <w:sz w:val="24"/>
                <w:szCs w:val="24"/>
                <w:highlight w:val="none"/>
              </w:rPr>
              <w:t>B）</w:t>
            </w:r>
          </w:p>
        </w:tc>
        <w:tc>
          <w:tcPr>
            <w:tcW w:w="3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误差率（</w:t>
            </w:r>
            <w:r>
              <w:rPr>
                <w:rFonts w:ascii="宋体" w:hAnsi="宋体" w:cs="宋体"/>
                <w:b/>
                <w:color w:val="auto"/>
                <w:sz w:val="24"/>
                <w:szCs w:val="24"/>
                <w:highlight w:val="none"/>
              </w:rPr>
              <w:t>r=|A-B|/A*100%）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44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54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44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54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44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54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44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54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44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54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44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54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44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54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44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54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bl>
    <w:p>
      <w:pPr>
        <w:rPr>
          <w:rFonts w:ascii="宋体" w:hAnsi="宋体" w:cs="宋体"/>
          <w:color w:val="auto"/>
          <w:szCs w:val="21"/>
          <w:highlight w:val="none"/>
        </w:rPr>
      </w:pPr>
      <w:r>
        <w:rPr>
          <w:rFonts w:hint="eastAsia" w:ascii="宋体" w:hAnsi="宋体" w:cs="宋体"/>
          <w:color w:val="auto"/>
          <w:szCs w:val="21"/>
          <w:highlight w:val="none"/>
        </w:rPr>
        <w:t>评委签名：</w:t>
      </w:r>
    </w:p>
    <w:p>
      <w:pPr>
        <w:spacing w:line="360" w:lineRule="auto"/>
        <w:jc w:val="center"/>
        <w:rPr>
          <w:rFonts w:ascii="宋体" w:hAnsi="宋体" w:cs="宋体"/>
          <w:color w:val="auto"/>
          <w:szCs w:val="21"/>
          <w:highlight w:val="none"/>
        </w:rPr>
        <w:sectPr>
          <w:headerReference r:id="rId13" w:type="first"/>
          <w:headerReference r:id="rId11" w:type="default"/>
          <w:headerReference r:id="rId12" w:type="even"/>
          <w:footerReference r:id="rId14" w:type="even"/>
          <w:endnotePr>
            <w:numFmt w:val="decimal"/>
          </w:endnotePr>
          <w:pgSz w:w="16838" w:h="11906" w:orient="landscape"/>
          <w:pgMar w:top="1418" w:right="1247" w:bottom="1418" w:left="1134" w:header="851" w:footer="907" w:gutter="0"/>
          <w:pgNumType w:fmt="decimal"/>
          <w:cols w:space="720" w:num="1"/>
          <w:titlePg/>
          <w:docGrid w:type="lines" w:linePitch="312" w:charSpace="0"/>
        </w:sectPr>
      </w:pPr>
    </w:p>
    <w:p>
      <w:pPr>
        <w:pStyle w:val="6"/>
        <w:rPr>
          <w:rFonts w:hint="eastAsia"/>
          <w:color w:val="auto"/>
          <w:highlight w:val="none"/>
        </w:rPr>
      </w:pPr>
      <w:bookmarkStart w:id="123" w:name="_Toc1597"/>
      <w:bookmarkStart w:id="124" w:name="_Toc6246"/>
      <w:bookmarkStart w:id="125" w:name="_Toc26958"/>
      <w:bookmarkStart w:id="126" w:name="_Toc17261"/>
      <w:bookmarkStart w:id="127" w:name="_Toc112397826"/>
      <w:bookmarkStart w:id="128" w:name="_Toc2272566"/>
      <w:r>
        <w:rPr>
          <w:rFonts w:hint="eastAsia"/>
          <w:color w:val="auto"/>
          <w:highlight w:val="none"/>
        </w:rPr>
        <w:t>附表七</w:t>
      </w:r>
      <w:bookmarkEnd w:id="123"/>
      <w:bookmarkEnd w:id="124"/>
      <w:bookmarkEnd w:id="125"/>
      <w:bookmarkEnd w:id="126"/>
    </w:p>
    <w:p>
      <w:pPr>
        <w:rPr>
          <w:color w:val="auto"/>
        </w:rPr>
      </w:pPr>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t>定标因素表（定标阶段）</w:t>
      </w:r>
    </w:p>
    <w:p>
      <w:pPr>
        <w:rPr>
          <w:rFonts w:hint="eastAsia" w:ascii="宋体" w:hAnsi="宋体" w:cs="宋体"/>
          <w:color w:val="auto"/>
          <w:szCs w:val="21"/>
          <w:highlight w:val="none"/>
        </w:rPr>
      </w:pPr>
    </w:p>
    <w:p>
      <w:pPr>
        <w:rPr>
          <w:rFonts w:ascii="宋体" w:hAnsi="宋体" w:cs="宋体"/>
          <w:color w:val="auto"/>
          <w:szCs w:val="21"/>
          <w:highlight w:val="none"/>
        </w:rPr>
      </w:pPr>
      <w:r>
        <w:rPr>
          <w:rFonts w:hint="eastAsia" w:ascii="宋体" w:hAnsi="宋体" w:cs="宋体"/>
          <w:color w:val="auto"/>
          <w:szCs w:val="21"/>
          <w:highlight w:val="none"/>
        </w:rPr>
        <w:t>项目名称：</w:t>
      </w:r>
    </w:p>
    <w:tbl>
      <w:tblPr>
        <w:tblStyle w:val="49"/>
        <w:tblW w:w="8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2630"/>
        <w:gridCol w:w="4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3" w:hRule="atLeast"/>
        </w:trPr>
        <w:tc>
          <w:tcPr>
            <w:tcW w:w="74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b/>
                <w:bCs/>
                <w:color w:val="auto"/>
                <w:szCs w:val="21"/>
                <w:highlight w:val="none"/>
              </w:rPr>
            </w:pPr>
            <w:r>
              <w:rPr>
                <w:rFonts w:ascii="宋体" w:hAnsi="宋体" w:cs="宋体"/>
                <w:b/>
                <w:bCs/>
                <w:color w:val="auto"/>
                <w:szCs w:val="21"/>
                <w:highlight w:val="none"/>
              </w:rPr>
              <w:br w:type="page"/>
            </w:r>
            <w:r>
              <w:rPr>
                <w:rFonts w:hint="eastAsia" w:ascii="宋体" w:hAnsi="宋体" w:cs="宋体"/>
                <w:b/>
                <w:bCs/>
                <w:color w:val="auto"/>
                <w:szCs w:val="21"/>
                <w:highlight w:val="none"/>
              </w:rPr>
              <w:t>序号</w:t>
            </w:r>
          </w:p>
        </w:tc>
        <w:tc>
          <w:tcPr>
            <w:tcW w:w="263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b/>
                <w:bCs/>
                <w:color w:val="auto"/>
                <w:szCs w:val="21"/>
                <w:highlight w:val="none"/>
              </w:rPr>
            </w:pPr>
            <w:r>
              <w:rPr>
                <w:rFonts w:hint="eastAsia" w:ascii="宋体" w:hAnsi="宋体" w:cs="宋体"/>
                <w:b/>
                <w:bCs/>
                <w:color w:val="auto"/>
                <w:szCs w:val="21"/>
                <w:highlight w:val="none"/>
              </w:rPr>
              <w:t>评价项目</w:t>
            </w:r>
          </w:p>
        </w:tc>
        <w:tc>
          <w:tcPr>
            <w:tcW w:w="496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b/>
                <w:bCs/>
                <w:color w:val="auto"/>
                <w:szCs w:val="21"/>
                <w:highlight w:val="none"/>
              </w:rPr>
            </w:pPr>
            <w:r>
              <w:rPr>
                <w:rFonts w:hint="eastAsia" w:ascii="宋体" w:hAnsi="宋体" w:cs="宋体"/>
                <w:b/>
                <w:bCs/>
                <w:color w:val="auto"/>
                <w:szCs w:val="21"/>
                <w:highlight w:val="none"/>
              </w:rPr>
              <w:t>定标评价的内容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263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auto"/>
                <w:szCs w:val="21"/>
                <w:highlight w:val="none"/>
              </w:rPr>
            </w:pPr>
            <w:r>
              <w:rPr>
                <w:rFonts w:hint="eastAsia" w:ascii="宋体" w:hAnsi="宋体" w:cs="宋体"/>
                <w:color w:val="auto"/>
                <w:szCs w:val="21"/>
                <w:highlight w:val="none"/>
              </w:rPr>
              <w:t>方案因素</w:t>
            </w:r>
          </w:p>
        </w:tc>
        <w:tc>
          <w:tcPr>
            <w:tcW w:w="4968"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cs="宋体"/>
                <w:color w:val="auto"/>
                <w:szCs w:val="21"/>
                <w:highlight w:val="none"/>
              </w:rPr>
            </w:pPr>
            <w:r>
              <w:rPr>
                <w:rFonts w:hint="eastAsia" w:ascii="宋体" w:hAnsi="宋体" w:cs="宋体"/>
                <w:color w:val="auto"/>
                <w:szCs w:val="21"/>
              </w:rPr>
              <w:t>定标委员会对合格的中标候选人的方案进行评审，方案包括：安全控制措施、质量控制措施、绿色节能控制措施、进度控制措施等，鼓励将建筑业科技创新应用在项目中。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auto"/>
                <w:szCs w:val="21"/>
                <w:highlight w:val="none"/>
              </w:rPr>
            </w:pPr>
            <w:r>
              <w:rPr>
                <w:rFonts w:hint="eastAsia" w:ascii="宋体" w:hAnsi="宋体" w:cs="宋体"/>
                <w:color w:val="auto"/>
                <w:szCs w:val="21"/>
                <w:highlight w:val="none"/>
              </w:rPr>
              <w:t>2</w:t>
            </w:r>
          </w:p>
        </w:tc>
        <w:tc>
          <w:tcPr>
            <w:tcW w:w="263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auto"/>
                <w:szCs w:val="21"/>
                <w:highlight w:val="none"/>
              </w:rPr>
            </w:pPr>
            <w:r>
              <w:rPr>
                <w:rFonts w:hint="eastAsia" w:ascii="宋体" w:hAnsi="宋体" w:cs="宋体"/>
                <w:color w:val="auto"/>
                <w:szCs w:val="21"/>
                <w:highlight w:val="none"/>
              </w:rPr>
              <w:t>价格因素</w:t>
            </w:r>
          </w:p>
        </w:tc>
        <w:tc>
          <w:tcPr>
            <w:tcW w:w="4968"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cs="宋体"/>
                <w:color w:val="auto"/>
                <w:szCs w:val="21"/>
                <w:highlight w:val="none"/>
              </w:rPr>
            </w:pPr>
            <w:r>
              <w:rPr>
                <w:rFonts w:hint="eastAsia" w:ascii="宋体" w:hAnsi="宋体" w:cs="宋体"/>
                <w:color w:val="auto"/>
                <w:szCs w:val="21"/>
              </w:rPr>
              <w:t>定标委员会对各合格中标候选人的投标报价进行横向对比。</w:t>
            </w:r>
          </w:p>
        </w:tc>
      </w:tr>
    </w:tbl>
    <w:p>
      <w:pPr>
        <w:spacing w:line="400" w:lineRule="exact"/>
        <w:ind w:left="315" w:hanging="315" w:hangingChars="150"/>
        <w:rPr>
          <w:rFonts w:ascii="宋体" w:hAnsi="宋体" w:cs="宋体"/>
          <w:color w:val="auto"/>
          <w:szCs w:val="21"/>
          <w:highlight w:val="none"/>
        </w:rPr>
      </w:pPr>
    </w:p>
    <w:p>
      <w:pPr>
        <w:spacing w:line="360" w:lineRule="auto"/>
        <w:jc w:val="center"/>
        <w:rPr>
          <w:rFonts w:ascii="宋体" w:hAnsi="宋体" w:cs="宋体"/>
          <w:color w:val="auto"/>
          <w:sz w:val="24"/>
          <w:szCs w:val="24"/>
          <w:highlight w:val="none"/>
        </w:rPr>
        <w:sectPr>
          <w:pgSz w:w="11906" w:h="16838"/>
          <w:pgMar w:top="1440" w:right="1514" w:bottom="1440" w:left="1514" w:header="851" w:footer="992" w:gutter="0"/>
          <w:pgNumType w:fmt="decimal"/>
          <w:cols w:space="720" w:num="1"/>
          <w:docGrid w:type="linesAndChars" w:linePitch="312" w:charSpace="0"/>
        </w:sectPr>
      </w:pPr>
    </w:p>
    <w:p>
      <w:pPr>
        <w:pStyle w:val="6"/>
        <w:rPr>
          <w:color w:val="auto"/>
          <w:highlight w:val="none"/>
        </w:rPr>
      </w:pPr>
      <w:bookmarkStart w:id="129" w:name="_Toc9682"/>
      <w:bookmarkStart w:id="130" w:name="_Toc9391"/>
      <w:bookmarkStart w:id="131" w:name="_Toc22967"/>
      <w:bookmarkStart w:id="132" w:name="_Toc14064"/>
      <w:r>
        <w:rPr>
          <w:rFonts w:hint="eastAsia"/>
          <w:color w:val="auto"/>
          <w:highlight w:val="none"/>
        </w:rPr>
        <w:t>附表八</w:t>
      </w:r>
      <w:bookmarkEnd w:id="129"/>
      <w:bookmarkEnd w:id="130"/>
      <w:bookmarkEnd w:id="131"/>
      <w:bookmarkEnd w:id="132"/>
    </w:p>
    <w:p>
      <w:pPr>
        <w:pStyle w:val="5"/>
        <w:tabs>
          <w:tab w:val="right" w:leader="dot" w:pos="9060"/>
        </w:tabs>
        <w:jc w:val="left"/>
        <w:rPr>
          <w:rFonts w:hint="eastAsia" w:ascii="宋体" w:hAnsi="宋体" w:cs="宋体"/>
          <w:b/>
          <w:i w:val="0"/>
          <w:iCs w:val="0"/>
          <w:color w:val="auto"/>
          <w:kern w:val="0"/>
          <w:sz w:val="24"/>
          <w:szCs w:val="24"/>
          <w:highlight w:val="none"/>
        </w:rPr>
      </w:pPr>
      <w:bookmarkStart w:id="133" w:name="_Toc20049"/>
      <w:bookmarkStart w:id="134" w:name="_Toc7287"/>
      <w:bookmarkStart w:id="135" w:name="_Toc2424"/>
      <w:bookmarkStart w:id="136" w:name="_Toc13007"/>
      <w:r>
        <w:rPr>
          <w:rFonts w:hint="eastAsia" w:ascii="宋体" w:hAnsi="宋体" w:cs="宋体"/>
          <w:b/>
          <w:i w:val="0"/>
          <w:iCs w:val="0"/>
          <w:color w:val="auto"/>
          <w:kern w:val="0"/>
          <w:sz w:val="24"/>
          <w:szCs w:val="24"/>
          <w:highlight w:val="none"/>
        </w:rPr>
        <w:t>（本页发给定标委员会成员，本轮投票结束时收回）</w:t>
      </w:r>
      <w:bookmarkEnd w:id="133"/>
      <w:bookmarkEnd w:id="134"/>
      <w:bookmarkEnd w:id="135"/>
      <w:bookmarkEnd w:id="136"/>
    </w:p>
    <w:p>
      <w:pPr>
        <w:spacing w:line="360" w:lineRule="auto"/>
        <w:rPr>
          <w:rFonts w:hint="eastAsia" w:ascii="宋体" w:hAnsi="宋体" w:cs="宋体"/>
          <w:color w:val="auto"/>
          <w:sz w:val="24"/>
          <w:szCs w:val="24"/>
          <w:highlight w:val="none"/>
        </w:rPr>
      </w:pPr>
    </w:p>
    <w:p>
      <w:pPr>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定标选票表（定标阶段）</w:t>
      </w: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项目</w:t>
      </w:r>
      <w:r>
        <w:rPr>
          <w:rFonts w:hint="eastAsia" w:ascii="宋体" w:hAnsi="宋体" w:eastAsia="宋体" w:cs="宋体"/>
          <w:color w:val="auto"/>
          <w:sz w:val="24"/>
          <w:szCs w:val="24"/>
          <w:highlight w:val="none"/>
        </w:rPr>
        <w:t>名称：</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7"/>
        <w:gridCol w:w="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4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支持的</w:t>
            </w:r>
            <w:r>
              <w:rPr>
                <w:rFonts w:hint="eastAsia" w:ascii="宋体" w:hAnsi="宋体" w:eastAsia="宋体" w:cs="宋体"/>
                <w:b/>
                <w:color w:val="auto"/>
                <w:kern w:val="0"/>
                <w:sz w:val="24"/>
                <w:szCs w:val="24"/>
                <w:highlight w:val="none"/>
                <w:lang w:val="en-US" w:eastAsia="zh-CN"/>
              </w:rPr>
              <w:t>中标候选人</w:t>
            </w:r>
            <w:r>
              <w:rPr>
                <w:rFonts w:hint="eastAsia" w:ascii="宋体" w:hAnsi="宋体" w:cs="宋体"/>
                <w:b/>
                <w:color w:val="auto"/>
                <w:kern w:val="0"/>
                <w:sz w:val="24"/>
                <w:szCs w:val="24"/>
                <w:highlight w:val="none"/>
              </w:rPr>
              <w:t>名称</w:t>
            </w:r>
          </w:p>
        </w:tc>
        <w:tc>
          <w:tcPr>
            <w:tcW w:w="4583" w:type="dxa"/>
            <w:tcBorders>
              <w:top w:val="single" w:color="auto" w:sz="4" w:space="0"/>
              <w:left w:val="nil"/>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
                <w:color w:val="auto"/>
                <w:kern w:val="0"/>
                <w:sz w:val="24"/>
                <w:szCs w:val="24"/>
                <w:highlight w:val="none"/>
                <w:lang w:eastAsia="zh-CN"/>
              </w:rPr>
            </w:pPr>
            <w:r>
              <w:rPr>
                <w:rFonts w:hint="eastAsia" w:ascii="宋体" w:hAnsi="宋体" w:cs="宋体"/>
                <w:b/>
                <w:color w:val="auto"/>
                <w:kern w:val="0"/>
                <w:sz w:val="24"/>
                <w:szCs w:val="24"/>
                <w:highlight w:val="none"/>
              </w:rPr>
              <w:t>支持理由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4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cs="宋体"/>
                <w:color w:val="auto"/>
                <w:kern w:val="0"/>
                <w:szCs w:val="24"/>
                <w:highlight w:val="none"/>
              </w:rPr>
            </w:pPr>
          </w:p>
        </w:tc>
        <w:tc>
          <w:tcPr>
            <w:tcW w:w="4583" w:type="dxa"/>
            <w:tcBorders>
              <w:top w:val="single" w:color="auto" w:sz="4" w:space="0"/>
              <w:left w:val="nil"/>
              <w:bottom w:val="single" w:color="auto" w:sz="4" w:space="0"/>
              <w:right w:val="single" w:color="auto" w:sz="4" w:space="0"/>
            </w:tcBorders>
            <w:noWrap w:val="0"/>
            <w:vAlign w:val="center"/>
          </w:tcPr>
          <w:p>
            <w:pPr>
              <w:adjustRightInd w:val="0"/>
              <w:snapToGrid w:val="0"/>
              <w:spacing w:line="360" w:lineRule="auto"/>
              <w:jc w:val="center"/>
              <w:rPr>
                <w:rFonts w:ascii="宋体" w:hAnsi="宋体" w:cs="宋体"/>
                <w:color w:val="auto"/>
                <w:kern w:val="0"/>
                <w:szCs w:val="24"/>
                <w:highlight w:val="none"/>
              </w:rPr>
            </w:pPr>
          </w:p>
        </w:tc>
      </w:tr>
    </w:tbl>
    <w:p>
      <w:pPr>
        <w:spacing w:line="360" w:lineRule="auto"/>
        <w:rPr>
          <w:rFonts w:ascii="宋体" w:hAnsi="宋体"/>
          <w:color w:val="auto"/>
          <w:szCs w:val="21"/>
          <w:highlight w:val="none"/>
        </w:rPr>
      </w:pPr>
      <w:r>
        <w:rPr>
          <w:rFonts w:hint="eastAsia" w:ascii="宋体" w:hAnsi="宋体"/>
          <w:color w:val="auto"/>
          <w:szCs w:val="21"/>
          <w:highlight w:val="none"/>
        </w:rPr>
        <w:t>正式投票规则：</w:t>
      </w:r>
    </w:p>
    <w:p>
      <w:pPr>
        <w:numPr>
          <w:ilvl w:val="0"/>
          <w:numId w:val="0"/>
        </w:numPr>
        <w:spacing w:line="360" w:lineRule="auto"/>
        <w:ind w:firstLine="420" w:firstLineChars="200"/>
        <w:rPr>
          <w:rFonts w:hint="eastAsia" w:ascii="宋体" w:hAnsi="宋体"/>
          <w:color w:val="auto"/>
          <w:szCs w:val="21"/>
          <w:highlight w:val="none"/>
        </w:rPr>
      </w:pPr>
      <w:r>
        <w:rPr>
          <w:rFonts w:hint="eastAsia" w:ascii="宋体" w:hAnsi="宋体" w:eastAsia="宋体" w:cs="Times New Roman"/>
          <w:color w:val="auto"/>
          <w:kern w:val="2"/>
          <w:sz w:val="21"/>
          <w:szCs w:val="21"/>
          <w:highlight w:val="none"/>
          <w:lang w:val="en-US" w:eastAsia="zh-CN" w:bidi="ar-SA"/>
        </w:rPr>
        <w:t>（1）</w:t>
      </w:r>
      <w:r>
        <w:rPr>
          <w:rFonts w:hint="eastAsia" w:ascii="宋体" w:hAnsi="宋体"/>
          <w:color w:val="auto"/>
          <w:szCs w:val="21"/>
          <w:highlight w:val="none"/>
        </w:rPr>
        <w:t>以上表格用于正式投票，投票时须注明支持的</w:t>
      </w:r>
      <w:r>
        <w:rPr>
          <w:rFonts w:hint="eastAsia" w:ascii="宋体" w:hAnsi="宋体" w:eastAsia="宋体" w:cs="Times New Roman"/>
          <w:b w:val="0"/>
          <w:color w:val="auto"/>
          <w:kern w:val="2"/>
          <w:sz w:val="21"/>
          <w:szCs w:val="21"/>
          <w:highlight w:val="none"/>
          <w:lang w:val="en-US" w:eastAsia="zh-CN"/>
        </w:rPr>
        <w:t>中标候选人</w:t>
      </w:r>
      <w:r>
        <w:rPr>
          <w:rFonts w:hint="eastAsia" w:ascii="宋体" w:hAnsi="宋体"/>
          <w:color w:val="auto"/>
          <w:szCs w:val="21"/>
          <w:highlight w:val="none"/>
        </w:rPr>
        <w:t>及支持理由。</w:t>
      </w:r>
    </w:p>
    <w:p>
      <w:pPr>
        <w:numPr>
          <w:ilvl w:val="0"/>
          <w:numId w:val="0"/>
        </w:numPr>
        <w:spacing w:line="360" w:lineRule="auto"/>
        <w:ind w:firstLine="420" w:firstLineChars="200"/>
        <w:rPr>
          <w:rFonts w:hint="eastAsia" w:ascii="宋体" w:hAnsi="宋体" w:eastAsia="宋体" w:cs="Times New Roman"/>
          <w:b w:val="0"/>
          <w:bCs w:val="0"/>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lang w:eastAsia="zh-CN"/>
        </w:rPr>
        <w:t>）</w:t>
      </w:r>
      <w:r>
        <w:rPr>
          <w:rFonts w:hint="eastAsia" w:ascii="宋体" w:hAnsi="宋体" w:eastAsia="宋体" w:cs="Times New Roman"/>
          <w:b w:val="0"/>
          <w:bCs w:val="0"/>
          <w:color w:val="auto"/>
          <w:szCs w:val="21"/>
          <w:highlight w:val="none"/>
        </w:rPr>
        <w:t>由定标委员会成员进行投票，各定标委员会成员只能支持一家</w:t>
      </w:r>
      <w:r>
        <w:rPr>
          <w:rFonts w:hint="eastAsia" w:ascii="宋体" w:hAnsi="宋体" w:eastAsia="宋体" w:cs="Times New Roman"/>
          <w:b w:val="0"/>
          <w:bCs w:val="0"/>
          <w:color w:val="auto"/>
          <w:szCs w:val="21"/>
          <w:highlight w:val="none"/>
          <w:lang w:val="en-US" w:eastAsia="zh-CN"/>
        </w:rPr>
        <w:t>中标候选人。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3</w:t>
      </w:r>
      <w:r>
        <w:rPr>
          <w:rFonts w:hint="eastAsia" w:ascii="宋体" w:hAnsi="宋体"/>
          <w:color w:val="auto"/>
          <w:szCs w:val="21"/>
          <w:highlight w:val="none"/>
        </w:rPr>
        <w:t>）</w:t>
      </w:r>
      <w:r>
        <w:rPr>
          <w:rFonts w:hint="eastAsia" w:ascii="宋体" w:hAnsi="宋体" w:cs="Arial"/>
          <w:color w:val="auto"/>
          <w:szCs w:val="21"/>
          <w:highlight w:val="none"/>
        </w:rPr>
        <w:t>投票结束后，</w:t>
      </w:r>
      <w:r>
        <w:rPr>
          <w:rFonts w:hint="eastAsia" w:ascii="宋体" w:hAnsi="宋体"/>
          <w:color w:val="auto"/>
          <w:szCs w:val="21"/>
          <w:highlight w:val="none"/>
        </w:rPr>
        <w:t>点票人员</w:t>
      </w:r>
      <w:r>
        <w:rPr>
          <w:rFonts w:hint="eastAsia" w:ascii="宋体" w:hAnsi="宋体" w:cs="Arial"/>
          <w:color w:val="auto"/>
          <w:szCs w:val="21"/>
          <w:highlight w:val="none"/>
        </w:rPr>
        <w:t>对投票人数、票数和</w:t>
      </w:r>
      <w:r>
        <w:rPr>
          <w:rFonts w:hint="eastAsia" w:ascii="宋体" w:hAnsi="宋体" w:cs="宋体"/>
          <w:color w:val="auto"/>
          <w:szCs w:val="21"/>
        </w:rPr>
        <w:t>每票对应的合格中标候选人总数</w:t>
      </w:r>
      <w:r>
        <w:rPr>
          <w:rFonts w:hint="eastAsia" w:ascii="宋体" w:hAnsi="宋体" w:cs="Arial"/>
          <w:color w:val="auto"/>
          <w:szCs w:val="21"/>
          <w:highlight w:val="none"/>
        </w:rPr>
        <w:t>加以核对和统计，作废的选票不得统计，并向</w:t>
      </w:r>
      <w:r>
        <w:rPr>
          <w:rFonts w:hint="eastAsia" w:ascii="宋体" w:hAnsi="宋体"/>
          <w:color w:val="auto"/>
          <w:szCs w:val="21"/>
          <w:highlight w:val="none"/>
        </w:rPr>
        <w:t>定标委员会</w:t>
      </w:r>
      <w:r>
        <w:rPr>
          <w:rFonts w:hint="eastAsia" w:ascii="宋体" w:hAnsi="宋体" w:cs="Arial"/>
          <w:color w:val="auto"/>
          <w:szCs w:val="21"/>
          <w:highlight w:val="none"/>
        </w:rPr>
        <w:t>报告。</w:t>
      </w:r>
    </w:p>
    <w:p>
      <w:pPr>
        <w:spacing w:line="360" w:lineRule="auto"/>
        <w:ind w:firstLine="480"/>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4</w:t>
      </w:r>
      <w:r>
        <w:rPr>
          <w:rFonts w:hint="eastAsia" w:ascii="宋体" w:hAnsi="宋体"/>
          <w:color w:val="auto"/>
          <w:szCs w:val="21"/>
          <w:highlight w:val="none"/>
        </w:rPr>
        <w:t>）定标委员会成员应当独立投票，自投票开始至最终排名统计结果公布期间，任何人不得非法干预、影响投票过程，不得透露、协商、改变投票结果，不得使用通信联络工具。</w:t>
      </w:r>
    </w:p>
    <w:p>
      <w:pPr>
        <w:spacing w:line="360" w:lineRule="auto"/>
        <w:rPr>
          <w:rFonts w:hint="eastAsia" w:ascii="宋体" w:hAnsi="宋体"/>
          <w:color w:val="auto"/>
          <w:szCs w:val="21"/>
          <w:highlight w:val="none"/>
        </w:rPr>
      </w:pPr>
    </w:p>
    <w:p>
      <w:pPr>
        <w:keepNext w:val="0"/>
        <w:keepLines w:val="0"/>
        <w:pageBreakBefore w:val="0"/>
        <w:kinsoku/>
        <w:wordWrap/>
        <w:overflowPunct/>
        <w:bidi w:val="0"/>
        <w:snapToGrid w:val="0"/>
        <w:spacing w:line="360" w:lineRule="auto"/>
        <w:textAlignment w:val="auto"/>
        <w:rPr>
          <w:rFonts w:hint="eastAsia" w:ascii="宋体" w:hAnsi="宋体"/>
          <w:color w:val="auto"/>
          <w:szCs w:val="21"/>
          <w:highlight w:val="none"/>
        </w:rPr>
      </w:pPr>
      <w:r>
        <w:rPr>
          <w:rFonts w:hint="eastAsia" w:ascii="宋体" w:hAnsi="宋体"/>
          <w:color w:val="auto"/>
          <w:szCs w:val="21"/>
          <w:highlight w:val="none"/>
        </w:rPr>
        <w:t>定标委员签名：</w:t>
      </w:r>
    </w:p>
    <w:p>
      <w:pPr>
        <w:keepNext w:val="0"/>
        <w:keepLines w:val="0"/>
        <w:pageBreakBefore w:val="0"/>
        <w:kinsoku/>
        <w:wordWrap/>
        <w:overflowPunct/>
        <w:bidi w:val="0"/>
        <w:snapToGrid w:val="0"/>
        <w:spacing w:line="360" w:lineRule="auto"/>
        <w:jc w:val="right"/>
        <w:textAlignment w:val="auto"/>
        <w:rPr>
          <w:rFonts w:hint="eastAsia" w:ascii="宋体" w:hAnsi="宋体"/>
          <w:color w:val="auto"/>
          <w:szCs w:val="21"/>
          <w:highlight w:val="none"/>
        </w:rPr>
        <w:sectPr>
          <w:footerReference r:id="rId15" w:type="default"/>
          <w:pgSz w:w="11900" w:h="16820"/>
          <w:pgMar w:top="1440" w:right="1497" w:bottom="1474" w:left="1497" w:header="720" w:footer="720" w:gutter="0"/>
          <w:pgNumType w:fmt="decimal"/>
          <w:cols w:space="720" w:num="1"/>
          <w:docGrid w:linePitch="326" w:charSpace="0"/>
        </w:sectPr>
      </w:pPr>
      <w:r>
        <w:rPr>
          <w:rFonts w:hint="eastAsia" w:ascii="宋体" w:hAnsi="宋体"/>
          <w:color w:val="auto"/>
          <w:szCs w:val="21"/>
          <w:highlight w:val="none"/>
        </w:rPr>
        <w:t>日期：     年    月    日</w:t>
      </w:r>
    </w:p>
    <w:p>
      <w:pPr>
        <w:pStyle w:val="6"/>
        <w:rPr>
          <w:rFonts w:hint="eastAsia"/>
          <w:color w:val="auto"/>
          <w:highlight w:val="none"/>
          <w:lang w:val="en-US" w:eastAsia="zh-CN"/>
        </w:rPr>
      </w:pPr>
      <w:bookmarkStart w:id="137" w:name="_Toc15777"/>
      <w:bookmarkStart w:id="138" w:name="_Toc7439"/>
      <w:bookmarkStart w:id="139" w:name="_Toc9045"/>
      <w:bookmarkStart w:id="140" w:name="_Toc27522"/>
      <w:r>
        <w:rPr>
          <w:rFonts w:hint="eastAsia"/>
          <w:color w:val="auto"/>
          <w:highlight w:val="none"/>
        </w:rPr>
        <w:t>附表</w:t>
      </w:r>
      <w:r>
        <w:rPr>
          <w:rFonts w:hint="eastAsia"/>
          <w:color w:val="auto"/>
          <w:highlight w:val="none"/>
          <w:lang w:val="en-US" w:eastAsia="zh-CN"/>
        </w:rPr>
        <w:t>九</w:t>
      </w:r>
      <w:bookmarkEnd w:id="137"/>
      <w:bookmarkEnd w:id="138"/>
      <w:bookmarkEnd w:id="139"/>
      <w:bookmarkEnd w:id="140"/>
    </w:p>
    <w:p>
      <w:pPr>
        <w:rPr>
          <w:rFonts w:hint="eastAsia"/>
          <w:color w:val="auto"/>
          <w:lang w:eastAsia="zh-CN"/>
        </w:rPr>
      </w:pPr>
    </w:p>
    <w:p>
      <w:pPr>
        <w:jc w:val="center"/>
        <w:rPr>
          <w:rFonts w:hint="eastAsia" w:ascii="宋体" w:hAnsi="宋体"/>
          <w:b/>
          <w:color w:val="auto"/>
          <w:sz w:val="36"/>
          <w:szCs w:val="36"/>
          <w:highlight w:val="none"/>
        </w:rPr>
      </w:pPr>
      <w:r>
        <w:rPr>
          <w:rFonts w:hint="eastAsia" w:ascii="宋体" w:hAnsi="宋体"/>
          <w:b/>
          <w:color w:val="auto"/>
          <w:sz w:val="36"/>
          <w:szCs w:val="36"/>
          <w:highlight w:val="none"/>
        </w:rPr>
        <w:t>投票汇总表格（定标阶段）</w:t>
      </w:r>
    </w:p>
    <w:p>
      <w:pPr>
        <w:pStyle w:val="2"/>
        <w:rPr>
          <w:rFonts w:hint="eastAsia"/>
          <w:color w:val="auto"/>
          <w:highlight w:val="none"/>
        </w:rPr>
      </w:pPr>
    </w:p>
    <w:p>
      <w:pPr>
        <w:jc w:val="left"/>
        <w:rPr>
          <w:rFonts w:hint="eastAsia" w:ascii="宋体" w:hAnsi="宋体"/>
          <w:color w:val="auto"/>
          <w:szCs w:val="21"/>
          <w:highlight w:val="none"/>
        </w:rPr>
      </w:pPr>
      <w:r>
        <w:rPr>
          <w:rFonts w:hint="eastAsia" w:ascii="宋体" w:hAnsi="宋体" w:cs="宋体"/>
          <w:color w:val="auto"/>
          <w:sz w:val="24"/>
          <w:szCs w:val="24"/>
          <w:highlight w:val="none"/>
          <w:lang w:val="en-US" w:eastAsia="zh-CN"/>
        </w:rPr>
        <w:t>项目</w:t>
      </w:r>
      <w:r>
        <w:rPr>
          <w:rFonts w:hint="eastAsia" w:ascii="宋体" w:hAnsi="宋体" w:eastAsia="宋体" w:cs="宋体"/>
          <w:color w:val="auto"/>
          <w:sz w:val="24"/>
          <w:szCs w:val="24"/>
          <w:highlight w:val="none"/>
        </w:rPr>
        <w:t>名称</w:t>
      </w:r>
      <w:r>
        <w:rPr>
          <w:rFonts w:hint="eastAsia" w:ascii="宋体" w:hAnsi="宋体"/>
          <w:color w:val="auto"/>
          <w:szCs w:val="21"/>
          <w:highlight w:val="none"/>
        </w:rPr>
        <w:t xml:space="preserve">：                                         日期：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年   月   日</w:t>
      </w:r>
    </w:p>
    <w:tbl>
      <w:tblPr>
        <w:tblStyle w:val="49"/>
        <w:tblW w:w="8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4624"/>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45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序号</w:t>
            </w:r>
          </w:p>
        </w:tc>
        <w:tc>
          <w:tcPr>
            <w:tcW w:w="4624"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rPr>
              <w:t>投标人名称</w:t>
            </w:r>
          </w:p>
        </w:tc>
        <w:tc>
          <w:tcPr>
            <w:tcW w:w="219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rPr>
              <w:t>得票数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4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szCs w:val="21"/>
                <w:highlight w:val="none"/>
              </w:rPr>
            </w:pPr>
          </w:p>
        </w:tc>
        <w:tc>
          <w:tcPr>
            <w:tcW w:w="4624" w:type="dxa"/>
            <w:vMerge w:val="continue"/>
            <w:tcBorders>
              <w:left w:val="single" w:color="auto" w:sz="4" w:space="0"/>
              <w:bottom w:val="single" w:color="auto" w:sz="4" w:space="0"/>
              <w:right w:val="single" w:color="auto" w:sz="4" w:space="0"/>
            </w:tcBorders>
            <w:noWrap w:val="0"/>
            <w:vAlign w:val="top"/>
          </w:tcPr>
          <w:p>
            <w:pPr>
              <w:widowControl/>
              <w:jc w:val="center"/>
              <w:rPr>
                <w:rFonts w:ascii="宋体" w:hAnsi="宋体"/>
                <w:color w:val="auto"/>
                <w:szCs w:val="21"/>
                <w:highlight w:val="none"/>
              </w:rPr>
            </w:pPr>
          </w:p>
        </w:tc>
        <w:tc>
          <w:tcPr>
            <w:tcW w:w="21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4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462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auto"/>
                <w:szCs w:val="21"/>
                <w:highlight w:val="none"/>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4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462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auto"/>
                <w:szCs w:val="21"/>
                <w:highlight w:val="none"/>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4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462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auto"/>
                <w:szCs w:val="21"/>
                <w:highlight w:val="none"/>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4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462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auto"/>
                <w:szCs w:val="21"/>
                <w:highlight w:val="none"/>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4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462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auto"/>
                <w:szCs w:val="21"/>
                <w:highlight w:val="none"/>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4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462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auto"/>
                <w:szCs w:val="21"/>
                <w:highlight w:val="none"/>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4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Cs w:val="21"/>
                <w:highlight w:val="none"/>
                <w:lang w:eastAsia="zh-CN"/>
              </w:rPr>
            </w:pPr>
            <w:r>
              <w:rPr>
                <w:rFonts w:hint="eastAsia" w:ascii="宋体" w:hAnsi="宋体" w:cs="宋体"/>
                <w:color w:val="auto"/>
                <w:sz w:val="24"/>
                <w:highlight w:val="none"/>
                <w:lang w:val="en-US" w:eastAsia="zh-CN"/>
              </w:rPr>
              <w:t>7</w:t>
            </w:r>
          </w:p>
        </w:tc>
        <w:tc>
          <w:tcPr>
            <w:tcW w:w="462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auto"/>
                <w:szCs w:val="21"/>
                <w:highlight w:val="none"/>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4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8</w:t>
            </w:r>
          </w:p>
        </w:tc>
        <w:tc>
          <w:tcPr>
            <w:tcW w:w="462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auto"/>
                <w:szCs w:val="21"/>
                <w:highlight w:val="none"/>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4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9</w:t>
            </w:r>
          </w:p>
        </w:tc>
        <w:tc>
          <w:tcPr>
            <w:tcW w:w="462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auto"/>
                <w:szCs w:val="21"/>
                <w:highlight w:val="none"/>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p>
        </w:tc>
      </w:tr>
    </w:tbl>
    <w:p>
      <w:pPr>
        <w:rPr>
          <w:rFonts w:hint="eastAsia" w:ascii="宋体" w:hAnsi="宋体"/>
          <w:color w:val="auto"/>
          <w:szCs w:val="21"/>
          <w:highlight w:val="none"/>
        </w:rPr>
      </w:pPr>
    </w:p>
    <w:p>
      <w:pPr>
        <w:jc w:val="left"/>
        <w:outlineLvl w:val="9"/>
        <w:rPr>
          <w:rFonts w:ascii="宋体" w:hAnsi="宋体"/>
          <w:b/>
          <w:bCs/>
          <w:color w:val="auto"/>
          <w:szCs w:val="20"/>
          <w:highlight w:val="none"/>
        </w:rPr>
      </w:pPr>
      <w:r>
        <w:rPr>
          <w:rFonts w:hint="eastAsia" w:ascii="宋体" w:hAnsi="宋体"/>
          <w:color w:val="auto"/>
          <w:szCs w:val="21"/>
          <w:highlight w:val="none"/>
        </w:rPr>
        <w:t>定标委员会全体成员签字</w:t>
      </w:r>
      <w:r>
        <w:rPr>
          <w:rFonts w:hint="eastAsia" w:ascii="宋体" w:hAnsi="宋体"/>
          <w:color w:val="auto"/>
          <w:szCs w:val="21"/>
          <w:highlight w:val="none"/>
          <w:lang w:val="en-US" w:eastAsia="zh-CN"/>
        </w:rPr>
        <w:t>：</w:t>
      </w:r>
      <w:r>
        <w:rPr>
          <w:rFonts w:ascii="宋体" w:hAnsi="宋体" w:cs="宋体"/>
          <w:color w:val="auto"/>
          <w:szCs w:val="21"/>
        </w:rPr>
        <w:t xml:space="preserve">    </w:t>
      </w:r>
      <w:r>
        <w:rPr>
          <w:rFonts w:hint="eastAsia" w:ascii="宋体" w:hAnsi="宋体" w:cs="宋体"/>
          <w:color w:val="auto"/>
          <w:szCs w:val="21"/>
          <w:lang w:val="en-US" w:eastAsia="zh-CN"/>
        </w:rPr>
        <w:t xml:space="preserve">  </w:t>
      </w:r>
      <w:r>
        <w:rPr>
          <w:rFonts w:ascii="宋体" w:hAnsi="宋体" w:cs="宋体"/>
          <w:color w:val="auto"/>
          <w:szCs w:val="21"/>
        </w:rPr>
        <w:t xml:space="preserve">                 </w:t>
      </w:r>
      <w:r>
        <w:rPr>
          <w:rFonts w:hint="eastAsia" w:ascii="宋体" w:hAnsi="宋体" w:cs="宋体"/>
          <w:color w:val="auto"/>
          <w:szCs w:val="21"/>
        </w:rPr>
        <w:t>日期：</w:t>
      </w:r>
    </w:p>
    <w:p>
      <w:pPr>
        <w:rPr>
          <w:rFonts w:ascii="宋体" w:hAnsi="宋体"/>
          <w:color w:val="auto"/>
          <w:highlight w:val="none"/>
        </w:rPr>
      </w:pPr>
    </w:p>
    <w:p>
      <w:pPr>
        <w:rPr>
          <w:rFonts w:ascii="宋体" w:hAnsi="宋体"/>
          <w:color w:val="auto"/>
          <w:highlight w:val="none"/>
        </w:rPr>
      </w:pPr>
      <w:r>
        <w:rPr>
          <w:rFonts w:ascii="宋体" w:hAnsi="宋体"/>
          <w:color w:val="auto"/>
          <w:highlight w:val="none"/>
        </w:rPr>
        <w:br w:type="page"/>
      </w:r>
    </w:p>
    <w:p>
      <w:pPr>
        <w:widowControl/>
        <w:spacing w:line="360" w:lineRule="auto"/>
        <w:jc w:val="left"/>
        <w:outlineLvl w:val="2"/>
        <w:rPr>
          <w:rFonts w:hint="eastAsia" w:ascii="宋体" w:hAnsi="宋体" w:cs="宋体"/>
          <w:color w:val="auto"/>
          <w:kern w:val="0"/>
          <w:sz w:val="24"/>
          <w:szCs w:val="24"/>
        </w:rPr>
      </w:pPr>
      <w:bookmarkStart w:id="141" w:name="_Toc25062"/>
      <w:bookmarkStart w:id="142" w:name="_Toc154575295"/>
      <w:bookmarkStart w:id="143" w:name="_Toc11776"/>
      <w:bookmarkStart w:id="144" w:name="_Toc153802892"/>
      <w:bookmarkStart w:id="145" w:name="_Toc27119"/>
      <w:bookmarkStart w:id="146" w:name="_Toc28100"/>
      <w:r>
        <w:rPr>
          <w:rFonts w:hint="eastAsia" w:ascii="宋体" w:hAnsi="宋体" w:cs="宋体"/>
          <w:color w:val="auto"/>
          <w:kern w:val="0"/>
          <w:sz w:val="24"/>
          <w:szCs w:val="24"/>
        </w:rPr>
        <w:t>附表十</w:t>
      </w:r>
      <w:bookmarkEnd w:id="141"/>
      <w:bookmarkEnd w:id="142"/>
      <w:bookmarkEnd w:id="143"/>
      <w:bookmarkEnd w:id="144"/>
      <w:bookmarkEnd w:id="145"/>
      <w:bookmarkEnd w:id="146"/>
    </w:p>
    <w:p>
      <w:pPr>
        <w:pStyle w:val="41"/>
        <w:rPr>
          <w:color w:val="auto"/>
        </w:rPr>
      </w:pPr>
    </w:p>
    <w:p>
      <w:pPr>
        <w:jc w:val="center"/>
        <w:rPr>
          <w:rFonts w:ascii="宋体" w:hAnsi="宋体" w:cs="宋体"/>
          <w:b/>
          <w:color w:val="auto"/>
          <w:sz w:val="36"/>
          <w:szCs w:val="36"/>
        </w:rPr>
      </w:pPr>
      <w:r>
        <w:rPr>
          <w:rFonts w:hint="eastAsia" w:ascii="宋体" w:hAnsi="宋体" w:cs="宋体"/>
          <w:b/>
          <w:color w:val="auto"/>
          <w:sz w:val="36"/>
          <w:szCs w:val="36"/>
        </w:rPr>
        <w:t>附加投票的合格中标候选人名单（定标阶段）（如有）</w:t>
      </w:r>
    </w:p>
    <w:p>
      <w:pPr>
        <w:rPr>
          <w:rFonts w:hint="eastAsia" w:ascii="宋体" w:hAnsi="宋体" w:cs="宋体"/>
          <w:color w:val="auto"/>
          <w:szCs w:val="21"/>
        </w:rPr>
      </w:pPr>
    </w:p>
    <w:p>
      <w:pPr>
        <w:rPr>
          <w:rFonts w:ascii="宋体" w:hAnsi="宋体" w:cs="宋体"/>
          <w:color w:val="auto"/>
          <w:szCs w:val="21"/>
        </w:rPr>
      </w:pPr>
      <w:r>
        <w:rPr>
          <w:rFonts w:hint="eastAsia" w:ascii="宋体" w:hAnsi="宋体" w:cs="宋体"/>
          <w:color w:val="auto"/>
          <w:szCs w:val="21"/>
        </w:rPr>
        <w:t>项目名称：</w:t>
      </w:r>
    </w:p>
    <w:tbl>
      <w:tblPr>
        <w:tblStyle w:val="49"/>
        <w:tblW w:w="834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1932"/>
        <w:gridCol w:w="1932"/>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9" w:hRule="atLeast"/>
        </w:trPr>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kern w:val="0"/>
                <w:sz w:val="24"/>
                <w:szCs w:val="24"/>
              </w:rPr>
            </w:pPr>
            <w:r>
              <w:rPr>
                <w:rFonts w:hint="eastAsia" w:ascii="宋体" w:hAnsi="宋体" w:cs="宋体"/>
                <w:b/>
                <w:color w:val="auto"/>
                <w:kern w:val="0"/>
                <w:sz w:val="24"/>
                <w:szCs w:val="24"/>
              </w:rPr>
              <w:t>合格中标候选人</w:t>
            </w:r>
          </w:p>
        </w:tc>
        <w:tc>
          <w:tcPr>
            <w:tcW w:w="1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kern w:val="0"/>
                <w:sz w:val="24"/>
                <w:szCs w:val="24"/>
              </w:rPr>
            </w:pPr>
          </w:p>
        </w:tc>
        <w:tc>
          <w:tcPr>
            <w:tcW w:w="1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kern w:val="0"/>
                <w:sz w:val="24"/>
                <w:szCs w:val="24"/>
              </w:rPr>
            </w:pPr>
          </w:p>
        </w:tc>
        <w:tc>
          <w:tcPr>
            <w:tcW w:w="19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kern w:val="0"/>
                <w:sz w:val="24"/>
                <w:szCs w:val="24"/>
              </w:rPr>
            </w:pPr>
            <w:r>
              <w:rPr>
                <w:rFonts w:hint="eastAsia" w:ascii="宋体" w:hAnsi="宋体" w:cs="宋体"/>
                <w:color w:val="auto"/>
                <w:sz w:val="24"/>
                <w:szCs w:val="24"/>
              </w:rPr>
              <w:t>……</w:t>
            </w:r>
          </w:p>
        </w:tc>
      </w:tr>
    </w:tbl>
    <w:p>
      <w:pPr>
        <w:spacing w:line="360" w:lineRule="auto"/>
        <w:ind w:left="275" w:hanging="275" w:hangingChars="131"/>
        <w:rPr>
          <w:rFonts w:ascii="宋体" w:hAnsi="宋体" w:cs="宋体"/>
          <w:color w:val="auto"/>
          <w:szCs w:val="21"/>
        </w:rPr>
      </w:pPr>
      <w:r>
        <w:rPr>
          <w:rFonts w:hint="eastAsia" w:ascii="宋体" w:hAnsi="宋体" w:cs="宋体"/>
          <w:color w:val="auto"/>
          <w:szCs w:val="21"/>
        </w:rPr>
        <w:t>注：本表用于投票出现票数相同的情况。</w:t>
      </w:r>
    </w:p>
    <w:p>
      <w:pPr>
        <w:spacing w:line="360" w:lineRule="auto"/>
        <w:ind w:left="275" w:hanging="275" w:hangingChars="131"/>
        <w:rPr>
          <w:rFonts w:ascii="宋体" w:hAnsi="宋体" w:cs="宋体"/>
          <w:color w:val="auto"/>
          <w:szCs w:val="21"/>
        </w:rPr>
      </w:pPr>
    </w:p>
    <w:p>
      <w:pPr>
        <w:spacing w:line="360" w:lineRule="auto"/>
        <w:ind w:left="275" w:hanging="275" w:hangingChars="131"/>
        <w:rPr>
          <w:rFonts w:ascii="宋体" w:hAnsi="宋体" w:cs="宋体"/>
          <w:color w:val="auto"/>
          <w:szCs w:val="21"/>
        </w:rPr>
      </w:pPr>
      <w:r>
        <w:rPr>
          <w:rFonts w:hint="eastAsia" w:ascii="宋体" w:hAnsi="宋体" w:cs="宋体"/>
          <w:color w:val="auto"/>
          <w:szCs w:val="21"/>
        </w:rPr>
        <w:t>定标委员会全体成员签名：</w:t>
      </w:r>
      <w:r>
        <w:rPr>
          <w:rFonts w:ascii="宋体" w:hAnsi="宋体" w:cs="宋体"/>
          <w:color w:val="auto"/>
          <w:szCs w:val="21"/>
        </w:rPr>
        <w:t xml:space="preserve">                     </w:t>
      </w:r>
      <w:r>
        <w:rPr>
          <w:rFonts w:hint="eastAsia" w:ascii="宋体" w:hAnsi="宋体" w:cs="宋体"/>
          <w:color w:val="auto"/>
          <w:szCs w:val="21"/>
        </w:rPr>
        <w:t>日期：</w:t>
      </w:r>
    </w:p>
    <w:p>
      <w:pPr>
        <w:widowControl/>
        <w:jc w:val="left"/>
        <w:rPr>
          <w:rFonts w:ascii="宋体" w:hAnsi="宋体" w:cs="宋体"/>
          <w:color w:val="auto"/>
          <w:szCs w:val="21"/>
        </w:rPr>
      </w:pPr>
      <w:r>
        <w:rPr>
          <w:rFonts w:ascii="宋体" w:hAnsi="宋体" w:cs="宋体"/>
          <w:color w:val="auto"/>
          <w:szCs w:val="21"/>
        </w:rPr>
        <w:br w:type="page"/>
      </w:r>
    </w:p>
    <w:p>
      <w:pPr>
        <w:widowControl/>
        <w:spacing w:line="360" w:lineRule="auto"/>
        <w:jc w:val="left"/>
        <w:outlineLvl w:val="2"/>
        <w:rPr>
          <w:rFonts w:hint="eastAsia" w:ascii="宋体" w:hAnsi="宋体" w:cs="宋体"/>
          <w:color w:val="auto"/>
          <w:kern w:val="0"/>
          <w:sz w:val="24"/>
          <w:szCs w:val="24"/>
        </w:rPr>
      </w:pPr>
      <w:bookmarkStart w:id="147" w:name="_Toc7909"/>
      <w:bookmarkStart w:id="148" w:name="_Toc154575296"/>
      <w:bookmarkStart w:id="149" w:name="_Toc12922"/>
      <w:bookmarkStart w:id="150" w:name="_Toc18392"/>
      <w:bookmarkStart w:id="151" w:name="_Toc23499"/>
      <w:bookmarkStart w:id="152" w:name="_Toc153802893"/>
      <w:r>
        <w:rPr>
          <w:rFonts w:hint="eastAsia" w:ascii="宋体" w:hAnsi="宋体" w:cs="宋体"/>
          <w:color w:val="auto"/>
          <w:kern w:val="0"/>
          <w:sz w:val="24"/>
          <w:szCs w:val="24"/>
        </w:rPr>
        <w:t>附表十一</w:t>
      </w:r>
      <w:bookmarkEnd w:id="147"/>
      <w:bookmarkEnd w:id="148"/>
      <w:bookmarkEnd w:id="149"/>
      <w:bookmarkEnd w:id="150"/>
      <w:bookmarkEnd w:id="151"/>
      <w:bookmarkEnd w:id="152"/>
    </w:p>
    <w:p>
      <w:pPr>
        <w:pStyle w:val="41"/>
        <w:rPr>
          <w:color w:val="auto"/>
        </w:rPr>
      </w:pPr>
    </w:p>
    <w:p>
      <w:pPr>
        <w:jc w:val="center"/>
        <w:rPr>
          <w:rFonts w:ascii="宋体" w:hAnsi="宋体" w:cs="宋体"/>
          <w:b/>
          <w:color w:val="auto"/>
          <w:sz w:val="36"/>
          <w:szCs w:val="36"/>
        </w:rPr>
      </w:pPr>
      <w:r>
        <w:rPr>
          <w:rFonts w:hint="eastAsia" w:ascii="宋体" w:hAnsi="宋体" w:cs="宋体"/>
          <w:b/>
          <w:color w:val="auto"/>
          <w:sz w:val="36"/>
          <w:szCs w:val="36"/>
        </w:rPr>
        <w:t>附加定标选票表（定标阶段）（如有）</w:t>
      </w:r>
    </w:p>
    <w:p>
      <w:pPr>
        <w:rPr>
          <w:rFonts w:hint="eastAsia" w:ascii="宋体" w:hAnsi="宋体" w:cs="宋体"/>
          <w:color w:val="auto"/>
          <w:szCs w:val="21"/>
        </w:rPr>
      </w:pPr>
    </w:p>
    <w:p>
      <w:pPr>
        <w:rPr>
          <w:rFonts w:ascii="宋体" w:hAnsi="宋体" w:cs="宋体"/>
          <w:color w:val="auto"/>
          <w:szCs w:val="21"/>
        </w:rPr>
      </w:pPr>
      <w:r>
        <w:rPr>
          <w:rFonts w:hint="eastAsia" w:ascii="宋体" w:hAnsi="宋体" w:cs="宋体"/>
          <w:color w:val="auto"/>
          <w:szCs w:val="21"/>
        </w:rPr>
        <w:t>项目名称：</w:t>
      </w:r>
    </w:p>
    <w:tbl>
      <w:tblPr>
        <w:tblStyle w:val="471"/>
        <w:tblW w:w="483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4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5" w:type="pct"/>
            <w:vAlign w:val="center"/>
          </w:tcPr>
          <w:p>
            <w:pPr>
              <w:jc w:val="center"/>
              <w:rPr>
                <w:rFonts w:ascii="宋体" w:hAnsi="宋体"/>
                <w:b/>
                <w:color w:val="auto"/>
                <w:sz w:val="24"/>
                <w:szCs w:val="24"/>
              </w:rPr>
            </w:pPr>
            <w:r>
              <w:rPr>
                <w:rFonts w:hint="eastAsia" w:ascii="宋体" w:hAnsi="宋体" w:cs="宋体"/>
                <w:b/>
                <w:bCs/>
                <w:color w:val="auto"/>
                <w:sz w:val="24"/>
                <w:szCs w:val="24"/>
              </w:rPr>
              <w:t>支持的合格中标候选人</w:t>
            </w:r>
          </w:p>
        </w:tc>
        <w:tc>
          <w:tcPr>
            <w:tcW w:w="2955" w:type="pct"/>
            <w:vAlign w:val="center"/>
          </w:tcPr>
          <w:p>
            <w:pPr>
              <w:jc w:val="center"/>
              <w:rPr>
                <w:rFonts w:ascii="宋体" w:hAnsi="宋体" w:cs="宋体"/>
                <w:b/>
                <w:bCs/>
                <w:color w:val="auto"/>
                <w:sz w:val="24"/>
                <w:szCs w:val="24"/>
              </w:rPr>
            </w:pPr>
            <w:r>
              <w:rPr>
                <w:rFonts w:hint="eastAsia" w:ascii="宋体" w:hAnsi="宋体"/>
                <w:b/>
                <w:color w:val="auto"/>
                <w:sz w:val="24"/>
                <w:szCs w:val="24"/>
              </w:rPr>
              <w:t>支持理由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5" w:type="pct"/>
            <w:vAlign w:val="center"/>
          </w:tcPr>
          <w:p>
            <w:pPr>
              <w:ind w:right="-162" w:rightChars="-77"/>
              <w:jc w:val="center"/>
              <w:rPr>
                <w:rFonts w:ascii="宋体" w:hAnsi="宋体" w:cs="宋体"/>
                <w:b/>
                <w:bCs/>
                <w:color w:val="auto"/>
                <w:sz w:val="24"/>
                <w:szCs w:val="24"/>
              </w:rPr>
            </w:pPr>
          </w:p>
        </w:tc>
        <w:tc>
          <w:tcPr>
            <w:tcW w:w="2955" w:type="pct"/>
            <w:vAlign w:val="center"/>
          </w:tcPr>
          <w:p>
            <w:pPr>
              <w:jc w:val="center"/>
              <w:rPr>
                <w:rFonts w:ascii="宋体" w:hAnsi="宋体" w:cs="宋体"/>
                <w:color w:val="auto"/>
                <w:sz w:val="24"/>
                <w:szCs w:val="24"/>
              </w:rPr>
            </w:pPr>
          </w:p>
        </w:tc>
      </w:tr>
    </w:tbl>
    <w:p>
      <w:pPr>
        <w:rPr>
          <w:rFonts w:ascii="宋体" w:hAnsi="宋体" w:cs="宋体"/>
          <w:color w:val="auto"/>
          <w:szCs w:val="21"/>
        </w:rPr>
      </w:pPr>
      <w:r>
        <w:rPr>
          <w:rFonts w:hint="eastAsia" w:ascii="宋体" w:hAnsi="宋体" w:cs="宋体"/>
          <w:color w:val="auto"/>
          <w:szCs w:val="21"/>
        </w:rPr>
        <w:t>正式投票规则：</w:t>
      </w:r>
    </w:p>
    <w:p>
      <w:pPr>
        <w:rPr>
          <w:rFonts w:ascii="宋体" w:hAnsi="宋体" w:cs="宋体"/>
          <w:color w:val="auto"/>
          <w:szCs w:val="21"/>
        </w:rPr>
      </w:pPr>
      <w:r>
        <w:rPr>
          <w:rFonts w:hint="eastAsia" w:ascii="宋体" w:hAnsi="宋体" w:cs="宋体"/>
          <w:color w:val="auto"/>
          <w:szCs w:val="21"/>
        </w:rPr>
        <w:t>（1）以上表格用于正式投票，投票时须注明支持的合格中标候选人及支持理由。</w:t>
      </w:r>
    </w:p>
    <w:p>
      <w:pPr>
        <w:rPr>
          <w:rFonts w:ascii="宋体" w:hAnsi="宋体" w:cs="宋体"/>
          <w:color w:val="auto"/>
          <w:szCs w:val="21"/>
        </w:rPr>
      </w:pPr>
      <w:r>
        <w:rPr>
          <w:rFonts w:hint="eastAsia" w:ascii="宋体" w:hAnsi="宋体" w:cs="宋体"/>
          <w:color w:val="auto"/>
          <w:szCs w:val="21"/>
        </w:rPr>
        <w:t>（2）由定标委员会成员进行投票，各定标委员会成员只能支持一家合格中标候选人。</w:t>
      </w:r>
    </w:p>
    <w:p>
      <w:pPr>
        <w:rPr>
          <w:rFonts w:ascii="宋体" w:hAnsi="宋体" w:cs="宋体"/>
          <w:color w:val="auto"/>
          <w:szCs w:val="21"/>
        </w:rPr>
      </w:pPr>
      <w:r>
        <w:rPr>
          <w:rFonts w:hint="eastAsia" w:ascii="宋体" w:hAnsi="宋体" w:cs="宋体"/>
          <w:color w:val="auto"/>
          <w:szCs w:val="21"/>
        </w:rPr>
        <w:t>（3）投票结束后，点票人员对投票人数、票数和每票对应的合格中标候选人总数加以核对和统计，作废的选票不得统计，并向定标委员会报告。</w:t>
      </w:r>
    </w:p>
    <w:p>
      <w:pPr>
        <w:rPr>
          <w:rFonts w:ascii="宋体" w:hAnsi="宋体" w:cs="宋体"/>
          <w:color w:val="auto"/>
          <w:szCs w:val="21"/>
        </w:rPr>
      </w:pPr>
      <w:r>
        <w:rPr>
          <w:rFonts w:hint="eastAsia" w:ascii="宋体" w:hAnsi="宋体" w:cs="宋体"/>
          <w:color w:val="auto"/>
          <w:szCs w:val="21"/>
        </w:rPr>
        <w:t>（4）定标委员会成员应当独立投票，自投票开始至最终排名统计结果公布期间，任何人不得非法干预、影响投票过程，不得透露、协商、改变投票结果，不得使用通信联络工具。</w:t>
      </w:r>
    </w:p>
    <w:p>
      <w:pPr>
        <w:spacing w:line="360" w:lineRule="auto"/>
        <w:ind w:left="275" w:hanging="275" w:hangingChars="131"/>
        <w:rPr>
          <w:rFonts w:ascii="宋体" w:hAnsi="宋体" w:cs="宋体"/>
          <w:color w:val="auto"/>
          <w:szCs w:val="21"/>
        </w:rPr>
      </w:pPr>
    </w:p>
    <w:p>
      <w:pPr>
        <w:spacing w:line="360" w:lineRule="auto"/>
        <w:ind w:left="275" w:hanging="275" w:hangingChars="131"/>
        <w:rPr>
          <w:rFonts w:ascii="宋体" w:hAnsi="宋体" w:cs="宋体"/>
          <w:color w:val="auto"/>
          <w:szCs w:val="21"/>
        </w:rPr>
      </w:pPr>
      <w:r>
        <w:rPr>
          <w:rFonts w:hint="eastAsia" w:ascii="宋体" w:hAnsi="宋体" w:cs="宋体"/>
          <w:color w:val="auto"/>
          <w:szCs w:val="21"/>
        </w:rPr>
        <w:t>定标委员会成员签名：</w:t>
      </w:r>
      <w:r>
        <w:rPr>
          <w:rFonts w:ascii="宋体" w:hAnsi="宋体" w:cs="宋体"/>
          <w:color w:val="auto"/>
          <w:szCs w:val="21"/>
        </w:rPr>
        <w:t xml:space="preserve">                         </w:t>
      </w:r>
      <w:r>
        <w:rPr>
          <w:rFonts w:hint="eastAsia" w:ascii="宋体" w:hAnsi="宋体" w:cs="宋体"/>
          <w:color w:val="auto"/>
          <w:szCs w:val="21"/>
        </w:rPr>
        <w:t>日期：</w:t>
      </w:r>
    </w:p>
    <w:p>
      <w:pPr>
        <w:rPr>
          <w:rFonts w:ascii="宋体" w:hAnsi="宋体" w:cs="宋体"/>
          <w:color w:val="auto"/>
          <w:szCs w:val="21"/>
        </w:rPr>
      </w:pPr>
    </w:p>
    <w:p>
      <w:pPr>
        <w:widowControl/>
        <w:jc w:val="left"/>
        <w:rPr>
          <w:rFonts w:ascii="宋体" w:hAnsi="宋体" w:cs="宋体"/>
          <w:color w:val="auto"/>
          <w:szCs w:val="21"/>
        </w:rPr>
      </w:pPr>
      <w:r>
        <w:rPr>
          <w:rFonts w:ascii="宋体" w:hAnsi="宋体" w:cs="宋体"/>
          <w:color w:val="auto"/>
          <w:szCs w:val="21"/>
        </w:rPr>
        <w:br w:type="page"/>
      </w:r>
    </w:p>
    <w:p>
      <w:pPr>
        <w:widowControl/>
        <w:spacing w:line="360" w:lineRule="auto"/>
        <w:jc w:val="left"/>
        <w:outlineLvl w:val="2"/>
        <w:rPr>
          <w:rFonts w:hint="eastAsia" w:ascii="宋体" w:hAnsi="宋体" w:cs="宋体"/>
          <w:color w:val="auto"/>
          <w:kern w:val="0"/>
          <w:sz w:val="24"/>
          <w:szCs w:val="24"/>
        </w:rPr>
      </w:pPr>
      <w:bookmarkStart w:id="153" w:name="_Toc26197"/>
      <w:bookmarkStart w:id="154" w:name="_Toc19469"/>
      <w:bookmarkStart w:id="155" w:name="_Toc154575297"/>
      <w:bookmarkStart w:id="156" w:name="_Toc28528"/>
      <w:bookmarkStart w:id="157" w:name="_Toc3096"/>
      <w:bookmarkStart w:id="158" w:name="_Toc153802894"/>
      <w:r>
        <w:rPr>
          <w:rFonts w:hint="eastAsia" w:ascii="宋体" w:hAnsi="宋体" w:cs="宋体"/>
          <w:color w:val="auto"/>
          <w:kern w:val="0"/>
          <w:sz w:val="24"/>
          <w:szCs w:val="24"/>
        </w:rPr>
        <w:t>附表十二</w:t>
      </w:r>
      <w:bookmarkEnd w:id="153"/>
      <w:bookmarkEnd w:id="154"/>
      <w:bookmarkEnd w:id="155"/>
      <w:bookmarkEnd w:id="156"/>
      <w:bookmarkEnd w:id="157"/>
      <w:bookmarkEnd w:id="158"/>
    </w:p>
    <w:p>
      <w:pPr>
        <w:pStyle w:val="41"/>
        <w:rPr>
          <w:color w:val="auto"/>
        </w:rPr>
      </w:pPr>
    </w:p>
    <w:p>
      <w:pPr>
        <w:jc w:val="center"/>
        <w:rPr>
          <w:rFonts w:ascii="宋体" w:hAnsi="宋体" w:cs="宋体"/>
          <w:b/>
          <w:color w:val="auto"/>
          <w:sz w:val="36"/>
          <w:szCs w:val="36"/>
        </w:rPr>
      </w:pPr>
      <w:r>
        <w:rPr>
          <w:rFonts w:hint="eastAsia" w:ascii="宋体" w:hAnsi="宋体" w:cs="宋体"/>
          <w:b/>
          <w:color w:val="auto"/>
          <w:sz w:val="36"/>
          <w:szCs w:val="36"/>
        </w:rPr>
        <w:t>附加投票汇总表（定标阶段）（如有）</w:t>
      </w:r>
    </w:p>
    <w:p>
      <w:pPr>
        <w:rPr>
          <w:rFonts w:hint="eastAsia" w:ascii="宋体" w:hAnsi="宋体" w:cs="宋体"/>
          <w:color w:val="auto"/>
          <w:szCs w:val="21"/>
        </w:rPr>
      </w:pPr>
    </w:p>
    <w:p>
      <w:pPr>
        <w:rPr>
          <w:rFonts w:ascii="宋体" w:hAnsi="宋体" w:cs="宋体"/>
          <w:color w:val="auto"/>
          <w:szCs w:val="21"/>
        </w:rPr>
      </w:pPr>
      <w:r>
        <w:rPr>
          <w:rFonts w:hint="eastAsia" w:ascii="宋体" w:hAnsi="宋体" w:cs="宋体"/>
          <w:color w:val="auto"/>
          <w:szCs w:val="21"/>
        </w:rPr>
        <w:t>项目名称：</w:t>
      </w:r>
    </w:p>
    <w:tbl>
      <w:tblPr>
        <w:tblStyle w:val="4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7"/>
        <w:gridCol w:w="5159"/>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szCs w:val="24"/>
              </w:rPr>
            </w:pPr>
            <w:r>
              <w:rPr>
                <w:rFonts w:hint="eastAsia" w:ascii="宋体" w:hAnsi="宋体" w:cs="宋体"/>
                <w:b/>
                <w:color w:val="auto"/>
                <w:sz w:val="24"/>
                <w:szCs w:val="24"/>
              </w:rPr>
              <w:t>序号</w:t>
            </w:r>
          </w:p>
        </w:tc>
        <w:tc>
          <w:tcPr>
            <w:tcW w:w="3027" w:type="pct"/>
            <w:tcBorders>
              <w:top w:val="single" w:color="auto" w:sz="4" w:space="0"/>
              <w:left w:val="nil"/>
              <w:bottom w:val="single" w:color="auto" w:sz="4" w:space="0"/>
              <w:right w:val="single" w:color="auto" w:sz="4" w:space="0"/>
            </w:tcBorders>
            <w:vAlign w:val="center"/>
          </w:tcPr>
          <w:p>
            <w:pPr>
              <w:jc w:val="center"/>
              <w:rPr>
                <w:rFonts w:ascii="宋体" w:hAnsi="宋体" w:cs="宋体"/>
                <w:b/>
                <w:color w:val="auto"/>
                <w:sz w:val="24"/>
                <w:szCs w:val="24"/>
              </w:rPr>
            </w:pPr>
            <w:r>
              <w:rPr>
                <w:rFonts w:hint="eastAsia" w:ascii="宋体" w:hAnsi="宋体" w:cs="宋体"/>
                <w:b/>
                <w:color w:val="auto"/>
                <w:sz w:val="24"/>
                <w:szCs w:val="24"/>
              </w:rPr>
              <w:t>合格中标候选人</w:t>
            </w:r>
          </w:p>
        </w:tc>
        <w:tc>
          <w:tcPr>
            <w:tcW w:w="1335" w:type="pct"/>
            <w:tcBorders>
              <w:top w:val="single" w:color="auto" w:sz="4" w:space="0"/>
              <w:left w:val="nil"/>
              <w:bottom w:val="single" w:color="auto" w:sz="4" w:space="0"/>
              <w:right w:val="single" w:color="auto" w:sz="4" w:space="0"/>
            </w:tcBorders>
            <w:vAlign w:val="center"/>
          </w:tcPr>
          <w:p>
            <w:pPr>
              <w:jc w:val="center"/>
              <w:rPr>
                <w:rFonts w:ascii="宋体" w:hAnsi="宋体" w:cs="宋体"/>
                <w:b/>
                <w:color w:val="auto"/>
                <w:sz w:val="24"/>
                <w:szCs w:val="24"/>
              </w:rPr>
            </w:pPr>
            <w:r>
              <w:rPr>
                <w:rFonts w:hint="eastAsia" w:ascii="宋体" w:hAnsi="宋体" w:cs="宋体"/>
                <w:b/>
                <w:color w:val="auto"/>
                <w:sz w:val="24"/>
                <w:szCs w:val="24"/>
              </w:rPr>
              <w:t>得票数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rPr>
            </w:pPr>
            <w:r>
              <w:rPr>
                <w:rFonts w:ascii="宋体" w:hAnsi="宋体" w:cs="宋体"/>
                <w:color w:val="auto"/>
                <w:sz w:val="24"/>
                <w:szCs w:val="24"/>
              </w:rPr>
              <w:t>1</w:t>
            </w:r>
          </w:p>
        </w:tc>
        <w:tc>
          <w:tcPr>
            <w:tcW w:w="3027" w:type="pct"/>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1335" w:type="pct"/>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rPr>
            </w:pPr>
            <w:r>
              <w:rPr>
                <w:rFonts w:ascii="宋体" w:hAnsi="宋体" w:cs="宋体"/>
                <w:color w:val="auto"/>
                <w:sz w:val="24"/>
                <w:szCs w:val="24"/>
              </w:rPr>
              <w:t>2</w:t>
            </w:r>
          </w:p>
        </w:tc>
        <w:tc>
          <w:tcPr>
            <w:tcW w:w="3027" w:type="pct"/>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1335" w:type="pct"/>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szCs w:val="24"/>
              </w:rPr>
            </w:pPr>
          </w:p>
        </w:tc>
      </w:tr>
    </w:tbl>
    <w:p>
      <w:pPr>
        <w:spacing w:line="360" w:lineRule="auto"/>
        <w:ind w:left="275" w:hanging="275" w:hangingChars="131"/>
        <w:rPr>
          <w:rFonts w:ascii="宋体" w:hAnsi="宋体" w:cs="宋体"/>
          <w:color w:val="auto"/>
          <w:szCs w:val="21"/>
        </w:rPr>
      </w:pPr>
      <w:r>
        <w:rPr>
          <w:rFonts w:hint="eastAsia" w:ascii="宋体" w:hAnsi="宋体" w:cs="宋体"/>
          <w:color w:val="auto"/>
          <w:szCs w:val="21"/>
        </w:rPr>
        <w:t>注：本表用于投票出现票数相同的情况。</w:t>
      </w:r>
    </w:p>
    <w:p>
      <w:pPr>
        <w:spacing w:line="360" w:lineRule="auto"/>
        <w:ind w:left="275" w:hanging="275" w:hangingChars="131"/>
        <w:rPr>
          <w:rFonts w:ascii="宋体" w:hAnsi="宋体" w:cs="宋体"/>
          <w:color w:val="auto"/>
          <w:szCs w:val="21"/>
        </w:rPr>
      </w:pPr>
    </w:p>
    <w:p>
      <w:pPr>
        <w:spacing w:line="360" w:lineRule="auto"/>
        <w:ind w:left="275" w:hanging="275" w:hangingChars="131"/>
        <w:rPr>
          <w:rFonts w:ascii="宋体" w:hAnsi="宋体" w:cs="宋体"/>
          <w:color w:val="auto"/>
          <w:szCs w:val="21"/>
        </w:rPr>
      </w:pPr>
      <w:r>
        <w:rPr>
          <w:rFonts w:hint="eastAsia" w:ascii="宋体" w:hAnsi="宋体" w:cs="宋体"/>
          <w:color w:val="auto"/>
          <w:szCs w:val="21"/>
        </w:rPr>
        <w:t>定标委员会全体成员签名：</w:t>
      </w:r>
      <w:r>
        <w:rPr>
          <w:rFonts w:ascii="宋体" w:hAnsi="宋体" w:cs="宋体"/>
          <w:color w:val="auto"/>
          <w:szCs w:val="21"/>
        </w:rPr>
        <w:t xml:space="preserve">                     </w:t>
      </w:r>
      <w:r>
        <w:rPr>
          <w:rFonts w:hint="eastAsia" w:ascii="宋体" w:hAnsi="宋体" w:cs="宋体"/>
          <w:color w:val="auto"/>
          <w:szCs w:val="21"/>
        </w:rPr>
        <w:t>日期：</w:t>
      </w:r>
    </w:p>
    <w:p>
      <w:pPr>
        <w:rPr>
          <w:rFonts w:hint="default"/>
          <w:color w:val="auto"/>
          <w:highlight w:val="none"/>
          <w:lang w:val="en-US" w:eastAsia="zh-CN"/>
        </w:rPr>
      </w:pPr>
    </w:p>
    <w:p>
      <w:pPr>
        <w:pStyle w:val="469"/>
        <w:rPr>
          <w:rFonts w:ascii="宋体" w:hAnsi="宋体"/>
          <w:color w:val="auto"/>
          <w:highlight w:val="none"/>
        </w:rPr>
        <w:sectPr>
          <w:pgSz w:w="11906" w:h="16838"/>
          <w:pgMar w:top="1440" w:right="1800" w:bottom="1440" w:left="1800" w:header="851" w:footer="992" w:gutter="0"/>
          <w:pgNumType w:fmt="decimal"/>
          <w:cols w:space="720" w:num="1"/>
          <w:docGrid w:type="lines" w:linePitch="312" w:charSpace="0"/>
        </w:sectPr>
      </w:pPr>
    </w:p>
    <w:p>
      <w:pPr>
        <w:pStyle w:val="3"/>
        <w:rPr>
          <w:rFonts w:ascii="宋体" w:hAnsi="宋体"/>
          <w:color w:val="auto"/>
          <w:highlight w:val="none"/>
        </w:rPr>
      </w:pPr>
      <w:bookmarkStart w:id="159" w:name="_Toc21008"/>
      <w:bookmarkStart w:id="160" w:name="_Toc14313"/>
      <w:bookmarkStart w:id="161" w:name="_Toc3330"/>
      <w:bookmarkStart w:id="162" w:name="_Toc24774"/>
      <w:r>
        <w:rPr>
          <w:rFonts w:hint="eastAsia" w:ascii="宋体" w:hAnsi="宋体"/>
          <w:color w:val="auto"/>
          <w:highlight w:val="none"/>
        </w:rPr>
        <w:t>第三章</w:t>
      </w:r>
      <w:r>
        <w:rPr>
          <w:rFonts w:hint="eastAsia" w:ascii="宋体" w:hAnsi="宋体"/>
          <w:color w:val="auto"/>
          <w:highlight w:val="none"/>
          <w:lang w:val="en-US" w:eastAsia="zh-CN"/>
        </w:rPr>
        <w:t xml:space="preserve"> </w:t>
      </w:r>
      <w:r>
        <w:rPr>
          <w:rFonts w:ascii="宋体" w:hAnsi="宋体"/>
          <w:color w:val="auto"/>
          <w:highlight w:val="none"/>
        </w:rPr>
        <w:t xml:space="preserve"> </w:t>
      </w:r>
      <w:r>
        <w:rPr>
          <w:rFonts w:hint="eastAsia" w:ascii="宋体" w:hAnsi="宋体"/>
          <w:color w:val="auto"/>
          <w:highlight w:val="none"/>
        </w:rPr>
        <w:t>合同条款</w:t>
      </w:r>
      <w:bookmarkEnd w:id="127"/>
      <w:bookmarkEnd w:id="128"/>
      <w:bookmarkEnd w:id="159"/>
      <w:bookmarkEnd w:id="160"/>
      <w:bookmarkEnd w:id="161"/>
      <w:bookmarkEnd w:id="162"/>
    </w:p>
    <w:p>
      <w:pPr>
        <w:ind w:firstLine="420" w:firstLineChars="200"/>
        <w:rPr>
          <w:rFonts w:ascii="宋体" w:hAnsi="宋体"/>
          <w:color w:val="auto"/>
          <w:highlight w:val="none"/>
        </w:rPr>
      </w:pPr>
      <w:r>
        <w:rPr>
          <w:rFonts w:ascii="宋体" w:hAnsi="宋体"/>
          <w:color w:val="auto"/>
          <w:highlight w:val="none"/>
        </w:rPr>
        <w:drawing>
          <wp:anchor distT="0" distB="0" distL="114300" distR="114300" simplePos="0" relativeHeight="251662336" behindDoc="0" locked="0" layoutInCell="1" allowOverlap="1">
            <wp:simplePos x="0" y="0"/>
            <wp:positionH relativeFrom="column">
              <wp:posOffset>4003040</wp:posOffset>
            </wp:positionH>
            <wp:positionV relativeFrom="paragraph">
              <wp:posOffset>173355</wp:posOffset>
            </wp:positionV>
            <wp:extent cx="1725295" cy="1388110"/>
            <wp:effectExtent l="0" t="0" r="8255" b="2540"/>
            <wp:wrapSquare wrapText="bothSides"/>
            <wp:docPr id="43" name="图片 43" descr="C:\Users\lanxing\Desktop\93b1542184114cf8b316f10d4b2d5c42.png93b1542184114cf8b316f10d4b2d5c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C:\Users\lanxing\Desktop\93b1542184114cf8b316f10d4b2d5c42.png93b1542184114cf8b316f10d4b2d5c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725295" cy="1388110"/>
                    </a:xfrm>
                    <a:prstGeom prst="rect">
                      <a:avLst/>
                    </a:prstGeom>
                    <a:noFill/>
                    <a:ln>
                      <a:noFill/>
                    </a:ln>
                  </pic:spPr>
                </pic:pic>
              </a:graphicData>
            </a:graphic>
          </wp:anchor>
        </w:drawing>
      </w:r>
    </w:p>
    <w:p>
      <w:pPr>
        <w:rPr>
          <w:rFonts w:ascii="宋体" w:hAnsi="宋体"/>
          <w:color w:val="auto"/>
          <w:highlight w:val="none"/>
        </w:rPr>
      </w:pPr>
      <w:r>
        <w:rPr>
          <w:rFonts w:ascii="宋体" w:hAnsi="宋体"/>
          <w:color w:val="auto"/>
          <w:highlight w:val="none"/>
        </w:rPr>
        <w:drawing>
          <wp:inline distT="0" distB="0" distL="0" distR="0">
            <wp:extent cx="2495550" cy="257175"/>
            <wp:effectExtent l="0" t="0" r="0" b="952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2495550" cy="257175"/>
                    </a:xfrm>
                    <a:prstGeom prst="rect">
                      <a:avLst/>
                    </a:prstGeom>
                    <a:noFill/>
                    <a:ln>
                      <a:noFill/>
                    </a:ln>
                  </pic:spPr>
                </pic:pic>
              </a:graphicData>
            </a:graphic>
          </wp:inline>
        </w:drawing>
      </w:r>
    </w:p>
    <w:p>
      <w:pPr>
        <w:ind w:firstLine="8400" w:firstLineChars="3500"/>
        <w:rPr>
          <w:rFonts w:ascii="宋体" w:hAnsi="宋体"/>
          <w:color w:val="auto"/>
          <w:sz w:val="24"/>
          <w:highlight w:val="none"/>
        </w:rPr>
      </w:pPr>
      <w:r>
        <w:rPr>
          <w:rFonts w:ascii="宋体" w:hAnsi="宋体"/>
          <w:color w:val="auto"/>
          <w:sz w:val="24"/>
          <w:highlight w:val="none"/>
        </w:rPr>
        <w:drawing>
          <wp:anchor distT="0" distB="0" distL="114300" distR="114300" simplePos="0" relativeHeight="251661312" behindDoc="1" locked="0" layoutInCell="1" allowOverlap="0">
            <wp:simplePos x="0" y="0"/>
            <wp:positionH relativeFrom="column">
              <wp:posOffset>0</wp:posOffset>
            </wp:positionH>
            <wp:positionV relativeFrom="paragraph">
              <wp:posOffset>198120</wp:posOffset>
            </wp:positionV>
            <wp:extent cx="790575" cy="161925"/>
            <wp:effectExtent l="0" t="0" r="9525" b="9525"/>
            <wp:wrapTight wrapText="bothSides">
              <wp:wrapPolygon>
                <wp:start x="520" y="0"/>
                <wp:lineTo x="0" y="7624"/>
                <wp:lineTo x="0" y="20329"/>
                <wp:lineTo x="21340" y="20329"/>
                <wp:lineTo x="21340" y="10165"/>
                <wp:lineTo x="18737" y="0"/>
                <wp:lineTo x="520" y="0"/>
              </wp:wrapPolygon>
            </wp:wrapTight>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790575" cy="161925"/>
                    </a:xfrm>
                    <a:prstGeom prst="rect">
                      <a:avLst/>
                    </a:prstGeom>
                    <a:noFill/>
                    <a:ln>
                      <a:noFill/>
                    </a:ln>
                  </pic:spPr>
                </pic:pic>
              </a:graphicData>
            </a:graphic>
          </wp:anchor>
        </w:drawing>
      </w:r>
      <w:r>
        <w:rPr>
          <w:rFonts w:ascii="宋体" w:hAnsi="宋体"/>
          <w:color w:val="auto"/>
          <w:sz w:val="24"/>
          <w:highlight w:val="none"/>
        </w:rPr>
        <w:t xml:space="preserve">                            </w:t>
      </w:r>
    </w:p>
    <w:p>
      <w:pPr>
        <w:rPr>
          <w:rFonts w:ascii="宋体" w:hAnsi="宋体"/>
          <w:color w:val="auto"/>
          <w:sz w:val="28"/>
          <w:szCs w:val="28"/>
          <w:highlight w:val="none"/>
        </w:rPr>
      </w:pPr>
      <w:r>
        <w:rPr>
          <w:rFonts w:ascii="宋体" w:hAnsi="宋体"/>
          <w:color w:val="auto"/>
          <w:sz w:val="28"/>
          <w:szCs w:val="28"/>
          <w:highlight w:val="none"/>
        </w:rPr>
        <w:t xml:space="preserve"> </w:t>
      </w:r>
    </w:p>
    <w:p>
      <w:pPr>
        <w:ind w:firstLine="840" w:firstLineChars="400"/>
        <w:rPr>
          <w:rFonts w:ascii="宋体" w:hAnsi="宋体"/>
          <w:color w:val="auto"/>
          <w:highlight w:val="none"/>
        </w:rPr>
      </w:pPr>
    </w:p>
    <w:p>
      <w:pPr>
        <w:ind w:firstLine="840" w:firstLineChars="400"/>
        <w:rPr>
          <w:rFonts w:ascii="宋体" w:hAnsi="宋体"/>
          <w:color w:val="auto"/>
          <w:highlight w:val="none"/>
        </w:rPr>
      </w:pPr>
      <w:r>
        <w:rPr>
          <w:rFonts w:ascii="宋体" w:hAnsi="宋体"/>
          <w:color w:val="auto"/>
          <w:highlight w:val="none"/>
        </w:rPr>
        <w:t xml:space="preserve">                                                              </w:t>
      </w:r>
    </w:p>
    <w:p>
      <w:pPr>
        <w:ind w:firstLine="840" w:firstLineChars="400"/>
        <w:rPr>
          <w:rFonts w:ascii="宋体" w:hAnsi="宋体"/>
          <w:color w:val="auto"/>
          <w:highlight w:val="none"/>
        </w:rPr>
      </w:pPr>
      <w:r>
        <w:rPr>
          <w:rFonts w:ascii="宋体" w:hAnsi="宋体"/>
          <w:color w:val="auto"/>
          <w:highlight w:val="none"/>
        </w:rPr>
        <w:t xml:space="preserve">                     </w:t>
      </w:r>
    </w:p>
    <w:p>
      <w:pPr>
        <w:snapToGrid w:val="0"/>
        <w:spacing w:line="440" w:lineRule="exact"/>
        <w:ind w:left="-197" w:leftChars="-94"/>
        <w:jc w:val="center"/>
        <w:rPr>
          <w:rFonts w:ascii="宋体" w:hAnsi="宋体"/>
          <w:color w:val="auto"/>
          <w:highlight w:val="none"/>
        </w:rPr>
      </w:pPr>
    </w:p>
    <w:p>
      <w:pPr>
        <w:snapToGrid w:val="0"/>
        <w:spacing w:line="440" w:lineRule="exact"/>
        <w:ind w:left="-197" w:leftChars="-94"/>
        <w:jc w:val="center"/>
        <w:rPr>
          <w:rFonts w:ascii="宋体" w:hAnsi="宋体"/>
          <w:color w:val="auto"/>
          <w:highlight w:val="none"/>
        </w:rPr>
      </w:pPr>
      <w:r>
        <w:rPr>
          <w:rFonts w:ascii="宋体" w:hAnsi="宋体"/>
          <w:color w:val="auto"/>
          <w:highlight w:val="none"/>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134620</wp:posOffset>
            </wp:positionV>
            <wp:extent cx="5295900" cy="590550"/>
            <wp:effectExtent l="0" t="0" r="0" b="0"/>
            <wp:wrapSquare wrapText="bothSides"/>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295900" cy="590550"/>
                    </a:xfrm>
                    <a:prstGeom prst="rect">
                      <a:avLst/>
                    </a:prstGeom>
                    <a:noFill/>
                    <a:ln>
                      <a:noFill/>
                    </a:ln>
                  </pic:spPr>
                </pic:pic>
              </a:graphicData>
            </a:graphic>
          </wp:anchor>
        </w:drawing>
      </w:r>
    </w:p>
    <w:p>
      <w:pPr>
        <w:spacing w:line="480" w:lineRule="exact"/>
        <w:jc w:val="center"/>
        <w:rPr>
          <w:rFonts w:ascii="宋体" w:hAnsi="宋体"/>
          <w:color w:val="auto"/>
          <w:sz w:val="28"/>
          <w:szCs w:val="28"/>
          <w:highlight w:val="none"/>
        </w:rPr>
      </w:pPr>
    </w:p>
    <w:p>
      <w:pPr>
        <w:spacing w:line="480" w:lineRule="exact"/>
        <w:jc w:val="center"/>
        <w:rPr>
          <w:rFonts w:ascii="宋体" w:hAnsi="宋体"/>
          <w:color w:val="auto"/>
          <w:sz w:val="28"/>
          <w:szCs w:val="28"/>
          <w:highlight w:val="none"/>
        </w:rPr>
      </w:pPr>
    </w:p>
    <w:p>
      <w:pPr>
        <w:spacing w:line="480" w:lineRule="exact"/>
        <w:rPr>
          <w:rFonts w:hint="eastAsia" w:ascii="宋体" w:hAnsi="宋体"/>
          <w:color w:val="auto"/>
          <w:sz w:val="28"/>
          <w:szCs w:val="28"/>
          <w:highlight w:val="none"/>
        </w:rPr>
      </w:pPr>
    </w:p>
    <w:p>
      <w:pPr>
        <w:spacing w:line="360" w:lineRule="auto"/>
        <w:rPr>
          <w:rFonts w:ascii="宋体" w:hAnsi="宋体"/>
          <w:color w:val="auto"/>
          <w:sz w:val="28"/>
          <w:szCs w:val="28"/>
          <w:highlight w:val="none"/>
          <w:u w:val="single"/>
        </w:rPr>
      </w:pPr>
      <w:r>
        <w:rPr>
          <w:rFonts w:hint="eastAsia" w:ascii="宋体" w:hAnsi="宋体"/>
          <w:color w:val="auto"/>
          <w:sz w:val="28"/>
          <w:szCs w:val="28"/>
          <w:highlight w:val="none"/>
        </w:rPr>
        <w:t>项目名称：</w:t>
      </w:r>
      <w:r>
        <w:rPr>
          <w:rFonts w:ascii="宋体" w:hAnsi="宋体"/>
          <w:color w:val="auto"/>
          <w:sz w:val="28"/>
          <w:szCs w:val="28"/>
          <w:highlight w:val="none"/>
          <w:u w:val="single"/>
        </w:rPr>
        <w:t xml:space="preserve">                                       </w:t>
      </w:r>
    </w:p>
    <w:p>
      <w:pPr>
        <w:spacing w:line="360" w:lineRule="auto"/>
        <w:rPr>
          <w:rFonts w:hint="eastAsia" w:ascii="宋体" w:hAnsi="宋体" w:eastAsia="宋体"/>
          <w:color w:val="auto"/>
          <w:sz w:val="28"/>
          <w:szCs w:val="28"/>
          <w:highlight w:val="none"/>
          <w:u w:val="single"/>
          <w:lang w:eastAsia="zh-CN"/>
        </w:rPr>
      </w:pPr>
      <w:r>
        <w:rPr>
          <w:rFonts w:hint="eastAsia" w:ascii="宋体" w:hAnsi="宋体"/>
          <w:color w:val="auto"/>
          <w:sz w:val="28"/>
          <w:szCs w:val="28"/>
          <w:highlight w:val="none"/>
        </w:rPr>
        <w:t>发包人（甲方）：</w:t>
      </w:r>
      <w:r>
        <w:rPr>
          <w:rFonts w:hint="eastAsia" w:ascii="宋体" w:hAnsi="宋体" w:cs="宋体"/>
          <w:b w:val="0"/>
          <w:bCs w:val="0"/>
          <w:color w:val="auto"/>
          <w:spacing w:val="-2"/>
          <w:sz w:val="28"/>
          <w:szCs w:val="28"/>
          <w:highlight w:val="none"/>
          <w:u w:val="single"/>
          <w:lang w:val="en-US" w:eastAsia="zh-CN"/>
        </w:rPr>
        <w:t>广州东进新区开发有限公司</w:t>
      </w:r>
      <w:r>
        <w:rPr>
          <w:rFonts w:hint="eastAsia" w:ascii="宋体" w:hAnsi="宋体"/>
          <w:color w:val="auto"/>
          <w:sz w:val="28"/>
          <w:szCs w:val="28"/>
          <w:highlight w:val="none"/>
          <w:u w:val="single"/>
          <w:lang w:val="en-US" w:eastAsia="zh-CN"/>
        </w:rPr>
        <w:t xml:space="preserve"> </w:t>
      </w:r>
    </w:p>
    <w:p>
      <w:pPr>
        <w:snapToGrid w:val="0"/>
        <w:spacing w:line="360" w:lineRule="auto"/>
        <w:rPr>
          <w:rFonts w:ascii="宋体" w:hAnsi="宋体"/>
          <w:color w:val="auto"/>
          <w:sz w:val="28"/>
          <w:szCs w:val="28"/>
          <w:highlight w:val="none"/>
          <w:u w:val="single"/>
        </w:rPr>
      </w:pPr>
      <w:r>
        <w:rPr>
          <w:rFonts w:hint="eastAsia" w:ascii="宋体" w:hAnsi="宋体"/>
          <w:color w:val="auto"/>
          <w:sz w:val="28"/>
          <w:szCs w:val="28"/>
          <w:highlight w:val="none"/>
        </w:rPr>
        <w:t>承包人（乙方）：</w:t>
      </w:r>
      <w:r>
        <w:rPr>
          <w:rFonts w:ascii="宋体" w:hAnsi="宋体"/>
          <w:color w:val="auto"/>
          <w:sz w:val="28"/>
          <w:szCs w:val="28"/>
          <w:highlight w:val="none"/>
          <w:u w:val="single"/>
        </w:rPr>
        <w:t xml:space="preserve">                                   </w:t>
      </w:r>
    </w:p>
    <w:p>
      <w:pPr>
        <w:spacing w:line="360" w:lineRule="auto"/>
        <w:rPr>
          <w:rFonts w:ascii="宋体" w:hAnsi="宋体"/>
          <w:color w:val="auto"/>
          <w:sz w:val="28"/>
          <w:szCs w:val="28"/>
          <w:highlight w:val="none"/>
          <w:u w:val="single"/>
        </w:rPr>
      </w:pPr>
      <w:r>
        <w:rPr>
          <w:rFonts w:hint="eastAsia" w:ascii="宋体" w:hAnsi="宋体"/>
          <w:color w:val="auto"/>
          <w:sz w:val="28"/>
          <w:szCs w:val="28"/>
          <w:highlight w:val="none"/>
        </w:rPr>
        <w:t>合同签订日期：</w:t>
      </w:r>
      <w:r>
        <w:rPr>
          <w:rFonts w:ascii="宋体" w:hAnsi="宋体"/>
          <w:color w:val="auto"/>
          <w:sz w:val="28"/>
          <w:szCs w:val="28"/>
          <w:highlight w:val="none"/>
          <w:u w:val="single"/>
        </w:rPr>
        <w:t>202</w:t>
      </w:r>
      <w:r>
        <w:rPr>
          <w:rFonts w:hint="eastAsia" w:ascii="宋体" w:hAnsi="宋体"/>
          <w:color w:val="auto"/>
          <w:sz w:val="28"/>
          <w:szCs w:val="28"/>
          <w:highlight w:val="none"/>
          <w:u w:val="single"/>
          <w:lang w:val="en-US" w:eastAsia="zh-CN"/>
        </w:rPr>
        <w:t xml:space="preserve">  </w:t>
      </w:r>
      <w:r>
        <w:rPr>
          <w:rFonts w:hint="eastAsia" w:ascii="宋体" w:hAnsi="宋体"/>
          <w:color w:val="auto"/>
          <w:sz w:val="28"/>
          <w:szCs w:val="28"/>
          <w:highlight w:val="none"/>
          <w:u w:val="single"/>
        </w:rPr>
        <w:t>年</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月</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日</w:t>
      </w:r>
    </w:p>
    <w:p>
      <w:pPr>
        <w:spacing w:line="360" w:lineRule="auto"/>
        <w:rPr>
          <w:rFonts w:ascii="宋体" w:hAnsi="宋体"/>
          <w:color w:val="auto"/>
          <w:sz w:val="24"/>
          <w:szCs w:val="24"/>
          <w:highlight w:val="none"/>
        </w:rPr>
      </w:pPr>
      <w:r>
        <w:rPr>
          <w:rFonts w:hint="eastAsia" w:ascii="宋体" w:hAnsi="宋体"/>
          <w:color w:val="auto"/>
          <w:sz w:val="28"/>
          <w:szCs w:val="28"/>
          <w:highlight w:val="none"/>
        </w:rPr>
        <w:t>签订地点：</w:t>
      </w:r>
      <w:r>
        <w:rPr>
          <w:rFonts w:hint="eastAsia" w:ascii="宋体" w:hAnsi="宋体"/>
          <w:color w:val="auto"/>
          <w:sz w:val="28"/>
          <w:szCs w:val="28"/>
          <w:highlight w:val="none"/>
          <w:u w:val="single"/>
        </w:rPr>
        <w:t>广州市黄埔区</w:t>
      </w:r>
    </w:p>
    <w:p>
      <w:pPr>
        <w:snapToGrid w:val="0"/>
        <w:spacing w:line="440" w:lineRule="exact"/>
        <w:jc w:val="center"/>
        <w:rPr>
          <w:rFonts w:ascii="宋体" w:hAnsi="宋体"/>
          <w:b/>
          <w:bCs/>
          <w:color w:val="auto"/>
          <w:sz w:val="28"/>
          <w:szCs w:val="28"/>
          <w:highlight w:val="none"/>
        </w:rPr>
      </w:pPr>
      <w:r>
        <w:rPr>
          <w:rFonts w:ascii="宋体" w:hAnsi="宋体"/>
          <w:color w:val="auto"/>
          <w:sz w:val="24"/>
          <w:szCs w:val="24"/>
          <w:highlight w:val="none"/>
        </w:rPr>
        <w:drawing>
          <wp:anchor distT="0" distB="0" distL="114300" distR="114300" simplePos="0" relativeHeight="251663360" behindDoc="0" locked="0" layoutInCell="1" allowOverlap="0">
            <wp:simplePos x="0" y="0"/>
            <wp:positionH relativeFrom="column">
              <wp:posOffset>-895350</wp:posOffset>
            </wp:positionH>
            <wp:positionV relativeFrom="paragraph">
              <wp:posOffset>1617345</wp:posOffset>
            </wp:positionV>
            <wp:extent cx="7000240" cy="2437765"/>
            <wp:effectExtent l="0" t="0" r="10160" b="635"/>
            <wp:wrapSquare wrapText="bothSides"/>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7000240" cy="2437765"/>
                    </a:xfrm>
                    <a:prstGeom prst="rect">
                      <a:avLst/>
                    </a:prstGeom>
                    <a:noFill/>
                    <a:ln>
                      <a:noFill/>
                    </a:ln>
                  </pic:spPr>
                </pic:pic>
              </a:graphicData>
            </a:graphic>
          </wp:anchor>
        </w:drawing>
      </w:r>
      <w:r>
        <w:rPr>
          <w:rFonts w:ascii="宋体" w:hAnsi="宋体"/>
          <w:color w:val="auto"/>
          <w:sz w:val="24"/>
          <w:szCs w:val="24"/>
          <w:highlight w:val="none"/>
        </w:rPr>
        <w:br w:type="page"/>
      </w:r>
      <w:r>
        <w:rPr>
          <w:rFonts w:hint="eastAsia" w:ascii="宋体" w:hAnsi="宋体"/>
          <w:b/>
          <w:color w:val="auto"/>
          <w:sz w:val="28"/>
          <w:szCs w:val="28"/>
          <w:highlight w:val="none"/>
        </w:rPr>
        <w:t>第一部分</w:t>
      </w:r>
      <w:r>
        <w:rPr>
          <w:rFonts w:ascii="宋体" w:hAnsi="宋体"/>
          <w:b/>
          <w:color w:val="auto"/>
          <w:sz w:val="28"/>
          <w:szCs w:val="28"/>
          <w:highlight w:val="none"/>
        </w:rPr>
        <w:t xml:space="preserve">  </w:t>
      </w:r>
      <w:r>
        <w:rPr>
          <w:rFonts w:hint="eastAsia" w:ascii="宋体" w:hAnsi="宋体"/>
          <w:b/>
          <w:color w:val="auto"/>
          <w:sz w:val="28"/>
          <w:szCs w:val="28"/>
          <w:highlight w:val="none"/>
        </w:rPr>
        <w:t>协议书</w:t>
      </w:r>
    </w:p>
    <w:p>
      <w:pPr>
        <w:snapToGrid w:val="0"/>
        <w:spacing w:line="240" w:lineRule="auto"/>
        <w:ind w:firstLine="482"/>
        <w:rPr>
          <w:rFonts w:hint="eastAsia" w:ascii="宋体" w:hAnsi="宋体"/>
          <w:color w:val="auto"/>
          <w:sz w:val="24"/>
          <w:szCs w:val="24"/>
          <w:highlight w:val="none"/>
        </w:rPr>
      </w:pPr>
    </w:p>
    <w:p>
      <w:pPr>
        <w:snapToGrid w:val="0"/>
        <w:spacing w:line="440" w:lineRule="exact"/>
        <w:ind w:firstLine="480"/>
        <w:rPr>
          <w:rFonts w:ascii="宋体" w:hAnsi="宋体"/>
          <w:color w:val="auto"/>
          <w:sz w:val="24"/>
          <w:szCs w:val="24"/>
          <w:highlight w:val="none"/>
          <w:u w:val="single"/>
        </w:rPr>
      </w:pPr>
      <w:r>
        <w:rPr>
          <w:rFonts w:hint="eastAsia" w:ascii="宋体" w:hAnsi="宋体"/>
          <w:color w:val="auto"/>
          <w:sz w:val="24"/>
          <w:szCs w:val="24"/>
          <w:highlight w:val="none"/>
        </w:rPr>
        <w:t>发包人（甲方）：</w:t>
      </w:r>
      <w:r>
        <w:rPr>
          <w:rFonts w:ascii="宋体" w:hAnsi="宋体"/>
          <w:color w:val="auto"/>
          <w:sz w:val="24"/>
          <w:szCs w:val="24"/>
          <w:highlight w:val="none"/>
          <w:u w:val="single"/>
        </w:rPr>
        <w:t xml:space="preserve">                             </w:t>
      </w:r>
      <w:r>
        <w:rPr>
          <w:rFonts w:hint="eastAsia" w:ascii="宋体" w:hAnsi="宋体"/>
          <w:color w:val="auto"/>
          <w:sz w:val="24"/>
          <w:szCs w:val="24"/>
          <w:highlight w:val="none"/>
        </w:rPr>
        <w:t>。</w:t>
      </w:r>
    </w:p>
    <w:p>
      <w:pPr>
        <w:snapToGrid w:val="0"/>
        <w:spacing w:line="440" w:lineRule="exact"/>
        <w:ind w:firstLine="480"/>
        <w:rPr>
          <w:rFonts w:ascii="宋体" w:hAnsi="宋体"/>
          <w:color w:val="auto"/>
          <w:sz w:val="24"/>
          <w:szCs w:val="24"/>
          <w:highlight w:val="none"/>
          <w:u w:val="single"/>
        </w:rPr>
      </w:pPr>
      <w:r>
        <w:rPr>
          <w:rFonts w:hint="eastAsia" w:ascii="宋体" w:hAnsi="宋体"/>
          <w:color w:val="auto"/>
          <w:sz w:val="24"/>
          <w:szCs w:val="24"/>
          <w:highlight w:val="none"/>
        </w:rPr>
        <w:t>承包人（乙方）：</w:t>
      </w:r>
      <w:r>
        <w:rPr>
          <w:rFonts w:ascii="宋体" w:hAnsi="宋体"/>
          <w:color w:val="auto"/>
          <w:sz w:val="24"/>
          <w:szCs w:val="24"/>
          <w:highlight w:val="none"/>
          <w:u w:val="single"/>
        </w:rPr>
        <w:t xml:space="preserve">                             </w:t>
      </w:r>
      <w:r>
        <w:rPr>
          <w:rFonts w:hint="eastAsia" w:ascii="宋体" w:hAnsi="宋体"/>
          <w:color w:val="auto"/>
          <w:sz w:val="24"/>
          <w:szCs w:val="24"/>
          <w:highlight w:val="none"/>
        </w:rPr>
        <w:t>。</w:t>
      </w:r>
    </w:p>
    <w:p>
      <w:pPr>
        <w:snapToGrid w:val="0"/>
        <w:spacing w:line="440" w:lineRule="exact"/>
        <w:ind w:firstLine="480"/>
        <w:rPr>
          <w:rFonts w:ascii="宋体" w:hAnsi="宋体"/>
          <w:color w:val="auto"/>
          <w:sz w:val="24"/>
          <w:szCs w:val="24"/>
          <w:highlight w:val="none"/>
        </w:rPr>
      </w:pPr>
      <w:r>
        <w:rPr>
          <w:rFonts w:hint="eastAsia" w:ascii="宋体" w:hAnsi="宋体"/>
          <w:color w:val="auto"/>
          <w:sz w:val="24"/>
          <w:szCs w:val="24"/>
          <w:highlight w:val="none"/>
        </w:rPr>
        <w:t>依照《中华人民共和国民法典》、《中华人民共和国建筑法》及其他有关法律、行政法规，遵循平等、自愿、公平和诚实信用的原则，双方就本建设工程施工事项协商一致，订立本合同。本合同为代建单位与施工单位签订，施工单位应向建设业主开具发票，发票抬头为“广州开发区财政投资建设项目管理中心”。</w:t>
      </w:r>
    </w:p>
    <w:p>
      <w:pPr>
        <w:snapToGrid w:val="0"/>
        <w:spacing w:line="440" w:lineRule="exact"/>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一、工程概况</w:t>
      </w:r>
    </w:p>
    <w:p>
      <w:pPr>
        <w:snapToGrid w:val="0"/>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工程名称：</w:t>
      </w:r>
      <w:r>
        <w:rPr>
          <w:rFonts w:ascii="宋体" w:hAnsi="宋体"/>
          <w:bCs/>
          <w:color w:val="auto"/>
          <w:sz w:val="24"/>
          <w:szCs w:val="24"/>
          <w:highlight w:val="none"/>
          <w:u w:val="single"/>
        </w:rPr>
        <w:t xml:space="preserve">                            </w:t>
      </w:r>
      <w:r>
        <w:rPr>
          <w:rFonts w:hint="eastAsia" w:ascii="宋体" w:hAnsi="宋体"/>
          <w:bCs/>
          <w:color w:val="auto"/>
          <w:sz w:val="24"/>
          <w:szCs w:val="24"/>
          <w:highlight w:val="none"/>
        </w:rPr>
        <w:t>。</w:t>
      </w:r>
    </w:p>
    <w:p>
      <w:pPr>
        <w:snapToGrid w:val="0"/>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工程地点：</w:t>
      </w:r>
      <w:r>
        <w:rPr>
          <w:rFonts w:ascii="宋体" w:hAnsi="宋体"/>
          <w:bCs/>
          <w:color w:val="auto"/>
          <w:sz w:val="24"/>
          <w:szCs w:val="24"/>
          <w:highlight w:val="none"/>
          <w:u w:val="single"/>
        </w:rPr>
        <w:t xml:space="preserve">                            </w:t>
      </w:r>
      <w:r>
        <w:rPr>
          <w:rFonts w:hint="eastAsia" w:ascii="宋体" w:hAnsi="宋体"/>
          <w:bCs/>
          <w:color w:val="auto"/>
          <w:sz w:val="24"/>
          <w:szCs w:val="24"/>
          <w:highlight w:val="none"/>
        </w:rPr>
        <w:t>。</w:t>
      </w:r>
    </w:p>
    <w:p>
      <w:pPr>
        <w:snapToGrid w:val="0"/>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工程内容：</w:t>
      </w:r>
      <w:r>
        <w:rPr>
          <w:rFonts w:ascii="宋体" w:hAnsi="宋体"/>
          <w:color w:val="auto"/>
          <w:sz w:val="24"/>
          <w:szCs w:val="24"/>
          <w:highlight w:val="none"/>
          <w:u w:val="single"/>
        </w:rPr>
        <w:t xml:space="preserve">                          </w:t>
      </w:r>
      <w:r>
        <w:rPr>
          <w:rFonts w:hint="eastAsia" w:ascii="宋体" w:hAnsi="宋体"/>
          <w:color w:val="auto"/>
          <w:sz w:val="24"/>
          <w:szCs w:val="24"/>
          <w:highlight w:val="none"/>
        </w:rPr>
        <w:t>。具体内容以施工图纸及工程量清单为准。</w:t>
      </w:r>
    </w:p>
    <w:p>
      <w:pPr>
        <w:snapToGrid w:val="0"/>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u w:val="single"/>
        </w:rPr>
        <w:t>建设业主有权根据工程实施情况，对承包人的承包范围和承包工程量进行适当调整</w:t>
      </w:r>
      <w:r>
        <w:rPr>
          <w:rFonts w:hint="eastAsia" w:ascii="宋体" w:hAnsi="宋体"/>
          <w:color w:val="auto"/>
          <w:sz w:val="24"/>
          <w:szCs w:val="24"/>
          <w:highlight w:val="none"/>
        </w:rPr>
        <w:t>。</w:t>
      </w:r>
    </w:p>
    <w:p>
      <w:pPr>
        <w:snapToGrid w:val="0"/>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工程立项批准文号：</w:t>
      </w:r>
      <w:r>
        <w:rPr>
          <w:rFonts w:ascii="宋体" w:hAnsi="宋体"/>
          <w:color w:val="auto"/>
          <w:sz w:val="24"/>
          <w:szCs w:val="24"/>
          <w:highlight w:val="none"/>
          <w:u w:val="single"/>
        </w:rPr>
        <w:t xml:space="preserve">             </w:t>
      </w:r>
      <w:r>
        <w:rPr>
          <w:rFonts w:hint="eastAsia" w:ascii="宋体" w:hAnsi="宋体"/>
          <w:color w:val="auto"/>
          <w:sz w:val="24"/>
          <w:szCs w:val="24"/>
          <w:highlight w:val="none"/>
        </w:rPr>
        <w:t>。</w:t>
      </w:r>
    </w:p>
    <w:p>
      <w:pPr>
        <w:snapToGrid w:val="0"/>
        <w:spacing w:line="440" w:lineRule="exact"/>
        <w:ind w:firstLine="480"/>
        <w:jc w:val="left"/>
        <w:rPr>
          <w:rFonts w:ascii="宋体" w:hAnsi="宋体"/>
          <w:color w:val="auto"/>
          <w:sz w:val="24"/>
          <w:szCs w:val="24"/>
          <w:highlight w:val="none"/>
          <w:u w:val="single"/>
        </w:rPr>
      </w:pPr>
      <w:r>
        <w:rPr>
          <w:rFonts w:hint="eastAsia" w:ascii="宋体" w:hAnsi="宋体"/>
          <w:color w:val="auto"/>
          <w:sz w:val="24"/>
          <w:szCs w:val="24"/>
          <w:highlight w:val="none"/>
        </w:rPr>
        <w:t>资金来源：</w:t>
      </w:r>
      <w:r>
        <w:rPr>
          <w:rFonts w:hint="eastAsia" w:ascii="宋体" w:hAnsi="宋体"/>
          <w:color w:val="auto"/>
          <w:sz w:val="24"/>
          <w:szCs w:val="24"/>
          <w:highlight w:val="none"/>
          <w:u w:val="single"/>
        </w:rPr>
        <w:t>财政投资</w:t>
      </w:r>
      <w:r>
        <w:rPr>
          <w:rFonts w:hint="eastAsia" w:ascii="宋体" w:hAnsi="宋体"/>
          <w:color w:val="auto"/>
          <w:sz w:val="24"/>
          <w:szCs w:val="24"/>
          <w:highlight w:val="none"/>
        </w:rPr>
        <w:t>。</w:t>
      </w:r>
    </w:p>
    <w:p>
      <w:pPr>
        <w:snapToGrid w:val="0"/>
        <w:spacing w:line="440" w:lineRule="exact"/>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二、工程承包范围及承包方式</w:t>
      </w:r>
    </w:p>
    <w:p>
      <w:pPr>
        <w:snapToGrid w:val="0"/>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（一）承包范围：</w:t>
      </w:r>
      <w:r>
        <w:rPr>
          <w:rFonts w:hint="eastAsia" w:ascii="宋体" w:hAnsi="宋体"/>
          <w:color w:val="auto"/>
          <w:sz w:val="24"/>
          <w:szCs w:val="24"/>
          <w:highlight w:val="none"/>
          <w:u w:val="single"/>
        </w:rPr>
        <w:t>按发包人确认的施工图纸、图纸会审纪录和有关变更文件、资料、招标文件、承包人投标文件以及双方签订的有关协议所包含的内容</w:t>
      </w:r>
      <w:r>
        <w:rPr>
          <w:rFonts w:hint="eastAsia" w:ascii="宋体" w:hAnsi="宋体"/>
          <w:color w:val="auto"/>
          <w:sz w:val="24"/>
          <w:szCs w:val="24"/>
          <w:highlight w:val="none"/>
        </w:rPr>
        <w:t>。</w:t>
      </w:r>
    </w:p>
    <w:p>
      <w:pPr>
        <w:snapToGrid w:val="0"/>
        <w:spacing w:line="440" w:lineRule="exact"/>
        <w:ind w:firstLine="480" w:firstLineChars="200"/>
        <w:rPr>
          <w:rFonts w:ascii="宋体" w:hAnsi="宋体"/>
          <w:color w:val="auto"/>
          <w:sz w:val="24"/>
          <w:szCs w:val="24"/>
          <w:highlight w:val="none"/>
          <w:u w:val="single"/>
        </w:rPr>
      </w:pPr>
      <w:r>
        <w:rPr>
          <w:rFonts w:hint="eastAsia" w:ascii="宋体" w:hAnsi="宋体"/>
          <w:color w:val="auto"/>
          <w:sz w:val="24"/>
          <w:szCs w:val="24"/>
          <w:highlight w:val="none"/>
        </w:rPr>
        <w:t>（二）承包方式：</w:t>
      </w:r>
      <w:r>
        <w:rPr>
          <w:rFonts w:ascii="宋体" w:hAnsi="宋体"/>
          <w:color w:val="auto"/>
          <w:sz w:val="24"/>
          <w:szCs w:val="24"/>
          <w:highlight w:val="none"/>
          <w:u w:val="single"/>
        </w:rPr>
        <w:t>包工、包料、包工期、包质量、包安全、包文</w:t>
      </w:r>
      <w:r>
        <w:rPr>
          <w:rFonts w:hint="eastAsia" w:ascii="宋体" w:hAnsi="宋体"/>
          <w:color w:val="auto"/>
          <w:sz w:val="24"/>
          <w:szCs w:val="24"/>
          <w:highlight w:val="none"/>
          <w:u w:val="single"/>
        </w:rPr>
        <w:t>明施工、包验收、包保修、综合单价包干，</w:t>
      </w:r>
      <w:r>
        <w:rPr>
          <w:rFonts w:ascii="宋体" w:hAnsi="宋体"/>
          <w:color w:val="auto"/>
          <w:sz w:val="24"/>
          <w:szCs w:val="24"/>
          <w:highlight w:val="none"/>
          <w:u w:val="single"/>
        </w:rPr>
        <w:t>措施项目费（除施工围蔽费用外）包干，施工围蔽清单综合单价包干，工程量按实计量</w:t>
      </w:r>
      <w:r>
        <w:rPr>
          <w:rFonts w:hint="eastAsia" w:ascii="宋体" w:hAnsi="宋体"/>
          <w:color w:val="auto"/>
          <w:sz w:val="24"/>
          <w:szCs w:val="24"/>
          <w:highlight w:val="none"/>
        </w:rPr>
        <w:t>。</w:t>
      </w:r>
    </w:p>
    <w:p>
      <w:pPr>
        <w:snapToGrid w:val="0"/>
        <w:spacing w:line="440" w:lineRule="exact"/>
        <w:ind w:firstLine="482" w:firstLineChars="200"/>
        <w:rPr>
          <w:rFonts w:ascii="宋体" w:hAnsi="宋体"/>
          <w:b/>
          <w:bCs/>
          <w:color w:val="auto"/>
          <w:sz w:val="24"/>
          <w:szCs w:val="24"/>
          <w:highlight w:val="none"/>
          <w:u w:val="single"/>
        </w:rPr>
      </w:pPr>
      <w:r>
        <w:rPr>
          <w:rFonts w:hint="eastAsia" w:ascii="宋体" w:hAnsi="宋体"/>
          <w:b/>
          <w:bCs/>
          <w:color w:val="auto"/>
          <w:sz w:val="24"/>
          <w:szCs w:val="24"/>
          <w:highlight w:val="none"/>
        </w:rPr>
        <w:t>三、合同工期</w:t>
      </w:r>
    </w:p>
    <w:p>
      <w:pPr>
        <w:snapToGrid w:val="0"/>
        <w:spacing w:line="440" w:lineRule="exact"/>
        <w:ind w:left="480"/>
        <w:rPr>
          <w:rFonts w:ascii="宋体" w:hAnsi="宋体"/>
          <w:color w:val="auto"/>
          <w:sz w:val="24"/>
          <w:szCs w:val="24"/>
          <w:highlight w:val="none"/>
          <w:u w:val="single"/>
        </w:rPr>
      </w:pPr>
      <w:r>
        <w:rPr>
          <w:rFonts w:hint="eastAsia" w:ascii="宋体" w:hAnsi="宋体"/>
          <w:color w:val="auto"/>
          <w:sz w:val="24"/>
          <w:szCs w:val="24"/>
          <w:highlight w:val="none"/>
        </w:rPr>
        <w:t>暂定开工日期：</w:t>
      </w:r>
      <w:r>
        <w:rPr>
          <w:rFonts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ascii="宋体" w:hAnsi="宋体"/>
          <w:color w:val="auto"/>
          <w:sz w:val="24"/>
          <w:szCs w:val="24"/>
          <w:highlight w:val="none"/>
          <w:u w:val="single"/>
        </w:rPr>
        <w:t xml:space="preserve">   </w:t>
      </w:r>
      <w:r>
        <w:rPr>
          <w:rFonts w:hint="eastAsia" w:ascii="宋体" w:hAnsi="宋体"/>
          <w:color w:val="auto"/>
          <w:sz w:val="24"/>
          <w:szCs w:val="24"/>
          <w:highlight w:val="none"/>
        </w:rPr>
        <w:t>日</w:t>
      </w:r>
    </w:p>
    <w:p>
      <w:pPr>
        <w:snapToGrid w:val="0"/>
        <w:spacing w:line="440" w:lineRule="exact"/>
        <w:ind w:left="480"/>
        <w:rPr>
          <w:rFonts w:ascii="宋体" w:hAnsi="宋体"/>
          <w:color w:val="auto"/>
          <w:sz w:val="24"/>
          <w:szCs w:val="24"/>
          <w:highlight w:val="none"/>
          <w:u w:val="single"/>
        </w:rPr>
      </w:pPr>
      <w:r>
        <w:rPr>
          <w:rFonts w:hint="eastAsia" w:ascii="宋体" w:hAnsi="宋体"/>
          <w:color w:val="auto"/>
          <w:sz w:val="24"/>
          <w:szCs w:val="24"/>
          <w:highlight w:val="none"/>
        </w:rPr>
        <w:t>暂定竣工日期：</w:t>
      </w:r>
      <w:r>
        <w:rPr>
          <w:rFonts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ascii="宋体" w:hAnsi="宋体"/>
          <w:color w:val="auto"/>
          <w:sz w:val="24"/>
          <w:szCs w:val="24"/>
          <w:highlight w:val="none"/>
          <w:u w:val="single"/>
        </w:rPr>
        <w:t xml:space="preserve">   </w:t>
      </w:r>
      <w:r>
        <w:rPr>
          <w:rFonts w:hint="eastAsia" w:ascii="宋体" w:hAnsi="宋体"/>
          <w:color w:val="auto"/>
          <w:sz w:val="24"/>
          <w:szCs w:val="24"/>
          <w:highlight w:val="none"/>
        </w:rPr>
        <w:t>日</w:t>
      </w:r>
    </w:p>
    <w:p>
      <w:pPr>
        <w:snapToGrid w:val="0"/>
        <w:spacing w:line="440" w:lineRule="exact"/>
        <w:ind w:left="480"/>
        <w:rPr>
          <w:rFonts w:ascii="宋体" w:hAnsi="宋体"/>
          <w:color w:val="auto"/>
          <w:sz w:val="24"/>
          <w:szCs w:val="24"/>
          <w:highlight w:val="none"/>
        </w:rPr>
      </w:pPr>
      <w:r>
        <w:rPr>
          <w:rFonts w:hint="eastAsia" w:ascii="宋体" w:hAnsi="宋体"/>
          <w:color w:val="auto"/>
          <w:sz w:val="24"/>
          <w:szCs w:val="24"/>
          <w:highlight w:val="none"/>
        </w:rPr>
        <w:t>合同工期为</w:t>
      </w:r>
      <w:r>
        <w:rPr>
          <w:rFonts w:ascii="宋体" w:hAnsi="宋体"/>
          <w:color w:val="auto"/>
          <w:sz w:val="24"/>
          <w:szCs w:val="24"/>
          <w:highlight w:val="none"/>
          <w:u w:val="single"/>
        </w:rPr>
        <w:t xml:space="preserve">     </w:t>
      </w:r>
      <w:r>
        <w:rPr>
          <w:rFonts w:hint="eastAsia" w:ascii="宋体" w:hAnsi="宋体"/>
          <w:color w:val="auto"/>
          <w:sz w:val="24"/>
          <w:szCs w:val="24"/>
          <w:highlight w:val="none"/>
        </w:rPr>
        <w:t>日历天。实际开工日期以批准的开工报告为准。</w:t>
      </w:r>
    </w:p>
    <w:p>
      <w:pPr>
        <w:snapToGrid w:val="0"/>
        <w:spacing w:line="440" w:lineRule="exact"/>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四、质量标准</w:t>
      </w:r>
    </w:p>
    <w:p>
      <w:pPr>
        <w:snapToGrid w:val="0"/>
        <w:spacing w:line="400" w:lineRule="exact"/>
        <w:ind w:firstLine="480" w:firstLineChars="200"/>
        <w:rPr>
          <w:rFonts w:ascii="宋体" w:hAnsi="宋体"/>
          <w:color w:val="auto"/>
          <w:kern w:val="0"/>
          <w:sz w:val="24"/>
          <w:szCs w:val="24"/>
          <w:highlight w:val="none"/>
        </w:rPr>
      </w:pPr>
      <w:r>
        <w:rPr>
          <w:rFonts w:hint="eastAsia" w:ascii="宋体" w:hAnsi="宋体"/>
          <w:color w:val="auto"/>
          <w:kern w:val="0"/>
          <w:sz w:val="24"/>
          <w:szCs w:val="24"/>
          <w:highlight w:val="none"/>
        </w:rPr>
        <w:t>施工要求：符合设计图纸要求和国家、省、市相关法律法规规定要求及行业工程质量标准，</w:t>
      </w:r>
      <w:r>
        <w:rPr>
          <w:rFonts w:hint="eastAsia" w:ascii="宋体" w:hAnsi="宋体"/>
          <w:color w:val="auto"/>
          <w:kern w:val="0"/>
          <w:sz w:val="24"/>
          <w:szCs w:val="24"/>
          <w:highlight w:val="none"/>
          <w:u w:val="single"/>
        </w:rPr>
        <w:t>且达到投标承诺的</w:t>
      </w:r>
      <w:r>
        <w:rPr>
          <w:rFonts w:ascii="宋体" w:hAnsi="宋体"/>
          <w:color w:val="auto"/>
          <w:kern w:val="0"/>
          <w:sz w:val="24"/>
          <w:szCs w:val="24"/>
          <w:highlight w:val="none"/>
          <w:u w:val="single"/>
        </w:rPr>
        <w:t xml:space="preserve">       </w:t>
      </w:r>
      <w:r>
        <w:rPr>
          <w:rFonts w:hint="eastAsia" w:ascii="宋体" w:hAnsi="宋体"/>
          <w:color w:val="auto"/>
          <w:kern w:val="0"/>
          <w:sz w:val="24"/>
          <w:szCs w:val="24"/>
          <w:highlight w:val="none"/>
          <w:u w:val="single"/>
        </w:rPr>
        <w:t>标准</w:t>
      </w:r>
      <w:r>
        <w:rPr>
          <w:rFonts w:hint="eastAsia" w:ascii="宋体" w:hAnsi="宋体"/>
          <w:color w:val="auto"/>
          <w:kern w:val="0"/>
          <w:sz w:val="24"/>
          <w:szCs w:val="24"/>
          <w:highlight w:val="none"/>
        </w:rPr>
        <w:t>。</w:t>
      </w:r>
    </w:p>
    <w:p>
      <w:pPr>
        <w:spacing w:line="400" w:lineRule="exact"/>
        <w:ind w:firstLine="480" w:firstLineChars="200"/>
        <w:rPr>
          <w:rFonts w:ascii="宋体" w:hAnsi="宋体"/>
          <w:color w:val="auto"/>
          <w:kern w:val="0"/>
          <w:sz w:val="24"/>
          <w:szCs w:val="24"/>
          <w:highlight w:val="none"/>
          <w:u w:val="single"/>
        </w:rPr>
      </w:pPr>
      <w:r>
        <w:rPr>
          <w:rFonts w:hint="eastAsia" w:ascii="宋体" w:hAnsi="宋体"/>
          <w:color w:val="auto"/>
          <w:kern w:val="0"/>
          <w:sz w:val="24"/>
          <w:szCs w:val="24"/>
          <w:highlight w:val="none"/>
        </w:rPr>
        <w:t>工程质量标准：合格，</w:t>
      </w:r>
      <w:r>
        <w:rPr>
          <w:rFonts w:hint="eastAsia" w:ascii="宋体" w:hAnsi="宋体"/>
          <w:color w:val="auto"/>
          <w:kern w:val="0"/>
          <w:sz w:val="24"/>
          <w:szCs w:val="24"/>
          <w:highlight w:val="none"/>
          <w:u w:val="single"/>
        </w:rPr>
        <w:t>且达到投标承诺的</w:t>
      </w:r>
      <w:r>
        <w:rPr>
          <w:rFonts w:ascii="宋体" w:hAnsi="宋体"/>
          <w:color w:val="auto"/>
          <w:kern w:val="0"/>
          <w:sz w:val="24"/>
          <w:szCs w:val="24"/>
          <w:highlight w:val="none"/>
          <w:u w:val="single"/>
        </w:rPr>
        <w:t xml:space="preserve">    </w:t>
      </w:r>
      <w:r>
        <w:rPr>
          <w:rFonts w:hint="eastAsia" w:ascii="宋体" w:hAnsi="宋体"/>
          <w:color w:val="auto"/>
          <w:kern w:val="0"/>
          <w:sz w:val="24"/>
          <w:szCs w:val="24"/>
          <w:highlight w:val="none"/>
          <w:u w:val="single"/>
        </w:rPr>
        <w:t>标准。</w:t>
      </w:r>
    </w:p>
    <w:p>
      <w:pPr>
        <w:snapToGrid w:val="0"/>
        <w:spacing w:line="440" w:lineRule="exact"/>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五、合同价款</w:t>
      </w:r>
    </w:p>
    <w:p>
      <w:pPr>
        <w:spacing w:line="440" w:lineRule="exact"/>
        <w:ind w:firstLine="480" w:firstLineChars="200"/>
        <w:rPr>
          <w:rFonts w:ascii="宋体" w:hAnsi="宋体"/>
          <w:bCs/>
          <w:snapToGrid w:val="0"/>
          <w:color w:val="auto"/>
          <w:kern w:val="0"/>
          <w:sz w:val="24"/>
          <w:szCs w:val="24"/>
          <w:highlight w:val="none"/>
        </w:rPr>
      </w:pPr>
      <w:r>
        <w:rPr>
          <w:rFonts w:hint="eastAsia" w:ascii="宋体" w:hAnsi="宋体"/>
          <w:bCs/>
          <w:snapToGrid w:val="0"/>
          <w:color w:val="auto"/>
          <w:kern w:val="0"/>
          <w:sz w:val="24"/>
          <w:szCs w:val="24"/>
          <w:highlight w:val="none"/>
        </w:rPr>
        <w:t>合同价款暂定为￥</w:t>
      </w:r>
      <w:r>
        <w:rPr>
          <w:rFonts w:ascii="宋体" w:hAnsi="宋体"/>
          <w:bCs/>
          <w:snapToGrid w:val="0"/>
          <w:color w:val="auto"/>
          <w:kern w:val="0"/>
          <w:sz w:val="24"/>
          <w:szCs w:val="24"/>
          <w:highlight w:val="none"/>
          <w:u w:val="single"/>
        </w:rPr>
        <w:t xml:space="preserve">             </w:t>
      </w:r>
      <w:r>
        <w:rPr>
          <w:rFonts w:hint="eastAsia" w:ascii="宋体" w:hAnsi="宋体"/>
          <w:bCs/>
          <w:snapToGrid w:val="0"/>
          <w:color w:val="auto"/>
          <w:kern w:val="0"/>
          <w:sz w:val="24"/>
          <w:szCs w:val="24"/>
          <w:highlight w:val="none"/>
        </w:rPr>
        <w:t>元（大写：人民币</w:t>
      </w:r>
      <w:r>
        <w:rPr>
          <w:rFonts w:ascii="宋体" w:hAnsi="宋体"/>
          <w:bCs/>
          <w:snapToGrid w:val="0"/>
          <w:color w:val="auto"/>
          <w:kern w:val="0"/>
          <w:sz w:val="24"/>
          <w:szCs w:val="24"/>
          <w:highlight w:val="none"/>
          <w:u w:val="single"/>
        </w:rPr>
        <w:t xml:space="preserve">             </w:t>
      </w:r>
      <w:r>
        <w:rPr>
          <w:rFonts w:hint="eastAsia" w:ascii="宋体" w:hAnsi="宋体"/>
          <w:bCs/>
          <w:snapToGrid w:val="0"/>
          <w:color w:val="auto"/>
          <w:kern w:val="0"/>
          <w:sz w:val="24"/>
          <w:szCs w:val="24"/>
          <w:highlight w:val="none"/>
        </w:rPr>
        <w:t>），其中绿色施工安全防护措施费为</w:t>
      </w:r>
      <w:r>
        <w:rPr>
          <w:rFonts w:ascii="宋体" w:hAnsi="宋体"/>
          <w:bCs/>
          <w:snapToGrid w:val="0"/>
          <w:color w:val="auto"/>
          <w:kern w:val="0"/>
          <w:sz w:val="24"/>
          <w:szCs w:val="24"/>
          <w:highlight w:val="none"/>
          <w:u w:val="single"/>
        </w:rPr>
        <w:t xml:space="preserve">        </w:t>
      </w:r>
      <w:r>
        <w:rPr>
          <w:rFonts w:hint="eastAsia" w:ascii="宋体" w:hAnsi="宋体"/>
          <w:bCs/>
          <w:snapToGrid w:val="0"/>
          <w:color w:val="auto"/>
          <w:kern w:val="0"/>
          <w:sz w:val="24"/>
          <w:szCs w:val="24"/>
          <w:highlight w:val="none"/>
        </w:rPr>
        <w:t>元、暂列金额为</w:t>
      </w:r>
      <w:r>
        <w:rPr>
          <w:rFonts w:ascii="宋体" w:hAnsi="宋体"/>
          <w:bCs/>
          <w:snapToGrid w:val="0"/>
          <w:color w:val="auto"/>
          <w:kern w:val="0"/>
          <w:sz w:val="24"/>
          <w:szCs w:val="24"/>
          <w:highlight w:val="none"/>
          <w:u w:val="single"/>
        </w:rPr>
        <w:t xml:space="preserve">       </w:t>
      </w:r>
      <w:r>
        <w:rPr>
          <w:rFonts w:hint="eastAsia" w:ascii="宋体" w:hAnsi="宋体"/>
          <w:bCs/>
          <w:snapToGrid w:val="0"/>
          <w:color w:val="auto"/>
          <w:kern w:val="0"/>
          <w:sz w:val="24"/>
          <w:szCs w:val="24"/>
          <w:highlight w:val="none"/>
        </w:rPr>
        <w:t>元，人工费</w:t>
      </w:r>
      <w:r>
        <w:rPr>
          <w:rFonts w:ascii="宋体" w:hAnsi="宋体"/>
          <w:bCs/>
          <w:snapToGrid w:val="0"/>
          <w:color w:val="auto"/>
          <w:kern w:val="0"/>
          <w:sz w:val="24"/>
          <w:szCs w:val="24"/>
          <w:highlight w:val="none"/>
        </w:rPr>
        <w:t xml:space="preserve">     </w:t>
      </w:r>
      <w:r>
        <w:rPr>
          <w:rFonts w:hint="eastAsia" w:ascii="宋体" w:hAnsi="宋体"/>
          <w:bCs/>
          <w:snapToGrid w:val="0"/>
          <w:color w:val="auto"/>
          <w:kern w:val="0"/>
          <w:sz w:val="24"/>
          <w:szCs w:val="24"/>
          <w:highlight w:val="none"/>
        </w:rPr>
        <w:t>元，工人工资比例为</w:t>
      </w:r>
      <w:r>
        <w:rPr>
          <w:rFonts w:ascii="宋体" w:hAnsi="宋体"/>
          <w:bCs/>
          <w:snapToGrid w:val="0"/>
          <w:color w:val="auto"/>
          <w:kern w:val="0"/>
          <w:sz w:val="24"/>
          <w:szCs w:val="24"/>
          <w:highlight w:val="none"/>
          <w:u w:val="single"/>
        </w:rPr>
        <w:t xml:space="preserve">      </w:t>
      </w:r>
      <w:r>
        <w:rPr>
          <w:rFonts w:hint="eastAsia" w:ascii="宋体" w:hAnsi="宋体"/>
          <w:bCs/>
          <w:snapToGrid w:val="0"/>
          <w:color w:val="auto"/>
          <w:kern w:val="0"/>
          <w:sz w:val="24"/>
          <w:szCs w:val="24"/>
          <w:highlight w:val="none"/>
        </w:rPr>
        <w:t>。</w:t>
      </w:r>
    </w:p>
    <w:p>
      <w:pPr>
        <w:spacing w:line="440" w:lineRule="exact"/>
        <w:ind w:firstLine="480" w:firstLineChars="200"/>
        <w:rPr>
          <w:rFonts w:ascii="宋体" w:hAnsi="宋体"/>
          <w:bCs/>
          <w:snapToGrid w:val="0"/>
          <w:color w:val="auto"/>
          <w:kern w:val="0"/>
          <w:sz w:val="24"/>
          <w:szCs w:val="24"/>
          <w:highlight w:val="none"/>
        </w:rPr>
      </w:pPr>
      <w:r>
        <w:rPr>
          <w:rFonts w:hint="eastAsia" w:ascii="宋体" w:hAnsi="宋体"/>
          <w:bCs/>
          <w:snapToGrid w:val="0"/>
          <w:color w:val="auto"/>
          <w:kern w:val="0"/>
          <w:sz w:val="24"/>
          <w:szCs w:val="24"/>
          <w:highlight w:val="none"/>
          <w:u w:val="single"/>
        </w:rPr>
        <w:t>工程结算价款以广州开发区财政局审定结算为准</w:t>
      </w:r>
      <w:r>
        <w:rPr>
          <w:rFonts w:hint="eastAsia" w:ascii="宋体" w:hAnsi="宋体"/>
          <w:bCs/>
          <w:snapToGrid w:val="0"/>
          <w:color w:val="auto"/>
          <w:kern w:val="0"/>
          <w:sz w:val="24"/>
          <w:szCs w:val="24"/>
          <w:highlight w:val="none"/>
        </w:rPr>
        <w:t>。如遇审计部门审计发现本合同结算价款存在超付的情形，发包人有权据实要求承包人返还该部分款项。</w:t>
      </w:r>
    </w:p>
    <w:p>
      <w:pPr>
        <w:snapToGrid w:val="0"/>
        <w:spacing w:line="440" w:lineRule="exact"/>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六、组成合同的文件</w:t>
      </w:r>
    </w:p>
    <w:p>
      <w:pPr>
        <w:spacing w:line="440" w:lineRule="exact"/>
        <w:ind w:firstLine="444" w:firstLineChars="185"/>
        <w:rPr>
          <w:rFonts w:ascii="宋体" w:hAnsi="宋体"/>
          <w:color w:val="auto"/>
          <w:sz w:val="24"/>
          <w:szCs w:val="24"/>
          <w:highlight w:val="none"/>
        </w:rPr>
      </w:pPr>
      <w:r>
        <w:rPr>
          <w:rFonts w:hint="eastAsia" w:ascii="宋体" w:hAnsi="宋体"/>
          <w:color w:val="auto"/>
          <w:sz w:val="24"/>
          <w:szCs w:val="24"/>
          <w:highlight w:val="none"/>
        </w:rPr>
        <w:t>组成本合同的文件包括：</w:t>
      </w:r>
    </w:p>
    <w:p>
      <w:pPr>
        <w:spacing w:line="440" w:lineRule="exact"/>
        <w:ind w:firstLine="444" w:firstLineChars="185"/>
        <w:rPr>
          <w:rFonts w:ascii="宋体" w:hAnsi="宋体"/>
          <w:color w:val="auto"/>
          <w:sz w:val="24"/>
          <w:szCs w:val="24"/>
          <w:highlight w:val="none"/>
        </w:rPr>
      </w:pPr>
      <w:r>
        <w:rPr>
          <w:rFonts w:ascii="宋体" w:hAnsi="宋体"/>
          <w:color w:val="auto"/>
          <w:sz w:val="24"/>
          <w:szCs w:val="24"/>
          <w:highlight w:val="none"/>
        </w:rPr>
        <w:t>1.本合同履行期间发包人与承包人双方签订的补充合同（协议）或修正文件；</w:t>
      </w:r>
    </w:p>
    <w:p>
      <w:pPr>
        <w:spacing w:line="440" w:lineRule="exact"/>
        <w:ind w:firstLine="444" w:firstLineChars="185"/>
        <w:rPr>
          <w:rFonts w:ascii="宋体" w:hAnsi="宋体"/>
          <w:color w:val="auto"/>
          <w:sz w:val="24"/>
          <w:szCs w:val="24"/>
          <w:highlight w:val="none"/>
        </w:rPr>
      </w:pPr>
      <w:r>
        <w:rPr>
          <w:rFonts w:ascii="宋体" w:hAnsi="宋体"/>
          <w:color w:val="auto"/>
          <w:sz w:val="24"/>
          <w:szCs w:val="24"/>
          <w:highlight w:val="none"/>
        </w:rPr>
        <w:t>2.本合同协议书</w:t>
      </w:r>
      <w:r>
        <w:rPr>
          <w:rFonts w:hint="eastAsia" w:ascii="宋体" w:hAnsi="宋体"/>
          <w:color w:val="auto"/>
          <w:sz w:val="24"/>
          <w:szCs w:val="24"/>
          <w:highlight w:val="none"/>
        </w:rPr>
        <w:t>；</w:t>
      </w:r>
    </w:p>
    <w:p>
      <w:pPr>
        <w:spacing w:line="440" w:lineRule="exact"/>
        <w:ind w:firstLine="444" w:firstLineChars="185"/>
        <w:rPr>
          <w:rFonts w:ascii="宋体" w:hAnsi="宋体"/>
          <w:color w:val="auto"/>
          <w:sz w:val="24"/>
          <w:szCs w:val="24"/>
          <w:highlight w:val="none"/>
        </w:rPr>
      </w:pPr>
      <w:r>
        <w:rPr>
          <w:rFonts w:ascii="宋体" w:hAnsi="宋体"/>
          <w:color w:val="auto"/>
          <w:sz w:val="24"/>
          <w:szCs w:val="24"/>
          <w:highlight w:val="none"/>
        </w:rPr>
        <w:t>3.国家、广东省、广州市、广州开发区、</w:t>
      </w:r>
      <w:r>
        <w:rPr>
          <w:rFonts w:hint="eastAsia" w:ascii="宋体" w:hAnsi="宋体"/>
          <w:color w:val="auto"/>
          <w:sz w:val="24"/>
          <w:szCs w:val="24"/>
          <w:highlight w:val="none"/>
        </w:rPr>
        <w:t>黄埔</w:t>
      </w:r>
      <w:r>
        <w:rPr>
          <w:rFonts w:ascii="宋体" w:hAnsi="宋体"/>
          <w:color w:val="auto"/>
          <w:sz w:val="24"/>
          <w:szCs w:val="24"/>
          <w:highlight w:val="none"/>
        </w:rPr>
        <w:t>区关于本工程施工的有关文件（发包人在收到后尽快通报给承包人）；</w:t>
      </w:r>
    </w:p>
    <w:p>
      <w:pPr>
        <w:spacing w:line="440" w:lineRule="exact"/>
        <w:ind w:firstLine="444" w:firstLineChars="185"/>
        <w:rPr>
          <w:rFonts w:ascii="宋体" w:hAnsi="宋体"/>
          <w:color w:val="auto"/>
          <w:sz w:val="24"/>
          <w:szCs w:val="24"/>
          <w:highlight w:val="none"/>
        </w:rPr>
      </w:pPr>
      <w:r>
        <w:rPr>
          <w:rFonts w:ascii="宋体" w:hAnsi="宋体"/>
          <w:color w:val="auto"/>
          <w:sz w:val="24"/>
          <w:szCs w:val="24"/>
          <w:highlight w:val="none"/>
        </w:rPr>
        <w:t>4.</w:t>
      </w:r>
      <w:r>
        <w:rPr>
          <w:rFonts w:hint="eastAsia" w:ascii="宋体" w:hAnsi="宋体"/>
          <w:color w:val="auto"/>
          <w:sz w:val="24"/>
          <w:szCs w:val="24"/>
          <w:highlight w:val="none"/>
        </w:rPr>
        <w:t>建设业主</w:t>
      </w:r>
      <w:r>
        <w:rPr>
          <w:rFonts w:ascii="宋体" w:hAnsi="宋体"/>
          <w:color w:val="auto"/>
          <w:sz w:val="24"/>
          <w:szCs w:val="24"/>
          <w:highlight w:val="none"/>
        </w:rPr>
        <w:t>针对本工程建设管理的各项制度、规定；</w:t>
      </w:r>
    </w:p>
    <w:p>
      <w:pPr>
        <w:spacing w:line="440" w:lineRule="exact"/>
        <w:ind w:firstLine="444" w:firstLineChars="185"/>
        <w:rPr>
          <w:rFonts w:ascii="宋体" w:hAnsi="宋体"/>
          <w:color w:val="auto"/>
          <w:sz w:val="24"/>
          <w:szCs w:val="24"/>
          <w:highlight w:val="none"/>
        </w:rPr>
      </w:pPr>
      <w:r>
        <w:rPr>
          <w:rFonts w:ascii="宋体" w:hAnsi="宋体"/>
          <w:color w:val="auto"/>
          <w:sz w:val="24"/>
          <w:szCs w:val="24"/>
          <w:highlight w:val="none"/>
        </w:rPr>
        <w:t>5.中标通知书</w:t>
      </w:r>
      <w:r>
        <w:rPr>
          <w:rFonts w:hint="eastAsia" w:ascii="宋体" w:hAnsi="宋体"/>
          <w:color w:val="auto"/>
          <w:sz w:val="24"/>
          <w:szCs w:val="24"/>
          <w:highlight w:val="none"/>
        </w:rPr>
        <w:t>；</w:t>
      </w:r>
    </w:p>
    <w:p>
      <w:pPr>
        <w:spacing w:line="440" w:lineRule="exact"/>
        <w:ind w:firstLine="444" w:firstLineChars="185"/>
        <w:rPr>
          <w:rFonts w:ascii="宋体" w:hAnsi="宋体"/>
          <w:color w:val="auto"/>
          <w:sz w:val="24"/>
          <w:szCs w:val="24"/>
          <w:highlight w:val="none"/>
        </w:rPr>
      </w:pPr>
      <w:r>
        <w:rPr>
          <w:rFonts w:ascii="宋体" w:hAnsi="宋体"/>
          <w:color w:val="auto"/>
          <w:sz w:val="24"/>
          <w:szCs w:val="24"/>
          <w:highlight w:val="none"/>
        </w:rPr>
        <w:t>6.本合同专用条款</w:t>
      </w:r>
      <w:r>
        <w:rPr>
          <w:rFonts w:hint="eastAsia" w:ascii="宋体" w:hAnsi="宋体"/>
          <w:color w:val="auto"/>
          <w:sz w:val="24"/>
          <w:szCs w:val="24"/>
          <w:highlight w:val="none"/>
        </w:rPr>
        <w:t>；</w:t>
      </w:r>
    </w:p>
    <w:p>
      <w:pPr>
        <w:spacing w:line="440" w:lineRule="exact"/>
        <w:ind w:firstLine="444" w:firstLineChars="185"/>
        <w:rPr>
          <w:rFonts w:ascii="宋体" w:hAnsi="宋体"/>
          <w:color w:val="auto"/>
          <w:sz w:val="24"/>
          <w:szCs w:val="24"/>
          <w:highlight w:val="none"/>
        </w:rPr>
      </w:pPr>
      <w:r>
        <w:rPr>
          <w:rFonts w:ascii="宋体" w:hAnsi="宋体"/>
          <w:color w:val="auto"/>
          <w:sz w:val="24"/>
          <w:szCs w:val="24"/>
          <w:highlight w:val="none"/>
        </w:rPr>
        <w:t>7.招标文件及附件（包括补充、修改、澄清文件及答疑纪要等）</w:t>
      </w:r>
      <w:r>
        <w:rPr>
          <w:rFonts w:hint="eastAsia" w:ascii="宋体" w:hAnsi="宋体"/>
          <w:color w:val="auto"/>
          <w:sz w:val="24"/>
          <w:szCs w:val="24"/>
          <w:highlight w:val="none"/>
        </w:rPr>
        <w:t>；</w:t>
      </w:r>
    </w:p>
    <w:p>
      <w:pPr>
        <w:spacing w:line="440" w:lineRule="exact"/>
        <w:ind w:firstLine="444" w:firstLineChars="185"/>
        <w:rPr>
          <w:rFonts w:ascii="宋体" w:hAnsi="宋体"/>
          <w:color w:val="auto"/>
          <w:sz w:val="24"/>
          <w:szCs w:val="24"/>
          <w:highlight w:val="none"/>
        </w:rPr>
      </w:pPr>
      <w:r>
        <w:rPr>
          <w:rFonts w:ascii="宋体" w:hAnsi="宋体"/>
          <w:color w:val="auto"/>
          <w:sz w:val="24"/>
          <w:szCs w:val="24"/>
          <w:highlight w:val="none"/>
        </w:rPr>
        <w:t>8.本合同通用条款</w:t>
      </w:r>
      <w:r>
        <w:rPr>
          <w:rFonts w:hint="eastAsia" w:ascii="宋体" w:hAnsi="宋体"/>
          <w:color w:val="auto"/>
          <w:sz w:val="24"/>
          <w:szCs w:val="24"/>
          <w:highlight w:val="none"/>
        </w:rPr>
        <w:t>；</w:t>
      </w:r>
    </w:p>
    <w:p>
      <w:pPr>
        <w:spacing w:line="440" w:lineRule="exact"/>
        <w:ind w:firstLine="444" w:firstLineChars="185"/>
        <w:rPr>
          <w:rFonts w:ascii="宋体" w:hAnsi="宋体"/>
          <w:color w:val="auto"/>
          <w:sz w:val="24"/>
          <w:szCs w:val="24"/>
          <w:highlight w:val="none"/>
        </w:rPr>
      </w:pPr>
      <w:r>
        <w:rPr>
          <w:rFonts w:ascii="宋体" w:hAnsi="宋体"/>
          <w:color w:val="auto"/>
          <w:sz w:val="24"/>
          <w:szCs w:val="24"/>
          <w:highlight w:val="none"/>
        </w:rPr>
        <w:t>9.投标文件及附件</w:t>
      </w:r>
      <w:r>
        <w:rPr>
          <w:rFonts w:hint="eastAsia" w:ascii="宋体" w:hAnsi="宋体"/>
          <w:color w:val="auto"/>
          <w:sz w:val="24"/>
          <w:szCs w:val="24"/>
          <w:highlight w:val="none"/>
        </w:rPr>
        <w:t>；</w:t>
      </w:r>
    </w:p>
    <w:p>
      <w:pPr>
        <w:spacing w:line="440" w:lineRule="exact"/>
        <w:ind w:firstLine="444" w:firstLineChars="185"/>
        <w:rPr>
          <w:rFonts w:ascii="宋体" w:hAnsi="宋体"/>
          <w:color w:val="auto"/>
          <w:sz w:val="24"/>
          <w:szCs w:val="24"/>
          <w:highlight w:val="none"/>
        </w:rPr>
      </w:pPr>
      <w:r>
        <w:rPr>
          <w:rFonts w:ascii="宋体" w:hAnsi="宋体"/>
          <w:color w:val="auto"/>
          <w:sz w:val="24"/>
          <w:szCs w:val="24"/>
          <w:highlight w:val="none"/>
        </w:rPr>
        <w:t>10.标准、规范和其他有关技术文件</w:t>
      </w:r>
      <w:r>
        <w:rPr>
          <w:rFonts w:hint="eastAsia" w:ascii="宋体" w:hAnsi="宋体"/>
          <w:color w:val="auto"/>
          <w:sz w:val="24"/>
          <w:szCs w:val="24"/>
          <w:highlight w:val="none"/>
        </w:rPr>
        <w:t>；</w:t>
      </w:r>
    </w:p>
    <w:p>
      <w:pPr>
        <w:spacing w:line="440" w:lineRule="exact"/>
        <w:ind w:firstLine="444" w:firstLineChars="185"/>
        <w:rPr>
          <w:rFonts w:ascii="宋体" w:hAnsi="宋体"/>
          <w:color w:val="auto"/>
          <w:sz w:val="24"/>
          <w:szCs w:val="24"/>
          <w:highlight w:val="none"/>
        </w:rPr>
      </w:pPr>
      <w:r>
        <w:rPr>
          <w:rFonts w:ascii="宋体" w:hAnsi="宋体"/>
          <w:color w:val="auto"/>
          <w:sz w:val="24"/>
          <w:szCs w:val="24"/>
          <w:highlight w:val="none"/>
        </w:rPr>
        <w:t>11.图纸</w:t>
      </w:r>
      <w:r>
        <w:rPr>
          <w:rFonts w:hint="eastAsia" w:ascii="宋体" w:hAnsi="宋体"/>
          <w:color w:val="auto"/>
          <w:sz w:val="24"/>
          <w:szCs w:val="24"/>
          <w:highlight w:val="none"/>
        </w:rPr>
        <w:t>；</w:t>
      </w:r>
    </w:p>
    <w:p>
      <w:pPr>
        <w:spacing w:line="440" w:lineRule="exact"/>
        <w:ind w:firstLine="444" w:firstLineChars="185"/>
        <w:rPr>
          <w:rFonts w:ascii="宋体" w:hAnsi="宋体"/>
          <w:color w:val="auto"/>
          <w:sz w:val="24"/>
          <w:szCs w:val="24"/>
          <w:highlight w:val="none"/>
        </w:rPr>
      </w:pPr>
      <w:r>
        <w:rPr>
          <w:rFonts w:ascii="宋体" w:hAnsi="宋体"/>
          <w:color w:val="auto"/>
          <w:sz w:val="24"/>
          <w:szCs w:val="24"/>
          <w:highlight w:val="none"/>
        </w:rPr>
        <w:t>12.工程量清单</w:t>
      </w:r>
      <w:r>
        <w:rPr>
          <w:rFonts w:hint="eastAsia" w:ascii="宋体" w:hAnsi="宋体"/>
          <w:color w:val="auto"/>
          <w:sz w:val="24"/>
          <w:szCs w:val="24"/>
          <w:highlight w:val="none"/>
        </w:rPr>
        <w:t>；</w:t>
      </w:r>
    </w:p>
    <w:p>
      <w:pPr>
        <w:spacing w:line="440" w:lineRule="exact"/>
        <w:ind w:firstLine="444" w:firstLineChars="185"/>
        <w:rPr>
          <w:rFonts w:ascii="宋体" w:hAnsi="宋体"/>
          <w:color w:val="auto"/>
          <w:sz w:val="24"/>
          <w:szCs w:val="24"/>
          <w:highlight w:val="none"/>
        </w:rPr>
      </w:pPr>
      <w:r>
        <w:rPr>
          <w:rFonts w:ascii="宋体" w:hAnsi="宋体"/>
          <w:color w:val="auto"/>
          <w:sz w:val="24"/>
          <w:szCs w:val="24"/>
          <w:highlight w:val="none"/>
        </w:rPr>
        <w:t>13.合同附件（工程质量保修责任书、</w:t>
      </w:r>
      <w:r>
        <w:rPr>
          <w:rFonts w:hint="eastAsia" w:ascii="宋体" w:hAnsi="宋体"/>
          <w:color w:val="auto"/>
          <w:sz w:val="24"/>
          <w:szCs w:val="24"/>
          <w:highlight w:val="none"/>
        </w:rPr>
        <w:t>标函承诺书、项目负责人驻场承诺书、工程建设廉政协议书等）；</w:t>
      </w:r>
    </w:p>
    <w:p>
      <w:pPr>
        <w:snapToGrid w:val="0"/>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双方有关工程的洽商、变更等书面协议或文件视为本合同的组成部分。</w:t>
      </w:r>
    </w:p>
    <w:p>
      <w:pPr>
        <w:snapToGrid w:val="0"/>
        <w:spacing w:line="440" w:lineRule="exact"/>
        <w:ind w:firstLine="482" w:firstLineChars="200"/>
        <w:rPr>
          <w:rFonts w:ascii="宋体" w:hAnsi="宋体"/>
          <w:bCs/>
          <w:color w:val="auto"/>
          <w:sz w:val="24"/>
          <w:szCs w:val="24"/>
          <w:highlight w:val="none"/>
        </w:rPr>
      </w:pPr>
      <w:r>
        <w:rPr>
          <w:rFonts w:hint="eastAsia" w:ascii="宋体" w:hAnsi="宋体"/>
          <w:b/>
          <w:bCs/>
          <w:color w:val="auto"/>
          <w:sz w:val="24"/>
          <w:szCs w:val="24"/>
          <w:highlight w:val="none"/>
        </w:rPr>
        <w:t>七、协议书中有关词语含义与本合同第二部分《通用条款》中分别赋予它们的定义相同。</w:t>
      </w:r>
    </w:p>
    <w:p>
      <w:pPr>
        <w:snapToGrid w:val="0"/>
        <w:spacing w:line="440" w:lineRule="exact"/>
        <w:ind w:firstLine="482" w:firstLineChars="200"/>
        <w:rPr>
          <w:rFonts w:ascii="宋体" w:hAnsi="宋体"/>
          <w:bCs/>
          <w:color w:val="auto"/>
          <w:sz w:val="24"/>
          <w:szCs w:val="24"/>
          <w:highlight w:val="none"/>
        </w:rPr>
      </w:pPr>
      <w:r>
        <w:rPr>
          <w:rFonts w:hint="eastAsia" w:ascii="宋体" w:hAnsi="宋体"/>
          <w:b/>
          <w:bCs/>
          <w:color w:val="auto"/>
          <w:sz w:val="24"/>
          <w:szCs w:val="24"/>
          <w:highlight w:val="none"/>
        </w:rPr>
        <w:t>八、承包人向发包人承诺按照合同约定进行施工、竣工并在质量保修期内承担工程质量保修责任。</w:t>
      </w:r>
    </w:p>
    <w:p>
      <w:pPr>
        <w:snapToGrid w:val="0"/>
        <w:spacing w:line="440" w:lineRule="exact"/>
        <w:ind w:firstLine="482" w:firstLineChars="200"/>
        <w:rPr>
          <w:rFonts w:ascii="宋体" w:hAnsi="宋体"/>
          <w:bCs/>
          <w:color w:val="auto"/>
          <w:sz w:val="24"/>
          <w:szCs w:val="24"/>
          <w:highlight w:val="none"/>
        </w:rPr>
      </w:pPr>
      <w:r>
        <w:rPr>
          <w:rFonts w:hint="eastAsia" w:ascii="宋体" w:hAnsi="宋体"/>
          <w:b/>
          <w:bCs/>
          <w:color w:val="auto"/>
          <w:sz w:val="24"/>
          <w:szCs w:val="24"/>
          <w:highlight w:val="none"/>
        </w:rPr>
        <w:t>九、</w:t>
      </w:r>
      <w:r>
        <w:rPr>
          <w:rFonts w:hint="eastAsia" w:ascii="宋体" w:hAnsi="宋体" w:eastAsia="宋体" w:cs="Times New Roman"/>
          <w:b/>
          <w:bCs/>
          <w:color w:val="auto"/>
          <w:sz w:val="24"/>
          <w:szCs w:val="24"/>
          <w:highlight w:val="none"/>
        </w:rPr>
        <w:t>发包人向承包人承诺按照合同约定的期限和方式支付合同价款及其他应当支付的款项。为保证工程款专款专用和合理使用，本项目建安工程预付款（扣除工人工资款项，以下简称“工程预付款”）采用共管方式支出，在经由建设业主、发包人、承包人协商一致后选择的银行设立建设业主、承包人、银行三方共管银行账户，专用于本项目工程预付款的收支。发包人按施工合同约定支付的工程预付款应直接支付至该账户并专款专用。具体实施方式按建设业主的《共管工程款使用监管办法》及各方另行签订的《工程资金共管协议》执行。工程预付款中的工人工资部分，仍按施工合同关于工人工资支付及管理的约定执行。</w:t>
      </w:r>
    </w:p>
    <w:p>
      <w:pPr>
        <w:snapToGrid w:val="0"/>
        <w:spacing w:line="440" w:lineRule="exact"/>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十、合同生效</w:t>
      </w:r>
    </w:p>
    <w:p>
      <w:pPr>
        <w:snapToGrid w:val="0"/>
        <w:spacing w:line="440" w:lineRule="exact"/>
        <w:ind w:firstLine="482"/>
        <w:rPr>
          <w:rFonts w:ascii="宋体" w:hAnsi="宋体"/>
          <w:color w:val="auto"/>
          <w:sz w:val="24"/>
          <w:szCs w:val="24"/>
          <w:highlight w:val="none"/>
        </w:rPr>
      </w:pPr>
      <w:r>
        <w:rPr>
          <w:rFonts w:hint="eastAsia" w:ascii="宋体" w:hAnsi="宋体"/>
          <w:color w:val="auto"/>
          <w:sz w:val="24"/>
          <w:szCs w:val="24"/>
          <w:highlight w:val="none"/>
        </w:rPr>
        <w:t>合同订立时间：</w:t>
      </w:r>
      <w:r>
        <w:rPr>
          <w:rFonts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ascii="宋体" w:hAnsi="宋体"/>
          <w:color w:val="auto"/>
          <w:sz w:val="24"/>
          <w:szCs w:val="24"/>
          <w:highlight w:val="none"/>
          <w:u w:val="single"/>
        </w:rPr>
        <w:t xml:space="preserve">    </w:t>
      </w:r>
      <w:r>
        <w:rPr>
          <w:rFonts w:hint="eastAsia" w:ascii="宋体" w:hAnsi="宋体"/>
          <w:color w:val="auto"/>
          <w:sz w:val="24"/>
          <w:szCs w:val="24"/>
          <w:highlight w:val="none"/>
        </w:rPr>
        <w:t>日</w:t>
      </w:r>
    </w:p>
    <w:p>
      <w:pPr>
        <w:snapToGrid w:val="0"/>
        <w:spacing w:line="440" w:lineRule="exact"/>
        <w:ind w:firstLine="480"/>
        <w:rPr>
          <w:rFonts w:ascii="宋体" w:hAnsi="宋体"/>
          <w:color w:val="auto"/>
          <w:sz w:val="24"/>
          <w:szCs w:val="24"/>
          <w:highlight w:val="none"/>
        </w:rPr>
      </w:pPr>
      <w:r>
        <w:rPr>
          <w:rFonts w:hint="eastAsia" w:ascii="宋体" w:hAnsi="宋体"/>
          <w:color w:val="auto"/>
          <w:sz w:val="24"/>
          <w:szCs w:val="24"/>
          <w:highlight w:val="none"/>
        </w:rPr>
        <w:t>合同订立地点：</w:t>
      </w:r>
      <w:r>
        <w:rPr>
          <w:rFonts w:hint="eastAsia" w:ascii="宋体" w:hAnsi="宋体"/>
          <w:color w:val="auto"/>
          <w:sz w:val="24"/>
          <w:szCs w:val="24"/>
          <w:highlight w:val="none"/>
          <w:u w:val="single"/>
        </w:rPr>
        <w:t>广州市黄埔区</w:t>
      </w:r>
    </w:p>
    <w:p>
      <w:pPr>
        <w:snapToGrid w:val="0"/>
        <w:spacing w:line="440" w:lineRule="exact"/>
        <w:ind w:firstLine="480"/>
        <w:rPr>
          <w:rFonts w:ascii="宋体" w:hAnsi="宋体"/>
          <w:color w:val="auto"/>
          <w:sz w:val="24"/>
          <w:szCs w:val="24"/>
          <w:highlight w:val="none"/>
        </w:rPr>
      </w:pPr>
      <w:r>
        <w:rPr>
          <w:rFonts w:hint="eastAsia" w:ascii="宋体" w:hAnsi="宋体"/>
          <w:color w:val="auto"/>
          <w:sz w:val="24"/>
          <w:szCs w:val="24"/>
          <w:highlight w:val="none"/>
        </w:rPr>
        <w:t>本合同双方约定：</w:t>
      </w:r>
      <w:r>
        <w:rPr>
          <w:rFonts w:hint="eastAsia" w:ascii="宋体" w:hAnsi="宋体"/>
          <w:color w:val="auto"/>
          <w:sz w:val="24"/>
          <w:szCs w:val="24"/>
          <w:highlight w:val="none"/>
          <w:u w:val="single"/>
        </w:rPr>
        <w:t>双方签名、盖章并在承包人提交履约担保</w:t>
      </w:r>
      <w:r>
        <w:rPr>
          <w:rFonts w:hint="eastAsia" w:ascii="宋体" w:hAnsi="宋体"/>
          <w:color w:val="auto"/>
          <w:sz w:val="24"/>
          <w:szCs w:val="24"/>
          <w:highlight w:val="none"/>
        </w:rPr>
        <w:t>后生效。</w:t>
      </w:r>
    </w:p>
    <w:p>
      <w:pPr>
        <w:snapToGrid w:val="0"/>
        <w:spacing w:line="440" w:lineRule="exact"/>
        <w:rPr>
          <w:rFonts w:ascii="宋体" w:hAnsi="宋体"/>
          <w:color w:val="auto"/>
          <w:sz w:val="24"/>
          <w:szCs w:val="24"/>
          <w:highlight w:val="none"/>
        </w:rPr>
      </w:pPr>
      <w:r>
        <w:rPr>
          <w:rFonts w:ascii="宋体" w:hAnsi="宋体"/>
          <w:color w:val="auto"/>
          <w:sz w:val="24"/>
          <w:szCs w:val="24"/>
          <w:highlight w:val="none"/>
        </w:rPr>
        <w:br w:type="page"/>
      </w:r>
    </w:p>
    <w:tbl>
      <w:tblPr>
        <w:tblStyle w:val="49"/>
        <w:tblW w:w="0" w:type="auto"/>
        <w:tblInd w:w="0" w:type="dxa"/>
        <w:tblLayout w:type="fixed"/>
        <w:tblCellMar>
          <w:top w:w="0" w:type="dxa"/>
          <w:left w:w="108" w:type="dxa"/>
          <w:bottom w:w="0" w:type="dxa"/>
          <w:right w:w="108" w:type="dxa"/>
        </w:tblCellMar>
      </w:tblPr>
      <w:tblGrid>
        <w:gridCol w:w="4839"/>
        <w:gridCol w:w="4839"/>
      </w:tblGrid>
      <w:tr>
        <w:tblPrEx>
          <w:tblCellMar>
            <w:top w:w="0" w:type="dxa"/>
            <w:left w:w="108" w:type="dxa"/>
            <w:bottom w:w="0" w:type="dxa"/>
            <w:right w:w="108" w:type="dxa"/>
          </w:tblCellMar>
        </w:tblPrEx>
        <w:trPr>
          <w:trHeight w:val="1134" w:hRule="atLeast"/>
        </w:trPr>
        <w:tc>
          <w:tcPr>
            <w:tcW w:w="4839" w:type="dxa"/>
          </w:tcPr>
          <w:p>
            <w:pPr>
              <w:snapToGrid w:val="0"/>
              <w:spacing w:line="440" w:lineRule="exact"/>
              <w:rPr>
                <w:rFonts w:ascii="宋体" w:hAnsi="宋体"/>
                <w:color w:val="auto"/>
                <w:sz w:val="24"/>
                <w:szCs w:val="24"/>
                <w:highlight w:val="none"/>
              </w:rPr>
            </w:pPr>
            <w:r>
              <w:rPr>
                <w:rFonts w:ascii="宋体" w:hAnsi="宋体"/>
                <w:color w:val="auto"/>
                <w:sz w:val="24"/>
                <w:szCs w:val="24"/>
                <w:highlight w:val="none"/>
              </w:rPr>
              <w:t>发包人：（公章）</w:t>
            </w:r>
          </w:p>
        </w:tc>
        <w:tc>
          <w:tcPr>
            <w:tcW w:w="4839" w:type="dxa"/>
          </w:tcPr>
          <w:p>
            <w:pPr>
              <w:snapToGrid w:val="0"/>
              <w:spacing w:line="440" w:lineRule="exact"/>
              <w:rPr>
                <w:rFonts w:ascii="宋体" w:hAnsi="宋体"/>
                <w:color w:val="auto"/>
                <w:sz w:val="24"/>
                <w:szCs w:val="24"/>
                <w:highlight w:val="none"/>
              </w:rPr>
            </w:pPr>
            <w:r>
              <w:rPr>
                <w:rFonts w:ascii="宋体" w:hAnsi="宋体"/>
                <w:color w:val="auto"/>
                <w:sz w:val="24"/>
                <w:szCs w:val="24"/>
                <w:highlight w:val="none"/>
              </w:rPr>
              <w:t>承包人：（公章）</w:t>
            </w:r>
          </w:p>
        </w:tc>
      </w:tr>
      <w:tr>
        <w:tblPrEx>
          <w:tblCellMar>
            <w:top w:w="0" w:type="dxa"/>
            <w:left w:w="108" w:type="dxa"/>
            <w:bottom w:w="0" w:type="dxa"/>
            <w:right w:w="108" w:type="dxa"/>
          </w:tblCellMar>
        </w:tblPrEx>
        <w:trPr>
          <w:trHeight w:val="1134" w:hRule="atLeast"/>
        </w:trPr>
        <w:tc>
          <w:tcPr>
            <w:tcW w:w="4839" w:type="dxa"/>
          </w:tcPr>
          <w:p>
            <w:pPr>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住</w:t>
            </w:r>
            <w:r>
              <w:rPr>
                <w:rFonts w:ascii="宋体" w:hAnsi="宋体"/>
                <w:color w:val="auto"/>
                <w:sz w:val="24"/>
                <w:szCs w:val="24"/>
                <w:highlight w:val="none"/>
              </w:rPr>
              <w:t xml:space="preserve">  </w:t>
            </w:r>
            <w:r>
              <w:rPr>
                <w:rFonts w:hint="eastAsia" w:ascii="宋体" w:hAnsi="宋体"/>
                <w:color w:val="auto"/>
                <w:sz w:val="24"/>
                <w:szCs w:val="24"/>
                <w:highlight w:val="none"/>
              </w:rPr>
              <w:t>所：</w:t>
            </w:r>
          </w:p>
        </w:tc>
        <w:tc>
          <w:tcPr>
            <w:tcW w:w="4839" w:type="dxa"/>
          </w:tcPr>
          <w:p>
            <w:pPr>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住</w:t>
            </w:r>
            <w:r>
              <w:rPr>
                <w:rFonts w:ascii="宋体" w:hAnsi="宋体"/>
                <w:color w:val="auto"/>
                <w:sz w:val="24"/>
                <w:szCs w:val="24"/>
                <w:highlight w:val="none"/>
              </w:rPr>
              <w:t xml:space="preserve">  </w:t>
            </w:r>
            <w:r>
              <w:rPr>
                <w:rFonts w:hint="eastAsia" w:ascii="宋体" w:hAnsi="宋体"/>
                <w:color w:val="auto"/>
                <w:sz w:val="24"/>
                <w:szCs w:val="24"/>
                <w:highlight w:val="none"/>
              </w:rPr>
              <w:t>所：</w:t>
            </w:r>
          </w:p>
        </w:tc>
      </w:tr>
      <w:tr>
        <w:tblPrEx>
          <w:tblCellMar>
            <w:top w:w="0" w:type="dxa"/>
            <w:left w:w="108" w:type="dxa"/>
            <w:bottom w:w="0" w:type="dxa"/>
            <w:right w:w="108" w:type="dxa"/>
          </w:tblCellMar>
        </w:tblPrEx>
        <w:trPr>
          <w:trHeight w:val="1134" w:hRule="atLeast"/>
        </w:trPr>
        <w:tc>
          <w:tcPr>
            <w:tcW w:w="4839" w:type="dxa"/>
          </w:tcPr>
          <w:p>
            <w:pPr>
              <w:snapToGrid w:val="0"/>
              <w:spacing w:line="440" w:lineRule="exact"/>
              <w:rPr>
                <w:rFonts w:ascii="宋体" w:hAnsi="宋体"/>
                <w:color w:val="auto"/>
                <w:sz w:val="24"/>
                <w:szCs w:val="24"/>
                <w:highlight w:val="none"/>
              </w:rPr>
            </w:pPr>
            <w:r>
              <w:rPr>
                <w:rFonts w:ascii="宋体" w:hAnsi="宋体"/>
                <w:color w:val="auto"/>
                <w:sz w:val="24"/>
                <w:szCs w:val="24"/>
                <w:highlight w:val="none"/>
              </w:rPr>
              <w:t>法定代表人：</w:t>
            </w:r>
          </w:p>
        </w:tc>
        <w:tc>
          <w:tcPr>
            <w:tcW w:w="4839" w:type="dxa"/>
          </w:tcPr>
          <w:p>
            <w:pPr>
              <w:snapToGrid w:val="0"/>
              <w:spacing w:line="440" w:lineRule="exact"/>
              <w:rPr>
                <w:rFonts w:ascii="宋体" w:hAnsi="宋体"/>
                <w:color w:val="auto"/>
                <w:sz w:val="24"/>
                <w:szCs w:val="24"/>
                <w:highlight w:val="none"/>
              </w:rPr>
            </w:pPr>
            <w:r>
              <w:rPr>
                <w:rFonts w:ascii="宋体" w:hAnsi="宋体"/>
                <w:color w:val="auto"/>
                <w:sz w:val="24"/>
                <w:szCs w:val="24"/>
                <w:highlight w:val="none"/>
              </w:rPr>
              <w:t>法定代表人：</w:t>
            </w:r>
          </w:p>
        </w:tc>
      </w:tr>
      <w:tr>
        <w:tblPrEx>
          <w:tblCellMar>
            <w:top w:w="0" w:type="dxa"/>
            <w:left w:w="108" w:type="dxa"/>
            <w:bottom w:w="0" w:type="dxa"/>
            <w:right w:w="108" w:type="dxa"/>
          </w:tblCellMar>
        </w:tblPrEx>
        <w:trPr>
          <w:trHeight w:val="1134" w:hRule="atLeast"/>
        </w:trPr>
        <w:tc>
          <w:tcPr>
            <w:tcW w:w="4839" w:type="dxa"/>
          </w:tcPr>
          <w:p>
            <w:pPr>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委托代理人：</w:t>
            </w:r>
          </w:p>
        </w:tc>
        <w:tc>
          <w:tcPr>
            <w:tcW w:w="4839" w:type="dxa"/>
          </w:tcPr>
          <w:p>
            <w:pPr>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委托代理人：</w:t>
            </w:r>
          </w:p>
        </w:tc>
      </w:tr>
      <w:tr>
        <w:tblPrEx>
          <w:tblCellMar>
            <w:top w:w="0" w:type="dxa"/>
            <w:left w:w="108" w:type="dxa"/>
            <w:bottom w:w="0" w:type="dxa"/>
            <w:right w:w="108" w:type="dxa"/>
          </w:tblCellMar>
        </w:tblPrEx>
        <w:trPr>
          <w:trHeight w:val="1134" w:hRule="atLeast"/>
        </w:trPr>
        <w:tc>
          <w:tcPr>
            <w:tcW w:w="4839" w:type="dxa"/>
          </w:tcPr>
          <w:p>
            <w:pPr>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电</w:t>
            </w:r>
            <w:r>
              <w:rPr>
                <w:rFonts w:ascii="宋体" w:hAnsi="宋体"/>
                <w:color w:val="auto"/>
                <w:sz w:val="24"/>
                <w:szCs w:val="24"/>
                <w:highlight w:val="none"/>
              </w:rPr>
              <w:t xml:space="preserve">   </w:t>
            </w:r>
            <w:r>
              <w:rPr>
                <w:rFonts w:hint="eastAsia" w:ascii="宋体" w:hAnsi="宋体"/>
                <w:color w:val="auto"/>
                <w:sz w:val="24"/>
                <w:szCs w:val="24"/>
                <w:highlight w:val="none"/>
              </w:rPr>
              <w:t xml:space="preserve">  </w:t>
            </w:r>
            <w:r>
              <w:rPr>
                <w:rFonts w:ascii="宋体" w:hAnsi="宋体"/>
                <w:color w:val="auto"/>
                <w:sz w:val="24"/>
                <w:szCs w:val="24"/>
                <w:highlight w:val="none"/>
              </w:rPr>
              <w:t xml:space="preserve"> </w:t>
            </w:r>
            <w:r>
              <w:rPr>
                <w:rFonts w:hint="eastAsia" w:ascii="宋体" w:hAnsi="宋体"/>
                <w:color w:val="auto"/>
                <w:sz w:val="24"/>
                <w:szCs w:val="24"/>
                <w:highlight w:val="none"/>
              </w:rPr>
              <w:t>话：</w:t>
            </w:r>
          </w:p>
        </w:tc>
        <w:tc>
          <w:tcPr>
            <w:tcW w:w="4839" w:type="dxa"/>
          </w:tcPr>
          <w:p>
            <w:pPr>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电</w:t>
            </w:r>
            <w:r>
              <w:rPr>
                <w:rFonts w:ascii="宋体" w:hAnsi="宋体"/>
                <w:color w:val="auto"/>
                <w:sz w:val="24"/>
                <w:szCs w:val="24"/>
                <w:highlight w:val="none"/>
              </w:rPr>
              <w:t xml:space="preserve">   </w:t>
            </w:r>
            <w:r>
              <w:rPr>
                <w:rFonts w:hint="eastAsia" w:ascii="宋体" w:hAnsi="宋体"/>
                <w:color w:val="auto"/>
                <w:sz w:val="24"/>
                <w:szCs w:val="24"/>
                <w:highlight w:val="none"/>
              </w:rPr>
              <w:t xml:space="preserve">  </w:t>
            </w:r>
            <w:r>
              <w:rPr>
                <w:rFonts w:ascii="宋体" w:hAnsi="宋体"/>
                <w:color w:val="auto"/>
                <w:sz w:val="24"/>
                <w:szCs w:val="24"/>
                <w:highlight w:val="none"/>
              </w:rPr>
              <w:t xml:space="preserve"> </w:t>
            </w:r>
            <w:r>
              <w:rPr>
                <w:rFonts w:hint="eastAsia" w:ascii="宋体" w:hAnsi="宋体"/>
                <w:color w:val="auto"/>
                <w:sz w:val="24"/>
                <w:szCs w:val="24"/>
                <w:highlight w:val="none"/>
              </w:rPr>
              <w:t>话：</w:t>
            </w:r>
          </w:p>
        </w:tc>
      </w:tr>
      <w:tr>
        <w:tblPrEx>
          <w:tblCellMar>
            <w:top w:w="0" w:type="dxa"/>
            <w:left w:w="108" w:type="dxa"/>
            <w:bottom w:w="0" w:type="dxa"/>
            <w:right w:w="108" w:type="dxa"/>
          </w:tblCellMar>
        </w:tblPrEx>
        <w:trPr>
          <w:trHeight w:val="1134" w:hRule="atLeast"/>
        </w:trPr>
        <w:tc>
          <w:tcPr>
            <w:tcW w:w="4839" w:type="dxa"/>
          </w:tcPr>
          <w:p>
            <w:pPr>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传</w:t>
            </w:r>
            <w:r>
              <w:rPr>
                <w:rFonts w:ascii="宋体" w:hAnsi="宋体"/>
                <w:color w:val="auto"/>
                <w:sz w:val="24"/>
                <w:szCs w:val="24"/>
                <w:highlight w:val="none"/>
              </w:rPr>
              <w:t xml:space="preserve">   </w:t>
            </w:r>
            <w:r>
              <w:rPr>
                <w:rFonts w:hint="eastAsia" w:ascii="宋体" w:hAnsi="宋体"/>
                <w:color w:val="auto"/>
                <w:sz w:val="24"/>
                <w:szCs w:val="24"/>
                <w:highlight w:val="none"/>
              </w:rPr>
              <w:t xml:space="preserve">  </w:t>
            </w:r>
            <w:r>
              <w:rPr>
                <w:rFonts w:ascii="宋体" w:hAnsi="宋体"/>
                <w:color w:val="auto"/>
                <w:sz w:val="24"/>
                <w:szCs w:val="24"/>
                <w:highlight w:val="none"/>
              </w:rPr>
              <w:t xml:space="preserve"> </w:t>
            </w:r>
            <w:r>
              <w:rPr>
                <w:rFonts w:hint="eastAsia" w:ascii="宋体" w:hAnsi="宋体"/>
                <w:color w:val="auto"/>
                <w:sz w:val="24"/>
                <w:szCs w:val="24"/>
                <w:highlight w:val="none"/>
              </w:rPr>
              <w:t>真：</w:t>
            </w:r>
          </w:p>
        </w:tc>
        <w:tc>
          <w:tcPr>
            <w:tcW w:w="4839" w:type="dxa"/>
          </w:tcPr>
          <w:p>
            <w:pPr>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传</w:t>
            </w:r>
            <w:r>
              <w:rPr>
                <w:rFonts w:ascii="宋体" w:hAnsi="宋体"/>
                <w:color w:val="auto"/>
                <w:sz w:val="24"/>
                <w:szCs w:val="24"/>
                <w:highlight w:val="none"/>
              </w:rPr>
              <w:t xml:space="preserve">   </w:t>
            </w:r>
            <w:r>
              <w:rPr>
                <w:rFonts w:hint="eastAsia" w:ascii="宋体" w:hAnsi="宋体"/>
                <w:color w:val="auto"/>
                <w:sz w:val="24"/>
                <w:szCs w:val="24"/>
                <w:highlight w:val="none"/>
              </w:rPr>
              <w:t xml:space="preserve">  </w:t>
            </w:r>
            <w:r>
              <w:rPr>
                <w:rFonts w:ascii="宋体" w:hAnsi="宋体"/>
                <w:color w:val="auto"/>
                <w:sz w:val="24"/>
                <w:szCs w:val="24"/>
                <w:highlight w:val="none"/>
              </w:rPr>
              <w:t xml:space="preserve"> </w:t>
            </w:r>
            <w:r>
              <w:rPr>
                <w:rFonts w:hint="eastAsia" w:ascii="宋体" w:hAnsi="宋体"/>
                <w:color w:val="auto"/>
                <w:sz w:val="24"/>
                <w:szCs w:val="24"/>
                <w:highlight w:val="none"/>
              </w:rPr>
              <w:t>真：</w:t>
            </w:r>
          </w:p>
        </w:tc>
      </w:tr>
      <w:tr>
        <w:tblPrEx>
          <w:tblCellMar>
            <w:top w:w="0" w:type="dxa"/>
            <w:left w:w="108" w:type="dxa"/>
            <w:bottom w:w="0" w:type="dxa"/>
            <w:right w:w="108" w:type="dxa"/>
          </w:tblCellMar>
        </w:tblPrEx>
        <w:trPr>
          <w:trHeight w:val="1134" w:hRule="atLeast"/>
        </w:trPr>
        <w:tc>
          <w:tcPr>
            <w:tcW w:w="4839" w:type="dxa"/>
          </w:tcPr>
          <w:p>
            <w:pPr>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开户银行：</w:t>
            </w:r>
          </w:p>
        </w:tc>
        <w:tc>
          <w:tcPr>
            <w:tcW w:w="4839" w:type="dxa"/>
          </w:tcPr>
          <w:p>
            <w:pPr>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开户银行：</w:t>
            </w:r>
          </w:p>
        </w:tc>
      </w:tr>
      <w:tr>
        <w:tblPrEx>
          <w:tblCellMar>
            <w:top w:w="0" w:type="dxa"/>
            <w:left w:w="108" w:type="dxa"/>
            <w:bottom w:w="0" w:type="dxa"/>
            <w:right w:w="108" w:type="dxa"/>
          </w:tblCellMar>
        </w:tblPrEx>
        <w:trPr>
          <w:trHeight w:val="1134" w:hRule="atLeast"/>
        </w:trPr>
        <w:tc>
          <w:tcPr>
            <w:tcW w:w="4839" w:type="dxa"/>
          </w:tcPr>
          <w:p>
            <w:pPr>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帐</w:t>
            </w:r>
            <w:r>
              <w:rPr>
                <w:rFonts w:ascii="宋体" w:hAnsi="宋体"/>
                <w:color w:val="auto"/>
                <w:sz w:val="24"/>
                <w:szCs w:val="24"/>
                <w:highlight w:val="none"/>
              </w:rPr>
              <w:t xml:space="preserve">    号：</w:t>
            </w:r>
          </w:p>
        </w:tc>
        <w:tc>
          <w:tcPr>
            <w:tcW w:w="4839" w:type="dxa"/>
          </w:tcPr>
          <w:p>
            <w:pPr>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帐</w:t>
            </w:r>
            <w:r>
              <w:rPr>
                <w:rFonts w:ascii="宋体" w:hAnsi="宋体"/>
                <w:color w:val="auto"/>
                <w:sz w:val="24"/>
                <w:szCs w:val="24"/>
                <w:highlight w:val="none"/>
              </w:rPr>
              <w:t xml:space="preserve">    号：</w:t>
            </w:r>
          </w:p>
        </w:tc>
      </w:tr>
      <w:tr>
        <w:tblPrEx>
          <w:tblCellMar>
            <w:top w:w="0" w:type="dxa"/>
            <w:left w:w="108" w:type="dxa"/>
            <w:bottom w:w="0" w:type="dxa"/>
            <w:right w:w="108" w:type="dxa"/>
          </w:tblCellMar>
        </w:tblPrEx>
        <w:trPr>
          <w:trHeight w:val="1134" w:hRule="atLeast"/>
        </w:trPr>
        <w:tc>
          <w:tcPr>
            <w:tcW w:w="4839" w:type="dxa"/>
          </w:tcPr>
          <w:p>
            <w:pPr>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邮政编码：</w:t>
            </w:r>
          </w:p>
        </w:tc>
        <w:tc>
          <w:tcPr>
            <w:tcW w:w="4839" w:type="dxa"/>
          </w:tcPr>
          <w:p>
            <w:pPr>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邮政编码：</w:t>
            </w:r>
          </w:p>
        </w:tc>
      </w:tr>
    </w:tbl>
    <w:p>
      <w:pPr>
        <w:snapToGrid w:val="0"/>
        <w:spacing w:line="440" w:lineRule="exact"/>
        <w:ind w:firstLine="120" w:firstLineChars="50"/>
        <w:rPr>
          <w:rFonts w:ascii="宋体" w:hAnsi="宋体"/>
          <w:color w:val="auto"/>
          <w:sz w:val="24"/>
          <w:szCs w:val="24"/>
          <w:highlight w:val="none"/>
        </w:rPr>
      </w:pPr>
    </w:p>
    <w:p>
      <w:pPr>
        <w:snapToGrid w:val="0"/>
        <w:spacing w:line="440" w:lineRule="exact"/>
        <w:jc w:val="center"/>
        <w:rPr>
          <w:rFonts w:ascii="宋体" w:hAnsi="宋体"/>
          <w:color w:val="auto"/>
          <w:sz w:val="24"/>
          <w:szCs w:val="24"/>
          <w:highlight w:val="none"/>
        </w:rPr>
      </w:pPr>
      <w:r>
        <w:rPr>
          <w:rFonts w:ascii="宋体" w:hAnsi="宋体"/>
          <w:color w:val="auto"/>
          <w:sz w:val="24"/>
          <w:szCs w:val="24"/>
          <w:highlight w:val="none"/>
        </w:rPr>
        <w:br w:type="page"/>
      </w:r>
      <w:r>
        <w:rPr>
          <w:rFonts w:hint="eastAsia" w:ascii="宋体" w:hAnsi="宋体"/>
          <w:b/>
          <w:bCs/>
          <w:color w:val="auto"/>
          <w:sz w:val="28"/>
          <w:szCs w:val="28"/>
          <w:highlight w:val="none"/>
        </w:rPr>
        <w:t>第二部分</w:t>
      </w:r>
      <w:r>
        <w:rPr>
          <w:rFonts w:ascii="宋体" w:hAnsi="宋体"/>
          <w:b/>
          <w:bCs/>
          <w:color w:val="auto"/>
          <w:sz w:val="28"/>
          <w:szCs w:val="28"/>
          <w:highlight w:val="none"/>
        </w:rPr>
        <w:t xml:space="preserve"> </w:t>
      </w:r>
      <w:r>
        <w:rPr>
          <w:rFonts w:hint="eastAsia" w:ascii="宋体" w:hAnsi="宋体"/>
          <w:b/>
          <w:bCs/>
          <w:color w:val="auto"/>
          <w:sz w:val="28"/>
          <w:szCs w:val="28"/>
          <w:highlight w:val="none"/>
        </w:rPr>
        <w:t>通用条款</w:t>
      </w:r>
    </w:p>
    <w:p>
      <w:pPr>
        <w:spacing w:line="440" w:lineRule="exact"/>
        <w:jc w:val="center"/>
        <w:rPr>
          <w:rFonts w:ascii="宋体" w:hAnsi="宋体"/>
          <w:color w:val="auto"/>
          <w:sz w:val="24"/>
          <w:szCs w:val="24"/>
          <w:highlight w:val="none"/>
        </w:rPr>
      </w:pP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一、词语定义及合同文件</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词语定义</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下列词语除专用条款另有约定外，应具有本条所赋予的定义：</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1.1 通用条款：是根据法律、行政法规规定及建设工程施工的需要订立，通用于建设工程施工的条款。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1.2 专用条款：是发包人与承包人根据法律、行政法规规定，结合具体工程实际，经协商达成一致意见的条款，是对通用条款的具体化、补充或修改。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1.3 发包人：指在协议书中约定，具有工程发包主体资格和支付工程价款能力的当事人以及取得该当事人资格的合法继承人。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1.4 承包人：指在协议书中约定，被发包人接受的具有工程施工承包主体资格的当事人以及取得该当事人资格的合法继承人。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1.5 </w:t>
      </w:r>
      <w:r>
        <w:rPr>
          <w:rFonts w:hint="eastAsia" w:ascii="宋体" w:hAnsi="宋体"/>
          <w:color w:val="auto"/>
          <w:szCs w:val="21"/>
          <w:highlight w:val="none"/>
        </w:rPr>
        <w:t>项目负责人：指承包人在专用条款中指定的负责施工管理和合同履行的代表。</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1.6 设计单位：指发包人委托的负责本工程设计并取得相应工程设计资质等级证书的单位。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1.7 监理单位：指发包人委托的负责本工程监理并取得相应在工程监理资质等级证书的单位。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1.8 工程师：指本工程监理单位委派的总监理工程师或发包人指定的履行本合同的代表，其具体身份和职权由发包人承包人在专用条款中约定。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1.9 工程造价管理部门：指国务院有关部门、县级以上人民政府建设行政主管部门或其委托的工程造价管理机构。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1.10 工程：指发包人承包人在协议书中约定的承包范围内的工程。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1.11 合同价款：指发包人承包人在协议书中约定，发包人用以支付承包人按照合同约定完成承包范围内全部工程并承担质量保修责任的款项。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1.12 追加合同价款：指在合同履行中发生需要增加合同价款的情况，经发包人确认后按计算合同价款的方法增加的合同价款。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1.13 </w:t>
      </w:r>
      <w:r>
        <w:rPr>
          <w:rFonts w:hint="eastAsia" w:ascii="宋体" w:hAnsi="宋体"/>
          <w:color w:val="auto"/>
          <w:szCs w:val="21"/>
          <w:highlight w:val="none"/>
        </w:rPr>
        <w:t>费用：指不包含在合同价款之内的应当由发包人或承包人承担的经济支出。</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1.14 </w:t>
      </w:r>
      <w:r>
        <w:rPr>
          <w:rFonts w:hint="eastAsia" w:ascii="宋体" w:hAnsi="宋体"/>
          <w:color w:val="auto"/>
          <w:szCs w:val="21"/>
          <w:highlight w:val="none"/>
        </w:rPr>
        <w:t>工期：指发包人承包人在协议书中约定，按总日历天数（包括法定节假日）计算的承包天数。</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1.15 开工日期：指发包人承包人在协议书中约定，承包人开始施工的绝对或相对的日期。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1.16 竣工日期：指发包人承包人在协议书中约定，承包人完成承包范围内工程的绝对或相对的日期。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1.17 图纸：指由发包人提供或承包人提供并经发包人批准，满足承包人施工需要的所有图纸（包括配套说明和有关资料）。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1.18 施工场地：指由发包人提供的用于工程施工的场所以及发包人在图纸中具体指定的供施工使用的任何其他场所。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1.19 书面形式：指合同书、信件和数据电文（包括电报、电传、传真、电子数据交换和电子邮件）等可以有形地表现所载内容的形式。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1.20 违约责任：指合同一方不履行合同义务或履行合同义务不符合约定所应承担的责任。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1.21 索赔：指在合同履行过程中，对于并非自己的过错，而是应由对方承担责任的情况造成的实际损失，向对方提出经济补偿和（或）工期顺延的要求。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1.22 不可抗力：指不能预见、不能避免并不能克服的客观情况。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1.23 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24小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2、合同文件及解释顺序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2.1 合同文件应能相互解释，互为说明。除专用条款另有约定外，组成本合同的文件及优先解释顺序如下：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 xml:space="preserve">1）本合同协议书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 xml:space="preserve">2）中标通知书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 xml:space="preserve">3）投标书及其附件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 xml:space="preserve">4）本合同专用条款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 xml:space="preserve">5）本合同通用条款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 xml:space="preserve">6）标准、规范及有关技术文件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 xml:space="preserve">7）图纸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 xml:space="preserve">8）工程量清单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9）工程报价单或预算书</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合同履行中，发包人承包人有关工程的洽商、变更等书面协议或文件视为本合同的组成部分。</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2.2当合同文件内容含糊不清或不相一致时，在不影响工程正常进行的情况下，由发包人承包人协商解决。双方也可以提请负责监理的工程师做出解释。双方协商不成或不同意负责监理的工程师的解释时，按本通用条款37条关于争议的约定处理。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3、语言文字和适用法律、标准及规范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3.1 语言文字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本合同文件使用汉语语言文字书写、解释和说明。如专用条款约定使用两种以上（含两种）语言文字时，汉语应为解释和说明本合同的标准语言文字。</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在少数民族地区，双方可以约定使用少数民族语言文字书写和解释、说明本合同。</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3.2 适用法律和法规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本合同文件适用国家的法律和行政法规。需要明示的法律、行政法规，由双方在专用条款中约定。</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3.3 适用标准、规范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双方在专用条款内约定适用国家标准、规范和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国内没有相应标准、规范的，由发包人按专用条款约定的时间向承包人</w:t>
      </w:r>
      <w:r>
        <w:rPr>
          <w:rFonts w:hint="eastAsia" w:ascii="宋体" w:hAnsi="宋体"/>
          <w:color w:val="auto"/>
          <w:spacing w:val="4"/>
          <w:szCs w:val="21"/>
          <w:highlight w:val="none"/>
        </w:rPr>
        <w:t>提出施工技术要求，承包人按约定的时间和要求提出施工工艺，经发包人认</w:t>
      </w:r>
      <w:r>
        <w:rPr>
          <w:rFonts w:hint="eastAsia" w:ascii="宋体" w:hAnsi="宋体"/>
          <w:color w:val="auto"/>
          <w:szCs w:val="21"/>
          <w:highlight w:val="none"/>
        </w:rPr>
        <w:t>可后执行。发包人要求使用国外标准、规范的，应负责提供中文译本。</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本条所发生的购买、翻译标准、规范或制定施工工艺的费用，由发包人承担。</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4、图纸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4.1 </w:t>
      </w:r>
      <w:r>
        <w:rPr>
          <w:rFonts w:hint="eastAsia" w:ascii="宋体" w:hAnsi="宋体"/>
          <w:color w:val="auto"/>
          <w:szCs w:val="21"/>
          <w:highlight w:val="none"/>
        </w:rPr>
        <w:t>发包人应按专用条款约定的日期和套数，向承包人提供图纸。承包人需要增加图纸套数的，发包人应代为复制，复制费用由承包人承担。发包人对工程有保密要求的，应在专用条款中提出保密要求，保密措施费用由发包人承担，承包人在约定保密期限内履行保密义务。</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4.2 承包人未经发包人同意，不得将本工程图纸转给第三人。工程质量保修期满后，除承包人存档需要的图纸外，应将全部图纸退还给发包人。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4.3 承包人应在施工现场保留一套完整图纸，供工程师及有关人员进行工程检查时使用。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二、双方一般权利和义务</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5、工程师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5.1实行工程监理的，发包人应在实施监理前将委托的监理单位名称、监理内容及监理权限以书面形式通知承包人。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5.2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5.3 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5.4 </w:t>
      </w:r>
      <w:r>
        <w:rPr>
          <w:rFonts w:hint="eastAsia" w:ascii="宋体" w:hAnsi="宋体"/>
          <w:color w:val="auto"/>
          <w:szCs w:val="21"/>
          <w:highlight w:val="none"/>
        </w:rPr>
        <w:t>合同履行中，发生影响发包人承包人双方权利或义务的事件时，负责监理的工程师应依据合同在其职权范围内客观公正地进行处理。一方对工程师的处理有异议时，按本通用条款</w:t>
      </w:r>
      <w:r>
        <w:rPr>
          <w:rFonts w:ascii="宋体" w:hAnsi="宋体"/>
          <w:color w:val="auto"/>
          <w:szCs w:val="21"/>
          <w:highlight w:val="none"/>
        </w:rPr>
        <w:t xml:space="preserve">37条关于争议的约定处理。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5.5 </w:t>
      </w:r>
      <w:r>
        <w:rPr>
          <w:rFonts w:hint="eastAsia" w:ascii="宋体" w:hAnsi="宋体"/>
          <w:color w:val="auto"/>
          <w:szCs w:val="21"/>
          <w:highlight w:val="none"/>
        </w:rPr>
        <w:t>除合同内有明确约定或经发包人同意外，负责监理的工程师无权解除本合同约定的承包人的任何权利与义务。</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5.6 不实行工程监理的，本合同中工程师专指发包人派驻施工现场履行合同的代表，其具体职权由发包人在专用条款中写明。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6、工程师的委派和指令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6.1工程师可委派工程师代表，行使合同约定的自己的职权，并可在认为必要时撤回委派。委派和撤回均应提前7天以书面形式通知承包人，负责监理的工程师还应将委派和撤回通知发包人。委派书和撤回通知作为本合同附件。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除工程师或工程师代表外，发包人派驻工地的其他人员均无权向承包人发出任何指令。</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6.2 </w:t>
      </w:r>
      <w:r>
        <w:rPr>
          <w:rFonts w:hint="eastAsia" w:ascii="宋体" w:hAnsi="宋体"/>
          <w:color w:val="auto"/>
          <w:szCs w:val="21"/>
          <w:highlight w:val="none"/>
        </w:rPr>
        <w:t>工程师的指令、通知由其本人签字后，以书面形式交给项目负责人，项目负责人在回执上签署姓名和收到时间后生效。确有必要时，工程师可发出口头指令，并在</w:t>
      </w:r>
      <w:r>
        <w:rPr>
          <w:rFonts w:ascii="宋体" w:hAnsi="宋体"/>
          <w:color w:val="auto"/>
          <w:szCs w:val="21"/>
          <w:highlight w:val="none"/>
        </w:rPr>
        <w:t xml:space="preserve">48小时内给予书面确认，承包人对工程师的指令应予执行。工程师不能及时给予书面确认的，承包人应于工程师发出口头指令后7天内提出书面确认要求。工程师在承包人提出确认要求后48小时内不予答复的，视为口头指令已被确认。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承包人认为工程师指令不合理，应在收到指令后</w:t>
      </w:r>
      <w:r>
        <w:rPr>
          <w:rFonts w:ascii="宋体" w:hAnsi="宋体"/>
          <w:color w:val="auto"/>
          <w:szCs w:val="21"/>
          <w:highlight w:val="none"/>
        </w:rPr>
        <w:t>24小时内向工程师提出修改指令的书面报告，工程师在收到承包人报告后24小时内</w:t>
      </w:r>
      <w:r>
        <w:rPr>
          <w:rFonts w:hint="eastAsia" w:ascii="宋体" w:hAnsi="宋体"/>
          <w:color w:val="auto"/>
          <w:szCs w:val="21"/>
          <w:highlight w:val="none"/>
        </w:rPr>
        <w:t>作出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本款规定同样适用于由工程师代表发出的指令、通知。</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6.3 </w:t>
      </w:r>
      <w:r>
        <w:rPr>
          <w:rFonts w:hint="eastAsia" w:ascii="宋体" w:hAnsi="宋体"/>
          <w:color w:val="auto"/>
          <w:szCs w:val="21"/>
          <w:highlight w:val="none"/>
        </w:rPr>
        <w:t>工程师应按合同约定，及时向承包人提供所需指令、批准并履行约定的</w:t>
      </w:r>
      <w:r>
        <w:rPr>
          <w:rFonts w:hint="eastAsia" w:ascii="宋体" w:hAnsi="宋体"/>
          <w:color w:val="auto"/>
          <w:spacing w:val="4"/>
          <w:szCs w:val="21"/>
          <w:highlight w:val="none"/>
        </w:rPr>
        <w:t>其他义务。由于工程师未能按合同约定履行义务造成工期延误，发包人应承</w:t>
      </w:r>
      <w:r>
        <w:rPr>
          <w:rFonts w:hint="eastAsia" w:ascii="宋体" w:hAnsi="宋体"/>
          <w:color w:val="auto"/>
          <w:szCs w:val="21"/>
          <w:highlight w:val="none"/>
        </w:rPr>
        <w:t>担延误造成的追加合同价款，并赔偿承包人有关损失，顺延延误的工期。</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6.4 如需更换工程师，发包人应至少提前7天以书面形式通知承包人，后任继续行使合同文件约定的前任的职权，履行前任的义务。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7、</w:t>
      </w:r>
      <w:r>
        <w:rPr>
          <w:rFonts w:hint="eastAsia" w:ascii="宋体" w:hAnsi="宋体"/>
          <w:color w:val="auto"/>
          <w:szCs w:val="21"/>
          <w:highlight w:val="none"/>
        </w:rPr>
        <w:t>项目负责人</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7.1 </w:t>
      </w:r>
      <w:r>
        <w:rPr>
          <w:rFonts w:hint="eastAsia" w:ascii="宋体" w:hAnsi="宋体"/>
          <w:color w:val="auto"/>
          <w:szCs w:val="21"/>
          <w:highlight w:val="none"/>
        </w:rPr>
        <w:t>项目负责人的姓名、职务在专用条款内写明。</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7.2 </w:t>
      </w:r>
      <w:r>
        <w:rPr>
          <w:rFonts w:hint="eastAsia" w:ascii="宋体" w:hAnsi="宋体"/>
          <w:color w:val="auto"/>
          <w:szCs w:val="21"/>
          <w:highlight w:val="none"/>
        </w:rPr>
        <w:t>承包人依据合同发出的通知，以书面形式由项目负责人签字后送交工程师，工程师在回执上签署姓名和收到时间后生效。</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7.3 </w:t>
      </w:r>
      <w:r>
        <w:rPr>
          <w:rFonts w:hint="eastAsia" w:ascii="宋体" w:hAnsi="宋体"/>
          <w:color w:val="auto"/>
          <w:szCs w:val="21"/>
          <w:highlight w:val="none"/>
        </w:rPr>
        <w:t>项目负责人按发包人认可的施工组织设计（施工方案）和工程师依据合同发出的指令组织施工。在情况紧急且无法与工程师联系时，项目负责人应当采取保证人员生命和工程、财产安全的紧急措施，并在采取措施后</w:t>
      </w:r>
      <w:r>
        <w:rPr>
          <w:rFonts w:ascii="宋体" w:hAnsi="宋体"/>
          <w:color w:val="auto"/>
          <w:szCs w:val="21"/>
          <w:highlight w:val="none"/>
        </w:rPr>
        <w:t xml:space="preserve">48小时内向工程师送交报告。责任在发包人或第三人，由发包人承担由此发生的追加合同价款，相应顺延工期；责任在承包人，由承包人承担费用，不顺延工期。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7.4 </w:t>
      </w:r>
      <w:r>
        <w:rPr>
          <w:rFonts w:hint="eastAsia" w:ascii="宋体" w:hAnsi="宋体"/>
          <w:color w:val="auto"/>
          <w:szCs w:val="21"/>
          <w:highlight w:val="none"/>
        </w:rPr>
        <w:t>承包人如需更换项目负责人，应至少提前</w:t>
      </w:r>
      <w:r>
        <w:rPr>
          <w:rFonts w:ascii="宋体" w:hAnsi="宋体"/>
          <w:color w:val="auto"/>
          <w:szCs w:val="21"/>
          <w:highlight w:val="none"/>
        </w:rPr>
        <w:t xml:space="preserve">7天以书面形式通知发包人，并征得发包人同意。后任继续行使合同文件约定的前任的职权，履行前任的义务。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7.5 </w:t>
      </w:r>
      <w:r>
        <w:rPr>
          <w:rFonts w:hint="eastAsia" w:ascii="宋体" w:hAnsi="宋体"/>
          <w:color w:val="auto"/>
          <w:szCs w:val="21"/>
          <w:highlight w:val="none"/>
        </w:rPr>
        <w:t>发包人可以与承包人协商，建议更换其认为不称职的项目负责人。</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8、发包人工作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8.1 发包人按专用条款约定的内容和时间完成以下工作: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 办理土地征用、拆迁补偿、平整施工场地等工作，使施工场地具备施工条件，在开工后继续负责解决以上事项遗留问题；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 将施工所需水、电、电讯线路从施工场地外部接至专用条款约定地点，保证施工期间的需要；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 开通施工场地与城乡公共道路的通道，以及专用条款约定的施工场地内的主要道路，满足施工运输的需要，保证施工期间的畅通。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 向承包人提供施工场地的工程地质和地下管线资料，对资料的真实准确性负责；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(5) </w:t>
      </w:r>
      <w:r>
        <w:rPr>
          <w:rFonts w:hint="eastAsia" w:ascii="宋体" w:hAnsi="宋体"/>
          <w:color w:val="auto"/>
          <w:szCs w:val="21"/>
          <w:highlight w:val="none"/>
        </w:rPr>
        <w:t>办理施工许可证及其他施工所需证件、批件和临时用地、停水、停电、中断道路交通、爆破作业等的申请批准文件（证明承包人自身资质的证件除外）；</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(6) </w:t>
      </w:r>
      <w:r>
        <w:rPr>
          <w:rFonts w:hint="eastAsia" w:ascii="宋体" w:hAnsi="宋体"/>
          <w:color w:val="auto"/>
          <w:szCs w:val="21"/>
          <w:highlight w:val="none"/>
        </w:rPr>
        <w:t>确定水准点与坐标控制点，以书面形式交给承包人，进行现场交验；</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(7) </w:t>
      </w:r>
      <w:r>
        <w:rPr>
          <w:rFonts w:hint="eastAsia" w:ascii="宋体" w:hAnsi="宋体"/>
          <w:color w:val="auto"/>
          <w:szCs w:val="21"/>
          <w:highlight w:val="none"/>
        </w:rPr>
        <w:t>组织承包人和设计单位进行图纸会审和设计交底；</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(8) 协调管理施工场地周围地下管线和邻近建筑物、构筑物（包括文物保护建筑）、古树名木的保护工作，承担有关费用；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(9) 发包人应做的其他工作，双方在专用条款内约定。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8.2 发包人未履行8.1款各项义务，导致工期延误或给承包人造成损失的，发包人赔偿承包人有关损失，顺延延误的工期。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9、承包人工作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9.1 承包人按专用条款约定的内容和时间完成以下工作：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根据发包人委托，在其设计资质等级和业务允许的范围内，完成施工图设计或与工程配套的设计，经工程师确认后使用，发包人承担由此发生的费用；</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向工程师提供年、季、月度工程进度计划及相应进度统计报表；</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根据工程需要，提供和维修非夜间施工使用的照明、围栏设施，并负责安全保卫；</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按专用条款约定的数量和要求，向发包人提供施工场地办公和生活的房屋及设施，发包人承担由此发生的费用；</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遵守政府有关主管部门对施工场地交通、施工噪音以及环境保护和安全生产等的管理规定，按规定办理有关手续，并以书面形式通知发包人，发包人承担由此发生的费用，因承包人责任造成的罚款除外；</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(7)</w:t>
      </w:r>
      <w:r>
        <w:rPr>
          <w:rFonts w:hint="eastAsia" w:ascii="宋体" w:hAnsi="宋体"/>
          <w:color w:val="auto"/>
          <w:szCs w:val="21"/>
          <w:highlight w:val="none"/>
        </w:rPr>
        <w:t>按专用条款约定做好施工场地地下管线和邻近建筑物、构筑物（包括文物保护建筑）、古树名木的保护工作；</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(8)</w:t>
      </w:r>
      <w:r>
        <w:rPr>
          <w:rFonts w:hint="eastAsia" w:ascii="宋体" w:hAnsi="宋体"/>
          <w:color w:val="auto"/>
          <w:szCs w:val="21"/>
          <w:highlight w:val="none"/>
        </w:rPr>
        <w:t>保证施工场地清洁符合环境卫生管理的有关规定，交工前清理现场达到专用条款约定的要求，承担因自身原因违反有关规定造成的损失和罚款；</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(9)</w:t>
      </w:r>
      <w:r>
        <w:rPr>
          <w:rFonts w:hint="eastAsia" w:ascii="宋体" w:hAnsi="宋体"/>
          <w:color w:val="auto"/>
          <w:spacing w:val="-6"/>
          <w:szCs w:val="21"/>
          <w:highlight w:val="none"/>
        </w:rPr>
        <w:t>办理施工许可证及施工所需证件、批件和临时用地、停水、停电、中断</w:t>
      </w:r>
      <w:r>
        <w:rPr>
          <w:rFonts w:hint="eastAsia" w:ascii="宋体" w:hAnsi="宋体"/>
          <w:color w:val="auto"/>
          <w:szCs w:val="21"/>
          <w:highlight w:val="none"/>
        </w:rPr>
        <w:t>道路交通、爆破作业等的申请批准手续（证明承包人自身资质的证件除外）；</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(10)承包人应做的其他工作，双方在专用条款内约定。</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9.2承包人未能履行9.1款各项义务，造成发包人损失的，承包人赔偿发包人有关损失。</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三、施工组织设计和工期</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10、进度计划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10.1 承包人应按专用条款约定的日期，将施工组织设计和工程进度计划提交工程师，工程师按专用条款约定的时间予以确认或提出修改意见，逾期不确认也不提出书面意见的，视为同意。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10.2群体工程中单位工程分期进行施工的，承包人应按照发包人提供图纸及有关资料的时间，按单位工程编制进度计划，其具体内容双方在专用条款中约定。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10.3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11、开工及延期开工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11.1承包人应当按照协议书约定的开工日期开工。承包人不能按时开工，应当不迟于协议书约定的开工日期前7天，以书面形式向工程师提出延期开工的理由和要求。工程师应当在接到延期开工申请后的48小时内以书面形式答复承包人。工程师在接到延期开工申请后48小时内不答复，视为同意承包人要求，工期相应顺延。工程师不同意延期要求或承包人未在规定时间内提出延期开工要求，工期不予顺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11.2因发包人原因不能按照协议书约定的开工日期开工，工程师应以书面形式通知承</w:t>
      </w:r>
      <w:r>
        <w:rPr>
          <w:rFonts w:hint="eastAsia" w:ascii="宋体" w:hAnsi="宋体"/>
          <w:color w:val="auto"/>
          <w:szCs w:val="21"/>
          <w:highlight w:val="none"/>
        </w:rPr>
        <w:t>包人，推迟开工日期。发包人赔偿承包人因延期开工造成的损失，并相应顺延工期。</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12、暂停施工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工程师认为确有必要暂停施工时，应当以书面形式要求承包人暂停施工，并在提出要求后</w:t>
      </w:r>
      <w:r>
        <w:rPr>
          <w:rFonts w:ascii="宋体" w:hAnsi="宋体"/>
          <w:color w:val="auto"/>
          <w:szCs w:val="21"/>
          <w:highlight w:val="none"/>
        </w:rPr>
        <w:t xml:space="preserve">48小时内提出书面处理意见。承包人应当按工程师要求停止施工，并妥善保护已完工程。承包人实施工程师做出的处理意见后，可以书面形式提出复工要求，工程师应当在48小时内给予答复。工程师未能在规定时间内提出处理意见，或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13、工期延误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13.1因以下原因造成工期延误，经工程师确认工期相应顺延；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 发包人未能按专用条款的约定提供图纸及开工条件；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 </w:t>
      </w:r>
      <w:r>
        <w:rPr>
          <w:rFonts w:hint="eastAsia" w:ascii="宋体" w:hAnsi="宋体"/>
          <w:color w:val="auto"/>
          <w:szCs w:val="21"/>
          <w:highlight w:val="none"/>
        </w:rPr>
        <w:t>发包人未能按约定日期支付工程预付款、进度款，致使施工不能正常进行；</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 </w:t>
      </w:r>
      <w:r>
        <w:rPr>
          <w:rFonts w:hint="eastAsia" w:ascii="宋体" w:hAnsi="宋体"/>
          <w:color w:val="auto"/>
          <w:szCs w:val="21"/>
          <w:highlight w:val="none"/>
        </w:rPr>
        <w:t>工程师未按合同约定提供所需指令、批准等，致使施工不能正常进行；</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 设计变更和工程量增加；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(5) </w:t>
      </w:r>
      <w:r>
        <w:rPr>
          <w:rFonts w:hint="eastAsia" w:ascii="宋体" w:hAnsi="宋体"/>
          <w:color w:val="auto"/>
          <w:szCs w:val="21"/>
          <w:highlight w:val="none"/>
        </w:rPr>
        <w:t>一周内非承包人原因停水、停电、停气造成停工累计超过</w:t>
      </w:r>
      <w:r>
        <w:rPr>
          <w:rFonts w:ascii="宋体" w:hAnsi="宋体"/>
          <w:color w:val="auto"/>
          <w:szCs w:val="21"/>
          <w:highlight w:val="none"/>
        </w:rPr>
        <w:t>8小时；</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(6) </w:t>
      </w:r>
      <w:r>
        <w:rPr>
          <w:rFonts w:hint="eastAsia" w:ascii="宋体" w:hAnsi="宋体"/>
          <w:color w:val="auto"/>
          <w:szCs w:val="21"/>
          <w:highlight w:val="none"/>
        </w:rPr>
        <w:t>不可抗力；</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(7) </w:t>
      </w:r>
      <w:r>
        <w:rPr>
          <w:rFonts w:hint="eastAsia" w:ascii="宋体" w:hAnsi="宋体"/>
          <w:color w:val="auto"/>
          <w:szCs w:val="21"/>
          <w:highlight w:val="none"/>
        </w:rPr>
        <w:t>专用条款中约定或工程师同意工期顺延的其他情况。</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13.2承包人在13.1款情况发生后14天内，就延误的工期以书面形式向工程师提出报告。工程师在收到报告后14天内予以确认，逾期不予确认也不提出修改意见，视为同意顺延工期。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14、工程竣工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14.1 承包人必须按照协议书约定的竣工日期或工程师同意顺延的工期竣工。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14.2 因承包人原因不能按照协议书约定的竣工日期或工程师同意顺延的工期竣工的，承包人承担违约责任。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14.3 施工中发包人如需提前竣工，双方协商一致后就应签订提前竣工协议，作为合同文件组成部分。提前竣工协议应包括承包人为保证工程质量和安全采取的措施、发包人为提前竣工提供的条件以及提前竣工所需的追加合同价款等内容。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四、质量与检验</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15、工程质量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1</w:t>
      </w:r>
      <w:r>
        <w:rPr>
          <w:rFonts w:ascii="宋体" w:hAnsi="宋体"/>
          <w:color w:val="auto"/>
          <w:spacing w:val="6"/>
          <w:szCs w:val="21"/>
          <w:highlight w:val="none"/>
        </w:rPr>
        <w:t xml:space="preserve">5.1 </w:t>
      </w:r>
      <w:r>
        <w:rPr>
          <w:rFonts w:hint="eastAsia" w:ascii="宋体" w:hAnsi="宋体"/>
          <w:color w:val="auto"/>
          <w:spacing w:val="6"/>
          <w:szCs w:val="21"/>
          <w:highlight w:val="none"/>
        </w:rPr>
        <w:t>工程质量应当达到协议书约定的质量标准，质量标准的评定以国家或</w:t>
      </w:r>
      <w:r>
        <w:rPr>
          <w:rFonts w:hint="eastAsia" w:ascii="宋体" w:hAnsi="宋体"/>
          <w:color w:val="auto"/>
          <w:szCs w:val="21"/>
          <w:highlight w:val="none"/>
        </w:rPr>
        <w:t>行业的质量检验评定标准为依据。因承包人原因工程质量达不到约定的质量标准，承包人承担违约责任。</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15.2 双方对工程质量有争议，由双方同意的工程质量检测机构鉴定，所需费用及因此造成的损失，由责任方承担。双方均有责任，由双方根据其责任分别承担。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16、检查和返工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16.1 承包人应认真按照标准、规范和设计图纸要求以及工程师依据合同发出的指令施工，随时接受工程师的检查检验，为检查检验提供便利条件。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16.2 工程质量达不到约定标准的部分，工程师一经发现，应要求承包人拆除和重新施工，承包人应按工程师的要求拆除和重新施工，直到符合约定标准。因承包人原因达不到约定标准，由承包人承担拆除和重新施工的费用，工期不予顺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16.3 工程师的检查检验不应影响施工正常进行。如影响施工正常进行，检查检验不合格时，影响正常施工的费用由承包人承担。除此之外影响正常施工的追加合同价款由发包人承担，相应顺延工期。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16.4 因工程师指令失误或其他非承包人原因发生的追加合同价款，由发包人承担。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17、隐蔽工程和中间验收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17.1 </w:t>
      </w:r>
      <w:r>
        <w:rPr>
          <w:rFonts w:hint="eastAsia" w:ascii="宋体" w:hAnsi="宋体"/>
          <w:color w:val="auto"/>
          <w:szCs w:val="21"/>
          <w:highlight w:val="none"/>
        </w:rPr>
        <w:t>工程具备隐蔽条件或达到专用条款约定的中间验收部位，承包人进行自检，并在隐蔽或中间验收前</w:t>
      </w:r>
      <w:r>
        <w:rPr>
          <w:rFonts w:ascii="宋体" w:hAnsi="宋体"/>
          <w:color w:val="auto"/>
          <w:szCs w:val="21"/>
          <w:highlight w:val="none"/>
        </w:rPr>
        <w:t>48小时以书面形式通知工程师验收。通知包括隐蔽和中间验收的内容、验收时间和地点。承包人准备验收记录，验收合格，</w:t>
      </w:r>
      <w:r>
        <w:rPr>
          <w:rFonts w:hint="eastAsia" w:ascii="宋体" w:hAnsi="宋体"/>
          <w:color w:val="auto"/>
          <w:spacing w:val="4"/>
          <w:szCs w:val="21"/>
          <w:highlight w:val="none"/>
        </w:rPr>
        <w:t>工程师在验收记录上签字后，承包人可进行隐蔽和继续施工。验收不合格</w:t>
      </w:r>
      <w:r>
        <w:rPr>
          <w:rFonts w:hint="eastAsia" w:ascii="宋体" w:hAnsi="宋体"/>
          <w:color w:val="auto"/>
          <w:szCs w:val="21"/>
          <w:highlight w:val="none"/>
        </w:rPr>
        <w:t>，承包人在工程师限定的时间内修改后重新验收。</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17.2 工程师不能按时进行验收，应在验收前24小时以书面形式向承包人提出延期要求，延期不能超过48小时。工程师未能按以上时间提出延期要求，不进行验收，承包人可自行组织验收，工程师应承认验收记录。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17.3 </w:t>
      </w:r>
      <w:r>
        <w:rPr>
          <w:rFonts w:hint="eastAsia" w:ascii="宋体" w:hAnsi="宋体"/>
          <w:color w:val="auto"/>
          <w:szCs w:val="21"/>
          <w:highlight w:val="none"/>
        </w:rPr>
        <w:t>经工程师验收，工程质量符合标准、规范和设计图纸等要求，验收</w:t>
      </w:r>
      <w:r>
        <w:rPr>
          <w:rFonts w:ascii="宋体" w:hAnsi="宋体"/>
          <w:color w:val="auto"/>
          <w:szCs w:val="21"/>
          <w:highlight w:val="none"/>
        </w:rPr>
        <w:t>24</w:t>
      </w:r>
      <w:r>
        <w:rPr>
          <w:rFonts w:hint="eastAsia" w:ascii="宋体" w:hAnsi="宋体"/>
          <w:color w:val="auto"/>
          <w:spacing w:val="4"/>
          <w:szCs w:val="21"/>
          <w:highlight w:val="none"/>
        </w:rPr>
        <w:t>小时后，工程师不在验收记录上签字，视为工程师已经认可验收记录，承包</w:t>
      </w:r>
      <w:r>
        <w:rPr>
          <w:rFonts w:hint="eastAsia" w:ascii="宋体" w:hAnsi="宋体"/>
          <w:color w:val="auto"/>
          <w:szCs w:val="21"/>
          <w:highlight w:val="none"/>
        </w:rPr>
        <w:t>人可进行隐蔽或继续施工。</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18、重新检验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19、工程试车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19.1 双方约定需要试车的，试车内容应与承包人承包的安装范围相一致。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19.2 设备安装工程具备单机无负荷试车条件，承包人组织试车，并在试车前48小时以书面形式通知工程师。通知包括试车内容、时间、地点。承包人准备试车记录，发包人根据承包人要求为试车提供必要条件。试车合格，工程师在试车记录上签字。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19.3 工程师不能按时参加试车，须在开始试车前24小时以书面形式向承包人提出延期要求，延期不能超过48小时。工程师未能按以上时间提出延期要求，不参加试车，应承认试车记录。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19.4 设备安装工程具备无负荷联动试车条件，发包人组织试车，并在试车前48小时以书面形式通知承包人。通知包括试车内容、时间、地点和对承包人的要求，承包人按要求做好准备工作。试车合格，双方在试车记录上签字。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19.5双方责任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 由于设计原因试车达不到验收要求，发包人应要求设计单位修改设计，承包人按修改后的设计重新安装。发包人承担修改设计、拆除及重新安装的全部费用和追加合同价款，工期相应顺延。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 由于设备制造原因试车达不到验收要求，由该设备采购一方负责重新购置或修理，承包人负责拆除和重新安装。设备由承包人采购的，由承包人承担修理或重新购置、拆除及重新安装的费用，工期不予顺延；设备由发包人采购的，发包人承担上述各项追加合同价款，工期相应顺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 由于承包人施工原因试车达不到验收要求，承包人按工程师要求重新安装和试车，并承担重新安装和试车的费用，工期不予顺延。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 </w:t>
      </w:r>
      <w:r>
        <w:rPr>
          <w:rFonts w:hint="eastAsia" w:ascii="宋体" w:hAnsi="宋体"/>
          <w:color w:val="auto"/>
          <w:szCs w:val="21"/>
          <w:highlight w:val="none"/>
        </w:rPr>
        <w:t>试车费用除已包括在合同价款之内或专用条款另有约定外，均由发包人承担。</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(5) 工程师在试车合格后不在试车记录上签字，试车结束24小时后，视为工程师已经认可试车记录，承包人可继续施工或办理竣工手续。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19.6 投料试车应在工程竣工验收后由发包人负责，如发包人要求在工程竣工验收前进行或需要承包人配合时，应征得承包人同意，另行签订补充协议。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五、安全施工</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20、安全施工与检查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20.1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20.2发包人应对其在施工场地的工作人员进行安全教育，并对他们的安全负责。发包人不得要求承包人违反安全管理的规定进行施工。因发包人原因导致的安全事故，由发包人承担相应责任及发生的费用。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21、安全防护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21.1承包人在动力设备、输电线路、地下管道、密封防震车间、易燃易爆地段以及临街交通要道附近施工时，施工开始前应向工程师提出安全防护措施，经工程师认可后实施，防护措施费用由发包人承担。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21.2实施爆破作业，在放射、毒害性环境中施工（含储存、运输、使用）及使用毒害性、腐蚀性物品施工时，承包人应在施工前14天以书面形式通知工</w:t>
      </w:r>
      <w:r>
        <w:rPr>
          <w:rFonts w:hint="eastAsia" w:ascii="宋体" w:hAnsi="宋体"/>
          <w:color w:val="auto"/>
          <w:spacing w:val="2"/>
          <w:szCs w:val="21"/>
          <w:highlight w:val="none"/>
        </w:rPr>
        <w:t>程师，并提出相应的安全防护措施，经工程师认可后实施</w:t>
      </w:r>
      <w:r>
        <w:rPr>
          <w:rFonts w:ascii="宋体" w:hAnsi="宋体"/>
          <w:color w:val="auto"/>
          <w:spacing w:val="2"/>
          <w:szCs w:val="21"/>
          <w:highlight w:val="none"/>
        </w:rPr>
        <w:t>,由发包人承担安全</w:t>
      </w:r>
      <w:r>
        <w:rPr>
          <w:rFonts w:hint="eastAsia" w:ascii="宋体" w:hAnsi="宋体"/>
          <w:color w:val="auto"/>
          <w:szCs w:val="21"/>
          <w:highlight w:val="none"/>
        </w:rPr>
        <w:t>防护措施费用。</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22、事故处理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22.1发生重大伤亡及其他安全事故，承包人应按有关规定立即上报有关部门并通知工程师，同时按政府有关部门要求处理，由事故责任方承担发生的费用。</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22.2发包人承包人对事故责任有争议时，应按政府有关部门的认定处理。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六、合同价款与支付</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23、合同价款及调整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23.1招标工程的合同价款由发包人承包人依据中标通知书中的中标价格在协议书内约定。非招标工程的合同价款由发包人承包人依据工程预算书在协议书内约定。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23.2合同价款在协议书内约定后，任何一方不得擅自改变。下列三种确定合同价款的方式，双方可在专用条款内约定采用其中一种：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 固定价格合同。双方在专用条款内约定合同价款包含的风险范围和风险费用的计算方法，在约定的风险范围内合同价款不再调整。风险范围以外的合同价款调整方法，应当在专用条款内约定。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 </w:t>
      </w:r>
      <w:r>
        <w:rPr>
          <w:rFonts w:hint="eastAsia" w:ascii="宋体" w:hAnsi="宋体"/>
          <w:color w:val="auto"/>
          <w:szCs w:val="21"/>
          <w:highlight w:val="none"/>
        </w:rPr>
        <w:t>可调价格合同。合同价款可根据双方的约定而调整，双方在专用条款内约定合同价款调整方法。</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 成本加酬金合同。合同价款包括成本和酬金两部分，双方在专用条款内约定成本构成和酬金的计算方法。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23.3可调价格合同中合同价款的调整因素包括：</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 法律、行政法规和国家有关政策变化影响合同价款；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 工程造价管理部门公布的价格调整；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 一周内非承包人原因停水、停电、停气造成的停工累计超过8小时；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 双方约定的其他因素。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23.4承包人应当在23.3款情况发生后14天内，将调整原因、金额以书面形式通知工程师，工程师确认调整金额后作为追加合同价款，与工程款同期支付。工程师收到承包人通知后14天内不予确认也不提出修改意见，视为已经同意该项调整。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24、工程预付款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实行工程预付款的，双方应当在专用条款内约定发包人向承包人预付工程款的时间和数额，开工后按约定的时间和比例逐次扣回。预付时间应不迟于约定的开工日期前</w:t>
      </w:r>
      <w:r>
        <w:rPr>
          <w:rFonts w:ascii="宋体" w:hAnsi="宋体"/>
          <w:color w:val="auto"/>
          <w:szCs w:val="21"/>
          <w:highlight w:val="none"/>
        </w:rPr>
        <w:t xml:space="preserve">7天。发包人不按约定预付，承包人在约定预付时间7天后向发包人发出要求预付的通知，发包人收到通知后仍不能按要求预付，承包人可在发出通告后7天停止施工，发包人应从约定应付之日起向承包人支付应付款的贷款利息，并承担违约责任。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25、工程量的确认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25.1 承包人应按专用条款约定的时间，向工程师提交已完工程量的报告。工程师接到报告后7天内按设计图纸核实已完工程量（以下称计量），并在计量前24小时通知承包人，承包人应为计量提供便利条件并派人参加。承包人收到通知后不参加计量，计量结果有效，作为工程价款支付的依据。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25.2 工程师收到承包人报告后7天内未进行计量，从第8天起，承包人报告中开列的工程量即视为被确认，作为工程价款支付的依据。工程师不按约定时间通知承包人，致使承包人未能参加计量，计量结果无效。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25.3对承包人超出设计图纸范围和因承包人原因造成返工的工程量，工程师不予计量。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26、工程款（进度款）支付。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26.1 在确认计量结果后14天内，发包人应向承包人支付工程款（进度款）。按约定时间发包人应扣回的预付款，与工程款（进度款）同期结算。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26.2 本通用条款第23条确定调整的合同价款，第31条工程变更调整的合同价款及其他条款中约定的追加合同价款，应与工程款（进度款）同期调整支付。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26.3 发包人超过约定的支付时间不支付工程款（进度款），承包人可向发包人发出要求付款的通知，发包人收到承包人通知后仍不能按要求付款，可与承包人协商签订延期付款协议，经承包人同意后可延期支付。协议应明确延期支付的时间和从计量结果确认后第15天起计算应付款的贷款利息。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26.4 发包人不按合同约定支付工程款（进度款），双方又未达成延期付款协议，导致施工无法进行，承包人可停止施工，由发包人承担违约责任。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七、材料设备供应</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27、发包人供应材料设备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27.1 实行发包人供应材料设备的，双方应当约定发包人供应材料设备的一览表，作为本合同附件（附件2）。一览表包括发包人供应材料设备的品种、规格、型号、数量、单价、质量等级、提供时间和地点。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27.2 发包人按一览表约定的内容提供材料设备，并向承包人提供产品合格证明，对其质量负责。发包人在所供材料设备到货前24小时，以书面形式通知承包人，由承包人派人与发包人共同清点。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27.3 发包人供应的材料设备，承包人派人参加清点后由承包人妥善保管，发包人支付相应保管费用。因承包人原因发生丢失损坏，由承包人负责赔偿。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发包人未通知承包人清点，承包人不负责材料设备的保管，丢失损坏由发包人负责。</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27.4发包人供应的材料设备与一览表不符时，发包人承担有关责任。发包人应承担责任的具体内容，双方根据下列情况在专用条款内约定。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 材料设备单价与一览表不符，由发包人承担所有价差；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 材料设备的品种、规格、型号、质量等级与一览表不符，承包人可拒绝接收保管，由发包人运出施工场地并重新采购；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 发包人供应的材料规格、型号与一览表不符，经发包人同意，承包人可代为调剂串换，由发包人承担相应费用；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 到货地点与一览表不符，由发包人负责运至一览表指定地点：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(5) 供应数量少于一览表约定的数量时，由发包人补齐，多于一览表约定数量时，发包人负责将多出部分运出施工场地；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(6) 到货时间早于一览表约定时间，由发包人承担因此发生的保管费用；到货时间迟于一览表约定的供应时间，发包人赔偿由此造成的承包人损失，造成工期延误的，相应顺延工期。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27.5发包人供应的材料设备使用前，由承包人负责检验或试验，不合格的不得使用，检验或试验费用由发包人承担。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27.6发包人供应材料设备的结算方法，双方在专用条款内约定。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28、承包人采购材料设备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28.1 </w:t>
      </w:r>
      <w:r>
        <w:rPr>
          <w:rFonts w:hint="eastAsia" w:ascii="宋体" w:hAnsi="宋体"/>
          <w:color w:val="auto"/>
          <w:szCs w:val="21"/>
          <w:highlight w:val="none"/>
        </w:rPr>
        <w:t>承包人负责采购材料设备的，应按照专用条款约定及设计和有关标准要求采购，并提供产品合格证明，对材料设备质量负责。承包人在材料设备到货前</w:t>
      </w:r>
      <w:r>
        <w:rPr>
          <w:rFonts w:ascii="宋体" w:hAnsi="宋体"/>
          <w:color w:val="auto"/>
          <w:szCs w:val="21"/>
          <w:highlight w:val="none"/>
        </w:rPr>
        <w:t>24小时通知工程师清点。</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28.2</w:t>
      </w:r>
      <w:r>
        <w:rPr>
          <w:rFonts w:ascii="宋体" w:hAnsi="宋体"/>
          <w:color w:val="auto"/>
          <w:spacing w:val="8"/>
          <w:szCs w:val="21"/>
          <w:highlight w:val="none"/>
        </w:rPr>
        <w:t xml:space="preserve"> 承包人采购的材料设备与设计或标准要求不符时，承包人应按工程师要</w:t>
      </w:r>
      <w:r>
        <w:rPr>
          <w:rFonts w:hint="eastAsia" w:ascii="宋体" w:hAnsi="宋体"/>
          <w:color w:val="auto"/>
          <w:szCs w:val="21"/>
          <w:highlight w:val="none"/>
        </w:rPr>
        <w:t>求的时间运出施工场地，重新采购符合要求的产品，承担由此发生的费用，由此延误的工期不予顺延。</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28.3 承包人采购的材料设备在使用前，承包人应按工程师的要求进行检验或试验，不合格的不得使用，检验或试验费用由承包人承担。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28.4 工程师发现承包人采购并使用不符合设计或标准要求的材料设备时，应要求由承包人负责修复、拆除或重新采购，并承担发生的费用，由此延误的工期不予顺延。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28.5 承包人需要使用代用材料时，应经工程师认可后才能使用，由此增减的合同价款双方以书面形式议定。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28.6 由承包人采购的材料设备，发包人不得指定生产厂或供应商。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八、工程变更</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29、工程设计变更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29.1施工中发包人需对原工程设计进行变更，应提前14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 更改工程有关部分的标高、基线、位置和尺寸；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 增减合同中约定的工程量；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 改变有关工程的施工时间和顺序；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 其他有关工程变更需要的附加工作。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因变更导致合同价款的增减及造成的承包人损失，由发包人承担，延误的工期相应顺延。</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29.2施工中承包人不得对原工程设计进行变更。因承包人擅自变更设计发生的费用和由此导致发包人的直接损失，由承包人承担，延误的工期不予顺延。</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29.3承包人在施工中提出的合理化建议涉及到对设计图纸或施工组织设计的更改及对材料、设备的换用，须经工程师同意。未经同意擅自更改或换用时，承包人承担由此发生的费用，并赔偿发包人的有关损失，延误的工期不予顺延。</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工程师同意采用承包人合理化建议，所发生的费用和获得的收益，发包人承包人另行约定分担或分享。</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30、其他变更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合同履行中发包人要求变更工程质量标准及发生其他实质性变更，由双方协商解决。</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31、确定变更价款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31.1承包人在工程变更确定后14天内，提出变更工程价款的报告，经工程师确认后调整合同价款。变更合同价款按下列方法进行：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 合同中已有适用于变更工程的价格，按合同已有的价格变更合同价款；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 合同中只有类似于变更工程的价格，可以参照类似价格变更合同价款；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 合同中没有适用或类似于变更工程的价格，由承包人提出适当的变更价格，经工程师确认后执行。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31.2承包人在双方确定变更后14天内不向工程师提出变更工程价款报告时，视为该项变更不涉及合同价款的变更。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31.3工程师应在收到变更工程价款报告之日起14天内予以确认，工程师无正当理由不确认时，自变更工程价款报告送达之日起14天后视为变更工程价款报告已被确认。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31.4工程师不同意承包人提出的变更价款，按本通用条款第37条关于争议的约定处理。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31.5工程师确认增加的工程变更价款作为追加合同价款，与工程款同期支付。</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31.6因承包人自身原因导致的工程变更，承包人无权要求追加合同价款。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九、竣工验收与结算</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32、竣工验收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32.1 </w:t>
      </w:r>
      <w:r>
        <w:rPr>
          <w:rFonts w:hint="eastAsia" w:ascii="宋体" w:hAnsi="宋体"/>
          <w:color w:val="auto"/>
          <w:szCs w:val="21"/>
          <w:highlight w:val="none"/>
        </w:rPr>
        <w:t>工程具备竣工验收条件，承包人按国家工程竣工验收有关规定，向发包人提供完整竣工资料及竣工验收报告。双方约定由承包人提供竣工图的，应当在专用条款内约定提供的日期和份数。</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32.2 </w:t>
      </w:r>
      <w:r>
        <w:rPr>
          <w:rFonts w:hint="eastAsia" w:ascii="宋体" w:hAnsi="宋体"/>
          <w:color w:val="auto"/>
          <w:szCs w:val="21"/>
          <w:highlight w:val="none"/>
        </w:rPr>
        <w:t>发包人收到竣工验收报告后</w:t>
      </w:r>
      <w:r>
        <w:rPr>
          <w:rFonts w:ascii="宋体" w:hAnsi="宋体"/>
          <w:color w:val="auto"/>
          <w:szCs w:val="21"/>
          <w:highlight w:val="none"/>
        </w:rPr>
        <w:t>28天内组织有关单位验收，并在验收后14天内给予认可或提出修改意见。承包人按要求修改，并承担由自身原因造成修改的费用。</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32.3 发包人收到承包人送交的竣工验收报告后28天内不组织验收，或验收后14天内不提出修改意见，视为竣工验收报告已被认可。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32.4 工程竣工验收通过，承包人送交竣工验收报告的日期为实际竣工日期。工程按发包人要求修改后通过竣工验收的，实际竣工日期为承包人修改后提请发包人验收的日期。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32.5 发包人收到承包人竣工验收报告后28天内不组织验收，从第29天起承担工程保管及一切意外责任。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32.6 中间交工工程的范围和竣工时间，双方在专用条款内约定，其验收程序按本通用条款32.1款至32.4款办理。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32.7 因特殊原因，发包人要求部分单位工程或工程部位甩项竣工的，双方另行签订甩项竣工协议，明确双方责任和工程价款支付方法。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32.8 工程未经竣工验收或竣工验收未通过的，发包人不得使用。发包人强行使用时，由此发生的质量问题及其他问题，由发包人承担责任。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33、竣工结算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33.1 工程竣工验收报告经发包人认可后28天内，承包人向发包人递交竣工结算报告及完整的结算资料，双方按照协议书约定的合同价款及专用条款约定的合同价款调整内容，进行工程竣工结算。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33.2 发包人收到承包人递交的竣工结算报告及结算资料后28天内进行核实，给予确认或者提出修改意见。发包人确认竣工结算报告后通知经办银行向承包人支付工程竣工结算价款。承包人收到竣工结算价款后14天内将竣工工程交付发包人。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33.3 </w:t>
      </w:r>
      <w:r>
        <w:rPr>
          <w:rFonts w:hint="eastAsia" w:ascii="宋体" w:hAnsi="宋体"/>
          <w:color w:val="auto"/>
          <w:szCs w:val="21"/>
          <w:highlight w:val="none"/>
        </w:rPr>
        <w:t>发包人收到竣工结算报告及结算资料后</w:t>
      </w:r>
      <w:r>
        <w:rPr>
          <w:rFonts w:ascii="宋体" w:hAnsi="宋体"/>
          <w:color w:val="auto"/>
          <w:szCs w:val="21"/>
          <w:highlight w:val="none"/>
        </w:rPr>
        <w:t>28天内无正当理由不支付工程竣工结算价款，从第29天起按承包人同期向银行贷款利率支付拖欠工程价款的利息，并承担违约责任。</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33.4 </w:t>
      </w:r>
      <w:r>
        <w:rPr>
          <w:rFonts w:hint="eastAsia" w:ascii="宋体" w:hAnsi="宋体"/>
          <w:color w:val="auto"/>
          <w:szCs w:val="21"/>
          <w:highlight w:val="none"/>
        </w:rPr>
        <w:t>发包人收到竣工结算报告及结算资料后</w:t>
      </w:r>
      <w:r>
        <w:rPr>
          <w:rFonts w:ascii="宋体" w:hAnsi="宋体"/>
          <w:color w:val="auto"/>
          <w:szCs w:val="21"/>
          <w:highlight w:val="none"/>
        </w:rPr>
        <w:t>28天内不支付工程竣工结算价款，承包人可以催告发包人支付结算价款。发包人在收到竣工结算报告及结算资料后56天内仍不支付的，承包人可以与发包人协议将该工程折价，也可以由承包人申请人民法院将该工程依法拍卖，承包人就该工程折价或者拍卖的价款优先受偿。</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33.5 工程竣工验收报告经发包人认可后28天内，承包人未能向发包人递交竣工结算报告及完整的结算资料，造成工程竣工结算不能正常进行或工程竣工结算价款不能及时支付，发包人要求交付工程的，承包人应当交付；发包人不要求交付工程的，承包人承担保管责任。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33.6 发包人承包人对工程竣工结算价款发生争议时，按本通用条款37条关于争议的约定处理。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34、质量保修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34.1 承包人应按法律、行政法规或国家关于工程质量保修的有关规定，对交付发包人使用的工程在质量保修期内承担质量保修责任。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34.2 质量保修工作的实施。承包人应在工程竣工验收之前，与发包人签订质量保修书，作为本合同附件（附件3）。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34.3 质量保修书的主要内容包括：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 质量保修项目内容及范围；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 质量保修期；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 质量保修责任；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 质量保修金的支付方法。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十、违约、索赔和争议</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35、违约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35.1发包人违约。当发生下列情况时：</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 本通用条款第24条提到的发包人不按时支付工程预付款；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 本通用条款第26.4款提到的发包人不按合同约定支付工程款，导致施工无法进行；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 </w:t>
      </w:r>
      <w:r>
        <w:rPr>
          <w:rFonts w:hint="eastAsia" w:ascii="宋体" w:hAnsi="宋体"/>
          <w:color w:val="auto"/>
          <w:szCs w:val="21"/>
          <w:highlight w:val="none"/>
        </w:rPr>
        <w:t>本通用条款第</w:t>
      </w:r>
      <w:r>
        <w:rPr>
          <w:rFonts w:ascii="宋体" w:hAnsi="宋体"/>
          <w:color w:val="auto"/>
          <w:szCs w:val="21"/>
          <w:highlight w:val="none"/>
        </w:rPr>
        <w:t>33.3款提到的发包人无正当理由不支付工程竣工结算价款；</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 发包人不履行合同义务或不按合同约定履行义务的其他情况。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发包人承担违约责任，赔偿因其违约给承包人造成的经济损失，顺延延误的工期。双方在专用条款内约定发包人赔偿承包人损失的计算方法或者发包人应当支付违约金的数额或计算方法。</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35.2承包人违约。当发生下列情况时：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 本通用条款第14.2款提到的因承包人原因不能按照协议书约定的竣工日期或工程师同意顺延的工期竣工；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 本通用条款第15.1款提到的因承包人原因工程质量达不到协议书约定的质量标准；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 承包人不履行合同义务或不按合同约定履行义务的其他情况。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承包人承担违约责任，赔偿因其违约给发包人造成的损失。双方在专用条款内约定承包人赔偿发包人损失的计算方法或者承包人应当支付违约金的数额或计算方法。</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35.3一方违约后，另一方要求违约方继续履行合同时，违约方承担上述违约责任后仍应继续履行合同。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36、索赔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36.1当</w:t>
      </w:r>
      <w:r>
        <w:rPr>
          <w:rFonts w:hint="eastAsia" w:ascii="宋体" w:hAnsi="宋体"/>
          <w:color w:val="auto"/>
          <w:szCs w:val="21"/>
          <w:highlight w:val="none"/>
        </w:rPr>
        <w:t>一方向另一方提出索赔时，要有正当索赔理由，且有索赔事件发生时的有效证据。</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36.2发包人未能按合同约定履行自己的各项义务或发生错误以及应由发包人承担责任的其他情况，造成工期延误和（或）承包人不能及时得到合同价款及承包人的其他经济损失，承包人可按下列程序以书面形式向发包人索赔：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 索赔事件发生后28天内，向工程师发出索赔意向通知；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 发出索赔意向通知后28天内，向工程师提出延长工期和（或）补偿经济损失的索赔报告及有关资料；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 工程师在收到承包人送交的索赔报告及有关资料后，于28天内给予答复，或要求承包人进一步补充索赔理由和证据；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 工程师在收到承包人送交的索赔报告和有关资料后28天内未予答复或未对承包人作进一步要求，视为该项索赔已经认可；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(5) 当该索赔事件持续进行时，承包人应当阶段性向工程师发出索赔意向，在索赔事件终了后28天内，向工程师送交索赔的有关资料和最终索赔报告。索赔答复程序与（3）、（4）规定相同。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36.3承包人未能按合同约定履行自己的各项义务或发生错误，给发包人造成经济损失，发包人可按36.2款确定的时限向承包人提出索赔。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37、争议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37.1发包人承包人在履行合同时发生争议，可以和解或者要求有关主管部门调解。当事人不愿和解、调解或者和解、调解不成的，双方可以在专用条款内约定以下一种方式解决争议：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第一种解决方式：双方达成仲裁协议，向约定的仲裁委员会申请仲裁；</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第二种解决方式：向有管辖权的人民法院起诉。</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37.2发生争议后，除非出现下列情况的，双方都应继续履行合同，保持施工连续，保护好已完工程：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 单方违约导致合同确已无法履行，双方协议停止施工；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 调解要求停止施工，且为双方接受；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 仲裁机构要求停止施工；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 法院要求停止施工。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十一、其他</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38、工程分包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38.1 承包人按专用条款的约定分包所承包的部分工程，并与分包单位签订分包合同。非经发包人同意，承包人不得将承包工程的任何部分分包。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38.2 承包人不得将其承包的全部工程转包给他人，也不得将其承包的全部工程肢解以后以分包的名义分别转包给他人。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38.3 工程分包不能解除承包人任何责任与义务。承包人应在分包场地派驻相应管理人员，保证本合同的履行。分包单位的任何违约行为或疏忽导致工程损害或给发包人造成其他损失，承包人承担连带责任。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38.4分包工程价款由承包人与分包单位结算。发包人未经承包人同意不得以任何形式向分包单位支付各种工程款项。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39、不可抗力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39.1 </w:t>
      </w:r>
      <w:r>
        <w:rPr>
          <w:rFonts w:hint="eastAsia" w:ascii="宋体" w:hAnsi="宋体"/>
          <w:color w:val="auto"/>
          <w:szCs w:val="21"/>
          <w:highlight w:val="none"/>
        </w:rPr>
        <w:t>不可抗力包括因战争、动乱、空中飞行物体坠落或其他非发包人承包人责任造成的爆炸、火灾，以及专用条款约定的风、雨、雪、洪、震等自然灾害。</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39.2 不可抗力事件发生后，承包人应立即通知工程师，并在力所能及的条件下迅速采取措施，尽力减少损失，发包人应协助承包人采取措施。工程师认为应当暂停施工的，承包人应暂停施工。不可抗力事件结束后48小时内承包人向工程师通报受害情况和损失情况，及预计清理和修复的费用。不可抗力事件持续发生，承包人应每隔7天向工程师报告一次受害情况。不可抗力事件结束后14天内，承包人向工程师提交清理和修复费用的正式报告及有关资料。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39.3 </w:t>
      </w:r>
      <w:r>
        <w:rPr>
          <w:rFonts w:hint="eastAsia" w:ascii="宋体" w:hAnsi="宋体"/>
          <w:color w:val="auto"/>
          <w:szCs w:val="21"/>
          <w:highlight w:val="none"/>
        </w:rPr>
        <w:t>因不可抗力事件导致的费用及延误的工期由双方按以下方法分别承担：</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 </w:t>
      </w:r>
      <w:r>
        <w:rPr>
          <w:rFonts w:hint="eastAsia" w:ascii="宋体" w:hAnsi="宋体"/>
          <w:color w:val="auto"/>
          <w:szCs w:val="21"/>
          <w:highlight w:val="none"/>
        </w:rPr>
        <w:t>工程本身的损害、因工程损害导致第三人人员伤亡和财产损失以及运至施工场地用于施工的材料和待安装的设备的损害，由发包人承担；</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 发包人承包人人员伤亡由其所在单位负责，并承担相应费用；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(3) 承包人机械设备损坏及停工损失，由承包人承担；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 停工期间，承包人应工程师要求留在施工场地的必要的管理人员及保卫人员的费用由发包人承担；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(5) 工程所需清理、修复费用，由发包人承担；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(6) 延误的工期相应顺延。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39.4因合同一方迟延履行合同后发生不可抗力的，不能免除迟延履行方的相应责任。</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40、保险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40.1工程开工前，发包人为建设工程和施工场地内的自有人员及第三</w:t>
      </w:r>
      <w:r>
        <w:rPr>
          <w:rFonts w:hint="eastAsia" w:ascii="宋体" w:hAnsi="宋体"/>
          <w:color w:val="auto"/>
          <w:szCs w:val="21"/>
          <w:highlight w:val="none"/>
        </w:rPr>
        <w:t>人人员生命财产办理保险，支付保险费用。</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40.2运至施工场内用于工程的材料和待安装设备，由发包人办理保险，并支付保险费用。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40.3发包人可以将有关保险事项委托承包人办理，费用由发包人承担。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40.4承包人必须为从事危险作业的职工办理意外伤害保险，并为施工场地内自有人员生命财产和施工机械设备办理保险，支付保险费用。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40.5保险事故发生时，发包人承包人有责任尽力采取必要的措施，防止或者减少损失。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40.6具体投保内容和相关责任，发包人承包人在专用条款中约定。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41、担保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41.1发包人、承包人为了全面履行合同，应互相提供以下担保：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 发包人向承包人提供履约担保，按合同约定支付工程价款及履行合同约定的其他义务。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 承包人向发包人提供履约担保，按合同约定履行自己的各项义务。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41.2 一方违约后，另一方可要求提供担保的第三人承担相应责任。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41.3 提供担保的内容、方式和相关责任，发包人承包人除在专用条款中约定外，被担保方与担保方还应签订担保合同，作为本合同附件。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42、专利技术及特殊工艺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42.1 </w:t>
      </w:r>
      <w:r>
        <w:rPr>
          <w:rFonts w:hint="eastAsia" w:ascii="宋体" w:hAnsi="宋体"/>
          <w:color w:val="auto"/>
          <w:szCs w:val="21"/>
          <w:highlight w:val="none"/>
        </w:rPr>
        <w:t>发包人要求使用专利技术或特殊工艺，应负责办理相应的申报手续，承担申报、试验、使用等费用；承包人提出使用专利技术或特殊工艺，应取得工程师认可，承包人负责办理申报手续并承担有关费用。</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42.2 擅自使用专利技术侵犯他人专利权的，责任者依法承担相应责任。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43、文物和地下障碍物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43.1 </w:t>
      </w:r>
      <w:r>
        <w:rPr>
          <w:rFonts w:hint="eastAsia" w:ascii="宋体" w:hAnsi="宋体"/>
          <w:color w:val="auto"/>
          <w:szCs w:val="21"/>
          <w:highlight w:val="none"/>
        </w:rPr>
        <w:t>在施工中发现古墓、古建筑遗址等文物及化石或其他有考古、地质研究等价值的物品时，承包人应立即保护好现场并于</w:t>
      </w:r>
      <w:r>
        <w:rPr>
          <w:rFonts w:ascii="宋体" w:hAnsi="宋体"/>
          <w:color w:val="auto"/>
          <w:szCs w:val="21"/>
          <w:highlight w:val="none"/>
        </w:rPr>
        <w:t>4小时内以书面形式通知工程师，工程师应于收到书面通知后24小时内报告当地文物管理部门，发包人承包人按文物管理部门的要求采取妥善保护措施。发包人承担由此发生的费用，顺延延误的工期。</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如发现后隐瞒不报，致使文物遭受破坏，责任者依法承担相应责任。</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43.2 </w:t>
      </w:r>
      <w:r>
        <w:rPr>
          <w:rFonts w:hint="eastAsia" w:ascii="宋体" w:hAnsi="宋体"/>
          <w:color w:val="auto"/>
          <w:szCs w:val="21"/>
          <w:highlight w:val="none"/>
        </w:rPr>
        <w:t>施工中发现影响施工的地下障碍物时，承包人应于</w:t>
      </w:r>
      <w:r>
        <w:rPr>
          <w:rFonts w:ascii="宋体" w:hAnsi="宋体"/>
          <w:color w:val="auto"/>
          <w:szCs w:val="21"/>
          <w:highlight w:val="none"/>
        </w:rPr>
        <w:t>8小时内以书面形式通知工程师，同时提出处置</w:t>
      </w:r>
      <w:r>
        <w:rPr>
          <w:rFonts w:hint="eastAsia" w:ascii="宋体" w:hAnsi="宋体"/>
          <w:color w:val="auto"/>
          <w:szCs w:val="21"/>
          <w:highlight w:val="none"/>
        </w:rPr>
        <w:t>方案，工程师收到</w:t>
      </w:r>
      <w:r>
        <w:rPr>
          <w:rFonts w:ascii="宋体" w:hAnsi="宋体"/>
          <w:color w:val="auto"/>
          <w:szCs w:val="21"/>
          <w:highlight w:val="none"/>
        </w:rPr>
        <w:t>处置</w:t>
      </w:r>
      <w:r>
        <w:rPr>
          <w:rFonts w:hint="eastAsia" w:ascii="宋体" w:hAnsi="宋体"/>
          <w:color w:val="auto"/>
          <w:szCs w:val="21"/>
          <w:highlight w:val="none"/>
        </w:rPr>
        <w:t>方案后</w:t>
      </w:r>
      <w:r>
        <w:rPr>
          <w:rFonts w:ascii="宋体" w:hAnsi="宋体"/>
          <w:color w:val="auto"/>
          <w:szCs w:val="21"/>
          <w:highlight w:val="none"/>
        </w:rPr>
        <w:t>24小时内予以认可或提出修正方案。发包人承担由此发生的费用，顺延延误的工期。</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所发现的地下障碍物有归属单位时，发包人应报请有关部门协同处置。</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44、合同解除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44.1 发包人承包人协商一致，可以解除合同。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44.2 发生本通用条款第26.4款情况，停止施工超过56天，发包人仍不支付工程款（进度款），承包人有权解除合同。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44.3 发生本通用条款第38.2款禁止的情况，承包人将其承包的全部工程转包给他人或者肢解以后以分包的名义分别转包给他人，发包人有权解除合同。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44.4 有下列情形之一的，发包人承包人可以解除合同：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(1) 因不可抗力致使合同无法履行；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(2) </w:t>
      </w:r>
      <w:r>
        <w:rPr>
          <w:rFonts w:hint="eastAsia" w:ascii="宋体" w:hAnsi="宋体"/>
          <w:color w:val="auto"/>
          <w:szCs w:val="21"/>
          <w:highlight w:val="none"/>
        </w:rPr>
        <w:t>因一方违约（包括因发包人原因造成工程停建或缓建）致使合同无法履行。</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44.5一方依据44.2、44.3、44.4款约定要求解除合同的，应以书面形式向对方发出解除合同的通知，并在发出通知前7天告知对方，通知到达对方时合同解除。对解除合同有争议的，按本通用条款第37条关于争议的约定处理。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44.6合同解除后，承包人应妥善做好已完工程和已购材料、设备的保护和移交工作，按发包人要求将自有机械设备和人员撤出施工场地。发包人应为承包人撤出提供必要条件，支付以上所发生的费用，并按合同约定支付已完工程价款。已经订货的材料、设备由订货方负责退货或解除订货合同，不能退还的货款和因退货、解除订货合同发生的费用，由发包人承担，因未及时退货造成的损失由责任方承担。除此之外，有过错的一方应当赔偿因</w:t>
      </w:r>
      <w:r>
        <w:rPr>
          <w:rFonts w:hint="eastAsia" w:ascii="宋体" w:hAnsi="宋体"/>
          <w:color w:val="auto"/>
          <w:szCs w:val="21"/>
          <w:highlight w:val="none"/>
        </w:rPr>
        <w:t>合同解除给对方造成的损失。</w:t>
      </w:r>
      <w:r>
        <w:rPr>
          <w:rFonts w:ascii="宋体" w:hAnsi="宋体"/>
          <w:color w:val="auto"/>
          <w:szCs w:val="21"/>
          <w:highlight w:val="none"/>
        </w:rPr>
        <w:t xml:space="preserve">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44.7合同解除后，不影响双方在合同中约定的结算和清理条款的效力。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45、合同生效与终止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45.1双方在协议书中约定合同生效方式。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45.2除本通用条款第34条外，发包人承包人履行合同全部义务，竣工结算价款支付完毕，承包人向发包人交付竣工工程后，本合同即告终止。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45.3合同的权利义务终止后，发包人承包人应当遵循诚实信用原则，履行通知、协助、保密等义务。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46、合同份数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46.1本合同正本两份，具有同等效力，由发包人承包人分别保存一份。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46.2本合同副本份数，由双方根据需要在专用条款内约定。 </w:t>
      </w:r>
    </w:p>
    <w:p>
      <w:pPr>
        <w:spacing w:line="440" w:lineRule="exact"/>
        <w:ind w:firstLine="359" w:firstLineChars="171"/>
        <w:rPr>
          <w:rFonts w:ascii="宋体" w:hAnsi="宋体"/>
          <w:color w:val="auto"/>
          <w:szCs w:val="21"/>
          <w:highlight w:val="none"/>
        </w:rPr>
      </w:pPr>
      <w:r>
        <w:rPr>
          <w:rFonts w:ascii="宋体" w:hAnsi="宋体"/>
          <w:color w:val="auto"/>
          <w:szCs w:val="21"/>
          <w:highlight w:val="none"/>
        </w:rPr>
        <w:t xml:space="preserve">47、补充条款 </w:t>
      </w:r>
    </w:p>
    <w:p>
      <w:pPr>
        <w:spacing w:line="440" w:lineRule="exact"/>
        <w:ind w:firstLine="359" w:firstLineChars="171"/>
        <w:rPr>
          <w:rFonts w:ascii="宋体" w:hAnsi="宋体"/>
          <w:color w:val="auto"/>
          <w:szCs w:val="21"/>
          <w:highlight w:val="none"/>
        </w:rPr>
      </w:pPr>
      <w:r>
        <w:rPr>
          <w:rFonts w:hint="eastAsia" w:ascii="宋体" w:hAnsi="宋体"/>
          <w:color w:val="auto"/>
          <w:szCs w:val="21"/>
          <w:highlight w:val="none"/>
        </w:rPr>
        <w:t>双方根据有关法律、行政法规规定，结合工程实际，经协商一致后，可对本通用条款内容具体化，补充或修改，在专用条款内约定。</w:t>
      </w:r>
    </w:p>
    <w:p>
      <w:pPr>
        <w:spacing w:line="440" w:lineRule="exact"/>
        <w:ind w:firstLine="359" w:firstLineChars="171"/>
        <w:jc w:val="center"/>
        <w:rPr>
          <w:rFonts w:ascii="宋体" w:hAnsi="宋体"/>
          <w:b/>
          <w:color w:val="auto"/>
          <w:sz w:val="28"/>
          <w:szCs w:val="28"/>
          <w:highlight w:val="none"/>
        </w:rPr>
      </w:pPr>
      <w:r>
        <w:rPr>
          <w:rFonts w:ascii="宋体" w:hAnsi="宋体"/>
          <w:color w:val="auto"/>
          <w:szCs w:val="21"/>
          <w:highlight w:val="none"/>
        </w:rPr>
        <w:br w:type="page"/>
      </w:r>
      <w:r>
        <w:rPr>
          <w:rFonts w:hint="eastAsia" w:ascii="宋体" w:hAnsi="宋体"/>
          <w:b/>
          <w:color w:val="auto"/>
          <w:sz w:val="28"/>
          <w:szCs w:val="28"/>
          <w:highlight w:val="none"/>
        </w:rPr>
        <w:t>第三部分</w:t>
      </w:r>
      <w:r>
        <w:rPr>
          <w:rFonts w:ascii="宋体" w:hAnsi="宋体"/>
          <w:b/>
          <w:color w:val="auto"/>
          <w:sz w:val="28"/>
          <w:szCs w:val="28"/>
          <w:highlight w:val="none"/>
        </w:rPr>
        <w:t xml:space="preserve">  </w:t>
      </w:r>
      <w:r>
        <w:rPr>
          <w:rFonts w:hint="eastAsia" w:ascii="宋体" w:hAnsi="宋体"/>
          <w:b/>
          <w:color w:val="auto"/>
          <w:sz w:val="28"/>
          <w:szCs w:val="28"/>
          <w:highlight w:val="none"/>
        </w:rPr>
        <w:t>专用条款</w:t>
      </w:r>
    </w:p>
    <w:p>
      <w:pPr>
        <w:snapToGrid w:val="0"/>
        <w:spacing w:line="440" w:lineRule="exact"/>
        <w:ind w:firstLine="397"/>
        <w:rPr>
          <w:rFonts w:ascii="宋体" w:hAnsi="宋体"/>
          <w:b/>
          <w:color w:val="auto"/>
          <w:sz w:val="24"/>
          <w:szCs w:val="24"/>
          <w:highlight w:val="none"/>
        </w:rPr>
      </w:pPr>
    </w:p>
    <w:p>
      <w:pPr>
        <w:snapToGrid w:val="0"/>
        <w:spacing w:line="440" w:lineRule="exact"/>
        <w:ind w:firstLine="397"/>
        <w:rPr>
          <w:rFonts w:ascii="宋体" w:hAnsi="宋体" w:cs="宋体"/>
          <w:b/>
          <w:color w:val="auto"/>
          <w:sz w:val="24"/>
          <w:szCs w:val="24"/>
          <w:highlight w:val="none"/>
        </w:rPr>
      </w:pPr>
      <w:r>
        <w:rPr>
          <w:rFonts w:hint="eastAsia" w:ascii="宋体" w:hAnsi="宋体" w:cs="宋体"/>
          <w:b/>
          <w:color w:val="auto"/>
          <w:sz w:val="24"/>
          <w:szCs w:val="24"/>
          <w:highlight w:val="none"/>
        </w:rPr>
        <w:t>一、词语定义及合同文件</w:t>
      </w:r>
    </w:p>
    <w:p>
      <w:pPr>
        <w:snapToGrid w:val="0"/>
        <w:spacing w:line="440" w:lineRule="exact"/>
        <w:ind w:firstLine="482" w:firstLineChars="200"/>
        <w:rPr>
          <w:rFonts w:ascii="宋体" w:hAnsi="宋体" w:cs="宋体"/>
          <w:color w:val="auto"/>
          <w:sz w:val="24"/>
          <w:szCs w:val="24"/>
          <w:highlight w:val="none"/>
        </w:rPr>
      </w:pPr>
      <w:r>
        <w:rPr>
          <w:rFonts w:ascii="宋体" w:hAnsi="宋体" w:cs="宋体"/>
          <w:b/>
          <w:bCs/>
          <w:color w:val="auto"/>
          <w:sz w:val="24"/>
          <w:szCs w:val="24"/>
          <w:highlight w:val="none"/>
        </w:rPr>
        <w:t>1.词语定义</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1.6</w:t>
      </w:r>
      <w:r>
        <w:rPr>
          <w:rFonts w:hint="eastAsia" w:ascii="宋体" w:hAnsi="宋体" w:cs="宋体"/>
          <w:color w:val="auto"/>
          <w:sz w:val="24"/>
          <w:szCs w:val="24"/>
          <w:highlight w:val="none"/>
        </w:rPr>
        <w:t>设计单位</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本合同工程的设计单位是：</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1.7</w:t>
      </w:r>
      <w:r>
        <w:rPr>
          <w:rFonts w:hint="eastAsia" w:ascii="宋体" w:hAnsi="宋体" w:cs="宋体"/>
          <w:color w:val="auto"/>
          <w:sz w:val="24"/>
          <w:szCs w:val="24"/>
          <w:highlight w:val="none"/>
        </w:rPr>
        <w:t>监理单位</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本合同工程的监理单位是：</w:t>
      </w:r>
      <w:r>
        <w:rPr>
          <w:rFonts w:ascii="宋体" w:hAnsi="宋体" w:cs="宋体"/>
          <w:color w:val="auto"/>
          <w:sz w:val="24"/>
          <w:szCs w:val="24"/>
          <w:highlight w:val="none"/>
          <w:u w:val="single"/>
        </w:rPr>
        <w:t xml:space="preserve">                       </w:t>
      </w:r>
      <w:r>
        <w:rPr>
          <w:rFonts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1.24招标控制价：</w:t>
      </w:r>
      <w:r>
        <w:rPr>
          <w:rFonts w:hint="eastAsia" w:ascii="宋体" w:hAnsi="宋体" w:cs="宋体"/>
          <w:color w:val="auto"/>
          <w:sz w:val="24"/>
          <w:szCs w:val="24"/>
          <w:highlight w:val="none"/>
          <w:u w:val="single"/>
        </w:rPr>
        <w:t>指经招标人确定的最高投标限价，并在广州公共资源交易中心开发区、黄埔区交易部公示</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1.25中标下浮率：</w:t>
      </w:r>
      <w:r>
        <w:rPr>
          <w:rFonts w:hint="eastAsia" w:ascii="宋体" w:hAnsi="宋体" w:cs="宋体"/>
          <w:color w:val="auto"/>
          <w:sz w:val="24"/>
          <w:szCs w:val="24"/>
          <w:highlight w:val="none"/>
          <w:u w:val="single"/>
        </w:rPr>
        <w:t>中标下浮率</w:t>
      </w:r>
      <w:r>
        <w:rPr>
          <w:rFonts w:ascii="宋体" w:hAnsi="宋体" w:cs="宋体"/>
          <w:color w:val="auto"/>
          <w:sz w:val="24"/>
          <w:szCs w:val="24"/>
          <w:highlight w:val="none"/>
          <w:u w:val="single"/>
        </w:rPr>
        <w:t>=</w:t>
      </w: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1-中标价格÷招标控制价</w:t>
      </w: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100%,</w:t>
      </w:r>
      <w:r>
        <w:rPr>
          <w:rFonts w:hint="eastAsia" w:ascii="宋体" w:hAnsi="宋体" w:cs="宋体"/>
          <w:color w:val="auto"/>
          <w:sz w:val="24"/>
          <w:szCs w:val="24"/>
          <w:highlight w:val="none"/>
          <w:u w:val="single"/>
        </w:rPr>
        <w:t>式中的中标价格及招标控制价均不含不可竞争的绿色施工安全防护措施费及暂列金额。</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1.26工人工资比例=</w:t>
      </w:r>
      <w:r>
        <w:rPr>
          <w:rFonts w:hint="eastAsia" w:ascii="宋体" w:hAnsi="宋体" w:cs="宋体"/>
          <w:color w:val="auto"/>
          <w:sz w:val="24"/>
          <w:szCs w:val="24"/>
          <w:highlight w:val="none"/>
        </w:rPr>
        <w:t>中标的人工费金额</w:t>
      </w:r>
      <w:r>
        <w:rPr>
          <w:rFonts w:ascii="宋体" w:hAnsi="宋体" w:cs="宋体"/>
          <w:color w:val="auto"/>
          <w:sz w:val="24"/>
          <w:szCs w:val="24"/>
          <w:highlight w:val="none"/>
        </w:rPr>
        <w:t>÷</w:t>
      </w:r>
      <w:r>
        <w:rPr>
          <w:rFonts w:hint="eastAsia" w:ascii="宋体" w:hAnsi="宋体" w:cs="宋体"/>
          <w:color w:val="auto"/>
          <w:sz w:val="24"/>
          <w:szCs w:val="24"/>
          <w:highlight w:val="none"/>
        </w:rPr>
        <w:t>中标价格</w:t>
      </w:r>
    </w:p>
    <w:p>
      <w:pPr>
        <w:snapToGrid w:val="0"/>
        <w:spacing w:line="440" w:lineRule="exact"/>
        <w:ind w:firstLine="482" w:firstLineChars="200"/>
        <w:rPr>
          <w:rFonts w:ascii="宋体" w:hAnsi="宋体" w:cs="宋体"/>
          <w:b/>
          <w:color w:val="auto"/>
          <w:sz w:val="24"/>
          <w:szCs w:val="24"/>
          <w:highlight w:val="none"/>
        </w:rPr>
      </w:pPr>
      <w:r>
        <w:rPr>
          <w:rFonts w:ascii="宋体" w:hAnsi="宋体" w:cs="宋体"/>
          <w:b/>
          <w:color w:val="auto"/>
          <w:sz w:val="24"/>
          <w:szCs w:val="24"/>
          <w:highlight w:val="none"/>
        </w:rPr>
        <w:t>2</w:t>
      </w:r>
      <w:r>
        <w:rPr>
          <w:rFonts w:hint="eastAsia" w:ascii="宋体" w:hAnsi="宋体" w:cs="宋体"/>
          <w:b/>
          <w:color w:val="auto"/>
          <w:sz w:val="24"/>
          <w:szCs w:val="24"/>
          <w:highlight w:val="none"/>
        </w:rPr>
        <w:t>、合同文件及解释顺序</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2.1</w:t>
      </w:r>
      <w:r>
        <w:rPr>
          <w:rFonts w:hint="eastAsia" w:ascii="宋体" w:hAnsi="宋体" w:cs="宋体"/>
          <w:color w:val="auto"/>
          <w:sz w:val="24"/>
          <w:szCs w:val="24"/>
          <w:highlight w:val="none"/>
        </w:rPr>
        <w:t>合同文件组成及解释顺序：</w:t>
      </w:r>
      <w:r>
        <w:rPr>
          <w:rFonts w:ascii="宋体" w:hAnsi="宋体" w:cs="宋体"/>
          <w:color w:val="auto"/>
          <w:sz w:val="24"/>
          <w:szCs w:val="24"/>
          <w:highlight w:val="none"/>
          <w:u w:val="single"/>
        </w:rPr>
        <w:t>1.</w:t>
      </w:r>
      <w:r>
        <w:rPr>
          <w:rFonts w:hint="eastAsia" w:ascii="宋体" w:hAnsi="宋体" w:cs="宋体"/>
          <w:color w:val="auto"/>
          <w:sz w:val="24"/>
          <w:szCs w:val="24"/>
          <w:highlight w:val="none"/>
          <w:u w:val="single"/>
        </w:rPr>
        <w:t>本合同履行期间发包人与承包人双方签订的补充合同（协议）或修正文件；</w:t>
      </w:r>
      <w:r>
        <w:rPr>
          <w:rFonts w:ascii="宋体" w:hAnsi="宋体" w:cs="宋体"/>
          <w:color w:val="auto"/>
          <w:sz w:val="24"/>
          <w:szCs w:val="24"/>
          <w:highlight w:val="none"/>
          <w:u w:val="single"/>
        </w:rPr>
        <w:t>2.</w:t>
      </w:r>
      <w:r>
        <w:rPr>
          <w:rFonts w:hint="eastAsia" w:ascii="宋体" w:hAnsi="宋体" w:cs="宋体"/>
          <w:color w:val="auto"/>
          <w:sz w:val="24"/>
          <w:szCs w:val="24"/>
          <w:highlight w:val="none"/>
          <w:u w:val="single"/>
        </w:rPr>
        <w:t>本合同协议书；</w:t>
      </w:r>
      <w:r>
        <w:rPr>
          <w:rFonts w:ascii="宋体" w:hAnsi="宋体" w:cs="宋体"/>
          <w:color w:val="auto"/>
          <w:sz w:val="24"/>
          <w:szCs w:val="24"/>
          <w:highlight w:val="none"/>
          <w:u w:val="single"/>
        </w:rPr>
        <w:t>3.</w:t>
      </w:r>
      <w:r>
        <w:rPr>
          <w:rFonts w:hint="eastAsia" w:ascii="宋体" w:hAnsi="宋体" w:cs="宋体"/>
          <w:color w:val="auto"/>
          <w:sz w:val="24"/>
          <w:szCs w:val="24"/>
          <w:highlight w:val="none"/>
          <w:u w:val="single"/>
        </w:rPr>
        <w:t>国家、广东省、广州市、广州开发区黄埔区关于本工程施工的有关文件（发包人在收到后尽快通报给承包人）；</w:t>
      </w:r>
      <w:r>
        <w:rPr>
          <w:rFonts w:ascii="宋体" w:hAnsi="宋体" w:cs="宋体"/>
          <w:color w:val="auto"/>
          <w:sz w:val="24"/>
          <w:szCs w:val="24"/>
          <w:highlight w:val="none"/>
          <w:u w:val="single"/>
        </w:rPr>
        <w:t>4.</w:t>
      </w:r>
      <w:r>
        <w:rPr>
          <w:rFonts w:hint="eastAsia" w:ascii="宋体" w:hAnsi="宋体" w:cs="宋体"/>
          <w:color w:val="auto"/>
          <w:sz w:val="24"/>
          <w:szCs w:val="24"/>
          <w:highlight w:val="none"/>
          <w:u w:val="single"/>
        </w:rPr>
        <w:t>发包人针对本工程建设管理的各项制度、规定；</w:t>
      </w:r>
      <w:r>
        <w:rPr>
          <w:rFonts w:ascii="宋体" w:hAnsi="宋体" w:cs="宋体"/>
          <w:color w:val="auto"/>
          <w:sz w:val="24"/>
          <w:szCs w:val="24"/>
          <w:highlight w:val="none"/>
          <w:u w:val="single"/>
        </w:rPr>
        <w:t>5.</w:t>
      </w:r>
      <w:r>
        <w:rPr>
          <w:rFonts w:hint="eastAsia" w:ascii="宋体" w:hAnsi="宋体" w:cs="宋体"/>
          <w:color w:val="auto"/>
          <w:sz w:val="24"/>
          <w:szCs w:val="24"/>
          <w:highlight w:val="none"/>
          <w:u w:val="single"/>
        </w:rPr>
        <w:t>中标通知书；</w:t>
      </w:r>
      <w:r>
        <w:rPr>
          <w:rFonts w:ascii="宋体" w:hAnsi="宋体" w:cs="宋体"/>
          <w:color w:val="auto"/>
          <w:sz w:val="24"/>
          <w:szCs w:val="24"/>
          <w:highlight w:val="none"/>
          <w:u w:val="single"/>
        </w:rPr>
        <w:t>6.</w:t>
      </w:r>
      <w:r>
        <w:rPr>
          <w:rFonts w:hint="eastAsia" w:ascii="宋体" w:hAnsi="宋体" w:cs="宋体"/>
          <w:color w:val="auto"/>
          <w:sz w:val="24"/>
          <w:szCs w:val="24"/>
          <w:highlight w:val="none"/>
          <w:u w:val="single"/>
        </w:rPr>
        <w:t>本合同专用条款；</w:t>
      </w:r>
      <w:r>
        <w:rPr>
          <w:rFonts w:ascii="宋体" w:hAnsi="宋体" w:cs="宋体"/>
          <w:color w:val="auto"/>
          <w:sz w:val="24"/>
          <w:szCs w:val="24"/>
          <w:highlight w:val="none"/>
          <w:u w:val="single"/>
        </w:rPr>
        <w:t>7.</w:t>
      </w:r>
      <w:r>
        <w:rPr>
          <w:rFonts w:hint="eastAsia" w:ascii="宋体" w:hAnsi="宋体" w:cs="宋体"/>
          <w:color w:val="auto"/>
          <w:sz w:val="24"/>
          <w:szCs w:val="24"/>
          <w:highlight w:val="none"/>
          <w:u w:val="single"/>
        </w:rPr>
        <w:t>招标文件及附件（包括补充、修改、澄清文件及答疑纪要等）；</w:t>
      </w:r>
      <w:r>
        <w:rPr>
          <w:rFonts w:ascii="宋体" w:hAnsi="宋体" w:cs="宋体"/>
          <w:color w:val="auto"/>
          <w:sz w:val="24"/>
          <w:szCs w:val="24"/>
          <w:highlight w:val="none"/>
          <w:u w:val="single"/>
        </w:rPr>
        <w:t>8.</w:t>
      </w:r>
      <w:r>
        <w:rPr>
          <w:rFonts w:hint="eastAsia" w:ascii="宋体" w:hAnsi="宋体" w:cs="宋体"/>
          <w:color w:val="auto"/>
          <w:sz w:val="24"/>
          <w:szCs w:val="24"/>
          <w:highlight w:val="none"/>
          <w:u w:val="single"/>
        </w:rPr>
        <w:t>本合同通用条款；</w:t>
      </w:r>
      <w:r>
        <w:rPr>
          <w:rFonts w:ascii="宋体" w:hAnsi="宋体" w:cs="宋体"/>
          <w:color w:val="auto"/>
          <w:sz w:val="24"/>
          <w:szCs w:val="24"/>
          <w:highlight w:val="none"/>
          <w:u w:val="single"/>
        </w:rPr>
        <w:t>9.</w:t>
      </w:r>
      <w:r>
        <w:rPr>
          <w:rFonts w:hint="eastAsia" w:ascii="宋体" w:hAnsi="宋体" w:cs="宋体"/>
          <w:color w:val="auto"/>
          <w:sz w:val="24"/>
          <w:szCs w:val="24"/>
          <w:highlight w:val="none"/>
          <w:u w:val="single"/>
        </w:rPr>
        <w:t>投标文件及附件；</w:t>
      </w:r>
      <w:r>
        <w:rPr>
          <w:rFonts w:ascii="宋体" w:hAnsi="宋体" w:cs="宋体"/>
          <w:color w:val="auto"/>
          <w:sz w:val="24"/>
          <w:szCs w:val="24"/>
          <w:highlight w:val="none"/>
          <w:u w:val="single"/>
        </w:rPr>
        <w:t>10.</w:t>
      </w:r>
      <w:r>
        <w:rPr>
          <w:rFonts w:hint="eastAsia" w:ascii="宋体" w:hAnsi="宋体" w:cs="宋体"/>
          <w:color w:val="auto"/>
          <w:sz w:val="24"/>
          <w:szCs w:val="24"/>
          <w:highlight w:val="none"/>
          <w:u w:val="single"/>
        </w:rPr>
        <w:t>标准、规范和其他有关技术文件；</w:t>
      </w:r>
      <w:r>
        <w:rPr>
          <w:rFonts w:ascii="宋体" w:hAnsi="宋体" w:cs="宋体"/>
          <w:color w:val="auto"/>
          <w:sz w:val="24"/>
          <w:szCs w:val="24"/>
          <w:highlight w:val="none"/>
          <w:u w:val="single"/>
        </w:rPr>
        <w:t>11.</w:t>
      </w:r>
      <w:r>
        <w:rPr>
          <w:rFonts w:hint="eastAsia" w:ascii="宋体" w:hAnsi="宋体" w:cs="宋体"/>
          <w:color w:val="auto"/>
          <w:sz w:val="24"/>
          <w:szCs w:val="24"/>
          <w:highlight w:val="none"/>
          <w:u w:val="single"/>
        </w:rPr>
        <w:t>图纸；</w:t>
      </w:r>
      <w:r>
        <w:rPr>
          <w:rFonts w:ascii="宋体" w:hAnsi="宋体" w:cs="宋体"/>
          <w:color w:val="auto"/>
          <w:sz w:val="24"/>
          <w:szCs w:val="24"/>
          <w:highlight w:val="none"/>
          <w:u w:val="single"/>
        </w:rPr>
        <w:t>12.</w:t>
      </w:r>
      <w:r>
        <w:rPr>
          <w:rFonts w:hint="eastAsia" w:ascii="宋体" w:hAnsi="宋体" w:cs="宋体"/>
          <w:color w:val="auto"/>
          <w:sz w:val="24"/>
          <w:szCs w:val="24"/>
          <w:highlight w:val="none"/>
          <w:u w:val="single"/>
        </w:rPr>
        <w:t>工程量清单；</w:t>
      </w:r>
      <w:r>
        <w:rPr>
          <w:rFonts w:ascii="宋体" w:hAnsi="宋体" w:cs="宋体"/>
          <w:color w:val="auto"/>
          <w:sz w:val="24"/>
          <w:szCs w:val="24"/>
          <w:highlight w:val="none"/>
          <w:u w:val="single"/>
        </w:rPr>
        <w:t>13.</w:t>
      </w:r>
      <w:r>
        <w:rPr>
          <w:rFonts w:hint="eastAsia" w:ascii="宋体" w:hAnsi="宋体" w:cs="宋体"/>
          <w:color w:val="auto"/>
          <w:sz w:val="24"/>
          <w:szCs w:val="24"/>
          <w:highlight w:val="none"/>
          <w:u w:val="single"/>
        </w:rPr>
        <w:t>合同附件（工程质量保修责任书、标函承诺书、项目负责人驻场承诺书、工程建设廉政协议书等）</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3</w:t>
      </w:r>
      <w:r>
        <w:rPr>
          <w:rFonts w:hint="eastAsia" w:ascii="宋体" w:hAnsi="宋体" w:cs="宋体"/>
          <w:b/>
          <w:color w:val="auto"/>
          <w:sz w:val="24"/>
          <w:szCs w:val="24"/>
          <w:highlight w:val="none"/>
        </w:rPr>
        <w:t>、语言文字和适用法律、标准及规范</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3.1</w:t>
      </w:r>
      <w:r>
        <w:rPr>
          <w:rFonts w:hint="eastAsia" w:ascii="宋体" w:hAnsi="宋体" w:cs="宋体"/>
          <w:color w:val="auto"/>
          <w:sz w:val="24"/>
          <w:szCs w:val="24"/>
          <w:highlight w:val="none"/>
        </w:rPr>
        <w:t>本合同除使用汉语外，还使用</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语言文字。</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3.2</w:t>
      </w:r>
      <w:r>
        <w:rPr>
          <w:rFonts w:hint="eastAsia" w:ascii="宋体" w:hAnsi="宋体" w:cs="宋体"/>
          <w:color w:val="auto"/>
          <w:sz w:val="24"/>
          <w:szCs w:val="24"/>
          <w:highlight w:val="none"/>
        </w:rPr>
        <w:t>适用法律和法规</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需要明示的法律、行政法规：</w:t>
      </w:r>
      <w:r>
        <w:rPr>
          <w:rFonts w:hint="eastAsia" w:ascii="宋体" w:hAnsi="宋体" w:cs="宋体"/>
          <w:color w:val="auto"/>
          <w:sz w:val="24"/>
          <w:szCs w:val="24"/>
          <w:highlight w:val="none"/>
          <w:u w:val="single"/>
        </w:rPr>
        <w:t>按照现行的法律、法规</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3.3</w:t>
      </w:r>
      <w:r>
        <w:rPr>
          <w:rFonts w:hint="eastAsia" w:ascii="宋体" w:hAnsi="宋体" w:cs="宋体"/>
          <w:color w:val="auto"/>
          <w:sz w:val="24"/>
          <w:szCs w:val="24"/>
          <w:highlight w:val="none"/>
        </w:rPr>
        <w:t>适用标准、规范</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适用标准、规范的名称：</w:t>
      </w:r>
      <w:r>
        <w:rPr>
          <w:rFonts w:hint="eastAsia" w:ascii="宋体" w:hAnsi="宋体" w:cs="宋体"/>
          <w:color w:val="auto"/>
          <w:sz w:val="24"/>
          <w:szCs w:val="24"/>
          <w:highlight w:val="none"/>
          <w:u w:val="single"/>
        </w:rPr>
        <w:t>相应工种现行施工规范</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发包人提供标准、规范的时间：</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国内没有相应标准、规范时的约定：</w:t>
      </w:r>
      <w:r>
        <w:rPr>
          <w:rFonts w:hint="eastAsia" w:ascii="宋体" w:hAnsi="宋体" w:cs="宋体"/>
          <w:color w:val="auto"/>
          <w:sz w:val="24"/>
          <w:szCs w:val="24"/>
          <w:highlight w:val="none"/>
          <w:u w:val="single"/>
        </w:rPr>
        <w:t>按施工图纸，招标文件和广州开发区相关规定及答疑纪要的要求执行</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4</w:t>
      </w:r>
      <w:r>
        <w:rPr>
          <w:rFonts w:hint="eastAsia" w:ascii="宋体" w:hAnsi="宋体" w:cs="宋体"/>
          <w:b/>
          <w:color w:val="auto"/>
          <w:sz w:val="24"/>
          <w:szCs w:val="24"/>
          <w:highlight w:val="none"/>
        </w:rPr>
        <w:t>、图纸</w:t>
      </w:r>
    </w:p>
    <w:p>
      <w:pPr>
        <w:snapToGrid w:val="0"/>
        <w:spacing w:line="440" w:lineRule="exact"/>
        <w:ind w:firstLine="315"/>
        <w:rPr>
          <w:rFonts w:ascii="宋体" w:hAnsi="宋体" w:cs="宋体"/>
          <w:color w:val="auto"/>
          <w:sz w:val="24"/>
          <w:szCs w:val="24"/>
          <w:highlight w:val="none"/>
          <w:u w:val="single"/>
        </w:rPr>
      </w:pPr>
      <w:r>
        <w:rPr>
          <w:rFonts w:ascii="宋体" w:hAnsi="宋体" w:cs="宋体"/>
          <w:color w:val="auto"/>
          <w:sz w:val="24"/>
          <w:szCs w:val="24"/>
          <w:highlight w:val="none"/>
        </w:rPr>
        <w:t>4.1</w:t>
      </w:r>
      <w:r>
        <w:rPr>
          <w:rFonts w:hint="eastAsia" w:ascii="宋体" w:hAnsi="宋体" w:cs="宋体"/>
          <w:color w:val="auto"/>
          <w:sz w:val="24"/>
          <w:szCs w:val="24"/>
          <w:highlight w:val="none"/>
        </w:rPr>
        <w:t>发包人向承包人提供图纸日期和套数：</w:t>
      </w:r>
      <w:r>
        <w:rPr>
          <w:rFonts w:hint="eastAsia" w:ascii="宋体" w:hAnsi="宋体" w:cs="宋体"/>
          <w:color w:val="auto"/>
          <w:sz w:val="24"/>
          <w:szCs w:val="24"/>
          <w:highlight w:val="none"/>
          <w:u w:val="single"/>
        </w:rPr>
        <w:t>开工前提供肆套图纸</w:t>
      </w:r>
      <w:r>
        <w:rPr>
          <w:rFonts w:hint="eastAsia" w:ascii="宋体" w:hAnsi="宋体" w:cs="宋体"/>
          <w:color w:val="auto"/>
          <w:sz w:val="24"/>
          <w:szCs w:val="24"/>
          <w:highlight w:val="none"/>
        </w:rPr>
        <w:t>。</w:t>
      </w:r>
    </w:p>
    <w:p>
      <w:pPr>
        <w:snapToGrid w:val="0"/>
        <w:spacing w:line="440" w:lineRule="exact"/>
        <w:ind w:left="997" w:leftChars="132" w:hanging="720" w:hangingChars="300"/>
        <w:rPr>
          <w:rFonts w:ascii="宋体" w:hAnsi="宋体" w:cs="宋体"/>
          <w:color w:val="auto"/>
          <w:sz w:val="24"/>
          <w:szCs w:val="24"/>
          <w:highlight w:val="none"/>
          <w:u w:val="single"/>
        </w:rPr>
      </w:pPr>
      <w:r>
        <w:rPr>
          <w:rFonts w:hint="eastAsia" w:ascii="宋体" w:hAnsi="宋体" w:cs="宋体"/>
          <w:color w:val="auto"/>
          <w:sz w:val="24"/>
          <w:szCs w:val="24"/>
          <w:highlight w:val="none"/>
        </w:rPr>
        <w:t>发包人对图纸的保密要求：</w:t>
      </w:r>
      <w:r>
        <w:rPr>
          <w:rFonts w:hint="eastAsia" w:ascii="宋体" w:hAnsi="宋体" w:cs="宋体"/>
          <w:color w:val="auto"/>
          <w:sz w:val="24"/>
          <w:szCs w:val="24"/>
          <w:highlight w:val="none"/>
          <w:u w:val="single"/>
        </w:rPr>
        <w:t>按本合同通用条款</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使用国外图纸的要求及费用承担：</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hint="eastAsia" w:ascii="宋体" w:hAnsi="宋体" w:cs="宋体"/>
          <w:b/>
          <w:color w:val="auto"/>
          <w:sz w:val="24"/>
          <w:szCs w:val="24"/>
          <w:highlight w:val="none"/>
        </w:rPr>
        <w:t>二、双方一般权利和义务</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5</w:t>
      </w:r>
      <w:r>
        <w:rPr>
          <w:rFonts w:hint="eastAsia" w:ascii="宋体" w:hAnsi="宋体" w:cs="宋体"/>
          <w:b/>
          <w:color w:val="auto"/>
          <w:sz w:val="24"/>
          <w:szCs w:val="24"/>
          <w:highlight w:val="none"/>
        </w:rPr>
        <w:t>、工程师</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5.2</w:t>
      </w:r>
      <w:r>
        <w:rPr>
          <w:rFonts w:hint="eastAsia" w:ascii="宋体" w:hAnsi="宋体" w:cs="宋体"/>
          <w:color w:val="auto"/>
          <w:sz w:val="24"/>
          <w:szCs w:val="24"/>
          <w:highlight w:val="none"/>
        </w:rPr>
        <w:t>监理单位委派的工程师</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姓名：</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，职务：</w:t>
      </w:r>
      <w:r>
        <w:rPr>
          <w:rFonts w:hint="eastAsia" w:ascii="宋体" w:hAnsi="宋体" w:cs="宋体"/>
          <w:color w:val="auto"/>
          <w:sz w:val="24"/>
          <w:szCs w:val="24"/>
          <w:highlight w:val="none"/>
          <w:u w:val="single"/>
        </w:rPr>
        <w:t>总监理工程师</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发包人委托的职权：</w:t>
      </w:r>
      <w:r>
        <w:rPr>
          <w:rFonts w:hint="eastAsia" w:ascii="宋体" w:hAnsi="宋体" w:cs="宋体"/>
          <w:color w:val="auto"/>
          <w:sz w:val="24"/>
          <w:szCs w:val="24"/>
          <w:highlight w:val="none"/>
          <w:u w:val="single"/>
        </w:rPr>
        <w:t>对本工程进行全过程的监理</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需要取得发包人批准才能行使的职权：</w:t>
      </w:r>
      <w:r>
        <w:rPr>
          <w:rFonts w:hint="eastAsia" w:ascii="宋体" w:hAnsi="宋体" w:cs="宋体"/>
          <w:color w:val="auto"/>
          <w:sz w:val="24"/>
          <w:szCs w:val="24"/>
          <w:highlight w:val="none"/>
          <w:u w:val="single"/>
        </w:rPr>
        <w:t>按发包人与监理单位签订的监理合同有关规定执行，涉及变更签证或费用</w:t>
      </w:r>
      <w:r>
        <w:rPr>
          <w:rFonts w:hint="eastAsia" w:ascii="宋体" w:hAnsi="宋体" w:cs="宋体"/>
          <w:color w:val="auto"/>
          <w:sz w:val="24"/>
          <w:szCs w:val="24"/>
          <w:highlight w:val="none"/>
        </w:rPr>
        <w:t>调整、发布开工、停工、复工令等均需经</w:t>
      </w:r>
      <w:r>
        <w:rPr>
          <w:rFonts w:hint="eastAsia" w:ascii="宋体" w:hAnsi="宋体" w:cs="宋体"/>
          <w:color w:val="auto"/>
          <w:sz w:val="24"/>
          <w:szCs w:val="24"/>
          <w:highlight w:val="none"/>
          <w:u w:val="single"/>
        </w:rPr>
        <w:t>发包人书面认可</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义务：</w:t>
      </w:r>
      <w:r>
        <w:rPr>
          <w:rFonts w:hint="eastAsia" w:ascii="宋体" w:hAnsi="宋体" w:cs="宋体"/>
          <w:color w:val="auto"/>
          <w:sz w:val="24"/>
          <w:szCs w:val="24"/>
          <w:highlight w:val="none"/>
          <w:u w:val="single"/>
        </w:rPr>
        <w:t>常驻现场，代表监理单位履行与发包人签订的监理合同</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5.3</w:t>
      </w:r>
      <w:r>
        <w:rPr>
          <w:rFonts w:hint="eastAsia" w:ascii="宋体" w:hAnsi="宋体" w:cs="宋体"/>
          <w:color w:val="auto"/>
          <w:sz w:val="24"/>
          <w:szCs w:val="24"/>
          <w:highlight w:val="none"/>
        </w:rPr>
        <w:t>发包人派驻的工程师</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姓名：</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，职务：</w:t>
      </w:r>
      <w:r>
        <w:rPr>
          <w:rFonts w:hint="eastAsia" w:ascii="宋体" w:hAnsi="宋体" w:cs="宋体"/>
          <w:color w:val="auto"/>
          <w:sz w:val="24"/>
          <w:szCs w:val="24"/>
          <w:highlight w:val="none"/>
          <w:u w:val="single"/>
        </w:rPr>
        <w:t>工程师</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职权：</w:t>
      </w:r>
      <w:r>
        <w:rPr>
          <w:rFonts w:hint="eastAsia" w:ascii="宋体" w:hAnsi="宋体" w:cs="宋体"/>
          <w:color w:val="auto"/>
          <w:sz w:val="24"/>
          <w:szCs w:val="24"/>
          <w:highlight w:val="none"/>
          <w:u w:val="single"/>
        </w:rPr>
        <w:t>发包人代表，行使发包人的权利</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pacing w:val="-8"/>
          <w:sz w:val="24"/>
          <w:szCs w:val="24"/>
          <w:highlight w:val="none"/>
          <w:u w:val="single"/>
        </w:rPr>
      </w:pPr>
      <w:r>
        <w:rPr>
          <w:rFonts w:hint="eastAsia" w:ascii="宋体" w:hAnsi="宋体" w:cs="宋体"/>
          <w:color w:val="auto"/>
          <w:spacing w:val="-8"/>
          <w:sz w:val="24"/>
          <w:szCs w:val="24"/>
          <w:highlight w:val="none"/>
        </w:rPr>
        <w:t>义务：</w:t>
      </w:r>
      <w:r>
        <w:rPr>
          <w:rFonts w:hint="eastAsia" w:ascii="宋体" w:hAnsi="宋体" w:cs="宋体"/>
          <w:color w:val="auto"/>
          <w:spacing w:val="-8"/>
          <w:sz w:val="24"/>
          <w:szCs w:val="24"/>
          <w:highlight w:val="none"/>
          <w:u w:val="single"/>
        </w:rPr>
        <w:t>常驻现场，代表发包人负责工程质量、进度、技术、投资控制等施工期间的日常管理工作，履行与承包人签订的本建设工程施工合同。</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5.6</w:t>
      </w:r>
      <w:r>
        <w:rPr>
          <w:rFonts w:hint="eastAsia" w:ascii="宋体" w:hAnsi="宋体" w:cs="宋体"/>
          <w:color w:val="auto"/>
          <w:sz w:val="24"/>
          <w:szCs w:val="24"/>
          <w:highlight w:val="none"/>
        </w:rPr>
        <w:t>不实行监理的，工程师的职权：</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7</w:t>
      </w:r>
      <w:r>
        <w:rPr>
          <w:rFonts w:hint="eastAsia" w:ascii="宋体" w:hAnsi="宋体" w:cs="宋体"/>
          <w:b/>
          <w:color w:val="auto"/>
          <w:sz w:val="24"/>
          <w:szCs w:val="24"/>
          <w:highlight w:val="none"/>
        </w:rPr>
        <w:t>、项目负责人</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7.1</w:t>
      </w: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项目负责人</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姓名：</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，职权：</w:t>
      </w:r>
      <w:r>
        <w:rPr>
          <w:rFonts w:hint="eastAsia" w:ascii="宋体" w:hAnsi="宋体" w:cs="宋体"/>
          <w:color w:val="auto"/>
          <w:sz w:val="24"/>
          <w:szCs w:val="24"/>
          <w:highlight w:val="none"/>
          <w:u w:val="single"/>
        </w:rPr>
        <w:t>代表承包人全权处理本工程的一切事务</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义务：</w:t>
      </w:r>
      <w:r>
        <w:rPr>
          <w:rFonts w:hint="eastAsia" w:ascii="宋体" w:hAnsi="宋体" w:cs="宋体"/>
          <w:color w:val="auto"/>
          <w:sz w:val="24"/>
          <w:szCs w:val="24"/>
          <w:highlight w:val="none"/>
          <w:u w:val="single"/>
        </w:rPr>
        <w:t>按照在投标文件中签署的（或在签订本合同前补充签署的）《项目负责人驻场承诺书》中的承诺常驻现场，代表承包人履行与发包人签订的本建设工程施工合同</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7.4</w:t>
      </w:r>
      <w:r>
        <w:rPr>
          <w:rFonts w:hint="eastAsia" w:ascii="宋体" w:hAnsi="宋体" w:cs="宋体"/>
          <w:color w:val="auto"/>
          <w:sz w:val="24"/>
          <w:szCs w:val="24"/>
          <w:highlight w:val="none"/>
          <w:u w:val="single"/>
        </w:rPr>
        <w:t>承包人如需更换项目负责人或技术负责人，按有关规定执行，后任继续行使合同文件约定的前任的职权，履行前任的义务。未征得发包人书面同意，承包人不得更换项目负责人</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7.5</w:t>
      </w:r>
      <w:r>
        <w:rPr>
          <w:rFonts w:hint="eastAsia" w:ascii="宋体" w:hAnsi="宋体" w:cs="宋体"/>
          <w:color w:val="auto"/>
          <w:sz w:val="24"/>
          <w:szCs w:val="24"/>
          <w:highlight w:val="none"/>
          <w:u w:val="single"/>
        </w:rPr>
        <w:t>发包人可以与承包人协商，建议更换其认为不称职的项目负责人，承包人应及时采纳发包人的建议予以更换，新更换的项目负责人应满足招标文件及本项目相应的资质要求并能胜任本项目的项目负责人工作</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7.6</w:t>
      </w:r>
      <w:r>
        <w:rPr>
          <w:rFonts w:hint="eastAsia" w:ascii="宋体" w:hAnsi="宋体" w:cs="宋体"/>
          <w:color w:val="auto"/>
          <w:sz w:val="24"/>
          <w:szCs w:val="24"/>
          <w:highlight w:val="none"/>
          <w:u w:val="single"/>
        </w:rPr>
        <w:t>承包人项目负责人不得兼任其他工程项目负责人，否则发包人可按单方面终止合同处理</w:t>
      </w:r>
      <w:r>
        <w:rPr>
          <w:rFonts w:hint="eastAsia" w:ascii="宋体" w:hAnsi="宋体" w:cs="宋体"/>
          <w:color w:val="auto"/>
          <w:sz w:val="24"/>
          <w:szCs w:val="24"/>
          <w:highlight w:val="none"/>
        </w:rPr>
        <w:t>。</w:t>
      </w:r>
    </w:p>
    <w:p>
      <w:pPr>
        <w:ind w:firstLine="397"/>
        <w:rPr>
          <w:rFonts w:ascii="宋体" w:hAnsi="宋体" w:cs="宋体"/>
          <w:color w:val="auto"/>
          <w:sz w:val="24"/>
          <w:szCs w:val="24"/>
          <w:highlight w:val="none"/>
        </w:rPr>
      </w:pPr>
      <w:r>
        <w:rPr>
          <w:rFonts w:ascii="宋体" w:hAnsi="宋体" w:cs="宋体"/>
          <w:color w:val="auto"/>
          <w:sz w:val="24"/>
          <w:szCs w:val="24"/>
          <w:highlight w:val="none"/>
        </w:rPr>
        <w:t>7.7现场管理机构</w:t>
      </w:r>
    </w:p>
    <w:p>
      <w:pPr>
        <w:adjustRightInd w:val="0"/>
        <w:snapToGrid w:val="0"/>
        <w:spacing w:line="440" w:lineRule="exact"/>
        <w:ind w:firstLine="48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1）承包人必须按照投标文件的承诺建立现场管理机构，严格执行现行建设工程项目管理规范，并积极主动接受建设行政主管部门的监督和检查。</w:t>
      </w:r>
    </w:p>
    <w:p>
      <w:pPr>
        <w:adjustRightInd w:val="0"/>
        <w:snapToGrid w:val="0"/>
        <w:spacing w:line="440" w:lineRule="exact"/>
        <w:ind w:right="11" w:firstLine="460" w:firstLineChars="192"/>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2）现场管理机构各部主要组织管理人员在开工前必须全部到位，并接受总监理工程师和发包人代表的查验。承包人委派的现场管理机构各部主要组织管理人员不得有兼职情况存在，并需接受监理单位的监督。</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7.8现场管理机构各部主要组织管理人员应与投标文件保持一致，发包人不要求更换时不得更换。因特殊情况需要更换的，承包人应以书面形式向监理单位提出意向（附前任和后任人员的详细履历资料），经总监理工程师签署意见后向发包人提出申请，征得发包人同意后方可更换。承包人必须保证后任人员的资质、资历、业绩、实际工作能力不低于前任人员的素质。</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7.9合同签订后，项目负责人、项目班子主要成员不到位，则工程师不签发开工令，工期不顺延。施工中班子主要成员离开工地应向工程师请假，经批准后才能离开，擅自离开工地，工程师将发出停工令，待人员回到岗位后才批准复工，由此产生的工期和经济损失由承包人自负，造成发包人和建设管理方损失的，发包人和建设管理方保留索赔的权利。</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7.10尽管承包人已按投标文件附表中所列的数量派遣了各类管理人员，但若监理工程师经论证认为这些人员仍不足以适应现场施工的需要且不能保证工程质量时，监理工程师有权要求承包人继续增派或雇佣这类人员，并书面通知承包人和抄送发包人。承包人在接到上述通知后应立即执行监理工程师的上述指示，不得无故拖延。</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8</w:t>
      </w:r>
      <w:r>
        <w:rPr>
          <w:rFonts w:hint="eastAsia" w:ascii="宋体" w:hAnsi="宋体" w:cs="宋体"/>
          <w:b/>
          <w:color w:val="auto"/>
          <w:sz w:val="24"/>
          <w:szCs w:val="24"/>
          <w:highlight w:val="none"/>
        </w:rPr>
        <w:t>、发包人工作</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8.1</w:t>
      </w:r>
      <w:r>
        <w:rPr>
          <w:rFonts w:hint="eastAsia" w:ascii="宋体" w:hAnsi="宋体" w:cs="宋体"/>
          <w:color w:val="auto"/>
          <w:sz w:val="24"/>
          <w:szCs w:val="24"/>
          <w:highlight w:val="none"/>
        </w:rPr>
        <w:t>发包人应按约定的时间和要求完成以下工作：</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）施工场地具备施工条件的要求及完成的时间：</w:t>
      </w:r>
      <w:r>
        <w:rPr>
          <w:rFonts w:hint="eastAsia" w:ascii="宋体" w:hAnsi="宋体" w:cs="宋体"/>
          <w:color w:val="auto"/>
          <w:sz w:val="24"/>
          <w:szCs w:val="24"/>
          <w:highlight w:val="none"/>
          <w:u w:val="single"/>
        </w:rPr>
        <w:t>土地征收、拆迁补偿工作完成时间原则上在开工前；因土地征收和拆迁补偿进度原因不能按时移交场地的，可采取分段逐步方式移交施工场地</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）将施工所需的水、电、电讯线路接至施工场地的时间、地点和供应要求：</w:t>
      </w:r>
      <w:r>
        <w:rPr>
          <w:rFonts w:hint="eastAsia" w:ascii="宋体" w:hAnsi="宋体" w:cs="宋体"/>
          <w:color w:val="auto"/>
          <w:sz w:val="24"/>
          <w:szCs w:val="24"/>
          <w:highlight w:val="none"/>
          <w:u w:val="single"/>
        </w:rPr>
        <w:t>由承包人自行解决，费用已包在本工程中标总造价中</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）施工场地与公共道路的通道开通时间和要求：</w:t>
      </w:r>
      <w:r>
        <w:rPr>
          <w:rFonts w:hint="eastAsia" w:ascii="宋体" w:hAnsi="宋体" w:cs="宋体"/>
          <w:color w:val="auto"/>
          <w:sz w:val="24"/>
          <w:szCs w:val="24"/>
          <w:highlight w:val="none"/>
          <w:u w:val="single"/>
        </w:rPr>
        <w:t>通道按现状，不论满足施工要求与否，该通道及施工便道均由承包人自行解决，费用已包在本工程中标总造价中</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）工程地质和地下管线资料的提供时间：</w:t>
      </w:r>
      <w:r>
        <w:rPr>
          <w:rFonts w:hint="eastAsia" w:ascii="宋体" w:hAnsi="宋体" w:cs="宋体"/>
          <w:color w:val="auto"/>
          <w:sz w:val="24"/>
          <w:szCs w:val="24"/>
          <w:highlight w:val="none"/>
          <w:u w:val="single"/>
        </w:rPr>
        <w:t>根据施工计划提前提供</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）由发包人办理的施工所需证件、批件的名称和完成时间：</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rPr>
        <w:t>）水准点与坐标控制点交验要求：</w:t>
      </w:r>
      <w:r>
        <w:rPr>
          <w:rFonts w:hint="eastAsia" w:ascii="宋体" w:hAnsi="宋体" w:cs="宋体"/>
          <w:color w:val="auto"/>
          <w:sz w:val="24"/>
          <w:szCs w:val="24"/>
          <w:highlight w:val="none"/>
          <w:u w:val="single"/>
        </w:rPr>
        <w:t>开工前交验</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7</w:t>
      </w:r>
      <w:r>
        <w:rPr>
          <w:rFonts w:hint="eastAsia" w:ascii="宋体" w:hAnsi="宋体" w:cs="宋体"/>
          <w:color w:val="auto"/>
          <w:sz w:val="24"/>
          <w:szCs w:val="24"/>
          <w:highlight w:val="none"/>
        </w:rPr>
        <w:t>）图纸会审和设计交底时间：</w:t>
      </w:r>
      <w:r>
        <w:rPr>
          <w:rFonts w:hint="eastAsia" w:ascii="宋体" w:hAnsi="宋体" w:cs="宋体"/>
          <w:color w:val="auto"/>
          <w:sz w:val="24"/>
          <w:szCs w:val="24"/>
          <w:highlight w:val="none"/>
          <w:u w:val="single"/>
        </w:rPr>
        <w:t>工程施工前</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8</w:t>
      </w:r>
      <w:r>
        <w:rPr>
          <w:rFonts w:hint="eastAsia" w:ascii="宋体" w:hAnsi="宋体" w:cs="宋体"/>
          <w:color w:val="auto"/>
          <w:sz w:val="24"/>
          <w:szCs w:val="24"/>
          <w:highlight w:val="none"/>
        </w:rPr>
        <w:t>）协调处理施工场地周围地下管线和邻近建筑物、构筑物（含文物保护建筑）、古树名木的保护工作：</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9</w:t>
      </w:r>
      <w:r>
        <w:rPr>
          <w:rFonts w:hint="eastAsia" w:ascii="宋体" w:hAnsi="宋体" w:cs="宋体"/>
          <w:color w:val="auto"/>
          <w:sz w:val="24"/>
          <w:szCs w:val="24"/>
          <w:highlight w:val="none"/>
        </w:rPr>
        <w:t>）双方约定发包人应做的其他工作：</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发包人按现有场地移交给承包人，承包人应无条件接受。</w:t>
      </w:r>
      <w:r>
        <w:rPr>
          <w:rFonts w:ascii="宋体" w:hAnsi="宋体" w:cs="宋体"/>
          <w:color w:val="auto"/>
          <w:sz w:val="24"/>
          <w:szCs w:val="24"/>
          <w:highlight w:val="none"/>
          <w:u w:val="single"/>
        </w:rPr>
        <w:t xml:space="preserve">   </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8.2</w:t>
      </w:r>
      <w:r>
        <w:rPr>
          <w:rFonts w:hint="eastAsia" w:ascii="宋体" w:hAnsi="宋体" w:cs="宋体"/>
          <w:color w:val="auto"/>
          <w:sz w:val="24"/>
          <w:szCs w:val="24"/>
          <w:highlight w:val="none"/>
        </w:rPr>
        <w:t>发包人委托承包人办理的工作：</w:t>
      </w:r>
      <w:r>
        <w:rPr>
          <w:rFonts w:hint="eastAsia" w:ascii="宋体" w:hAnsi="宋体" w:cs="宋体"/>
          <w:color w:val="auto"/>
          <w:sz w:val="24"/>
          <w:szCs w:val="24"/>
          <w:highlight w:val="none"/>
          <w:u w:val="single"/>
        </w:rPr>
        <w:t>工程质监登记、合同鉴证、施工许可证、购买印花税等一切施工所需的审批、申领手续以及规划验收、消防验收、环保验收、防雷报建及验收、永久用水接驳及验收等工作。费用按政策规定各自承担相应部分。</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9</w:t>
      </w:r>
      <w:r>
        <w:rPr>
          <w:rFonts w:hint="eastAsia" w:ascii="宋体" w:hAnsi="宋体" w:cs="宋体"/>
          <w:b/>
          <w:color w:val="auto"/>
          <w:sz w:val="24"/>
          <w:szCs w:val="24"/>
          <w:highlight w:val="none"/>
        </w:rPr>
        <w:t>、承包人工作</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9.1</w:t>
      </w:r>
      <w:r>
        <w:rPr>
          <w:rFonts w:hint="eastAsia" w:ascii="宋体" w:hAnsi="宋体" w:cs="宋体"/>
          <w:color w:val="auto"/>
          <w:sz w:val="24"/>
          <w:szCs w:val="24"/>
          <w:highlight w:val="none"/>
        </w:rPr>
        <w:t>承包人应按约定时间和要求，完成以下工作：</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）需由设计资质等级和业务范围允许的承包人完成的设计文件提交时间：</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）应提供计划、报表的名称及完成时间：</w:t>
      </w:r>
      <w:r>
        <w:rPr>
          <w:rFonts w:hint="eastAsia" w:ascii="宋体" w:hAnsi="宋体" w:cs="宋体"/>
          <w:color w:val="auto"/>
          <w:sz w:val="24"/>
          <w:szCs w:val="24"/>
          <w:highlight w:val="none"/>
          <w:u w:val="single"/>
        </w:rPr>
        <w:t>施工组织设计、管理人员架构表，于开工前三天报。提交工程年、季、月度计划及进度统计报表</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3）承担施工安全保卫工作及非夜间施工照明的责任和要求：</w:t>
      </w:r>
      <w:r>
        <w:rPr>
          <w:rFonts w:hint="eastAsia" w:ascii="宋体" w:hAnsi="宋体" w:cs="宋体"/>
          <w:color w:val="auto"/>
          <w:sz w:val="24"/>
          <w:szCs w:val="24"/>
          <w:highlight w:val="none"/>
          <w:u w:val="single"/>
        </w:rPr>
        <w:t>按招标文件要求及国家、省、市、区相关规定执行，并满足本工程需要</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根据工程需要，提供和维护施工使用的照明、围栏设施和警卫，并负责整个现场的安全生产和绿色施工、安全保卫。</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承包人自行解决办公、交通、生活及通讯等设施，费用已包含在本工程中标总造价中；</w:t>
      </w:r>
      <w:r>
        <w:rPr>
          <w:rFonts w:ascii="宋体" w:hAnsi="宋体" w:cs="宋体"/>
          <w:color w:val="auto"/>
          <w:sz w:val="24"/>
          <w:szCs w:val="24"/>
          <w:highlight w:val="none"/>
        </w:rPr>
        <w:t>向发包人或监理工程师提供的办公、交通和生活、通讯设施的要求：</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5）需承包人办理有关施工场地交通、环卫和施工噪音管理等手续：</w:t>
      </w:r>
      <w:r>
        <w:rPr>
          <w:rFonts w:hint="eastAsia" w:ascii="宋体" w:hAnsi="宋体" w:cs="宋体"/>
          <w:color w:val="auto"/>
          <w:sz w:val="24"/>
          <w:szCs w:val="24"/>
          <w:highlight w:val="none"/>
          <w:u w:val="single"/>
        </w:rPr>
        <w:t>承包人按本合同通用条款要求执行，并承担相关费用</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rPr>
        <w:t>）已完工程成品保护的特殊要求及费用承担：</w:t>
      </w:r>
      <w:r>
        <w:rPr>
          <w:rFonts w:hint="eastAsia" w:ascii="宋体" w:hAnsi="宋体" w:cs="宋体"/>
          <w:color w:val="auto"/>
          <w:sz w:val="24"/>
          <w:szCs w:val="24"/>
          <w:highlight w:val="none"/>
          <w:u w:val="single"/>
        </w:rPr>
        <w:t>按本合同通用条款执行</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7</w:t>
      </w:r>
      <w:r>
        <w:rPr>
          <w:rFonts w:hint="eastAsia" w:ascii="宋体" w:hAnsi="宋体" w:cs="宋体"/>
          <w:color w:val="auto"/>
          <w:sz w:val="24"/>
          <w:szCs w:val="24"/>
          <w:highlight w:val="none"/>
        </w:rPr>
        <w:t>）施工场地周围地下管线和邻近建筑物、构筑物（含文物保护建筑）、古树名木的保护要求及费用承担：</w:t>
      </w:r>
      <w:r>
        <w:rPr>
          <w:rFonts w:hint="eastAsia" w:ascii="宋体" w:hAnsi="宋体" w:cs="宋体"/>
          <w:color w:val="auto"/>
          <w:sz w:val="24"/>
          <w:szCs w:val="24"/>
          <w:highlight w:val="none"/>
          <w:u w:val="single"/>
        </w:rPr>
        <w:t>除文物保护外的保护费全部由承包人承担</w:t>
      </w:r>
      <w:r>
        <w:rPr>
          <w:rFonts w:hint="eastAsia" w:ascii="宋体" w:hAnsi="宋体" w:cs="宋体"/>
          <w:color w:val="auto"/>
          <w:sz w:val="24"/>
          <w:szCs w:val="24"/>
          <w:highlight w:val="none"/>
        </w:rPr>
        <w:t>。</w:t>
      </w:r>
    </w:p>
    <w:p>
      <w:pPr>
        <w:snapToGrid w:val="0"/>
        <w:spacing w:line="440" w:lineRule="exact"/>
        <w:ind w:left="0"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8）</w:t>
      </w:r>
      <w:r>
        <w:rPr>
          <w:rFonts w:hint="eastAsia" w:ascii="宋体" w:hAnsi="宋体" w:cs="宋体"/>
          <w:color w:val="auto"/>
          <w:sz w:val="24"/>
          <w:szCs w:val="24"/>
          <w:highlight w:val="none"/>
        </w:rPr>
        <w:t>施工场地清洁卫生的要求：</w:t>
      </w:r>
      <w:r>
        <w:rPr>
          <w:rFonts w:hint="eastAsia" w:ascii="宋体" w:hAnsi="宋体" w:cs="宋体"/>
          <w:color w:val="auto"/>
          <w:sz w:val="24"/>
          <w:szCs w:val="24"/>
          <w:highlight w:val="none"/>
          <w:u w:val="single"/>
        </w:rPr>
        <w:t>满足</w:t>
      </w:r>
      <w:r>
        <w:rPr>
          <w:rFonts w:hint="eastAsia" w:ascii="宋体" w:hAnsi="宋体" w:cs="宋体"/>
          <w:color w:val="auto"/>
          <w:spacing w:val="-10"/>
          <w:sz w:val="24"/>
          <w:szCs w:val="24"/>
          <w:highlight w:val="none"/>
          <w:u w:val="single"/>
        </w:rPr>
        <w:t>文明施工要求及广州市、黄埔区关于扬尘治理的有关要求</w:t>
      </w:r>
      <w:r>
        <w:rPr>
          <w:rFonts w:hint="eastAsia" w:ascii="宋体" w:hAnsi="宋体" w:cs="宋体"/>
          <w:color w:val="auto"/>
          <w:spacing w:val="-10"/>
          <w:sz w:val="24"/>
          <w:szCs w:val="24"/>
          <w:highlight w:val="none"/>
        </w:rPr>
        <w:t>。</w:t>
      </w:r>
      <w:r>
        <w:rPr>
          <w:rFonts w:hint="eastAsia" w:ascii="宋体" w:hAnsi="宋体" w:cs="宋体"/>
          <w:color w:val="auto"/>
          <w:sz w:val="24"/>
          <w:szCs w:val="24"/>
          <w:highlight w:val="none"/>
          <w:u w:val="single"/>
        </w:rPr>
        <w:t>保证施工场地清洁符合环境卫生管理的有关规定，交工前清理现场达到合同约定的要求（包括建筑物周围余土、垃圾、生产和生活临时设施拆除），并将门窗、玻璃、地面擦扫干净，厕所厨房的排水和给水管道清理干净、畅通，做到工完场清。承担因自身原因违反有关规定造成的损失和罚款。</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9）双方约定承包人应做的其他工作：</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①承包人应根据相关规定及发包人的要求、合同约定对发包人另行发包的专业承包单位进行统一管理和配合服务。包括但不限于：项目总进度计划协调管理；公共临时设施管理；公共文明施工和安全生产设施管理；现场综合管理；内部沟通与外部协调；总体设计与技术督导的协调配合；为发包人另行发包的专业承包单位提供标高、基准点与平面控制、轴线；提供工作面（含基础、预埋件、预留孔洞）；提供施工用水、用电的接驳点；成品保护；协助发包人办理项目竣工验收、竣工资料和竣工备案；为发包人另行发包的专业承包单位提供生产、生活用场地；提供公共运输道路和通道；提供公共水平、垂直运输设施；提供公共外排栅、外脚手架；负责组织整体竣工验收及整体工程资料汇总及整理工作以及其它管理和配合服务。承包人应按照《广州市住房和城乡建设局关于规范房屋建筑工程施工承发包管理的通知》(穗建规字〔2019〕10号)的规定，对本工程所有专业承包工程负全面管理责任，对施工现场的安全生产、文明施工等工作负总责。承包人对发包人单独发包的专业工程的安全生产、文明施工等工作承担连带责任。承包人应主动配合发包人单独发包的其他专业承包工程的施工，承担由于自身管理、配合服务和协调不到位而导致的违约责任和连带违约责任。（注：总承包工程适用本条款）</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②承包人应按照《广州市建筑施工实名制管理办法》的规定，进场施工前在市建设领域管理应用信息平台上进行实名制登记并安排专职人员进行动态维护，实名制信息内容包含但不限以下内容：建筑从业人员基本信息、作业工人考勤与工资支付信息、施工进度情况信息等。承包人应对依法分包的专业工程和劳务工程的承包人实施统一管理，督促落实实名制管理。发包人及监理单位将不定期抽查承包人实名制管理的执行情况，如发现违反本合同有关约定的，将追究承包人相应违约责任。</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③承包人应按照《广州市建设领域工人工资支付分账管理实施细则》的规定选择商业银行开立工人工资支付专用账户，在用工之日起</w:t>
      </w:r>
      <w:r>
        <w:rPr>
          <w:rFonts w:ascii="宋体" w:hAnsi="宋体" w:cs="宋体"/>
          <w:color w:val="auto"/>
          <w:sz w:val="24"/>
          <w:szCs w:val="24"/>
          <w:highlight w:val="none"/>
        </w:rPr>
        <w:t>15日内为每个工人办理工人工资个人账户，保证按时足额支付工人工资。承包人应对</w:t>
      </w:r>
      <w:r>
        <w:rPr>
          <w:rFonts w:hint="eastAsia" w:ascii="宋体" w:hAnsi="宋体" w:cs="宋体"/>
          <w:color w:val="auto"/>
          <w:sz w:val="24"/>
          <w:szCs w:val="24"/>
          <w:highlight w:val="none"/>
        </w:rPr>
        <w:t>依法分包的专业工程和劳务工程的承包人实施统一管理，严格按国家、省、市关于农民工工资实施总承包单位代发制度的相关规定代发分包单位工人工资。</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④承包人应当建立工人考勤、工资结算和支付等管理台账，存档备查，并将相关信息按月报送发包人及监理单位。</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10）承包人应在本项目中投入使用燃料电池汽车等新能源工程车,且投入数量占本项目投入的建筑垃圾自卸车（渣土车）总数比例不得低于</w:t>
      </w:r>
      <w:r>
        <w:rPr>
          <w:rFonts w:hint="eastAsia" w:ascii="宋体" w:hAnsi="宋体" w:cs="宋体"/>
          <w:color w:val="auto"/>
          <w:sz w:val="24"/>
          <w:szCs w:val="24"/>
          <w:highlight w:val="none"/>
        </w:rPr>
        <w:t>40</w:t>
      </w:r>
      <w:r>
        <w:rPr>
          <w:rFonts w:ascii="宋体" w:hAnsi="宋体" w:cs="宋体"/>
          <w:color w:val="auto"/>
          <w:sz w:val="24"/>
          <w:szCs w:val="24"/>
          <w:highlight w:val="none"/>
        </w:rPr>
        <w:t xml:space="preserve"> %（按投标承诺），相关费用已包含在合同价中，不另行计取。</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11）承包人应当建立燃料电池汽车等新能源工程车投入管理台账备查，并将投入现场的影像等相关资料按要求报送发包人及监理单位核查。</w:t>
      </w:r>
    </w:p>
    <w:p>
      <w:pPr>
        <w:snapToGrid w:val="0"/>
        <w:spacing w:line="440" w:lineRule="exact"/>
        <w:ind w:firstLine="397"/>
        <w:rPr>
          <w:rFonts w:ascii="宋体" w:hAnsi="宋体" w:cs="宋体"/>
          <w:b/>
          <w:color w:val="auto"/>
          <w:sz w:val="24"/>
          <w:szCs w:val="24"/>
          <w:highlight w:val="none"/>
        </w:rPr>
      </w:pPr>
      <w:r>
        <w:rPr>
          <w:rFonts w:hint="eastAsia" w:ascii="宋体" w:hAnsi="宋体" w:cs="宋体"/>
          <w:b/>
          <w:color w:val="auto"/>
          <w:sz w:val="24"/>
          <w:szCs w:val="24"/>
          <w:highlight w:val="none"/>
        </w:rPr>
        <w:t>三、施工组织设计和工期</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10</w:t>
      </w:r>
      <w:r>
        <w:rPr>
          <w:rFonts w:hint="eastAsia" w:ascii="宋体" w:hAnsi="宋体" w:cs="宋体"/>
          <w:b/>
          <w:color w:val="auto"/>
          <w:sz w:val="24"/>
          <w:szCs w:val="24"/>
          <w:highlight w:val="none"/>
        </w:rPr>
        <w:t>、进度计划</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10.1</w:t>
      </w:r>
      <w:r>
        <w:rPr>
          <w:rFonts w:hint="eastAsia" w:ascii="宋体" w:hAnsi="宋体" w:cs="宋体"/>
          <w:color w:val="auto"/>
          <w:sz w:val="24"/>
          <w:szCs w:val="24"/>
          <w:highlight w:val="none"/>
        </w:rPr>
        <w:t>承包人提供施工组织设计</w:t>
      </w:r>
      <w:r>
        <w:rPr>
          <w:rFonts w:ascii="宋体" w:hAnsi="宋体" w:cs="宋体"/>
          <w:color w:val="auto"/>
          <w:sz w:val="24"/>
          <w:szCs w:val="24"/>
          <w:highlight w:val="none"/>
        </w:rPr>
        <w:t>(施工方案)和进度计划时间：</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u w:val="single"/>
        </w:rPr>
        <w:t>承包人应于接到中标通知书后</w:t>
      </w:r>
      <w:r>
        <w:rPr>
          <w:rFonts w:ascii="宋体" w:hAnsi="宋体" w:cs="宋体"/>
          <w:color w:val="auto"/>
          <w:sz w:val="24"/>
          <w:szCs w:val="24"/>
          <w:highlight w:val="none"/>
          <w:u w:val="single"/>
        </w:rPr>
        <w:t>4天内向发包人提交总体工程进度计划（网络计划），并</w:t>
      </w:r>
      <w:r>
        <w:rPr>
          <w:rFonts w:hint="eastAsia" w:ascii="宋体" w:hAnsi="宋体" w:cs="宋体"/>
          <w:color w:val="auto"/>
          <w:sz w:val="24"/>
          <w:szCs w:val="24"/>
          <w:highlight w:val="none"/>
          <w:u w:val="single"/>
        </w:rPr>
        <w:t>于开工前</w:t>
      </w:r>
      <w:r>
        <w:rPr>
          <w:rFonts w:ascii="宋体" w:hAnsi="宋体" w:cs="宋体"/>
          <w:color w:val="auto"/>
          <w:sz w:val="24"/>
          <w:szCs w:val="24"/>
          <w:highlight w:val="none"/>
          <w:u w:val="single"/>
        </w:rPr>
        <w:t>3天内提交施工组织设计（施工方案）给发包人</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承包人提交的施工组织设计应当按监理工程师及国家、省、市及广州开发区关于施工承包管理的要求编制</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承包人编制的工程进度计划内容应全面详实，且应针对承包管理范围内的各专业承包工程及建筑工程的全部或分项施工作业和特点提出施工方法、施工穿插顺序及时间安排，并在各节点位置标注相应的工程量、资金使用计划、人机组织及材料消耗量</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u w:val="single"/>
        </w:rPr>
        <w:t>总监理工程师在接到承包人提交的施工组织设计和工程进度计划后，予以确认或提出修改意见</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工程师确认的时间：</w:t>
      </w:r>
      <w:r>
        <w:rPr>
          <w:rFonts w:hint="eastAsia" w:ascii="宋体" w:hAnsi="宋体" w:cs="宋体"/>
          <w:color w:val="auto"/>
          <w:sz w:val="24"/>
          <w:szCs w:val="24"/>
          <w:highlight w:val="none"/>
          <w:u w:val="single"/>
        </w:rPr>
        <w:t>开工前</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10.2</w:t>
      </w:r>
      <w:r>
        <w:rPr>
          <w:rFonts w:hint="eastAsia" w:ascii="宋体" w:hAnsi="宋体" w:cs="宋体"/>
          <w:color w:val="auto"/>
          <w:sz w:val="24"/>
          <w:szCs w:val="24"/>
          <w:highlight w:val="none"/>
          <w:u w:val="single"/>
        </w:rPr>
        <w:t>为便于总监理工程师掌握和控制工期，承包人应于每周一及每月底向总监理工程师填报各专业工程（含各分部、分项工程及专业承包工程）的周计划完成情况及当月进度计划完成情况（没完成计划的必须说明原因），并在此基础上更新工程进度计划、资金计划和其它工作计划。总监理工程师在接到报告后予以确认或提出书面意见，承包人必须按照总监理工程师的确认或者书面意见执行。（报监理工程师的同时，抄送一份给发包人。）</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10.3</w:t>
      </w:r>
      <w:r>
        <w:rPr>
          <w:rFonts w:hint="eastAsia" w:ascii="宋体" w:hAnsi="宋体" w:cs="宋体"/>
          <w:color w:val="auto"/>
          <w:sz w:val="24"/>
          <w:szCs w:val="24"/>
          <w:highlight w:val="none"/>
          <w:u w:val="single"/>
        </w:rPr>
        <w:t>工程实际进度与经总监理工程师确认的进度计划或者更新进度计划不符时，总监理工程师认为本工程或其中任何部分工程进度滞后而不能按预定工期完工，则应将此情况通知承包人，承包人应据此编制修改工程进度计划，采取总监理工程师同意的必要措施加快工程进度，属承包人原因，则承包人无权要求发包人支付任何附加费用。如承包人未能在工程师发布指令后</w:t>
      </w:r>
      <w:r>
        <w:rPr>
          <w:rFonts w:ascii="宋体" w:hAnsi="宋体" w:cs="宋体"/>
          <w:color w:val="auto"/>
          <w:sz w:val="24"/>
          <w:szCs w:val="24"/>
          <w:highlight w:val="none"/>
          <w:u w:val="single"/>
        </w:rPr>
        <w:t>10天内采取有效措施，工程进度仍然无明显改进，发包人有权解除部分或全部合同，将未完工程另行发包给其他有能力的第三方，承包人必须无条件服从，由此所造成的全部损失由承包人承担，并追究承包人的违约赔偿责任</w:t>
      </w:r>
      <w:r>
        <w:rPr>
          <w:rFonts w:hint="eastAsia" w:ascii="宋体" w:hAnsi="宋体" w:cs="宋体"/>
          <w:color w:val="auto"/>
          <w:sz w:val="24"/>
          <w:szCs w:val="24"/>
          <w:highlight w:val="none"/>
        </w:rPr>
        <w:t>。</w:t>
      </w:r>
    </w:p>
    <w:p>
      <w:pPr>
        <w:snapToGrid w:val="0"/>
        <w:spacing w:line="440" w:lineRule="exact"/>
        <w:ind w:firstLine="482" w:firstLineChars="200"/>
        <w:rPr>
          <w:rFonts w:ascii="宋体" w:hAnsi="宋体" w:cs="宋体"/>
          <w:b/>
          <w:color w:val="auto"/>
          <w:sz w:val="24"/>
          <w:szCs w:val="24"/>
          <w:highlight w:val="none"/>
        </w:rPr>
      </w:pPr>
      <w:r>
        <w:rPr>
          <w:rFonts w:ascii="宋体" w:hAnsi="宋体" w:cs="宋体"/>
          <w:b/>
          <w:color w:val="auto"/>
          <w:sz w:val="24"/>
          <w:szCs w:val="24"/>
          <w:highlight w:val="none"/>
        </w:rPr>
        <w:t>11、开工及延期开工</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11.1</w:t>
      </w:r>
      <w:r>
        <w:rPr>
          <w:rFonts w:hint="eastAsia" w:ascii="宋体" w:hAnsi="宋体" w:cs="宋体"/>
          <w:color w:val="auto"/>
          <w:sz w:val="24"/>
          <w:szCs w:val="24"/>
          <w:highlight w:val="none"/>
        </w:rPr>
        <w:t>开工日期和竣工日期</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11.1.1</w:t>
      </w:r>
      <w:r>
        <w:rPr>
          <w:rFonts w:hint="eastAsia" w:ascii="宋体" w:hAnsi="宋体" w:cs="宋体"/>
          <w:color w:val="auto"/>
          <w:sz w:val="24"/>
          <w:szCs w:val="24"/>
          <w:highlight w:val="none"/>
        </w:rPr>
        <w:t>本工程工期为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日历天。其中开工时间初定为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日。（具体开工日期以发包人或监理单位开工令或批准的开工报告日期为准）</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11.1.2</w:t>
      </w:r>
      <w:r>
        <w:rPr>
          <w:rFonts w:hint="eastAsia" w:ascii="宋体" w:hAnsi="宋体" w:cs="宋体"/>
          <w:color w:val="auto"/>
          <w:sz w:val="24"/>
          <w:szCs w:val="24"/>
          <w:highlight w:val="none"/>
        </w:rPr>
        <w:t>承包人必须采取一切有效措施保证竣工日期，不得延误。除非发生了以下情形：</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u w:val="single"/>
        </w:rPr>
        <w:t>政府对本工程建设项目作出停建、缓建的决定</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u w:val="single"/>
        </w:rPr>
        <w:t>重大设计变更导致本工程在规划、使用、功能方面有重大调整</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u w:val="single"/>
        </w:rPr>
        <w:t>不可抗力持续影响而延误工期超过</w:t>
      </w:r>
      <w:r>
        <w:rPr>
          <w:rFonts w:ascii="宋体" w:hAnsi="宋体" w:cs="宋体"/>
          <w:color w:val="auto"/>
          <w:sz w:val="24"/>
          <w:szCs w:val="24"/>
          <w:highlight w:val="none"/>
          <w:u w:val="single"/>
        </w:rPr>
        <w:t>12</w:t>
      </w:r>
      <w:r>
        <w:rPr>
          <w:rFonts w:hint="eastAsia" w:ascii="宋体" w:hAnsi="宋体" w:cs="宋体"/>
          <w:color w:val="auto"/>
          <w:sz w:val="24"/>
          <w:szCs w:val="24"/>
          <w:highlight w:val="none"/>
          <w:u w:val="single"/>
        </w:rPr>
        <w:t>天以上</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u w:val="single"/>
        </w:rPr>
        <w:t>本合同专用条款约定的其他非承包人原因导致的工期延误</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11.2</w:t>
      </w:r>
      <w:r>
        <w:rPr>
          <w:rFonts w:hint="eastAsia" w:ascii="宋体" w:hAnsi="宋体" w:cs="宋体"/>
          <w:color w:val="auto"/>
          <w:sz w:val="24"/>
          <w:szCs w:val="24"/>
          <w:highlight w:val="none"/>
        </w:rPr>
        <w:t>延期开工：</w:t>
      </w:r>
    </w:p>
    <w:p>
      <w:pPr>
        <w:adjustRightInd w:val="0"/>
        <w:snapToGrid w:val="0"/>
        <w:spacing w:line="440" w:lineRule="exact"/>
        <w:ind w:right="11" w:firstLine="420" w:firstLineChars="175"/>
        <w:rPr>
          <w:rFonts w:ascii="宋体" w:hAnsi="宋体" w:cs="宋体"/>
          <w:color w:val="auto"/>
          <w:sz w:val="24"/>
          <w:szCs w:val="24"/>
          <w:highlight w:val="none"/>
          <w:u w:val="single"/>
        </w:rPr>
      </w:pPr>
      <w:r>
        <w:rPr>
          <w:rFonts w:ascii="宋体" w:hAnsi="宋体" w:cs="宋体"/>
          <w:color w:val="auto"/>
          <w:sz w:val="24"/>
          <w:szCs w:val="24"/>
          <w:highlight w:val="none"/>
        </w:rPr>
        <w:t>11.2.1</w:t>
      </w:r>
      <w:r>
        <w:rPr>
          <w:rFonts w:hint="eastAsia" w:ascii="宋体" w:hAnsi="宋体" w:cs="宋体"/>
          <w:color w:val="auto"/>
          <w:sz w:val="24"/>
          <w:szCs w:val="24"/>
          <w:highlight w:val="none"/>
          <w:u w:val="single"/>
        </w:rPr>
        <w:t>因发包人原因不能按照协议书约定的开工日期开工或暂停施工的，总监理工程师应通知承包人推迟开工日期，经监理单位、发包人确认后，工期可相应顺延，但不作费用补偿</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11.2.2</w:t>
      </w:r>
      <w:r>
        <w:rPr>
          <w:rFonts w:hint="eastAsia" w:ascii="宋体" w:hAnsi="宋体" w:cs="宋体"/>
          <w:color w:val="auto"/>
          <w:sz w:val="24"/>
          <w:szCs w:val="24"/>
          <w:highlight w:val="none"/>
          <w:u w:val="single"/>
        </w:rPr>
        <w:t>承包人未能主动及时地履行其协调、配合服务义务而造成专业承包单位无法开工，由此产生的工期延误等损失由承包人承担，并承担违约责任</w:t>
      </w:r>
      <w:r>
        <w:rPr>
          <w:rFonts w:hint="eastAsia" w:ascii="宋体" w:hAnsi="宋体" w:cs="宋体"/>
          <w:color w:val="auto"/>
          <w:sz w:val="24"/>
          <w:szCs w:val="24"/>
          <w:highlight w:val="none"/>
        </w:rPr>
        <w:t>。</w:t>
      </w:r>
    </w:p>
    <w:p>
      <w:pPr>
        <w:snapToGrid w:val="0"/>
        <w:spacing w:line="440" w:lineRule="exact"/>
        <w:ind w:firstLine="482" w:firstLineChars="200"/>
        <w:rPr>
          <w:rFonts w:ascii="宋体" w:hAnsi="宋体" w:cs="宋体"/>
          <w:b/>
          <w:color w:val="auto"/>
          <w:sz w:val="24"/>
          <w:szCs w:val="24"/>
          <w:highlight w:val="none"/>
        </w:rPr>
      </w:pPr>
      <w:r>
        <w:rPr>
          <w:rFonts w:ascii="宋体" w:hAnsi="宋体" w:cs="宋体"/>
          <w:b/>
          <w:color w:val="auto"/>
          <w:sz w:val="24"/>
          <w:szCs w:val="24"/>
          <w:highlight w:val="none"/>
        </w:rPr>
        <w:t>12、暂停施工</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12.1因下列原因，总监理工程师报经发包人同意，可通知承包人暂停施工：</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u w:val="single"/>
        </w:rPr>
        <w:t>工程设计发生重大变更</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u w:val="single"/>
        </w:rPr>
        <w:t>不可抗力</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u w:val="single"/>
        </w:rPr>
        <w:t>质量事故</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u w:val="single"/>
        </w:rPr>
        <w:t>安全生产事故</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u w:val="single"/>
        </w:rPr>
        <w:t>因承包人管理不善，可能导致现场混乱</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u w:val="single"/>
        </w:rPr>
        <w:t>承包人违规施工，经监理工程师通知改正但仍不执行</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承包人不得以与发包人有争议为由或者以争议未解决为由而单方面停工。否则，应按约定承担工期延误的违约责任</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因发生上述第（</w:t>
      </w:r>
      <w:r>
        <w:rPr>
          <w:rFonts w:ascii="宋体" w:hAnsi="宋体" w:cs="宋体"/>
          <w:color w:val="auto"/>
          <w:sz w:val="24"/>
          <w:szCs w:val="24"/>
          <w:highlight w:val="none"/>
          <w:u w:val="single"/>
        </w:rPr>
        <w:t>1）、（2）项原因而暂停施工</w:t>
      </w:r>
      <w:r>
        <w:rPr>
          <w:rFonts w:hint="eastAsia" w:ascii="宋体" w:hAnsi="宋体" w:cs="宋体"/>
          <w:color w:val="auto"/>
          <w:sz w:val="24"/>
          <w:szCs w:val="24"/>
          <w:highlight w:val="none"/>
          <w:u w:val="single"/>
        </w:rPr>
        <w:t>的，工期可协商调整，因发生上述第（</w:t>
      </w:r>
      <w:r>
        <w:rPr>
          <w:rFonts w:ascii="宋体" w:hAnsi="宋体" w:cs="宋体"/>
          <w:color w:val="auto"/>
          <w:sz w:val="24"/>
          <w:szCs w:val="24"/>
          <w:highlight w:val="none"/>
          <w:u w:val="single"/>
        </w:rPr>
        <w:t>3）、（4）、（5）、（6）项原因而暂停施工</w:t>
      </w:r>
      <w:r>
        <w:rPr>
          <w:rFonts w:hint="eastAsia" w:ascii="宋体" w:hAnsi="宋体" w:cs="宋体"/>
          <w:color w:val="auto"/>
          <w:sz w:val="24"/>
          <w:szCs w:val="24"/>
          <w:highlight w:val="none"/>
          <w:u w:val="single"/>
        </w:rPr>
        <w:t>的，工期不予顺延</w:t>
      </w:r>
      <w:r>
        <w:rPr>
          <w:rFonts w:ascii="宋体" w:hAnsi="宋体" w:cs="宋体"/>
          <w:color w:val="auto"/>
          <w:sz w:val="24"/>
          <w:szCs w:val="24"/>
          <w:highlight w:val="none"/>
          <w:u w:val="single"/>
        </w:rPr>
        <w:t>,承包人必须承担由此发生的费用并向发包人承担违约责任</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12.2为了保证工程质量安全，凡</w:t>
      </w:r>
      <w:r>
        <w:rPr>
          <w:rFonts w:hint="eastAsia" w:ascii="宋体" w:hAnsi="宋体" w:cs="宋体"/>
          <w:color w:val="auto"/>
          <w:sz w:val="24"/>
          <w:szCs w:val="24"/>
          <w:highlight w:val="none"/>
        </w:rPr>
        <w:t>承包人出现下列情况之一（不限于此）的，总监理工程师有权下达停工令，责令承包人停工整改，由此造成的损失由承包人自行承担，工期不予顺延，如果造成工期延误的，承包人还应承担违约责任。</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(1)</w:t>
      </w:r>
      <w:r>
        <w:rPr>
          <w:rFonts w:hint="eastAsia" w:ascii="宋体" w:hAnsi="宋体" w:cs="宋体"/>
          <w:color w:val="auto"/>
          <w:sz w:val="24"/>
          <w:szCs w:val="24"/>
          <w:highlight w:val="none"/>
          <w:u w:val="single"/>
        </w:rPr>
        <w:t>拒绝监理单位管理</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(2)</w:t>
      </w:r>
      <w:r>
        <w:rPr>
          <w:rFonts w:hint="eastAsia" w:ascii="宋体" w:hAnsi="宋体" w:cs="宋体"/>
          <w:color w:val="auto"/>
          <w:sz w:val="24"/>
          <w:szCs w:val="24"/>
          <w:highlight w:val="none"/>
          <w:u w:val="single"/>
        </w:rPr>
        <w:t>施工组织设计（方案）未获总监理工程师批准而进行施工</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(3)</w:t>
      </w:r>
      <w:r>
        <w:rPr>
          <w:rFonts w:hint="eastAsia" w:ascii="宋体" w:hAnsi="宋体" w:cs="宋体"/>
          <w:color w:val="auto"/>
          <w:sz w:val="24"/>
          <w:szCs w:val="24"/>
          <w:highlight w:val="none"/>
          <w:u w:val="single"/>
        </w:rPr>
        <w:t>未经监理单位检验而进行下一道工序作业者</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w:t>
      </w:r>
      <w:r>
        <w:rPr>
          <w:rFonts w:hint="eastAsia" w:ascii="宋体" w:hAnsi="宋体" w:cs="宋体"/>
          <w:color w:val="auto"/>
          <w:sz w:val="24"/>
          <w:szCs w:val="24"/>
          <w:highlight w:val="none"/>
          <w:u w:val="single"/>
        </w:rPr>
        <w:t>擅自采用未经监理单位及发包人认可或批准的材料的，或者使用的原材料、构配件不合格或未经检查确认的，或者擅自采用未经认可的代用材料的</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(5)</w:t>
      </w:r>
      <w:r>
        <w:rPr>
          <w:rFonts w:hint="eastAsia" w:ascii="宋体" w:hAnsi="宋体" w:cs="宋体"/>
          <w:color w:val="auto"/>
          <w:sz w:val="24"/>
          <w:szCs w:val="24"/>
          <w:highlight w:val="none"/>
          <w:u w:val="single"/>
        </w:rPr>
        <w:t>擅自变更设计图纸的要求</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(6)</w:t>
      </w:r>
      <w:r>
        <w:rPr>
          <w:rFonts w:hint="eastAsia" w:ascii="宋体" w:hAnsi="宋体" w:cs="宋体"/>
          <w:color w:val="auto"/>
          <w:sz w:val="24"/>
          <w:szCs w:val="24"/>
          <w:highlight w:val="none"/>
          <w:u w:val="single"/>
        </w:rPr>
        <w:t>转包工程</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(7)</w:t>
      </w:r>
      <w:r>
        <w:rPr>
          <w:rFonts w:hint="eastAsia" w:ascii="宋体" w:hAnsi="宋体" w:cs="宋体"/>
          <w:color w:val="auto"/>
          <w:sz w:val="24"/>
          <w:szCs w:val="24"/>
          <w:highlight w:val="none"/>
          <w:u w:val="single"/>
        </w:rPr>
        <w:t>擅自让未经总监理工程师批准的专业承包单位进场作业</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(8)</w:t>
      </w:r>
      <w:r>
        <w:rPr>
          <w:rFonts w:hint="eastAsia" w:ascii="宋体" w:hAnsi="宋体" w:cs="宋体"/>
          <w:color w:val="auto"/>
          <w:sz w:val="24"/>
          <w:szCs w:val="24"/>
          <w:highlight w:val="none"/>
          <w:u w:val="single"/>
        </w:rPr>
        <w:t>存在安全隐患，未按监理单位要求及时进行整改</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(9)</w:t>
      </w:r>
      <w:r>
        <w:rPr>
          <w:rFonts w:hint="eastAsia" w:ascii="宋体" w:hAnsi="宋体" w:cs="宋体"/>
          <w:color w:val="auto"/>
          <w:sz w:val="24"/>
          <w:szCs w:val="24"/>
          <w:highlight w:val="none"/>
          <w:u w:val="single"/>
        </w:rPr>
        <w:t>未按双方约定的资料上报要求上报所需资料的</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12.3因不可抗力引起工程停工，工期按</w:t>
      </w:r>
      <w:r>
        <w:rPr>
          <w:rFonts w:hint="eastAsia" w:ascii="宋体" w:hAnsi="宋体" w:cs="宋体"/>
          <w:color w:val="auto"/>
          <w:sz w:val="24"/>
          <w:szCs w:val="24"/>
          <w:highlight w:val="none"/>
          <w:u w:val="single"/>
        </w:rPr>
        <w:t>专用条款</w:t>
      </w:r>
      <w:r>
        <w:rPr>
          <w:rFonts w:ascii="宋体" w:hAnsi="宋体" w:cs="宋体"/>
          <w:color w:val="auto"/>
          <w:sz w:val="24"/>
          <w:szCs w:val="24"/>
          <w:highlight w:val="none"/>
          <w:u w:val="single"/>
        </w:rPr>
        <w:t>第12.1款</w:t>
      </w:r>
      <w:r>
        <w:rPr>
          <w:rFonts w:hint="eastAsia" w:ascii="宋体" w:hAnsi="宋体" w:cs="宋体"/>
          <w:color w:val="auto"/>
          <w:sz w:val="24"/>
          <w:szCs w:val="24"/>
          <w:highlight w:val="none"/>
        </w:rPr>
        <w:t>约定执行，费用承担按以下原则：</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u w:val="single"/>
        </w:rPr>
        <w:t>因工程损害导致第三方人员伤亡和财产损失，如系在工程竣工验收合格移交给发包人使用前造成的，费用由承包人承担；如系在工程竣工验收合格移交给发包人使用后发生的，费用由发包人承担</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u w:val="single"/>
        </w:rPr>
        <w:t>运至施工场地用于施工的材料和待安装的设备的损害，属发包人供应的由发包人承担；属承包人采购的由承包人承担</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u w:val="single"/>
        </w:rPr>
        <w:t>发包人承包人人员伤亡由其所在单位负责，并承担相应费用</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u w:val="single"/>
        </w:rPr>
        <w:t>承包人机械设备损坏及停工损失由承包人承担</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u w:val="single"/>
        </w:rPr>
        <w:t>停工期间，承包人应总监理工程师要求留在施工场地的必要的管理人员及保卫人员的费用由承包人承担</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u w:val="single"/>
        </w:rPr>
        <w:t>工程所需清理、修复费用由发包人承担</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12.4</w:t>
      </w:r>
      <w:r>
        <w:rPr>
          <w:rFonts w:hint="eastAsia" w:ascii="宋体" w:hAnsi="宋体" w:cs="宋体"/>
          <w:color w:val="auto"/>
          <w:sz w:val="24"/>
          <w:szCs w:val="24"/>
          <w:highlight w:val="none"/>
          <w:u w:val="single"/>
        </w:rPr>
        <w:t>由于承包人自身原因或施工承包管理、配合及协调不力，而导致专业承包工程停工，产生的费用由承包人承担</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13、工期延误</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13.2</w:t>
      </w:r>
      <w:r>
        <w:rPr>
          <w:rFonts w:hint="eastAsia" w:ascii="宋体" w:hAnsi="宋体" w:cs="宋体"/>
          <w:color w:val="auto"/>
          <w:sz w:val="24"/>
          <w:szCs w:val="24"/>
          <w:highlight w:val="none"/>
          <w:u w:val="single"/>
        </w:rPr>
        <w:t>对于非因承包人原因发生的工期延误，承包人应当在工期延误事件发生后</w:t>
      </w:r>
      <w:r>
        <w:rPr>
          <w:rFonts w:ascii="宋体" w:hAnsi="宋体" w:cs="宋体"/>
          <w:color w:val="auto"/>
          <w:sz w:val="24"/>
          <w:szCs w:val="24"/>
          <w:highlight w:val="none"/>
          <w:u w:val="single"/>
        </w:rPr>
        <w:t>7天内就延误的内容经总监理工程师向发包人提出书面报告，逾期不报告，发包人不予确认；发包人在收到经总监理工程师确认报告后15个工作日内予以答复，逾期不予答复，承包人即可视为延期要求已被确认。经确认同意延期，可顺延工期，但不作费用补偿</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hint="eastAsia" w:ascii="宋体" w:hAnsi="宋体" w:cs="宋体"/>
          <w:b/>
          <w:color w:val="auto"/>
          <w:sz w:val="24"/>
          <w:szCs w:val="24"/>
          <w:highlight w:val="none"/>
        </w:rPr>
        <w:t>四、质量与验收</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15、工程质量</w:t>
      </w:r>
    </w:p>
    <w:p>
      <w:pPr>
        <w:snapToGrid w:val="0"/>
        <w:spacing w:line="440" w:lineRule="exact"/>
        <w:ind w:firstLine="397"/>
        <w:rPr>
          <w:rFonts w:ascii="宋体" w:hAnsi="宋体" w:cs="宋体"/>
          <w:bCs/>
          <w:color w:val="auto"/>
          <w:sz w:val="24"/>
          <w:szCs w:val="24"/>
          <w:highlight w:val="none"/>
        </w:rPr>
      </w:pPr>
      <w:r>
        <w:rPr>
          <w:rFonts w:ascii="宋体" w:hAnsi="宋体" w:cs="宋体"/>
          <w:bCs/>
          <w:color w:val="auto"/>
          <w:sz w:val="24"/>
          <w:szCs w:val="24"/>
          <w:highlight w:val="none"/>
        </w:rPr>
        <w:t>15.3</w:t>
      </w:r>
      <w:r>
        <w:rPr>
          <w:rFonts w:hint="eastAsia" w:ascii="宋体" w:hAnsi="宋体" w:cs="宋体"/>
          <w:bCs/>
          <w:color w:val="auto"/>
          <w:sz w:val="24"/>
          <w:szCs w:val="24"/>
          <w:highlight w:val="none"/>
          <w:u w:val="single"/>
        </w:rPr>
        <w:t>承包人必须严格按照设计施工图和国家及行业颁发的现行有关设计、施工及验收规范的要求进行施工，确保工程质量，</w:t>
      </w:r>
      <w:r>
        <w:rPr>
          <w:rFonts w:hint="eastAsia" w:ascii="宋体" w:hAnsi="宋体" w:cs="宋体"/>
          <w:bCs/>
          <w:color w:val="auto"/>
          <w:sz w:val="24"/>
          <w:szCs w:val="24"/>
          <w:highlight w:val="none"/>
        </w:rPr>
        <w:t>工程的质量标准要求合格，且达到投标承诺的质量标准</w:t>
      </w:r>
      <w:r>
        <w:rPr>
          <w:rFonts w:hint="eastAsia" w:ascii="宋体" w:hAnsi="宋体" w:cs="宋体"/>
          <w:bCs/>
          <w:color w:val="auto"/>
          <w:sz w:val="24"/>
          <w:szCs w:val="24"/>
          <w:highlight w:val="none"/>
          <w:u w:val="single"/>
        </w:rPr>
        <w:t>。承包人对图纸中存在的问题有责任和义务提前以书面形式报告工程师及发包人，以供发包人同监理人核实并及时要求设计方修改设计图纸</w:t>
      </w:r>
      <w:r>
        <w:rPr>
          <w:rFonts w:hint="eastAsia" w:ascii="宋体" w:hAnsi="宋体" w:cs="宋体"/>
          <w:bCs/>
          <w:color w:val="auto"/>
          <w:sz w:val="24"/>
          <w:szCs w:val="24"/>
          <w:highlight w:val="none"/>
        </w:rPr>
        <w:t>。</w:t>
      </w:r>
    </w:p>
    <w:p>
      <w:pPr>
        <w:snapToGrid w:val="0"/>
        <w:spacing w:line="440" w:lineRule="exact"/>
        <w:ind w:firstLine="397"/>
        <w:rPr>
          <w:rFonts w:ascii="宋体" w:hAnsi="宋体" w:cs="宋体"/>
          <w:bCs/>
          <w:color w:val="auto"/>
          <w:sz w:val="24"/>
          <w:szCs w:val="24"/>
          <w:highlight w:val="none"/>
        </w:rPr>
      </w:pPr>
      <w:r>
        <w:rPr>
          <w:rFonts w:ascii="宋体" w:hAnsi="宋体" w:cs="宋体"/>
          <w:bCs/>
          <w:color w:val="auto"/>
          <w:sz w:val="24"/>
          <w:szCs w:val="24"/>
          <w:highlight w:val="none"/>
        </w:rPr>
        <w:t>15.4</w:t>
      </w:r>
      <w:r>
        <w:rPr>
          <w:rFonts w:hint="eastAsia" w:ascii="宋体" w:hAnsi="宋体" w:cs="宋体"/>
          <w:bCs/>
          <w:color w:val="auto"/>
          <w:sz w:val="24"/>
          <w:szCs w:val="24"/>
          <w:highlight w:val="none"/>
          <w:u w:val="single"/>
        </w:rPr>
        <w:t>本工程项目的所有材料、设备及配件须达到现行中华人民共和国以及省、自治区、直辖市或行业的工程建设标准、规范的要求，产品应有生产许可证书、出厂合格证书，经监理工程师和发包人代表认可后方可使用</w:t>
      </w:r>
      <w:r>
        <w:rPr>
          <w:rFonts w:hint="eastAsia" w:ascii="宋体" w:hAnsi="宋体" w:cs="宋体"/>
          <w:bCs/>
          <w:color w:val="auto"/>
          <w:sz w:val="24"/>
          <w:szCs w:val="24"/>
          <w:highlight w:val="none"/>
        </w:rPr>
        <w:t>。</w:t>
      </w:r>
    </w:p>
    <w:p>
      <w:pPr>
        <w:snapToGrid w:val="0"/>
        <w:spacing w:line="440" w:lineRule="exact"/>
        <w:ind w:firstLine="397"/>
        <w:rPr>
          <w:rFonts w:ascii="宋体" w:hAnsi="宋体" w:cs="宋体"/>
          <w:bCs/>
          <w:color w:val="auto"/>
          <w:sz w:val="24"/>
          <w:szCs w:val="24"/>
          <w:highlight w:val="none"/>
        </w:rPr>
      </w:pPr>
      <w:r>
        <w:rPr>
          <w:rFonts w:ascii="宋体" w:hAnsi="宋体" w:cs="宋体"/>
          <w:bCs/>
          <w:color w:val="auto"/>
          <w:sz w:val="24"/>
          <w:szCs w:val="24"/>
          <w:highlight w:val="none"/>
        </w:rPr>
        <w:t>15.5</w:t>
      </w:r>
      <w:r>
        <w:rPr>
          <w:rFonts w:hint="eastAsia" w:ascii="宋体" w:hAnsi="宋体" w:cs="宋体"/>
          <w:bCs/>
          <w:color w:val="auto"/>
          <w:sz w:val="24"/>
          <w:szCs w:val="24"/>
          <w:highlight w:val="none"/>
          <w:u w:val="single"/>
        </w:rPr>
        <w:t>工程质量不符合设计要求、质量不合格者，监理工程师可指令承包人停工或返工，返工费用由承包人承担，工期不予顺延</w:t>
      </w:r>
      <w:r>
        <w:rPr>
          <w:rFonts w:hint="eastAsia" w:ascii="宋体" w:hAnsi="宋体" w:cs="宋体"/>
          <w:bCs/>
          <w:color w:val="auto"/>
          <w:sz w:val="24"/>
          <w:szCs w:val="24"/>
          <w:highlight w:val="none"/>
        </w:rPr>
        <w:t>。</w:t>
      </w:r>
    </w:p>
    <w:p>
      <w:pPr>
        <w:snapToGrid w:val="0"/>
        <w:spacing w:line="440" w:lineRule="exact"/>
        <w:ind w:firstLine="397"/>
        <w:rPr>
          <w:rFonts w:ascii="宋体" w:hAnsi="宋体" w:cs="宋体"/>
          <w:bCs/>
          <w:color w:val="auto"/>
          <w:sz w:val="24"/>
          <w:szCs w:val="24"/>
          <w:highlight w:val="none"/>
        </w:rPr>
      </w:pPr>
      <w:r>
        <w:rPr>
          <w:rFonts w:ascii="宋体" w:hAnsi="宋体" w:cs="宋体"/>
          <w:bCs/>
          <w:color w:val="auto"/>
          <w:sz w:val="24"/>
          <w:szCs w:val="24"/>
          <w:highlight w:val="none"/>
        </w:rPr>
        <w:t>15.6</w:t>
      </w:r>
      <w:r>
        <w:rPr>
          <w:rFonts w:hint="eastAsia" w:ascii="宋体" w:hAnsi="宋体" w:cs="宋体"/>
          <w:bCs/>
          <w:color w:val="auto"/>
          <w:sz w:val="24"/>
          <w:szCs w:val="24"/>
          <w:highlight w:val="none"/>
          <w:u w:val="single"/>
        </w:rPr>
        <w:t>发生须紧急抢修事故，承包人接到通知后，应立即到达事故现场抢修；否则，发包人可以另委托单位抢修，属承包人施工质量问题造成的修复等费用全部由承包人承担</w:t>
      </w:r>
      <w:r>
        <w:rPr>
          <w:rFonts w:hint="eastAsia" w:ascii="宋体" w:hAnsi="宋体" w:cs="宋体"/>
          <w:bCs/>
          <w:color w:val="auto"/>
          <w:sz w:val="24"/>
          <w:szCs w:val="24"/>
          <w:highlight w:val="none"/>
        </w:rPr>
        <w:t>。</w:t>
      </w:r>
    </w:p>
    <w:p>
      <w:pPr>
        <w:snapToGrid w:val="0"/>
        <w:spacing w:line="440" w:lineRule="exact"/>
        <w:ind w:firstLine="397"/>
        <w:rPr>
          <w:rFonts w:ascii="宋体" w:hAnsi="宋体" w:cs="宋体"/>
          <w:bCs/>
          <w:color w:val="auto"/>
          <w:sz w:val="24"/>
          <w:szCs w:val="24"/>
          <w:highlight w:val="none"/>
        </w:rPr>
      </w:pPr>
      <w:r>
        <w:rPr>
          <w:rFonts w:ascii="宋体" w:hAnsi="宋体" w:cs="宋体"/>
          <w:bCs/>
          <w:color w:val="auto"/>
          <w:sz w:val="24"/>
          <w:szCs w:val="24"/>
          <w:highlight w:val="none"/>
        </w:rPr>
        <w:t>15.7</w:t>
      </w:r>
      <w:r>
        <w:rPr>
          <w:rFonts w:hint="eastAsia" w:ascii="宋体" w:hAnsi="宋体" w:cs="宋体"/>
          <w:bCs/>
          <w:color w:val="auto"/>
          <w:sz w:val="24"/>
          <w:szCs w:val="24"/>
          <w:highlight w:val="none"/>
          <w:u w:val="single"/>
        </w:rPr>
        <w:t>本工程按照本合同专用条款</w:t>
      </w:r>
      <w:r>
        <w:rPr>
          <w:rFonts w:ascii="宋体" w:hAnsi="宋体" w:cs="宋体"/>
          <w:bCs/>
          <w:color w:val="auto"/>
          <w:sz w:val="24"/>
          <w:szCs w:val="24"/>
          <w:highlight w:val="none"/>
          <w:u w:val="single"/>
        </w:rPr>
        <w:t>3.3的约定进行质量验收。若承包人有违反操作规程和标准或施工质量不符合规定的，发包人及监理工程师有权令其停止（或暂停）施工，由此造成的损失均由承包人负责。如在施工过程中颁发新的</w:t>
      </w:r>
      <w:r>
        <w:rPr>
          <w:rFonts w:hint="eastAsia" w:ascii="宋体" w:hAnsi="宋体" w:cs="宋体"/>
          <w:bCs/>
          <w:color w:val="auto"/>
          <w:sz w:val="24"/>
          <w:szCs w:val="24"/>
          <w:highlight w:val="none"/>
          <w:u w:val="single"/>
        </w:rPr>
        <w:t>质量标准规范版本的，是否采用新版本规定，由监理工程师与有关各方洽商决定</w:t>
      </w:r>
      <w:r>
        <w:rPr>
          <w:rFonts w:hint="eastAsia" w:ascii="宋体" w:hAnsi="宋体" w:cs="宋体"/>
          <w:bCs/>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16、检查和返工</w:t>
      </w:r>
    </w:p>
    <w:p>
      <w:pPr>
        <w:snapToGrid w:val="0"/>
        <w:spacing w:line="440" w:lineRule="exact"/>
        <w:ind w:firstLine="397"/>
        <w:rPr>
          <w:rFonts w:ascii="宋体" w:hAnsi="宋体" w:cs="宋体"/>
          <w:bCs/>
          <w:color w:val="auto"/>
          <w:sz w:val="24"/>
          <w:szCs w:val="24"/>
          <w:highlight w:val="none"/>
        </w:rPr>
      </w:pPr>
      <w:r>
        <w:rPr>
          <w:rFonts w:ascii="宋体" w:hAnsi="宋体" w:cs="宋体"/>
          <w:bCs/>
          <w:color w:val="auto"/>
          <w:sz w:val="24"/>
          <w:szCs w:val="24"/>
          <w:highlight w:val="none"/>
        </w:rPr>
        <w:t>16.3工程师的检查检验：</w:t>
      </w:r>
      <w:r>
        <w:rPr>
          <w:rFonts w:hint="eastAsia" w:ascii="宋体" w:hAnsi="宋体" w:cs="宋体"/>
          <w:bCs/>
          <w:color w:val="auto"/>
          <w:sz w:val="24"/>
          <w:szCs w:val="24"/>
          <w:highlight w:val="none"/>
          <w:u w:val="single"/>
        </w:rPr>
        <w:t>工程师按规范、标准、设计图纸要求和频率所进行的检查检测不应成为承包人工期顺延的理由</w:t>
      </w:r>
      <w:r>
        <w:rPr>
          <w:rFonts w:hint="eastAsia" w:ascii="宋体" w:hAnsi="宋体" w:cs="宋体"/>
          <w:bCs/>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17</w:t>
      </w:r>
      <w:r>
        <w:rPr>
          <w:rFonts w:hint="eastAsia" w:ascii="宋体" w:hAnsi="宋体" w:cs="宋体"/>
          <w:b/>
          <w:color w:val="auto"/>
          <w:sz w:val="24"/>
          <w:szCs w:val="24"/>
          <w:highlight w:val="none"/>
        </w:rPr>
        <w:t>、隐蔽工程和中间验收</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17.1</w:t>
      </w:r>
      <w:r>
        <w:rPr>
          <w:rFonts w:hint="eastAsia" w:ascii="宋体" w:hAnsi="宋体" w:cs="宋体"/>
          <w:color w:val="auto"/>
          <w:sz w:val="24"/>
          <w:szCs w:val="24"/>
          <w:highlight w:val="none"/>
        </w:rPr>
        <w:t>双方约定中间验收部位：</w:t>
      </w:r>
      <w:r>
        <w:rPr>
          <w:rFonts w:hint="eastAsia" w:ascii="宋体" w:hAnsi="宋体" w:cs="宋体"/>
          <w:color w:val="auto"/>
          <w:sz w:val="24"/>
          <w:szCs w:val="24"/>
          <w:highlight w:val="none"/>
          <w:u w:val="single"/>
        </w:rPr>
        <w:t>按相应工程施工及验收规范要求执行</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19</w:t>
      </w:r>
      <w:r>
        <w:rPr>
          <w:rFonts w:hint="eastAsia" w:ascii="宋体" w:hAnsi="宋体" w:cs="宋体"/>
          <w:b/>
          <w:color w:val="auto"/>
          <w:sz w:val="24"/>
          <w:szCs w:val="24"/>
          <w:highlight w:val="none"/>
        </w:rPr>
        <w:t>、工程试车</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19.5</w:t>
      </w:r>
      <w:r>
        <w:rPr>
          <w:rFonts w:hint="eastAsia" w:ascii="宋体" w:hAnsi="宋体" w:cs="宋体"/>
          <w:color w:val="auto"/>
          <w:sz w:val="24"/>
          <w:szCs w:val="24"/>
          <w:highlight w:val="none"/>
        </w:rPr>
        <w:t>试车费用的承担：</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b/>
          <w:color w:val="auto"/>
          <w:sz w:val="24"/>
          <w:szCs w:val="24"/>
          <w:highlight w:val="none"/>
        </w:rPr>
        <w:t>五、安全施工</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20、安全施工与检查</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20.3</w:t>
      </w:r>
      <w:r>
        <w:rPr>
          <w:rFonts w:hint="eastAsia" w:ascii="宋体" w:hAnsi="宋体" w:cs="宋体"/>
          <w:color w:val="auto"/>
          <w:sz w:val="24"/>
          <w:szCs w:val="24"/>
          <w:highlight w:val="none"/>
          <w:u w:val="single"/>
        </w:rPr>
        <w:t>承包人应建立安全责任制，明确各部门安全工作的岗位责任人，建立健全正常运转的各种安全工作保证体系和规章制度，将安全生产目标分解落实到实处</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20.4</w:t>
      </w:r>
      <w:r>
        <w:rPr>
          <w:rFonts w:hint="eastAsia" w:ascii="宋体" w:hAnsi="宋体" w:cs="宋体"/>
          <w:color w:val="auto"/>
          <w:sz w:val="24"/>
          <w:szCs w:val="24"/>
          <w:highlight w:val="none"/>
          <w:u w:val="single"/>
        </w:rPr>
        <w:t>承包人按规定数量配置安全员</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20.5</w:t>
      </w:r>
      <w:r>
        <w:rPr>
          <w:rFonts w:hint="eastAsia" w:ascii="宋体" w:hAnsi="宋体" w:cs="宋体"/>
          <w:color w:val="auto"/>
          <w:sz w:val="24"/>
          <w:szCs w:val="24"/>
          <w:highlight w:val="none"/>
          <w:u w:val="single"/>
        </w:rPr>
        <w:t>承包人在开工前须向质量安全监督机构提交备案的书面资料</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20.6</w:t>
      </w:r>
      <w:r>
        <w:rPr>
          <w:rFonts w:hint="eastAsia" w:ascii="宋体" w:hAnsi="宋体" w:cs="宋体"/>
          <w:color w:val="auto"/>
          <w:sz w:val="24"/>
          <w:szCs w:val="24"/>
          <w:highlight w:val="none"/>
          <w:u w:val="single"/>
        </w:rPr>
        <w:t>承包人在编制施工组织设计时，应当根据工程的特点编制相应的安全技术措施</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20.7</w:t>
      </w:r>
      <w:r>
        <w:rPr>
          <w:rFonts w:hint="eastAsia" w:ascii="宋体" w:hAnsi="宋体" w:cs="宋体"/>
          <w:color w:val="auto"/>
          <w:sz w:val="24"/>
          <w:szCs w:val="24"/>
          <w:highlight w:val="none"/>
          <w:u w:val="single"/>
        </w:rPr>
        <w:t>承包人按有关安全和防护的规定组织施工生产，不得使用不合标准的防护器材、机具和材料</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20.8</w:t>
      </w:r>
      <w:r>
        <w:rPr>
          <w:rFonts w:hint="eastAsia" w:ascii="宋体" w:hAnsi="宋体" w:cs="宋体"/>
          <w:color w:val="auto"/>
          <w:sz w:val="24"/>
          <w:szCs w:val="24"/>
          <w:highlight w:val="none"/>
          <w:u w:val="single"/>
        </w:rPr>
        <w:t>在工程实施期间，施工场地一经移交给承包人，承包人即对自身施工场地负有全过程、全面的管理责任，必须对自身施工场地范围内的治安秩序、安全保卫、环境卫生以及周围房屋、市政设施等负全责，对自身施工场地范围内的交通道路、用水、用电、场地内的协调进行的管理和协调。承包人需对其施工场地布置、人员的管理、交通组织制订详细的方案，对施工时段作出合理安排，必须采用全封闭施工方案，确保不对周边环境、道路、行人和相邻施工现场造成不利影响，不得干扰周围居民的正常生活，不得影响学生的上课及正常的活动</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21、安全防护</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21.3</w:t>
      </w:r>
      <w:r>
        <w:rPr>
          <w:rFonts w:hint="eastAsia" w:ascii="宋体" w:hAnsi="宋体" w:cs="宋体"/>
          <w:color w:val="auto"/>
          <w:sz w:val="24"/>
          <w:szCs w:val="24"/>
          <w:highlight w:val="none"/>
          <w:u w:val="single"/>
        </w:rPr>
        <w:t>承包人应在施工现场采取维护安全、防范危险、预防火灾等措施，在特殊作业环境应对作业人员采取劳动保护措施</w:t>
      </w:r>
      <w:r>
        <w:rPr>
          <w:rFonts w:hint="eastAsia" w:ascii="宋体" w:hAnsi="宋体" w:cs="宋体"/>
          <w:color w:val="auto"/>
          <w:sz w:val="24"/>
          <w:szCs w:val="24"/>
          <w:highlight w:val="none"/>
        </w:rPr>
        <w:t>。</w:t>
      </w:r>
    </w:p>
    <w:p>
      <w:pPr>
        <w:tabs>
          <w:tab w:val="left" w:pos="2340"/>
        </w:tabs>
        <w:spacing w:line="440" w:lineRule="exact"/>
        <w:ind w:firstLine="480" w:firstLineChars="200"/>
        <w:jc w:val="left"/>
        <w:rPr>
          <w:rFonts w:ascii="宋体" w:hAnsi="宋体" w:cs="宋体"/>
          <w:color w:val="auto"/>
          <w:sz w:val="24"/>
          <w:szCs w:val="24"/>
          <w:highlight w:val="none"/>
        </w:rPr>
      </w:pPr>
      <w:r>
        <w:rPr>
          <w:rFonts w:ascii="宋体" w:hAnsi="宋体" w:cs="宋体"/>
          <w:color w:val="auto"/>
          <w:sz w:val="24"/>
          <w:szCs w:val="24"/>
          <w:highlight w:val="none"/>
        </w:rPr>
        <w:t>21.4</w:t>
      </w:r>
      <w:r>
        <w:rPr>
          <w:rFonts w:hint="eastAsia" w:ascii="宋体" w:hAnsi="宋体" w:cs="宋体"/>
          <w:color w:val="auto"/>
          <w:sz w:val="24"/>
          <w:szCs w:val="24"/>
          <w:highlight w:val="none"/>
          <w:u w:val="single"/>
        </w:rPr>
        <w:t>承包人应加强周边学校、居民住宅的环境保护，制定绿色施工安全防护措施（包括防尘、防噪音、施工围蔽等），施工现场严格按照</w:t>
      </w:r>
      <w:r>
        <w:rPr>
          <w:rFonts w:hint="eastAsia" w:ascii="宋体" w:hAnsi="宋体"/>
          <w:color w:val="auto"/>
          <w:kern w:val="0"/>
          <w:sz w:val="24"/>
          <w:szCs w:val="24"/>
          <w:highlight w:val="none"/>
        </w:rPr>
        <w:t>《广东省建设工程施工扬尘污染防治管理办法（试行）》（粤办函〔2017〕708号）、</w:t>
      </w:r>
      <w:r>
        <w:rPr>
          <w:rFonts w:hint="eastAsia" w:ascii="宋体" w:hAnsi="宋体" w:cs="宋体"/>
          <w:color w:val="auto"/>
          <w:sz w:val="24"/>
          <w:szCs w:val="24"/>
          <w:highlight w:val="none"/>
          <w:u w:val="single"/>
        </w:rPr>
        <w:t>《广州市建设工程文明施工管理规定》（广州市人民政府令第</w:t>
      </w:r>
      <w:r>
        <w:rPr>
          <w:rFonts w:ascii="宋体" w:hAnsi="宋体" w:cs="宋体"/>
          <w:color w:val="auto"/>
          <w:sz w:val="24"/>
          <w:szCs w:val="24"/>
          <w:highlight w:val="none"/>
          <w:u w:val="single"/>
        </w:rPr>
        <w:t>158</w:t>
      </w:r>
      <w:r>
        <w:rPr>
          <w:rFonts w:hint="eastAsia" w:ascii="宋体" w:hAnsi="宋体" w:cs="宋体"/>
          <w:color w:val="auto"/>
          <w:sz w:val="24"/>
          <w:szCs w:val="24"/>
          <w:highlight w:val="none"/>
          <w:u w:val="single"/>
        </w:rPr>
        <w:t>号）、《广州市建设工程现场文明施工管理办法》（</w:t>
      </w:r>
      <w:r>
        <w:rPr>
          <w:rFonts w:hint="eastAsia" w:ascii="宋体" w:hAnsi="宋体" w:cs="宋体"/>
          <w:bCs/>
          <w:smallCaps/>
          <w:color w:val="auto"/>
          <w:sz w:val="24"/>
          <w:szCs w:val="24"/>
          <w:highlight w:val="none"/>
          <w:u w:val="single"/>
        </w:rPr>
        <w:t>穗建质</w:t>
      </w: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2008〕</w:t>
      </w:r>
      <w:r>
        <w:rPr>
          <w:rFonts w:ascii="宋体" w:hAnsi="宋体" w:cs="宋体"/>
          <w:bCs/>
          <w:smallCaps/>
          <w:color w:val="auto"/>
          <w:sz w:val="24"/>
          <w:szCs w:val="24"/>
          <w:highlight w:val="none"/>
          <w:u w:val="single"/>
        </w:rPr>
        <w:t>937号）</w:t>
      </w:r>
      <w:r>
        <w:rPr>
          <w:rFonts w:hint="eastAsia" w:ascii="宋体" w:hAnsi="宋体" w:cs="宋体"/>
          <w:color w:val="auto"/>
          <w:sz w:val="24"/>
          <w:szCs w:val="24"/>
          <w:highlight w:val="none"/>
          <w:u w:val="single"/>
        </w:rPr>
        <w:t>、《关于进一步加强我区建设工地文明施工管理的通知》（穗开规建〔</w:t>
      </w:r>
      <w:r>
        <w:rPr>
          <w:rFonts w:ascii="宋体" w:hAnsi="宋体" w:cs="宋体"/>
          <w:color w:val="auto"/>
          <w:sz w:val="24"/>
          <w:szCs w:val="24"/>
          <w:highlight w:val="none"/>
          <w:u w:val="single"/>
        </w:rPr>
        <w:t>2006〕74号）、《广州市住房和城乡建设委员会关于印发建设工程扬尘防治“6个100%”管理标准细化措施的通知》（穗建质〔2018〕1394号）及其他相关规定实施，施工围蔽严格按照</w:t>
      </w:r>
      <w:r>
        <w:rPr>
          <w:rFonts w:hint="eastAsia" w:ascii="宋体" w:hAnsi="宋体" w:cs="宋体"/>
          <w:color w:val="auto"/>
          <w:sz w:val="24"/>
          <w:szCs w:val="24"/>
          <w:highlight w:val="none"/>
          <w:u w:val="single"/>
        </w:rPr>
        <w:t>《关于进一步加强规范建设施工现场围蔽的通知》（穗建质〔</w:t>
      </w:r>
      <w:r>
        <w:rPr>
          <w:rFonts w:ascii="宋体" w:hAnsi="宋体" w:cs="宋体"/>
          <w:color w:val="auto"/>
          <w:sz w:val="24"/>
          <w:szCs w:val="24"/>
          <w:highlight w:val="none"/>
          <w:u w:val="single"/>
        </w:rPr>
        <w:t>2018〕1008号）</w:t>
      </w:r>
      <w:r>
        <w:rPr>
          <w:rFonts w:hint="eastAsia" w:ascii="宋体" w:hAnsi="宋体" w:cs="宋体"/>
          <w:color w:val="auto"/>
          <w:sz w:val="24"/>
          <w:szCs w:val="24"/>
          <w:highlight w:val="none"/>
          <w:u w:val="single"/>
        </w:rPr>
        <w:t>、《广州市建设工程绿色施工围蔽指导图集（</w:t>
      </w:r>
      <w:r>
        <w:rPr>
          <w:rFonts w:ascii="宋体" w:hAnsi="宋体" w:cs="宋体"/>
          <w:color w:val="auto"/>
          <w:sz w:val="24"/>
          <w:szCs w:val="24"/>
          <w:highlight w:val="none"/>
          <w:u w:val="single"/>
        </w:rPr>
        <w:t>V2.0版）》(穗建质〔2020〕1号）</w:t>
      </w:r>
      <w:r>
        <w:rPr>
          <w:rFonts w:hint="eastAsia" w:ascii="宋体" w:hAnsi="宋体" w:cs="宋体"/>
          <w:color w:val="auto"/>
          <w:sz w:val="24"/>
          <w:szCs w:val="24"/>
          <w:highlight w:val="none"/>
          <w:u w:val="single"/>
        </w:rPr>
        <w:t>、</w:t>
      </w:r>
      <w:r>
        <w:rPr>
          <w:rFonts w:hint="eastAsia" w:ascii="宋体" w:hAnsi="宋体"/>
          <w:color w:val="auto"/>
          <w:kern w:val="0"/>
          <w:sz w:val="24"/>
          <w:szCs w:val="24"/>
          <w:highlight w:val="none"/>
        </w:rPr>
        <w:t>《关于在全区建设项目推广使用封闭式外脚手架金属防护网的通知》（穗埔建﹝2019﹞66号）、</w:t>
      </w:r>
      <w:r>
        <w:rPr>
          <w:rFonts w:hint="eastAsia" w:ascii="宋体" w:hAnsi="宋体" w:cs="宋体"/>
          <w:color w:val="auto"/>
          <w:sz w:val="24"/>
          <w:szCs w:val="24"/>
          <w:highlight w:val="none"/>
          <w:u w:val="single"/>
        </w:rPr>
        <w:t>《关于进一步落实我区市政建设项目施工围蔽提升工作的通知》（穗埔建</w:t>
      </w:r>
      <w:r>
        <w:rPr>
          <w:rFonts w:ascii="宋体" w:hAnsi="宋体" w:cs="宋体"/>
          <w:color w:val="auto"/>
          <w:sz w:val="24"/>
          <w:szCs w:val="24"/>
          <w:highlight w:val="none"/>
          <w:u w:val="single"/>
        </w:rPr>
        <w:t>[2019]123号）</w:t>
      </w:r>
      <w:r>
        <w:rPr>
          <w:rFonts w:hint="eastAsia" w:ascii="宋体" w:hAnsi="宋体" w:cs="宋体"/>
          <w:color w:val="auto"/>
          <w:sz w:val="24"/>
          <w:szCs w:val="24"/>
          <w:highlight w:val="none"/>
          <w:u w:val="single"/>
        </w:rPr>
        <w:t>及《黄埔区住房和城乡建设局</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广州开发区建设和交通局关于进一步规范全区建设工程施工围蔽标准的通知》（穗埔建﹝</w:t>
      </w:r>
      <w:r>
        <w:rPr>
          <w:rFonts w:ascii="宋体" w:hAnsi="宋体" w:cs="宋体"/>
          <w:color w:val="auto"/>
          <w:sz w:val="24"/>
          <w:szCs w:val="24"/>
          <w:highlight w:val="none"/>
          <w:u w:val="single"/>
        </w:rPr>
        <w:t>2020﹞183号）实施。</w:t>
      </w:r>
      <w:r>
        <w:rPr>
          <w:rFonts w:ascii="宋体" w:hAnsi="宋体" w:cs="宋体"/>
          <w:color w:val="auto"/>
          <w:sz w:val="24"/>
          <w:szCs w:val="24"/>
          <w:highlight w:val="none"/>
        </w:rPr>
        <w:t>以上文件要求不一致的，以后发布文件为准，若相关部门发布有关施工围蔽新文件规定的，按新规定执行。</w:t>
      </w:r>
      <w:r>
        <w:rPr>
          <w:rFonts w:hint="eastAsia" w:ascii="宋体" w:hAnsi="宋体" w:cs="宋体"/>
          <w:color w:val="auto"/>
          <w:sz w:val="24"/>
          <w:szCs w:val="24"/>
          <w:highlight w:val="none"/>
          <w:u w:val="single"/>
        </w:rPr>
        <w:t>如承包人未及时按要求做好围蔽、落实工地扬尘防治等绿色施工安全防护措施，业主可另行委托单位实施，业主在工程款中扣减相应措施费用。承包人应当在项目施工前编制扬尘污染防治专项方案和扬尘污染防治费用使用计划，明确扬尘控制目标、防治部位、控制措施，并将扬尘污染防治费用专项使用。</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21.5</w:t>
      </w:r>
      <w:r>
        <w:rPr>
          <w:rFonts w:hint="eastAsia" w:ascii="宋体" w:hAnsi="宋体" w:cs="宋体"/>
          <w:color w:val="auto"/>
          <w:sz w:val="24"/>
          <w:szCs w:val="24"/>
          <w:highlight w:val="none"/>
          <w:u w:val="single"/>
        </w:rPr>
        <w:t>承包人应按规定对工程施工人员进行安全教育和管理</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21.6</w:t>
      </w:r>
      <w:r>
        <w:rPr>
          <w:rFonts w:hint="eastAsia" w:ascii="宋体" w:hAnsi="宋体" w:cs="宋体"/>
          <w:color w:val="auto"/>
          <w:sz w:val="24"/>
          <w:szCs w:val="24"/>
          <w:highlight w:val="none"/>
          <w:u w:val="single"/>
        </w:rPr>
        <w:t>承包人应书面记录专项安全施工组织设计方案审查、安全检查、安全技术交底、安全隐患整改、安全教育等重要安全管理活动</w:t>
      </w:r>
      <w:r>
        <w:rPr>
          <w:rFonts w:hint="eastAsia" w:ascii="宋体" w:hAnsi="宋体" w:cs="宋体"/>
          <w:color w:val="auto"/>
          <w:sz w:val="24"/>
          <w:szCs w:val="24"/>
          <w:highlight w:val="none"/>
        </w:rPr>
        <w:t>。</w:t>
      </w:r>
    </w:p>
    <w:p>
      <w:pPr>
        <w:spacing w:line="440" w:lineRule="exact"/>
        <w:ind w:firstLine="360" w:firstLineChars="150"/>
        <w:rPr>
          <w:rFonts w:ascii="宋体" w:hAnsi="宋体" w:cs="宋体"/>
          <w:color w:val="auto"/>
          <w:sz w:val="24"/>
          <w:szCs w:val="24"/>
          <w:highlight w:val="none"/>
          <w:u w:val="single"/>
        </w:rPr>
      </w:pPr>
      <w:r>
        <w:rPr>
          <w:rFonts w:ascii="宋体" w:hAnsi="宋体" w:cs="宋体"/>
          <w:color w:val="auto"/>
          <w:sz w:val="24"/>
          <w:szCs w:val="24"/>
          <w:highlight w:val="none"/>
          <w:u w:val="single"/>
        </w:rPr>
        <w:t>21.7承包人用于本项目的非标起重机械设备须严格执行</w:t>
      </w:r>
      <w:r>
        <w:rPr>
          <w:rFonts w:hint="eastAsia" w:ascii="宋体" w:hAnsi="宋体" w:cs="宋体"/>
          <w:color w:val="auto"/>
          <w:sz w:val="24"/>
          <w:szCs w:val="24"/>
          <w:highlight w:val="none"/>
          <w:u w:val="single"/>
        </w:rPr>
        <w:t>《关于印发</w:t>
      </w:r>
      <w:r>
        <w:rPr>
          <w:rFonts w:ascii="宋体" w:hAnsi="宋体" w:cs="宋体"/>
          <w:color w:val="auto"/>
          <w:sz w:val="24"/>
          <w:szCs w:val="24"/>
          <w:highlight w:val="none"/>
          <w:u w:val="single"/>
        </w:rPr>
        <w:t>&lt;广州市非标建筑起重机械管理办法&gt;的通知》(穗建质[2010]999号)</w:t>
      </w:r>
      <w:r>
        <w:rPr>
          <w:rFonts w:hint="eastAsia" w:ascii="宋体" w:hAnsi="宋体" w:cs="宋体"/>
          <w:color w:val="auto"/>
          <w:sz w:val="24"/>
          <w:szCs w:val="24"/>
          <w:highlight w:val="none"/>
          <w:u w:val="single"/>
        </w:rPr>
        <w:t>的相关规定，非标起重机械设备是指没有国家或行业制造标准的各类起重机械设备，如非标架桥设备、</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竖井提升设备、非标龙门吊、贝雷架式或扒杆式起重装置等。</w:t>
      </w:r>
    </w:p>
    <w:p>
      <w:pPr>
        <w:spacing w:line="440" w:lineRule="exact"/>
        <w:ind w:firstLine="360" w:firstLineChars="150"/>
        <w:rPr>
          <w:rFonts w:ascii="宋体" w:hAnsi="宋体" w:cs="宋体"/>
          <w:color w:val="auto"/>
          <w:sz w:val="24"/>
          <w:szCs w:val="24"/>
          <w:highlight w:val="none"/>
          <w:u w:val="single"/>
        </w:rPr>
      </w:pPr>
      <w:r>
        <w:rPr>
          <w:rFonts w:ascii="宋体" w:hAnsi="宋体" w:cs="宋体"/>
          <w:color w:val="auto"/>
          <w:sz w:val="24"/>
          <w:szCs w:val="24"/>
          <w:highlight w:val="none"/>
          <w:u w:val="single"/>
        </w:rPr>
        <w:t>21.8承包人用于本项目的起重设备须严格执行《关于建筑起重机械设备安全监督管理的通知》【穗建安监字[2006]24号】、《关于加强建设工地塔式起重机安全管理的若干规定》【穗建安监字[2006]5号】、《关于加强塔式起重机等垂直运输设备及附着升降脚手架施工安全监督管理的通知》</w:t>
      </w: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穗建筑[2003]84号</w:t>
      </w:r>
      <w:r>
        <w:rPr>
          <w:rFonts w:hint="eastAsia" w:ascii="宋体" w:hAnsi="宋体" w:cs="宋体"/>
          <w:color w:val="auto"/>
          <w:sz w:val="24"/>
          <w:szCs w:val="24"/>
          <w:highlight w:val="none"/>
          <w:u w:val="single"/>
        </w:rPr>
        <w:t>】等相关规定。</w:t>
      </w:r>
    </w:p>
    <w:p>
      <w:pPr>
        <w:spacing w:line="440" w:lineRule="exact"/>
        <w:ind w:firstLine="360" w:firstLineChars="150"/>
        <w:rPr>
          <w:rFonts w:ascii="宋体" w:hAnsi="宋体" w:cs="宋体"/>
          <w:color w:val="auto"/>
          <w:sz w:val="24"/>
          <w:szCs w:val="24"/>
          <w:highlight w:val="none"/>
          <w:u w:val="single"/>
        </w:rPr>
      </w:pPr>
      <w:r>
        <w:rPr>
          <w:rFonts w:ascii="宋体" w:hAnsi="宋体" w:cs="宋体"/>
          <w:color w:val="auto"/>
          <w:sz w:val="24"/>
          <w:szCs w:val="24"/>
          <w:highlight w:val="none"/>
          <w:u w:val="single"/>
        </w:rPr>
        <w:t>21.9承包人在工程实施过程中，按照国家、省、市的相关规定制定相关的专项安全施工方案（如高支模、基坑支护、沉井等），组织专家评审通过后，报监理人、发包人审批后方可开展专项工程的施工。</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21.10根据《广州市城乡建设委员会关于印发广州市建设工程施工机械设备环保管理整治联合行动工作方案的函》（穗建质函[2014]2763号）要求，承包人应按上述文件规定执行，确保所有在用施工机械设备整洁、安全、有效，防止尾气污染的超标排放。所有施工机械必须具有出厂合格证明文件或进口设备检测证明文件，机械设备必须使用广州市推广使用的车用燃油。承包人应对正使用的机械设备定期维护保养并采取有效措施减少污染排放。承包人未按上述要求执行的，视为未按约定投入机械设备，按35.2.6</w:t>
      </w:r>
      <w:r>
        <w:rPr>
          <w:rFonts w:hint="eastAsia" w:ascii="宋体" w:hAnsi="宋体" w:cs="宋体"/>
          <w:color w:val="auto"/>
          <w:sz w:val="24"/>
          <w:szCs w:val="24"/>
          <w:highlight w:val="none"/>
        </w:rPr>
        <w:t>款（</w:t>
      </w:r>
      <w:r>
        <w:rPr>
          <w:rFonts w:ascii="宋体" w:hAnsi="宋体" w:cs="宋体"/>
          <w:color w:val="auto"/>
          <w:sz w:val="24"/>
          <w:szCs w:val="24"/>
          <w:highlight w:val="none"/>
        </w:rPr>
        <w:t>2）项承担违约责任。</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21.11承包人在施工期间要确保工程外场地清洁及道路畅通，如须使用他方道路，则还必须负责养护、保洁责任，否则责任自负。施工和警示标志明显，因施工造成人身损害和财产损失的，由承包人承担责任。</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21.12承包人必须考虑安全、环保等因素在局部施工范围进行施工，现场围蔽不符合国家有关安全措施及技术要求的，不得开展施工作业，由此造成的工期延长，由承包人自己负责，当作延误工期处理。</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21.13承包人应注意对现有的道路、供水管、排水管、绿化、路灯、电力与通讯设施等进行保护，如因承包人原因损坏，承包人应无条件修复，由此引起的任何安全事故由承包人负责，并承担由此产生的一切费用。若承包人不能按要求修复的，则由发包人委托其它单位修复，费用从承包人工程款中扣付。</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21.14承包人应对当地现有的交通道路状况进行充分调查，充分考虑该路段的交通疏导问题和文明施工，制定可行的交通疏导（包括场内和场外）方案，确保原有道路的交通畅通和施工临时排水的通畅，并符合施工环保要求。承包人应与交警及公路管理部门协商，取得同意和协助，并负责承担道路改线或改善和其他费用。相关费用计入措施项目费中，结算时按发包人批准的实施方案，按合同约定结算。如果承包人不及时按要求设置，发包人可以另行委托实施。发包人按实际发生的费用在工程款中扣除，承包人不得有任何异议。</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22、事故处理</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22.3</w:t>
      </w:r>
      <w:r>
        <w:rPr>
          <w:rFonts w:hint="eastAsia" w:ascii="宋体" w:hAnsi="宋体" w:cs="宋体"/>
          <w:color w:val="auto"/>
          <w:sz w:val="24"/>
          <w:szCs w:val="24"/>
          <w:highlight w:val="none"/>
        </w:rPr>
        <w:t>如发生安全事故，除按法定程序办理有关事宜外，还必须按以下程序进行处理：</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22.3.1</w:t>
      </w:r>
      <w:r>
        <w:rPr>
          <w:rFonts w:hint="eastAsia" w:ascii="宋体" w:hAnsi="宋体" w:cs="宋体"/>
          <w:color w:val="auto"/>
          <w:sz w:val="24"/>
          <w:szCs w:val="24"/>
          <w:highlight w:val="none"/>
          <w:u w:val="single"/>
        </w:rPr>
        <w:t>报告安全事故：安全事故发生后，承包人应在</w:t>
      </w:r>
      <w:r>
        <w:rPr>
          <w:rFonts w:ascii="宋体" w:hAnsi="宋体" w:cs="宋体"/>
          <w:color w:val="auto"/>
          <w:sz w:val="24"/>
          <w:szCs w:val="24"/>
          <w:highlight w:val="none"/>
          <w:u w:val="single"/>
        </w:rPr>
        <w:t>1小时内用最快的信息传递手段，将发生事故的时间、地点、伤亡人数、事故原因等情况，报工程师和发包人</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22.3.2</w:t>
      </w:r>
      <w:r>
        <w:rPr>
          <w:rFonts w:hint="eastAsia" w:ascii="宋体" w:hAnsi="宋体" w:cs="宋体"/>
          <w:color w:val="auto"/>
          <w:sz w:val="24"/>
          <w:szCs w:val="24"/>
          <w:highlight w:val="none"/>
          <w:u w:val="single"/>
        </w:rPr>
        <w:t>事故处理：承包人负责抢救伤员、排除险情，防止事故扩大蔓延，保护好现场，并做好标志，启动保险理赔程序</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22.3.3</w:t>
      </w:r>
      <w:r>
        <w:rPr>
          <w:rFonts w:hint="eastAsia" w:ascii="宋体" w:hAnsi="宋体" w:cs="宋体"/>
          <w:color w:val="auto"/>
          <w:sz w:val="24"/>
          <w:szCs w:val="24"/>
          <w:highlight w:val="none"/>
          <w:u w:val="single"/>
        </w:rPr>
        <w:t>事故调查：承包人应组织内部技术安全、质量部门的人员组成调查组，开展调查，并配合做好发包人或政府有关部门组织的调查工作</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22.3.4</w:t>
      </w:r>
      <w:r>
        <w:rPr>
          <w:rFonts w:hint="eastAsia" w:ascii="宋体" w:hAnsi="宋体" w:cs="宋体"/>
          <w:color w:val="auto"/>
          <w:sz w:val="24"/>
          <w:szCs w:val="24"/>
          <w:highlight w:val="none"/>
          <w:u w:val="single"/>
        </w:rPr>
        <w:t>调查报告：承包人应把事故发生经过、原因、性质、损失、责任、处理意见、纠正和预防措施撰写成调查报告，送工程师会审后报发包人</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hint="eastAsia" w:ascii="宋体" w:hAnsi="宋体" w:cs="宋体"/>
          <w:b/>
          <w:color w:val="auto"/>
          <w:sz w:val="24"/>
          <w:szCs w:val="24"/>
          <w:highlight w:val="none"/>
        </w:rPr>
        <w:t>六、合同价款与支付</w:t>
      </w:r>
    </w:p>
    <w:p>
      <w:pPr>
        <w:snapToGrid w:val="0"/>
        <w:spacing w:line="440" w:lineRule="exact"/>
        <w:ind w:firstLine="397"/>
        <w:rPr>
          <w:rFonts w:ascii="宋体" w:hAnsi="宋体" w:cs="宋体"/>
          <w:color w:val="auto"/>
          <w:sz w:val="24"/>
          <w:szCs w:val="24"/>
          <w:highlight w:val="none"/>
          <w:u w:val="single"/>
        </w:rPr>
      </w:pPr>
      <w:r>
        <w:rPr>
          <w:rFonts w:ascii="宋体" w:hAnsi="宋体" w:cs="宋体"/>
          <w:b/>
          <w:color w:val="auto"/>
          <w:sz w:val="24"/>
          <w:szCs w:val="24"/>
          <w:highlight w:val="none"/>
        </w:rPr>
        <w:t>23</w:t>
      </w:r>
      <w:r>
        <w:rPr>
          <w:rFonts w:hint="eastAsia" w:ascii="宋体" w:hAnsi="宋体" w:cs="宋体"/>
          <w:b/>
          <w:color w:val="auto"/>
          <w:sz w:val="24"/>
          <w:szCs w:val="24"/>
          <w:highlight w:val="none"/>
        </w:rPr>
        <w:t>、合同价款及调整</w:t>
      </w:r>
    </w:p>
    <w:p>
      <w:pPr>
        <w:snapToGrid w:val="0"/>
        <w:spacing w:line="440" w:lineRule="exact"/>
        <w:ind w:firstLine="360" w:firstLineChars="150"/>
        <w:rPr>
          <w:rFonts w:ascii="宋体" w:hAnsi="宋体" w:cs="宋体"/>
          <w:color w:val="auto"/>
          <w:sz w:val="24"/>
          <w:szCs w:val="24"/>
          <w:highlight w:val="none"/>
        </w:rPr>
      </w:pPr>
      <w:r>
        <w:rPr>
          <w:rFonts w:ascii="宋体" w:hAnsi="宋体" w:cs="宋体"/>
          <w:color w:val="auto"/>
          <w:sz w:val="24"/>
          <w:szCs w:val="24"/>
          <w:highlight w:val="none"/>
        </w:rPr>
        <w:t>23.2</w:t>
      </w:r>
      <w:r>
        <w:rPr>
          <w:rFonts w:hint="eastAsia" w:ascii="宋体" w:hAnsi="宋体" w:cs="宋体"/>
          <w:color w:val="auto"/>
          <w:sz w:val="24"/>
          <w:szCs w:val="24"/>
          <w:highlight w:val="none"/>
        </w:rPr>
        <w:t>本合同价款按照</w:t>
      </w:r>
      <w:r>
        <w:rPr>
          <w:rFonts w:hint="eastAsia" w:ascii="宋体" w:hAnsi="宋体" w:cs="宋体"/>
          <w:color w:val="auto"/>
          <w:sz w:val="24"/>
          <w:szCs w:val="24"/>
          <w:highlight w:val="none"/>
          <w:u w:val="single"/>
        </w:rPr>
        <w:t>协议书第五条、专用条款</w:t>
      </w:r>
      <w:r>
        <w:rPr>
          <w:rFonts w:ascii="宋体" w:hAnsi="宋体" w:cs="宋体"/>
          <w:color w:val="auto"/>
          <w:sz w:val="24"/>
          <w:szCs w:val="24"/>
          <w:highlight w:val="none"/>
          <w:u w:val="single"/>
        </w:rPr>
        <w:t>23.3款</w:t>
      </w:r>
      <w:r>
        <w:rPr>
          <w:rFonts w:hint="eastAsia" w:ascii="宋体" w:hAnsi="宋体" w:cs="宋体"/>
          <w:color w:val="auto"/>
          <w:sz w:val="24"/>
          <w:szCs w:val="24"/>
          <w:highlight w:val="none"/>
          <w:u w:val="single"/>
        </w:rPr>
        <w:t>和专用条款</w:t>
      </w:r>
      <w:r>
        <w:rPr>
          <w:rFonts w:ascii="宋体" w:hAnsi="宋体" w:cs="宋体"/>
          <w:color w:val="auto"/>
          <w:sz w:val="24"/>
          <w:szCs w:val="24"/>
          <w:highlight w:val="none"/>
          <w:u w:val="single"/>
        </w:rPr>
        <w:t>23.5款</w:t>
      </w:r>
      <w:r>
        <w:rPr>
          <w:rFonts w:ascii="宋体" w:hAnsi="宋体" w:cs="宋体"/>
          <w:color w:val="auto"/>
          <w:sz w:val="24"/>
          <w:szCs w:val="24"/>
          <w:highlight w:val="none"/>
        </w:rPr>
        <w:t>约定</w:t>
      </w:r>
      <w:r>
        <w:rPr>
          <w:rFonts w:hint="eastAsia" w:ascii="宋体" w:hAnsi="宋体" w:cs="宋体"/>
          <w:color w:val="auto"/>
          <w:sz w:val="24"/>
          <w:szCs w:val="24"/>
          <w:highlight w:val="none"/>
        </w:rPr>
        <w:t>执行，最终按结算终审部门审定价结算。</w:t>
      </w:r>
    </w:p>
    <w:p>
      <w:pPr>
        <w:snapToGrid w:val="0"/>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本合同价款采用分部分项工程量清单固定综合单价方式确定，具体办法如下：</w:t>
      </w:r>
    </w:p>
    <w:p>
      <w:pPr>
        <w:snapToGrid w:val="0"/>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分部分项工程量清单费：</w:t>
      </w:r>
      <w:r>
        <w:rPr>
          <w:rFonts w:hint="eastAsia" w:ascii="宋体" w:hAnsi="宋体" w:cs="宋体"/>
          <w:color w:val="auto"/>
          <w:sz w:val="24"/>
          <w:szCs w:val="24"/>
          <w:highlight w:val="none"/>
          <w:u w:val="single"/>
        </w:rPr>
        <w:t>除专用条款</w:t>
      </w:r>
      <w:r>
        <w:rPr>
          <w:rFonts w:ascii="宋体" w:hAnsi="宋体" w:cs="宋体"/>
          <w:color w:val="auto"/>
          <w:sz w:val="24"/>
          <w:szCs w:val="24"/>
          <w:highlight w:val="none"/>
          <w:u w:val="single"/>
        </w:rPr>
        <w:t>23.5.1及</w:t>
      </w:r>
      <w:r>
        <w:rPr>
          <w:rFonts w:hint="eastAsia" w:ascii="宋体" w:hAnsi="宋体" w:cs="宋体"/>
          <w:color w:val="auto"/>
          <w:sz w:val="24"/>
          <w:szCs w:val="24"/>
          <w:highlight w:val="none"/>
          <w:u w:val="single"/>
        </w:rPr>
        <w:t>专用条款</w:t>
      </w:r>
      <w:r>
        <w:rPr>
          <w:rFonts w:ascii="宋体" w:hAnsi="宋体" w:cs="宋体"/>
          <w:color w:val="auto"/>
          <w:sz w:val="24"/>
          <w:szCs w:val="24"/>
          <w:highlight w:val="none"/>
          <w:u w:val="single"/>
        </w:rPr>
        <w:t>23.5.2规定情况外，分部分项工程量清单综合单价固定不变，工程量按实计量</w:t>
      </w:r>
      <w:r>
        <w:rPr>
          <w:rFonts w:hint="eastAsia" w:ascii="宋体" w:hAnsi="宋体" w:cs="宋体"/>
          <w:color w:val="auto"/>
          <w:sz w:val="24"/>
          <w:szCs w:val="24"/>
          <w:highlight w:val="none"/>
        </w:rPr>
        <w:t>。</w:t>
      </w:r>
    </w:p>
    <w:p>
      <w:pPr>
        <w:snapToGrid w:val="0"/>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措施项目费：</w:t>
      </w:r>
      <w:r>
        <w:rPr>
          <w:rFonts w:hint="eastAsia" w:ascii="宋体" w:hAnsi="宋体" w:cs="宋体"/>
          <w:color w:val="auto"/>
          <w:sz w:val="24"/>
          <w:szCs w:val="24"/>
          <w:highlight w:val="none"/>
          <w:u w:val="single"/>
        </w:rPr>
        <w:t>措施项目费（除施工围蔽费用外）固定不变，包干使用，结算时不予调整，施工围蔽清单综合单价固定不变，工程量按实计量</w:t>
      </w:r>
      <w:r>
        <w:rPr>
          <w:rFonts w:hint="eastAsia" w:ascii="宋体" w:hAnsi="宋体" w:cs="宋体"/>
          <w:color w:val="auto"/>
          <w:sz w:val="24"/>
          <w:szCs w:val="24"/>
          <w:highlight w:val="none"/>
        </w:rPr>
        <w:t>。</w:t>
      </w:r>
    </w:p>
    <w:p>
      <w:pPr>
        <w:snapToGrid w:val="0"/>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其他项目部分：</w:t>
      </w:r>
    </w:p>
    <w:p>
      <w:pPr>
        <w:snapToGrid w:val="0"/>
        <w:spacing w:line="440" w:lineRule="exact"/>
        <w:ind w:firstLine="360" w:firstLineChars="150"/>
        <w:rPr>
          <w:rFonts w:ascii="宋体" w:hAnsi="宋体" w:cs="宋体"/>
          <w:color w:val="auto"/>
          <w:sz w:val="24"/>
          <w:szCs w:val="24"/>
          <w:highlight w:val="none"/>
        </w:rPr>
      </w:pPr>
      <w:r>
        <w:rPr>
          <w:rFonts w:ascii="宋体" w:hAnsi="宋体" w:cs="宋体"/>
          <w:color w:val="auto"/>
          <w:sz w:val="24"/>
          <w:szCs w:val="24"/>
          <w:highlight w:val="none"/>
        </w:rPr>
        <w:fldChar w:fldCharType="begin"/>
      </w:r>
      <w:r>
        <w:rPr>
          <w:rFonts w:ascii="宋体" w:hAnsi="宋体" w:cs="宋体"/>
          <w:color w:val="auto"/>
          <w:sz w:val="24"/>
          <w:szCs w:val="24"/>
          <w:highlight w:val="none"/>
        </w:rPr>
        <w:instrText xml:space="preserve"> eq \o\ac(</w:instrText>
      </w:r>
      <w:r>
        <w:rPr>
          <w:rFonts w:hint="eastAsia" w:ascii="宋体" w:hAnsi="宋体" w:cs="宋体"/>
          <w:color w:val="auto"/>
          <w:position w:val="-4"/>
          <w:sz w:val="36"/>
          <w:szCs w:val="24"/>
          <w:highlight w:val="none"/>
        </w:rPr>
        <w:instrText xml:space="preserve">○</w:instrText>
      </w:r>
      <w:r>
        <w:rPr>
          <w:rFonts w:ascii="宋体" w:hAnsi="宋体" w:cs="宋体"/>
          <w:color w:val="auto"/>
          <w:sz w:val="24"/>
          <w:szCs w:val="24"/>
          <w:highlight w:val="none"/>
        </w:rPr>
        <w:instrText xml:space="preserve">,1)</w:instrText>
      </w:r>
      <w:r>
        <w:rPr>
          <w:rFonts w:ascii="宋体" w:hAnsi="宋体" w:cs="宋体"/>
          <w:color w:val="auto"/>
          <w:sz w:val="24"/>
          <w:szCs w:val="24"/>
          <w:highlight w:val="none"/>
        </w:rPr>
        <w:fldChar w:fldCharType="end"/>
      </w:r>
      <w:r>
        <w:rPr>
          <w:rFonts w:hint="eastAsia" w:ascii="宋体" w:hAnsi="宋体" w:cs="宋体"/>
          <w:color w:val="auto"/>
          <w:sz w:val="24"/>
          <w:szCs w:val="24"/>
          <w:highlight w:val="none"/>
          <w:u w:val="single"/>
        </w:rPr>
        <w:t>招标人部分为暂定价，按实际签订的专业承包合同或预留金使用情况进行调整和结算</w:t>
      </w:r>
      <w:r>
        <w:rPr>
          <w:rFonts w:hint="eastAsia" w:ascii="宋体" w:hAnsi="宋体" w:cs="宋体"/>
          <w:color w:val="auto"/>
          <w:sz w:val="24"/>
          <w:szCs w:val="24"/>
          <w:highlight w:val="none"/>
        </w:rPr>
        <w:t>；</w:t>
      </w:r>
    </w:p>
    <w:p>
      <w:pPr>
        <w:snapToGrid w:val="0"/>
        <w:spacing w:line="440" w:lineRule="exact"/>
        <w:ind w:firstLine="360" w:firstLineChars="150"/>
        <w:rPr>
          <w:rFonts w:ascii="宋体" w:hAnsi="宋体" w:cs="宋体"/>
          <w:color w:val="auto"/>
          <w:sz w:val="24"/>
          <w:szCs w:val="24"/>
          <w:highlight w:val="none"/>
          <w:u w:val="single"/>
        </w:rPr>
      </w:pPr>
      <w:r>
        <w:rPr>
          <w:rFonts w:ascii="宋体" w:hAnsi="宋体" w:cs="宋体"/>
          <w:color w:val="auto"/>
          <w:sz w:val="24"/>
          <w:szCs w:val="24"/>
          <w:highlight w:val="none"/>
        </w:rPr>
        <w:fldChar w:fldCharType="begin"/>
      </w:r>
      <w:r>
        <w:rPr>
          <w:rFonts w:ascii="宋体" w:hAnsi="宋体" w:cs="宋体"/>
          <w:color w:val="auto"/>
          <w:sz w:val="24"/>
          <w:szCs w:val="24"/>
          <w:highlight w:val="none"/>
        </w:rPr>
        <w:instrText xml:space="preserve"> eq \o\ac(</w:instrText>
      </w:r>
      <w:r>
        <w:rPr>
          <w:rFonts w:hint="eastAsia" w:ascii="宋体" w:hAnsi="宋体" w:cs="宋体"/>
          <w:color w:val="auto"/>
          <w:position w:val="-4"/>
          <w:sz w:val="36"/>
          <w:szCs w:val="24"/>
          <w:highlight w:val="none"/>
        </w:rPr>
        <w:instrText xml:space="preserve">○</w:instrText>
      </w:r>
      <w:r>
        <w:rPr>
          <w:rFonts w:ascii="宋体" w:hAnsi="宋体" w:cs="宋体"/>
          <w:color w:val="auto"/>
          <w:sz w:val="24"/>
          <w:szCs w:val="24"/>
          <w:highlight w:val="none"/>
        </w:rPr>
        <w:instrText xml:space="preserve">,2)</w:instrText>
      </w:r>
      <w:r>
        <w:rPr>
          <w:rFonts w:ascii="宋体" w:hAnsi="宋体" w:cs="宋体"/>
          <w:color w:val="auto"/>
          <w:sz w:val="24"/>
          <w:szCs w:val="24"/>
          <w:highlight w:val="none"/>
        </w:rPr>
        <w:fldChar w:fldCharType="end"/>
      </w:r>
      <w:r>
        <w:rPr>
          <w:rFonts w:hint="eastAsia" w:ascii="宋体" w:hAnsi="宋体" w:cs="宋体"/>
          <w:color w:val="auto"/>
          <w:sz w:val="24"/>
          <w:szCs w:val="24"/>
          <w:highlight w:val="none"/>
          <w:u w:val="single"/>
        </w:rPr>
        <w:t>投标人部分为固定价格，结算时不作调整。（若实际没有发生，在结算时扣除未发生项目的费用）</w:t>
      </w:r>
    </w:p>
    <w:p>
      <w:pPr>
        <w:snapToGrid w:val="0"/>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③</w:t>
      </w:r>
      <w:r>
        <w:rPr>
          <w:rFonts w:hint="eastAsia" w:ascii="宋体" w:hAnsi="宋体" w:cs="宋体"/>
          <w:color w:val="auto"/>
          <w:sz w:val="24"/>
          <w:szCs w:val="24"/>
          <w:highlight w:val="none"/>
          <w:u w:val="single"/>
        </w:rPr>
        <w:t>投标人预算包干费部分按投标人报价中的费率取费，费率结算时不作调整。</w:t>
      </w:r>
    </w:p>
    <w:p>
      <w:pPr>
        <w:snapToGrid w:val="0"/>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u w:val="single"/>
        </w:rPr>
        <w:t>税金：税金按实计取，费率固定不变</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23.3</w:t>
      </w:r>
      <w:r>
        <w:rPr>
          <w:rFonts w:hint="eastAsia" w:ascii="宋体" w:hAnsi="宋体" w:cs="宋体"/>
          <w:color w:val="auto"/>
          <w:sz w:val="24"/>
          <w:szCs w:val="24"/>
          <w:highlight w:val="none"/>
        </w:rPr>
        <w:t>双方约定合同价款的调整因素：</w:t>
      </w:r>
    </w:p>
    <w:p>
      <w:pPr>
        <w:numPr>
          <w:ilvl w:val="0"/>
          <w:numId w:val="3"/>
        </w:num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u w:val="single"/>
        </w:rPr>
        <w:t>发包人及监理单位共同确认工程量偏差</w:t>
      </w:r>
      <w:r>
        <w:rPr>
          <w:rFonts w:hint="eastAsia" w:ascii="宋体" w:hAnsi="宋体" w:cs="宋体"/>
          <w:color w:val="auto"/>
          <w:sz w:val="24"/>
          <w:szCs w:val="24"/>
          <w:highlight w:val="none"/>
        </w:rPr>
        <w:t>；</w:t>
      </w:r>
    </w:p>
    <w:p>
      <w:pPr>
        <w:numPr>
          <w:ilvl w:val="0"/>
          <w:numId w:val="3"/>
        </w:num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u w:val="single"/>
        </w:rPr>
        <w:t>发包人及监理单位共同确认工程变更、签证和新增工程</w:t>
      </w:r>
      <w:r>
        <w:rPr>
          <w:rFonts w:hint="eastAsia" w:ascii="宋体" w:hAnsi="宋体" w:cs="宋体"/>
          <w:color w:val="auto"/>
          <w:sz w:val="24"/>
          <w:szCs w:val="24"/>
          <w:highlight w:val="none"/>
        </w:rPr>
        <w:t>；</w:t>
      </w:r>
    </w:p>
    <w:p>
      <w:pPr>
        <w:numPr>
          <w:ilvl w:val="0"/>
          <w:numId w:val="3"/>
        </w:num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u w:val="single"/>
        </w:rPr>
        <w:t>物价变化</w:t>
      </w:r>
      <w:r>
        <w:rPr>
          <w:rFonts w:hint="eastAsia" w:ascii="宋体" w:hAnsi="宋体" w:cs="宋体"/>
          <w:color w:val="auto"/>
          <w:sz w:val="24"/>
          <w:szCs w:val="24"/>
          <w:highlight w:val="none"/>
        </w:rPr>
        <w:t>；</w:t>
      </w:r>
    </w:p>
    <w:p>
      <w:pPr>
        <w:numPr>
          <w:ilvl w:val="0"/>
          <w:numId w:val="3"/>
        </w:num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u w:val="single"/>
        </w:rPr>
        <w:t>费用索赔事件或发包人负责的其他情况</w:t>
      </w:r>
      <w:r>
        <w:rPr>
          <w:rFonts w:hint="eastAsia" w:ascii="宋体" w:hAnsi="宋体" w:cs="宋体"/>
          <w:color w:val="auto"/>
          <w:sz w:val="24"/>
          <w:szCs w:val="24"/>
          <w:highlight w:val="none"/>
        </w:rPr>
        <w:t>。</w:t>
      </w:r>
    </w:p>
    <w:p>
      <w:pPr>
        <w:snapToGrid w:val="0"/>
        <w:spacing w:line="44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以上调整事项涉及的价款计价原则按专用条款</w:t>
      </w:r>
      <w:r>
        <w:rPr>
          <w:rFonts w:ascii="宋体" w:hAnsi="宋体" w:cs="宋体"/>
          <w:color w:val="auto"/>
          <w:sz w:val="24"/>
          <w:szCs w:val="24"/>
          <w:highlight w:val="none"/>
        </w:rPr>
        <w:t>23.5款约定执行。</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23.4</w:t>
      </w:r>
      <w:r>
        <w:rPr>
          <w:rFonts w:hint="eastAsia" w:ascii="宋体" w:hAnsi="宋体" w:cs="宋体"/>
          <w:color w:val="auto"/>
          <w:sz w:val="24"/>
          <w:szCs w:val="24"/>
          <w:highlight w:val="none"/>
        </w:rPr>
        <w:t>承包人应在专用条款</w:t>
      </w:r>
      <w:r>
        <w:rPr>
          <w:rFonts w:ascii="宋体" w:hAnsi="宋体" w:cs="宋体"/>
          <w:color w:val="auto"/>
          <w:sz w:val="24"/>
          <w:szCs w:val="24"/>
          <w:highlight w:val="none"/>
        </w:rPr>
        <w:t>23.3款情况发生后</w:t>
      </w:r>
      <w:r>
        <w:rPr>
          <w:rFonts w:ascii="宋体" w:hAnsi="宋体" w:cs="宋体"/>
          <w:color w:val="auto"/>
          <w:sz w:val="24"/>
          <w:szCs w:val="24"/>
          <w:highlight w:val="none"/>
          <w:u w:val="single"/>
        </w:rPr>
        <w:t>3天</w:t>
      </w:r>
      <w:r>
        <w:rPr>
          <w:rFonts w:ascii="宋体" w:hAnsi="宋体" w:cs="宋体"/>
          <w:color w:val="auto"/>
          <w:sz w:val="24"/>
          <w:szCs w:val="24"/>
          <w:highlight w:val="none"/>
        </w:rPr>
        <w:t>内，将调整原因、金额以书面形式通知监理单位，必须经监理单位和发包人书面批准后作为调整合同价款的依据</w:t>
      </w:r>
      <w:r>
        <w:rPr>
          <w:rFonts w:hint="eastAsia" w:ascii="宋体" w:hAnsi="宋体" w:cs="宋体"/>
          <w:color w:val="auto"/>
          <w:sz w:val="24"/>
          <w:szCs w:val="24"/>
          <w:highlight w:val="none"/>
        </w:rPr>
        <w:t>。对承包人在没有得到发包人的同意和正式盖章书面函件的前提下进行的调整，发包人不予认可，一切责任和后果由承包人承担。</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23.5</w:t>
      </w:r>
      <w:r>
        <w:rPr>
          <w:rFonts w:hint="eastAsia" w:ascii="宋体" w:hAnsi="宋体" w:cs="宋体"/>
          <w:color w:val="auto"/>
          <w:sz w:val="24"/>
          <w:szCs w:val="24"/>
          <w:highlight w:val="none"/>
          <w:u w:val="single"/>
        </w:rPr>
        <w:t>合同价款调整原则</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23.5.1</w:t>
      </w:r>
      <w:r>
        <w:rPr>
          <w:rFonts w:hint="eastAsia" w:ascii="宋体" w:hAnsi="宋体" w:cs="宋体"/>
          <w:color w:val="auto"/>
          <w:sz w:val="24"/>
          <w:szCs w:val="24"/>
          <w:highlight w:val="none"/>
          <w:u w:val="single"/>
        </w:rPr>
        <w:t>变更、签证工程和新增工程：工程项目实施期间和结算时，招标文件工程量清单中漏列而由监理单位和招标人现场签证确认的工程项目；由于设计需要或项目建设实际需要，会引致工程量清单内数量发生变化、或工程量清单内项目的局部内容发生变化、或新增了工程量清单内没有的项目；原设计没有而由招标人批准设计变更产生的工程项目及经监理单位和招标人现场签证确认的工程项目；合同所确定的工程内容以外，非施工单位原因造成而施工过程中实际发生且需支付工程费用的，并经监理单位和招标人现场签证确认工程实际内容。变更、签证工程和新增工程按以下办法确定价格</w:t>
      </w:r>
      <w:r>
        <w:rPr>
          <w:rFonts w:hint="eastAsia" w:ascii="宋体" w:hAnsi="宋体" w:cs="宋体"/>
          <w:color w:val="auto"/>
          <w:sz w:val="24"/>
          <w:szCs w:val="24"/>
          <w:highlight w:val="none"/>
        </w:rPr>
        <w:t>。</w:t>
      </w:r>
    </w:p>
    <w:p>
      <w:pPr>
        <w:snapToGrid w:val="0"/>
        <w:spacing w:line="440" w:lineRule="exact"/>
        <w:ind w:firstLine="338" w:firstLineChars="141"/>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u w:val="single"/>
        </w:rPr>
        <w:t>合同工程量清单中有相同适用项目的，则采用该项目投标综合单价；合同工程量清单中相同适用项目有多个的，取最有利于发包人的相同适用项目的投标综合单价。但新增工程量超过</w:t>
      </w:r>
      <w:r>
        <w:rPr>
          <w:rFonts w:ascii="宋体" w:hAnsi="宋体" w:cs="宋体"/>
          <w:color w:val="auto"/>
          <w:sz w:val="24"/>
          <w:szCs w:val="24"/>
          <w:highlight w:val="none"/>
          <w:u w:val="single"/>
        </w:rPr>
        <w:t>15%的，比较招标控制价对应的综合单价并执行中标下浮率和投标综合单价，取两者的较小值作为超出15%的新增工程量的综合单价</w:t>
      </w:r>
      <w:r>
        <w:rPr>
          <w:rFonts w:hint="eastAsia" w:ascii="宋体" w:hAnsi="宋体" w:cs="宋体"/>
          <w:color w:val="auto"/>
          <w:sz w:val="24"/>
          <w:szCs w:val="24"/>
          <w:highlight w:val="none"/>
        </w:rPr>
        <w:t>。</w:t>
      </w:r>
    </w:p>
    <w:p>
      <w:pPr>
        <w:snapToGrid w:val="0"/>
        <w:spacing w:line="440" w:lineRule="exact"/>
        <w:ind w:firstLine="338" w:firstLineChars="141"/>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u w:val="single"/>
        </w:rPr>
        <w:t>合同工程量清单中无相同适用项目、只有类似适用项目的，则按类似项目的综合单价对相应子目、消耗量、材料设备价格等进行调整换算，原管理费、利润水平不变，仅调整主材和主要设备价格。如合同工程量清单中类似项目的综合单价有两个以上，则由发包人按消耗量最少、管理费和利润取费最低的优先顺序选择类似项目综合单价进行换算。所换算主材及设备价格执行工程造价管理机构发布的实际施工月份《广州地区建设工程常用材料税前综合价格》（实际施工跨月份的，则按监理单位确认的各月施工完成的工程量为基础分别进行计算）；《广州地区建设工程常用材料税前综合价格》没有的材料、设备单价，参考实际施工期《广州地区建设工程材料（设备）厂商价格信息》计算税前价格（实际施工跨月份的，则按监理单位确认的各月施工完成的工程量为基础分别进行计算），</w:t>
      </w:r>
      <w:r>
        <w:rPr>
          <w:rFonts w:hint="eastAsia" w:ascii="宋体" w:hAnsi="宋体" w:cs="宋体"/>
          <w:color w:val="auto"/>
          <w:sz w:val="24"/>
          <w:szCs w:val="24"/>
          <w:highlight w:val="none"/>
        </w:rPr>
        <w:t>且需对选用的厂商价格信息重新进行市场调研询价后方可使用。</w:t>
      </w:r>
      <w:r>
        <w:rPr>
          <w:rFonts w:hint="eastAsia" w:ascii="宋体" w:hAnsi="宋体" w:cs="宋体"/>
          <w:color w:val="auto"/>
          <w:sz w:val="24"/>
          <w:szCs w:val="24"/>
          <w:highlight w:val="none"/>
          <w:u w:val="single"/>
        </w:rPr>
        <w:t>《广州地区建设工程常用材料税前综合价格》及《广州地区建设工程材料（设备）厂商价格信息》均没有的材料、设备价格，由发包人、监理单位、承包人结合市场价共同协商确定。按上述原则调整后的换算综合单价最终均应执行中标下浮率</w:t>
      </w:r>
      <w:r>
        <w:rPr>
          <w:rFonts w:hint="eastAsia" w:ascii="宋体" w:hAnsi="宋体" w:cs="宋体"/>
          <w:color w:val="auto"/>
          <w:sz w:val="24"/>
          <w:szCs w:val="24"/>
          <w:highlight w:val="none"/>
        </w:rPr>
        <w:t>。</w:t>
      </w:r>
    </w:p>
    <w:p>
      <w:pPr>
        <w:snapToGrid w:val="0"/>
        <w:spacing w:line="440" w:lineRule="exact"/>
        <w:ind w:firstLine="338" w:firstLineChars="141"/>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u w:val="single"/>
        </w:rPr>
        <w:t>合同工程量清单报价中没有相同或类似适用项目的，按以下原则计价</w:t>
      </w:r>
      <w:r>
        <w:rPr>
          <w:rFonts w:hint="eastAsia" w:ascii="宋体" w:hAnsi="宋体" w:cs="宋体"/>
          <w:color w:val="auto"/>
          <w:sz w:val="24"/>
          <w:szCs w:val="24"/>
          <w:highlight w:val="none"/>
        </w:rPr>
        <w:t>：</w:t>
      </w:r>
    </w:p>
    <w:p>
      <w:pPr>
        <w:snapToGrid w:val="0"/>
        <w:spacing w:line="440" w:lineRule="exact"/>
        <w:ind w:firstLine="338" w:firstLineChars="141"/>
        <w:rPr>
          <w:rFonts w:ascii="宋体" w:hAnsi="宋体" w:cs="宋体"/>
          <w:color w:val="auto"/>
          <w:sz w:val="24"/>
          <w:szCs w:val="24"/>
          <w:highlight w:val="none"/>
        </w:rPr>
      </w:pPr>
      <w:r>
        <w:rPr>
          <w:rFonts w:hint="eastAsia" w:ascii="宋体" w:hAnsi="宋体" w:cs="宋体"/>
          <w:color w:val="auto"/>
          <w:sz w:val="24"/>
          <w:szCs w:val="24"/>
          <w:highlight w:val="none"/>
        </w:rPr>
        <w:t>①</w:t>
      </w:r>
      <w:r>
        <w:rPr>
          <w:rFonts w:ascii="宋体" w:hAnsi="宋体" w:cs="宋体"/>
          <w:color w:val="auto"/>
          <w:sz w:val="24"/>
          <w:szCs w:val="24"/>
          <w:highlight w:val="none"/>
        </w:rPr>
        <w:t xml:space="preserve"> </w:t>
      </w:r>
      <w:r>
        <w:rPr>
          <w:rFonts w:hint="eastAsia" w:ascii="宋体" w:hAnsi="宋体" w:cs="宋体"/>
          <w:color w:val="auto"/>
          <w:sz w:val="24"/>
          <w:szCs w:val="24"/>
          <w:highlight w:val="none"/>
          <w:u w:val="single"/>
        </w:rPr>
        <w:t>由承包人依据变更工程资料，计量原则，按《广东省市政工程综合定额》（</w:t>
      </w:r>
      <w:r>
        <w:rPr>
          <w:rFonts w:ascii="宋体" w:hAnsi="宋体" w:cs="宋体"/>
          <w:color w:val="auto"/>
          <w:sz w:val="24"/>
          <w:szCs w:val="24"/>
          <w:highlight w:val="none"/>
          <w:u w:val="single"/>
        </w:rPr>
        <w:t>2018年）、《广东省房屋建筑与装饰工程综合定额》（2018年）、《广东省通用安装工程综合定额》（2018年）、《广东省园林绿化工程综合定额》（2018年）、《广东省建设工程施工机具台班费用编制规则（2018）</w:t>
      </w:r>
      <w:r>
        <w:rPr>
          <w:rFonts w:hint="eastAsia" w:ascii="宋体" w:hAnsi="宋体" w:cs="宋体"/>
          <w:color w:val="auto"/>
          <w:sz w:val="24"/>
          <w:szCs w:val="24"/>
          <w:highlight w:val="none"/>
          <w:u w:val="single"/>
        </w:rPr>
        <w:t>等相关定额标准及工程实施期工程造价管理机构发布的材料设备参考价格编制综合单价并执行中标下浮率。其中材料、设备价格执行工程造价管理机构发布的实际施工月份《广州地区建设工程常用材料税前综合价格》（实际施工跨月份的，则按监理单位确认的各月施工完成的工程量为基础分别进行计算）；《广州地区建设工程常用材料税前综合价格》没有的材料、设备单价，参考实际施工期《广州地区建设工程材料（设备）厂商价格信息》计算税前价格（实际施工跨月份的，则按监理单位确认的各月施工完成的工程量为基础分别进行计算）</w:t>
      </w:r>
      <w:r>
        <w:rPr>
          <w:rFonts w:hint="eastAsia" w:ascii="宋体" w:hAnsi="宋体" w:cs="宋体"/>
          <w:color w:val="auto"/>
          <w:sz w:val="24"/>
          <w:szCs w:val="24"/>
          <w:highlight w:val="none"/>
        </w:rPr>
        <w:t>，且需对选用的厂商价格信息重新进行市场调研询价后方可使用。</w:t>
      </w:r>
      <w:r>
        <w:rPr>
          <w:rFonts w:hint="eastAsia" w:ascii="宋体" w:hAnsi="宋体" w:cs="宋体"/>
          <w:color w:val="auto"/>
          <w:sz w:val="24"/>
          <w:szCs w:val="24"/>
          <w:highlight w:val="none"/>
          <w:u w:val="single"/>
        </w:rPr>
        <w:t>《广州地区建设工程常用材料税前综合价格》及《广州地区建设工程材料（设备）厂商价格信息》均没有的相关价格的，由发包人、监理单位、承包人结合市场价共同协商确定</w:t>
      </w:r>
      <w:r>
        <w:rPr>
          <w:rFonts w:hint="eastAsia" w:ascii="宋体" w:hAnsi="宋体" w:cs="宋体"/>
          <w:color w:val="auto"/>
          <w:sz w:val="24"/>
          <w:szCs w:val="24"/>
          <w:highlight w:val="none"/>
        </w:rPr>
        <w:t>。</w:t>
      </w:r>
    </w:p>
    <w:p>
      <w:pPr>
        <w:snapToGrid w:val="0"/>
        <w:spacing w:line="440" w:lineRule="exact"/>
        <w:ind w:firstLine="338" w:firstLineChars="141"/>
        <w:rPr>
          <w:rFonts w:ascii="宋体" w:hAnsi="宋体" w:cs="宋体"/>
          <w:color w:val="auto"/>
          <w:sz w:val="24"/>
          <w:szCs w:val="24"/>
          <w:highlight w:val="none"/>
        </w:rPr>
      </w:pPr>
      <w:r>
        <w:rPr>
          <w:rFonts w:hint="eastAsia" w:ascii="宋体" w:hAnsi="宋体" w:cs="宋体"/>
          <w:color w:val="auto"/>
          <w:sz w:val="24"/>
          <w:szCs w:val="24"/>
          <w:highlight w:val="none"/>
        </w:rPr>
        <w:t>②</w:t>
      </w:r>
      <w:r>
        <w:rPr>
          <w:rFonts w:ascii="宋体" w:hAnsi="宋体" w:cs="宋体"/>
          <w:color w:val="auto"/>
          <w:sz w:val="24"/>
          <w:szCs w:val="24"/>
          <w:highlight w:val="none"/>
        </w:rPr>
        <w:t xml:space="preserve"> </w:t>
      </w:r>
      <w:r>
        <w:rPr>
          <w:rFonts w:hint="eastAsia" w:ascii="宋体" w:hAnsi="宋体" w:cs="宋体"/>
          <w:color w:val="auto"/>
          <w:sz w:val="24"/>
          <w:szCs w:val="24"/>
          <w:highlight w:val="none"/>
          <w:u w:val="single"/>
        </w:rPr>
        <w:t>合同工程量清单没有相同或相类似且无相关定额的项目，承包人参照《广东省市政工程综合定额》（</w:t>
      </w:r>
      <w:r>
        <w:rPr>
          <w:rFonts w:ascii="宋体" w:hAnsi="宋体" w:cs="宋体"/>
          <w:color w:val="auto"/>
          <w:sz w:val="24"/>
          <w:szCs w:val="24"/>
          <w:highlight w:val="none"/>
          <w:u w:val="single"/>
        </w:rPr>
        <w:t>2018年）、《广东省房屋建筑与装饰工程综合定额》（2018年）、《广东省通用安装工程综合定额》（2018年）、《广东省园林绿化工程综合定额》（2018年）、《广东省建设工程施工机具台班费用编制规则（2018</w:t>
      </w:r>
      <w:r>
        <w:rPr>
          <w:rFonts w:hint="eastAsia" w:ascii="宋体" w:hAnsi="宋体" w:cs="宋体"/>
          <w:color w:val="auto"/>
          <w:sz w:val="24"/>
          <w:szCs w:val="24"/>
          <w:highlight w:val="none"/>
          <w:u w:val="single"/>
        </w:rPr>
        <w:t>）等相关定额编制原则（上述定额查找不到的可参考其它相关定额或由发包人与承包人协商确定）及工程实施期工程造价管理机构发布的材料设备参考价格编制综合单价并执行中标下浮率。其中材料、设备价格执行工程造价管理机构发布的实际施工月份《广州地区建设工程常用材料税前综合价格》（实际施工跨月份的，则按监理单位确认的各月施工完成的工程量为基础分别进行计算）；《广州地区建设工程常用材料税前综合价格》没有的材料、设备单价，参考实际施工期《广州地区建设工程材料（设备）厂商价格信息》计算税前价格（实际施工跨月份的，则按监理单位确认的各月施工完成的工程量为基础分别进行计算）</w:t>
      </w:r>
      <w:r>
        <w:rPr>
          <w:rFonts w:hint="eastAsia" w:ascii="宋体" w:hAnsi="宋体" w:cs="宋体"/>
          <w:color w:val="auto"/>
          <w:sz w:val="24"/>
          <w:szCs w:val="24"/>
          <w:highlight w:val="none"/>
        </w:rPr>
        <w:t>，且需对选用的厂商价格信息重新进行市场调研询价后方可使用。</w:t>
      </w:r>
      <w:r>
        <w:rPr>
          <w:rFonts w:hint="eastAsia" w:ascii="宋体" w:hAnsi="宋体" w:cs="宋体"/>
          <w:color w:val="auto"/>
          <w:sz w:val="24"/>
          <w:szCs w:val="24"/>
          <w:highlight w:val="none"/>
          <w:u w:val="single"/>
        </w:rPr>
        <w:t>《广州地区建设工程常用材料税前综合价格》及《广州地区建设工程材料（设备）厂商价格信息》均没有的相关价格的，由发包人、监理单位、承包人结合市场价共同协商确定</w:t>
      </w:r>
      <w:r>
        <w:rPr>
          <w:rFonts w:hint="eastAsia" w:ascii="宋体" w:hAnsi="宋体" w:cs="宋体"/>
          <w:color w:val="auto"/>
          <w:sz w:val="24"/>
          <w:szCs w:val="24"/>
          <w:highlight w:val="none"/>
        </w:rPr>
        <w:t>。</w:t>
      </w:r>
    </w:p>
    <w:p>
      <w:pPr>
        <w:adjustRightInd w:val="0"/>
        <w:snapToGrid w:val="0"/>
        <w:spacing w:line="440" w:lineRule="exact"/>
        <w:ind w:right="11"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u w:val="single"/>
        </w:rPr>
        <w:t>按上述原则确定价格时，措施项目费用（除施工围蔽外）不计取</w:t>
      </w:r>
      <w:r>
        <w:rPr>
          <w:rFonts w:ascii="宋体" w:hAnsi="宋体" w:cs="宋体"/>
          <w:color w:val="auto"/>
          <w:sz w:val="24"/>
          <w:szCs w:val="24"/>
          <w:highlight w:val="none"/>
          <w:u w:val="single"/>
        </w:rPr>
        <w:t>,清单计价及</w:t>
      </w:r>
      <w:r>
        <w:rPr>
          <w:rFonts w:hint="eastAsia" w:ascii="宋体" w:hAnsi="宋体" w:cs="宋体"/>
          <w:color w:val="auto"/>
          <w:sz w:val="24"/>
          <w:szCs w:val="24"/>
          <w:highlight w:val="none"/>
          <w:u w:val="single"/>
        </w:rPr>
        <w:t>税金的计取，应符合《广东省住房和城乡建设厅关于营业税改征增值税后调整广东省建设工程计价依据的通知》（粤建市【</w:t>
      </w:r>
      <w:r>
        <w:rPr>
          <w:rFonts w:ascii="宋体" w:hAnsi="宋体" w:cs="宋体"/>
          <w:color w:val="auto"/>
          <w:sz w:val="24"/>
          <w:szCs w:val="24"/>
          <w:highlight w:val="none"/>
          <w:u w:val="single"/>
        </w:rPr>
        <w:t>2016】1113号）、《广州市住房和城乡建设委员会转发关于营业税改增值税后调整广东省建设工程计价依据有关事项的通知》（穗建筑【2016】744号）及《广州市建设工程造价管理站关于营业税改征增值税后广州市建设工程计价有关问题的通知》（穗建造价【2016】31号）</w:t>
      </w:r>
      <w:r>
        <w:rPr>
          <w:rFonts w:hint="eastAsia" w:ascii="宋体" w:hAnsi="宋体" w:cs="宋体"/>
          <w:color w:val="auto"/>
          <w:sz w:val="24"/>
          <w:szCs w:val="24"/>
          <w:highlight w:val="none"/>
          <w:u w:val="single"/>
        </w:rPr>
        <w:t>、《广东省住房和城乡建设厅关于印发</w:t>
      </w:r>
      <w:r>
        <w:rPr>
          <w:rFonts w:ascii="宋体" w:hAnsi="宋体" w:cs="宋体"/>
          <w:color w:val="auto"/>
          <w:sz w:val="24"/>
          <w:szCs w:val="24"/>
          <w:highlight w:val="none"/>
          <w:u w:val="single"/>
        </w:rPr>
        <w:t>&lt;广东省建设工程计价依据（2018)&gt;的通知》（穗建市〔2019〕6号）</w:t>
      </w:r>
      <w:r>
        <w:rPr>
          <w:rFonts w:hint="eastAsia" w:ascii="宋体" w:hAnsi="宋体" w:cs="宋体"/>
          <w:color w:val="auto"/>
          <w:sz w:val="24"/>
          <w:szCs w:val="24"/>
          <w:highlight w:val="none"/>
          <w:u w:val="single"/>
        </w:rPr>
        <w:t>等相关文件的规定。</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 xml:space="preserve">23.5.2 </w:t>
      </w:r>
      <w:r>
        <w:rPr>
          <w:rFonts w:hint="eastAsia" w:ascii="宋体" w:hAnsi="宋体" w:cs="宋体"/>
          <w:color w:val="auto"/>
          <w:sz w:val="24"/>
          <w:szCs w:val="24"/>
          <w:highlight w:val="none"/>
          <w:u w:val="single"/>
        </w:rPr>
        <w:t>工程量发生变化时，如项目综合单价与招标控制价对应的综合单价×（</w:t>
      </w:r>
      <w:r>
        <w:rPr>
          <w:rFonts w:ascii="宋体" w:hAnsi="宋体" w:cs="宋体"/>
          <w:color w:val="auto"/>
          <w:sz w:val="24"/>
          <w:szCs w:val="24"/>
          <w:highlight w:val="none"/>
          <w:u w:val="single"/>
        </w:rPr>
        <w:t>1-中标下浮率)（下称基价）偏差超过一定幅度时，相应调整项目综合单价。其中项目综合单价＞（1+15%）×基价且工程量增加的，增加部分工程量的综合单价按基价执行；项目综合单价＜（1-15%）×基价且工程量减少的，减少部分工程量的综合单价按基价执行，并从合同价款中扣除</w:t>
      </w:r>
      <w:r>
        <w:rPr>
          <w:rFonts w:hint="eastAsia" w:ascii="宋体" w:hAnsi="宋体" w:cs="宋体"/>
          <w:color w:val="auto"/>
          <w:sz w:val="24"/>
          <w:szCs w:val="24"/>
          <w:highlight w:val="none"/>
        </w:rPr>
        <w:t>。</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23.5.3</w:t>
      </w:r>
      <w:r>
        <w:rPr>
          <w:rFonts w:hint="eastAsia" w:ascii="宋体" w:hAnsi="宋体" w:cs="宋体"/>
          <w:color w:val="auto"/>
          <w:sz w:val="24"/>
          <w:szCs w:val="24"/>
          <w:highlight w:val="none"/>
          <w:u w:val="single"/>
        </w:rPr>
        <w:t>物价涨跌的价格调整</w:t>
      </w:r>
    </w:p>
    <w:p>
      <w:pPr>
        <w:snapToGrid w:val="0"/>
        <w:spacing w:line="440" w:lineRule="exact"/>
        <w:ind w:firstLine="338" w:firstLineChars="141"/>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1）合同履行期间，出现工程造价管理机构发布的人工、材料、工程设备和施工设备、机械台班单价涨跌超过本工程招标文件规定的投标截止日期</w:t>
      </w:r>
      <w:r>
        <w:rPr>
          <w:rFonts w:hint="eastAsia" w:ascii="宋体" w:hAnsi="宋体" w:cs="宋体"/>
          <w:color w:val="auto"/>
          <w:sz w:val="24"/>
          <w:szCs w:val="24"/>
          <w:highlight w:val="none"/>
          <w:u w:val="single"/>
        </w:rPr>
        <w:t>前第</w:t>
      </w:r>
      <w:r>
        <w:rPr>
          <w:rFonts w:ascii="宋体" w:hAnsi="宋体" w:cs="宋体"/>
          <w:color w:val="auto"/>
          <w:sz w:val="24"/>
          <w:szCs w:val="24"/>
          <w:highlight w:val="none"/>
          <w:u w:val="single"/>
        </w:rPr>
        <w:t>28天</w:t>
      </w:r>
      <w:r>
        <w:rPr>
          <w:rFonts w:hint="eastAsia" w:ascii="宋体" w:hAnsi="宋体" w:cs="宋体"/>
          <w:color w:val="auto"/>
          <w:sz w:val="24"/>
          <w:szCs w:val="24"/>
          <w:highlight w:val="none"/>
          <w:u w:val="single"/>
        </w:rPr>
        <w:t>时广州市建设工程造价管理部门发布的人工、材料、工程设备和施工设备、机械台班相应单价且符合以下规定的，应调整合同价款。</w:t>
      </w:r>
    </w:p>
    <w:p>
      <w:pPr>
        <w:snapToGrid w:val="0"/>
        <w:spacing w:line="440" w:lineRule="exact"/>
        <w:ind w:firstLine="338" w:firstLineChars="141"/>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承包人承担工料机价格涨跌幅度在</w:t>
      </w:r>
      <w:r>
        <w:rPr>
          <w:rFonts w:ascii="宋体" w:hAnsi="宋体" w:cs="宋体"/>
          <w:color w:val="auto"/>
          <w:sz w:val="24"/>
          <w:szCs w:val="24"/>
          <w:highlight w:val="none"/>
          <w:u w:val="single"/>
        </w:rPr>
        <w:t xml:space="preserve">10%以内（含10%）的风险，不予调整合同价款；工料机价格涨跌幅度超过10%时，可以调整合同价款, </w:t>
      </w:r>
      <w:r>
        <w:rPr>
          <w:rFonts w:hint="eastAsia" w:ascii="宋体" w:hAnsi="宋体" w:cs="宋体"/>
          <w:color w:val="auto"/>
          <w:sz w:val="24"/>
          <w:szCs w:val="24"/>
          <w:highlight w:val="none"/>
          <w:u w:val="single"/>
        </w:rPr>
        <w:t>调整范围为人工、机械台班、砂、碎石、石屑，及《印发</w:t>
      </w:r>
      <w:r>
        <w:rPr>
          <w:rFonts w:ascii="宋体" w:hAnsi="宋体" w:cs="宋体"/>
          <w:color w:val="auto"/>
          <w:sz w:val="24"/>
          <w:szCs w:val="24"/>
          <w:highlight w:val="none"/>
          <w:u w:val="single"/>
        </w:rPr>
        <w:t>&lt;关于区财政投资工程人工、材料（设备）、机械价格调整的意见&gt;的通知》（穗开环建〔2008〕59号）附件《各类工程可调价差材料（设备）清单》中对应工程类别规定的可调价材料（设备）且属《广州地区建设工程常用材料税前综合价格》（以下简称“综合价格”）包含的材料、设备；“综合价格”中没有的材料、设备均不予调整。</w:t>
      </w:r>
    </w:p>
    <w:p>
      <w:pPr>
        <w:snapToGrid w:val="0"/>
        <w:spacing w:line="440" w:lineRule="exact"/>
        <w:ind w:firstLine="338" w:firstLineChars="141"/>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2）价款调整的方法</w:t>
      </w:r>
    </w:p>
    <w:p>
      <w:pPr>
        <w:snapToGrid w:val="0"/>
        <w:spacing w:line="440" w:lineRule="exact"/>
        <w:ind w:firstLine="338" w:firstLineChars="141"/>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①当人工、机械台班、可调价格的材料设备价格上涨幅度超过</w:t>
      </w:r>
      <w:r>
        <w:rPr>
          <w:rFonts w:ascii="宋体" w:hAnsi="宋体" w:cs="宋体"/>
          <w:color w:val="auto"/>
          <w:sz w:val="24"/>
          <w:szCs w:val="24"/>
          <w:highlight w:val="none"/>
          <w:u w:val="single"/>
        </w:rPr>
        <w:t>10%时，超出10%的部分由发包人承担；当人工、机械台班、可调价格的材料设备价格下跌幅度超过10%时，超出10%的部分由承包人退回发包人。人工、机械台班价格按实际发生的数量调整，材料（设备）按各类工程消耗的主要材料（设备）进行调整。</w:t>
      </w:r>
    </w:p>
    <w:p>
      <w:pPr>
        <w:snapToGrid w:val="0"/>
        <w:spacing w:line="440" w:lineRule="exact"/>
        <w:ind w:firstLine="338" w:firstLineChars="141"/>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②</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价款调整以各调价工料机的数量乘以单价价差，再乘以（</w:t>
      </w:r>
      <w:r>
        <w:rPr>
          <w:rFonts w:ascii="宋体" w:hAnsi="宋体" w:cs="宋体"/>
          <w:color w:val="auto"/>
          <w:sz w:val="24"/>
          <w:szCs w:val="24"/>
          <w:highlight w:val="none"/>
          <w:u w:val="single"/>
        </w:rPr>
        <w:t>1-中标下浮率）计算。各工料机的数量按该当期实际完成的适用投标单价项目的工程量计取，各调价工料机的单价价差以广州市建设工程造价管理部门发布的价格信息为依据，按施工当月信息价格与招标文件规定的投标截止日期</w:t>
      </w:r>
      <w:r>
        <w:rPr>
          <w:rFonts w:hint="eastAsia" w:ascii="宋体" w:hAnsi="宋体" w:cs="宋体"/>
          <w:color w:val="auto"/>
          <w:sz w:val="24"/>
          <w:szCs w:val="24"/>
          <w:highlight w:val="none"/>
          <w:u w:val="single"/>
        </w:rPr>
        <w:t>前第</w:t>
      </w:r>
      <w:r>
        <w:rPr>
          <w:rFonts w:ascii="宋体" w:hAnsi="宋体" w:cs="宋体"/>
          <w:color w:val="auto"/>
          <w:sz w:val="24"/>
          <w:szCs w:val="24"/>
          <w:highlight w:val="none"/>
          <w:u w:val="single"/>
        </w:rPr>
        <w:t>28天</w:t>
      </w:r>
      <w:r>
        <w:rPr>
          <w:rFonts w:hint="eastAsia" w:ascii="宋体" w:hAnsi="宋体" w:cs="宋体"/>
          <w:color w:val="auto"/>
          <w:sz w:val="24"/>
          <w:szCs w:val="24"/>
          <w:highlight w:val="none"/>
          <w:u w:val="single"/>
        </w:rPr>
        <w:t>时广州市建设工程造价管理部门发布的人工、材料、工程设备和施工设备、机械台班信息价格差值计取。</w:t>
      </w:r>
    </w:p>
    <w:p>
      <w:pPr>
        <w:snapToGrid w:val="0"/>
        <w:spacing w:line="440" w:lineRule="exact"/>
        <w:ind w:firstLine="338" w:firstLineChars="141"/>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③</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价款调整以月为单位计算，结算时一次性调整，如施工期间需调整价款的，经发包人、承包人协商一致后可签订价差补充协议，作为追加（减）合同价款和支付工程进度款的依据。</w:t>
      </w:r>
    </w:p>
    <w:p>
      <w:pPr>
        <w:snapToGrid w:val="0"/>
        <w:spacing w:line="440" w:lineRule="exact"/>
        <w:ind w:firstLine="338" w:firstLineChars="141"/>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④</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各调价材料、设备的信息价格按广州市建设工程造价管理部门发布的当月</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“综合价格”计取，综合价格中没有的材料、设备单价，价差不予调整。</w:t>
      </w:r>
    </w:p>
    <w:p>
      <w:pPr>
        <w:snapToGrid w:val="0"/>
        <w:spacing w:line="440" w:lineRule="exact"/>
        <w:ind w:firstLine="338" w:firstLineChars="141"/>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3）由于承包人原因导致工期延误的，所延误时段内物价上涨的风险全部由承包人承担，不予调整；如物价下跌，则仍按第（2）款约定计算及扣回相应价款。</w:t>
      </w:r>
    </w:p>
    <w:p>
      <w:pPr>
        <w:snapToGrid w:val="0"/>
        <w:spacing w:line="440" w:lineRule="exact"/>
        <w:ind w:firstLine="338" w:firstLineChars="141"/>
        <w:rPr>
          <w:rFonts w:ascii="宋体" w:hAnsi="宋体" w:cs="宋体"/>
          <w:b/>
          <w:color w:val="auto"/>
          <w:sz w:val="24"/>
          <w:szCs w:val="24"/>
          <w:highlight w:val="none"/>
        </w:rPr>
      </w:pPr>
      <w:r>
        <w:rPr>
          <w:rFonts w:ascii="宋体" w:hAnsi="宋体" w:cs="宋体"/>
          <w:color w:val="auto"/>
          <w:sz w:val="24"/>
          <w:szCs w:val="24"/>
          <w:highlight w:val="none"/>
        </w:rPr>
        <w:t>24</w:t>
      </w:r>
      <w:r>
        <w:rPr>
          <w:rFonts w:hint="eastAsia" w:ascii="宋体" w:hAnsi="宋体" w:cs="宋体"/>
          <w:b/>
          <w:color w:val="auto"/>
          <w:sz w:val="24"/>
          <w:szCs w:val="24"/>
          <w:highlight w:val="none"/>
        </w:rPr>
        <w:t>、工程预付款、工人工资</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24.1工程预付款</w:t>
      </w:r>
    </w:p>
    <w:p>
      <w:pPr>
        <w:snapToGrid w:val="0"/>
        <w:spacing w:line="440" w:lineRule="exact"/>
        <w:ind w:firstLine="338" w:firstLineChars="141"/>
        <w:rPr>
          <w:rFonts w:ascii="宋体" w:hAnsi="宋体" w:cs="宋体"/>
          <w:color w:val="auto"/>
          <w:sz w:val="24"/>
          <w:szCs w:val="24"/>
          <w:highlight w:val="none"/>
        </w:rPr>
      </w:pPr>
      <w:r>
        <w:rPr>
          <w:rFonts w:hint="eastAsia" w:ascii="宋体" w:hAnsi="宋体"/>
          <w:color w:val="auto"/>
          <w:sz w:val="24"/>
          <w:szCs w:val="24"/>
          <w:highlight w:val="none"/>
        </w:rPr>
        <w:t>24.1.1发包人向承包人预付工程款的时间和金额或占合同价款总额的比例：</w:t>
      </w:r>
      <w:r>
        <w:rPr>
          <w:rFonts w:hint="eastAsia" w:ascii="宋体" w:hAnsi="宋体"/>
          <w:b/>
          <w:bCs/>
          <w:color w:val="auto"/>
          <w:sz w:val="24"/>
          <w:szCs w:val="24"/>
          <w:highlight w:val="none"/>
        </w:rPr>
        <w:t>合同生效、满足26.4款约定条件及财政拨款到位后，</w:t>
      </w:r>
      <w:r>
        <w:rPr>
          <w:rFonts w:hint="eastAsia" w:ascii="宋体" w:hAnsi="宋体"/>
          <w:b/>
          <w:bCs/>
          <w:color w:val="auto"/>
          <w:sz w:val="24"/>
          <w:szCs w:val="24"/>
          <w:highlight w:val="none"/>
          <w:u w:val="single"/>
        </w:rPr>
        <w:t>发包人预付合同价【扣除绿色施工安全防护措施费，若工程量清单中有暂定金则扣除暂定金（含暂列金额和暂估价）部分】的20%作为预付款。</w:t>
      </w:r>
      <w:r>
        <w:rPr>
          <w:rFonts w:hint="eastAsia" w:ascii="宋体" w:hAnsi="宋体"/>
          <w:color w:val="auto"/>
          <w:sz w:val="24"/>
          <w:szCs w:val="24"/>
          <w:highlight w:val="none"/>
        </w:rPr>
        <w:t>并将预付款支付至承包人按本合同第一部分协议书中第九款相关约定开设的共管银行账户。预付款中，（预付款×工人工资比例）的部分需支付至工人工资专用账户。</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24.1.2承包人收取预付款后，应优先用于按有关规定缴纳工伤保险和办理建筑意外伤害险，专款专用。</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24.1.3扣回预付款的时间、比例：按本合同专用条款26条约定执行。</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24.2工人工资</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24.2.1</w:t>
      </w:r>
      <w:r>
        <w:rPr>
          <w:rFonts w:hint="eastAsia" w:ascii="宋体" w:hAnsi="宋体" w:cs="宋体"/>
          <w:color w:val="auto"/>
          <w:sz w:val="24"/>
          <w:szCs w:val="24"/>
          <w:highlight w:val="none"/>
        </w:rPr>
        <w:t>承包人需按有关规定与商业银行另行签订广州市建设领域工人工资支付专用账户管理协议、开设专用账户并报发包人备案</w:t>
      </w:r>
      <w:r>
        <w:rPr>
          <w:rFonts w:ascii="宋体" w:hAnsi="宋体" w:cs="宋体"/>
          <w:color w:val="auto"/>
          <w:sz w:val="24"/>
          <w:szCs w:val="24"/>
          <w:highlight w:val="none"/>
        </w:rPr>
        <w:t>,工人工资支付至专用账户</w:t>
      </w:r>
      <w:r>
        <w:rPr>
          <w:rFonts w:hint="eastAsia" w:ascii="宋体" w:hAnsi="宋体" w:cs="宋体"/>
          <w:color w:val="auto"/>
          <w:sz w:val="24"/>
          <w:szCs w:val="24"/>
          <w:highlight w:val="none"/>
        </w:rPr>
        <w:t>。</w:t>
      </w:r>
    </w:p>
    <w:p>
      <w:pPr>
        <w:snapToGrid w:val="0"/>
        <w:spacing w:line="440" w:lineRule="exact"/>
        <w:ind w:firstLine="338" w:firstLineChars="141"/>
        <w:rPr>
          <w:rFonts w:ascii="宋体" w:hAnsi="宋体" w:cs="宋体"/>
          <w:color w:val="auto"/>
          <w:sz w:val="24"/>
          <w:szCs w:val="24"/>
          <w:highlight w:val="none"/>
        </w:rPr>
      </w:pPr>
      <w:r>
        <w:rPr>
          <w:rFonts w:ascii="宋体" w:hAnsi="宋体" w:cs="宋体"/>
          <w:color w:val="auto"/>
          <w:sz w:val="24"/>
          <w:szCs w:val="24"/>
          <w:highlight w:val="none"/>
        </w:rPr>
        <w:t>24.2.2工人工资进度款与工程进度款同步支付，其中每期需支付的工程进度款×工人工资比例为该期工人工资进度款，支付至工人工资专用账户。</w:t>
      </w:r>
    </w:p>
    <w:p>
      <w:pPr>
        <w:snapToGrid w:val="0"/>
        <w:spacing w:line="440" w:lineRule="exact"/>
        <w:ind w:firstLine="360" w:firstLineChars="150"/>
        <w:rPr>
          <w:rFonts w:ascii="宋体" w:hAnsi="宋体" w:cs="宋体"/>
          <w:color w:val="auto"/>
          <w:sz w:val="24"/>
          <w:szCs w:val="24"/>
          <w:highlight w:val="none"/>
        </w:rPr>
      </w:pPr>
      <w:r>
        <w:rPr>
          <w:rFonts w:ascii="宋体" w:hAnsi="宋体" w:cs="宋体"/>
          <w:color w:val="auto"/>
          <w:sz w:val="24"/>
          <w:szCs w:val="24"/>
          <w:highlight w:val="none"/>
        </w:rPr>
        <w:t>25</w:t>
      </w:r>
      <w:r>
        <w:rPr>
          <w:rFonts w:hint="eastAsia" w:ascii="宋体" w:hAnsi="宋体" w:cs="宋体"/>
          <w:b/>
          <w:color w:val="auto"/>
          <w:sz w:val="24"/>
          <w:szCs w:val="24"/>
          <w:highlight w:val="none"/>
        </w:rPr>
        <w:t>、工程量确认</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25.1</w:t>
      </w:r>
      <w:r>
        <w:rPr>
          <w:rFonts w:hint="eastAsia" w:ascii="宋体" w:hAnsi="宋体" w:cs="宋体"/>
          <w:color w:val="auto"/>
          <w:sz w:val="24"/>
          <w:szCs w:val="24"/>
          <w:highlight w:val="none"/>
        </w:rPr>
        <w:t>承包人向工程师提交已完工程量报告的时间：</w:t>
      </w:r>
      <w:r>
        <w:rPr>
          <w:rFonts w:hint="eastAsia" w:ascii="宋体" w:hAnsi="宋体" w:cs="宋体"/>
          <w:color w:val="auto"/>
          <w:sz w:val="24"/>
          <w:szCs w:val="24"/>
          <w:highlight w:val="none"/>
          <w:u w:val="single"/>
        </w:rPr>
        <w:t>自开工之日起每周及每月报告已完成工程状况</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25.2双方一致同意不适用通用条款25.2款</w:t>
      </w:r>
      <w:r>
        <w:rPr>
          <w:rFonts w:hint="eastAsia" w:ascii="宋体" w:hAnsi="宋体" w:cs="宋体"/>
          <w:color w:val="auto"/>
          <w:sz w:val="24"/>
          <w:szCs w:val="24"/>
          <w:highlight w:val="none"/>
        </w:rPr>
        <w:t>，承包人完成工程量必须经发包人书面确认。</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26</w:t>
      </w:r>
      <w:r>
        <w:rPr>
          <w:rFonts w:hint="eastAsia" w:ascii="宋体" w:hAnsi="宋体" w:cs="宋体"/>
          <w:color w:val="auto"/>
          <w:sz w:val="24"/>
          <w:szCs w:val="24"/>
          <w:highlight w:val="none"/>
        </w:rPr>
        <w:t>、</w:t>
      </w:r>
      <w:r>
        <w:rPr>
          <w:rFonts w:hint="eastAsia" w:ascii="宋体" w:hAnsi="宋体" w:cs="宋体"/>
          <w:b/>
          <w:color w:val="auto"/>
          <w:sz w:val="24"/>
          <w:szCs w:val="24"/>
          <w:highlight w:val="none"/>
        </w:rPr>
        <w:t>工程款（进度款）支付</w:t>
      </w:r>
    </w:p>
    <w:p>
      <w:pPr>
        <w:snapToGrid w:val="0"/>
        <w:spacing w:line="440" w:lineRule="exact"/>
        <w:ind w:firstLine="480"/>
        <w:rPr>
          <w:rFonts w:ascii="宋体" w:hAnsi="宋体" w:cs="宋体"/>
          <w:color w:val="auto"/>
          <w:sz w:val="24"/>
          <w:szCs w:val="24"/>
          <w:highlight w:val="none"/>
        </w:rPr>
      </w:pPr>
      <w:r>
        <w:rPr>
          <w:rFonts w:ascii="宋体" w:hAnsi="宋体" w:cs="宋体"/>
          <w:color w:val="auto"/>
          <w:sz w:val="24"/>
          <w:szCs w:val="24"/>
          <w:highlight w:val="none"/>
        </w:rPr>
        <w:t>26.1双方约定的工程款（进度款）支付采取如下的</w:t>
      </w:r>
      <w:r>
        <w:rPr>
          <w:rFonts w:hint="eastAsia" w:ascii="宋体" w:hAnsi="宋体" w:cs="宋体"/>
          <w:color w:val="auto"/>
          <w:sz w:val="24"/>
          <w:szCs w:val="24"/>
          <w:highlight w:val="none"/>
          <w:u w:val="single"/>
          <w:lang w:val="en-US" w:eastAsia="zh-CN"/>
        </w:rPr>
        <w:t xml:space="preserve"> 26.1.2 </w:t>
      </w:r>
      <w:r>
        <w:rPr>
          <w:rFonts w:hint="eastAsia" w:ascii="宋体" w:hAnsi="宋体" w:cs="宋体"/>
          <w:color w:val="auto"/>
          <w:sz w:val="24"/>
          <w:szCs w:val="24"/>
          <w:highlight w:val="none"/>
        </w:rPr>
        <w:t>方式进行：</w:t>
      </w:r>
    </w:p>
    <w:p>
      <w:pPr>
        <w:snapToGrid w:val="0"/>
        <w:spacing w:line="440" w:lineRule="exact"/>
        <w:ind w:firstLine="480"/>
        <w:rPr>
          <w:rFonts w:ascii="宋体" w:hAnsi="宋体" w:cs="宋体"/>
          <w:color w:val="auto"/>
          <w:sz w:val="24"/>
          <w:szCs w:val="24"/>
          <w:highlight w:val="none"/>
        </w:rPr>
      </w:pPr>
      <w:r>
        <w:rPr>
          <w:rFonts w:ascii="宋体" w:hAnsi="宋体" w:cs="宋体"/>
          <w:color w:val="auto"/>
          <w:sz w:val="24"/>
          <w:szCs w:val="24"/>
          <w:highlight w:val="none"/>
        </w:rPr>
        <w:t>26.1.1</w:t>
      </w:r>
      <w:r>
        <w:rPr>
          <w:rFonts w:hint="eastAsia" w:ascii="宋体" w:hAnsi="宋体" w:cs="宋体"/>
          <w:color w:val="auto"/>
          <w:sz w:val="24"/>
          <w:szCs w:val="24"/>
          <w:highlight w:val="none"/>
        </w:rPr>
        <w:t>按累计完成工作量百分率支付工程款（进度款）方式：</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u w:val="single"/>
        </w:rPr>
        <w:t>当完成工作量达到</w:t>
      </w:r>
      <w:r>
        <w:rPr>
          <w:rFonts w:ascii="宋体" w:hAnsi="宋体" w:cs="宋体"/>
          <w:color w:val="auto"/>
          <w:sz w:val="24"/>
          <w:szCs w:val="24"/>
          <w:highlight w:val="none"/>
          <w:u w:val="single"/>
        </w:rPr>
        <w:t>60%</w:t>
      </w:r>
      <w:r>
        <w:rPr>
          <w:rFonts w:hint="eastAsia" w:ascii="宋体" w:hAnsi="宋体" w:cs="宋体"/>
          <w:color w:val="auto"/>
          <w:sz w:val="24"/>
          <w:szCs w:val="24"/>
          <w:highlight w:val="none"/>
          <w:u w:val="single"/>
        </w:rPr>
        <w:t>时，支付工程进度款</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累计付款(含已支付的</w:t>
      </w:r>
      <w:r>
        <w:rPr>
          <w:rFonts w:hint="eastAsia" w:ascii="宋体" w:hAnsi="宋体" w:cs="宋体"/>
          <w:color w:val="auto"/>
          <w:sz w:val="24"/>
          <w:szCs w:val="24"/>
          <w:highlight w:val="none"/>
          <w:u w:val="single"/>
        </w:rPr>
        <w:t>绿色施工安全防护措施费</w:t>
      </w:r>
      <w:r>
        <w:rPr>
          <w:rFonts w:ascii="宋体" w:hAnsi="宋体" w:cs="宋体"/>
          <w:color w:val="auto"/>
          <w:sz w:val="24"/>
          <w:szCs w:val="24"/>
          <w:highlight w:val="none"/>
          <w:u w:val="single"/>
        </w:rPr>
        <w:t>)至合同价款</w:t>
      </w:r>
      <w:r>
        <w:rPr>
          <w:rFonts w:hint="eastAsia" w:ascii="宋体" w:hAnsi="宋体" w:cs="宋体"/>
          <w:color w:val="auto"/>
          <w:sz w:val="24"/>
          <w:szCs w:val="24"/>
          <w:highlight w:val="none"/>
          <w:u w:val="single"/>
        </w:rPr>
        <w:t>若有暂定金</w:t>
      </w:r>
      <w:r>
        <w:rPr>
          <w:rFonts w:ascii="宋体" w:hAnsi="宋体" w:cs="宋体"/>
          <w:color w:val="auto"/>
          <w:sz w:val="24"/>
          <w:szCs w:val="24"/>
          <w:highlight w:val="none"/>
          <w:u w:val="single"/>
        </w:rPr>
        <w:t>(含暂列金额和暂估价)</w:t>
      </w:r>
      <w:r>
        <w:rPr>
          <w:rFonts w:hint="eastAsia" w:ascii="宋体" w:hAnsi="宋体" w:cs="宋体"/>
          <w:color w:val="auto"/>
          <w:sz w:val="24"/>
          <w:szCs w:val="24"/>
          <w:highlight w:val="none"/>
          <w:u w:val="single"/>
        </w:rPr>
        <w:t>扣除未计量部分暂定金</w:t>
      </w:r>
      <w:r>
        <w:rPr>
          <w:rFonts w:ascii="宋体" w:hAnsi="宋体" w:cs="宋体"/>
          <w:color w:val="auto"/>
          <w:sz w:val="24"/>
          <w:szCs w:val="24"/>
          <w:highlight w:val="none"/>
          <w:u w:val="single"/>
        </w:rPr>
        <w:t>(含暂列金额和暂估价)</w:t>
      </w:r>
      <w:r>
        <w:rPr>
          <w:rFonts w:hint="eastAsia" w:ascii="宋体" w:hAnsi="宋体" w:cs="宋体"/>
          <w:color w:val="auto"/>
          <w:sz w:val="24"/>
          <w:szCs w:val="24"/>
          <w:highlight w:val="none"/>
          <w:u w:val="single"/>
        </w:rPr>
        <w:t>后的</w:t>
      </w:r>
      <w:r>
        <w:rPr>
          <w:rFonts w:ascii="宋体" w:hAnsi="宋体" w:cs="宋体"/>
          <w:color w:val="auto"/>
          <w:sz w:val="24"/>
          <w:szCs w:val="24"/>
          <w:highlight w:val="none"/>
          <w:u w:val="single"/>
        </w:rPr>
        <w:t>55%</w:t>
      </w:r>
      <w:r>
        <w:rPr>
          <w:rFonts w:hint="eastAsia" w:ascii="宋体" w:hAnsi="宋体" w:cs="宋体"/>
          <w:color w:val="auto"/>
          <w:sz w:val="24"/>
          <w:szCs w:val="24"/>
          <w:highlight w:val="none"/>
          <w:u w:val="single"/>
        </w:rPr>
        <w:t>】</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u w:val="single"/>
        </w:rPr>
        <w:t>工程完工，并通过初验后支付合同价款</w:t>
      </w:r>
      <w:r>
        <w:rPr>
          <w:rFonts w:ascii="宋体" w:hAnsi="宋体" w:cs="宋体"/>
          <w:color w:val="auto"/>
          <w:sz w:val="24"/>
          <w:szCs w:val="24"/>
          <w:highlight w:val="none"/>
          <w:u w:val="single"/>
        </w:rPr>
        <w:t>30%</w:t>
      </w: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累计付款(含</w:t>
      </w:r>
      <w:r>
        <w:rPr>
          <w:rFonts w:hint="eastAsia" w:ascii="宋体" w:hAnsi="宋体" w:cs="宋体"/>
          <w:color w:val="auto"/>
          <w:sz w:val="24"/>
          <w:szCs w:val="24"/>
          <w:highlight w:val="none"/>
          <w:u w:val="single"/>
        </w:rPr>
        <w:t>绿色施工安全防护措施费）</w:t>
      </w:r>
      <w:r>
        <w:rPr>
          <w:rFonts w:ascii="宋体" w:hAnsi="宋体" w:cs="宋体"/>
          <w:color w:val="auto"/>
          <w:sz w:val="24"/>
          <w:szCs w:val="24"/>
          <w:highlight w:val="none"/>
          <w:u w:val="single"/>
        </w:rPr>
        <w:t>至合同价款</w:t>
      </w:r>
      <w:r>
        <w:rPr>
          <w:rFonts w:hint="eastAsia" w:ascii="宋体" w:hAnsi="宋体" w:cs="宋体"/>
          <w:color w:val="auto"/>
          <w:sz w:val="24"/>
          <w:szCs w:val="24"/>
          <w:highlight w:val="none"/>
          <w:u w:val="single"/>
        </w:rPr>
        <w:t>若有暂定金</w:t>
      </w:r>
      <w:r>
        <w:rPr>
          <w:rFonts w:ascii="宋体" w:hAnsi="宋体" w:cs="宋体"/>
          <w:color w:val="auto"/>
          <w:sz w:val="24"/>
          <w:szCs w:val="24"/>
          <w:highlight w:val="none"/>
          <w:u w:val="single"/>
        </w:rPr>
        <w:t>(含暂列金额和暂估价)</w:t>
      </w:r>
      <w:r>
        <w:rPr>
          <w:rFonts w:hint="eastAsia" w:ascii="宋体" w:hAnsi="宋体" w:cs="宋体"/>
          <w:color w:val="auto"/>
          <w:sz w:val="24"/>
          <w:szCs w:val="24"/>
          <w:highlight w:val="none"/>
          <w:u w:val="single"/>
        </w:rPr>
        <w:t>扣除未计量部分暂定金</w:t>
      </w:r>
      <w:r>
        <w:rPr>
          <w:rFonts w:ascii="宋体" w:hAnsi="宋体" w:cs="宋体"/>
          <w:color w:val="auto"/>
          <w:sz w:val="24"/>
          <w:szCs w:val="24"/>
          <w:highlight w:val="none"/>
          <w:u w:val="single"/>
        </w:rPr>
        <w:t>(含暂列金额和暂估价)</w:t>
      </w:r>
      <w:r>
        <w:rPr>
          <w:rFonts w:hint="eastAsia" w:ascii="宋体" w:hAnsi="宋体" w:cs="宋体"/>
          <w:color w:val="auto"/>
          <w:sz w:val="24"/>
          <w:szCs w:val="24"/>
          <w:highlight w:val="none"/>
          <w:u w:val="single"/>
        </w:rPr>
        <w:t>后的</w:t>
      </w:r>
      <w:r>
        <w:rPr>
          <w:rFonts w:ascii="宋体" w:hAnsi="宋体" w:cs="宋体"/>
          <w:color w:val="auto"/>
          <w:sz w:val="24"/>
          <w:szCs w:val="24"/>
          <w:highlight w:val="none"/>
          <w:u w:val="single"/>
        </w:rPr>
        <w:t>85%</w:t>
      </w:r>
      <w:r>
        <w:rPr>
          <w:rFonts w:hint="eastAsia" w:ascii="宋体" w:hAnsi="宋体" w:cs="宋体"/>
          <w:color w:val="auto"/>
          <w:sz w:val="24"/>
          <w:szCs w:val="24"/>
          <w:highlight w:val="none"/>
          <w:u w:val="single"/>
        </w:rPr>
        <w:t>】</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u w:val="single"/>
        </w:rPr>
        <w:t>工程通过验收并经广州开发区财政局审定施工结算后支付工程款</w:t>
      </w:r>
      <w:r>
        <w:rPr>
          <w:rFonts w:ascii="宋体" w:hAnsi="宋体" w:cs="宋体"/>
          <w:color w:val="auto"/>
          <w:sz w:val="24"/>
          <w:szCs w:val="24"/>
          <w:highlight w:val="none"/>
          <w:u w:val="single"/>
        </w:rPr>
        <w:t>(</w:t>
      </w:r>
      <w:r>
        <w:rPr>
          <w:rFonts w:hint="eastAsia" w:ascii="宋体" w:hAnsi="宋体" w:cs="宋体"/>
          <w:color w:val="auto"/>
          <w:sz w:val="24"/>
          <w:szCs w:val="24"/>
          <w:highlight w:val="none"/>
          <w:u w:val="single"/>
        </w:rPr>
        <w:t>含绿色施工安全防护措施费）至结算价的</w:t>
      </w:r>
      <w:r>
        <w:rPr>
          <w:rFonts w:ascii="宋体" w:hAnsi="宋体" w:cs="宋体"/>
          <w:color w:val="auto"/>
          <w:sz w:val="24"/>
          <w:szCs w:val="24"/>
          <w:highlight w:val="none"/>
          <w:u w:val="single"/>
        </w:rPr>
        <w:t>97%；工程结算价款额度的3%作为</w:t>
      </w:r>
      <w:r>
        <w:rPr>
          <w:rFonts w:hint="eastAsia" w:ascii="宋体" w:hAnsi="宋体" w:cs="宋体"/>
          <w:color w:val="auto"/>
          <w:sz w:val="24"/>
          <w:szCs w:val="24"/>
          <w:highlight w:val="none"/>
          <w:u w:val="single"/>
        </w:rPr>
        <w:t>质量</w:t>
      </w:r>
      <w:r>
        <w:rPr>
          <w:rFonts w:ascii="宋体" w:hAnsi="宋体" w:cs="宋体"/>
          <w:color w:val="auto"/>
          <w:sz w:val="24"/>
          <w:szCs w:val="24"/>
          <w:highlight w:val="none"/>
          <w:u w:val="single"/>
        </w:rPr>
        <w:t>保修金，待</w:t>
      </w:r>
      <w:r>
        <w:rPr>
          <w:rFonts w:hint="eastAsia" w:ascii="宋体" w:hAnsi="宋体" w:cs="宋体"/>
          <w:color w:val="auto"/>
          <w:sz w:val="24"/>
          <w:szCs w:val="24"/>
          <w:highlight w:val="none"/>
          <w:u w:val="single"/>
        </w:rPr>
        <w:t>缺陷责任</w:t>
      </w:r>
      <w:r>
        <w:rPr>
          <w:rFonts w:ascii="宋体" w:hAnsi="宋体" w:cs="宋体"/>
          <w:color w:val="auto"/>
          <w:sz w:val="24"/>
          <w:szCs w:val="24"/>
          <w:highlight w:val="none"/>
          <w:u w:val="single"/>
        </w:rPr>
        <w:t>期结束后结清（不计利息）</w:t>
      </w:r>
      <w:r>
        <w:rPr>
          <w:rFonts w:hint="eastAsia" w:ascii="宋体" w:hAnsi="宋体" w:cs="宋体"/>
          <w:color w:val="auto"/>
          <w:sz w:val="24"/>
          <w:szCs w:val="24"/>
          <w:highlight w:val="none"/>
        </w:rPr>
        <w:t>。</w:t>
      </w:r>
    </w:p>
    <w:p>
      <w:pPr>
        <w:snapToGrid w:val="0"/>
        <w:spacing w:line="440" w:lineRule="exact"/>
        <w:ind w:firstLine="338" w:firstLineChars="141"/>
        <w:rPr>
          <w:rFonts w:ascii="宋体" w:hAnsi="宋体" w:cs="宋体"/>
          <w:color w:val="auto"/>
          <w:sz w:val="24"/>
          <w:szCs w:val="24"/>
          <w:highlight w:val="none"/>
        </w:rPr>
      </w:pPr>
      <w:r>
        <w:rPr>
          <w:rFonts w:hint="eastAsia" w:ascii="宋体" w:hAnsi="宋体" w:cs="宋体"/>
          <w:color w:val="auto"/>
          <w:sz w:val="24"/>
          <w:szCs w:val="24"/>
          <w:highlight w:val="none"/>
        </w:rPr>
        <w:t>上述所有款项均在广州开发区财政局审定该专项资金并拨款到位后支付，每期需支付的工程进度款×工人工资比例为该期工人工资进度款，支付至工人工资专用账户。办理工程款财政请款手续的时间不计入付款期限。</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26.1.2按月度支付工程款（进度款）</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u w:val="single"/>
        </w:rPr>
        <w:t>承包人每月上报完成工程量报表，经监理审核及发包人确认后，发包人按经审定月度完成工程量的</w:t>
      </w:r>
      <w:r>
        <w:rPr>
          <w:rFonts w:ascii="宋体" w:hAnsi="宋体" w:cs="宋体"/>
          <w:color w:val="auto"/>
          <w:sz w:val="24"/>
          <w:szCs w:val="24"/>
          <w:highlight w:val="none"/>
          <w:u w:val="single"/>
        </w:rPr>
        <w:t>85%支付工程进度款</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u w:val="single"/>
        </w:rPr>
        <w:t>从本工程发生的第一次进度款支付起，发包人每次按审定月度完成工程量</w:t>
      </w:r>
      <w:r>
        <w:rPr>
          <w:rFonts w:hint="eastAsia" w:ascii="宋体" w:hAnsi="宋体" w:cs="宋体"/>
          <w:color w:val="auto"/>
          <w:sz w:val="24"/>
          <w:szCs w:val="24"/>
          <w:highlight w:val="none"/>
          <w:u w:val="single"/>
          <w:lang w:eastAsia="zh-CN"/>
        </w:rPr>
        <w:t>扣除绿色施工安全防护措施费，若工程量清单中有暂定金则扣除未计量部分暂定金（含暂列金额及暂估价）后</w:t>
      </w:r>
      <w:r>
        <w:rPr>
          <w:rFonts w:hint="eastAsia" w:ascii="宋体" w:hAnsi="宋体" w:cs="宋体"/>
          <w:color w:val="auto"/>
          <w:sz w:val="24"/>
          <w:szCs w:val="24"/>
          <w:highlight w:val="none"/>
          <w:u w:val="single"/>
        </w:rPr>
        <w:t>的</w:t>
      </w:r>
      <w:r>
        <w:rPr>
          <w:rFonts w:ascii="宋体" w:hAnsi="宋体" w:cs="宋体"/>
          <w:color w:val="auto"/>
          <w:sz w:val="24"/>
          <w:szCs w:val="24"/>
          <w:highlight w:val="none"/>
          <w:u w:val="single"/>
        </w:rPr>
        <w:t>85%中之50%扣回预付款，每次按审定月度完成工程量</w:t>
      </w:r>
      <w:r>
        <w:rPr>
          <w:rFonts w:hint="eastAsia" w:ascii="宋体" w:hAnsi="宋体" w:cs="宋体"/>
          <w:color w:val="auto"/>
          <w:sz w:val="24"/>
          <w:szCs w:val="24"/>
          <w:highlight w:val="none"/>
          <w:u w:val="single"/>
          <w:lang w:eastAsia="zh-CN"/>
        </w:rPr>
        <w:t>扣除绿色施工安全防护措施费，若工程量清单中有暂定金则扣除未计量部分暂定金（含暂列金额及暂估价）后</w:t>
      </w:r>
      <w:r>
        <w:rPr>
          <w:rFonts w:ascii="宋体" w:hAnsi="宋体" w:cs="宋体"/>
          <w:color w:val="auto"/>
          <w:sz w:val="24"/>
          <w:szCs w:val="24"/>
          <w:highlight w:val="none"/>
          <w:u w:val="single"/>
        </w:rPr>
        <w:t>的85%扣除应扣回的预付款后支付承包人当次的工程进度款，直至预付款全部扣回完毕止。预付款扣回完毕后，发包人按审定月度完成工程量</w:t>
      </w:r>
      <w:r>
        <w:rPr>
          <w:rFonts w:hint="eastAsia" w:ascii="宋体" w:hAnsi="宋体" w:cs="宋体"/>
          <w:color w:val="auto"/>
          <w:sz w:val="24"/>
          <w:szCs w:val="24"/>
          <w:highlight w:val="none"/>
          <w:u w:val="single"/>
          <w:lang w:eastAsia="zh-CN"/>
        </w:rPr>
        <w:t>扣除绿色施工安全防护措施费，若工程量清单中有暂定金则扣除未计量部分暂定金（含暂列金额及暂估价）后</w:t>
      </w:r>
      <w:r>
        <w:rPr>
          <w:rFonts w:ascii="宋体" w:hAnsi="宋体" w:cs="宋体"/>
          <w:color w:val="auto"/>
          <w:sz w:val="24"/>
          <w:szCs w:val="24"/>
          <w:highlight w:val="none"/>
          <w:u w:val="single"/>
        </w:rPr>
        <w:t>的85%支付工程进度款；工程完工，累计支付</w:t>
      </w:r>
      <w:r>
        <w:rPr>
          <w:rFonts w:hint="eastAsia" w:ascii="宋体" w:hAnsi="宋体" w:cs="宋体"/>
          <w:color w:val="auto"/>
          <w:sz w:val="24"/>
          <w:szCs w:val="24"/>
          <w:highlight w:val="none"/>
          <w:u w:val="single"/>
        </w:rPr>
        <w:t>工程款（含绿色施工安全防护措施费）至合同价若有暂定金（含暂列金额及暂估价）则扣除未计量部分暂定金后的</w:t>
      </w:r>
      <w:r>
        <w:rPr>
          <w:rFonts w:ascii="宋体" w:hAnsi="宋体" w:cs="宋体"/>
          <w:color w:val="auto"/>
          <w:sz w:val="24"/>
          <w:szCs w:val="24"/>
          <w:highlight w:val="none"/>
          <w:u w:val="single"/>
        </w:rPr>
        <w:t>85%</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u w:val="single"/>
        </w:rPr>
        <w:t>工程通过验收并经广州开发区财政局审定施工结算后支付工程款（含绿色施工安全防护措施费）至结算价的</w:t>
      </w:r>
      <w:r>
        <w:rPr>
          <w:rFonts w:ascii="宋体" w:hAnsi="宋体" w:cs="宋体"/>
          <w:color w:val="auto"/>
          <w:sz w:val="24"/>
          <w:szCs w:val="24"/>
          <w:highlight w:val="none"/>
          <w:u w:val="single"/>
        </w:rPr>
        <w:t>97%；工程结算价款额度的3%作为</w:t>
      </w:r>
      <w:r>
        <w:rPr>
          <w:rFonts w:hint="eastAsia" w:ascii="宋体" w:hAnsi="宋体" w:cs="宋体"/>
          <w:color w:val="auto"/>
          <w:sz w:val="24"/>
          <w:szCs w:val="24"/>
          <w:highlight w:val="none"/>
          <w:u w:val="single"/>
        </w:rPr>
        <w:t>质量</w:t>
      </w:r>
      <w:r>
        <w:rPr>
          <w:rFonts w:ascii="宋体" w:hAnsi="宋体" w:cs="宋体"/>
          <w:color w:val="auto"/>
          <w:sz w:val="24"/>
          <w:szCs w:val="24"/>
          <w:highlight w:val="none"/>
          <w:u w:val="single"/>
        </w:rPr>
        <w:t>保修金，待</w:t>
      </w:r>
      <w:r>
        <w:rPr>
          <w:rFonts w:hint="eastAsia" w:ascii="宋体" w:hAnsi="宋体" w:cs="宋体"/>
          <w:color w:val="auto"/>
          <w:sz w:val="24"/>
          <w:szCs w:val="24"/>
          <w:highlight w:val="none"/>
          <w:u w:val="single"/>
        </w:rPr>
        <w:t>缺陷责任</w:t>
      </w:r>
      <w:r>
        <w:rPr>
          <w:rFonts w:ascii="宋体" w:hAnsi="宋体" w:cs="宋体"/>
          <w:color w:val="auto"/>
          <w:sz w:val="24"/>
          <w:szCs w:val="24"/>
          <w:highlight w:val="none"/>
          <w:u w:val="single"/>
        </w:rPr>
        <w:t>期结束后结清（不计利息）</w:t>
      </w:r>
      <w:r>
        <w:rPr>
          <w:rFonts w:hint="eastAsia" w:ascii="宋体" w:hAnsi="宋体" w:cs="宋体"/>
          <w:color w:val="auto"/>
          <w:sz w:val="24"/>
          <w:szCs w:val="24"/>
          <w:highlight w:val="none"/>
        </w:rPr>
        <w:t>。</w:t>
      </w:r>
    </w:p>
    <w:p>
      <w:pPr>
        <w:snapToGrid w:val="0"/>
        <w:spacing w:line="440" w:lineRule="exact"/>
        <w:ind w:firstLine="338" w:firstLineChars="141"/>
        <w:rPr>
          <w:rFonts w:ascii="宋体" w:hAnsi="宋体" w:cs="宋体"/>
          <w:color w:val="auto"/>
          <w:sz w:val="24"/>
          <w:szCs w:val="24"/>
          <w:highlight w:val="none"/>
        </w:rPr>
      </w:pPr>
      <w:r>
        <w:rPr>
          <w:rFonts w:hint="eastAsia" w:ascii="宋体" w:hAnsi="宋体" w:cs="宋体"/>
          <w:color w:val="auto"/>
          <w:sz w:val="24"/>
          <w:szCs w:val="24"/>
          <w:highlight w:val="none"/>
        </w:rPr>
        <w:t>上述所有款项均在广州开发区财政局审定该专项资金并拨款到位后支付，每期需支付的工程进度款×工人工资比例为该期工人工资进度款，支付至工人工资专用账户。办理工程款财政请款手续的时间不计入付款期限。</w:t>
      </w:r>
    </w:p>
    <w:p>
      <w:pPr>
        <w:adjustRightInd w:val="0"/>
        <w:snapToGrid w:val="0"/>
        <w:spacing w:line="440" w:lineRule="exact"/>
        <w:ind w:right="11" w:firstLine="420" w:firstLineChars="175"/>
        <w:rPr>
          <w:rFonts w:ascii="宋体" w:hAnsi="宋体" w:cs="宋体"/>
          <w:color w:val="auto"/>
          <w:sz w:val="24"/>
          <w:szCs w:val="24"/>
          <w:highlight w:val="none"/>
        </w:rPr>
      </w:pPr>
      <w:r>
        <w:rPr>
          <w:rFonts w:ascii="宋体" w:hAnsi="宋体" w:cs="宋体"/>
          <w:color w:val="auto"/>
          <w:sz w:val="24"/>
          <w:szCs w:val="24"/>
          <w:highlight w:val="none"/>
        </w:rPr>
        <w:t>26.2所有因变更、签证及价格调整等原因所调整增加的工程价款均应由承包人按广州开发区、</w:t>
      </w:r>
      <w:r>
        <w:rPr>
          <w:rFonts w:hint="eastAsia" w:ascii="宋体" w:hAnsi="宋体" w:cs="宋体"/>
          <w:color w:val="auto"/>
          <w:sz w:val="24"/>
          <w:szCs w:val="24"/>
          <w:highlight w:val="none"/>
        </w:rPr>
        <w:t>黄埔</w:t>
      </w:r>
      <w:r>
        <w:rPr>
          <w:rFonts w:ascii="宋体" w:hAnsi="宋体" w:cs="宋体"/>
          <w:color w:val="auto"/>
          <w:sz w:val="24"/>
          <w:szCs w:val="24"/>
          <w:highlight w:val="none"/>
        </w:rPr>
        <w:t>区及发包人相关规定程序，报监理初审，并经发包人审批同意后，按审定金额另行签订补充协议支付，或在工程结算中一并支付。</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26.4</w:t>
      </w:r>
      <w:r>
        <w:rPr>
          <w:rFonts w:hint="eastAsia" w:ascii="宋体" w:hAnsi="宋体" w:cs="宋体"/>
          <w:color w:val="auto"/>
          <w:sz w:val="24"/>
          <w:szCs w:val="24"/>
          <w:highlight w:val="none"/>
        </w:rPr>
        <w:t>工程价款的支付条件：</w:t>
      </w:r>
    </w:p>
    <w:p>
      <w:pPr>
        <w:snapToGrid w:val="0"/>
        <w:spacing w:line="440" w:lineRule="exact"/>
        <w:ind w:firstLine="240" w:firstLineChars="1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1）支付</w:t>
      </w:r>
      <w:r>
        <w:rPr>
          <w:rFonts w:hint="eastAsia" w:ascii="宋体" w:hAnsi="宋体" w:cs="宋体"/>
          <w:color w:val="auto"/>
          <w:sz w:val="24"/>
          <w:szCs w:val="24"/>
          <w:highlight w:val="none"/>
        </w:rPr>
        <w:t>预付</w:t>
      </w:r>
      <w:r>
        <w:rPr>
          <w:rFonts w:ascii="宋体" w:hAnsi="宋体" w:cs="宋体"/>
          <w:color w:val="auto"/>
          <w:sz w:val="24"/>
          <w:szCs w:val="24"/>
          <w:highlight w:val="none"/>
        </w:rPr>
        <w:t>款：</w:t>
      </w:r>
      <w:r>
        <w:rPr>
          <w:rFonts w:hint="eastAsia" w:ascii="宋体" w:hAnsi="宋体" w:cs="宋体"/>
          <w:color w:val="auto"/>
          <w:sz w:val="24"/>
          <w:szCs w:val="24"/>
          <w:highlight w:val="none"/>
          <w:u w:val="single"/>
        </w:rPr>
        <w:t>承包人已与发包人签订工程施工合同，承包人承诺的项目管理人员、机械设备到位。已生效的履约担保已按发包人要求准时提交发包人，工程已经监理工程师批准动工，该工程财政拨款已到位。如工程因用地、拆迁等原因导致不能全面开工，则预付款的支付按可开工部分的工程量占总工程量的比例做相应调整。</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2）支付工程款（进度款）：</w:t>
      </w:r>
      <w:r>
        <w:rPr>
          <w:rFonts w:hint="eastAsia" w:ascii="宋体" w:hAnsi="宋体" w:cs="宋体"/>
          <w:color w:val="auto"/>
          <w:sz w:val="24"/>
          <w:szCs w:val="24"/>
          <w:highlight w:val="none"/>
          <w:u w:val="single"/>
        </w:rPr>
        <w:t>承包人必须及时向监理工程师提供其完成工作量的计量支付汇总报表和相应的分项工程计量支付报表。完成的全部分项工程数量均需有监理工程师的签认手续，计算依据和相关的质量合格证明资料，需通过测量确定数量的必须附有完整的测量资料且有监理工程师的签认</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（3）支付质量保修金：</w:t>
      </w:r>
      <w:r>
        <w:rPr>
          <w:rFonts w:hint="eastAsia" w:ascii="宋体" w:hAnsi="宋体" w:cs="宋体"/>
          <w:color w:val="auto"/>
          <w:sz w:val="24"/>
          <w:szCs w:val="24"/>
          <w:highlight w:val="none"/>
          <w:u w:val="single"/>
        </w:rPr>
        <w:t>缺陷责任期满且承包人向发包人提交满足第32.1条要求的工程竣工资料</w:t>
      </w:r>
      <w:r>
        <w:rPr>
          <w:rFonts w:hint="eastAsia" w:ascii="宋体" w:hAnsi="宋体" w:cs="宋体"/>
          <w:color w:val="auto"/>
          <w:sz w:val="24"/>
          <w:szCs w:val="24"/>
          <w:highlight w:val="none"/>
          <w:u w:val="none"/>
        </w:rPr>
        <w:t>。</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26.5</w:t>
      </w:r>
      <w:r>
        <w:rPr>
          <w:rFonts w:hint="eastAsia" w:ascii="宋体" w:hAnsi="宋体" w:cs="宋体"/>
          <w:color w:val="auto"/>
          <w:sz w:val="24"/>
          <w:szCs w:val="24"/>
          <w:highlight w:val="none"/>
          <w:u w:val="single"/>
        </w:rPr>
        <w:t>绿色施工安全防护措施费</w:t>
      </w:r>
      <w:r>
        <w:rPr>
          <w:rFonts w:hint="eastAsia" w:ascii="宋体" w:hAnsi="宋体" w:cs="宋体"/>
          <w:color w:val="auto"/>
          <w:sz w:val="24"/>
          <w:szCs w:val="24"/>
          <w:highlight w:val="none"/>
        </w:rPr>
        <w:t>支付的支付条件：</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u w:val="single"/>
        </w:rPr>
        <w:t>绿色施工安全防护措施费</w:t>
      </w:r>
      <w:r>
        <w:rPr>
          <w:rFonts w:hint="eastAsia" w:ascii="宋体" w:hAnsi="宋体" w:cs="宋体"/>
          <w:color w:val="auto"/>
          <w:sz w:val="24"/>
          <w:szCs w:val="24"/>
          <w:highlight w:val="none"/>
        </w:rPr>
        <w:t>按在工程投标最高报价中的</w:t>
      </w:r>
      <w:r>
        <w:rPr>
          <w:rFonts w:hint="eastAsia" w:ascii="宋体" w:hAnsi="宋体" w:cs="宋体"/>
          <w:color w:val="auto"/>
          <w:sz w:val="24"/>
          <w:szCs w:val="24"/>
          <w:highlight w:val="none"/>
          <w:u w:val="single"/>
        </w:rPr>
        <w:t>绿色施工安全防护措施费</w:t>
      </w:r>
      <w:r>
        <w:rPr>
          <w:rFonts w:hint="eastAsia" w:ascii="宋体" w:hAnsi="宋体" w:cs="宋体"/>
          <w:color w:val="auto"/>
          <w:sz w:val="24"/>
          <w:szCs w:val="24"/>
          <w:highlight w:val="none"/>
        </w:rPr>
        <w:t>用计取，专款专用，并从本施工合同价款中提取（</w:t>
      </w:r>
      <w:r>
        <w:rPr>
          <w:rFonts w:hint="eastAsia" w:ascii="宋体" w:hAnsi="宋体" w:cs="宋体"/>
          <w:color w:val="auto"/>
          <w:sz w:val="24"/>
          <w:szCs w:val="24"/>
          <w:highlight w:val="none"/>
          <w:u w:val="single"/>
        </w:rPr>
        <w:t>绿色施工安全防护措施费</w:t>
      </w:r>
      <w:r>
        <w:rPr>
          <w:rFonts w:hint="eastAsia" w:ascii="宋体" w:hAnsi="宋体" w:cs="宋体"/>
          <w:color w:val="auto"/>
          <w:sz w:val="24"/>
          <w:szCs w:val="24"/>
          <w:highlight w:val="none"/>
        </w:rPr>
        <w:t>已包含在本工程中标价即施工合同价中）。</w:t>
      </w:r>
      <w:r>
        <w:rPr>
          <w:rFonts w:hint="eastAsia" w:ascii="宋体" w:hAnsi="宋体" w:eastAsia="宋体" w:cs="宋体"/>
          <w:color w:val="auto"/>
          <w:sz w:val="24"/>
          <w:szCs w:val="24"/>
          <w:highlight w:val="none"/>
        </w:rPr>
        <w:t>该费用根据《广州开发区财政投资建设项目管理中心建设项目绿色施工安全防护措施费支付管理实施细则（2024年修订）》（穗开建管〔2024〕47号）及“穗建筑【2008】967号”文及“穗建筑【2018】981号”规定</w:t>
      </w:r>
      <w:r>
        <w:rPr>
          <w:rFonts w:hint="eastAsia" w:ascii="宋体" w:hAnsi="宋体" w:cs="宋体"/>
          <w:color w:val="auto"/>
          <w:sz w:val="24"/>
          <w:szCs w:val="24"/>
          <w:highlight w:val="none"/>
        </w:rPr>
        <w:t>，分阶段支付</w:t>
      </w:r>
      <w:r>
        <w:rPr>
          <w:rFonts w:hint="eastAsia" w:ascii="宋体" w:hAnsi="宋体" w:cs="宋体"/>
          <w:color w:val="auto"/>
          <w:sz w:val="24"/>
          <w:szCs w:val="24"/>
          <w:highlight w:val="none"/>
          <w:u w:val="single"/>
        </w:rPr>
        <w:t>绿色施工安全防护措施费</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lang w:bidi="ar"/>
        </w:rPr>
      </w:pPr>
      <w:r>
        <w:rPr>
          <w:rFonts w:hint="eastAsia" w:ascii="宋体" w:hAnsi="宋体" w:cs="宋体"/>
          <w:color w:val="auto"/>
          <w:sz w:val="24"/>
          <w:szCs w:val="24"/>
          <w:highlight w:val="none"/>
          <w:lang w:val="en-US" w:eastAsia="zh-CN" w:bidi="ar"/>
        </w:rPr>
        <w:t>1、</w:t>
      </w:r>
      <w:r>
        <w:rPr>
          <w:rFonts w:hint="eastAsia" w:ascii="宋体" w:hAnsi="宋体" w:cs="宋体"/>
          <w:color w:val="auto"/>
          <w:sz w:val="24"/>
          <w:szCs w:val="24"/>
          <w:highlight w:val="none"/>
          <w:lang w:bidi="ar"/>
        </w:rPr>
        <w:t>工程项目开工日一个月内，由承包人主动向发包人提出申请，预付绿色施工安全防护措施费的50%。</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lang w:bidi="ar"/>
        </w:rPr>
        <w:t>2</w:t>
      </w:r>
      <w:r>
        <w:rPr>
          <w:rFonts w:hint="eastAsia" w:ascii="宋体" w:hAnsi="宋体" w:cs="宋体"/>
          <w:color w:val="auto"/>
          <w:sz w:val="24"/>
          <w:szCs w:val="24"/>
          <w:highlight w:val="none"/>
          <w:lang w:bidi="ar"/>
        </w:rPr>
        <w:t>、</w:t>
      </w:r>
      <w:r>
        <w:rPr>
          <w:rFonts w:hint="eastAsia" w:ascii="宋体" w:hAnsi="宋体" w:eastAsia="宋体" w:cs="宋体"/>
          <w:color w:val="auto"/>
          <w:sz w:val="24"/>
          <w:szCs w:val="24"/>
          <w:highlight w:val="none"/>
        </w:rPr>
        <w:t>承包人进场完成工地围墙、大门、办公用房或临舍、消防设施、临时设施、洗车槽、水枪、场内道路硬化、绿化、钢筋堆放点及加工场、垃圾收集点等部位的建设或布置，且房建工程完成主体结构封顶、市政工程完成路基工作、其它工程完成合同约定工程量的60%，《检查记录表》评定等级为合格或以上且财政拨款到位后，支付绿色施工安全防护措施费的40%</w:t>
      </w:r>
      <w:r>
        <w:rPr>
          <w:rFonts w:hint="eastAsia" w:ascii="宋体" w:hAnsi="宋体" w:cs="宋体"/>
          <w:color w:val="auto"/>
          <w:sz w:val="24"/>
          <w:szCs w:val="24"/>
          <w:highlight w:val="none"/>
          <w:lang w:bidi="ar"/>
        </w:rPr>
        <w:t>。</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lang w:bidi="ar"/>
        </w:rPr>
        <w:t>3</w:t>
      </w:r>
      <w:r>
        <w:rPr>
          <w:rFonts w:hint="eastAsia" w:ascii="宋体" w:hAnsi="宋体" w:cs="宋体"/>
          <w:color w:val="auto"/>
          <w:sz w:val="24"/>
          <w:szCs w:val="24"/>
          <w:highlight w:val="none"/>
          <w:lang w:bidi="ar"/>
        </w:rPr>
        <w:t>、工程完工，</w:t>
      </w:r>
      <w:r>
        <w:rPr>
          <w:rFonts w:hint="eastAsia" w:ascii="宋体" w:hAnsi="宋体" w:eastAsia="宋体" w:cs="宋体"/>
          <w:color w:val="auto"/>
          <w:sz w:val="24"/>
          <w:szCs w:val="24"/>
          <w:highlight w:val="none"/>
        </w:rPr>
        <w:t>《建设工程施工安全评价书》评定等级为合格或以上且财政拨款到位后，支付相应绿色施工安全防护措施费的10%</w:t>
      </w:r>
      <w:r>
        <w:rPr>
          <w:rFonts w:hint="eastAsia" w:ascii="宋体" w:hAnsi="宋体" w:cs="宋体"/>
          <w:color w:val="auto"/>
          <w:sz w:val="24"/>
          <w:szCs w:val="24"/>
          <w:highlight w:val="none"/>
          <w:lang w:bidi="ar"/>
        </w:rPr>
        <w:t>。</w:t>
      </w:r>
    </w:p>
    <w:p>
      <w:pPr>
        <w:snapToGrid w:val="0"/>
        <w:spacing w:line="440" w:lineRule="exact"/>
        <w:ind w:firstLine="480" w:firstLineChars="200"/>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如存在特殊情况的，绿色施工安全防护措施费具体支付方式及条件以《广州开发区财政投资建设项目管理中心建设项目绿色施工安全防护措施费支付管理实施细则（2024年修订）》（穗开建管〔2024〕47号）为准。</w:t>
      </w:r>
    </w:p>
    <w:p>
      <w:pPr>
        <w:snapToGrid w:val="0"/>
        <w:spacing w:line="440" w:lineRule="exact"/>
        <w:ind w:firstLine="480" w:firstLineChars="200"/>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26.6根据广州市环境保护局《关于开展建筑施工扬尘排污费征收工作的通知》（穗环〔2015〕114号）及广州开发区建设和环境保护局《关于开展建筑施工扬尘排污费征收工作的通知》（穗开环〔2015〕20号）规定，本工程需向环保部门交纳建筑施工扬尘排污费，该费用由环保部门根据《广州市建筑施工扬尘排放量核算办法》和《排污费征收标准及计算方法》核定。根据环保部门开具的《排放污染物与排污费缴纳金额核定表》，超标及落后产能部分由承包人承担，其余部分由发包人承担。缴纳方式如下：由承包人以发包人名义先行垫付资金向环保部门缴纳，并在10个工作日内凭缴费凭证就除超标及落后产能外的费用向发包人提交报销申请，逾期未提出申请视为放弃相关权利。</w:t>
      </w:r>
    </w:p>
    <w:p>
      <w:pPr>
        <w:snapToGrid w:val="0"/>
        <w:spacing w:line="440" w:lineRule="exact"/>
        <w:ind w:firstLine="397"/>
        <w:rPr>
          <w:rFonts w:ascii="宋体" w:hAnsi="宋体" w:cs="宋体"/>
          <w:b/>
          <w:color w:val="auto"/>
          <w:sz w:val="24"/>
          <w:szCs w:val="24"/>
          <w:highlight w:val="none"/>
        </w:rPr>
      </w:pPr>
      <w:r>
        <w:rPr>
          <w:rFonts w:hint="eastAsia" w:ascii="宋体" w:hAnsi="宋体" w:cs="宋体"/>
          <w:b/>
          <w:color w:val="auto"/>
          <w:sz w:val="24"/>
          <w:szCs w:val="24"/>
          <w:highlight w:val="none"/>
        </w:rPr>
        <w:t>七、材料设备供应</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27</w:t>
      </w:r>
      <w:r>
        <w:rPr>
          <w:rFonts w:hint="eastAsia" w:ascii="宋体" w:hAnsi="宋体" w:cs="宋体"/>
          <w:b/>
          <w:color w:val="auto"/>
          <w:sz w:val="24"/>
          <w:szCs w:val="24"/>
          <w:highlight w:val="none"/>
        </w:rPr>
        <w:t>、发包人供应材料设备</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27.4</w:t>
      </w:r>
      <w:r>
        <w:rPr>
          <w:rFonts w:hint="eastAsia" w:ascii="宋体" w:hAnsi="宋体" w:cs="宋体"/>
          <w:color w:val="auto"/>
          <w:sz w:val="24"/>
          <w:szCs w:val="24"/>
          <w:highlight w:val="none"/>
        </w:rPr>
        <w:t>发包人供应的材料设备与一览表不符时，双方约定发包人承担责任如下：</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材料设备单价与一览表不符：</w:t>
      </w:r>
      <w:r>
        <w:rPr>
          <w:rFonts w:ascii="宋体" w:hAnsi="宋体" w:cs="宋体"/>
          <w:color w:val="auto"/>
          <w:sz w:val="24"/>
          <w:szCs w:val="24"/>
          <w:highlight w:val="none"/>
          <w:u w:val="single"/>
        </w:rPr>
        <mc:AlternateContent>
          <mc:Choice Requires="wps">
            <w:drawing>
              <wp:anchor distT="0" distB="0" distL="114300" distR="114300" simplePos="0" relativeHeight="251664384" behindDoc="0" locked="0" layoutInCell="0" allowOverlap="1">
                <wp:simplePos x="0" y="0"/>
                <wp:positionH relativeFrom="column">
                  <wp:posOffset>3556000</wp:posOffset>
                </wp:positionH>
                <wp:positionV relativeFrom="paragraph">
                  <wp:posOffset>0</wp:posOffset>
                </wp:positionV>
                <wp:extent cx="635" cy="0"/>
                <wp:effectExtent l="0" t="4445" r="0" b="5080"/>
                <wp:wrapNone/>
                <wp:docPr id="5" name="_x0000_s1030"/>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30" o:spid="_x0000_s1026" o:spt="20" style="position:absolute;left:0pt;margin-left:280pt;margin-top:0pt;height:0pt;width:0.05pt;z-index:251664384;mso-width-relative:page;mso-height-relative:page;" filled="f" stroked="t" coordsize="21600,21600" o:allowincell="f" o:gfxdata="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&#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85eQQ0wAAAAUBAAAPAAAAAAAAAAEAIAAAACIAAABk&#10;cnMvZG93bnJldi54bWxQSwECFAAUAAAACACHTuJA0s7TkNIBAADPAwAADgAAAAAAAAABACAAAAAi&#10;AQAAZHJzL2Uyb0RvYy54bWxQSwUGAAAAAAYABgBZAQAAZgUAAAAA&#10;">
                <v:fill on="f" focussize="0,0"/>
                <v:stroke color="#000000" joinstyle="round"/>
                <v:imagedata o:title=""/>
                <o:lock v:ext="edit" aspectratio="f"/>
              </v:line>
            </w:pict>
          </mc:Fallback>
        </mc:AlternateConten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材料设备的品种、规格、型号、质量等级与一览表不符：</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承包人可代为调剂串换的材料：</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到货地点与一览表不符：</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供应数量与一览表不符：</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tabs>
          <w:tab w:val="left" w:pos="700"/>
        </w:tabs>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rPr>
        <w:t>）到货时间与一览表不符；</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tabs>
          <w:tab w:val="left" w:pos="700"/>
        </w:tabs>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27.6</w:t>
      </w:r>
      <w:r>
        <w:rPr>
          <w:rFonts w:hint="eastAsia" w:ascii="宋体" w:hAnsi="宋体" w:cs="宋体"/>
          <w:color w:val="auto"/>
          <w:sz w:val="24"/>
          <w:szCs w:val="24"/>
          <w:highlight w:val="none"/>
        </w:rPr>
        <w:t>发包人供应材料设备的结算方法：</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28</w:t>
      </w:r>
      <w:r>
        <w:rPr>
          <w:rFonts w:hint="eastAsia" w:ascii="宋体" w:hAnsi="宋体" w:cs="宋体"/>
          <w:b/>
          <w:color w:val="auto"/>
          <w:sz w:val="24"/>
          <w:szCs w:val="24"/>
          <w:highlight w:val="none"/>
        </w:rPr>
        <w:t>、承包人采购材料设备</w:t>
      </w:r>
    </w:p>
    <w:p>
      <w:pPr>
        <w:spacing w:line="440" w:lineRule="exact"/>
        <w:rPr>
          <w:rFonts w:ascii="宋体" w:hAnsi="宋体" w:cs="宋体"/>
          <w:color w:val="auto"/>
          <w:sz w:val="24"/>
          <w:szCs w:val="24"/>
          <w:highlight w:val="none"/>
          <w:u w:val="single"/>
        </w:rPr>
      </w:pPr>
      <w:r>
        <w:rPr>
          <w:rFonts w:ascii="宋体" w:hAnsi="宋体" w:cs="宋体"/>
          <w:color w:val="auto"/>
          <w:sz w:val="24"/>
          <w:szCs w:val="24"/>
          <w:highlight w:val="none"/>
        </w:rPr>
        <w:t>28.1</w:t>
      </w:r>
      <w:r>
        <w:rPr>
          <w:rFonts w:hint="eastAsia" w:ascii="宋体" w:hAnsi="宋体" w:cs="宋体"/>
          <w:color w:val="auto"/>
          <w:sz w:val="24"/>
          <w:szCs w:val="24"/>
          <w:highlight w:val="none"/>
        </w:rPr>
        <w:t>承包人采购材料设备的约定：</w:t>
      </w:r>
      <w:r>
        <w:rPr>
          <w:rFonts w:hint="eastAsia" w:ascii="宋体" w:hAnsi="宋体" w:cs="宋体"/>
          <w:color w:val="auto"/>
          <w:sz w:val="24"/>
          <w:szCs w:val="24"/>
          <w:highlight w:val="none"/>
          <w:u w:val="single"/>
        </w:rPr>
        <w:t>由承包人负责采购材料设备的，按招标文件规定和本合同专用条款第</w:t>
      </w:r>
      <w:r>
        <w:rPr>
          <w:rFonts w:ascii="宋体" w:hAnsi="宋体" w:cs="宋体"/>
          <w:color w:val="auto"/>
          <w:sz w:val="24"/>
          <w:szCs w:val="24"/>
          <w:highlight w:val="none"/>
          <w:u w:val="single"/>
        </w:rPr>
        <w:t>47.28</w:t>
      </w:r>
      <w:r>
        <w:rPr>
          <w:rFonts w:hint="eastAsia" w:ascii="宋体" w:hAnsi="宋体" w:cs="宋体"/>
          <w:color w:val="auto"/>
          <w:sz w:val="24"/>
          <w:szCs w:val="24"/>
          <w:highlight w:val="none"/>
          <w:u w:val="single"/>
        </w:rPr>
        <w:t>条约定、工程设计的有关标准并以符合相关行政主管部门颁发的环保标准或要求进行采购，对材料设备质量负责。承包人应将各项材料设备的供货人及品种、规格、数量和供货时间等报送监理人审批，并向监理人提交其负责提供材料设备的合格证明和质量证明文件，满足合同约定的质量标准，承包人在材料设备到货前</w:t>
      </w:r>
      <w:r>
        <w:rPr>
          <w:rFonts w:ascii="宋体" w:hAnsi="宋体" w:cs="宋体"/>
          <w:color w:val="auto"/>
          <w:sz w:val="24"/>
          <w:szCs w:val="24"/>
          <w:highlight w:val="none"/>
          <w:u w:val="single"/>
        </w:rPr>
        <w:t>24小时通知工程师清点。</w:t>
      </w:r>
    </w:p>
    <w:p>
      <w:pPr>
        <w:spacing w:line="440" w:lineRule="exact"/>
        <w:rPr>
          <w:rFonts w:ascii="宋体" w:hAnsi="宋体" w:cs="宋体"/>
          <w:color w:val="auto"/>
          <w:sz w:val="24"/>
          <w:szCs w:val="24"/>
          <w:highlight w:val="none"/>
          <w:u w:val="single"/>
        </w:rPr>
      </w:pPr>
      <w:r>
        <w:rPr>
          <w:rFonts w:ascii="宋体" w:hAnsi="宋体" w:cs="宋体"/>
          <w:color w:val="auto"/>
          <w:sz w:val="24"/>
          <w:szCs w:val="24"/>
          <w:highlight w:val="none"/>
          <w:u w:val="single"/>
        </w:rPr>
        <w:t>28.2对承包人提供的材料和设备，承包人应会同监理人、发包人进行检验和交货验收，查验材料合格证明和产品合格证书，并按合同约定和监理人或发包人的指示，进行材料的抽样检验和工程设备的检验检测，检验检测结果提交监理人。不合格的不得使用，检验或试验费用由承包人承担。</w:t>
      </w:r>
    </w:p>
    <w:p>
      <w:pPr>
        <w:spacing w:line="440" w:lineRule="exact"/>
        <w:rPr>
          <w:rFonts w:ascii="宋体" w:hAnsi="宋体" w:cs="宋体"/>
          <w:color w:val="auto"/>
          <w:sz w:val="24"/>
          <w:szCs w:val="24"/>
          <w:highlight w:val="none"/>
          <w:u w:val="single"/>
        </w:rPr>
      </w:pPr>
      <w:r>
        <w:rPr>
          <w:rFonts w:ascii="宋体" w:hAnsi="宋体" w:cs="宋体"/>
          <w:color w:val="auto"/>
          <w:sz w:val="24"/>
          <w:szCs w:val="24"/>
          <w:highlight w:val="none"/>
          <w:u w:val="single"/>
        </w:rPr>
        <w:t>28.3所有材料、设备报价必须报监理、业主同意后方可使用。</w:t>
      </w:r>
    </w:p>
    <w:p>
      <w:pPr>
        <w:snapToGrid w:val="0"/>
        <w:spacing w:line="440" w:lineRule="exact"/>
        <w:ind w:firstLine="397"/>
        <w:rPr>
          <w:rFonts w:ascii="宋体" w:hAnsi="宋体" w:cs="宋体"/>
          <w:b/>
          <w:color w:val="auto"/>
          <w:sz w:val="24"/>
          <w:szCs w:val="24"/>
          <w:highlight w:val="none"/>
        </w:rPr>
      </w:pPr>
      <w:r>
        <w:rPr>
          <w:rFonts w:hint="eastAsia" w:ascii="宋体" w:hAnsi="宋体" w:cs="宋体"/>
          <w:b/>
          <w:color w:val="auto"/>
          <w:sz w:val="24"/>
          <w:szCs w:val="24"/>
          <w:highlight w:val="none"/>
        </w:rPr>
        <w:t>八、工程变更</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29、工程设计变更</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29.4</w:t>
      </w:r>
      <w:r>
        <w:rPr>
          <w:rFonts w:hint="eastAsia" w:ascii="宋体" w:hAnsi="宋体" w:cs="宋体"/>
          <w:color w:val="auto"/>
          <w:sz w:val="24"/>
          <w:szCs w:val="24"/>
          <w:highlight w:val="none"/>
          <w:u w:val="single"/>
        </w:rPr>
        <w:t>开工前，发包人组织承包人、监理单位、设计单位对施工图纸进行会审。如需实施工程变更签证，承包人需在实施相应变更签证</w:t>
      </w:r>
      <w:r>
        <w:rPr>
          <w:rFonts w:ascii="宋体" w:hAnsi="宋体" w:cs="宋体"/>
          <w:color w:val="auto"/>
          <w:sz w:val="24"/>
          <w:szCs w:val="24"/>
          <w:highlight w:val="none"/>
          <w:u w:val="single"/>
        </w:rPr>
        <w:t>2个月前向发包人提出（确属不可预见因素除外）。否则工程实施过程中每实施一项变更签证，承包人须按该变更签证工程价款的3%向发包人支付违约金，引起的工期延误不予顺延</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同时，如实施工程变更，承包人应以书面形式通知发包人和监理工程师，经监理工程师审查并报发包人同意后，由发包人与设计单位商定修改或变更设计方案进行实施</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29.5</w:t>
      </w:r>
      <w:r>
        <w:rPr>
          <w:rFonts w:hint="eastAsia" w:ascii="宋体" w:hAnsi="宋体" w:cs="宋体"/>
          <w:color w:val="auto"/>
          <w:sz w:val="24"/>
          <w:szCs w:val="24"/>
          <w:highlight w:val="none"/>
          <w:u w:val="single"/>
        </w:rPr>
        <w:t>变更应由监理工程师发出变更指令，没有监理工程师的指令，承包人不得进行上述变更</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29.6</w:t>
      </w:r>
      <w:r>
        <w:rPr>
          <w:rFonts w:hint="eastAsia" w:ascii="宋体" w:hAnsi="宋体" w:cs="宋体"/>
          <w:color w:val="auto"/>
          <w:sz w:val="24"/>
          <w:szCs w:val="24"/>
          <w:highlight w:val="none"/>
          <w:u w:val="single"/>
        </w:rPr>
        <w:t>按施工图纸实施使得工程量少于施工合同工程量清单中已确定或有规定的数量的，则该项工程量减少不需要任何指令</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29.7</w:t>
      </w:r>
      <w:r>
        <w:rPr>
          <w:rFonts w:hint="eastAsia" w:ascii="宋体" w:hAnsi="宋体" w:cs="宋体"/>
          <w:color w:val="auto"/>
          <w:sz w:val="24"/>
          <w:szCs w:val="24"/>
          <w:highlight w:val="none"/>
          <w:u w:val="single"/>
        </w:rPr>
        <w:t>所有涉及工期和工程量的变更均应获得发包人书面批准才能生效</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29.8</w:t>
      </w:r>
      <w:r>
        <w:rPr>
          <w:rFonts w:hint="eastAsia" w:ascii="宋体" w:hAnsi="宋体" w:cs="宋体"/>
          <w:color w:val="auto"/>
          <w:sz w:val="24"/>
          <w:szCs w:val="24"/>
          <w:highlight w:val="none"/>
          <w:u w:val="single"/>
        </w:rPr>
        <w:t>当发包人提出变更通知，承包人认为产生了增加费用，承包人应在发包人提出通知要求后</w:t>
      </w:r>
      <w:r>
        <w:rPr>
          <w:rFonts w:ascii="宋体" w:hAnsi="宋体" w:cs="宋体"/>
          <w:color w:val="auto"/>
          <w:sz w:val="24"/>
          <w:szCs w:val="24"/>
          <w:highlight w:val="none"/>
          <w:u w:val="single"/>
        </w:rPr>
        <w:t>3-7天（时间视变更大小而定）内向发包人提交增加费用报告，报告内应说明变更原因、增加费用金额、增加费用计算书，若承包人不在规定的时间内提供增加费用报告，该类变更所涉及的增加费用视为包括在合同价款中。发包人提出变更通知的时间是指承包人收取变更通知时进行登记交接的时间</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29.9</w:t>
      </w:r>
      <w:r>
        <w:rPr>
          <w:rFonts w:hint="eastAsia" w:ascii="宋体" w:hAnsi="宋体" w:cs="宋体"/>
          <w:color w:val="auto"/>
          <w:sz w:val="24"/>
          <w:szCs w:val="24"/>
          <w:highlight w:val="none"/>
          <w:u w:val="single"/>
        </w:rPr>
        <w:t>工程变更申报程序按广州开发区、黄埔区以及建设业主的有关规定执行</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29.10</w:t>
      </w:r>
      <w:r>
        <w:rPr>
          <w:rFonts w:ascii="宋体" w:hAnsi="宋体" w:cs="宋体"/>
          <w:color w:val="auto"/>
          <w:sz w:val="24"/>
          <w:szCs w:val="24"/>
          <w:highlight w:val="none"/>
          <w:u w:val="single"/>
        </w:rPr>
        <w:t>工程实施过程中发包人有权对承包内容和范围进行调整，如实际工程量相对施工图纸及施工合同工程量发生变化，承包人不得有任何异议，且承包人不得以任何理由要求发包人补偿任何费用（承包人要充分考虑最不利因素影响）。涉及本合同约定的合同价款调整的，按相关约定处理</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30、其它变更</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30.1工程现场签证：</w:t>
      </w:r>
      <w:r>
        <w:rPr>
          <w:rFonts w:hint="eastAsia" w:ascii="宋体" w:hAnsi="宋体" w:cs="宋体"/>
          <w:color w:val="auto"/>
          <w:sz w:val="24"/>
          <w:szCs w:val="24"/>
          <w:highlight w:val="none"/>
          <w:u w:val="single"/>
        </w:rPr>
        <w:t>工程现场签证是指施工生产活动中用以证实在施工中遇到的某些特殊情况的一种书面证明资料，一般指按承发包合同约定，由承发包双方代表就施工过程中涉及合同价款之外的责任事件所作的签认证明</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u w:val="single"/>
        </w:rPr>
        <w:t>承包人需对施工图纸进行会审，如需对工程量清单错漏进行确认，承包人需在前四分之一工期阶段内且最长不得超过中标通知书发出之日起</w:t>
      </w:r>
      <w:r>
        <w:rPr>
          <w:rFonts w:ascii="宋体" w:hAnsi="宋体" w:cs="宋体"/>
          <w:color w:val="auto"/>
          <w:sz w:val="24"/>
          <w:szCs w:val="24"/>
          <w:highlight w:val="none"/>
          <w:u w:val="single"/>
        </w:rPr>
        <w:t>6个月内向发包人提出，</w:t>
      </w:r>
      <w:r>
        <w:rPr>
          <w:rFonts w:hint="eastAsia" w:ascii="宋体" w:hAnsi="宋体" w:cs="宋体"/>
          <w:color w:val="auto"/>
          <w:sz w:val="24"/>
          <w:szCs w:val="24"/>
          <w:highlight w:val="none"/>
          <w:u w:val="single"/>
        </w:rPr>
        <w:t>并按《广州开发区财政投资建设项目管理中心工程量清单错漏申报管理办法（2021年）》（穗开建管〔2021〕78号）办理申报手续，同时需配合发包人的复核工作，双方对复核结果盖章签名后方可作为最终结算依据；如因特殊原因，承包人无法在规定时间内申报的，经发包人同意后方可申报。承包人未按上述规定进行申报的，发包人对应申报而未办理申报手续的漏量漏项不予确认。</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30.2签证的计价：</w:t>
      </w:r>
      <w:r>
        <w:rPr>
          <w:rFonts w:hint="eastAsia" w:ascii="宋体" w:hAnsi="宋体" w:cs="宋体"/>
          <w:color w:val="auto"/>
          <w:sz w:val="24"/>
          <w:szCs w:val="24"/>
          <w:highlight w:val="none"/>
          <w:u w:val="single"/>
        </w:rPr>
        <w:t>按招标文件及合同中关于工程变更的计价有关规定执行</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30.3签证实施前所需的施工方案：</w:t>
      </w:r>
      <w:r>
        <w:rPr>
          <w:rFonts w:hint="eastAsia" w:ascii="宋体" w:hAnsi="宋体" w:cs="宋体"/>
          <w:color w:val="auto"/>
          <w:sz w:val="24"/>
          <w:szCs w:val="24"/>
          <w:highlight w:val="none"/>
          <w:u w:val="single"/>
        </w:rPr>
        <w:t>若签证事件发生时，需使用没有被监理工程师批准过的施工方案，则必须将该施工方案提前报监理工程师和发包人批准，经批准后才能实施，否则发包人将按最经济的施工方案对该签证进行计价</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30.4</w:t>
      </w:r>
      <w:r>
        <w:rPr>
          <w:rFonts w:hint="eastAsia" w:ascii="宋体" w:hAnsi="宋体" w:cs="宋体"/>
          <w:color w:val="auto"/>
          <w:sz w:val="24"/>
          <w:szCs w:val="24"/>
          <w:highlight w:val="none"/>
          <w:u w:val="single"/>
        </w:rPr>
        <w:t>工程现场签证申报程序按广州开发区、黄埔区以及建设业主的有关规定执行</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31、确定变更价款</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31.1</w:t>
      </w:r>
      <w:r>
        <w:rPr>
          <w:rFonts w:ascii="宋体" w:hAnsi="宋体" w:cs="宋体"/>
          <w:color w:val="auto"/>
          <w:sz w:val="24"/>
          <w:szCs w:val="24"/>
          <w:highlight w:val="none"/>
          <w:u w:val="single"/>
        </w:rPr>
        <w:t>承包人在工程变更确定后14天内，提出变更工程价款的报告，经工程师确认后调整合同价款。</w:t>
      </w:r>
      <w:r>
        <w:rPr>
          <w:rFonts w:hint="eastAsia" w:ascii="宋体" w:hAnsi="宋体" w:cs="宋体"/>
          <w:color w:val="auto"/>
          <w:sz w:val="24"/>
          <w:szCs w:val="24"/>
          <w:highlight w:val="none"/>
          <w:u w:val="single"/>
        </w:rPr>
        <w:t>变更合同价款确定原则按本合同相关约定执行</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31.3</w:t>
      </w:r>
      <w:r>
        <w:rPr>
          <w:rFonts w:ascii="宋体" w:hAnsi="宋体" w:cs="宋体"/>
          <w:color w:val="auto"/>
          <w:sz w:val="24"/>
          <w:szCs w:val="24"/>
          <w:highlight w:val="none"/>
          <w:u w:val="single"/>
        </w:rPr>
        <w:t>所有变更工程价款的报告必须按规定程序报发包人审核确认</w:t>
      </w:r>
      <w:r>
        <w:rPr>
          <w:rFonts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31.5</w:t>
      </w:r>
      <w:r>
        <w:rPr>
          <w:rFonts w:ascii="宋体" w:hAnsi="宋体" w:cs="宋体"/>
          <w:color w:val="auto"/>
          <w:sz w:val="24"/>
          <w:szCs w:val="24"/>
          <w:highlight w:val="none"/>
          <w:u w:val="single"/>
        </w:rPr>
        <w:t>工程变更价款的支付按本合同相关约定支付</w:t>
      </w:r>
      <w:r>
        <w:rPr>
          <w:rFonts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31.7</w:t>
      </w:r>
      <w:r>
        <w:rPr>
          <w:rFonts w:hint="eastAsia" w:ascii="宋体" w:hAnsi="宋体" w:cs="宋体"/>
          <w:color w:val="auto"/>
          <w:sz w:val="24"/>
          <w:szCs w:val="24"/>
          <w:highlight w:val="none"/>
          <w:u w:val="single"/>
        </w:rPr>
        <w:t>发生上述规定的变更后，承包人在收到发包人变更通知的</w:t>
      </w:r>
      <w:r>
        <w:rPr>
          <w:rFonts w:ascii="宋体" w:hAnsi="宋体" w:cs="宋体"/>
          <w:color w:val="auto"/>
          <w:sz w:val="24"/>
          <w:szCs w:val="24"/>
          <w:highlight w:val="none"/>
          <w:u w:val="single"/>
        </w:rPr>
        <w:t>7天内按合同文件规定的计价方式内容编出变更工程建议送交监理单位</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31.8</w:t>
      </w:r>
      <w:r>
        <w:rPr>
          <w:rFonts w:hint="eastAsia" w:ascii="宋体" w:hAnsi="宋体" w:cs="宋体"/>
          <w:color w:val="auto"/>
          <w:sz w:val="24"/>
          <w:szCs w:val="24"/>
          <w:highlight w:val="none"/>
          <w:u w:val="single"/>
        </w:rPr>
        <w:t>在工程变更价款计算时，承包人应按招标文件相关规定编制变更工程的预算，提供变更依据及详细的计算资料，报监理单位和发包人批准</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31.9</w:t>
      </w:r>
      <w:r>
        <w:rPr>
          <w:rFonts w:hint="eastAsia" w:ascii="宋体" w:hAnsi="宋体" w:cs="宋体"/>
          <w:color w:val="auto"/>
          <w:sz w:val="24"/>
          <w:szCs w:val="24"/>
          <w:highlight w:val="none"/>
          <w:u w:val="single"/>
        </w:rPr>
        <w:t>工程变更、签证申报程序按广州开发区、黄埔区以及建设业主的有关规定执行</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hint="eastAsia" w:ascii="宋体" w:hAnsi="宋体" w:cs="宋体"/>
          <w:b/>
          <w:color w:val="auto"/>
          <w:sz w:val="24"/>
          <w:szCs w:val="24"/>
          <w:highlight w:val="none"/>
        </w:rPr>
        <w:t>九、竣工验收与结算</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32</w:t>
      </w:r>
      <w:r>
        <w:rPr>
          <w:rFonts w:hint="eastAsia" w:ascii="宋体" w:hAnsi="宋体" w:cs="宋体"/>
          <w:b/>
          <w:color w:val="auto"/>
          <w:sz w:val="24"/>
          <w:szCs w:val="24"/>
          <w:highlight w:val="none"/>
        </w:rPr>
        <w:t>、竣工验收</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32.1</w:t>
      </w:r>
      <w:r>
        <w:rPr>
          <w:rFonts w:hint="eastAsia" w:ascii="宋体" w:hAnsi="宋体" w:cs="宋体"/>
          <w:color w:val="auto"/>
          <w:sz w:val="24"/>
          <w:szCs w:val="24"/>
          <w:highlight w:val="none"/>
        </w:rPr>
        <w:t>承包人提供竣工图纸的约定：</w:t>
      </w:r>
      <w:r>
        <w:rPr>
          <w:rFonts w:hint="eastAsia" w:ascii="宋体" w:hAnsi="宋体" w:cs="宋体"/>
          <w:color w:val="auto"/>
          <w:sz w:val="24"/>
          <w:szCs w:val="24"/>
          <w:highlight w:val="none"/>
          <w:u w:val="single"/>
        </w:rPr>
        <w:t>承包人工程竣工资料必须按照国家及广州市、开发区有关工程竣工资料档案管理的要求进行整理归档。承包人在工程竣工验收合格后四十五个日历天内，向建设单位提供符合要求按规格编制成册的工程竣工图及有关的技术档案资料一式伍份</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32.6</w:t>
      </w:r>
      <w:r>
        <w:rPr>
          <w:rFonts w:hint="eastAsia" w:ascii="宋体" w:hAnsi="宋体" w:cs="宋体"/>
          <w:color w:val="auto"/>
          <w:sz w:val="24"/>
          <w:szCs w:val="24"/>
          <w:highlight w:val="none"/>
        </w:rPr>
        <w:t>中间交工工程的范围和竣工时间：</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33、竣工结算</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承发包双方一致同意不适用</w:t>
      </w:r>
      <w:r>
        <w:rPr>
          <w:rFonts w:hint="eastAsia" w:ascii="宋体" w:hAnsi="宋体" w:cs="宋体"/>
          <w:color w:val="auto"/>
          <w:sz w:val="24"/>
          <w:szCs w:val="24"/>
          <w:highlight w:val="none"/>
          <w:u w:val="single"/>
        </w:rPr>
        <w:t>通用条款</w:t>
      </w:r>
      <w:r>
        <w:rPr>
          <w:rFonts w:ascii="宋体" w:hAnsi="宋体" w:cs="宋体"/>
          <w:color w:val="auto"/>
          <w:sz w:val="24"/>
          <w:szCs w:val="24"/>
          <w:highlight w:val="none"/>
          <w:u w:val="single"/>
        </w:rPr>
        <w:t>33.2款、33.3款、33.4款</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竣工结算办法：</w:t>
      </w:r>
      <w:r>
        <w:rPr>
          <w:rFonts w:hint="eastAsia" w:ascii="宋体" w:hAnsi="宋体" w:cs="宋体"/>
          <w:color w:val="auto"/>
          <w:sz w:val="24"/>
          <w:szCs w:val="24"/>
          <w:highlight w:val="none"/>
          <w:u w:val="single"/>
        </w:rPr>
        <w:t>所有工程量（含暂定工程量的结算）的结算均以广州开发区财政局审定的金额为准。工程竣工后，承包人编制本工程的结算书送监理单位审核，经监理单位审核后送发包人复审，按规定送广州开发区财政局审核，并以区财政局审定本工程的结算为准</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竣工结算提交时间：</w:t>
      </w:r>
      <w:r>
        <w:rPr>
          <w:rFonts w:hint="eastAsia" w:ascii="宋体" w:hAnsi="宋体" w:cs="宋体"/>
          <w:color w:val="auto"/>
          <w:sz w:val="24"/>
          <w:szCs w:val="24"/>
          <w:highlight w:val="none"/>
          <w:u w:val="single"/>
        </w:rPr>
        <w:t>承包人须按《广州开发区财政投资建设项目管理中心施工类合同结算编审指引（试行）》及区有关规定编制及办理建设项目工程结算</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u w:val="single"/>
        </w:rPr>
        <w:t>承包人未按前款规定的期限和内容编制及办理建设项目工程结算（非承包人原因无法办理工程结算的情况除外），经发包人或代建单位或监理人书面通知之日起</w:t>
      </w:r>
      <w:r>
        <w:rPr>
          <w:rFonts w:ascii="宋体" w:hAnsi="宋体" w:cs="宋体"/>
          <w:color w:val="auto"/>
          <w:sz w:val="24"/>
          <w:szCs w:val="24"/>
          <w:highlight w:val="none"/>
          <w:u w:val="single"/>
        </w:rPr>
        <w:t>2个月内（最长期限不得超过6个月）仍未提交编制及办理建设项目工程结算的相关文件的，监理人和发包人有权根据发包人已有资料进行审核，并报区财政局审定，区财政局审定的竣工结算合同总价视同是经承包人认可的工程竣工结算合同总价。</w:t>
      </w:r>
    </w:p>
    <w:p>
      <w:pPr>
        <w:snapToGrid w:val="0"/>
        <w:spacing w:line="440" w:lineRule="exact"/>
        <w:ind w:firstLine="397"/>
        <w:rPr>
          <w:rFonts w:ascii="宋体" w:hAnsi="宋体" w:cs="宋体"/>
          <w:b/>
          <w:color w:val="auto"/>
          <w:sz w:val="24"/>
          <w:szCs w:val="24"/>
          <w:highlight w:val="none"/>
        </w:rPr>
      </w:pPr>
      <w:r>
        <w:rPr>
          <w:rFonts w:hint="eastAsia" w:ascii="宋体" w:hAnsi="宋体" w:cs="宋体"/>
          <w:b/>
          <w:color w:val="auto"/>
          <w:sz w:val="24"/>
          <w:szCs w:val="24"/>
          <w:highlight w:val="none"/>
        </w:rPr>
        <w:t>十、违约、索赔和争议</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35</w:t>
      </w:r>
      <w:r>
        <w:rPr>
          <w:rFonts w:hint="eastAsia" w:ascii="宋体" w:hAnsi="宋体" w:cs="宋体"/>
          <w:b/>
          <w:color w:val="auto"/>
          <w:sz w:val="24"/>
          <w:szCs w:val="24"/>
          <w:highlight w:val="none"/>
        </w:rPr>
        <w:t>、违约</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35.1</w:t>
      </w:r>
      <w:r>
        <w:rPr>
          <w:rFonts w:hint="eastAsia" w:ascii="宋体" w:hAnsi="宋体" w:cs="宋体"/>
          <w:color w:val="auto"/>
          <w:sz w:val="24"/>
          <w:szCs w:val="24"/>
          <w:highlight w:val="none"/>
        </w:rPr>
        <w:t>本合同中关于发包人违约的具体责任如下：</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本合同通用条款第</w:t>
      </w:r>
      <w:r>
        <w:rPr>
          <w:rFonts w:ascii="宋体" w:hAnsi="宋体" w:cs="宋体"/>
          <w:color w:val="auto"/>
          <w:sz w:val="24"/>
          <w:szCs w:val="24"/>
          <w:highlight w:val="none"/>
        </w:rPr>
        <w:t>35.1条约定发包人违约应承担的责任：</w:t>
      </w:r>
      <w:r>
        <w:rPr>
          <w:rFonts w:hint="eastAsia" w:ascii="宋体" w:hAnsi="宋体" w:cs="宋体"/>
          <w:color w:val="auto"/>
          <w:sz w:val="24"/>
          <w:szCs w:val="24"/>
          <w:highlight w:val="none"/>
          <w:u w:val="single"/>
        </w:rPr>
        <w:t>顺延工期，但不作费用赔偿</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rPr>
        <w:t>双方约定的发包人其他违约责任：</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35.2</w:t>
      </w:r>
      <w:r>
        <w:rPr>
          <w:rFonts w:hint="eastAsia" w:ascii="宋体" w:hAnsi="宋体" w:cs="宋体"/>
          <w:color w:val="auto"/>
          <w:sz w:val="24"/>
          <w:szCs w:val="24"/>
          <w:highlight w:val="none"/>
        </w:rPr>
        <w:t>本合同中关于承包人违约的具体责任如下：</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35.2.1工期延误的违约责任</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u w:val="single"/>
        </w:rPr>
        <w:t>承包人未按发包人或监理单位开工令要求时间开工的，每迟延开工</w:t>
      </w:r>
      <w:r>
        <w:rPr>
          <w:rFonts w:ascii="宋体" w:hAnsi="宋体" w:cs="宋体"/>
          <w:color w:val="auto"/>
          <w:sz w:val="24"/>
          <w:szCs w:val="24"/>
          <w:highlight w:val="none"/>
          <w:u w:val="single"/>
        </w:rPr>
        <w:t>1</w:t>
      </w:r>
      <w:r>
        <w:rPr>
          <w:rFonts w:hint="eastAsia" w:ascii="宋体" w:hAnsi="宋体" w:cs="宋体"/>
          <w:color w:val="auto"/>
          <w:sz w:val="24"/>
          <w:szCs w:val="24"/>
          <w:highlight w:val="none"/>
          <w:u w:val="single"/>
        </w:rPr>
        <w:t>天，应向发包人支付违约金</w:t>
      </w:r>
      <w:r>
        <w:rPr>
          <w:rFonts w:ascii="宋体" w:hAnsi="宋体" w:cs="宋体"/>
          <w:color w:val="auto"/>
          <w:sz w:val="24"/>
          <w:szCs w:val="24"/>
          <w:highlight w:val="none"/>
          <w:u w:val="single"/>
        </w:rPr>
        <w:t>5000元；迟延开工超过20</w:t>
      </w:r>
      <w:r>
        <w:rPr>
          <w:rFonts w:hint="eastAsia" w:ascii="宋体" w:hAnsi="宋体" w:cs="宋体"/>
          <w:color w:val="auto"/>
          <w:sz w:val="24"/>
          <w:szCs w:val="24"/>
          <w:highlight w:val="none"/>
          <w:u w:val="single"/>
        </w:rPr>
        <w:t>天的，发包人有权根据实际情况单方面解除合同</w:t>
      </w:r>
      <w:r>
        <w:rPr>
          <w:rFonts w:hint="eastAsia" w:ascii="宋体" w:hAnsi="宋体" w:cs="宋体"/>
          <w:color w:val="auto"/>
          <w:sz w:val="24"/>
          <w:szCs w:val="24"/>
          <w:highlight w:val="none"/>
        </w:rPr>
        <w:t>。</w:t>
      </w:r>
    </w:p>
    <w:p>
      <w:pPr>
        <w:spacing w:line="440" w:lineRule="exact"/>
        <w:ind w:firstLine="56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因承包人的原因造成工期延误，其中属节点工期延误，从延误的第一天起，每天支付违约金</w:t>
      </w:r>
      <w:r>
        <w:rPr>
          <w:rFonts w:ascii="宋体" w:hAnsi="宋体" w:cs="宋体"/>
          <w:color w:val="auto"/>
          <w:sz w:val="24"/>
          <w:szCs w:val="24"/>
          <w:highlight w:val="none"/>
          <w:u w:val="single"/>
        </w:rPr>
        <w:t>5000</w:t>
      </w:r>
      <w:r>
        <w:rPr>
          <w:rFonts w:hint="eastAsia" w:ascii="宋体" w:hAnsi="宋体" w:cs="宋体"/>
          <w:color w:val="auto"/>
          <w:sz w:val="24"/>
          <w:szCs w:val="24"/>
          <w:highlight w:val="none"/>
          <w:u w:val="single"/>
        </w:rPr>
        <w:t>元，如在下一个节点赶回工期，可免除上述违约金。属总工期延误，从总工期延误的第一天起，每天支付违约金</w:t>
      </w:r>
      <w:r>
        <w:rPr>
          <w:rFonts w:ascii="宋体" w:hAnsi="宋体" w:cs="宋体"/>
          <w:color w:val="auto"/>
          <w:sz w:val="24"/>
          <w:szCs w:val="24"/>
          <w:highlight w:val="none"/>
          <w:u w:val="single"/>
        </w:rPr>
        <w:t>20000元</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延误工期超过</w:t>
      </w:r>
      <w:r>
        <w:rPr>
          <w:rFonts w:ascii="宋体" w:hAnsi="宋体" w:cs="宋体"/>
          <w:color w:val="auto"/>
          <w:sz w:val="24"/>
          <w:szCs w:val="24"/>
          <w:highlight w:val="none"/>
          <w:u w:val="single"/>
        </w:rPr>
        <w:t>20天的，发包人可视情况终止合同。</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承包人必须按期完成主要工序的施工任务，若属承包人原因逾期达</w:t>
      </w:r>
      <w:r>
        <w:rPr>
          <w:rFonts w:ascii="宋体" w:hAnsi="宋体" w:cs="宋体"/>
          <w:color w:val="auto"/>
          <w:sz w:val="24"/>
          <w:szCs w:val="24"/>
          <w:highlight w:val="none"/>
          <w:u w:val="single"/>
        </w:rPr>
        <w:t>10天未完成主要节点的施工任务时，</w:t>
      </w:r>
      <w:r>
        <w:rPr>
          <w:rFonts w:hint="eastAsia" w:ascii="宋体" w:hAnsi="宋体" w:cs="宋体"/>
          <w:color w:val="auto"/>
          <w:sz w:val="24"/>
          <w:szCs w:val="24"/>
          <w:highlight w:val="none"/>
          <w:u w:val="single"/>
        </w:rPr>
        <w:t>除按第（</w:t>
      </w:r>
      <w:r>
        <w:rPr>
          <w:rFonts w:ascii="宋体" w:hAnsi="宋体" w:cs="宋体"/>
          <w:color w:val="auto"/>
          <w:sz w:val="24"/>
          <w:szCs w:val="24"/>
          <w:highlight w:val="none"/>
          <w:u w:val="single"/>
        </w:rPr>
        <w:t>2）项约定承担违约责任外，</w:t>
      </w:r>
      <w:r>
        <w:rPr>
          <w:rFonts w:hint="eastAsia" w:ascii="宋体" w:hAnsi="宋体" w:cs="宋体"/>
          <w:color w:val="auto"/>
          <w:sz w:val="24"/>
          <w:szCs w:val="24"/>
          <w:highlight w:val="none"/>
          <w:u w:val="single"/>
        </w:rPr>
        <w:t>发包人可要求撤换项目负责人，承包人应予以执行，并在总工期不调整的前提下自行消化节点工期的延误。逾期</w:t>
      </w:r>
      <w:r>
        <w:rPr>
          <w:rFonts w:ascii="宋体" w:hAnsi="宋体" w:cs="宋体"/>
          <w:color w:val="auto"/>
          <w:sz w:val="24"/>
          <w:szCs w:val="24"/>
          <w:highlight w:val="none"/>
          <w:u w:val="single"/>
        </w:rPr>
        <w:t>20天未完成主要节点的施工任务时，属承包人进度严重违约行为，发包人可</w:t>
      </w:r>
      <w:r>
        <w:rPr>
          <w:rFonts w:hint="eastAsia" w:ascii="宋体" w:hAnsi="宋体" w:cs="宋体"/>
          <w:color w:val="auto"/>
          <w:sz w:val="24"/>
          <w:szCs w:val="24"/>
          <w:highlight w:val="none"/>
          <w:u w:val="single"/>
        </w:rPr>
        <w:t>单方面终止合同，将承包人作不良纪录报区建设行政主管部门备案。并由承包人承担相应的进度严重违约责任</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承包人承担的进度严重违约责任为：如果承包人出现进度严重违约事件，则须无条件接受发包人终止合同，并在接到终止合同通知书之日起</w:t>
      </w:r>
      <w:r>
        <w:rPr>
          <w:rFonts w:ascii="宋体" w:hAnsi="宋体" w:cs="宋体"/>
          <w:color w:val="auto"/>
          <w:sz w:val="24"/>
          <w:szCs w:val="24"/>
          <w:highlight w:val="none"/>
          <w:u w:val="single"/>
        </w:rPr>
        <w:t>5个</w:t>
      </w:r>
      <w:r>
        <w:rPr>
          <w:rFonts w:hint="eastAsia" w:ascii="宋体" w:hAnsi="宋体" w:cs="宋体"/>
          <w:color w:val="auto"/>
          <w:sz w:val="24"/>
          <w:szCs w:val="24"/>
          <w:highlight w:val="none"/>
          <w:u w:val="single"/>
        </w:rPr>
        <w:t>日历天内（发包人应予以配合），在监理工程师的监督下退场完毕。退场完毕后由监理工程师出具《退出完结证明书》，并据此进行相关结算。承包人按履约担保金额支付违约金。给发包人造成的损失超过履约担保金额的部分，承包人还应承担赔偿责任</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工程施工过程中（竣工验收前），承包人必须按发包人、监理人的要求及时为专业工程（电信、电力管线、电力走廊、煤气、道路绿化、路灯、交通设施等）提供工作面及为专业工程穿插施工所需各项配合工作给予方便，承包人应在施工方案中充分考虑专业工程穿插施工所需的穿插工作面及工期，由于承包人未能给予专业工程穿插施工，造成总施工工期的延误，施工工期不予顺延，承包人承担由于工期延误所产生的损失。因承包人原因造成其他专业工程工期延误的，从延误其他专业工程工期第一天起，每延误一天，承包人支付</w:t>
      </w:r>
      <w:r>
        <w:rPr>
          <w:rFonts w:ascii="宋体" w:hAnsi="宋体" w:cs="宋体"/>
          <w:color w:val="auto"/>
          <w:sz w:val="24"/>
          <w:szCs w:val="24"/>
          <w:highlight w:val="none"/>
          <w:u w:val="single"/>
        </w:rPr>
        <w:t>5000元违约金</w:t>
      </w:r>
      <w:r>
        <w:rPr>
          <w:rFonts w:hint="eastAsia" w:ascii="宋体" w:hAnsi="宋体" w:cs="宋体"/>
          <w:color w:val="auto"/>
          <w:sz w:val="24"/>
          <w:szCs w:val="24"/>
          <w:highlight w:val="none"/>
        </w:rPr>
        <w:t>。</w:t>
      </w:r>
    </w:p>
    <w:p>
      <w:pPr>
        <w:snapToGrid w:val="0"/>
        <w:spacing w:line="440" w:lineRule="exact"/>
        <w:ind w:firstLine="397"/>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w:t>
      </w:r>
      <w:r>
        <w:rPr>
          <w:rFonts w:ascii="宋体" w:hAnsi="宋体" w:cs="宋体"/>
          <w:snapToGrid w:val="0"/>
          <w:color w:val="auto"/>
          <w:kern w:val="0"/>
          <w:sz w:val="24"/>
          <w:szCs w:val="24"/>
          <w:highlight w:val="none"/>
        </w:rPr>
        <w:t>6</w:t>
      </w:r>
      <w:r>
        <w:rPr>
          <w:rFonts w:hint="eastAsia" w:ascii="宋体" w:hAnsi="宋体" w:cs="宋体"/>
          <w:snapToGrid w:val="0"/>
          <w:color w:val="auto"/>
          <w:kern w:val="0"/>
          <w:sz w:val="24"/>
          <w:szCs w:val="24"/>
          <w:highlight w:val="none"/>
        </w:rPr>
        <w:t>）</w:t>
      </w:r>
      <w:r>
        <w:rPr>
          <w:rFonts w:hint="eastAsia" w:ascii="宋体" w:hAnsi="宋体" w:cs="宋体"/>
          <w:snapToGrid w:val="0"/>
          <w:color w:val="auto"/>
          <w:kern w:val="0"/>
          <w:sz w:val="24"/>
          <w:szCs w:val="24"/>
          <w:highlight w:val="none"/>
          <w:u w:val="single"/>
        </w:rPr>
        <w:t>承包人违反合同专用条款的约定和发包人的规定，逾期完成竣工档案的整理、移交、送审备案工作的，每逾期</w:t>
      </w:r>
      <w:r>
        <w:rPr>
          <w:rFonts w:ascii="宋体" w:hAnsi="宋体" w:cs="宋体"/>
          <w:snapToGrid w:val="0"/>
          <w:color w:val="auto"/>
          <w:kern w:val="0"/>
          <w:sz w:val="24"/>
          <w:szCs w:val="24"/>
          <w:highlight w:val="none"/>
          <w:u w:val="single"/>
        </w:rPr>
        <w:t>1天，承包人支付违约金5000元</w:t>
      </w:r>
      <w:r>
        <w:rPr>
          <w:rFonts w:hint="eastAsia" w:ascii="宋体" w:hAnsi="宋体" w:cs="宋体"/>
          <w:snapToGrid w:val="0"/>
          <w:color w:val="auto"/>
          <w:kern w:val="0"/>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35.2.2</w:t>
      </w:r>
      <w:r>
        <w:rPr>
          <w:rFonts w:hint="eastAsia" w:ascii="宋体" w:hAnsi="宋体" w:cs="宋体"/>
          <w:color w:val="auto"/>
          <w:sz w:val="24"/>
          <w:szCs w:val="24"/>
          <w:highlight w:val="none"/>
        </w:rPr>
        <w:t>安全、文明施工要求及违约处理：</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承包人必须按本合同的约定编制施工组织设计（施工方案、包括安全文明施工措施），经过监理人和发包人审核确认后按其施工，不得随意更改。如果根据实际情况确需修改，则需经工程师及发包人审批同意。如果未经工程师及发包人审批同意而擅自更改施工组织设计（施工方案，包括安全文明施工措施）或不按照施工组织设计（施工方案，包括安全文明施工措施）施工，则发包人将扣减更改部分的造价（该造价按广东省相关综合定额和取费标准计算，不下浮）；同时，每擅自更改一次，承包人需支付</w:t>
      </w:r>
      <w:r>
        <w:rPr>
          <w:rFonts w:ascii="宋体" w:hAnsi="宋体" w:cs="宋体"/>
          <w:color w:val="auto"/>
          <w:sz w:val="24"/>
          <w:szCs w:val="24"/>
          <w:highlight w:val="none"/>
          <w:u w:val="single"/>
        </w:rPr>
        <w:t>10000</w:t>
      </w:r>
      <w:r>
        <w:rPr>
          <w:rFonts w:hint="eastAsia" w:ascii="宋体" w:hAnsi="宋体" w:cs="宋体"/>
          <w:color w:val="auto"/>
          <w:sz w:val="24"/>
          <w:szCs w:val="24"/>
          <w:highlight w:val="none"/>
          <w:u w:val="single"/>
        </w:rPr>
        <w:t>元人民币违约金给发包人</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承包人应严格遵守国家、省、市及开发区有关防火、爆破和施工安全以及文明施工、深夜施工、环卫和城市管理等规定，建立规章制度和防护措施，并组织施工。在相关部门的检查中，承包人施工场地被评为不合格工地或被通报批评或者被新闻媒体曝光的，每发生一次，承包人支付</w:t>
      </w:r>
      <w:r>
        <w:rPr>
          <w:rFonts w:ascii="宋体" w:hAnsi="宋体" w:cs="宋体"/>
          <w:color w:val="auto"/>
          <w:sz w:val="24"/>
          <w:szCs w:val="24"/>
          <w:highlight w:val="none"/>
          <w:u w:val="single"/>
        </w:rPr>
        <w:t>10000元违约金</w:t>
      </w:r>
      <w:r>
        <w:rPr>
          <w:rFonts w:hint="eastAsia" w:ascii="宋体" w:hAnsi="宋体" w:cs="宋体"/>
          <w:color w:val="auto"/>
          <w:sz w:val="24"/>
          <w:szCs w:val="24"/>
          <w:highlight w:val="none"/>
          <w:u w:val="single"/>
        </w:rPr>
        <w:t>，如发包人因此被相关部门处罚的，罚金由承包人承担</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u w:val="single"/>
        </w:rPr>
        <w:t>如果承包人未按招投标文件及本合同要求做好安全、文明施工相关措施，经监理工程师或发包人检查发现的，每发现一次，承包人支付</w:t>
      </w:r>
      <w:r>
        <w:rPr>
          <w:rFonts w:ascii="宋体" w:hAnsi="宋体" w:cs="宋体"/>
          <w:color w:val="auto"/>
          <w:sz w:val="24"/>
          <w:szCs w:val="24"/>
          <w:highlight w:val="none"/>
          <w:u w:val="single"/>
        </w:rPr>
        <w:t>5000元违约金，并按发包人或监理单位要求限期整改，未在限期内完成整改的，每延期一天，承包人支付10000元违约金</w:t>
      </w:r>
      <w:r>
        <w:rPr>
          <w:rFonts w:hint="eastAsia" w:ascii="宋体" w:hAnsi="宋体" w:cs="宋体"/>
          <w:color w:val="auto"/>
          <w:sz w:val="24"/>
          <w:szCs w:val="24"/>
          <w:highlight w:val="none"/>
        </w:rPr>
        <w:t>。</w:t>
      </w:r>
    </w:p>
    <w:p>
      <w:pPr>
        <w:snapToGrid w:val="0"/>
        <w:spacing w:line="440" w:lineRule="exact"/>
        <w:ind w:firstLine="397"/>
        <w:rPr>
          <w:rFonts w:ascii="宋体" w:hAnsi="宋体" w:cs="宋体"/>
          <w:snapToGrid w:val="0"/>
          <w:color w:val="auto"/>
          <w:kern w:val="0"/>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u w:val="single"/>
        </w:rPr>
        <w:t>在施工过程中发生安全事故的，除按照国家、省、市规定进行处理外。若导致人员伤亡的，承包人按下列办法支付违约金：如发生死亡事故，死亡</w:t>
      </w:r>
      <w:r>
        <w:rPr>
          <w:rFonts w:ascii="宋体" w:hAnsi="宋体" w:cs="宋体"/>
          <w:color w:val="auto"/>
          <w:sz w:val="24"/>
          <w:szCs w:val="24"/>
          <w:highlight w:val="none"/>
          <w:u w:val="single"/>
        </w:rPr>
        <w:t>1人，</w:t>
      </w:r>
      <w:r>
        <w:rPr>
          <w:rFonts w:hint="eastAsia" w:ascii="宋体" w:hAnsi="宋体" w:cs="宋体"/>
          <w:color w:val="auto"/>
          <w:sz w:val="24"/>
          <w:szCs w:val="24"/>
          <w:highlight w:val="none"/>
          <w:u w:val="single"/>
        </w:rPr>
        <w:t>支付</w:t>
      </w:r>
      <w:r>
        <w:rPr>
          <w:rFonts w:ascii="宋体" w:hAnsi="宋体" w:cs="宋体"/>
          <w:color w:val="auto"/>
          <w:sz w:val="24"/>
          <w:szCs w:val="24"/>
          <w:highlight w:val="none"/>
          <w:u w:val="single"/>
        </w:rPr>
        <w:t>20万元；死亡2人，</w:t>
      </w:r>
      <w:r>
        <w:rPr>
          <w:rFonts w:hint="eastAsia" w:ascii="宋体" w:hAnsi="宋体" w:cs="宋体"/>
          <w:color w:val="auto"/>
          <w:sz w:val="24"/>
          <w:szCs w:val="24"/>
          <w:highlight w:val="none"/>
          <w:u w:val="single"/>
        </w:rPr>
        <w:t>支付</w:t>
      </w:r>
      <w:r>
        <w:rPr>
          <w:rFonts w:ascii="宋体" w:hAnsi="宋体" w:cs="宋体"/>
          <w:color w:val="auto"/>
          <w:sz w:val="24"/>
          <w:szCs w:val="24"/>
          <w:highlight w:val="none"/>
          <w:u w:val="single"/>
        </w:rPr>
        <w:t>40万元；死亡3人或以上，</w:t>
      </w:r>
      <w:r>
        <w:rPr>
          <w:rFonts w:hint="eastAsia" w:ascii="宋体" w:hAnsi="宋体" w:cs="宋体"/>
          <w:color w:val="auto"/>
          <w:sz w:val="24"/>
          <w:szCs w:val="24"/>
          <w:highlight w:val="none"/>
          <w:u w:val="single"/>
        </w:rPr>
        <w:t>支付</w:t>
      </w:r>
      <w:r>
        <w:rPr>
          <w:rFonts w:ascii="宋体" w:hAnsi="宋体" w:cs="宋体"/>
          <w:color w:val="auto"/>
          <w:sz w:val="24"/>
          <w:szCs w:val="24"/>
          <w:highlight w:val="none"/>
          <w:u w:val="single"/>
        </w:rPr>
        <w:t>80万元。如发生重伤事故，重伤1人，</w:t>
      </w:r>
      <w:r>
        <w:rPr>
          <w:rFonts w:hint="eastAsia" w:ascii="宋体" w:hAnsi="宋体" w:cs="宋体"/>
          <w:color w:val="auto"/>
          <w:sz w:val="24"/>
          <w:szCs w:val="24"/>
          <w:highlight w:val="none"/>
          <w:u w:val="single"/>
        </w:rPr>
        <w:t>支付</w:t>
      </w:r>
      <w:r>
        <w:rPr>
          <w:rFonts w:ascii="宋体" w:hAnsi="宋体" w:cs="宋体"/>
          <w:color w:val="auto"/>
          <w:sz w:val="24"/>
          <w:szCs w:val="24"/>
          <w:highlight w:val="none"/>
          <w:u w:val="single"/>
        </w:rPr>
        <w:t>10万元；重伤2人，</w:t>
      </w:r>
      <w:r>
        <w:rPr>
          <w:rFonts w:hint="eastAsia" w:ascii="宋体" w:hAnsi="宋体" w:cs="宋体"/>
          <w:color w:val="auto"/>
          <w:sz w:val="24"/>
          <w:szCs w:val="24"/>
          <w:highlight w:val="none"/>
          <w:u w:val="single"/>
        </w:rPr>
        <w:t>支付</w:t>
      </w:r>
      <w:r>
        <w:rPr>
          <w:rFonts w:ascii="宋体" w:hAnsi="宋体" w:cs="宋体"/>
          <w:color w:val="auto"/>
          <w:sz w:val="24"/>
          <w:szCs w:val="24"/>
          <w:highlight w:val="none"/>
          <w:u w:val="single"/>
        </w:rPr>
        <w:t>20万元；重伤3人或以上，</w:t>
      </w:r>
      <w:r>
        <w:rPr>
          <w:rFonts w:hint="eastAsia" w:ascii="宋体" w:hAnsi="宋体" w:cs="宋体"/>
          <w:color w:val="auto"/>
          <w:sz w:val="24"/>
          <w:szCs w:val="24"/>
          <w:highlight w:val="none"/>
          <w:u w:val="single"/>
        </w:rPr>
        <w:t>支付</w:t>
      </w:r>
      <w:r>
        <w:rPr>
          <w:rFonts w:ascii="宋体" w:hAnsi="宋体" w:cs="宋体"/>
          <w:color w:val="auto"/>
          <w:sz w:val="24"/>
          <w:szCs w:val="24"/>
          <w:highlight w:val="none"/>
          <w:u w:val="single"/>
        </w:rPr>
        <w:t>40万元。因承包人原因发生一般安全事故，未造成人员伤亡</w:t>
      </w:r>
      <w:r>
        <w:rPr>
          <w:rFonts w:hint="eastAsia" w:ascii="宋体" w:hAnsi="宋体" w:cs="宋体"/>
          <w:color w:val="auto"/>
          <w:sz w:val="24"/>
          <w:szCs w:val="24"/>
          <w:highlight w:val="none"/>
          <w:u w:val="single"/>
        </w:rPr>
        <w:t>或造成人员轻伤及轻微财产损失的，每发生一次，承包人支付违约金</w:t>
      </w:r>
      <w:r>
        <w:rPr>
          <w:rFonts w:ascii="宋体" w:hAnsi="宋体" w:cs="宋体"/>
          <w:color w:val="auto"/>
          <w:sz w:val="24"/>
          <w:szCs w:val="24"/>
          <w:highlight w:val="none"/>
          <w:u w:val="single"/>
        </w:rPr>
        <w:t>5000元</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在本工程余泥渣土清运施工和建筑垃圾排放运输时，承包人必须严格执行《广州市建筑废弃物管理条例（</w:t>
      </w:r>
      <w:r>
        <w:rPr>
          <w:rFonts w:ascii="宋体" w:hAnsi="宋体" w:cs="宋体"/>
          <w:color w:val="auto"/>
          <w:sz w:val="24"/>
          <w:szCs w:val="24"/>
          <w:highlight w:val="none"/>
          <w:u w:val="single"/>
        </w:rPr>
        <w:t>2015年修正本）》</w:t>
      </w:r>
      <w:r>
        <w:rPr>
          <w:rFonts w:hint="eastAsia" w:ascii="宋体" w:hAnsi="宋体" w:cs="宋体"/>
          <w:color w:val="auto"/>
          <w:sz w:val="24"/>
          <w:szCs w:val="24"/>
          <w:highlight w:val="none"/>
          <w:u w:val="single"/>
        </w:rPr>
        <w:t>、《广州市市容环境卫生管理规定》、《广州市建设工程现场文明施工管理办法》《关于加强施工现场余泥渣土排放管理工作的通知》（穗建筑【</w:t>
      </w:r>
      <w:r>
        <w:rPr>
          <w:rFonts w:ascii="宋体" w:hAnsi="宋体" w:cs="宋体"/>
          <w:color w:val="auto"/>
          <w:sz w:val="24"/>
          <w:szCs w:val="24"/>
          <w:highlight w:val="none"/>
          <w:u w:val="single"/>
        </w:rPr>
        <w:t>2008】60号）等广州市、</w:t>
      </w:r>
      <w:r>
        <w:rPr>
          <w:rFonts w:hint="eastAsia" w:ascii="宋体" w:hAnsi="宋体" w:cs="宋体"/>
          <w:color w:val="auto"/>
          <w:sz w:val="24"/>
          <w:szCs w:val="24"/>
          <w:highlight w:val="none"/>
          <w:u w:val="single"/>
        </w:rPr>
        <w:t>黄埔</w:t>
      </w:r>
      <w:r>
        <w:rPr>
          <w:rFonts w:ascii="宋体" w:hAnsi="宋体" w:cs="宋体"/>
          <w:color w:val="auto"/>
          <w:sz w:val="24"/>
          <w:szCs w:val="24"/>
          <w:highlight w:val="none"/>
          <w:u w:val="single"/>
        </w:rPr>
        <w:t>区相关管理规定的标准和要求，保证落实“</w:t>
      </w:r>
      <w:r>
        <w:rPr>
          <w:rFonts w:hint="eastAsia" w:ascii="宋体" w:hAnsi="宋体" w:cs="宋体"/>
          <w:color w:val="auto"/>
          <w:sz w:val="24"/>
          <w:szCs w:val="24"/>
          <w:highlight w:val="none"/>
          <w:u w:val="single"/>
        </w:rPr>
        <w:t>一不准进，三不准出”规定，办齐排放有关证照，雇请有合格准运证车辆和具备资质的运输企业，设立专职人员管理余泥渣土、建筑垃圾的运输工作，并对分包单位依法排放余泥渣土、建筑垃圾进行监管。承包人因违反本款约定所造成的一切责任后果全部由承包人承担。经发包人或相关部门检查发现承包人未执行本款约定的，每发现一次，承包人支付</w:t>
      </w:r>
      <w:r>
        <w:rPr>
          <w:rFonts w:ascii="宋体" w:hAnsi="宋体" w:cs="宋体"/>
          <w:color w:val="auto"/>
          <w:sz w:val="24"/>
          <w:szCs w:val="24"/>
          <w:highlight w:val="none"/>
          <w:u w:val="single"/>
        </w:rPr>
        <w:t>5000元违约金。同时，发包人将根据承包人</w:t>
      </w:r>
      <w:r>
        <w:rPr>
          <w:rFonts w:hint="eastAsia" w:ascii="宋体" w:hAnsi="宋体" w:cs="宋体"/>
          <w:color w:val="auto"/>
          <w:sz w:val="24"/>
          <w:szCs w:val="24"/>
          <w:highlight w:val="none"/>
          <w:u w:val="single"/>
        </w:rPr>
        <w:t>违反余泥渣土运输管理有关规定而造成的不良后果的严重程度，上报区建设行政主管部门进行处理</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35.2.3工程质量方面的违约责任</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1）承包人必须保证用于本合同工程所有的材料设备的品牌、型号、规格、质量等符合本合同及招投标文件的要求，严禁假冒伪劣产品，严禁以次充好，严禁未经发包人批准即以其他产品（包括承包人的产品）顶替本合同及招投标文件中规定的产品。承包人在施工中偷工减料、使用不合格的建筑材料、建筑构配件或设备、不按照工程设计图纸、施工技术标准施工，或者未对建筑材料、建筑构配件、设备、商品混凝土进行检验，或者未对涉及结构安全的试块、试件以及有关材料取样送检的，应负责无偿修理或返工，并应支付合同价款百分之二的违约金给发包人</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2）承包人在缺陷责任期内，未能对工程接收证书所列的缺陷清单的内容或缺陷责任期内发生的缺陷进行修复，而又拒绝按监理人指示再进行修复，发包人可委托其他单位修复，所需费用由承包人承担，发包人可在工程质量保修金中抵扣，保修金不足抵扣的，由承包人另行支付。</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3）对施工质量问题存在争议，应请国家认可的第三方机构出具检测报告，检测费用由责任方承担。</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u w:val="single"/>
          <w:lang w:bidi="ar"/>
        </w:rPr>
        <w:t>35.2.4关于第三方质量安全评估的违约责任：</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u w:val="single"/>
          <w:lang w:bidi="ar"/>
        </w:rPr>
        <w:t>承包人应严格遵守中心制定的建设工程第三方质量安全评估服务相关管理办法，配合完成第三方质量安全评估工作。根据每次评估结果，经评估确定为一般违约情况的，承包人每次应支付</w:t>
      </w:r>
      <w:r>
        <w:rPr>
          <w:rFonts w:ascii="宋体" w:hAnsi="宋体" w:cs="宋体"/>
          <w:color w:val="auto"/>
          <w:sz w:val="24"/>
          <w:szCs w:val="24"/>
          <w:highlight w:val="none"/>
          <w:u w:val="single"/>
          <w:lang w:bidi="ar"/>
        </w:rPr>
        <w:t>10000元违约金给发包人；经评估确定为严重违约情况的，承包人每次应支付50000元违约金给发包人。</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35.2.5关于农民工工资支付的违约责任</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u w:val="single"/>
        </w:rPr>
        <w:t>承包人拖欠农民工工资（含代发的分包单位工人工资），被农民工投诉属实的，承包人必须在</w:t>
      </w:r>
      <w:r>
        <w:rPr>
          <w:rFonts w:ascii="宋体" w:hAnsi="宋体" w:cs="宋体"/>
          <w:color w:val="auto"/>
          <w:sz w:val="24"/>
          <w:szCs w:val="24"/>
          <w:highlight w:val="none"/>
          <w:u w:val="single"/>
        </w:rPr>
        <w:t>3天内发放拖欠的款项。若继续拖延被投诉2次及以上，经查实，承包人除应立即支付拖欠款项外，还应支付10000</w:t>
      </w:r>
      <w:r>
        <w:rPr>
          <w:rFonts w:hint="eastAsia" w:ascii="宋体" w:hAnsi="宋体" w:cs="宋体"/>
          <w:color w:val="auto"/>
          <w:sz w:val="24"/>
          <w:szCs w:val="24"/>
          <w:highlight w:val="none"/>
          <w:u w:val="single"/>
        </w:rPr>
        <w:t>违约金给发包人。因承包人拖欠农民工工资，导致农民工采取停工、集聚围阻发包人办公地点甚至政府办公部门等过激行动的，承包人应支付</w:t>
      </w:r>
      <w:r>
        <w:rPr>
          <w:rFonts w:ascii="宋体" w:hAnsi="宋体" w:cs="宋体"/>
          <w:color w:val="auto"/>
          <w:sz w:val="24"/>
          <w:szCs w:val="24"/>
          <w:highlight w:val="none"/>
          <w:u w:val="single"/>
        </w:rPr>
        <w:t>50000</w:t>
      </w:r>
      <w:r>
        <w:rPr>
          <w:rFonts w:hint="eastAsia" w:ascii="宋体" w:hAnsi="宋体" w:cs="宋体"/>
          <w:color w:val="auto"/>
          <w:sz w:val="24"/>
          <w:szCs w:val="24"/>
          <w:highlight w:val="none"/>
          <w:u w:val="single"/>
        </w:rPr>
        <w:t>元违约金，并立即采取切实有效措施予以整改；拒不采取切实有效措施整改的，或整改效果不明显的，发包人可用承包人工程款垫付。若承包人在本工程内发生无故拖欠农民工工资现象，将被作不良记录，上报区建设行政主管部门</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35.2.6</w:t>
      </w:r>
      <w:r>
        <w:rPr>
          <w:rFonts w:hint="eastAsia" w:ascii="宋体" w:hAnsi="宋体" w:cs="宋体"/>
          <w:color w:val="auto"/>
          <w:sz w:val="24"/>
          <w:szCs w:val="24"/>
          <w:highlight w:val="none"/>
        </w:rPr>
        <w:t>项目管理机构人员、机械设备、劳动力到位方面的违约责任：</w:t>
      </w:r>
    </w:p>
    <w:p>
      <w:pPr>
        <w:numPr>
          <w:ilvl w:val="0"/>
          <w:numId w:val="4"/>
        </w:num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承包人必须保证投标文件中确定的项目负责人及其项目技术负责人、主要施工管理人员能及时地、始终地参与本工程施工管理，在未征得发包人书面同意之前不得更换。如未征得发包人书面同意，擅自更换项目负责人或项目技术负责人的，承包人每更换一人次，需支付</w:t>
      </w:r>
      <w:r>
        <w:rPr>
          <w:rFonts w:ascii="宋体" w:hAnsi="宋体" w:cs="宋体"/>
          <w:color w:val="auto"/>
          <w:sz w:val="24"/>
          <w:szCs w:val="24"/>
          <w:highlight w:val="none"/>
          <w:u w:val="single"/>
        </w:rPr>
        <w:t>50000元违约金给发包人，擅自更换主要施工管理人员的，每更换一人次，承包人需支付30000元违约金给发包人</w:t>
      </w:r>
      <w:r>
        <w:rPr>
          <w:rFonts w:hint="eastAsia" w:ascii="宋体" w:hAnsi="宋体" w:cs="宋体"/>
          <w:color w:val="auto"/>
          <w:sz w:val="24"/>
          <w:szCs w:val="24"/>
          <w:highlight w:val="none"/>
        </w:rPr>
        <w:t>。但征得</w:t>
      </w:r>
      <w:r>
        <w:rPr>
          <w:rFonts w:hint="eastAsia" w:ascii="宋体" w:hAnsi="宋体" w:cs="宋体"/>
          <w:color w:val="auto"/>
          <w:sz w:val="24"/>
          <w:szCs w:val="24"/>
          <w:highlight w:val="none"/>
          <w:u w:val="single"/>
        </w:rPr>
        <w:t>发包人书面同意更换或因发包人按本协议要求更换仍需支付违约金，具体为：更换项目负责人或项目技术负责人的，承包人每更换一人次，需支付</w:t>
      </w:r>
      <w:r>
        <w:rPr>
          <w:rFonts w:ascii="宋体" w:hAnsi="宋体" w:cs="宋体"/>
          <w:color w:val="auto"/>
          <w:sz w:val="24"/>
          <w:szCs w:val="24"/>
          <w:highlight w:val="none"/>
          <w:u w:val="single"/>
        </w:rPr>
        <w:t>30000元违约金给发包人，更换主要施工管理人员的，每更换一人次，承包人需支付10000元违约金给发包人</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（2</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如果承包人未按投标文件中的《拟投入本工程施工的主要机械设备配备表》投入机械设备，经监理工程师或发包人代表检查发现的，将书面告知限期整改，未在限期内完成整改的，每延期一天，承包人需支付</w:t>
      </w:r>
      <w:r>
        <w:rPr>
          <w:rFonts w:ascii="宋体" w:hAnsi="宋体" w:cs="宋体"/>
          <w:color w:val="auto"/>
          <w:sz w:val="24"/>
          <w:szCs w:val="24"/>
          <w:highlight w:val="none"/>
          <w:u w:val="single"/>
        </w:rPr>
        <w:t>10000元违约金给发包人。且承包人应按照本合同相关约定投入相应比例的新能源工程车，否则发包人有权要求其限期整改，逾期不整改的，每缺少提供一台，承包人支付违约金20000元/台。</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如果承包人未投标文件中的人力投入计划投入人力，经监理工程师和发包人代表检查发现的，每发现一次，承包人支付</w:t>
      </w:r>
      <w:r>
        <w:rPr>
          <w:rFonts w:ascii="宋体" w:hAnsi="宋体" w:cs="宋体"/>
          <w:color w:val="auto"/>
          <w:sz w:val="24"/>
          <w:szCs w:val="24"/>
          <w:highlight w:val="none"/>
          <w:u w:val="single"/>
        </w:rPr>
        <w:t>10000元违约金给发包人</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如果检查发现承包人超过三次未按承诺投入的人力、机械、物力组织施工，发包人将作为不良纪录报区建设行政主管部门备案。如果检查发现承包人没有按施工组织设计的进度安排推进工程建设，使主要工序的工期延误超过</w:t>
      </w:r>
      <w:r>
        <w:rPr>
          <w:rFonts w:ascii="宋体" w:hAnsi="宋体" w:cs="宋体"/>
          <w:color w:val="auto"/>
          <w:sz w:val="24"/>
          <w:szCs w:val="24"/>
          <w:highlight w:val="none"/>
          <w:u w:val="single"/>
        </w:rPr>
        <w:t>10天，没有按发包人的意见撤换现场负责人；或者按发包人的意见撤换现场负责人后，仍然无法有效控制工程进度，</w:t>
      </w:r>
      <w:r>
        <w:rPr>
          <w:rFonts w:hint="eastAsia" w:ascii="宋体" w:hAnsi="宋体" w:cs="宋体"/>
          <w:color w:val="auto"/>
          <w:sz w:val="24"/>
          <w:szCs w:val="24"/>
          <w:highlight w:val="none"/>
          <w:u w:val="single"/>
        </w:rPr>
        <w:t>承包人除需按本条第（</w:t>
      </w:r>
      <w:r>
        <w:rPr>
          <w:rFonts w:ascii="宋体" w:hAnsi="宋体" w:cs="宋体"/>
          <w:color w:val="auto"/>
          <w:sz w:val="24"/>
          <w:szCs w:val="24"/>
          <w:highlight w:val="none"/>
          <w:u w:val="single"/>
        </w:rPr>
        <w:t>1）项支付违约金外，发包人将发出书面警告，警告发出后15</w:t>
      </w:r>
      <w:r>
        <w:rPr>
          <w:rFonts w:hint="eastAsia" w:ascii="宋体" w:hAnsi="宋体" w:cs="宋体"/>
          <w:color w:val="auto"/>
          <w:sz w:val="24"/>
          <w:szCs w:val="24"/>
          <w:highlight w:val="none"/>
          <w:u w:val="single"/>
        </w:rPr>
        <w:t>天内，主要工序的工期延误仍然超过</w:t>
      </w:r>
      <w:r>
        <w:rPr>
          <w:rFonts w:ascii="宋体" w:hAnsi="宋体" w:cs="宋体"/>
          <w:color w:val="auto"/>
          <w:sz w:val="24"/>
          <w:szCs w:val="24"/>
          <w:highlight w:val="none"/>
          <w:u w:val="single"/>
        </w:rPr>
        <w:t>10天，发包人将作为不良纪录报区建</w:t>
      </w:r>
      <w:r>
        <w:rPr>
          <w:rFonts w:hint="eastAsia" w:ascii="宋体" w:hAnsi="宋体" w:cs="宋体"/>
          <w:color w:val="auto"/>
          <w:sz w:val="24"/>
          <w:szCs w:val="24"/>
          <w:highlight w:val="none"/>
          <w:u w:val="single"/>
        </w:rPr>
        <w:t>设行政主管部门备案。对此，承包人不得有异议</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承包人的项目负责人、技术负责人、安全负责人、质量负责人、防火负责人等必须常驻施工现场，且须无条件参加每周的工地例会以及发包人书面通知的其它会议，如有缺席，则每人每缺席一次，承包人需支付</w:t>
      </w:r>
      <w:r>
        <w:rPr>
          <w:rFonts w:ascii="宋体" w:hAnsi="宋体" w:cs="宋体"/>
          <w:color w:val="auto"/>
          <w:sz w:val="24"/>
          <w:szCs w:val="24"/>
          <w:highlight w:val="none"/>
          <w:u w:val="single"/>
        </w:rPr>
        <w:t>5000元人民币违约金</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35.2.7工程转包违约责任</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u w:val="single"/>
        </w:rPr>
        <w:t>合同约定的工程项目承包人不得转包，必须分包的少量子项工程和专业工程，事先需取得监理人、发包人的审查同意后方可进场施工。否则，发包人有权单方面终止合同，并令其立即退场，工程项目另行处理，承包人还应按履约担保金额支付违约金，发包人的损失超过履约担保金额的部分，承包人还应承担赔偿责任</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承包人在本工程中有转包、转让、出借资质证书或者以其他方式允许他人以本企业的名义承揽工程的，发包人将解除合同，承包人按合同价的</w:t>
      </w:r>
      <w:r>
        <w:rPr>
          <w:rFonts w:ascii="宋体" w:hAnsi="宋体" w:cs="宋体"/>
          <w:color w:val="auto"/>
          <w:sz w:val="24"/>
          <w:szCs w:val="24"/>
          <w:highlight w:val="none"/>
          <w:u w:val="single"/>
        </w:rPr>
        <w:t>10%承担违约金。因此导致发包人损失超出违约金的部分，承包人应负责赔偿。</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35.2.8解除合同的违约责任</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u w:val="single"/>
        </w:rPr>
        <w:t>35.2.8.1因承包人严重违约</w:t>
      </w:r>
      <w:r>
        <w:rPr>
          <w:rFonts w:hint="eastAsia" w:ascii="宋体" w:hAnsi="宋体" w:cs="宋体"/>
          <w:color w:val="auto"/>
          <w:sz w:val="24"/>
          <w:szCs w:val="24"/>
          <w:highlight w:val="none"/>
          <w:u w:val="single"/>
        </w:rPr>
        <w:t>导致发包人单方面解除合同或承包人违约擅自解除合同的，承包人应向发包人支付本合同价款</w:t>
      </w:r>
      <w:r>
        <w:rPr>
          <w:rFonts w:ascii="宋体" w:hAnsi="宋体" w:cs="宋体"/>
          <w:color w:val="auto"/>
          <w:sz w:val="24"/>
          <w:szCs w:val="24"/>
          <w:highlight w:val="none"/>
          <w:u w:val="single"/>
        </w:rPr>
        <w:t>10%的违约金，因解除合同导致发包人的损失超过违约金的部分，承包人还应承担赔偿责任。合同解除后，承包人应妥善做好已完工程和已购材料、设备的保护和移交工作。发包人可派员进驻施工场地，另行组织人员或委托其他承包人施工。发包人因继续完成该工程的需要，有权扣留使用承包人在现场的材料、设备和临时设施，也可要求承包人自行将自有机械设备和人员撤出施工场地，但发包人的这一行为不免除承包人应承担的违约责任，也不影响发包人根据合同约定享有的索赔权利。</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u w:val="single"/>
        </w:rPr>
        <w:t>35.2.8.2不适用通用条款44.6条的约定。</w:t>
      </w:r>
    </w:p>
    <w:p>
      <w:pPr>
        <w:tabs>
          <w:tab w:val="left" w:pos="8280"/>
        </w:tabs>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35.2.9</w:t>
      </w:r>
      <w:r>
        <w:rPr>
          <w:rFonts w:hint="eastAsia" w:ascii="宋体" w:hAnsi="宋体" w:cs="宋体"/>
          <w:color w:val="auto"/>
          <w:sz w:val="24"/>
          <w:szCs w:val="24"/>
          <w:highlight w:val="none"/>
        </w:rPr>
        <w:t>办理结算的违约责任：</w:t>
      </w:r>
    </w:p>
    <w:p>
      <w:pPr>
        <w:tabs>
          <w:tab w:val="left" w:pos="8280"/>
        </w:tabs>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承包人不执行《广州开发区财政投资建设项目管理中心施工类合同结算编审指引（试行）》有关规定的，须按该指引有关规定承担违约责任</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35.2.10</w:t>
      </w:r>
      <w:r>
        <w:rPr>
          <w:rFonts w:hint="eastAsia" w:ascii="宋体" w:hAnsi="宋体" w:cs="宋体"/>
          <w:color w:val="auto"/>
          <w:sz w:val="24"/>
          <w:szCs w:val="24"/>
          <w:highlight w:val="none"/>
          <w:u w:val="single"/>
        </w:rPr>
        <w:t>除上述违约责任外，因承包人履行本合同不符合约定或相关规定，发包人可根据实际情况，给予承包人通报批评及作不良记录等处罚措施；情节严重的，可报请上级行政主管部门给予相应处罚</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u w:val="single"/>
        </w:rPr>
        <w:t>35.2.11</w:t>
      </w:r>
      <w:r>
        <w:rPr>
          <w:rFonts w:hint="eastAsia" w:ascii="宋体" w:hAnsi="宋体" w:cs="宋体"/>
          <w:color w:val="auto"/>
          <w:sz w:val="24"/>
          <w:szCs w:val="24"/>
          <w:highlight w:val="none"/>
          <w:u w:val="single"/>
        </w:rPr>
        <w:t>承包人违约责任的认定方式、送达程序及违约金的处理</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1）认定方式：以发包人发出的通知、通报、会议纪要等书面文件确定的内容为准。</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2）送达程序：发包人以下列方式之一将书面违约处理决定送达承包人：</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u w:val="single"/>
        </w:rPr>
        <w:t>1）承包人现场管理机构工作人员签收。</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u w:val="single"/>
        </w:rPr>
        <w:t>2）承包人其他工作人员签收。</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u w:val="single"/>
        </w:rPr>
        <w:t>3）发包人邮寄送达。</w:t>
      </w:r>
    </w:p>
    <w:p>
      <w:pPr>
        <w:snapToGrid w:val="0"/>
        <w:spacing w:line="440" w:lineRule="exact"/>
        <w:ind w:firstLine="397"/>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3）发包人以书面形式作出的违约处理决定一经送达承包人立即生效。承包人如有足够证据证明不应由其承担违约责任的，应在收到违约处理决定后3天内以书面形式向发包人提出异议并附上有关证据。发包人在收到承包人的异议后15个工作日内审核完毕且作出书面决定并通知承包人。在异议审核期间，承包人须正常施工，不得以审核未确定为由拖延或者中止工程施工。</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37</w:t>
      </w:r>
      <w:r>
        <w:rPr>
          <w:rFonts w:hint="eastAsia" w:ascii="宋体" w:hAnsi="宋体" w:cs="宋体"/>
          <w:b/>
          <w:color w:val="auto"/>
          <w:sz w:val="24"/>
          <w:szCs w:val="24"/>
          <w:highlight w:val="none"/>
        </w:rPr>
        <w:t>、争议</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37.1</w:t>
      </w:r>
      <w:r>
        <w:rPr>
          <w:rFonts w:hint="eastAsia" w:ascii="宋体" w:hAnsi="宋体" w:cs="宋体"/>
          <w:color w:val="auto"/>
          <w:sz w:val="24"/>
          <w:szCs w:val="24"/>
          <w:highlight w:val="none"/>
        </w:rPr>
        <w:t>双方约定，在履行合同过程中产生争议时：</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）由双方协商解决；</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）协商不成的，向</w:t>
      </w:r>
      <w:r>
        <w:rPr>
          <w:rFonts w:hint="eastAsia" w:ascii="宋体" w:hAnsi="宋体" w:cs="宋体"/>
          <w:color w:val="auto"/>
          <w:sz w:val="24"/>
          <w:szCs w:val="24"/>
          <w:highlight w:val="none"/>
          <w:u w:val="single"/>
        </w:rPr>
        <w:t>工程所在地</w:t>
      </w:r>
      <w:r>
        <w:rPr>
          <w:rFonts w:hint="eastAsia" w:ascii="宋体" w:hAnsi="宋体" w:cs="宋体"/>
          <w:color w:val="auto"/>
          <w:sz w:val="24"/>
          <w:szCs w:val="24"/>
          <w:highlight w:val="none"/>
        </w:rPr>
        <w:t>人民法院提起诉讼。</w:t>
      </w:r>
    </w:p>
    <w:p>
      <w:pPr>
        <w:snapToGrid w:val="0"/>
        <w:spacing w:line="440" w:lineRule="exact"/>
        <w:ind w:firstLine="397"/>
        <w:rPr>
          <w:rFonts w:ascii="宋体" w:hAnsi="宋体" w:cs="宋体"/>
          <w:b/>
          <w:color w:val="auto"/>
          <w:sz w:val="24"/>
          <w:szCs w:val="24"/>
          <w:highlight w:val="none"/>
        </w:rPr>
      </w:pPr>
      <w:r>
        <w:rPr>
          <w:rFonts w:hint="eastAsia" w:ascii="宋体" w:hAnsi="宋体" w:cs="宋体"/>
          <w:b/>
          <w:color w:val="auto"/>
          <w:sz w:val="24"/>
          <w:szCs w:val="24"/>
          <w:highlight w:val="none"/>
        </w:rPr>
        <w:t>十一、其他</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38</w:t>
      </w:r>
      <w:r>
        <w:rPr>
          <w:rFonts w:hint="eastAsia" w:ascii="宋体" w:hAnsi="宋体" w:cs="宋体"/>
          <w:b/>
          <w:color w:val="auto"/>
          <w:sz w:val="24"/>
          <w:szCs w:val="24"/>
          <w:highlight w:val="none"/>
        </w:rPr>
        <w:t>、工程分包</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38.1（1）本工程发包人同意承包人分包的工程：</w:t>
      </w:r>
      <w:r>
        <w:rPr>
          <w:rFonts w:hint="eastAsia" w:ascii="宋体" w:hAnsi="宋体" w:cs="宋体"/>
          <w:color w:val="auto"/>
          <w:sz w:val="24"/>
          <w:szCs w:val="24"/>
          <w:highlight w:val="none"/>
        </w:rPr>
        <w:t>非主体非关键工程。承包人分包工程的，需先报发包人同意，分包合同签订后必须报发包人备案。承包人与分包单位签订的分包合同中应明确工人工资比例及支付期限。</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劳务分包必须严格执行广州市相关规定，禁止分包劳务给无资质单位或个人。在发包人同意承包人进行劳务分包的情况下，劳务分包单位须与向政府相关部门备案的劳务分包的单位一致，不得私自变更劳务分包单位。</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39</w:t>
      </w:r>
      <w:r>
        <w:rPr>
          <w:rFonts w:hint="eastAsia" w:ascii="宋体" w:hAnsi="宋体" w:cs="宋体"/>
          <w:b/>
          <w:color w:val="auto"/>
          <w:sz w:val="24"/>
          <w:szCs w:val="24"/>
          <w:highlight w:val="none"/>
        </w:rPr>
        <w:t>、不可抗力</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39.1</w:t>
      </w:r>
      <w:r>
        <w:rPr>
          <w:rFonts w:hint="eastAsia" w:ascii="宋体" w:hAnsi="宋体" w:cs="宋体"/>
          <w:color w:val="auto"/>
          <w:sz w:val="24"/>
          <w:szCs w:val="24"/>
          <w:highlight w:val="none"/>
        </w:rPr>
        <w:t>双方关于不可抗力的约定：按本合同通用条款执行，自然灾害的范围及其认定方式，按下述约定执行：</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u w:val="single"/>
        </w:rPr>
        <w:t>异常天气：仅指</w:t>
      </w:r>
      <w:r>
        <w:rPr>
          <w:rFonts w:ascii="宋体" w:hAnsi="宋体" w:cs="宋体"/>
          <w:color w:val="auto"/>
          <w:sz w:val="24"/>
          <w:szCs w:val="24"/>
          <w:highlight w:val="none"/>
          <w:u w:val="single"/>
        </w:rPr>
        <w:t>50年一遇以上（含50年）的洪水、10级（含本数）以上台风，因异常天气袭击工地为确保安全而停工的，承包人应于台风、洪水天气结束之日起七日内，向当地气象部门索取工程所在地台风、暴雨天气资料或报告（含气象实况及对此分析的内容），连同施工日志、现场照片办理证据保全公证，方可认定为是不可抗力</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u w:val="single"/>
        </w:rPr>
        <w:t>里氏</w:t>
      </w:r>
      <w:r>
        <w:rPr>
          <w:rFonts w:ascii="宋体" w:hAnsi="宋体" w:cs="宋体"/>
          <w:color w:val="auto"/>
          <w:sz w:val="24"/>
          <w:szCs w:val="24"/>
          <w:highlight w:val="none"/>
          <w:u w:val="single"/>
        </w:rPr>
        <w:t>5级（含本数）以上地震</w:t>
      </w:r>
      <w:r>
        <w:rPr>
          <w:rFonts w:hint="eastAsia" w:ascii="宋体" w:hAnsi="宋体" w:cs="宋体"/>
          <w:color w:val="auto"/>
          <w:sz w:val="24"/>
          <w:szCs w:val="24"/>
          <w:highlight w:val="none"/>
        </w:rPr>
        <w:t>。</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39.3双方关于不可抗力事件导致的</w:t>
      </w:r>
      <w:r>
        <w:rPr>
          <w:rFonts w:hint="eastAsia" w:ascii="宋体" w:hAnsi="宋体" w:cs="宋体"/>
          <w:color w:val="auto"/>
          <w:sz w:val="24"/>
          <w:szCs w:val="24"/>
          <w:highlight w:val="none"/>
        </w:rPr>
        <w:t>费用承担</w:t>
      </w:r>
      <w:r>
        <w:rPr>
          <w:rFonts w:hint="eastAsia" w:ascii="宋体" w:hAnsi="宋体" w:cs="宋体"/>
          <w:color w:val="auto"/>
          <w:sz w:val="24"/>
          <w:szCs w:val="24"/>
          <w:highlight w:val="none"/>
          <w:u w:val="single"/>
        </w:rPr>
        <w:t>按本专用条款</w:t>
      </w:r>
      <w:r>
        <w:rPr>
          <w:rFonts w:ascii="宋体" w:hAnsi="宋体" w:cs="宋体"/>
          <w:color w:val="auto"/>
          <w:sz w:val="24"/>
          <w:szCs w:val="24"/>
          <w:highlight w:val="none"/>
          <w:u w:val="single"/>
        </w:rPr>
        <w:t>12.3款约定</w:t>
      </w:r>
      <w:r>
        <w:rPr>
          <w:rFonts w:ascii="宋体" w:hAnsi="宋体" w:cs="宋体"/>
          <w:color w:val="auto"/>
          <w:sz w:val="24"/>
          <w:szCs w:val="24"/>
          <w:highlight w:val="none"/>
        </w:rPr>
        <w:t>执行</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40</w:t>
      </w:r>
      <w:r>
        <w:rPr>
          <w:rFonts w:hint="eastAsia" w:ascii="宋体" w:hAnsi="宋体" w:cs="宋体"/>
          <w:b/>
          <w:color w:val="auto"/>
          <w:sz w:val="24"/>
          <w:szCs w:val="24"/>
          <w:highlight w:val="none"/>
        </w:rPr>
        <w:t>、保险</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40.2承包人对其运至施工场地内用于工程的材料和待安装设备办理保险并支付保险费</w:t>
      </w:r>
      <w:r>
        <w:rPr>
          <w:rFonts w:hint="eastAsia" w:ascii="宋体" w:hAnsi="宋体" w:cs="宋体"/>
          <w:color w:val="auto"/>
          <w:sz w:val="24"/>
          <w:szCs w:val="24"/>
          <w:highlight w:val="none"/>
        </w:rPr>
        <w:t>用。</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40.6</w:t>
      </w:r>
      <w:r>
        <w:rPr>
          <w:rFonts w:hint="eastAsia" w:ascii="宋体" w:hAnsi="宋体" w:cs="宋体"/>
          <w:color w:val="auto"/>
          <w:sz w:val="24"/>
          <w:szCs w:val="24"/>
          <w:highlight w:val="none"/>
        </w:rPr>
        <w:t>本工程双方约定投保内容如下：</w:t>
      </w:r>
    </w:p>
    <w:p>
      <w:pPr>
        <w:snapToGrid w:val="0"/>
        <w:spacing w:line="440" w:lineRule="exact"/>
        <w:ind w:left="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发包人投保内容：</w:t>
      </w:r>
      <w:r>
        <w:rPr>
          <w:rFonts w:hint="eastAsia" w:ascii="宋体" w:hAnsi="宋体" w:cs="宋体"/>
          <w:color w:val="auto"/>
          <w:sz w:val="24"/>
          <w:szCs w:val="24"/>
          <w:highlight w:val="none"/>
          <w:u w:val="single"/>
        </w:rPr>
        <w:t>按广州市建设项目劳动保险相关规定投保</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发包人委托承包人办理的保险事项：</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w:t>
      </w:r>
    </w:p>
    <w:p>
      <w:pPr>
        <w:snapToGrid w:val="0"/>
        <w:spacing w:line="440" w:lineRule="exact"/>
        <w:ind w:left="397"/>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承包人投保内容：</w:t>
      </w:r>
      <w:r>
        <w:rPr>
          <w:rFonts w:hint="eastAsia" w:ascii="宋体" w:hAnsi="宋体" w:cs="宋体"/>
          <w:color w:val="auto"/>
          <w:sz w:val="24"/>
          <w:szCs w:val="24"/>
          <w:highlight w:val="none"/>
          <w:u w:val="single"/>
        </w:rPr>
        <w:t>开工前承包人应当投保安全生产责任保险，且该保险保障场所应包含本项目，合同价视作已含该项费用。承包人未按规定购买安全生产责任保险，发包人可视严重程度拒绝该单位一定时期内参与后续工程投标</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41</w:t>
      </w:r>
      <w:r>
        <w:rPr>
          <w:rFonts w:hint="eastAsia" w:ascii="宋体" w:hAnsi="宋体" w:cs="宋体"/>
          <w:b/>
          <w:color w:val="auto"/>
          <w:sz w:val="24"/>
          <w:szCs w:val="24"/>
          <w:highlight w:val="none"/>
        </w:rPr>
        <w:t>、担保</w:t>
      </w:r>
    </w:p>
    <w:p>
      <w:pPr>
        <w:snapToGrid w:val="0"/>
        <w:spacing w:line="440" w:lineRule="exact"/>
        <w:ind w:firstLine="397"/>
        <w:rPr>
          <w:rFonts w:ascii="宋体" w:hAnsi="宋体" w:cs="宋体"/>
          <w:color w:val="auto"/>
          <w:sz w:val="24"/>
          <w:szCs w:val="24"/>
          <w:highlight w:val="none"/>
        </w:rPr>
      </w:pPr>
      <w:r>
        <w:rPr>
          <w:rFonts w:ascii="宋体" w:hAnsi="宋体" w:cs="宋体"/>
          <w:color w:val="auto"/>
          <w:sz w:val="24"/>
          <w:szCs w:val="24"/>
          <w:highlight w:val="none"/>
        </w:rPr>
        <w:t>41.1</w:t>
      </w:r>
      <w:r>
        <w:rPr>
          <w:rFonts w:hint="eastAsia" w:ascii="宋体" w:hAnsi="宋体" w:cs="宋体"/>
          <w:color w:val="auto"/>
          <w:sz w:val="24"/>
          <w:szCs w:val="24"/>
          <w:highlight w:val="none"/>
        </w:rPr>
        <w:t>本工程双方约定担保事项如下：</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发包人向承包人提供履约担保，担保方式为：</w:t>
      </w:r>
      <w:r>
        <w:rPr>
          <w:rFonts w:ascii="宋体" w:hAnsi="宋体" w:cs="宋体"/>
          <w:color w:val="auto"/>
          <w:sz w:val="24"/>
          <w:szCs w:val="24"/>
          <w:highlight w:val="none"/>
          <w:u w:val="single"/>
        </w:rPr>
        <w:t xml:space="preserve">   /   </w:t>
      </w:r>
      <w:r>
        <w:rPr>
          <w:rFonts w:hint="eastAsia" w:ascii="宋体" w:hAnsi="宋体" w:cs="宋体"/>
          <w:color w:val="auto"/>
          <w:sz w:val="24"/>
          <w:szCs w:val="24"/>
          <w:highlight w:val="none"/>
        </w:rPr>
        <w:t>，担保合同作为本合同附件。</w:t>
      </w:r>
    </w:p>
    <w:p>
      <w:pPr>
        <w:snapToGrid w:val="0"/>
        <w:spacing w:line="440" w:lineRule="exact"/>
        <w:ind w:firstLine="39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承包人按如下方式向发包人提供履约担保：</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①</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履约担保：</w:t>
      </w:r>
      <w:r>
        <w:rPr>
          <w:rFonts w:hint="eastAsia" w:ascii="宋体" w:hAnsi="宋体" w:cs="宋体"/>
          <w:color w:val="auto"/>
          <w:sz w:val="24"/>
          <w:szCs w:val="24"/>
          <w:highlight w:val="none"/>
          <w:u w:val="single"/>
        </w:rPr>
        <w:t>承包人向发包人提交担保金额为中标价</w:t>
      </w:r>
      <w:r>
        <w:rPr>
          <w:rFonts w:ascii="宋体" w:hAnsi="宋体" w:cs="宋体"/>
          <w:color w:val="auto"/>
          <w:sz w:val="24"/>
          <w:szCs w:val="24"/>
          <w:highlight w:val="none"/>
          <w:u w:val="single"/>
        </w:rPr>
        <w:t>10%</w:t>
      </w:r>
      <w:r>
        <w:rPr>
          <w:rFonts w:hint="eastAsia" w:ascii="宋体" w:hAnsi="宋体" w:cs="宋体"/>
          <w:color w:val="auto"/>
          <w:sz w:val="24"/>
          <w:szCs w:val="24"/>
          <w:highlight w:val="none"/>
          <w:u w:val="single"/>
        </w:rPr>
        <w:t>的履约担保，以银行保函形式提交。履约担保为银行保函的，须广州市内分行以上的银行开具的无条件、不可撤销的保函，保函有效期至工程竣工验收合格之日。履约银行保函到期但工程尚未竣工的，承包人应自觉办理保函延期手续，确保担保期限不出现空缺，否则，发包人不予支付工程款</w:t>
      </w:r>
      <w:r>
        <w:rPr>
          <w:rFonts w:hint="eastAsia" w:ascii="宋体" w:hAnsi="宋体" w:cs="宋体"/>
          <w:color w:val="auto"/>
          <w:sz w:val="24"/>
          <w:szCs w:val="24"/>
          <w:highlight w:val="none"/>
        </w:rPr>
        <w:t>。</w:t>
      </w:r>
    </w:p>
    <w:p>
      <w:pPr>
        <w:snapToGrid w:val="0"/>
        <w:spacing w:line="440" w:lineRule="exact"/>
        <w:ind w:firstLine="338" w:firstLineChars="141"/>
        <w:rPr>
          <w:rFonts w:ascii="宋体" w:hAnsi="宋体" w:cs="宋体"/>
          <w:color w:val="auto"/>
          <w:sz w:val="24"/>
          <w:szCs w:val="24"/>
          <w:highlight w:val="none"/>
        </w:rPr>
      </w:pPr>
      <w:r>
        <w:rPr>
          <w:rFonts w:hint="eastAsia" w:ascii="宋体" w:hAnsi="宋体" w:cs="宋体"/>
          <w:color w:val="auto"/>
          <w:sz w:val="24"/>
          <w:szCs w:val="24"/>
          <w:highlight w:val="none"/>
        </w:rPr>
        <w:t>首次办理履约保函，如合同工期低于</w:t>
      </w:r>
      <w:r>
        <w:rPr>
          <w:rFonts w:ascii="宋体" w:hAnsi="宋体" w:cs="宋体"/>
          <w:color w:val="auto"/>
          <w:sz w:val="24"/>
          <w:szCs w:val="24"/>
          <w:highlight w:val="none"/>
        </w:rPr>
        <w:t>1年的，担保期限可按合同工期，如合同工期高于1年的，担保期限不低于1年。</w:t>
      </w:r>
    </w:p>
    <w:p>
      <w:pPr>
        <w:snapToGrid w:val="0"/>
        <w:spacing w:line="440" w:lineRule="exact"/>
        <w:ind w:firstLine="338" w:firstLineChars="141"/>
        <w:rPr>
          <w:rFonts w:ascii="宋体" w:hAnsi="宋体" w:cs="宋体"/>
          <w:color w:val="auto"/>
          <w:sz w:val="24"/>
          <w:szCs w:val="24"/>
          <w:highlight w:val="none"/>
        </w:rPr>
      </w:pPr>
      <w:r>
        <w:rPr>
          <w:rFonts w:hint="eastAsia" w:ascii="宋体" w:hAnsi="宋体" w:cs="宋体"/>
          <w:color w:val="auto"/>
          <w:sz w:val="24"/>
          <w:szCs w:val="24"/>
          <w:highlight w:val="none"/>
        </w:rPr>
        <w:t>履约保函</w:t>
      </w:r>
      <w:r>
        <w:rPr>
          <w:rFonts w:hint="eastAsia" w:ascii="宋体" w:hAnsi="宋体" w:cs="宋体"/>
          <w:color w:val="auto"/>
          <w:sz w:val="24"/>
          <w:szCs w:val="24"/>
          <w:highlight w:val="none"/>
          <w:u w:val="single"/>
        </w:rPr>
        <w:t>办理延期手续</w:t>
      </w:r>
      <w:r>
        <w:rPr>
          <w:rFonts w:hint="eastAsia" w:ascii="宋体" w:hAnsi="宋体" w:cs="宋体"/>
          <w:color w:val="auto"/>
          <w:sz w:val="24"/>
          <w:szCs w:val="24"/>
          <w:highlight w:val="none"/>
        </w:rPr>
        <w:t>时，若项目的完成工程量不足一半，担保金额按中标价的</w:t>
      </w:r>
      <w:r>
        <w:rPr>
          <w:rFonts w:ascii="宋体" w:hAnsi="宋体" w:cs="宋体"/>
          <w:color w:val="auto"/>
          <w:sz w:val="24"/>
          <w:szCs w:val="24"/>
          <w:highlight w:val="none"/>
        </w:rPr>
        <w:t>10%；若项目的完成工程量超过一半，担保金额可按中标价的5%；其他特殊情况需调整的，需报发包人审议同意。</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②</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履约担保的返还方式：</w:t>
      </w:r>
      <w:r>
        <w:rPr>
          <w:rFonts w:ascii="宋体" w:hAnsi="宋体" w:cs="宋体"/>
          <w:color w:val="auto"/>
          <w:sz w:val="24"/>
          <w:szCs w:val="24"/>
          <w:highlight w:val="none"/>
          <w:u w:val="single"/>
        </w:rPr>
        <w:t>履约担保为银行保函的，在工程验收合格</w:t>
      </w:r>
      <w:r>
        <w:rPr>
          <w:rFonts w:hint="eastAsia" w:ascii="宋体" w:hAnsi="宋体" w:cs="宋体"/>
          <w:color w:val="auto"/>
          <w:sz w:val="24"/>
          <w:szCs w:val="24"/>
          <w:highlight w:val="none"/>
          <w:u w:val="single"/>
        </w:rPr>
        <w:t>后返还承包人</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u w:val="single"/>
        </w:rPr>
        <w:t>银行保函的管理和格式按《广州开发区财政投资建设项目管理中心建设工程保函管理细则》执行</w:t>
      </w:r>
      <w:r>
        <w:rPr>
          <w:rFonts w:hint="eastAsia" w:ascii="宋体" w:hAnsi="宋体" w:cs="宋体"/>
          <w:color w:val="auto"/>
          <w:sz w:val="24"/>
          <w:szCs w:val="24"/>
          <w:highlight w:val="none"/>
        </w:rPr>
        <w:t>。</w:t>
      </w:r>
    </w:p>
    <w:p>
      <w:pPr>
        <w:ind w:firstLine="424" w:firstLineChars="17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3）承包人提交的履约担保是对本合同约定的承包人的全部义务（包括但不限于承包人违约后应支付的违约金和赔偿金）的担保，承包人的任何一次不履行或不完全履行合同义务的行为，发包人均有权提出索赔。</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46</w:t>
      </w:r>
      <w:r>
        <w:rPr>
          <w:rFonts w:hint="eastAsia" w:ascii="宋体" w:hAnsi="宋体" w:cs="宋体"/>
          <w:b/>
          <w:color w:val="auto"/>
          <w:sz w:val="24"/>
          <w:szCs w:val="24"/>
          <w:highlight w:val="none"/>
        </w:rPr>
        <w:t>、合同份数</w:t>
      </w:r>
    </w:p>
    <w:p>
      <w:pPr>
        <w:snapToGrid w:val="0"/>
        <w:spacing w:line="440" w:lineRule="exact"/>
        <w:ind w:firstLine="397"/>
        <w:rPr>
          <w:rFonts w:ascii="宋体" w:hAnsi="宋体" w:cs="宋体"/>
          <w:color w:val="auto"/>
          <w:sz w:val="24"/>
          <w:szCs w:val="24"/>
          <w:highlight w:val="none"/>
          <w:u w:val="single"/>
        </w:rPr>
      </w:pPr>
      <w:r>
        <w:rPr>
          <w:rFonts w:ascii="宋体" w:hAnsi="宋体" w:cs="宋体"/>
          <w:color w:val="auto"/>
          <w:sz w:val="24"/>
          <w:szCs w:val="24"/>
          <w:highlight w:val="none"/>
        </w:rPr>
        <w:t>46.1</w:t>
      </w:r>
      <w:r>
        <w:rPr>
          <w:rFonts w:hint="eastAsia" w:ascii="宋体" w:hAnsi="宋体" w:cs="宋体"/>
          <w:color w:val="auto"/>
          <w:sz w:val="24"/>
          <w:szCs w:val="24"/>
          <w:highlight w:val="none"/>
        </w:rPr>
        <w:t>双方约定合同正副本份数：</w:t>
      </w:r>
      <w:r>
        <w:rPr>
          <w:rFonts w:hint="eastAsia" w:ascii="宋体" w:hAnsi="宋体" w:cs="宋体"/>
          <w:color w:val="auto"/>
          <w:sz w:val="24"/>
          <w:szCs w:val="24"/>
          <w:highlight w:val="none"/>
          <w:u w:val="single"/>
        </w:rPr>
        <w:t>共拾份，正本一式贰份，发包人承包人各执壹份；副本捌份，发包人肆份，承包人叁份，监理人壹份</w:t>
      </w:r>
      <w:r>
        <w:rPr>
          <w:rFonts w:hint="eastAsia" w:ascii="宋体" w:hAnsi="宋体" w:cs="宋体"/>
          <w:color w:val="auto"/>
          <w:sz w:val="24"/>
          <w:szCs w:val="24"/>
          <w:highlight w:val="none"/>
        </w:rPr>
        <w:t>。</w:t>
      </w:r>
    </w:p>
    <w:p>
      <w:pPr>
        <w:snapToGrid w:val="0"/>
        <w:spacing w:line="440" w:lineRule="exact"/>
        <w:ind w:firstLine="397"/>
        <w:rPr>
          <w:rFonts w:ascii="宋体" w:hAnsi="宋体" w:cs="宋体"/>
          <w:b/>
          <w:color w:val="auto"/>
          <w:sz w:val="24"/>
          <w:szCs w:val="24"/>
          <w:highlight w:val="none"/>
        </w:rPr>
      </w:pPr>
      <w:r>
        <w:rPr>
          <w:rFonts w:ascii="宋体" w:hAnsi="宋体" w:cs="宋体"/>
          <w:b/>
          <w:color w:val="auto"/>
          <w:sz w:val="24"/>
          <w:szCs w:val="24"/>
          <w:highlight w:val="none"/>
        </w:rPr>
        <w:t>47</w:t>
      </w:r>
      <w:r>
        <w:rPr>
          <w:rFonts w:hint="eastAsia" w:ascii="宋体" w:hAnsi="宋体" w:cs="宋体"/>
          <w:b/>
          <w:color w:val="auto"/>
          <w:sz w:val="24"/>
          <w:szCs w:val="24"/>
          <w:highlight w:val="none"/>
        </w:rPr>
        <w:t>、补充条款</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b/>
          <w:color w:val="auto"/>
          <w:sz w:val="24"/>
          <w:szCs w:val="24"/>
          <w:highlight w:val="none"/>
        </w:rPr>
        <w:t>安全、文明、科学、规范的施工要求</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47.1</w:t>
      </w:r>
      <w:r>
        <w:rPr>
          <w:rFonts w:hint="eastAsia" w:ascii="宋体" w:hAnsi="宋体" w:cs="宋体"/>
          <w:color w:val="auto"/>
          <w:sz w:val="24"/>
          <w:szCs w:val="24"/>
          <w:highlight w:val="none"/>
          <w:u w:val="single"/>
        </w:rPr>
        <w:t>承包人在开工前，必须按照广州市、开发区有关要求办理好相应的施工手续方可开工</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47.2</w:t>
      </w:r>
      <w:r>
        <w:rPr>
          <w:rFonts w:hint="eastAsia" w:ascii="宋体" w:hAnsi="宋体" w:cs="宋体"/>
          <w:color w:val="auto"/>
          <w:sz w:val="24"/>
          <w:szCs w:val="24"/>
          <w:highlight w:val="none"/>
          <w:u w:val="single"/>
        </w:rPr>
        <w:t>施工范围的具体位置及可交付承包人施工安排的用地范围，由承包人根据现场勘察情况报发包人同意确定，建筑轴线控制基点由承包人联系规划局提供</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47.3</w:t>
      </w:r>
      <w:r>
        <w:rPr>
          <w:rFonts w:hint="eastAsia" w:ascii="宋体" w:hAnsi="宋体" w:cs="宋体"/>
          <w:color w:val="auto"/>
          <w:sz w:val="24"/>
          <w:szCs w:val="24"/>
          <w:highlight w:val="none"/>
          <w:u w:val="single"/>
        </w:rPr>
        <w:t>承包人必须保证在收到中标通知书后五天内进场作好施工准备，十五天内提交有关开工报告、施工组织设计、主要材料厂家、材料品牌的选择报验，完成本工程所需的相关工作（如配合比试验、土工试验、场地原地面标高测量、导线放线及复测工作、水准点加密、现场临时设施建设等工作），经监理工程师批准开工或下达开工令后正式施工</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47.4</w:t>
      </w:r>
      <w:r>
        <w:rPr>
          <w:rFonts w:hint="eastAsia" w:ascii="宋体" w:hAnsi="宋体" w:cs="宋体"/>
          <w:color w:val="auto"/>
          <w:sz w:val="24"/>
          <w:szCs w:val="24"/>
          <w:highlight w:val="none"/>
          <w:u w:val="single"/>
        </w:rPr>
        <w:t>承包人在施工期间要确保工程外场地清洁及道路畅通，如须使用他方道路，则还必须负责养护、保洁责任，否则责任自负。施工和警示标志明显，因施工造成人身损害和财产损失的，由承包人承担责任</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47.5</w:t>
      </w:r>
      <w:r>
        <w:rPr>
          <w:rFonts w:hint="eastAsia" w:ascii="宋体" w:hAnsi="宋体" w:cs="宋体"/>
          <w:color w:val="auto"/>
          <w:sz w:val="24"/>
          <w:szCs w:val="24"/>
          <w:highlight w:val="none"/>
          <w:u w:val="single"/>
        </w:rPr>
        <w:t>承包人必须考虑安全、环保等因素在局部施工范围进行围蔽施工，现场围蔽不符合国家有关安全措施及技术要求的，不得开展施工作业，由此造成的工期延长，由承包人自己负责，当作延误工期处理</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47.6</w:t>
      </w:r>
      <w:r>
        <w:rPr>
          <w:rFonts w:hint="eastAsia" w:ascii="宋体" w:hAnsi="宋体" w:cs="宋体"/>
          <w:color w:val="auto"/>
          <w:sz w:val="24"/>
          <w:szCs w:val="24"/>
          <w:highlight w:val="none"/>
          <w:u w:val="single"/>
        </w:rPr>
        <w:t>承包人应注意对现有的道路、供水管、排水管、绿化、路灯、电力与通讯设施等进行保护，如因承包人原因损坏，承包人应无条件修复，由此引起的任何安全事故由承包人负责，并承担由此产生的一切费用。若承包人不能按要求修复的，则由发包人委托其它单位修复，费用从承包人工程款中扣付</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47.7</w:t>
      </w:r>
      <w:r>
        <w:rPr>
          <w:rFonts w:hint="eastAsia" w:ascii="宋体" w:hAnsi="宋体" w:cs="宋体"/>
          <w:color w:val="auto"/>
          <w:sz w:val="24"/>
          <w:szCs w:val="24"/>
          <w:highlight w:val="none"/>
          <w:u w:val="single"/>
        </w:rPr>
        <w:t>场内土方开挖时，承包人向发包人书面申请，并按发包人的书面批复进行调配平衡，不得任意处置，多余土方由承包人自行安排外运，竣工退场时必须清理施工现场，并达到发包人要求；若承包人未及时外运，则由发包人另行委托其他单位外运，所需费用从承包人工程款中扣付</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47.8</w:t>
      </w:r>
      <w:r>
        <w:rPr>
          <w:rFonts w:hint="eastAsia" w:ascii="宋体" w:hAnsi="宋体" w:cs="宋体"/>
          <w:color w:val="auto"/>
          <w:sz w:val="24"/>
          <w:szCs w:val="24"/>
          <w:highlight w:val="none"/>
          <w:u w:val="single"/>
        </w:rPr>
        <w:t>若遇阻碍施工需拆迁的旧建（构）筑物、地下孤石等障碍物，由承包人负责清障，所需清障费用经监理、发包人现场签证调整</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47.9</w:t>
      </w:r>
      <w:r>
        <w:rPr>
          <w:rFonts w:hint="eastAsia" w:ascii="宋体" w:hAnsi="宋体" w:cs="宋体"/>
          <w:color w:val="auto"/>
          <w:sz w:val="24"/>
          <w:szCs w:val="24"/>
          <w:highlight w:val="none"/>
          <w:u w:val="single"/>
        </w:rPr>
        <w:t>在工程完成初验及工程实物移交给发包人或开发区有关的接收单位或部门后一个月内，承包人必须拆除本工程全部的施工临时设施，做到工完场清；否则，发包人有权安排清拆，由此所发生的一切费用在承包人的结算工程款中扣除</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47.10</w:t>
      </w:r>
      <w:r>
        <w:rPr>
          <w:rFonts w:hint="eastAsia" w:ascii="宋体" w:hAnsi="宋体" w:cs="宋体"/>
          <w:color w:val="auto"/>
          <w:sz w:val="24"/>
          <w:szCs w:val="24"/>
          <w:highlight w:val="none"/>
          <w:u w:val="single"/>
        </w:rPr>
        <w:t>双方根据国家有关规定，结合具体工程约定质量缺陷责任期如下</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1、</w:t>
      </w:r>
      <w:r>
        <w:rPr>
          <w:rFonts w:hint="eastAsia" w:ascii="宋体" w:hAnsi="宋体" w:cs="宋体"/>
          <w:color w:val="auto"/>
          <w:sz w:val="24"/>
          <w:szCs w:val="24"/>
          <w:highlight w:val="none"/>
          <w:u w:val="single"/>
        </w:rPr>
        <w:t>基础设施工程、房屋建筑的地基基础工程和主体结构工程为</w:t>
      </w:r>
      <w:r>
        <w:rPr>
          <w:rFonts w:ascii="宋体" w:hAnsi="宋体" w:cs="宋体"/>
          <w:color w:val="auto"/>
          <w:sz w:val="24"/>
          <w:szCs w:val="24"/>
          <w:highlight w:val="none"/>
          <w:u w:val="single"/>
        </w:rPr>
        <w:t>2年</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2、</w:t>
      </w:r>
      <w:r>
        <w:rPr>
          <w:rFonts w:hint="eastAsia" w:ascii="宋体" w:hAnsi="宋体" w:cs="宋体"/>
          <w:color w:val="auto"/>
          <w:sz w:val="24"/>
          <w:szCs w:val="24"/>
          <w:highlight w:val="none"/>
          <w:u w:val="single"/>
        </w:rPr>
        <w:t>屋面防水工程为</w:t>
      </w:r>
      <w:r>
        <w:rPr>
          <w:rFonts w:ascii="宋体" w:hAnsi="宋体" w:cs="宋体"/>
          <w:color w:val="auto"/>
          <w:sz w:val="24"/>
          <w:szCs w:val="24"/>
          <w:highlight w:val="none"/>
          <w:u w:val="single"/>
        </w:rPr>
        <w:t xml:space="preserve"> 2 </w:t>
      </w:r>
      <w:r>
        <w:rPr>
          <w:rFonts w:hint="eastAsia" w:ascii="宋体" w:hAnsi="宋体" w:cs="宋体"/>
          <w:color w:val="auto"/>
          <w:sz w:val="24"/>
          <w:szCs w:val="24"/>
          <w:highlight w:val="none"/>
          <w:u w:val="single"/>
        </w:rPr>
        <w:t>年，室外装饰工程为</w:t>
      </w:r>
      <w:r>
        <w:rPr>
          <w:rFonts w:ascii="宋体" w:hAnsi="宋体" w:cs="宋体"/>
          <w:color w:val="auto"/>
          <w:sz w:val="24"/>
          <w:szCs w:val="24"/>
          <w:highlight w:val="none"/>
          <w:u w:val="single"/>
        </w:rPr>
        <w:t xml:space="preserve"> 2 年</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3、</w:t>
      </w:r>
      <w:r>
        <w:rPr>
          <w:rFonts w:hint="eastAsia" w:ascii="宋体" w:hAnsi="宋体" w:cs="宋体"/>
          <w:color w:val="auto"/>
          <w:sz w:val="24"/>
          <w:szCs w:val="24"/>
          <w:highlight w:val="none"/>
          <w:u w:val="single"/>
        </w:rPr>
        <w:t>电力管线、上下水管线安装工程为</w:t>
      </w:r>
      <w:r>
        <w:rPr>
          <w:rFonts w:ascii="宋体" w:hAnsi="宋体" w:cs="宋体"/>
          <w:color w:val="auto"/>
          <w:sz w:val="24"/>
          <w:szCs w:val="24"/>
          <w:highlight w:val="none"/>
          <w:u w:val="single"/>
        </w:rPr>
        <w:t xml:space="preserve"> 2 </w:t>
      </w:r>
      <w:r>
        <w:rPr>
          <w:rFonts w:hint="eastAsia" w:ascii="宋体" w:hAnsi="宋体" w:cs="宋体"/>
          <w:color w:val="auto"/>
          <w:sz w:val="24"/>
          <w:szCs w:val="24"/>
          <w:highlight w:val="none"/>
          <w:u w:val="single"/>
        </w:rPr>
        <w:t>年</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w:t>
      </w:r>
      <w:r>
        <w:rPr>
          <w:rFonts w:hint="eastAsia" w:ascii="宋体" w:hAnsi="宋体" w:cs="宋体"/>
          <w:color w:val="auto"/>
          <w:sz w:val="24"/>
          <w:szCs w:val="24"/>
          <w:highlight w:val="none"/>
          <w:u w:val="single"/>
        </w:rPr>
        <w:t>供热及供冷为</w:t>
      </w:r>
      <w:r>
        <w:rPr>
          <w:rFonts w:ascii="宋体" w:hAnsi="宋体" w:cs="宋体"/>
          <w:color w:val="auto"/>
          <w:sz w:val="24"/>
          <w:szCs w:val="24"/>
          <w:highlight w:val="none"/>
          <w:u w:val="single"/>
        </w:rPr>
        <w:t xml:space="preserve"> 2 </w:t>
      </w:r>
      <w:r>
        <w:rPr>
          <w:rFonts w:hint="eastAsia" w:ascii="宋体" w:hAnsi="宋体" w:cs="宋体"/>
          <w:color w:val="auto"/>
          <w:sz w:val="24"/>
          <w:szCs w:val="24"/>
          <w:highlight w:val="none"/>
          <w:u w:val="single"/>
        </w:rPr>
        <w:t>个采暖期及供冷期</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5、</w:t>
      </w:r>
      <w:r>
        <w:rPr>
          <w:rFonts w:hint="eastAsia" w:ascii="宋体" w:hAnsi="宋体" w:cs="宋体"/>
          <w:color w:val="auto"/>
          <w:sz w:val="24"/>
          <w:szCs w:val="24"/>
          <w:highlight w:val="none"/>
          <w:u w:val="single"/>
        </w:rPr>
        <w:t>室外的上下水和小区道路等市政公用工程为</w:t>
      </w:r>
      <w:r>
        <w:rPr>
          <w:rFonts w:ascii="宋体" w:hAnsi="宋体" w:cs="宋体"/>
          <w:color w:val="auto"/>
          <w:sz w:val="24"/>
          <w:szCs w:val="24"/>
          <w:highlight w:val="none"/>
          <w:u w:val="single"/>
        </w:rPr>
        <w:t xml:space="preserve"> 2 年</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6、</w:t>
      </w:r>
      <w:r>
        <w:rPr>
          <w:rFonts w:hint="eastAsia" w:ascii="宋体" w:hAnsi="宋体" w:cs="宋体"/>
          <w:color w:val="auto"/>
          <w:sz w:val="24"/>
          <w:szCs w:val="24"/>
          <w:highlight w:val="none"/>
          <w:u w:val="single"/>
        </w:rPr>
        <w:t>市政道路排水工程为</w:t>
      </w:r>
      <w:r>
        <w:rPr>
          <w:rFonts w:ascii="宋体" w:hAnsi="宋体" w:cs="宋体"/>
          <w:color w:val="auto"/>
          <w:sz w:val="24"/>
          <w:szCs w:val="24"/>
          <w:highlight w:val="none"/>
          <w:u w:val="single"/>
        </w:rPr>
        <w:t xml:space="preserve"> 2 年，市政供水工程为 2 年</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7、</w:t>
      </w:r>
      <w:r>
        <w:rPr>
          <w:rFonts w:hint="eastAsia" w:ascii="宋体" w:hAnsi="宋体" w:cs="宋体"/>
          <w:color w:val="auto"/>
          <w:sz w:val="24"/>
          <w:szCs w:val="24"/>
          <w:highlight w:val="none"/>
          <w:u w:val="single"/>
        </w:rPr>
        <w:t>市政供电工程为</w:t>
      </w:r>
      <w:r>
        <w:rPr>
          <w:rFonts w:ascii="宋体" w:hAnsi="宋体" w:cs="宋体"/>
          <w:color w:val="auto"/>
          <w:sz w:val="24"/>
          <w:szCs w:val="24"/>
          <w:highlight w:val="none"/>
          <w:u w:val="single"/>
        </w:rPr>
        <w:t xml:space="preserve"> 2 年，市政道路照明工程 2 年，市政交通设施工程为 2 年</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8、</w:t>
      </w:r>
      <w:r>
        <w:rPr>
          <w:rFonts w:hint="eastAsia" w:ascii="宋体" w:hAnsi="宋体" w:cs="宋体"/>
          <w:color w:val="auto"/>
          <w:sz w:val="24"/>
          <w:szCs w:val="24"/>
          <w:highlight w:val="none"/>
          <w:u w:val="single"/>
        </w:rPr>
        <w:t>园林建筑工程为</w:t>
      </w:r>
      <w:r>
        <w:rPr>
          <w:rFonts w:ascii="宋体" w:hAnsi="宋体" w:cs="宋体"/>
          <w:color w:val="auto"/>
          <w:sz w:val="24"/>
          <w:szCs w:val="24"/>
          <w:highlight w:val="none"/>
          <w:u w:val="single"/>
        </w:rPr>
        <w:t>1年，喷淋工程为2年，胸径15cm</w:t>
      </w:r>
      <w:r>
        <w:rPr>
          <w:rFonts w:hint="eastAsia" w:ascii="宋体" w:hAnsi="宋体" w:cs="宋体"/>
          <w:color w:val="auto"/>
          <w:sz w:val="24"/>
          <w:szCs w:val="24"/>
          <w:highlight w:val="none"/>
          <w:u w:val="single"/>
        </w:rPr>
        <w:t>以内（含</w:t>
      </w:r>
      <w:r>
        <w:rPr>
          <w:rFonts w:ascii="宋体" w:hAnsi="宋体" w:cs="宋体"/>
          <w:color w:val="auto"/>
          <w:sz w:val="24"/>
          <w:szCs w:val="24"/>
          <w:highlight w:val="none"/>
          <w:u w:val="single"/>
        </w:rPr>
        <w:t>15cm</w:t>
      </w:r>
      <w:r>
        <w:rPr>
          <w:rFonts w:hint="eastAsia" w:ascii="宋体" w:hAnsi="宋体" w:cs="宋体"/>
          <w:color w:val="auto"/>
          <w:sz w:val="24"/>
          <w:szCs w:val="24"/>
          <w:highlight w:val="none"/>
          <w:u w:val="single"/>
        </w:rPr>
        <w:t>）的苗木养护期为</w:t>
      </w:r>
      <w:r>
        <w:rPr>
          <w:rFonts w:ascii="宋体" w:hAnsi="宋体" w:cs="宋体"/>
          <w:color w:val="auto"/>
          <w:sz w:val="24"/>
          <w:szCs w:val="24"/>
          <w:highlight w:val="none"/>
          <w:u w:val="single"/>
        </w:rPr>
        <w:t>3个月，胸径15cm</w:t>
      </w:r>
      <w:r>
        <w:rPr>
          <w:rFonts w:hint="eastAsia" w:ascii="宋体" w:hAnsi="宋体" w:cs="宋体"/>
          <w:color w:val="auto"/>
          <w:sz w:val="24"/>
          <w:szCs w:val="24"/>
          <w:highlight w:val="none"/>
          <w:u w:val="single"/>
        </w:rPr>
        <w:t>以上的苗木养护期为</w:t>
      </w:r>
      <w:r>
        <w:rPr>
          <w:rFonts w:ascii="宋体" w:hAnsi="宋体" w:cs="宋体"/>
          <w:color w:val="auto"/>
          <w:sz w:val="24"/>
          <w:szCs w:val="24"/>
          <w:highlight w:val="none"/>
          <w:u w:val="single"/>
        </w:rPr>
        <w:t>1年</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9、</w:t>
      </w:r>
      <w:r>
        <w:rPr>
          <w:rFonts w:hint="eastAsia" w:ascii="宋体" w:hAnsi="宋体" w:cs="宋体"/>
          <w:color w:val="auto"/>
          <w:sz w:val="24"/>
          <w:szCs w:val="24"/>
          <w:highlight w:val="none"/>
          <w:u w:val="single"/>
        </w:rPr>
        <w:t>除上述专业工程外其它工程的质量缺陷责任期按相关规定或经双方另行协商确定</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本工程质量缺陷责任期从广州开发区管委会或其相关职能部门批准的提前移交之日或者正式通过竣工验收之日（以先发生日期为准）算起。缺陷责任期内，由承包人原因造成的缺陷，承包人应负责维修，并承担鉴定及维修费用。如承包人不维修也不承担费用，发包人可按合同约定扣除质量保修金，并由承包人承担违约责任。承包人维修并承担相应费用后，不免除对工程的一般损失赔偿责任</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47.11</w:t>
      </w:r>
      <w:r>
        <w:rPr>
          <w:rFonts w:hint="eastAsia" w:ascii="宋体" w:hAnsi="宋体" w:cs="宋体"/>
          <w:color w:val="auto"/>
          <w:sz w:val="24"/>
          <w:szCs w:val="24"/>
          <w:highlight w:val="none"/>
          <w:u w:val="single"/>
        </w:rPr>
        <w:t>本工程的保修期按本合同《工程质量保修责任书》规定的保修期限实行。在保修期内因施工质量而造成返修，其费用由承包人负责。工程质量按市政工程现行验评标准组织验收认定</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47.12施工现场生活区应设置信息公示栏，每月10日前将上月作业工人考勤和工资结算和支付信息在信息公示栏进行公示，公示期不少于5天。</w:t>
      </w:r>
    </w:p>
    <w:p>
      <w:pPr>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w:t>
      </w:r>
      <w:r>
        <w:rPr>
          <w:rFonts w:hint="eastAsia" w:ascii="宋体" w:hAnsi="宋体" w:cs="宋体"/>
          <w:b/>
          <w:color w:val="auto"/>
          <w:sz w:val="24"/>
          <w:szCs w:val="24"/>
          <w:highlight w:val="none"/>
        </w:rPr>
        <w:t>农民工佣工要求</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47.13</w:t>
      </w:r>
      <w:r>
        <w:rPr>
          <w:rFonts w:hint="eastAsia" w:ascii="宋体" w:hAnsi="宋体" w:cs="宋体"/>
          <w:color w:val="auto"/>
          <w:sz w:val="24"/>
          <w:szCs w:val="24"/>
          <w:highlight w:val="none"/>
          <w:u w:val="single"/>
        </w:rPr>
        <w:t>承包人必须按照穗开规『</w:t>
      </w:r>
      <w:r>
        <w:rPr>
          <w:rFonts w:ascii="宋体" w:hAnsi="宋体" w:cs="宋体"/>
          <w:color w:val="auto"/>
          <w:sz w:val="24"/>
          <w:szCs w:val="24"/>
          <w:highlight w:val="none"/>
          <w:u w:val="single"/>
        </w:rPr>
        <w:t>2004』58号文的有关要求及规定优先使用广州开发区的农民工</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47.14</w:t>
      </w:r>
      <w:r>
        <w:rPr>
          <w:rFonts w:hint="eastAsia" w:ascii="宋体" w:hAnsi="宋体" w:cs="宋体"/>
          <w:color w:val="auto"/>
          <w:sz w:val="24"/>
          <w:szCs w:val="24"/>
          <w:highlight w:val="none"/>
          <w:u w:val="single"/>
        </w:rPr>
        <w:t>承包人必须严格执行穗开纪</w:t>
      </w:r>
      <w:r>
        <w:rPr>
          <w:rFonts w:ascii="宋体" w:hAnsi="宋体" w:cs="宋体"/>
          <w:color w:val="auto"/>
          <w:sz w:val="24"/>
          <w:szCs w:val="24"/>
          <w:highlight w:val="none"/>
          <w:u w:val="single"/>
        </w:rPr>
        <w:t>[2005]10号文的规定和要求，在本工程施工中使用劳工时，一律由承包人签订用工合同，建立工资直接支付制度，承包人每月按时发放劳工工资，自觉接受发包人和主管部门的监督，不论何种原因决不拖欠或克扣劳工工资。否则，可由员工代表知会有关部门，或拨打投诉电话。承包人必须将上述内容在本工程开工的十日内向全体员工张榜公开。如承包人违约，发包人有权解除合同，并追究承包人由此给发包人造成的一切损失</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47.15</w:t>
      </w:r>
      <w:r>
        <w:rPr>
          <w:rFonts w:hint="eastAsia" w:ascii="宋体" w:hAnsi="宋体" w:cs="宋体"/>
          <w:color w:val="auto"/>
          <w:sz w:val="24"/>
          <w:szCs w:val="24"/>
          <w:highlight w:val="none"/>
          <w:u w:val="single"/>
        </w:rPr>
        <w:t>承包人应按照《广州市住房和城乡建设委员会关于印发</w:t>
      </w:r>
      <w:r>
        <w:rPr>
          <w:rFonts w:ascii="宋体" w:hAnsi="宋体" w:cs="宋体"/>
          <w:color w:val="auto"/>
          <w:sz w:val="24"/>
          <w:szCs w:val="24"/>
          <w:highlight w:val="none"/>
          <w:u w:val="single"/>
        </w:rPr>
        <w:t>&lt;广州市建筑施工实名制管理办法&gt;的通知》（穗建规字[2017]4号）、《关于印发广州市建设领域工人工资支付分帐管理实施细则的通知》（穗建规字[2020]37号）、《广州市根治拖欠农民工工资工作领导小组办公室关于广州市建设领域工程项目全面实施农民工工资总包代发制度的通知》及广州市黄埔区、开发区对应出台的相关文件规定办理建筑工地实名制管理和工人工资支付分帐管理事宜；防止出现拖欠工人工资情况。承包人违法转包、分包工程的或其他承包人原因导致相应工程出现拖欠工人工资情况的，承包人对拖欠工人工资承担清偿责任，对此引起的纠纷负全责，造成</w:t>
      </w:r>
      <w:r>
        <w:rPr>
          <w:rFonts w:hint="eastAsia" w:ascii="宋体" w:hAnsi="宋体" w:cs="宋体"/>
          <w:color w:val="auto"/>
          <w:sz w:val="24"/>
          <w:szCs w:val="24"/>
          <w:highlight w:val="none"/>
          <w:u w:val="single"/>
        </w:rPr>
        <w:t>发包人损失（包括但不限于发包人因此而支付的赔偿款、律师费、诉讼费、保全费、公证费、鉴定费等）的，承包人须承担全部责任。</w:t>
      </w:r>
    </w:p>
    <w:p>
      <w:pPr>
        <w:spacing w:line="440" w:lineRule="exact"/>
        <w:ind w:firstLine="480" w:firstLineChars="200"/>
        <w:rPr>
          <w:rFonts w:ascii="宋体" w:hAnsi="宋体" w:cs="宋体"/>
          <w:b/>
          <w:color w:val="auto"/>
          <w:sz w:val="24"/>
          <w:szCs w:val="24"/>
          <w:highlight w:val="none"/>
        </w:rPr>
      </w:pPr>
      <w:r>
        <w:rPr>
          <w:rFonts w:ascii="宋体" w:hAnsi="宋体" w:cs="宋体"/>
          <w:color w:val="auto"/>
          <w:sz w:val="24"/>
          <w:szCs w:val="24"/>
          <w:highlight w:val="none"/>
        </w:rPr>
        <w:t>47.16</w:t>
      </w:r>
      <w:r>
        <w:rPr>
          <w:rFonts w:hint="eastAsia" w:ascii="宋体" w:hAnsi="宋体" w:cs="宋体"/>
          <w:color w:val="auto"/>
          <w:sz w:val="24"/>
          <w:szCs w:val="24"/>
          <w:highlight w:val="none"/>
          <w:u w:val="single"/>
        </w:rPr>
        <w:t>若承包人在本工程内发生无故拖欠农民工工资现象，将被作不良记录，上报区建设行政主管部门</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若承包人转包或者违法分包造成拖欠工人工资的，除上报区建设行政主管部门外，还将提请省建设行业主管部门禁止在广东省行政区域范围内承包工程。</w:t>
      </w:r>
    </w:p>
    <w:p>
      <w:pPr>
        <w:snapToGrid w:val="0"/>
        <w:spacing w:line="440" w:lineRule="exact"/>
        <w:ind w:firstLine="48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b/>
          <w:color w:val="auto"/>
          <w:sz w:val="24"/>
          <w:szCs w:val="24"/>
          <w:highlight w:val="none"/>
        </w:rPr>
        <w:t>项目管理机构人员、机械设备、劳动力到位方面的要求</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47.17</w:t>
      </w:r>
      <w:r>
        <w:rPr>
          <w:rFonts w:hint="eastAsia" w:ascii="宋体" w:hAnsi="宋体" w:cs="宋体"/>
          <w:color w:val="auto"/>
          <w:sz w:val="24"/>
          <w:szCs w:val="24"/>
          <w:highlight w:val="none"/>
          <w:u w:val="single"/>
        </w:rPr>
        <w:t>合同签订后，项目负责人、项目班子主要成员不到位，则工程师不签发开工令，工期不顺延。施工中班子主要成员离开工地应向工程师请假，经批准后才能离开，擅自离开工地，工程师将发出停工令，待人员回到岗位后才批准复工，由此产生的工期和经济损失由承包人自负，造成发包人和建设管理方损失的，发包人和建设管理方保留索赔的权利</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47.18</w:t>
      </w:r>
      <w:r>
        <w:rPr>
          <w:rFonts w:hint="eastAsia" w:ascii="宋体" w:hAnsi="宋体" w:cs="宋体"/>
          <w:color w:val="auto"/>
          <w:sz w:val="24"/>
          <w:szCs w:val="24"/>
          <w:highlight w:val="none"/>
          <w:u w:val="single"/>
        </w:rPr>
        <w:t>尽管承包人已按投标文件附表中所列的数量派遣了各类管理人员，但若监理工程师经论证认为这些人员仍不足以适应现场施工的需要且不能保证工程质量时，监理工程师有权要求承包人继续增派或雇佣这类人员，并书面通知承包人和抄送发包人。承包人在接到上述通知后应立即执行监理工程师的上述指示，不得无故拖延</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47.19</w:t>
      </w:r>
      <w:r>
        <w:rPr>
          <w:rFonts w:hint="eastAsia" w:ascii="宋体" w:hAnsi="宋体" w:cs="宋体"/>
          <w:color w:val="auto"/>
          <w:sz w:val="24"/>
          <w:szCs w:val="24"/>
          <w:highlight w:val="none"/>
          <w:u w:val="single"/>
        </w:rPr>
        <w:t>现场施工时，施工员（技术员）不在施工现场不得施工，否则发包人可随时要求停工，工期延误由承包人负责</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47.20</w:t>
      </w:r>
      <w:r>
        <w:rPr>
          <w:rFonts w:hint="eastAsia" w:ascii="宋体" w:hAnsi="宋体" w:cs="宋体"/>
          <w:color w:val="auto"/>
          <w:sz w:val="24"/>
          <w:szCs w:val="24"/>
          <w:highlight w:val="none"/>
          <w:u w:val="single"/>
        </w:rPr>
        <w:t>承包人派往现场的管理人员若因不负责任、或玩忽职守、或严重失职等给发包人造成经济损失，承包人承担相应的经济责任和连带法律责任</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b/>
          <w:color w:val="auto"/>
          <w:sz w:val="24"/>
          <w:szCs w:val="24"/>
          <w:highlight w:val="none"/>
        </w:rPr>
        <w:t>投标报价及造价承包和变更结算方式的要求</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47.21</w:t>
      </w:r>
      <w:r>
        <w:rPr>
          <w:rFonts w:hint="eastAsia" w:ascii="宋体" w:hAnsi="宋体" w:cs="宋体"/>
          <w:color w:val="auto"/>
          <w:sz w:val="24"/>
          <w:szCs w:val="24"/>
          <w:highlight w:val="none"/>
          <w:u w:val="single"/>
        </w:rPr>
        <w:t>工程量清单报价中有关问题的说明：</w:t>
      </w:r>
    </w:p>
    <w:p>
      <w:pPr>
        <w:spacing w:line="44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①工程量清单中的标志杆基础中的土方开挖、运输、外运等费用包含在相应项目中，不包含在土石方工程的相关项目中。</w:t>
      </w:r>
    </w:p>
    <w:p>
      <w:pPr>
        <w:spacing w:line="44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②场地平整单位工程中的土方单价，参照《广州开发区、萝岗区财政投资土地平整工程实施细则》（穗开环建〔2012〕197 号）及广州开发区管委会办公室《关于调整我区土地平整项目土方单价的复函》（穗开内收〔2016〕58 号）设置最高限价：（1）土地平整综合单价按 3 公里内 13.2 元/立方米进行控制，运距超出 3 公里后每增加 1 公里运距的运土综合单价为 2.14 元/立方米，运距最高计算至 15 公里，若选定的弃土点超岀该地块 15 公里范围之外的，仍按 15 公里计算的综合单价 38.88 元/立方米包干。此综合单价包含挖填、运输、推平、压实、地块内清表、临时排水、临时道路、修坡工程费用及措施费、规费、税金。在项目实施过程中，如果上级部门重新出具新的土方限价文件，则在相应实施期按照相应文件对土方单价进行计取。（2）场地平整单位工程内的石方工程，距离厂房、民 房、桥梁及高速公路等建、构筑物 50 米范围内的控制爆破炸石综合单价按 70 元/立方米进行控制，50 米至 300 米范围内的控制爆破炸石综合单价按 60元/立方米进行控制；在高压线（1 万伏以上供电线路）周围 300 米范围内控制爆破炸石综合单价按 70 元/ 立方米进行控制，在高压线（1 万伏以上供电线路）周围 300 至 500 米范围内控制爆破 炸石综合单价按 60 元</w:t>
      </w:r>
    </w:p>
    <w:p>
      <w:pPr>
        <w:spacing w:line="44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 xml:space="preserve">/立方米进行控制，其他范围内的炸石综合单价按 40 元/立方米进行控制，此综合单价包含挖土露石、炸石及土石方清运等综合费用，石方工程量按爆破前的天然密实体积计算。（因清表、树木砍伐和地上附着物的清理及土方工程中不能利用产生的余泥渣土排放由承包人按照有关规定进行外运，费用不另行计算）；石方工程单位工程内的石方静力爆破综合单价按 </w:t>
      </w:r>
      <w:r>
        <w:rPr>
          <w:rFonts w:hint="eastAsia" w:ascii="宋体" w:hAnsi="宋体" w:cs="宋体"/>
          <w:color w:val="auto"/>
          <w:sz w:val="24"/>
          <w:szCs w:val="24"/>
          <w:highlight w:val="none"/>
          <w:u w:val="single"/>
          <w:lang w:val="en-US" w:eastAsia="zh-CN"/>
        </w:rPr>
        <w:t>176.58</w:t>
      </w:r>
      <w:r>
        <w:rPr>
          <w:rFonts w:hint="eastAsia" w:ascii="宋体" w:hAnsi="宋体" w:cs="宋体"/>
          <w:color w:val="auto"/>
          <w:sz w:val="24"/>
          <w:szCs w:val="24"/>
          <w:highlight w:val="none"/>
          <w:u w:val="single"/>
        </w:rPr>
        <w:t xml:space="preserve"> 元／立方米进行控制，此综合单价包含挖土露石、炸石及土石方清运及措施费、预算包干费、税金等综合费用。（3）其他单位工程中：土方的挖运单价按定额计算，土方的弃运距离暂按 15 公里内考虑，超过 15 公里按 15 公里计算，结算时按招标人确认的实际运距计算,实际运距超过 15 公里时，按 15 公里包干。（4）在项目实施过程中，如果区政府、管委会重新修订了新的土方平整工程土石方限价文件，则按新的文件执行。</w:t>
      </w:r>
    </w:p>
    <w:p>
      <w:pPr>
        <w:spacing w:line="44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③工程量清单中措施项目清单费计价表中的绿色施工安全防护措施费执行《广东省住房和城乡建设厅关于印发&lt;广东省建设工程计价依据（2018)&gt;的通知》（穗建市〔2019〕6 号）文，绿色施工安全防护措施费按发包人公布的本工程招标控制价中的绿色施工安全防护措施费计取，作为非竞争费用，在投标报价中单列，不参与投标竞价，该费用从工程施工中标价中提取，专款专用。</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47.22</w:t>
      </w:r>
      <w:r>
        <w:rPr>
          <w:rFonts w:hint="eastAsia" w:ascii="宋体" w:hAnsi="宋体" w:cs="宋体"/>
          <w:color w:val="auto"/>
          <w:sz w:val="24"/>
          <w:szCs w:val="24"/>
          <w:highlight w:val="none"/>
          <w:u w:val="single"/>
        </w:rPr>
        <w:t>本工程承包人通过现场考察，提出具体施工方案，无论在工程施工期间或是在质量保修期内，若因施工而引起的一切索赔、赔偿、诉讼费用和其他开支，由承包人承担全部责任。该项费用在措施项目费中设有独立单项项目，该费用包干使用（施工围蔽费用除外），且承包人不得以任何理由要求发包人另行增加该部分费用（承包人要充分考虑最不利因素影响而采用的施工方案所需的费用）</w:t>
      </w:r>
      <w:r>
        <w:rPr>
          <w:rFonts w:hint="eastAsia" w:ascii="宋体" w:hAnsi="宋体" w:cs="宋体"/>
          <w:color w:val="auto"/>
          <w:sz w:val="24"/>
          <w:szCs w:val="24"/>
          <w:highlight w:val="none"/>
        </w:rPr>
        <w:t>。</w:t>
      </w:r>
    </w:p>
    <w:p>
      <w:pPr>
        <w:pBdr>
          <w:top w:val="single" w:color="auto" w:sz="4" w:space="1"/>
          <w:bottom w:val="single" w:color="auto" w:sz="6" w:space="1"/>
        </w:pBd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47.23</w:t>
      </w:r>
      <w:r>
        <w:rPr>
          <w:rFonts w:hint="eastAsia" w:ascii="宋体" w:hAnsi="宋体" w:cs="宋体"/>
          <w:color w:val="auto"/>
          <w:sz w:val="24"/>
          <w:szCs w:val="24"/>
          <w:highlight w:val="none"/>
          <w:u w:val="single"/>
        </w:rPr>
        <w:t>承包人应结合本工程招标内容对现场进行充分的调查，充分考虑工程招标内容及施工组织方案，承包单位应与相关管理部门（如铁路管理部门）协商，取得同意协调，按要求完成工程招标内容，工程及相关费用包含在合同价中，不另行计费。如果承包人不及时按要求完成，发包人可以另行委托实施，发包人按实际发生的费用在工程款中扣除，承包人不得有任何异议。</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47.24</w:t>
      </w:r>
      <w:r>
        <w:rPr>
          <w:rFonts w:hint="eastAsia" w:ascii="宋体" w:hAnsi="宋体" w:cs="宋体"/>
          <w:color w:val="auto"/>
          <w:sz w:val="24"/>
          <w:szCs w:val="24"/>
          <w:highlight w:val="none"/>
          <w:u w:val="single"/>
        </w:rPr>
        <w:t>承包人应根据区相关主管部门批复的水土保持实施方案及相关规定完成本工程的水土保持工作，承担防止水土流失职责，相关费用包含在合同价中，不另行计费。如果承包人不及时按要求完成上述工作，发包人可以另行委托实施，发包人按实际发生的费用在工程款中扣除，承包人不得有任何异议。</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47.25</w:t>
      </w:r>
      <w:r>
        <w:rPr>
          <w:rFonts w:hint="eastAsia" w:ascii="宋体" w:hAnsi="宋体" w:cs="宋体"/>
          <w:color w:val="auto"/>
          <w:sz w:val="24"/>
          <w:szCs w:val="24"/>
          <w:highlight w:val="none"/>
          <w:u w:val="single"/>
        </w:rPr>
        <w:t>承包人应使用绿色生产达标企业生产的混凝土，若不遵守承诺，自愿按不履行合同约定处理。</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47.26</w:t>
      </w:r>
      <w:r>
        <w:rPr>
          <w:rFonts w:hint="eastAsia" w:ascii="宋体" w:hAnsi="宋体" w:cs="宋体"/>
          <w:color w:val="auto"/>
          <w:sz w:val="24"/>
          <w:szCs w:val="24"/>
          <w:highlight w:val="none"/>
          <w:u w:val="single"/>
        </w:rPr>
        <w:t>承包人人应按有关规定协助发包人完成公共排水设施竣工图纸备案工作。</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47.27</w:t>
      </w:r>
      <w:r>
        <w:rPr>
          <w:rFonts w:hint="eastAsia" w:ascii="宋体" w:hAnsi="宋体" w:cs="宋体"/>
          <w:color w:val="auto"/>
          <w:sz w:val="24"/>
          <w:szCs w:val="24"/>
          <w:highlight w:val="none"/>
          <w:u w:val="single"/>
        </w:rPr>
        <w:t>在整个合同执行期间发包人如发现有不合理投标报价的，发包人有权按有关规定和合同约定进行调整，并将书面通知承包人，并以此作为结算依据</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47.28</w:t>
      </w:r>
      <w:r>
        <w:rPr>
          <w:rFonts w:hint="eastAsia" w:ascii="宋体" w:hAnsi="宋体" w:cs="宋体"/>
          <w:color w:val="auto"/>
          <w:sz w:val="24"/>
          <w:szCs w:val="24"/>
          <w:highlight w:val="none"/>
          <w:u w:val="single"/>
        </w:rPr>
        <w:t>所有材料品牌选择均须报发包人、监理工程师确认，且经检验合格后方能使用。</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47.29</w:t>
      </w:r>
      <w:r>
        <w:rPr>
          <w:rFonts w:hint="eastAsia" w:ascii="宋体" w:hAnsi="宋体" w:cs="宋体"/>
          <w:color w:val="auto"/>
          <w:sz w:val="24"/>
          <w:szCs w:val="24"/>
          <w:highlight w:val="none"/>
          <w:u w:val="single"/>
        </w:rPr>
        <w:t>在本工程实施过程中，若与其他工程发生重叠情况或因征地拆迁问题而无法实施的工程，发包人有权取消重叠部分及无法实施部分的工程量，并按照减少的工程量扣除相应的工程款，承包人不得有异议。另外，由于前述原因造成的工程损失，发包人不予赔偿</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47.30</w:t>
      </w:r>
      <w:r>
        <w:rPr>
          <w:rFonts w:hint="eastAsia" w:ascii="宋体" w:hAnsi="宋体" w:cs="宋体"/>
          <w:color w:val="auto"/>
          <w:sz w:val="24"/>
          <w:szCs w:val="24"/>
          <w:highlight w:val="none"/>
          <w:u w:val="single"/>
        </w:rPr>
        <w:t>在承包人严重违约、不可抗力或政府政策性调整情况下或根据工程实施实际情况，发包人可对本合同承包范围和承包内容进行调整，发包人对承包人的损失不予补偿（本合同其他条款约定可进行造价调整的除外）</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47.31</w:t>
      </w:r>
      <w:r>
        <w:rPr>
          <w:rFonts w:hint="eastAsia" w:ascii="宋体" w:hAnsi="宋体" w:cs="宋体"/>
          <w:color w:val="auto"/>
          <w:sz w:val="24"/>
          <w:szCs w:val="24"/>
          <w:highlight w:val="none"/>
          <w:u w:val="single"/>
        </w:rPr>
        <w:t>承包人须按照发包人与监理人签订的委托监理合同接受监理人的全过程监理</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47.32</w:t>
      </w:r>
      <w:r>
        <w:rPr>
          <w:rFonts w:hint="eastAsia" w:ascii="宋体" w:hAnsi="宋体" w:cs="宋体"/>
          <w:color w:val="auto"/>
          <w:sz w:val="24"/>
          <w:szCs w:val="24"/>
          <w:highlight w:val="none"/>
          <w:u w:val="single"/>
        </w:rPr>
        <w:t>如广州开发区、黄埔区对工程竣工验收及备案有相关规定，则本合同执行该规定</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47.33</w:t>
      </w:r>
      <w:r>
        <w:rPr>
          <w:rFonts w:hint="eastAsia" w:ascii="宋体" w:hAnsi="宋体" w:cs="宋体"/>
          <w:color w:val="auto"/>
          <w:sz w:val="24"/>
          <w:szCs w:val="24"/>
          <w:highlight w:val="none"/>
          <w:u w:val="single"/>
        </w:rPr>
        <w:t>如果审计机关依法对本工程实施审计，发包人、承包人及监理单位应积极配合</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47.34</w:t>
      </w:r>
      <w:r>
        <w:rPr>
          <w:rFonts w:hint="eastAsia" w:ascii="宋体" w:hAnsi="宋体" w:cs="宋体"/>
          <w:color w:val="auto"/>
          <w:sz w:val="24"/>
          <w:szCs w:val="24"/>
          <w:highlight w:val="none"/>
          <w:u w:val="single"/>
        </w:rPr>
        <w:t>本合同在实施过程中所发生的文件来往，双方不得拒绝签收。如果发生类似事件，发文一方可以监理工程师签收为准，视为送达</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47.35</w:t>
      </w:r>
      <w:r>
        <w:rPr>
          <w:rFonts w:hint="eastAsia" w:ascii="宋体" w:hAnsi="宋体" w:cs="宋体"/>
          <w:color w:val="auto"/>
          <w:sz w:val="24"/>
          <w:szCs w:val="24"/>
          <w:highlight w:val="none"/>
          <w:u w:val="single"/>
        </w:rPr>
        <w:t>关于现场文件送达后的时效约定：如果涉及到安全、质量、工期（或进度）、经济、技术方案等的报审文件，在发往现场项目部的同时，抄送一份给对方公司，按约定的时效执行；如果属于一般性文件，就直接发往对方现场项目部，项目部如果在约定的时效内未作答复，发文一方再追加一份给对方公司并重新约定答复时效，如果对方公司仍然没有答复，则按重新约定的时效执行</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47.36</w:t>
      </w:r>
      <w:r>
        <w:rPr>
          <w:rFonts w:hint="eastAsia" w:ascii="宋体" w:hAnsi="宋体" w:cs="宋体"/>
          <w:color w:val="auto"/>
          <w:sz w:val="24"/>
          <w:szCs w:val="24"/>
          <w:highlight w:val="none"/>
          <w:u w:val="single"/>
        </w:rPr>
        <w:t>在本合同实施过程中所发生的违约金、罚款、扣款等费用，经监理工程师核实并通知承包人后直接作为财务扣款依据（无需承包人签认或同意），可由发包人在履约担保中主张或在工程款中扣除，承包人对此无异议</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47.37</w:t>
      </w:r>
      <w:r>
        <w:rPr>
          <w:rFonts w:hint="eastAsia" w:ascii="宋体" w:hAnsi="宋体" w:cs="宋体"/>
          <w:color w:val="auto"/>
          <w:sz w:val="24"/>
          <w:szCs w:val="24"/>
          <w:highlight w:val="none"/>
          <w:u w:val="single"/>
        </w:rPr>
        <w:t>承包人施工过程中不得侵犯他人的专利权或者其他合法权益，否则由承包人承担相关责任，并保证不因该侵权行为影响工程建设</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47.38</w:t>
      </w:r>
      <w:r>
        <w:rPr>
          <w:rFonts w:hint="eastAsia" w:ascii="宋体" w:hAnsi="宋体" w:cs="宋体"/>
          <w:color w:val="auto"/>
          <w:sz w:val="24"/>
          <w:szCs w:val="24"/>
          <w:highlight w:val="none"/>
          <w:u w:val="single"/>
        </w:rPr>
        <w:t>承包人与发包人签订合同时所提供的开户银行名称及帐号不得擅自变更，如需变更必须征得发包人的书面同意，否则发包人有权停止工程款的拨付，所造成的一切后果由承包人承担</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47.39</w:t>
      </w:r>
      <w:r>
        <w:rPr>
          <w:rFonts w:hint="eastAsia" w:ascii="宋体" w:hAnsi="宋体" w:cs="宋体"/>
          <w:color w:val="auto"/>
          <w:sz w:val="24"/>
          <w:szCs w:val="24"/>
          <w:highlight w:val="none"/>
          <w:u w:val="single"/>
        </w:rPr>
        <w:t>如发包人为本工程的代建单位，则本工程建设业主同时享有本合同项下属发包人的权利，并且合同中约定需发包人审批的事项，必须经建设业主审批同意后方可实施</w:t>
      </w:r>
      <w:r>
        <w:rPr>
          <w:rFonts w:hint="eastAsia" w:ascii="宋体" w:hAnsi="宋体" w:cs="宋体"/>
          <w:color w:val="auto"/>
          <w:sz w:val="24"/>
          <w:szCs w:val="24"/>
          <w:highlight w:val="none"/>
        </w:rPr>
        <w:t>。</w:t>
      </w:r>
    </w:p>
    <w:p>
      <w:pPr>
        <w:spacing w:line="440" w:lineRule="exact"/>
        <w:ind w:firstLine="480" w:firstLineChars="200"/>
        <w:rPr>
          <w:rFonts w:ascii="宋体" w:hAnsi="宋体" w:cs="宋体"/>
          <w:i/>
          <w:color w:val="auto"/>
          <w:sz w:val="24"/>
          <w:szCs w:val="24"/>
          <w:highlight w:val="none"/>
        </w:rPr>
      </w:pPr>
      <w:r>
        <w:rPr>
          <w:rFonts w:ascii="宋体" w:hAnsi="宋体" w:cs="宋体"/>
          <w:color w:val="auto"/>
          <w:sz w:val="24"/>
          <w:szCs w:val="24"/>
          <w:highlight w:val="none"/>
        </w:rPr>
        <w:t>47.40</w:t>
      </w:r>
      <w:r>
        <w:rPr>
          <w:rFonts w:hint="eastAsia" w:ascii="宋体" w:hAnsi="宋体" w:cs="宋体"/>
          <w:color w:val="auto"/>
          <w:sz w:val="24"/>
          <w:szCs w:val="24"/>
          <w:highlight w:val="none"/>
          <w:u w:val="single"/>
        </w:rPr>
        <w:t>《广州开发区财政投资建设项目管理中心</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绿化景观工程计量管理办法》将作为合同附件，各相关单位须遵照执行</w:t>
      </w:r>
      <w:r>
        <w:rPr>
          <w:rFonts w:hint="eastAsia" w:ascii="宋体" w:hAnsi="宋体" w:cs="宋体"/>
          <w:color w:val="auto"/>
          <w:sz w:val="24"/>
          <w:szCs w:val="24"/>
          <w:highlight w:val="none"/>
        </w:rPr>
        <w:t>。</w:t>
      </w:r>
      <w:r>
        <w:rPr>
          <w:rFonts w:ascii="宋体" w:hAnsi="宋体" w:cs="宋体"/>
          <w:i/>
          <w:color w:val="auto"/>
          <w:sz w:val="24"/>
          <w:szCs w:val="24"/>
          <w:highlight w:val="none"/>
        </w:rPr>
        <w:t>(</w:t>
      </w:r>
      <w:r>
        <w:rPr>
          <w:rFonts w:hint="eastAsia" w:ascii="宋体" w:hAnsi="宋体" w:cs="宋体"/>
          <w:i/>
          <w:color w:val="auto"/>
          <w:sz w:val="24"/>
          <w:szCs w:val="24"/>
          <w:highlight w:val="none"/>
        </w:rPr>
        <w:t>注：该条款适用于绿化施工工程</w:t>
      </w:r>
      <w:r>
        <w:rPr>
          <w:rFonts w:ascii="宋体" w:hAnsi="宋体" w:cs="宋体"/>
          <w:i/>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47.41</w:t>
      </w:r>
      <w:r>
        <w:rPr>
          <w:rFonts w:hint="eastAsia" w:ascii="宋体" w:hAnsi="宋体" w:cs="宋体"/>
          <w:color w:val="auto"/>
          <w:sz w:val="24"/>
          <w:szCs w:val="24"/>
          <w:highlight w:val="none"/>
          <w:u w:val="single"/>
        </w:rPr>
        <w:t>工程获得国家、省级、市级所发奖项的，可给予通报表彰，但不给予任何物质奖励</w:t>
      </w:r>
      <w:r>
        <w:rPr>
          <w:rFonts w:hint="eastAsia" w:ascii="宋体" w:hAnsi="宋体" w:cs="宋体"/>
          <w:color w:val="auto"/>
          <w:sz w:val="24"/>
          <w:szCs w:val="24"/>
          <w:highlight w:val="non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47.42</w:t>
      </w:r>
      <w:r>
        <w:rPr>
          <w:rFonts w:hint="eastAsia" w:ascii="宋体" w:hAnsi="宋体" w:cs="宋体"/>
          <w:color w:val="auto"/>
          <w:sz w:val="24"/>
          <w:szCs w:val="24"/>
          <w:highlight w:val="none"/>
          <w:u w:val="single"/>
        </w:rPr>
        <w:t>如本合同需缴纳合同印花税，承包人需在有关税务部门规定期限及结清本合同费用前，代缴按规定属发包人缴纳的部分，代缴后发包人按代缴金额实报实销。承包人未按规定期限代缴印花税的，因此产生的滞纳金由承包人承担。</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47.43</w:t>
      </w:r>
      <w:r>
        <w:rPr>
          <w:rFonts w:hint="eastAsia" w:ascii="宋体" w:hAnsi="宋体" w:cs="宋体"/>
          <w:color w:val="auto"/>
          <w:sz w:val="24"/>
          <w:szCs w:val="24"/>
          <w:highlight w:val="none"/>
          <w:u w:val="single"/>
        </w:rPr>
        <w:t>如承包人为联合体的，本合同由联合体的主办方负责签订。并由联合体主办方负责开具合同价款全额发票、收取合同款项，联合体主办方收取合同款项后由联合体各方自行分配相应款项，或由联合体各方负责开具其对应价款的全额发票，具体分配事宜与发包人无关。</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47.44</w:t>
      </w:r>
      <w:r>
        <w:rPr>
          <w:rFonts w:hint="eastAsia" w:ascii="宋体" w:hAnsi="宋体" w:cs="宋体"/>
          <w:color w:val="auto"/>
          <w:sz w:val="24"/>
          <w:szCs w:val="24"/>
          <w:highlight w:val="none"/>
          <w:u w:val="single"/>
        </w:rPr>
        <w:t>如承包人及承包人的项目负责人存在因与工程项目施工相关的车辆运输而被最高人民法院在“信用中国”网站或各级信用信息共享平台中列入失信被执行人名单或被交通运输行政主管部门在“信用交通”网站列入严重违法超限超载运输失信当事人名单或被工商行政管理机关在全国企业信用信息公示系统中列入严重违法失信企业名单或被黄埔区、广州开发区公安、城管、住建、交通、水务、规自等部门列入黑名单、不良行为记录（处罚有效期内）的，经发包人核实，发包人有权终止合同。</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47.45</w:t>
      </w:r>
      <w:r>
        <w:rPr>
          <w:rFonts w:hint="eastAsia" w:ascii="宋体" w:hAnsi="宋体" w:cs="宋体"/>
          <w:color w:val="auto"/>
          <w:sz w:val="24"/>
          <w:szCs w:val="24"/>
          <w:highlight w:val="none"/>
          <w:u w:val="single"/>
        </w:rPr>
        <w:t>如承包人将工程施工过程中产生的土石方、建筑垃圾及施工过程中使用的建筑材料、设备等的运输委托给被最高人民法院在“信用中国”网站或各级信用信息共享平台中列入失信被执行人名单或被交通运输行政主管部门在“信用交通”网站列入严重违法超限超载运输失信当事人名单或被工商行政管理机关在全国企业信用信息公示系统中列入严重违法失信企业名单或被黄埔区、广州开发区公安、城管、住建、交通、水务、规自等部门列入黑名单、不良行为记录（处罚有效期内）的单位或个体经营者运输的，经发包人核实，发包人有权终止合同。</w:t>
      </w:r>
    </w:p>
    <w:p>
      <w:pPr>
        <w:spacing w:line="44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47.46开工前中标人应当投保安全生产责任保险，且该保险保障场所应包含中标项目。投标人的投标报价视为包含该项目费用。中标人未按规定购买安全生产责任保险，招标人可视严重程度拒绝该单位一定时期内参与后续工程投标。</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47.47</w:t>
      </w:r>
      <w:r>
        <w:rPr>
          <w:rFonts w:hint="eastAsia" w:ascii="宋体" w:hAnsi="宋体" w:cs="宋体"/>
          <w:color w:val="auto"/>
          <w:sz w:val="24"/>
          <w:szCs w:val="24"/>
          <w:highlight w:val="none"/>
          <w:u w:val="single"/>
        </w:rPr>
        <w:t xml:space="preserve"> 承包人在施工过程中应严格执行《城市绿化条例》、《广东省城市绿化条例》、《广州市绿化条例》、《广州市城市树木保护管理规定（试行）》（穗林业园林规字〔2022〕1号）等法规规定。不得破坏树木和树木立地生境，不得随意更改树木根颈处的地形标高。对可能影响绿地使用功能或树木正常生长的，应采取避让和保护措施。涉及树木周边环境施工时，承包人应对可能受损的树木采取保护措施，包括设立保护区域、使用保护物料包裹树干、设置临时支撑、定期检查树木健康状况等。工程建设应符合相关规划和标准，保证树木的生长空间。相关费用包含在合同价中，不另行计费。如果承包人不及时按要求完成，发包人可以另行委托实施，发包人按实际发生的费用在工程款中扣除，承包人不得有任何异议。</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 xml:space="preserve">47.48 </w:t>
      </w:r>
      <w:r>
        <w:rPr>
          <w:rFonts w:hint="eastAsia" w:ascii="宋体" w:hAnsi="宋体" w:cs="宋体"/>
          <w:color w:val="auto"/>
          <w:sz w:val="24"/>
          <w:szCs w:val="24"/>
          <w:highlight w:val="none"/>
          <w:u w:val="single"/>
        </w:rPr>
        <w:t>承包人应严格保护古树名木、古树后续资源、行道树、大树等树木，禁止擅自砍伐树木，禁止擅自迁移树木。如承包人未经批准擅自砍伐树木、损害绿化、损害树木及绿化保护设施的，发包人将上报绿化行政主管部门，视情节轻重给予相应处罚，构成犯罪的将依法移交相关机关追究刑事责任。</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47.49 承包人应切实遵守《中华人民共和国文物保护法》、《中华人民共和国文物保护法实施条例》、《广州市文物保护规定》等文物保护相关法律、法规规定，在工程施工前，协助发包人按规定履行文物保护相关审批手续，及配合相关单位完成考古调查、勘探相关工作。不得因施工发生损毁文物的情况。承包人应加强对其施工队伍及分包单位（如有）关于文物保护相关法律、法规的宣传教育，保证施工全过程不违反文物保护相关规定。如因承包人原因发生未履行文物考古调查、勘探等前置工作擅自开工建设的，由承包人承担全部法律责任，发包人将上报文物行政主管部门，视情节轻重给予相应处罚，构成犯罪的将依法移交相关机关追究刑事责任。</w:t>
      </w:r>
    </w:p>
    <w:p>
      <w:pPr>
        <w:spacing w:line="440" w:lineRule="exact"/>
        <w:ind w:firstLine="480" w:firstLineChars="200"/>
        <w:rPr>
          <w:rFonts w:ascii="宋体" w:hAnsi="宋体"/>
          <w:color w:val="auto"/>
          <w:szCs w:val="21"/>
          <w:highlight w:val="none"/>
          <w:u w:val="single"/>
        </w:rPr>
      </w:pPr>
      <w:r>
        <w:rPr>
          <w:rFonts w:ascii="宋体" w:hAnsi="宋体" w:cs="宋体"/>
          <w:color w:val="auto"/>
          <w:sz w:val="24"/>
          <w:szCs w:val="24"/>
          <w:highlight w:val="none"/>
          <w:u w:val="single"/>
        </w:rPr>
        <w:t xml:space="preserve">47.50 </w:t>
      </w:r>
      <w:r>
        <w:rPr>
          <w:rFonts w:hint="eastAsia" w:ascii="宋体" w:hAnsi="宋体" w:cs="宋体"/>
          <w:color w:val="auto"/>
          <w:sz w:val="24"/>
          <w:szCs w:val="24"/>
          <w:highlight w:val="none"/>
          <w:u w:val="single"/>
        </w:rPr>
        <w:t>未尽事宜，经双方友好协商解决。</w:t>
      </w:r>
    </w:p>
    <w:p>
      <w:pPr>
        <w:widowControl/>
        <w:jc w:val="left"/>
        <w:rPr>
          <w:rFonts w:ascii="宋体" w:hAnsi="宋体"/>
          <w:color w:val="auto"/>
          <w:szCs w:val="21"/>
          <w:highlight w:val="none"/>
          <w:u w:val="single"/>
        </w:rPr>
      </w:pPr>
      <w:r>
        <w:rPr>
          <w:rFonts w:ascii="宋体" w:hAnsi="宋体"/>
          <w:color w:val="auto"/>
          <w:szCs w:val="21"/>
          <w:highlight w:val="none"/>
          <w:u w:val="single"/>
        </w:rPr>
        <w:br w:type="page"/>
      </w:r>
    </w:p>
    <w:p>
      <w:pPr>
        <w:numPr>
          <w:ilvl w:val="0"/>
          <w:numId w:val="5"/>
        </w:numPr>
        <w:jc w:val="center"/>
        <w:rPr>
          <w:rFonts w:ascii="宋体" w:hAnsi="宋体" w:cs="宋体"/>
          <w:b/>
          <w:bCs/>
          <w:color w:val="auto"/>
          <w:sz w:val="28"/>
          <w:szCs w:val="28"/>
          <w:highlight w:val="none"/>
        </w:rPr>
      </w:pPr>
      <w:r>
        <w:rPr>
          <w:rFonts w:ascii="宋体" w:hAnsi="宋体" w:cs="宋体"/>
          <w:b/>
          <w:color w:val="auto"/>
          <w:sz w:val="28"/>
          <w:szCs w:val="28"/>
          <w:highlight w:val="none"/>
        </w:rPr>
        <w:t xml:space="preserve"> </w:t>
      </w:r>
      <w:r>
        <w:rPr>
          <w:rFonts w:hint="eastAsia" w:ascii="宋体" w:hAnsi="宋体" w:cs="宋体"/>
          <w:b/>
          <w:bCs/>
          <w:color w:val="auto"/>
          <w:sz w:val="28"/>
          <w:szCs w:val="28"/>
          <w:highlight w:val="none"/>
        </w:rPr>
        <w:t>绿化种植专篇</w:t>
      </w:r>
    </w:p>
    <w:p>
      <w:pPr>
        <w:spacing w:line="44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（本专篇适用于绿化建设项目、房建及道路配套绿化项目。）</w:t>
      </w:r>
    </w:p>
    <w:p>
      <w:pPr>
        <w:spacing w:line="440" w:lineRule="exact"/>
        <w:rPr>
          <w:rFonts w:ascii="宋体" w:hAnsi="宋体" w:cs="宋体"/>
          <w:color w:val="auto"/>
          <w:sz w:val="24"/>
          <w:szCs w:val="24"/>
          <w:highlight w:val="none"/>
        </w:rPr>
      </w:pPr>
    </w:p>
    <w:p>
      <w:pPr>
        <w:spacing w:line="440" w:lineRule="exac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发包人（甲方）：</w:t>
      </w:r>
      <w:r>
        <w:rPr>
          <w:rFonts w:hint="eastAsia" w:ascii="宋体" w:hAnsi="宋体" w:cs="宋体"/>
          <w:color w:val="auto"/>
          <w:sz w:val="24"/>
          <w:szCs w:val="24"/>
          <w:highlight w:val="none"/>
          <w:u w:val="single"/>
          <w:lang w:val="en-US" w:eastAsia="zh-CN"/>
        </w:rPr>
        <w:t xml:space="preserve">                       </w:t>
      </w:r>
    </w:p>
    <w:p>
      <w:pPr>
        <w:spacing w:line="440" w:lineRule="exact"/>
        <w:rPr>
          <w:rFonts w:ascii="宋体" w:hAnsi="宋体" w:cs="宋体"/>
          <w:color w:val="auto"/>
          <w:sz w:val="24"/>
          <w:szCs w:val="24"/>
          <w:highlight w:val="none"/>
        </w:rPr>
      </w:pPr>
      <w:r>
        <w:rPr>
          <w:rFonts w:hint="eastAsia" w:ascii="宋体" w:hAnsi="宋体" w:cs="宋体"/>
          <w:color w:val="auto"/>
          <w:sz w:val="24"/>
          <w:szCs w:val="24"/>
          <w:highlight w:val="none"/>
        </w:rPr>
        <w:t>承包人（乙方）：</w:t>
      </w:r>
      <w:r>
        <w:rPr>
          <w:rFonts w:ascii="宋体" w:hAnsi="宋体" w:cs="宋体"/>
          <w:color w:val="auto"/>
          <w:sz w:val="24"/>
          <w:szCs w:val="24"/>
          <w:highlight w:val="none"/>
          <w:u w:val="single"/>
        </w:rPr>
        <w:t xml:space="preserve">                    </w:t>
      </w:r>
    </w:p>
    <w:p>
      <w:pPr>
        <w:spacing w:line="4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为提高绿化苗木选取和种植苗木质量，加强科学绿化建设和管理，提升</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项目绿化种植和养护管理标准，制订本项目绿化种植专篇。</w:t>
      </w:r>
    </w:p>
    <w:p>
      <w:pPr>
        <w:spacing w:line="440" w:lineRule="exact"/>
        <w:ind w:firstLine="482" w:firstLineChars="200"/>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一、绿化种植、养护内容及范围</w:t>
      </w:r>
    </w:p>
    <w:p>
      <w:pPr>
        <w:spacing w:line="440" w:lineRule="exact"/>
        <w:ind w:firstLine="480" w:firstLineChars="200"/>
        <w:jc w:val="left"/>
        <w:rPr>
          <w:rFonts w:ascii="宋体" w:hAnsi="宋体" w:cs="宋体"/>
          <w:color w:val="auto"/>
          <w:kern w:val="0"/>
          <w:sz w:val="24"/>
          <w:szCs w:val="24"/>
          <w:highlight w:val="none"/>
        </w:rPr>
      </w:pPr>
      <w:r>
        <w:rPr>
          <w:rFonts w:ascii="宋体" w:hAnsi="宋体" w:cs="宋体"/>
          <w:color w:val="auto"/>
          <w:kern w:val="0"/>
          <w:sz w:val="24"/>
          <w:szCs w:val="24"/>
          <w:highlight w:val="none"/>
        </w:rPr>
        <w:t>1、本项目绿化工程</w:t>
      </w:r>
      <w:r>
        <w:rPr>
          <w:rFonts w:hint="eastAsia" w:ascii="宋体" w:hAnsi="宋体" w:cs="宋体"/>
          <w:color w:val="auto"/>
          <w:kern w:val="0"/>
          <w:sz w:val="24"/>
          <w:szCs w:val="24"/>
          <w:highlight w:val="none"/>
        </w:rPr>
        <w:t>范围：</w:t>
      </w:r>
      <w:r>
        <w:rPr>
          <w:rFonts w:ascii="宋体" w:hAnsi="宋体" w:cs="宋体"/>
          <w:color w:val="auto"/>
          <w:kern w:val="0"/>
          <w:sz w:val="24"/>
          <w:szCs w:val="24"/>
          <w:highlight w:val="none"/>
          <w:u w:val="single"/>
        </w:rPr>
        <w:t xml:space="preserve">  </w:t>
      </w:r>
      <w:r>
        <w:rPr>
          <w:rFonts w:hint="eastAsia" w:ascii="宋体" w:hAnsi="宋体" w:cs="宋体"/>
          <w:color w:val="auto"/>
          <w:sz w:val="24"/>
          <w:szCs w:val="24"/>
          <w:highlight w:val="none"/>
          <w:u w:val="single"/>
        </w:rPr>
        <w:t>本项目施工合同约定的承包范围内的全部绿化工程内容</w:t>
      </w:r>
      <w:r>
        <w:rPr>
          <w:rFonts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spacing w:after="120" w:line="440" w:lineRule="exact"/>
        <w:rPr>
          <w:rFonts w:ascii="宋体" w:hAnsi="宋体" w:cs="宋体"/>
          <w:color w:val="auto"/>
          <w:sz w:val="24"/>
          <w:szCs w:val="24"/>
          <w:highlight w:val="none"/>
        </w:rPr>
      </w:pPr>
      <w:r>
        <w:rPr>
          <w:rFonts w:ascii="宋体" w:hAnsi="宋体" w:cs="宋体"/>
          <w:color w:val="auto"/>
          <w:kern w:val="0"/>
          <w:sz w:val="24"/>
          <w:szCs w:val="24"/>
          <w:highlight w:val="none"/>
        </w:rPr>
        <w:t xml:space="preserve">    2、本项目《苗木供应清单》：详见本专篇附表</w:t>
      </w:r>
      <w:r>
        <w:rPr>
          <w:rFonts w:hint="eastAsia" w:ascii="宋体" w:hAnsi="宋体" w:cs="宋体"/>
          <w:color w:val="auto"/>
          <w:kern w:val="0"/>
          <w:sz w:val="24"/>
          <w:szCs w:val="24"/>
          <w:highlight w:val="none"/>
        </w:rPr>
        <w:t>。</w:t>
      </w:r>
    </w:p>
    <w:p>
      <w:pPr>
        <w:spacing w:line="440" w:lineRule="exact"/>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二、质量要求</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要求符合国家、省、市园林绿化规程、检评标准、相关要求及行业标准，包括但不限于以下：</w:t>
      </w:r>
      <w:r>
        <w:rPr>
          <w:rFonts w:ascii="宋体" w:hAnsi="宋体" w:cs="宋体"/>
          <w:color w:val="auto"/>
          <w:sz w:val="24"/>
          <w:szCs w:val="24"/>
          <w:highlight w:val="none"/>
        </w:rPr>
        <w:t xml:space="preserve"> </w:t>
      </w:r>
    </w:p>
    <w:p>
      <w:pPr>
        <w:spacing w:line="440" w:lineRule="exact"/>
        <w:ind w:firstLine="482" w:firstLineChars="200"/>
        <w:rPr>
          <w:rFonts w:ascii="宋体" w:hAnsi="宋体" w:cs="宋体"/>
          <w:b/>
          <w:bCs/>
          <w:color w:val="auto"/>
          <w:sz w:val="24"/>
          <w:szCs w:val="24"/>
          <w:highlight w:val="none"/>
        </w:rPr>
      </w:pPr>
      <w:r>
        <w:rPr>
          <w:rFonts w:ascii="宋体" w:hAnsi="宋体" w:cs="宋体"/>
          <w:b/>
          <w:bCs/>
          <w:color w:val="auto"/>
          <w:sz w:val="24"/>
          <w:szCs w:val="24"/>
          <w:highlight w:val="none"/>
        </w:rPr>
        <w:t xml:space="preserve">1、 </w:t>
      </w:r>
      <w:r>
        <w:rPr>
          <w:rFonts w:hint="eastAsia" w:ascii="宋体" w:hAnsi="宋体" w:cs="宋体"/>
          <w:b/>
          <w:bCs/>
          <w:color w:val="auto"/>
          <w:sz w:val="24"/>
          <w:szCs w:val="24"/>
          <w:highlight w:val="none"/>
        </w:rPr>
        <w:t>相关法律法规与政策文件</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《城市绿化条例》（</w:t>
      </w:r>
      <w:r>
        <w:rPr>
          <w:rFonts w:ascii="宋体" w:hAnsi="宋体" w:cs="宋体"/>
          <w:color w:val="auto"/>
          <w:sz w:val="24"/>
          <w:szCs w:val="24"/>
          <w:highlight w:val="none"/>
        </w:rPr>
        <w:t xml:space="preserve">2017 </w:t>
      </w:r>
      <w:r>
        <w:rPr>
          <w:rFonts w:hint="eastAsia" w:ascii="宋体" w:hAnsi="宋体" w:cs="宋体"/>
          <w:color w:val="auto"/>
          <w:sz w:val="24"/>
          <w:szCs w:val="24"/>
          <w:highlight w:val="none"/>
        </w:rPr>
        <w:t>年修订）；</w:t>
      </w:r>
    </w:p>
    <w:p>
      <w:pPr>
        <w:spacing w:after="120"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《广东省城市绿化条例》（</w:t>
      </w:r>
      <w:r>
        <w:rPr>
          <w:rFonts w:ascii="宋体" w:hAnsi="宋体" w:cs="宋体"/>
          <w:color w:val="auto"/>
          <w:sz w:val="24"/>
          <w:szCs w:val="24"/>
          <w:highlight w:val="none"/>
        </w:rPr>
        <w:t xml:space="preserve">2022 </w:t>
      </w:r>
      <w:r>
        <w:rPr>
          <w:rFonts w:hint="eastAsia" w:ascii="宋体" w:hAnsi="宋体" w:cs="宋体"/>
          <w:color w:val="auto"/>
          <w:sz w:val="24"/>
          <w:szCs w:val="24"/>
          <w:highlight w:val="none"/>
        </w:rPr>
        <w:t>年修订）</w:t>
      </w:r>
    </w:p>
    <w:p>
      <w:pPr>
        <w:spacing w:after="120"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《广州市绿化条例》（</w:t>
      </w:r>
      <w:r>
        <w:rPr>
          <w:rFonts w:ascii="宋体" w:hAnsi="宋体" w:cs="宋体"/>
          <w:color w:val="auto"/>
          <w:sz w:val="24"/>
          <w:szCs w:val="24"/>
          <w:highlight w:val="none"/>
        </w:rPr>
        <w:t xml:space="preserve">2022 </w:t>
      </w:r>
      <w:r>
        <w:rPr>
          <w:rFonts w:hint="eastAsia" w:ascii="宋体" w:hAnsi="宋体" w:cs="宋体"/>
          <w:color w:val="auto"/>
          <w:sz w:val="24"/>
          <w:szCs w:val="24"/>
          <w:highlight w:val="none"/>
        </w:rPr>
        <w:t>年修订）</w:t>
      </w:r>
    </w:p>
    <w:p>
      <w:pPr>
        <w:spacing w:after="120"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《国务院办公厅关于科学绿化的指导意见》（国办发〔</w:t>
      </w:r>
      <w:r>
        <w:rPr>
          <w:rFonts w:ascii="宋体" w:hAnsi="宋体" w:cs="宋体"/>
          <w:color w:val="auto"/>
          <w:sz w:val="24"/>
          <w:szCs w:val="24"/>
          <w:highlight w:val="none"/>
        </w:rPr>
        <w:t xml:space="preserve">2021〕19 </w:t>
      </w:r>
      <w:r>
        <w:rPr>
          <w:rFonts w:hint="eastAsia" w:ascii="宋体" w:hAnsi="宋体" w:cs="宋体"/>
          <w:color w:val="auto"/>
          <w:sz w:val="24"/>
          <w:szCs w:val="24"/>
          <w:highlight w:val="none"/>
        </w:rPr>
        <w:t>号）</w:t>
      </w:r>
    </w:p>
    <w:p>
      <w:pPr>
        <w:spacing w:after="120"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）《中共广东省委关于深入推进绿美广东生态建设的决定》（</w:t>
      </w:r>
      <w:r>
        <w:rPr>
          <w:rFonts w:ascii="宋体" w:hAnsi="宋体" w:cs="宋体"/>
          <w:color w:val="auto"/>
          <w:sz w:val="24"/>
          <w:szCs w:val="24"/>
          <w:highlight w:val="none"/>
        </w:rPr>
        <w:t xml:space="preserve">2022 </w:t>
      </w:r>
      <w:r>
        <w:rPr>
          <w:rFonts w:hint="eastAsia" w:ascii="宋体" w:hAnsi="宋体" w:cs="宋体"/>
          <w:color w:val="auto"/>
          <w:sz w:val="24"/>
          <w:szCs w:val="24"/>
          <w:highlight w:val="none"/>
        </w:rPr>
        <w:t>年</w:t>
      </w:r>
      <w:r>
        <w:rPr>
          <w:rFonts w:ascii="宋体" w:hAnsi="宋体" w:cs="宋体"/>
          <w:color w:val="auto"/>
          <w:sz w:val="24"/>
          <w:szCs w:val="24"/>
          <w:highlight w:val="none"/>
        </w:rPr>
        <w:t xml:space="preserve"> 12 </w:t>
      </w:r>
      <w:r>
        <w:rPr>
          <w:rFonts w:hint="eastAsia" w:ascii="宋体" w:hAnsi="宋体" w:cs="宋体"/>
          <w:color w:val="auto"/>
          <w:sz w:val="24"/>
          <w:szCs w:val="24"/>
          <w:highlight w:val="none"/>
        </w:rPr>
        <w:t>月</w:t>
      </w:r>
      <w:r>
        <w:rPr>
          <w:rFonts w:ascii="宋体" w:hAnsi="宋体" w:cs="宋体"/>
          <w:color w:val="auto"/>
          <w:sz w:val="24"/>
          <w:szCs w:val="24"/>
          <w:highlight w:val="none"/>
        </w:rPr>
        <w:t xml:space="preserve"> 8 </w:t>
      </w:r>
      <w:r>
        <w:rPr>
          <w:rFonts w:hint="eastAsia" w:ascii="宋体" w:hAnsi="宋体" w:cs="宋体"/>
          <w:color w:val="auto"/>
          <w:sz w:val="24"/>
          <w:szCs w:val="24"/>
          <w:highlight w:val="none"/>
        </w:rPr>
        <w:t>日中国共产党广东省第十三届委员会第二次全体会议通过）</w:t>
      </w:r>
    </w:p>
    <w:p>
      <w:pPr>
        <w:spacing w:after="120"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rPr>
        <w:t>）《广东省人民政府办公厅关于科学绿化的实施意见》（粤府办〔</w:t>
      </w:r>
      <w:r>
        <w:rPr>
          <w:rFonts w:ascii="宋体" w:hAnsi="宋体" w:cs="宋体"/>
          <w:color w:val="auto"/>
          <w:sz w:val="24"/>
          <w:szCs w:val="24"/>
          <w:highlight w:val="none"/>
        </w:rPr>
        <w:t xml:space="preserve">2021〕48 </w:t>
      </w:r>
      <w:r>
        <w:rPr>
          <w:rFonts w:hint="eastAsia" w:ascii="宋体" w:hAnsi="宋体" w:cs="宋体"/>
          <w:color w:val="auto"/>
          <w:sz w:val="24"/>
          <w:szCs w:val="24"/>
          <w:highlight w:val="none"/>
        </w:rPr>
        <w:t>号）</w:t>
      </w:r>
    </w:p>
    <w:p>
      <w:pPr>
        <w:spacing w:after="120" w:line="440" w:lineRule="exact"/>
        <w:ind w:firstLine="240" w:firstLineChars="1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7</w:t>
      </w:r>
      <w:r>
        <w:rPr>
          <w:rFonts w:hint="eastAsia" w:ascii="宋体" w:hAnsi="宋体" w:cs="宋体"/>
          <w:color w:val="auto"/>
          <w:sz w:val="24"/>
          <w:szCs w:val="24"/>
          <w:highlight w:val="none"/>
        </w:rPr>
        <w:t>）中共广州市委办公厅</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广州市人民政府办公厅印发《广州市关于科学绿化的实施意见》的通知（穗办〔</w:t>
      </w:r>
      <w:r>
        <w:rPr>
          <w:rFonts w:ascii="宋体" w:hAnsi="宋体" w:cs="宋体"/>
          <w:color w:val="auto"/>
          <w:sz w:val="24"/>
          <w:szCs w:val="24"/>
          <w:highlight w:val="none"/>
        </w:rPr>
        <w:t>2021〕11号</w:t>
      </w:r>
      <w:r>
        <w:rPr>
          <w:rFonts w:hint="eastAsia" w:ascii="宋体" w:hAnsi="宋体" w:cs="宋体"/>
          <w:color w:val="auto"/>
          <w:sz w:val="24"/>
          <w:szCs w:val="24"/>
          <w:highlight w:val="none"/>
        </w:rPr>
        <w:t>）</w:t>
      </w:r>
    </w:p>
    <w:p>
      <w:pPr>
        <w:spacing w:after="120"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8</w:t>
      </w:r>
      <w:r>
        <w:rPr>
          <w:rFonts w:hint="eastAsia" w:ascii="宋体" w:hAnsi="宋体" w:cs="宋体"/>
          <w:color w:val="auto"/>
          <w:sz w:val="24"/>
          <w:szCs w:val="24"/>
          <w:highlight w:val="none"/>
        </w:rPr>
        <w:t>）《广州市林业和园林局关于印发广州市树木修剪技术指引（试行）的通知》（穗林业园林通〔</w:t>
      </w:r>
      <w:r>
        <w:rPr>
          <w:rFonts w:ascii="宋体" w:hAnsi="宋体" w:cs="宋体"/>
          <w:color w:val="auto"/>
          <w:sz w:val="24"/>
          <w:szCs w:val="24"/>
          <w:highlight w:val="none"/>
        </w:rPr>
        <w:t xml:space="preserve">2021〕153 </w:t>
      </w:r>
      <w:r>
        <w:rPr>
          <w:rFonts w:hint="eastAsia" w:ascii="宋体" w:hAnsi="宋体" w:cs="宋体"/>
          <w:color w:val="auto"/>
          <w:sz w:val="24"/>
          <w:szCs w:val="24"/>
          <w:highlight w:val="none"/>
        </w:rPr>
        <w:t>号）</w:t>
      </w:r>
    </w:p>
    <w:p>
      <w:pPr>
        <w:spacing w:after="120"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9</w:t>
      </w:r>
      <w:r>
        <w:rPr>
          <w:rFonts w:hint="eastAsia" w:ascii="宋体" w:hAnsi="宋体" w:cs="宋体"/>
          <w:color w:val="auto"/>
          <w:sz w:val="24"/>
          <w:szCs w:val="24"/>
          <w:highlight w:val="none"/>
        </w:rPr>
        <w:t>）《广州市林业和园林局关于规范提升全市树木支撑的通知》（穗林业园林通〔</w:t>
      </w:r>
      <w:r>
        <w:rPr>
          <w:rFonts w:ascii="宋体" w:hAnsi="宋体" w:cs="宋体"/>
          <w:color w:val="auto"/>
          <w:sz w:val="24"/>
          <w:szCs w:val="24"/>
          <w:highlight w:val="none"/>
        </w:rPr>
        <w:t xml:space="preserve">2019〕100 </w:t>
      </w:r>
      <w:r>
        <w:rPr>
          <w:rFonts w:hint="eastAsia" w:ascii="宋体" w:hAnsi="宋体" w:cs="宋体"/>
          <w:color w:val="auto"/>
          <w:sz w:val="24"/>
          <w:szCs w:val="24"/>
          <w:highlight w:val="none"/>
        </w:rPr>
        <w:t>号）</w:t>
      </w:r>
    </w:p>
    <w:p>
      <w:pPr>
        <w:spacing w:after="120"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10）</w:t>
      </w:r>
      <w:r>
        <w:rPr>
          <w:rFonts w:hint="eastAsia" w:ascii="宋体" w:hAnsi="宋体" w:cs="宋体"/>
          <w:color w:val="auto"/>
          <w:sz w:val="24"/>
          <w:szCs w:val="24"/>
          <w:highlight w:val="none"/>
        </w:rPr>
        <w:t>黄埔区住房和城乡建设局 广州开发区建设和交通局关于印发《黄埔区绿化苗木选用及种植技术指引（</w:t>
      </w:r>
      <w:r>
        <w:rPr>
          <w:rFonts w:ascii="宋体" w:hAnsi="宋体" w:cs="宋体"/>
          <w:color w:val="auto"/>
          <w:sz w:val="24"/>
          <w:szCs w:val="24"/>
          <w:highlight w:val="none"/>
        </w:rPr>
        <w:t>1.0版）</w:t>
      </w:r>
      <w:r>
        <w:rPr>
          <w:rFonts w:hint="eastAsia" w:ascii="宋体" w:hAnsi="宋体" w:cs="宋体"/>
          <w:color w:val="auto"/>
          <w:sz w:val="24"/>
          <w:szCs w:val="24"/>
          <w:highlight w:val="none"/>
        </w:rPr>
        <w:t>》《黄埔区园林绿化养护技术指引（</w:t>
      </w:r>
      <w:r>
        <w:rPr>
          <w:rFonts w:ascii="宋体" w:hAnsi="宋体" w:cs="宋体"/>
          <w:color w:val="auto"/>
          <w:sz w:val="24"/>
          <w:szCs w:val="24"/>
          <w:highlight w:val="none"/>
        </w:rPr>
        <w:t>1.0版）</w:t>
      </w:r>
      <w:r>
        <w:rPr>
          <w:rFonts w:hint="eastAsia" w:ascii="宋体" w:hAnsi="宋体" w:cs="宋体"/>
          <w:color w:val="auto"/>
          <w:sz w:val="24"/>
          <w:szCs w:val="24"/>
          <w:highlight w:val="none"/>
        </w:rPr>
        <w:t>》的通知（穗埔建〔</w:t>
      </w:r>
      <w:r>
        <w:rPr>
          <w:rFonts w:ascii="宋体" w:hAnsi="宋体" w:cs="宋体"/>
          <w:color w:val="auto"/>
          <w:sz w:val="24"/>
          <w:szCs w:val="24"/>
          <w:highlight w:val="none"/>
        </w:rPr>
        <w:t>2023</w:t>
      </w:r>
      <w:r>
        <w:rPr>
          <w:rFonts w:hint="eastAsia" w:ascii="宋体" w:hAnsi="宋体" w:cs="宋体"/>
          <w:color w:val="auto"/>
          <w:sz w:val="24"/>
          <w:szCs w:val="24"/>
          <w:highlight w:val="none"/>
        </w:rPr>
        <w:t>〕</w:t>
      </w:r>
      <w:r>
        <w:rPr>
          <w:rFonts w:ascii="宋体" w:hAnsi="宋体" w:cs="宋体"/>
          <w:color w:val="auto"/>
          <w:sz w:val="24"/>
          <w:szCs w:val="24"/>
          <w:highlight w:val="none"/>
        </w:rPr>
        <w:t>93 号</w:t>
      </w:r>
      <w:r>
        <w:rPr>
          <w:rFonts w:hint="eastAsia" w:ascii="宋体" w:hAnsi="宋体" w:cs="宋体"/>
          <w:color w:val="auto"/>
          <w:sz w:val="24"/>
          <w:szCs w:val="24"/>
          <w:highlight w:val="none"/>
        </w:rPr>
        <w:t>）</w:t>
      </w:r>
    </w:p>
    <w:p>
      <w:pPr>
        <w:spacing w:after="120"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 xml:space="preserve">11） </w:t>
      </w:r>
      <w:r>
        <w:rPr>
          <w:rFonts w:hint="eastAsia" w:ascii="宋体" w:hAnsi="宋体" w:cs="宋体"/>
          <w:color w:val="auto"/>
          <w:sz w:val="24"/>
          <w:szCs w:val="24"/>
          <w:highlight w:val="none"/>
        </w:rPr>
        <w:t>《黄埔区住房和城乡建设局</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广州开发区建设和交通局关于加强科学绿化工作的提醒函》（穗埔建函</w:t>
      </w:r>
      <w:r>
        <w:rPr>
          <w:rFonts w:ascii="宋体" w:hAnsi="宋体" w:cs="宋体"/>
          <w:color w:val="auto"/>
          <w:sz w:val="24"/>
          <w:szCs w:val="24"/>
          <w:highlight w:val="none"/>
        </w:rPr>
        <w:t>[2023]2767号）</w:t>
      </w:r>
    </w:p>
    <w:p>
      <w:pPr>
        <w:spacing w:line="440" w:lineRule="exact"/>
        <w:jc w:val="left"/>
        <w:rPr>
          <w:rFonts w:ascii="宋体" w:hAnsi="宋体" w:cs="宋体"/>
          <w:b/>
          <w:bCs/>
          <w:color w:val="auto"/>
          <w:sz w:val="24"/>
          <w:szCs w:val="24"/>
          <w:highlight w:val="none"/>
        </w:rPr>
      </w:pPr>
      <w:r>
        <w:rPr>
          <w:rFonts w:ascii="宋体" w:hAnsi="宋体" w:cs="宋体"/>
          <w:b/>
          <w:bCs/>
          <w:color w:val="auto"/>
          <w:sz w:val="24"/>
          <w:szCs w:val="24"/>
          <w:highlight w:val="none"/>
        </w:rPr>
        <w:t>2、 相关标准规范</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1）《园林绿化工程项目规范》（GB55014-2021）；</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2）《城市园林绿化评价标准》GBT 50563-2010；</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3）《城市绿地草坪建植与管理技术规程》GBT 19535.2-2004；</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4）《城市园林绿化评价标准》[附条文说明]GB/T 50563-2010</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5）《地表水环境质量标准》GB 3838-2002</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 xml:space="preserve">6）《园林树木安全性评价技术规范》DB4401/T17—2019 </w:t>
      </w:r>
      <w:r>
        <w:rPr>
          <w:rFonts w:hint="eastAsia" w:ascii="宋体" w:hAnsi="宋体" w:cs="宋体"/>
          <w:color w:val="auto"/>
          <w:sz w:val="24"/>
          <w:szCs w:val="24"/>
          <w:highlight w:val="none"/>
        </w:rPr>
        <w:t>；</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 xml:space="preserve">7）《广东城市绿化工程施工和验收规范》DBBT581-2009 </w:t>
      </w:r>
      <w:r>
        <w:rPr>
          <w:rFonts w:hint="eastAsia" w:ascii="宋体" w:hAnsi="宋体" w:cs="宋体"/>
          <w:color w:val="auto"/>
          <w:sz w:val="24"/>
          <w:szCs w:val="24"/>
          <w:highlight w:val="none"/>
        </w:rPr>
        <w:t>；</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8）《城市园林绿化工程施工及验收规范》DB11/T 212-2017；</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9）《城市园林绿化用苗-木本苗木分级》DB440300/T 28—2006。</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10）《城市绿化和园林绿地用植物材料-木本苗》CJT 24-1999；</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 xml:space="preserve">11）《城市绿化和园林绿地用植物材料- </w:t>
      </w:r>
      <w:r>
        <w:rPr>
          <w:rFonts w:hint="eastAsia" w:ascii="宋体" w:hAnsi="宋体" w:cs="宋体"/>
          <w:color w:val="auto"/>
          <w:sz w:val="24"/>
          <w:szCs w:val="24"/>
          <w:highlight w:val="none"/>
        </w:rPr>
        <w:t>球根花卉种球》</w:t>
      </w:r>
      <w:r>
        <w:rPr>
          <w:rFonts w:ascii="宋体" w:hAnsi="宋体" w:cs="宋体"/>
          <w:color w:val="auto"/>
          <w:sz w:val="24"/>
          <w:szCs w:val="24"/>
          <w:highlight w:val="none"/>
        </w:rPr>
        <w:t>CJT</w:t>
      </w:r>
    </w:p>
    <w:p>
      <w:pPr>
        <w:spacing w:line="440" w:lineRule="exact"/>
        <w:jc w:val="left"/>
        <w:rPr>
          <w:rFonts w:ascii="宋体" w:hAnsi="宋体" w:cs="宋体"/>
          <w:color w:val="auto"/>
          <w:sz w:val="24"/>
          <w:szCs w:val="24"/>
          <w:highlight w:val="none"/>
        </w:rPr>
      </w:pPr>
      <w:r>
        <w:rPr>
          <w:rFonts w:ascii="宋体" w:hAnsi="宋体" w:cs="宋体"/>
          <w:color w:val="auto"/>
          <w:sz w:val="24"/>
          <w:szCs w:val="24"/>
          <w:highlight w:val="none"/>
        </w:rPr>
        <w:t xml:space="preserve">135-2001 </w:t>
      </w:r>
      <w:r>
        <w:rPr>
          <w:rFonts w:hint="eastAsia" w:ascii="宋体" w:hAnsi="宋体" w:cs="宋体"/>
          <w:color w:val="auto"/>
          <w:sz w:val="24"/>
          <w:szCs w:val="24"/>
          <w:highlight w:val="none"/>
        </w:rPr>
        <w:t>；</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12）《绿化种植土壤》CJ/T340-2016；</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13）《园林植物筛选通用技术要求》CJT 512-2017；</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14）《城市主要绿化竹种苗木等级》LYT 2345-2014；</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15）《绿化全冠苗木栽植技术规程》LYT 2632-2016；</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16）《森林植物检疫技术规程》</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17）《广州市主要乡土和适生植物名录》</w:t>
      </w:r>
    </w:p>
    <w:p>
      <w:pP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18</w:t>
      </w:r>
      <w:r>
        <w:rPr>
          <w:rFonts w:hint="eastAsia" w:ascii="宋体" w:hAnsi="宋体" w:cs="宋体"/>
          <w:color w:val="auto"/>
          <w:sz w:val="24"/>
          <w:szCs w:val="24"/>
          <w:highlight w:val="none"/>
        </w:rPr>
        <w:t>）《城市道路绿化规划与设计规范》</w:t>
      </w:r>
    </w:p>
    <w:p>
      <w:pPr>
        <w:spacing w:line="440" w:lineRule="exact"/>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三、绿化种植、养护要求</w:t>
      </w:r>
    </w:p>
    <w:p>
      <w:pPr>
        <w:numPr>
          <w:ilvl w:val="0"/>
          <w:numId w:val="6"/>
        </w:numPr>
        <w:spacing w:line="440" w:lineRule="exact"/>
        <w:ind w:firstLine="549" w:firstLineChars="228"/>
        <w:rPr>
          <w:rFonts w:ascii="宋体" w:hAnsi="宋体" w:cs="宋体"/>
          <w:b/>
          <w:bCs/>
          <w:color w:val="auto"/>
          <w:sz w:val="24"/>
          <w:szCs w:val="24"/>
          <w:highlight w:val="none"/>
        </w:rPr>
      </w:pPr>
      <w:r>
        <w:rPr>
          <w:rFonts w:hint="eastAsia" w:ascii="宋体" w:hAnsi="宋体" w:cs="宋体"/>
          <w:b/>
          <w:bCs/>
          <w:color w:val="auto"/>
          <w:sz w:val="24"/>
          <w:szCs w:val="24"/>
          <w:highlight w:val="none"/>
        </w:rPr>
        <w:t>绿化苗木选用和种植过程要求</w:t>
      </w:r>
      <w:r>
        <w:rPr>
          <w:rFonts w:ascii="宋体" w:hAnsi="宋体" w:cs="宋体"/>
          <w:b/>
          <w:bCs/>
          <w:color w:val="auto"/>
          <w:sz w:val="24"/>
          <w:szCs w:val="24"/>
          <w:highlight w:val="none"/>
        </w:rPr>
        <w:t xml:space="preserve"> </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承包人应严格按照本项目《苗木供应清单》要求选用苗木，执行《黄埔区绿化苗木选用及种植技术指引（</w:t>
      </w:r>
      <w:r>
        <w:rPr>
          <w:rFonts w:ascii="宋体" w:hAnsi="宋体" w:cs="宋体"/>
          <w:color w:val="auto"/>
          <w:sz w:val="24"/>
          <w:szCs w:val="24"/>
          <w:highlight w:val="none"/>
        </w:rPr>
        <w:t>1.0版）》，</w:t>
      </w:r>
      <w:r>
        <w:rPr>
          <w:rFonts w:hint="eastAsia" w:ascii="宋体" w:hAnsi="宋体" w:cs="宋体"/>
          <w:color w:val="auto"/>
          <w:sz w:val="24"/>
          <w:szCs w:val="24"/>
          <w:highlight w:val="none"/>
        </w:rPr>
        <w:t>加强对绿化种植全过程的监管监控，严格把控好绿化苗木品质，精细化深翻整理绿地，因地制宜塑造地形，保证土质营养成分及酸碱度，高标准高质量开挖种植穴，严格控制种植穴的尺寸，确保做到深挖浅埋的要求，规范绿化苗木选苗、起苗、包扎、修剪，做足做全绿化苗木运输保护措施，标准化进行绿化种植、淋水、支撑、挂牌等工作，提高绿化种植成活率，促进绿化苗木健康茁壮成长，并在规定时间内整理好苗木种植资料。项目中使用的苗木，应来自珠三角地区正规苗圃场生产培育苗木，不应使用古树名木或从森林中移栽的大树。因改造而需迁移的树木应通过有效截枝、控根等技术措施进行迁地抚育，达到种植标准后，方可作为大规格苗木重新应用于园林绿化中。</w:t>
      </w:r>
    </w:p>
    <w:p>
      <w:pPr>
        <w:spacing w:line="440" w:lineRule="exact"/>
        <w:ind w:firstLine="482" w:firstLineChars="200"/>
        <w:rPr>
          <w:rFonts w:ascii="宋体" w:hAnsi="宋体" w:cs="宋体"/>
          <w:b/>
          <w:bCs/>
          <w:color w:val="auto"/>
          <w:sz w:val="24"/>
          <w:szCs w:val="24"/>
          <w:highlight w:val="none"/>
        </w:rPr>
      </w:pPr>
      <w:r>
        <w:rPr>
          <w:rFonts w:ascii="宋体" w:hAnsi="宋体" w:cs="宋体"/>
          <w:b/>
          <w:bCs/>
          <w:color w:val="auto"/>
          <w:sz w:val="24"/>
          <w:szCs w:val="24"/>
          <w:highlight w:val="none"/>
        </w:rPr>
        <w:t>2、绿化养护技术及时间要求</w:t>
      </w:r>
    </w:p>
    <w:p>
      <w:pPr>
        <w:spacing w:line="440" w:lineRule="exact"/>
        <w:ind w:firstLine="560"/>
        <w:rPr>
          <w:rFonts w:ascii="宋体" w:hAnsi="宋体" w:cs="宋体"/>
          <w:color w:val="auto"/>
          <w:sz w:val="24"/>
          <w:szCs w:val="24"/>
          <w:highlight w:val="none"/>
        </w:rPr>
      </w:pPr>
      <w:r>
        <w:rPr>
          <w:rFonts w:ascii="宋体" w:hAnsi="宋体" w:cs="宋体"/>
          <w:color w:val="auto"/>
          <w:sz w:val="24"/>
          <w:szCs w:val="24"/>
          <w:highlight w:val="none"/>
        </w:rPr>
        <w:t>承包人应认真学习并执行《黄埔区园林绿化养护技术指引（1.0版）》的具体要求，规范项目中绿化灌溉、施肥、修剪、病虫害综合防治、日常养护管理工作。</w:t>
      </w:r>
    </w:p>
    <w:p>
      <w:pPr>
        <w:spacing w:line="440" w:lineRule="exact"/>
        <w:ind w:firstLine="560"/>
        <w:rPr>
          <w:rFonts w:ascii="宋体" w:hAnsi="宋体" w:cs="宋体"/>
          <w:color w:val="auto"/>
          <w:sz w:val="24"/>
          <w:szCs w:val="24"/>
          <w:highlight w:val="none"/>
        </w:rPr>
      </w:pPr>
      <w:r>
        <w:rPr>
          <w:rFonts w:ascii="宋体" w:hAnsi="宋体" w:cs="宋体"/>
          <w:b/>
          <w:bCs/>
          <w:color w:val="auto"/>
          <w:sz w:val="24"/>
          <w:szCs w:val="24"/>
          <w:highlight w:val="none"/>
        </w:rPr>
        <w:t>养护期：胸径15CM（含）以上苗木养护期，</w:t>
      </w:r>
      <w:r>
        <w:rPr>
          <w:rFonts w:ascii="宋体" w:hAnsi="宋体" w:cs="宋体"/>
          <w:color w:val="auto"/>
          <w:sz w:val="24"/>
          <w:szCs w:val="24"/>
          <w:highlight w:val="none"/>
        </w:rPr>
        <w:t>自本项目绿化工程通过竣工验收之日起</w:t>
      </w:r>
      <w:r>
        <w:rPr>
          <w:rFonts w:ascii="宋体" w:hAnsi="宋体" w:cs="宋体"/>
          <w:color w:val="auto"/>
          <w:sz w:val="24"/>
          <w:szCs w:val="24"/>
          <w:highlight w:val="none"/>
          <w:u w:val="single"/>
        </w:rPr>
        <w:t xml:space="preserve"> 1 </w:t>
      </w:r>
      <w:r>
        <w:rPr>
          <w:rFonts w:ascii="宋体" w:hAnsi="宋体" w:cs="宋体"/>
          <w:color w:val="auto"/>
          <w:sz w:val="24"/>
          <w:szCs w:val="24"/>
          <w:highlight w:val="none"/>
        </w:rPr>
        <w:t>年，其他苗木养护期为3个月。</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养护期内，承包人需负责项目中绿化灌溉、施肥、修剪、病虫害综合防治、日常养护管理工作，及时更换不符合清单要求的苗木，提高绿化种植成活率，确保绿化移交时符合《黄埔区绿化苗木选用及种植技术指引（</w:t>
      </w:r>
      <w:r>
        <w:rPr>
          <w:rFonts w:ascii="宋体" w:hAnsi="宋体" w:cs="宋体"/>
          <w:color w:val="auto"/>
          <w:sz w:val="24"/>
          <w:szCs w:val="24"/>
          <w:highlight w:val="none"/>
        </w:rPr>
        <w:t>1.0版）》</w:t>
      </w:r>
      <w:r>
        <w:rPr>
          <w:rFonts w:hint="eastAsia" w:ascii="宋体" w:hAnsi="宋体" w:cs="宋体"/>
          <w:color w:val="auto"/>
          <w:sz w:val="24"/>
          <w:szCs w:val="24"/>
          <w:highlight w:val="none"/>
        </w:rPr>
        <w:t>《黄埔区园林绿化养护技术指引（</w:t>
      </w:r>
      <w:r>
        <w:rPr>
          <w:rFonts w:ascii="宋体" w:hAnsi="宋体" w:cs="宋体"/>
          <w:color w:val="auto"/>
          <w:sz w:val="24"/>
          <w:szCs w:val="24"/>
          <w:highlight w:val="none"/>
        </w:rPr>
        <w:t>1.0版）》及发包人要求。</w:t>
      </w:r>
    </w:p>
    <w:p>
      <w:pPr>
        <w:spacing w:line="440" w:lineRule="exact"/>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四、责任与义务</w:t>
      </w:r>
    </w:p>
    <w:p>
      <w:pPr>
        <w:spacing w:line="440" w:lineRule="exact"/>
        <w:jc w:val="left"/>
        <w:rPr>
          <w:rFonts w:ascii="宋体" w:hAnsi="宋体" w:cs="宋体"/>
          <w:color w:val="auto"/>
          <w:sz w:val="24"/>
          <w:szCs w:val="24"/>
          <w:highlight w:val="none"/>
        </w:rPr>
      </w:pPr>
      <w:r>
        <w:rPr>
          <w:rFonts w:ascii="宋体" w:hAnsi="宋体" w:cs="宋体"/>
          <w:color w:val="auto"/>
          <w:sz w:val="24"/>
          <w:szCs w:val="24"/>
          <w:highlight w:val="none"/>
        </w:rPr>
        <w:t>1、承包人应严格按照本项目《苗木供应清单》执行苗木选用、种植和养护工作。</w:t>
      </w:r>
      <w:r>
        <w:rPr>
          <w:rFonts w:hint="eastAsia" w:ascii="宋体" w:hAnsi="宋体" w:cs="宋体"/>
          <w:color w:val="auto"/>
          <w:sz w:val="24"/>
          <w:szCs w:val="24"/>
          <w:highlight w:val="none"/>
        </w:rPr>
        <w:t>如经发包人</w:t>
      </w:r>
      <w:r>
        <w:rPr>
          <w:rFonts w:hint="eastAsia" w:ascii="宋体" w:hAnsi="宋体" w:cs="宋体"/>
          <w:color w:val="auto"/>
          <w:kern w:val="0"/>
          <w:sz w:val="24"/>
          <w:szCs w:val="24"/>
          <w:highlight w:val="none"/>
        </w:rPr>
        <w:t>或本项目监理单位</w:t>
      </w:r>
      <w:r>
        <w:rPr>
          <w:rFonts w:hint="eastAsia" w:ascii="宋体" w:hAnsi="宋体" w:cs="宋体"/>
          <w:color w:val="auto"/>
          <w:sz w:val="24"/>
          <w:szCs w:val="24"/>
          <w:highlight w:val="none"/>
        </w:rPr>
        <w:t>巡查发现苗木不符合清单要求的，应按照发包人或者监理单位的要求及时更换；每逾期一天，由发包人扣减绿化工程造价的万分之一作为违约金。同时，发包人有权另行委托其他服务单位实施整改，以保证按时按质按量完成整改，所需费用从承包人工程款中全额扣除。</w:t>
      </w:r>
    </w:p>
    <w:p>
      <w:pPr>
        <w:spacing w:line="440" w:lineRule="exact"/>
        <w:jc w:val="left"/>
        <w:rPr>
          <w:rFonts w:ascii="宋体" w:hAnsi="宋体" w:cs="宋体"/>
          <w:color w:val="auto"/>
          <w:sz w:val="24"/>
          <w:szCs w:val="24"/>
          <w:highlight w:val="none"/>
        </w:rPr>
      </w:pPr>
      <w:r>
        <w:rPr>
          <w:rFonts w:ascii="宋体" w:hAnsi="宋体" w:cs="宋体"/>
          <w:color w:val="auto"/>
          <w:sz w:val="24"/>
          <w:szCs w:val="24"/>
          <w:highlight w:val="none"/>
        </w:rPr>
        <w:t>2、承包人应规范苗木种植过程及绿化灌溉、施肥、修剪、病虫害综合防治、日常养护管理等工作，发包人应不定期对承包人绿化种植成效进行抽查、加强对绿化种植全过程的监管监控，如承包人绿化种植效果达不到项目要求，发包人有权要求其限期整改。</w:t>
      </w:r>
      <w:r>
        <w:rPr>
          <w:rFonts w:hint="eastAsia" w:ascii="宋体" w:hAnsi="宋体" w:cs="宋体"/>
          <w:color w:val="auto"/>
          <w:sz w:val="24"/>
          <w:szCs w:val="24"/>
          <w:highlight w:val="none"/>
        </w:rPr>
        <w:t>每逾期一天，由发包人扣减绿化工程造价的万分之一作为违约金。同时，发包人有权另行委托其他服务单位实施整改，以保证按时按质按量完成整改，所需费用从承包人工程款中全额扣除。</w:t>
      </w:r>
    </w:p>
    <w:p>
      <w:pPr>
        <w:spacing w:after="120" w:line="440" w:lineRule="exact"/>
        <w:ind w:firstLine="241" w:firstLineChars="100"/>
        <w:rPr>
          <w:rFonts w:ascii="宋体" w:hAnsi="宋体" w:cs="宋体"/>
          <w:b/>
          <w:bCs/>
          <w:color w:val="auto"/>
          <w:sz w:val="24"/>
          <w:szCs w:val="24"/>
          <w:highlight w:val="none"/>
        </w:rPr>
      </w:pPr>
      <w:r>
        <w:rPr>
          <w:rFonts w:hint="eastAsia" w:ascii="宋体" w:hAnsi="宋体" w:cs="宋体"/>
          <w:b/>
          <w:bCs/>
          <w:color w:val="auto"/>
          <w:sz w:val="24"/>
          <w:szCs w:val="24"/>
          <w:highlight w:val="none"/>
        </w:rPr>
        <w:t>五、其它</w:t>
      </w:r>
    </w:p>
    <w:p>
      <w:pPr>
        <w:spacing w:after="120" w:line="440" w:lineRule="exact"/>
        <w:ind w:firstLine="240" w:firstLineChars="100"/>
        <w:rPr>
          <w:rFonts w:ascii="宋体" w:hAnsi="宋体" w:cs="宋体"/>
          <w:color w:val="auto"/>
          <w:sz w:val="24"/>
          <w:szCs w:val="24"/>
          <w:highlight w:val="none"/>
        </w:rPr>
      </w:pPr>
      <w:r>
        <w:rPr>
          <w:rFonts w:hint="eastAsia" w:ascii="宋体" w:hAnsi="宋体" w:cs="宋体"/>
          <w:color w:val="auto"/>
          <w:sz w:val="24"/>
          <w:szCs w:val="24"/>
          <w:highlight w:val="none"/>
        </w:rPr>
        <w:t>本专篇是为规范本项目绿化工程种植、养护工作制定，未提及的内容均按施工合同专用条款的约定执行。</w:t>
      </w:r>
    </w:p>
    <w:p>
      <w:pPr>
        <w:spacing w:line="520" w:lineRule="exact"/>
        <w:rPr>
          <w:rFonts w:ascii="宋体" w:hAnsi="宋体" w:cs="宋体"/>
          <w:color w:val="auto"/>
          <w:sz w:val="24"/>
          <w:szCs w:val="24"/>
          <w:highlight w:val="none"/>
        </w:rPr>
      </w:pPr>
      <w:r>
        <w:rPr>
          <w:rFonts w:hint="eastAsia" w:ascii="宋体" w:hAnsi="宋体" w:cs="宋体"/>
          <w:color w:val="auto"/>
          <w:sz w:val="24"/>
          <w:szCs w:val="24"/>
          <w:highlight w:val="none"/>
        </w:rPr>
        <w:t>附表：</w:t>
      </w:r>
    </w:p>
    <w:p>
      <w:pPr>
        <w:spacing w:line="5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苗木供应清单</w:t>
      </w:r>
    </w:p>
    <w:p>
      <w:pPr>
        <w:spacing w:line="520" w:lineRule="exact"/>
        <w:rPr>
          <w:rFonts w:ascii="宋体" w:hAnsi="宋体" w:cs="宋体"/>
          <w:color w:val="auto"/>
          <w:sz w:val="24"/>
          <w:szCs w:val="24"/>
          <w:highlight w:val="none"/>
        </w:rPr>
      </w:pPr>
      <w:r>
        <w:rPr>
          <w:rFonts w:hint="eastAsia" w:ascii="宋体" w:hAnsi="宋体" w:cs="宋体"/>
          <w:color w:val="auto"/>
          <w:sz w:val="24"/>
          <w:szCs w:val="24"/>
          <w:highlight w:val="none"/>
        </w:rPr>
        <w:t>项目名称：</w:t>
      </w:r>
    </w:p>
    <w:tbl>
      <w:tblPr>
        <w:tblStyle w:val="49"/>
        <w:tblW w:w="9352" w:type="dxa"/>
        <w:tblInd w:w="93" w:type="dxa"/>
        <w:tblLayout w:type="fixed"/>
        <w:tblCellMar>
          <w:top w:w="0" w:type="dxa"/>
          <w:left w:w="108" w:type="dxa"/>
          <w:bottom w:w="0" w:type="dxa"/>
          <w:right w:w="108" w:type="dxa"/>
        </w:tblCellMar>
      </w:tblPr>
      <w:tblGrid>
        <w:gridCol w:w="549"/>
        <w:gridCol w:w="750"/>
        <w:gridCol w:w="1080"/>
        <w:gridCol w:w="1003"/>
        <w:gridCol w:w="1006"/>
        <w:gridCol w:w="884"/>
        <w:gridCol w:w="1080"/>
        <w:gridCol w:w="1080"/>
        <w:gridCol w:w="953"/>
        <w:gridCol w:w="967"/>
      </w:tblGrid>
      <w:tr>
        <w:tblPrEx>
          <w:tblCellMar>
            <w:top w:w="0" w:type="dxa"/>
            <w:left w:w="108" w:type="dxa"/>
            <w:bottom w:w="0" w:type="dxa"/>
            <w:right w:w="108" w:type="dxa"/>
          </w:tblCellMar>
        </w:tblPrEx>
        <w:trPr>
          <w:trHeight w:val="435" w:hRule="atLeast"/>
        </w:trPr>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cs="宋体"/>
                <w:color w:val="auto"/>
                <w:sz w:val="24"/>
                <w:szCs w:val="24"/>
                <w:highlight w:val="none"/>
              </w:rPr>
            </w:pPr>
            <w:r>
              <w:rPr>
                <w:rFonts w:ascii="宋体" w:hAnsi="宋体" w:cs="宋体"/>
                <w:color w:val="auto"/>
                <w:sz w:val="24"/>
                <w:szCs w:val="16"/>
                <w:highlight w:val="none"/>
                <w:lang w:bidi="ar"/>
              </w:rPr>
              <w:t>序号</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cs="宋体"/>
                <w:color w:val="auto"/>
                <w:sz w:val="24"/>
                <w:szCs w:val="24"/>
                <w:highlight w:val="none"/>
              </w:rPr>
            </w:pPr>
            <w:r>
              <w:rPr>
                <w:rFonts w:ascii="宋体" w:hAnsi="宋体" w:cs="宋体"/>
                <w:color w:val="auto"/>
                <w:sz w:val="24"/>
                <w:szCs w:val="16"/>
                <w:highlight w:val="none"/>
                <w:lang w:bidi="ar"/>
              </w:rPr>
              <w:t>苗木名称</w:t>
            </w:r>
          </w:p>
        </w:tc>
        <w:tc>
          <w:tcPr>
            <w:tcW w:w="61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cs="宋体"/>
                <w:color w:val="auto"/>
                <w:sz w:val="24"/>
                <w:szCs w:val="24"/>
                <w:highlight w:val="none"/>
              </w:rPr>
            </w:pPr>
            <w:r>
              <w:rPr>
                <w:rFonts w:ascii="宋体" w:hAnsi="宋体" w:cs="宋体"/>
                <w:color w:val="auto"/>
                <w:sz w:val="24"/>
                <w:szCs w:val="16"/>
                <w:highlight w:val="none"/>
                <w:lang w:bidi="ar"/>
              </w:rPr>
              <w:t>规格（ 单位：CM）</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cs="宋体"/>
                <w:color w:val="auto"/>
                <w:sz w:val="24"/>
                <w:szCs w:val="24"/>
                <w:highlight w:val="none"/>
              </w:rPr>
            </w:pPr>
            <w:r>
              <w:rPr>
                <w:rFonts w:ascii="宋体" w:hAnsi="宋体" w:cs="宋体"/>
                <w:color w:val="auto"/>
                <w:sz w:val="24"/>
                <w:szCs w:val="16"/>
                <w:highlight w:val="none"/>
                <w:lang w:bidi="ar"/>
              </w:rPr>
              <w:t>规格（ 单位：个）</w:t>
            </w:r>
          </w:p>
        </w:tc>
      </w:tr>
      <w:tr>
        <w:tblPrEx>
          <w:tblCellMar>
            <w:top w:w="0" w:type="dxa"/>
            <w:left w:w="108" w:type="dxa"/>
            <w:bottom w:w="0" w:type="dxa"/>
            <w:right w:w="108" w:type="dxa"/>
          </w:tblCellMar>
        </w:tblPrEx>
        <w:trPr>
          <w:trHeight w:val="420"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exact"/>
              <w:jc w:val="center"/>
              <w:rPr>
                <w:rFonts w:ascii="宋体" w:hAnsi="宋体" w:cs="宋体"/>
                <w:color w:val="auto"/>
                <w:sz w:val="24"/>
                <w:szCs w:val="24"/>
                <w:highlight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exact"/>
              <w:jc w:val="center"/>
              <w:rPr>
                <w:rFonts w:ascii="宋体" w:hAnsi="宋体" w:cs="宋体"/>
                <w:color w:val="auto"/>
                <w:sz w:val="24"/>
                <w:szCs w:val="24"/>
                <w:highlight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left"/>
              <w:textAlignment w:val="center"/>
              <w:rPr>
                <w:rFonts w:ascii="宋体" w:hAnsi="宋体" w:cs="宋体"/>
                <w:color w:val="auto"/>
                <w:sz w:val="24"/>
                <w:szCs w:val="24"/>
                <w:highlight w:val="none"/>
              </w:rPr>
            </w:pPr>
            <w:r>
              <w:rPr>
                <w:rFonts w:ascii="宋体" w:hAnsi="宋体" w:cs="宋体"/>
                <w:color w:val="auto"/>
                <w:sz w:val="24"/>
                <w:szCs w:val="16"/>
                <w:highlight w:val="none"/>
                <w:lang w:bidi="ar"/>
              </w:rPr>
              <w:t>胸（地）径(Ф)</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left"/>
              <w:textAlignment w:val="center"/>
              <w:rPr>
                <w:rFonts w:ascii="宋体" w:hAnsi="宋体" w:cs="宋体"/>
                <w:color w:val="auto"/>
                <w:sz w:val="24"/>
                <w:szCs w:val="24"/>
                <w:highlight w:val="none"/>
              </w:rPr>
            </w:pPr>
            <w:r>
              <w:rPr>
                <w:rFonts w:ascii="宋体" w:hAnsi="宋体" w:cs="宋体"/>
                <w:color w:val="auto"/>
                <w:sz w:val="24"/>
                <w:szCs w:val="16"/>
                <w:highlight w:val="none"/>
                <w:lang w:bidi="ar"/>
              </w:rPr>
              <w:t>株高（H）</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left"/>
              <w:textAlignment w:val="center"/>
              <w:rPr>
                <w:rFonts w:ascii="宋体" w:hAnsi="宋体" w:cs="宋体"/>
                <w:color w:val="auto"/>
                <w:sz w:val="24"/>
                <w:szCs w:val="24"/>
                <w:highlight w:val="none"/>
              </w:rPr>
            </w:pPr>
            <w:r>
              <w:rPr>
                <w:rFonts w:ascii="宋体" w:hAnsi="宋体" w:cs="宋体"/>
                <w:color w:val="auto"/>
                <w:sz w:val="24"/>
                <w:szCs w:val="16"/>
                <w:highlight w:val="none"/>
                <w:lang w:bidi="ar"/>
              </w:rPr>
              <w:t>分枝点高(</w:t>
            </w:r>
            <w:r>
              <w:rPr>
                <w:rFonts w:ascii="MS Gothic" w:hAnsi="MS Gothic" w:eastAsia="MS Gothic" w:cs="MS Gothic"/>
                <w:color w:val="auto"/>
                <w:sz w:val="24"/>
                <w:szCs w:val="16"/>
                <w:highlight w:val="none"/>
                <w:lang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left"/>
              <w:textAlignment w:val="center"/>
              <w:rPr>
                <w:rFonts w:ascii="宋体" w:hAnsi="宋体" w:cs="宋体"/>
                <w:color w:val="auto"/>
                <w:sz w:val="24"/>
                <w:szCs w:val="24"/>
                <w:highlight w:val="none"/>
              </w:rPr>
            </w:pPr>
            <w:r>
              <w:rPr>
                <w:rFonts w:ascii="宋体" w:hAnsi="宋体" w:cs="宋体"/>
                <w:color w:val="auto"/>
                <w:sz w:val="24"/>
                <w:szCs w:val="16"/>
                <w:highlight w:val="none"/>
                <w:lang w:bidi="ar"/>
              </w:rPr>
              <w:t xml:space="preserve"> 冠幅（P）</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center"/>
              <w:textAlignment w:val="center"/>
              <w:rPr>
                <w:rFonts w:ascii="宋体" w:hAnsi="宋体" w:cs="宋体"/>
                <w:color w:val="auto"/>
                <w:sz w:val="24"/>
                <w:szCs w:val="24"/>
                <w:highlight w:val="none"/>
              </w:rPr>
            </w:pPr>
            <w:r>
              <w:rPr>
                <w:rFonts w:ascii="宋体" w:hAnsi="宋体" w:cs="宋体"/>
                <w:color w:val="auto"/>
                <w:sz w:val="24"/>
                <w:szCs w:val="16"/>
                <w:highlight w:val="none"/>
                <w:lang w:bidi="ar"/>
              </w:rPr>
              <w:t>土球规格直径* 高度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left"/>
              <w:textAlignment w:val="center"/>
              <w:rPr>
                <w:rFonts w:ascii="宋体" w:hAnsi="宋体" w:cs="宋体"/>
                <w:color w:val="auto"/>
                <w:sz w:val="24"/>
                <w:szCs w:val="24"/>
                <w:highlight w:val="none"/>
              </w:rPr>
            </w:pPr>
            <w:r>
              <w:rPr>
                <w:rFonts w:ascii="宋体" w:hAnsi="宋体" w:cs="宋体"/>
                <w:color w:val="auto"/>
                <w:sz w:val="24"/>
                <w:szCs w:val="16"/>
                <w:highlight w:val="none"/>
                <w:lang w:bidi="ar"/>
              </w:rPr>
              <w:t>种植穴直径* 高度</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left"/>
              <w:textAlignment w:val="center"/>
              <w:rPr>
                <w:rFonts w:ascii="宋体" w:hAnsi="宋体" w:cs="宋体"/>
                <w:color w:val="auto"/>
                <w:sz w:val="24"/>
                <w:szCs w:val="24"/>
                <w:highlight w:val="none"/>
              </w:rPr>
            </w:pPr>
            <w:r>
              <w:rPr>
                <w:rFonts w:ascii="宋体" w:hAnsi="宋体" w:cs="宋体"/>
                <w:color w:val="auto"/>
                <w:sz w:val="24"/>
                <w:szCs w:val="16"/>
                <w:highlight w:val="none"/>
                <w:lang w:bidi="ar"/>
              </w:rPr>
              <w:t>层托数(T)</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20" w:lineRule="exact"/>
              <w:jc w:val="left"/>
              <w:textAlignment w:val="center"/>
              <w:rPr>
                <w:rFonts w:ascii="宋体" w:hAnsi="宋体" w:cs="宋体"/>
                <w:color w:val="auto"/>
                <w:sz w:val="24"/>
                <w:szCs w:val="24"/>
                <w:highlight w:val="none"/>
              </w:rPr>
            </w:pPr>
            <w:r>
              <w:rPr>
                <w:rFonts w:ascii="宋体" w:hAnsi="宋体" w:cs="宋体"/>
                <w:color w:val="auto"/>
                <w:sz w:val="24"/>
                <w:szCs w:val="16"/>
                <w:highlight w:val="none"/>
                <w:lang w:bidi="ar"/>
              </w:rPr>
              <w:t>分枝数量</w:t>
            </w:r>
          </w:p>
        </w:tc>
      </w:tr>
      <w:tr>
        <w:tblPrEx>
          <w:tblCellMar>
            <w:top w:w="0" w:type="dxa"/>
            <w:left w:w="108" w:type="dxa"/>
            <w:bottom w:w="0" w:type="dxa"/>
            <w:right w:w="108" w:type="dxa"/>
          </w:tblCellMar>
        </w:tblPrEx>
        <w:trPr>
          <w:trHeight w:val="27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r>
      <w:tr>
        <w:tblPrEx>
          <w:tblCellMar>
            <w:top w:w="0" w:type="dxa"/>
            <w:left w:w="108" w:type="dxa"/>
            <w:bottom w:w="0" w:type="dxa"/>
            <w:right w:w="108" w:type="dxa"/>
          </w:tblCellMar>
        </w:tblPrEx>
        <w:trPr>
          <w:trHeight w:val="27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80" w:lineRule="exact"/>
              <w:rPr>
                <w:rFonts w:ascii="宋体" w:hAnsi="宋体" w:cs="宋体"/>
                <w:color w:val="auto"/>
                <w:sz w:val="24"/>
                <w:szCs w:val="24"/>
                <w:highlight w:val="none"/>
              </w:rPr>
            </w:pPr>
          </w:p>
        </w:tc>
      </w:tr>
    </w:tbl>
    <w:p>
      <w:pPr>
        <w:spacing w:line="480" w:lineRule="exact"/>
        <w:rPr>
          <w:rFonts w:ascii="宋体" w:hAnsi="宋体"/>
          <w:color w:val="auto"/>
          <w:sz w:val="24"/>
          <w:szCs w:val="24"/>
          <w:highlight w:val="none"/>
        </w:rPr>
      </w:pPr>
    </w:p>
    <w:p>
      <w:pPr>
        <w:pStyle w:val="25"/>
        <w:rPr>
          <w:color w:val="auto"/>
          <w:highlight w:val="none"/>
        </w:rPr>
      </w:pPr>
      <w:r>
        <w:rPr>
          <w:color w:val="auto"/>
          <w:highlight w:val="none"/>
        </w:rPr>
        <w:br w:type="page"/>
      </w:r>
    </w:p>
    <w:p>
      <w:pPr>
        <w:spacing w:line="440" w:lineRule="exact"/>
        <w:jc w:val="center"/>
        <w:rPr>
          <w:rFonts w:ascii="宋体" w:hAnsi="宋体"/>
          <w:b/>
          <w:color w:val="auto"/>
          <w:sz w:val="28"/>
          <w:szCs w:val="28"/>
          <w:highlight w:val="none"/>
        </w:rPr>
      </w:pPr>
      <w:r>
        <w:rPr>
          <w:rFonts w:hint="eastAsia" w:ascii="宋体" w:hAnsi="宋体"/>
          <w:b/>
          <w:color w:val="auto"/>
          <w:sz w:val="28"/>
          <w:szCs w:val="28"/>
          <w:highlight w:val="none"/>
        </w:rPr>
        <w:t>第五部分</w:t>
      </w:r>
      <w:r>
        <w:rPr>
          <w:rFonts w:ascii="宋体" w:hAnsi="宋体"/>
          <w:b/>
          <w:color w:val="auto"/>
          <w:sz w:val="28"/>
          <w:szCs w:val="28"/>
          <w:highlight w:val="none"/>
        </w:rPr>
        <w:t xml:space="preserve">  </w:t>
      </w:r>
      <w:r>
        <w:rPr>
          <w:rFonts w:hint="eastAsia" w:ascii="宋体" w:hAnsi="宋体"/>
          <w:b/>
          <w:color w:val="auto"/>
          <w:sz w:val="28"/>
          <w:szCs w:val="28"/>
          <w:highlight w:val="none"/>
        </w:rPr>
        <w:t>工程质量保修责任书</w:t>
      </w:r>
    </w:p>
    <w:p>
      <w:pPr>
        <w:snapToGrid w:val="0"/>
        <w:spacing w:line="240" w:lineRule="auto"/>
        <w:rPr>
          <w:rFonts w:hint="eastAsia" w:ascii="宋体" w:hAnsi="宋体"/>
          <w:color w:val="auto"/>
          <w:sz w:val="24"/>
          <w:szCs w:val="24"/>
          <w:highlight w:val="none"/>
        </w:rPr>
      </w:pPr>
    </w:p>
    <w:p>
      <w:pPr>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发包人（全称）：</w:t>
      </w:r>
      <w:r>
        <w:rPr>
          <w:rFonts w:ascii="宋体" w:hAnsi="宋体"/>
          <w:color w:val="auto"/>
          <w:sz w:val="24"/>
          <w:szCs w:val="24"/>
          <w:highlight w:val="none"/>
          <w:u w:val="single"/>
        </w:rPr>
        <w:t xml:space="preserve">                             </w:t>
      </w:r>
      <w:r>
        <w:rPr>
          <w:rFonts w:hint="eastAsia" w:ascii="宋体" w:hAnsi="宋体"/>
          <w:color w:val="auto"/>
          <w:sz w:val="24"/>
          <w:szCs w:val="24"/>
          <w:highlight w:val="none"/>
        </w:rPr>
        <w:t>。</w:t>
      </w:r>
    </w:p>
    <w:p>
      <w:pPr>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承包人（全称）：</w:t>
      </w:r>
      <w:r>
        <w:rPr>
          <w:rFonts w:ascii="宋体" w:hAnsi="宋体"/>
          <w:color w:val="auto"/>
          <w:sz w:val="24"/>
          <w:szCs w:val="24"/>
          <w:highlight w:val="none"/>
          <w:u w:val="single"/>
        </w:rPr>
        <w:t xml:space="preserve">                             </w:t>
      </w:r>
      <w:r>
        <w:rPr>
          <w:rFonts w:hint="eastAsia" w:ascii="宋体" w:hAnsi="宋体"/>
          <w:color w:val="auto"/>
          <w:sz w:val="24"/>
          <w:szCs w:val="24"/>
          <w:highlight w:val="none"/>
        </w:rPr>
        <w:t>。</w:t>
      </w:r>
    </w:p>
    <w:p>
      <w:pPr>
        <w:snapToGrid w:val="0"/>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为保证</w:t>
      </w:r>
      <w:r>
        <w:rPr>
          <w:rFonts w:ascii="宋体" w:hAnsi="宋体"/>
          <w:color w:val="auto"/>
          <w:sz w:val="24"/>
          <w:szCs w:val="24"/>
          <w:highlight w:val="none"/>
          <w:u w:val="single"/>
        </w:rPr>
        <w:t xml:space="preserve">                工程</w:t>
      </w:r>
      <w:r>
        <w:rPr>
          <w:rFonts w:hint="eastAsia" w:ascii="宋体" w:hAnsi="宋体"/>
          <w:color w:val="auto"/>
          <w:sz w:val="24"/>
          <w:szCs w:val="24"/>
          <w:highlight w:val="none"/>
        </w:rPr>
        <w:t>在合理使用期限内正常使用，发包人承包人协商一致签订工程质量保修责任书。承包人在质量保修期内按照有关管理规定及双方约定承担本工程质量保修责任。</w:t>
      </w:r>
    </w:p>
    <w:p>
      <w:pPr>
        <w:numPr>
          <w:ilvl w:val="0"/>
          <w:numId w:val="7"/>
        </w:numPr>
        <w:tabs>
          <w:tab w:val="left" w:pos="1120"/>
        </w:tabs>
        <w:snapToGrid w:val="0"/>
        <w:spacing w:line="440" w:lineRule="exact"/>
        <w:ind w:hanging="240"/>
        <w:rPr>
          <w:rFonts w:ascii="宋体" w:hAnsi="宋体"/>
          <w:b/>
          <w:bCs/>
          <w:color w:val="auto"/>
          <w:sz w:val="24"/>
          <w:szCs w:val="24"/>
          <w:highlight w:val="none"/>
        </w:rPr>
      </w:pPr>
      <w:r>
        <w:rPr>
          <w:rFonts w:hint="eastAsia" w:ascii="宋体" w:hAnsi="宋体"/>
          <w:b/>
          <w:bCs/>
          <w:color w:val="auto"/>
          <w:sz w:val="24"/>
          <w:szCs w:val="24"/>
          <w:highlight w:val="none"/>
        </w:rPr>
        <w:t>工程质量保修范围和内容</w:t>
      </w:r>
    </w:p>
    <w:p>
      <w:pPr>
        <w:snapToGrid w:val="0"/>
        <w:spacing w:line="440" w:lineRule="exact"/>
        <w:ind w:firstLine="578" w:firstLineChars="241"/>
        <w:rPr>
          <w:rFonts w:ascii="宋体" w:hAnsi="宋体"/>
          <w:color w:val="auto"/>
          <w:sz w:val="24"/>
          <w:szCs w:val="24"/>
          <w:highlight w:val="none"/>
        </w:rPr>
      </w:pPr>
      <w:r>
        <w:rPr>
          <w:rFonts w:hint="eastAsia" w:ascii="宋体" w:hAnsi="宋体"/>
          <w:color w:val="auto"/>
          <w:sz w:val="24"/>
          <w:szCs w:val="24"/>
          <w:highlight w:val="none"/>
        </w:rPr>
        <w:t>质量保修范围包括基础工程、主体路基、路面、桥涵构造物工程、给排水、防护工程以及本建设工程施工合同中所含的其它项目。具体质量保修内容双方约定如下：</w:t>
      </w:r>
    </w:p>
    <w:p>
      <w:pPr>
        <w:snapToGrid w:val="0"/>
        <w:spacing w:line="440" w:lineRule="exact"/>
        <w:ind w:firstLine="578" w:firstLineChars="241"/>
        <w:rPr>
          <w:rFonts w:ascii="宋体" w:hAnsi="宋体"/>
          <w:color w:val="auto"/>
          <w:sz w:val="24"/>
          <w:szCs w:val="24"/>
          <w:highlight w:val="none"/>
          <w:u w:val="single"/>
        </w:rPr>
      </w:pPr>
      <w:r>
        <w:rPr>
          <w:rFonts w:hint="eastAsia" w:ascii="宋体" w:hAnsi="宋体"/>
          <w:color w:val="auto"/>
          <w:sz w:val="24"/>
          <w:szCs w:val="24"/>
          <w:highlight w:val="none"/>
          <w:u w:val="single"/>
        </w:rPr>
        <w:t>按施工合同约定的承包范围内的全部工程内容</w:t>
      </w:r>
      <w:r>
        <w:rPr>
          <w:rFonts w:hint="eastAsia" w:ascii="宋体" w:hAnsi="宋体"/>
          <w:color w:val="auto"/>
          <w:sz w:val="24"/>
          <w:szCs w:val="24"/>
          <w:highlight w:val="none"/>
        </w:rPr>
        <w:t>。</w:t>
      </w:r>
    </w:p>
    <w:p>
      <w:pPr>
        <w:numPr>
          <w:ilvl w:val="0"/>
          <w:numId w:val="7"/>
        </w:numPr>
        <w:tabs>
          <w:tab w:val="left" w:pos="1120"/>
        </w:tabs>
        <w:snapToGrid w:val="0"/>
        <w:spacing w:line="440" w:lineRule="exact"/>
        <w:ind w:hanging="240"/>
        <w:rPr>
          <w:rFonts w:ascii="宋体" w:hAnsi="宋体"/>
          <w:b/>
          <w:bCs/>
          <w:color w:val="auto"/>
          <w:sz w:val="24"/>
          <w:szCs w:val="24"/>
          <w:highlight w:val="none"/>
        </w:rPr>
      </w:pPr>
      <w:r>
        <w:rPr>
          <w:rFonts w:hint="eastAsia" w:ascii="宋体" w:hAnsi="宋体"/>
          <w:b/>
          <w:bCs/>
          <w:color w:val="auto"/>
          <w:sz w:val="24"/>
          <w:szCs w:val="24"/>
          <w:highlight w:val="none"/>
        </w:rPr>
        <w:t>质量保修期</w:t>
      </w:r>
    </w:p>
    <w:p>
      <w:pPr>
        <w:snapToGrid w:val="0"/>
        <w:spacing w:line="440" w:lineRule="exact"/>
        <w:ind w:firstLine="578" w:firstLineChars="241"/>
        <w:rPr>
          <w:rFonts w:ascii="宋体" w:hAnsi="宋体"/>
          <w:color w:val="auto"/>
          <w:sz w:val="24"/>
          <w:szCs w:val="24"/>
          <w:highlight w:val="none"/>
        </w:rPr>
      </w:pPr>
      <w:r>
        <w:rPr>
          <w:rFonts w:hint="eastAsia" w:ascii="宋体" w:hAnsi="宋体"/>
          <w:color w:val="auto"/>
          <w:sz w:val="24"/>
          <w:szCs w:val="24"/>
          <w:highlight w:val="none"/>
        </w:rPr>
        <w:t>质量保修期从广州开发区管委会或其相关职能部门批准的提前移交之日或者正式通过竣工验收之日（以先发生日期为准）算起。</w:t>
      </w:r>
    </w:p>
    <w:p>
      <w:pPr>
        <w:snapToGrid w:val="0"/>
        <w:spacing w:line="440" w:lineRule="exact"/>
        <w:ind w:firstLine="578" w:firstLineChars="241"/>
        <w:rPr>
          <w:rFonts w:ascii="宋体" w:hAnsi="宋体"/>
          <w:color w:val="auto"/>
          <w:sz w:val="24"/>
          <w:szCs w:val="24"/>
          <w:highlight w:val="none"/>
        </w:rPr>
      </w:pPr>
      <w:r>
        <w:rPr>
          <w:rFonts w:hint="eastAsia" w:ascii="宋体" w:hAnsi="宋体"/>
          <w:color w:val="auto"/>
          <w:sz w:val="24"/>
          <w:szCs w:val="24"/>
          <w:highlight w:val="none"/>
        </w:rPr>
        <w:t>双方根据国家有关规定，结合具体工程约定质量保修期如下：</w:t>
      </w:r>
    </w:p>
    <w:p>
      <w:pPr>
        <w:snapToGrid w:val="0"/>
        <w:spacing w:line="440" w:lineRule="exact"/>
        <w:ind w:firstLine="578" w:firstLineChars="241"/>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基础设施工程、房屋建筑的地基基础和主体结构工程为设计文件规定的该工程合理使用年限；</w:t>
      </w:r>
    </w:p>
    <w:p>
      <w:pPr>
        <w:snapToGrid w:val="0"/>
        <w:spacing w:line="440" w:lineRule="exact"/>
        <w:ind w:firstLine="578" w:firstLineChars="241"/>
        <w:rPr>
          <w:rFonts w:ascii="宋体" w:hAnsi="宋体"/>
          <w:color w:val="auto"/>
          <w:sz w:val="24"/>
          <w:szCs w:val="24"/>
          <w:highlight w:val="none"/>
        </w:rPr>
      </w:pPr>
      <w:r>
        <w:rPr>
          <w:rFonts w:ascii="宋体" w:hAnsi="宋体"/>
          <w:color w:val="auto"/>
          <w:sz w:val="24"/>
          <w:szCs w:val="24"/>
          <w:highlight w:val="none"/>
        </w:rPr>
        <w:t>2、电力管线、上下水管线安装工程为</w:t>
      </w:r>
      <w:r>
        <w:rPr>
          <w:rFonts w:ascii="宋体" w:hAnsi="宋体"/>
          <w:color w:val="auto"/>
          <w:sz w:val="24"/>
          <w:szCs w:val="24"/>
          <w:highlight w:val="none"/>
          <w:u w:val="single"/>
        </w:rPr>
        <w:t xml:space="preserve"> 2 </w:t>
      </w:r>
      <w:r>
        <w:rPr>
          <w:rFonts w:hint="eastAsia" w:ascii="宋体" w:hAnsi="宋体"/>
          <w:color w:val="auto"/>
          <w:sz w:val="24"/>
          <w:szCs w:val="24"/>
          <w:highlight w:val="none"/>
        </w:rPr>
        <w:t>年；</w:t>
      </w:r>
    </w:p>
    <w:p>
      <w:pPr>
        <w:snapToGrid w:val="0"/>
        <w:spacing w:line="440" w:lineRule="exact"/>
        <w:ind w:firstLine="578" w:firstLineChars="241"/>
        <w:rPr>
          <w:rFonts w:ascii="宋体" w:hAnsi="宋体"/>
          <w:color w:val="auto"/>
          <w:sz w:val="24"/>
          <w:szCs w:val="24"/>
          <w:highlight w:val="none"/>
        </w:rPr>
      </w:pPr>
      <w:r>
        <w:rPr>
          <w:rFonts w:ascii="宋体" w:hAnsi="宋体"/>
          <w:color w:val="auto"/>
          <w:sz w:val="24"/>
          <w:szCs w:val="24"/>
          <w:highlight w:val="none"/>
        </w:rPr>
        <w:t>3、供热及供冷为</w:t>
      </w:r>
      <w:r>
        <w:rPr>
          <w:rFonts w:ascii="宋体" w:hAnsi="宋体"/>
          <w:color w:val="auto"/>
          <w:sz w:val="24"/>
          <w:szCs w:val="24"/>
          <w:highlight w:val="none"/>
          <w:u w:val="single"/>
        </w:rPr>
        <w:t xml:space="preserve"> 2 </w:t>
      </w:r>
      <w:r>
        <w:rPr>
          <w:rFonts w:hint="eastAsia" w:ascii="宋体" w:hAnsi="宋体"/>
          <w:color w:val="auto"/>
          <w:sz w:val="24"/>
          <w:szCs w:val="24"/>
          <w:highlight w:val="none"/>
        </w:rPr>
        <w:t>个采暖期及供冷期；</w:t>
      </w:r>
    </w:p>
    <w:p>
      <w:pPr>
        <w:snapToGrid w:val="0"/>
        <w:spacing w:line="440" w:lineRule="exact"/>
        <w:ind w:firstLine="578" w:firstLineChars="241"/>
        <w:rPr>
          <w:rFonts w:ascii="宋体" w:hAnsi="宋体"/>
          <w:color w:val="auto"/>
          <w:sz w:val="24"/>
          <w:szCs w:val="24"/>
          <w:highlight w:val="none"/>
        </w:rPr>
      </w:pPr>
      <w:r>
        <w:rPr>
          <w:rFonts w:ascii="宋体" w:hAnsi="宋体"/>
          <w:color w:val="auto"/>
          <w:sz w:val="24"/>
          <w:szCs w:val="24"/>
          <w:highlight w:val="none"/>
        </w:rPr>
        <w:t>4、室外的上下水和小区道路等市政公用工程为</w:t>
      </w:r>
      <w:r>
        <w:rPr>
          <w:rFonts w:ascii="宋体" w:hAnsi="宋体"/>
          <w:color w:val="auto"/>
          <w:sz w:val="24"/>
          <w:szCs w:val="24"/>
          <w:highlight w:val="none"/>
          <w:u w:val="single"/>
        </w:rPr>
        <w:t xml:space="preserve">       </w:t>
      </w:r>
      <w:r>
        <w:rPr>
          <w:rFonts w:hint="eastAsia" w:ascii="宋体" w:hAnsi="宋体"/>
          <w:color w:val="auto"/>
          <w:sz w:val="24"/>
          <w:szCs w:val="24"/>
          <w:highlight w:val="none"/>
        </w:rPr>
        <w:t>年；</w:t>
      </w:r>
    </w:p>
    <w:p>
      <w:pPr>
        <w:snapToGrid w:val="0"/>
        <w:spacing w:line="440" w:lineRule="exact"/>
        <w:ind w:firstLine="578" w:firstLineChars="241"/>
        <w:rPr>
          <w:rFonts w:ascii="宋体" w:hAnsi="宋体"/>
          <w:color w:val="auto"/>
          <w:sz w:val="24"/>
          <w:szCs w:val="24"/>
          <w:highlight w:val="none"/>
          <w:u w:val="single"/>
        </w:rPr>
      </w:pPr>
      <w:r>
        <w:rPr>
          <w:rFonts w:ascii="宋体" w:hAnsi="宋体"/>
          <w:color w:val="auto"/>
          <w:sz w:val="24"/>
          <w:szCs w:val="24"/>
          <w:highlight w:val="none"/>
        </w:rPr>
        <w:t>5、市政道</w:t>
      </w:r>
      <w:r>
        <w:rPr>
          <w:rFonts w:hint="eastAsia" w:ascii="宋体" w:hAnsi="宋体"/>
          <w:color w:val="auto"/>
          <w:sz w:val="24"/>
          <w:szCs w:val="24"/>
          <w:highlight w:val="none"/>
        </w:rPr>
        <w:t>路</w:t>
      </w:r>
      <w:r>
        <w:rPr>
          <w:rFonts w:ascii="宋体" w:hAnsi="宋体"/>
          <w:color w:val="auto"/>
          <w:sz w:val="24"/>
          <w:szCs w:val="24"/>
          <w:highlight w:val="none"/>
        </w:rPr>
        <w:t>排水工程为</w:t>
      </w:r>
      <w:r>
        <w:rPr>
          <w:rFonts w:ascii="宋体" w:hAnsi="宋体"/>
          <w:color w:val="auto"/>
          <w:sz w:val="24"/>
          <w:szCs w:val="24"/>
          <w:highlight w:val="none"/>
          <w:u w:val="single"/>
        </w:rPr>
        <w:t xml:space="preserve"> 2 </w:t>
      </w:r>
      <w:r>
        <w:rPr>
          <w:rFonts w:hint="eastAsia" w:ascii="宋体" w:hAnsi="宋体"/>
          <w:color w:val="auto"/>
          <w:sz w:val="24"/>
          <w:szCs w:val="24"/>
          <w:highlight w:val="none"/>
        </w:rPr>
        <w:t>年，市政供水工程为</w:t>
      </w:r>
      <w:r>
        <w:rPr>
          <w:rFonts w:ascii="宋体" w:hAnsi="宋体"/>
          <w:color w:val="auto"/>
          <w:sz w:val="24"/>
          <w:szCs w:val="24"/>
          <w:highlight w:val="none"/>
          <w:u w:val="single"/>
        </w:rPr>
        <w:t xml:space="preserve"> 2 </w:t>
      </w:r>
      <w:r>
        <w:rPr>
          <w:rFonts w:hint="eastAsia" w:ascii="宋体" w:hAnsi="宋体"/>
          <w:color w:val="auto"/>
          <w:sz w:val="24"/>
          <w:szCs w:val="24"/>
          <w:highlight w:val="none"/>
        </w:rPr>
        <w:t>年；</w:t>
      </w:r>
    </w:p>
    <w:p>
      <w:pPr>
        <w:snapToGrid w:val="0"/>
        <w:spacing w:line="440" w:lineRule="exact"/>
        <w:ind w:firstLine="578" w:firstLineChars="241"/>
        <w:rPr>
          <w:rFonts w:ascii="宋体" w:hAnsi="宋体"/>
          <w:color w:val="auto"/>
          <w:sz w:val="24"/>
          <w:szCs w:val="24"/>
          <w:highlight w:val="none"/>
        </w:rPr>
      </w:pPr>
      <w:r>
        <w:rPr>
          <w:rFonts w:ascii="宋体" w:hAnsi="宋体"/>
          <w:color w:val="auto"/>
          <w:sz w:val="24"/>
          <w:szCs w:val="24"/>
          <w:highlight w:val="none"/>
        </w:rPr>
        <w:t>6、市政供电工程为</w:t>
      </w:r>
      <w:r>
        <w:rPr>
          <w:rFonts w:ascii="宋体" w:hAnsi="宋体"/>
          <w:color w:val="auto"/>
          <w:sz w:val="24"/>
          <w:szCs w:val="24"/>
          <w:highlight w:val="none"/>
          <w:u w:val="single"/>
        </w:rPr>
        <w:t xml:space="preserve"> 2 </w:t>
      </w:r>
      <w:r>
        <w:rPr>
          <w:rFonts w:hint="eastAsia" w:ascii="宋体" w:hAnsi="宋体"/>
          <w:color w:val="auto"/>
          <w:sz w:val="24"/>
          <w:szCs w:val="24"/>
          <w:highlight w:val="none"/>
        </w:rPr>
        <w:t>年，市政道路照明工程</w:t>
      </w:r>
      <w:r>
        <w:rPr>
          <w:rFonts w:ascii="宋体" w:hAnsi="宋体"/>
          <w:color w:val="auto"/>
          <w:sz w:val="24"/>
          <w:szCs w:val="24"/>
          <w:highlight w:val="none"/>
          <w:u w:val="single"/>
        </w:rPr>
        <w:t xml:space="preserve"> 2 </w:t>
      </w:r>
      <w:r>
        <w:rPr>
          <w:rFonts w:hint="eastAsia" w:ascii="宋体" w:hAnsi="宋体"/>
          <w:color w:val="auto"/>
          <w:sz w:val="24"/>
          <w:szCs w:val="24"/>
          <w:highlight w:val="none"/>
        </w:rPr>
        <w:t>年，市政交通设施工程为</w:t>
      </w:r>
      <w:r>
        <w:rPr>
          <w:rFonts w:ascii="宋体" w:hAnsi="宋体"/>
          <w:color w:val="auto"/>
          <w:sz w:val="24"/>
          <w:szCs w:val="24"/>
          <w:highlight w:val="none"/>
          <w:u w:val="single"/>
        </w:rPr>
        <w:t xml:space="preserve">   </w:t>
      </w:r>
      <w:r>
        <w:rPr>
          <w:rFonts w:hint="eastAsia" w:ascii="宋体" w:hAnsi="宋体"/>
          <w:color w:val="auto"/>
          <w:sz w:val="24"/>
          <w:szCs w:val="24"/>
          <w:highlight w:val="none"/>
        </w:rPr>
        <w:t>年。</w:t>
      </w:r>
    </w:p>
    <w:p>
      <w:pPr>
        <w:snapToGrid w:val="0"/>
        <w:spacing w:line="440" w:lineRule="exact"/>
        <w:ind w:firstLine="578" w:firstLineChars="241"/>
        <w:rPr>
          <w:rFonts w:ascii="宋体" w:hAnsi="宋体"/>
          <w:color w:val="auto"/>
          <w:sz w:val="24"/>
          <w:szCs w:val="24"/>
          <w:highlight w:val="none"/>
        </w:rPr>
      </w:pPr>
      <w:r>
        <w:rPr>
          <w:rFonts w:ascii="宋体" w:hAnsi="宋体"/>
          <w:color w:val="auto"/>
          <w:sz w:val="24"/>
          <w:szCs w:val="24"/>
          <w:highlight w:val="none"/>
        </w:rPr>
        <w:t>7、园林建筑工程为</w:t>
      </w:r>
      <w:r>
        <w:rPr>
          <w:rFonts w:ascii="宋体" w:hAnsi="宋体"/>
          <w:color w:val="auto"/>
          <w:sz w:val="24"/>
          <w:szCs w:val="24"/>
          <w:highlight w:val="none"/>
          <w:u w:val="single"/>
        </w:rPr>
        <w:t xml:space="preserve"> 1 </w:t>
      </w:r>
      <w:r>
        <w:rPr>
          <w:rFonts w:hint="eastAsia" w:ascii="宋体" w:hAnsi="宋体"/>
          <w:color w:val="auto"/>
          <w:sz w:val="24"/>
          <w:szCs w:val="24"/>
          <w:highlight w:val="none"/>
        </w:rPr>
        <w:t>年，喷淋工程为</w:t>
      </w:r>
      <w:r>
        <w:rPr>
          <w:rFonts w:ascii="宋体" w:hAnsi="宋体"/>
          <w:color w:val="auto"/>
          <w:sz w:val="24"/>
          <w:szCs w:val="24"/>
          <w:highlight w:val="none"/>
          <w:u w:val="single"/>
        </w:rPr>
        <w:t xml:space="preserve"> 2 </w:t>
      </w:r>
      <w:r>
        <w:rPr>
          <w:rFonts w:hint="eastAsia" w:ascii="宋体" w:hAnsi="宋体"/>
          <w:color w:val="auto"/>
          <w:sz w:val="24"/>
          <w:szCs w:val="24"/>
          <w:highlight w:val="none"/>
        </w:rPr>
        <w:t>年，胸径</w:t>
      </w:r>
      <w:r>
        <w:rPr>
          <w:rFonts w:ascii="宋体" w:hAnsi="宋体"/>
          <w:color w:val="auto"/>
          <w:sz w:val="24"/>
          <w:szCs w:val="24"/>
          <w:highlight w:val="none"/>
        </w:rPr>
        <w:t>15cm</w:t>
      </w:r>
      <w:r>
        <w:rPr>
          <w:rFonts w:hint="eastAsia" w:ascii="宋体" w:hAnsi="宋体"/>
          <w:color w:val="auto"/>
          <w:sz w:val="24"/>
          <w:szCs w:val="24"/>
          <w:highlight w:val="none"/>
        </w:rPr>
        <w:t>以内（含</w:t>
      </w:r>
      <w:r>
        <w:rPr>
          <w:rFonts w:ascii="宋体" w:hAnsi="宋体"/>
          <w:color w:val="auto"/>
          <w:sz w:val="24"/>
          <w:szCs w:val="24"/>
          <w:highlight w:val="none"/>
        </w:rPr>
        <w:t>15cm</w:t>
      </w:r>
      <w:r>
        <w:rPr>
          <w:rFonts w:hint="eastAsia" w:ascii="宋体" w:hAnsi="宋体"/>
          <w:color w:val="auto"/>
          <w:sz w:val="24"/>
          <w:szCs w:val="24"/>
          <w:highlight w:val="none"/>
        </w:rPr>
        <w:t>）的苗木养护期为</w:t>
      </w:r>
      <w:r>
        <w:rPr>
          <w:rFonts w:ascii="宋体" w:hAnsi="宋体"/>
          <w:color w:val="auto"/>
          <w:sz w:val="24"/>
          <w:szCs w:val="24"/>
          <w:highlight w:val="none"/>
          <w:u w:val="single"/>
        </w:rPr>
        <w:t xml:space="preserve"> 3 </w:t>
      </w:r>
      <w:r>
        <w:rPr>
          <w:rFonts w:hint="eastAsia" w:ascii="宋体" w:hAnsi="宋体"/>
          <w:color w:val="auto"/>
          <w:sz w:val="24"/>
          <w:szCs w:val="24"/>
          <w:highlight w:val="none"/>
        </w:rPr>
        <w:t>个月，胸径</w:t>
      </w:r>
      <w:r>
        <w:rPr>
          <w:rFonts w:ascii="宋体" w:hAnsi="宋体"/>
          <w:color w:val="auto"/>
          <w:sz w:val="24"/>
          <w:szCs w:val="24"/>
          <w:highlight w:val="none"/>
        </w:rPr>
        <w:t>15cm</w:t>
      </w:r>
      <w:r>
        <w:rPr>
          <w:rFonts w:hint="eastAsia" w:ascii="宋体" w:hAnsi="宋体"/>
          <w:color w:val="auto"/>
          <w:sz w:val="24"/>
          <w:szCs w:val="24"/>
          <w:highlight w:val="none"/>
        </w:rPr>
        <w:t>以上的苗木养护期为</w:t>
      </w:r>
      <w:r>
        <w:rPr>
          <w:rFonts w:ascii="宋体" w:hAnsi="宋体"/>
          <w:color w:val="auto"/>
          <w:sz w:val="24"/>
          <w:szCs w:val="24"/>
          <w:highlight w:val="none"/>
          <w:u w:val="single"/>
        </w:rPr>
        <w:t xml:space="preserve"> 1 </w:t>
      </w:r>
      <w:r>
        <w:rPr>
          <w:rFonts w:hint="eastAsia" w:ascii="宋体" w:hAnsi="宋体"/>
          <w:color w:val="auto"/>
          <w:sz w:val="24"/>
          <w:szCs w:val="24"/>
          <w:highlight w:val="none"/>
        </w:rPr>
        <w:t>年。</w:t>
      </w:r>
    </w:p>
    <w:p>
      <w:pPr>
        <w:snapToGrid w:val="0"/>
        <w:spacing w:line="440" w:lineRule="exact"/>
        <w:ind w:firstLine="578" w:firstLineChars="241"/>
        <w:rPr>
          <w:rFonts w:ascii="宋体" w:hAnsi="宋体"/>
          <w:color w:val="auto"/>
          <w:sz w:val="24"/>
          <w:szCs w:val="24"/>
          <w:highlight w:val="none"/>
        </w:rPr>
      </w:pPr>
      <w:r>
        <w:rPr>
          <w:rFonts w:ascii="宋体" w:hAnsi="宋体"/>
          <w:color w:val="auto"/>
          <w:sz w:val="24"/>
          <w:szCs w:val="24"/>
          <w:highlight w:val="none"/>
        </w:rPr>
        <w:t>8、其他约定：</w:t>
      </w:r>
      <w:r>
        <w:rPr>
          <w:rFonts w:hint="eastAsia" w:ascii="宋体" w:hAnsi="宋体"/>
          <w:color w:val="auto"/>
          <w:sz w:val="24"/>
          <w:szCs w:val="24"/>
          <w:highlight w:val="none"/>
          <w:u w:val="single"/>
        </w:rPr>
        <w:t>按相关规定执行</w:t>
      </w:r>
      <w:r>
        <w:rPr>
          <w:rFonts w:hint="eastAsia" w:ascii="宋体" w:hAnsi="宋体"/>
          <w:color w:val="auto"/>
          <w:sz w:val="24"/>
          <w:szCs w:val="24"/>
          <w:highlight w:val="none"/>
        </w:rPr>
        <w:t>。</w:t>
      </w:r>
    </w:p>
    <w:p>
      <w:pPr>
        <w:numPr>
          <w:ilvl w:val="0"/>
          <w:numId w:val="7"/>
        </w:numPr>
        <w:tabs>
          <w:tab w:val="left" w:pos="1120"/>
        </w:tabs>
        <w:snapToGrid w:val="0"/>
        <w:spacing w:line="440" w:lineRule="exact"/>
        <w:ind w:hanging="420"/>
        <w:rPr>
          <w:rFonts w:ascii="宋体" w:hAnsi="宋体"/>
          <w:b/>
          <w:color w:val="auto"/>
          <w:sz w:val="24"/>
          <w:szCs w:val="24"/>
          <w:highlight w:val="none"/>
        </w:rPr>
      </w:pPr>
      <w:r>
        <w:rPr>
          <w:rFonts w:hint="eastAsia" w:ascii="宋体" w:hAnsi="宋体"/>
          <w:b/>
          <w:color w:val="auto"/>
          <w:sz w:val="24"/>
          <w:szCs w:val="24"/>
          <w:highlight w:val="none"/>
        </w:rPr>
        <w:t>质量保修责任</w:t>
      </w:r>
    </w:p>
    <w:p>
      <w:pPr>
        <w:tabs>
          <w:tab w:val="left" w:pos="980"/>
        </w:tabs>
        <w:snapToGrid w:val="0"/>
        <w:spacing w:line="440" w:lineRule="exact"/>
        <w:ind w:firstLine="480" w:firstLineChars="200"/>
        <w:rPr>
          <w:rFonts w:ascii="宋体" w:hAnsi="宋体"/>
          <w:color w:val="auto"/>
          <w:sz w:val="24"/>
          <w:szCs w:val="24"/>
          <w:highlight w:val="none"/>
        </w:rPr>
      </w:pPr>
      <w:r>
        <w:rPr>
          <w:rFonts w:ascii="宋体" w:hAnsi="宋体"/>
          <w:bCs/>
          <w:color w:val="auto"/>
          <w:sz w:val="24"/>
          <w:szCs w:val="24"/>
          <w:highlight w:val="none"/>
        </w:rPr>
        <w:t>1、</w:t>
      </w:r>
      <w:r>
        <w:rPr>
          <w:rFonts w:hint="eastAsia" w:ascii="宋体" w:hAnsi="宋体"/>
          <w:color w:val="auto"/>
          <w:sz w:val="24"/>
          <w:szCs w:val="24"/>
          <w:highlight w:val="none"/>
        </w:rPr>
        <w:t>属于保修范围的内容项目，承包人应在接到修理通知之日后七天内派人员修理。承包人不在约定期内派人修理，发包人可委托其他人员修理，修理费用从质量保修金内扣除。</w:t>
      </w:r>
    </w:p>
    <w:p>
      <w:pPr>
        <w:tabs>
          <w:tab w:val="left" w:pos="980"/>
        </w:tabs>
        <w:snapToGrid w:val="0"/>
        <w:spacing w:line="440" w:lineRule="exact"/>
        <w:ind w:firstLine="480" w:firstLineChars="200"/>
        <w:rPr>
          <w:rFonts w:ascii="宋体" w:hAnsi="宋体"/>
          <w:color w:val="auto"/>
          <w:sz w:val="24"/>
          <w:szCs w:val="24"/>
          <w:highlight w:val="none"/>
        </w:rPr>
      </w:pPr>
      <w:r>
        <w:rPr>
          <w:rFonts w:ascii="宋体" w:hAnsi="宋体"/>
          <w:color w:val="auto"/>
          <w:sz w:val="24"/>
          <w:szCs w:val="24"/>
          <w:highlight w:val="none"/>
        </w:rPr>
        <w:t>2、发生须紧急抢修事故（如给水管道破裂，排水管道严重堵塞，构造物破坏、损坏，路面严重坍塌等），承包人接到事故通知后，应立即到达事故现场抢修。非承包人施工质量引起的事故，抢修费用由发包人承担。</w:t>
      </w:r>
    </w:p>
    <w:p>
      <w:pPr>
        <w:tabs>
          <w:tab w:val="left" w:pos="980"/>
        </w:tabs>
        <w:snapToGrid w:val="0"/>
        <w:spacing w:line="440" w:lineRule="exact"/>
        <w:ind w:firstLine="480" w:firstLineChars="200"/>
        <w:rPr>
          <w:rFonts w:ascii="宋体" w:hAnsi="宋体"/>
          <w:color w:val="auto"/>
          <w:sz w:val="24"/>
          <w:szCs w:val="24"/>
          <w:highlight w:val="none"/>
        </w:rPr>
      </w:pPr>
      <w:r>
        <w:rPr>
          <w:rFonts w:ascii="宋体" w:hAnsi="宋体"/>
          <w:color w:val="auto"/>
          <w:sz w:val="24"/>
          <w:szCs w:val="24"/>
          <w:highlight w:val="none"/>
        </w:rPr>
        <w:t>3、国家规定的土木、土建、市政工程合理使用期限内，承包人确保主体工程和桥涵构造物的质量和安全。因承包人原因致使工程在合理使用期限内因质量或安全方面的缺陷造成人身和财产损害的，承包人应承担损害赔偿责任。</w:t>
      </w:r>
    </w:p>
    <w:p>
      <w:pPr>
        <w:numPr>
          <w:ilvl w:val="0"/>
          <w:numId w:val="7"/>
        </w:numPr>
        <w:tabs>
          <w:tab w:val="left" w:pos="1120"/>
        </w:tabs>
        <w:snapToGrid w:val="0"/>
        <w:spacing w:line="440" w:lineRule="exact"/>
        <w:ind w:hanging="420"/>
        <w:rPr>
          <w:rFonts w:ascii="宋体" w:hAnsi="宋体"/>
          <w:b/>
          <w:bCs/>
          <w:color w:val="auto"/>
          <w:sz w:val="24"/>
          <w:szCs w:val="24"/>
          <w:highlight w:val="none"/>
        </w:rPr>
      </w:pPr>
      <w:r>
        <w:rPr>
          <w:rFonts w:hint="eastAsia" w:ascii="宋体" w:hAnsi="宋体"/>
          <w:b/>
          <w:bCs/>
          <w:color w:val="auto"/>
          <w:sz w:val="24"/>
          <w:szCs w:val="24"/>
          <w:highlight w:val="none"/>
        </w:rPr>
        <w:t>质量保修金的支付</w:t>
      </w:r>
    </w:p>
    <w:p>
      <w:pPr>
        <w:snapToGrid w:val="0"/>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本工程约定的工程质量保修金为施工合同结算总价款的</w:t>
      </w:r>
      <w:r>
        <w:rPr>
          <w:rFonts w:ascii="宋体" w:hAnsi="宋体"/>
          <w:color w:val="auto"/>
          <w:sz w:val="24"/>
          <w:szCs w:val="24"/>
          <w:highlight w:val="none"/>
          <w:u w:val="single"/>
        </w:rPr>
        <w:t>3</w:t>
      </w:r>
      <w:r>
        <w:rPr>
          <w:rFonts w:ascii="宋体" w:hAnsi="宋体"/>
          <w:color w:val="auto"/>
          <w:sz w:val="24"/>
          <w:szCs w:val="24"/>
          <w:highlight w:val="none"/>
        </w:rPr>
        <w:t>%。</w:t>
      </w:r>
    </w:p>
    <w:p>
      <w:pPr>
        <w:snapToGrid w:val="0"/>
        <w:spacing w:line="440" w:lineRule="exact"/>
        <w:ind w:firstLine="520" w:firstLineChars="250"/>
        <w:rPr>
          <w:rFonts w:ascii="宋体" w:hAnsi="宋体"/>
          <w:color w:val="auto"/>
          <w:spacing w:val="-32"/>
          <w:sz w:val="24"/>
          <w:szCs w:val="24"/>
          <w:highlight w:val="none"/>
        </w:rPr>
      </w:pPr>
      <w:r>
        <w:rPr>
          <w:rFonts w:hint="eastAsia" w:ascii="宋体" w:hAnsi="宋体"/>
          <w:color w:val="auto"/>
          <w:spacing w:val="-16"/>
          <w:sz w:val="24"/>
          <w:szCs w:val="24"/>
          <w:highlight w:val="none"/>
        </w:rPr>
        <w:t>本工程双方约定工程质量保修金金额为</w:t>
      </w:r>
      <w:r>
        <w:rPr>
          <w:rFonts w:ascii="宋体" w:hAnsi="宋体"/>
          <w:color w:val="auto"/>
          <w:sz w:val="24"/>
          <w:szCs w:val="24"/>
          <w:highlight w:val="none"/>
          <w:u w:val="single"/>
        </w:rPr>
        <w:t xml:space="preserve">(大写)    /      </w:t>
      </w:r>
      <w:r>
        <w:rPr>
          <w:rFonts w:hint="eastAsia" w:ascii="宋体" w:hAnsi="宋体"/>
          <w:color w:val="auto"/>
          <w:spacing w:val="-32"/>
          <w:sz w:val="24"/>
          <w:szCs w:val="24"/>
          <w:highlight w:val="none"/>
        </w:rPr>
        <w:t>。</w:t>
      </w:r>
    </w:p>
    <w:p>
      <w:pPr>
        <w:snapToGrid w:val="0"/>
        <w:spacing w:line="440" w:lineRule="exact"/>
        <w:ind w:firstLine="480" w:firstLineChars="200"/>
        <w:rPr>
          <w:rFonts w:ascii="宋体" w:hAnsi="宋体"/>
          <w:bCs/>
          <w:color w:val="auto"/>
          <w:sz w:val="24"/>
          <w:szCs w:val="24"/>
          <w:highlight w:val="none"/>
        </w:rPr>
      </w:pPr>
      <w:r>
        <w:rPr>
          <w:rFonts w:hint="eastAsia" w:ascii="宋体" w:hAnsi="宋体"/>
          <w:color w:val="auto"/>
          <w:sz w:val="24"/>
          <w:szCs w:val="24"/>
          <w:highlight w:val="none"/>
        </w:rPr>
        <w:t>质量保修金银行利率为</w:t>
      </w:r>
      <w:r>
        <w:rPr>
          <w:rFonts w:ascii="宋体" w:hAnsi="宋体"/>
          <w:color w:val="auto"/>
          <w:sz w:val="24"/>
          <w:szCs w:val="24"/>
          <w:highlight w:val="none"/>
          <w:u w:val="single"/>
        </w:rPr>
        <w:t xml:space="preserve">      /     </w:t>
      </w:r>
      <w:r>
        <w:rPr>
          <w:rFonts w:ascii="宋体" w:hAnsi="宋体"/>
          <w:color w:val="auto"/>
          <w:sz w:val="24"/>
          <w:szCs w:val="24"/>
          <w:highlight w:val="none"/>
        </w:rPr>
        <w:t>。</w:t>
      </w:r>
    </w:p>
    <w:p>
      <w:pPr>
        <w:numPr>
          <w:ilvl w:val="0"/>
          <w:numId w:val="7"/>
        </w:numPr>
        <w:tabs>
          <w:tab w:val="left" w:pos="1120"/>
        </w:tabs>
        <w:snapToGrid w:val="0"/>
        <w:spacing w:line="440" w:lineRule="exact"/>
        <w:ind w:hanging="420"/>
        <w:rPr>
          <w:rFonts w:ascii="宋体" w:hAnsi="宋体"/>
          <w:b/>
          <w:color w:val="auto"/>
          <w:sz w:val="24"/>
          <w:szCs w:val="24"/>
          <w:highlight w:val="none"/>
        </w:rPr>
      </w:pPr>
      <w:r>
        <w:rPr>
          <w:rFonts w:hint="eastAsia" w:ascii="宋体" w:hAnsi="宋体"/>
          <w:b/>
          <w:color w:val="auto"/>
          <w:sz w:val="24"/>
          <w:szCs w:val="24"/>
          <w:highlight w:val="none"/>
        </w:rPr>
        <w:t>其他</w:t>
      </w:r>
    </w:p>
    <w:p>
      <w:pPr>
        <w:tabs>
          <w:tab w:val="left" w:pos="980"/>
        </w:tabs>
        <w:spacing w:line="440" w:lineRule="exact"/>
        <w:ind w:firstLine="480" w:firstLineChars="200"/>
        <w:rPr>
          <w:rFonts w:ascii="宋体" w:hAnsi="宋体"/>
          <w:color w:val="auto"/>
          <w:sz w:val="24"/>
          <w:szCs w:val="24"/>
          <w:highlight w:val="none"/>
          <w:u w:val="single"/>
        </w:rPr>
      </w:pPr>
      <w:r>
        <w:rPr>
          <w:rFonts w:hint="eastAsia" w:ascii="宋体" w:hAnsi="宋体"/>
          <w:color w:val="auto"/>
          <w:sz w:val="24"/>
          <w:szCs w:val="24"/>
          <w:highlight w:val="none"/>
        </w:rPr>
        <w:t>双方约定的其他工程质量保修事项：</w:t>
      </w:r>
      <w:r>
        <w:rPr>
          <w:rFonts w:hint="eastAsia" w:ascii="宋体" w:hAnsi="宋体"/>
          <w:color w:val="auto"/>
          <w:sz w:val="24"/>
          <w:szCs w:val="24"/>
          <w:highlight w:val="none"/>
          <w:u w:val="single"/>
        </w:rPr>
        <w:t>保留经广州开发区财政局核定的结算总造价的</w:t>
      </w:r>
      <w:r>
        <w:rPr>
          <w:rFonts w:ascii="宋体" w:hAnsi="宋体"/>
          <w:color w:val="auto"/>
          <w:sz w:val="24"/>
          <w:szCs w:val="24"/>
          <w:highlight w:val="none"/>
          <w:u w:val="single"/>
        </w:rPr>
        <w:t>3%作为保修金，在</w:t>
      </w:r>
      <w:r>
        <w:rPr>
          <w:rFonts w:hint="eastAsia" w:ascii="宋体" w:hAnsi="宋体"/>
          <w:color w:val="auto"/>
          <w:sz w:val="24"/>
          <w:szCs w:val="24"/>
          <w:highlight w:val="none"/>
          <w:u w:val="single"/>
        </w:rPr>
        <w:t>质量缺陷责任</w:t>
      </w:r>
      <w:r>
        <w:rPr>
          <w:rFonts w:ascii="宋体" w:hAnsi="宋体"/>
          <w:color w:val="auto"/>
          <w:sz w:val="24"/>
          <w:szCs w:val="24"/>
          <w:highlight w:val="none"/>
          <w:u w:val="single"/>
        </w:rPr>
        <w:t>期满后结清（不计利息）。</w:t>
      </w:r>
    </w:p>
    <w:p>
      <w:pPr>
        <w:tabs>
          <w:tab w:val="left" w:pos="980"/>
        </w:tabs>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本工程质量保修责任书作为施工合同附件，由施工合同发包人与承包人双方共同签署。</w:t>
      </w:r>
    </w:p>
    <w:p>
      <w:pPr>
        <w:spacing w:line="440" w:lineRule="exact"/>
        <w:ind w:firstLine="397"/>
        <w:jc w:val="left"/>
        <w:rPr>
          <w:rFonts w:ascii="宋体" w:hAnsi="宋体"/>
          <w:color w:val="auto"/>
          <w:sz w:val="24"/>
          <w:szCs w:val="24"/>
          <w:highlight w:val="none"/>
        </w:rPr>
      </w:pPr>
      <w:r>
        <w:rPr>
          <w:rFonts w:hint="eastAsia" w:ascii="宋体" w:hAnsi="宋体"/>
          <w:color w:val="auto"/>
          <w:sz w:val="24"/>
          <w:szCs w:val="24"/>
          <w:highlight w:val="none"/>
        </w:rPr>
        <w:t>发包人（公章）：</w:t>
      </w:r>
      <w:r>
        <w:rPr>
          <w:rFonts w:ascii="宋体" w:hAnsi="宋体"/>
          <w:color w:val="auto"/>
          <w:sz w:val="24"/>
          <w:szCs w:val="24"/>
          <w:highlight w:val="none"/>
        </w:rPr>
        <w:t xml:space="preserve">                       </w:t>
      </w:r>
      <w:r>
        <w:rPr>
          <w:rFonts w:hint="eastAsia" w:ascii="宋体" w:hAnsi="宋体"/>
          <w:color w:val="auto"/>
          <w:sz w:val="24"/>
          <w:szCs w:val="24"/>
          <w:highlight w:val="none"/>
        </w:rPr>
        <w:t>承包人（公章）：</w:t>
      </w:r>
    </w:p>
    <w:p>
      <w:pPr>
        <w:spacing w:line="440" w:lineRule="exact"/>
        <w:ind w:firstLine="397"/>
        <w:jc w:val="left"/>
        <w:rPr>
          <w:rFonts w:ascii="宋体" w:hAnsi="宋体"/>
          <w:color w:val="auto"/>
          <w:sz w:val="24"/>
          <w:szCs w:val="24"/>
          <w:highlight w:val="none"/>
        </w:rPr>
      </w:pPr>
    </w:p>
    <w:p>
      <w:pPr>
        <w:spacing w:line="440" w:lineRule="exact"/>
        <w:ind w:firstLine="397"/>
        <w:jc w:val="left"/>
        <w:rPr>
          <w:rFonts w:ascii="宋体" w:hAnsi="宋体"/>
          <w:color w:val="auto"/>
          <w:sz w:val="24"/>
          <w:szCs w:val="24"/>
          <w:highlight w:val="none"/>
        </w:rPr>
      </w:pPr>
    </w:p>
    <w:p>
      <w:pPr>
        <w:spacing w:line="440" w:lineRule="exact"/>
        <w:ind w:firstLine="397"/>
        <w:jc w:val="left"/>
        <w:rPr>
          <w:rFonts w:ascii="宋体" w:hAnsi="宋体"/>
          <w:color w:val="auto"/>
          <w:sz w:val="24"/>
          <w:szCs w:val="24"/>
          <w:highlight w:val="none"/>
        </w:rPr>
      </w:pPr>
      <w:r>
        <w:rPr>
          <w:rFonts w:hint="eastAsia" w:ascii="宋体" w:hAnsi="宋体"/>
          <w:color w:val="auto"/>
          <w:sz w:val="24"/>
          <w:szCs w:val="24"/>
          <w:highlight w:val="none"/>
        </w:rPr>
        <w:t>法定代表人：</w:t>
      </w:r>
      <w:r>
        <w:rPr>
          <w:rFonts w:ascii="宋体" w:hAnsi="宋体"/>
          <w:color w:val="auto"/>
          <w:sz w:val="24"/>
          <w:szCs w:val="24"/>
          <w:highlight w:val="none"/>
        </w:rPr>
        <w:t xml:space="preserve">                          </w:t>
      </w:r>
      <w:r>
        <w:rPr>
          <w:rFonts w:hint="eastAsia" w:ascii="宋体" w:hAnsi="宋体"/>
          <w:color w:val="auto"/>
          <w:sz w:val="24"/>
          <w:szCs w:val="24"/>
          <w:highlight w:val="none"/>
        </w:rPr>
        <w:t>法定代表人：</w:t>
      </w:r>
    </w:p>
    <w:p>
      <w:pPr>
        <w:spacing w:line="440" w:lineRule="exact"/>
        <w:ind w:firstLine="397"/>
        <w:jc w:val="left"/>
        <w:rPr>
          <w:rFonts w:ascii="宋体" w:hAnsi="宋体"/>
          <w:color w:val="auto"/>
          <w:sz w:val="24"/>
          <w:szCs w:val="24"/>
          <w:highlight w:val="none"/>
        </w:rPr>
      </w:pPr>
    </w:p>
    <w:p>
      <w:pPr>
        <w:spacing w:line="440" w:lineRule="exact"/>
        <w:ind w:firstLine="397"/>
        <w:jc w:val="left"/>
        <w:rPr>
          <w:rFonts w:ascii="宋体" w:hAnsi="宋体"/>
          <w:color w:val="auto"/>
          <w:sz w:val="24"/>
          <w:szCs w:val="24"/>
          <w:highlight w:val="none"/>
        </w:rPr>
      </w:pPr>
    </w:p>
    <w:p>
      <w:pPr>
        <w:spacing w:line="440" w:lineRule="exact"/>
        <w:ind w:firstLine="397"/>
        <w:jc w:val="left"/>
        <w:rPr>
          <w:rFonts w:ascii="宋体" w:hAnsi="宋体"/>
          <w:color w:val="auto"/>
          <w:sz w:val="24"/>
          <w:szCs w:val="24"/>
          <w:highlight w:val="none"/>
        </w:rPr>
      </w:pPr>
      <w:r>
        <w:rPr>
          <w:rFonts w:hint="eastAsia" w:ascii="宋体" w:hAnsi="宋体"/>
          <w:color w:val="auto"/>
          <w:sz w:val="24"/>
          <w:szCs w:val="24"/>
          <w:highlight w:val="none"/>
        </w:rPr>
        <w:t>委托代理人：</w:t>
      </w:r>
      <w:r>
        <w:rPr>
          <w:rFonts w:ascii="宋体" w:hAnsi="宋体"/>
          <w:color w:val="auto"/>
          <w:sz w:val="24"/>
          <w:szCs w:val="24"/>
          <w:highlight w:val="none"/>
        </w:rPr>
        <w:t xml:space="preserve">                          </w:t>
      </w:r>
      <w:r>
        <w:rPr>
          <w:rFonts w:hint="eastAsia" w:ascii="宋体" w:hAnsi="宋体"/>
          <w:color w:val="auto"/>
          <w:sz w:val="24"/>
          <w:szCs w:val="24"/>
          <w:highlight w:val="none"/>
        </w:rPr>
        <w:t>委托代理人：</w:t>
      </w:r>
    </w:p>
    <w:p>
      <w:pPr>
        <w:spacing w:line="440" w:lineRule="exact"/>
        <w:ind w:firstLine="397"/>
        <w:jc w:val="left"/>
        <w:rPr>
          <w:rFonts w:ascii="宋体" w:hAnsi="宋体"/>
          <w:color w:val="auto"/>
          <w:sz w:val="24"/>
          <w:szCs w:val="24"/>
          <w:highlight w:val="none"/>
        </w:rPr>
      </w:pPr>
    </w:p>
    <w:p>
      <w:pPr>
        <w:spacing w:line="440" w:lineRule="exact"/>
        <w:ind w:firstLine="397"/>
        <w:jc w:val="left"/>
        <w:rPr>
          <w:rFonts w:ascii="宋体" w:hAnsi="宋体"/>
          <w:color w:val="auto"/>
          <w:sz w:val="24"/>
          <w:szCs w:val="24"/>
          <w:highlight w:val="none"/>
        </w:rPr>
      </w:pPr>
      <w:r>
        <w:rPr>
          <w:rFonts w:hint="eastAsia" w:ascii="宋体" w:hAnsi="宋体"/>
          <w:color w:val="auto"/>
          <w:sz w:val="24"/>
          <w:szCs w:val="24"/>
          <w:highlight w:val="none"/>
        </w:rPr>
        <w:t>签订时间：</w:t>
      </w:r>
      <w:r>
        <w:rPr>
          <w:rFonts w:ascii="宋体" w:hAnsi="宋体"/>
          <w:color w:val="auto"/>
          <w:sz w:val="24"/>
          <w:szCs w:val="24"/>
          <w:highlight w:val="none"/>
        </w:rPr>
        <w:t xml:space="preserve">   </w:t>
      </w:r>
      <w:r>
        <w:rPr>
          <w:rFonts w:hint="eastAsia" w:ascii="宋体" w:hAnsi="宋体"/>
          <w:color w:val="auto"/>
          <w:sz w:val="24"/>
          <w:szCs w:val="24"/>
          <w:highlight w:val="none"/>
        </w:rPr>
        <w:t>年</w:t>
      </w:r>
      <w:r>
        <w:rPr>
          <w:rFonts w:ascii="宋体" w:hAnsi="宋体"/>
          <w:color w:val="auto"/>
          <w:sz w:val="24"/>
          <w:szCs w:val="24"/>
          <w:highlight w:val="none"/>
        </w:rPr>
        <w:t xml:space="preserve">  </w:t>
      </w:r>
      <w:r>
        <w:rPr>
          <w:rFonts w:hint="eastAsia" w:ascii="宋体" w:hAnsi="宋体"/>
          <w:color w:val="auto"/>
          <w:sz w:val="24"/>
          <w:szCs w:val="24"/>
          <w:highlight w:val="none"/>
        </w:rPr>
        <w:t>月</w:t>
      </w:r>
      <w:r>
        <w:rPr>
          <w:rFonts w:ascii="宋体" w:hAnsi="宋体"/>
          <w:color w:val="auto"/>
          <w:sz w:val="24"/>
          <w:szCs w:val="24"/>
          <w:highlight w:val="none"/>
        </w:rPr>
        <w:t xml:space="preserve">    </w:t>
      </w:r>
      <w:r>
        <w:rPr>
          <w:rFonts w:hint="eastAsia" w:ascii="宋体" w:hAnsi="宋体"/>
          <w:color w:val="auto"/>
          <w:sz w:val="24"/>
          <w:szCs w:val="24"/>
          <w:highlight w:val="none"/>
        </w:rPr>
        <w:t>日</w:t>
      </w:r>
    </w:p>
    <w:p>
      <w:pPr>
        <w:widowControl/>
        <w:jc w:val="left"/>
        <w:rPr>
          <w:rFonts w:ascii="宋体" w:hAnsi="宋体"/>
          <w:color w:val="auto"/>
          <w:sz w:val="24"/>
          <w:szCs w:val="24"/>
          <w:highlight w:val="none"/>
        </w:rPr>
      </w:pPr>
      <w:r>
        <w:rPr>
          <w:rFonts w:ascii="宋体" w:hAnsi="宋体"/>
          <w:color w:val="auto"/>
          <w:sz w:val="24"/>
          <w:szCs w:val="24"/>
          <w:highlight w:val="none"/>
        </w:rPr>
        <w:br w:type="page"/>
      </w:r>
    </w:p>
    <w:p>
      <w:pPr>
        <w:adjustRightInd w:val="0"/>
        <w:snapToGrid w:val="0"/>
        <w:rPr>
          <w:rFonts w:ascii="宋体" w:hAnsi="宋体" w:cs="宋体"/>
          <w:snapToGrid w:val="0"/>
          <w:color w:val="auto"/>
          <w:kern w:val="0"/>
          <w:sz w:val="28"/>
          <w:szCs w:val="28"/>
          <w:highlight w:val="none"/>
        </w:rPr>
      </w:pPr>
      <w:r>
        <w:rPr>
          <w:rFonts w:ascii="宋体" w:hAnsi="宋体" w:cs="宋体"/>
          <w:b/>
          <w:bCs/>
          <w:snapToGrid w:val="0"/>
          <w:color w:val="auto"/>
          <w:kern w:val="0"/>
          <w:sz w:val="28"/>
          <w:szCs w:val="28"/>
          <w:highlight w:val="none"/>
        </w:rPr>
        <w:t>附件：</w:t>
      </w:r>
    </w:p>
    <w:p>
      <w:pPr>
        <w:adjustRightInd w:val="0"/>
        <w:snapToGrid w:val="0"/>
        <w:jc w:val="center"/>
        <w:rPr>
          <w:rFonts w:ascii="宋体" w:hAnsi="宋体" w:cs="宋体"/>
          <w:b/>
          <w:bCs/>
          <w:snapToGrid w:val="0"/>
          <w:color w:val="auto"/>
          <w:kern w:val="0"/>
          <w:sz w:val="28"/>
          <w:szCs w:val="28"/>
          <w:highlight w:val="none"/>
        </w:rPr>
      </w:pPr>
      <w:r>
        <w:rPr>
          <w:rFonts w:hint="eastAsia" w:ascii="宋体" w:hAnsi="宋体" w:cs="宋体"/>
          <w:b/>
          <w:bCs/>
          <w:snapToGrid w:val="0"/>
          <w:color w:val="auto"/>
          <w:kern w:val="0"/>
          <w:sz w:val="28"/>
          <w:szCs w:val="28"/>
          <w:highlight w:val="none"/>
        </w:rPr>
        <w:t>工程建设项目廉政责任书</w:t>
      </w:r>
    </w:p>
    <w:p>
      <w:pPr>
        <w:adjustRightInd w:val="0"/>
        <w:snapToGrid w:val="0"/>
        <w:spacing w:line="400" w:lineRule="exact"/>
        <w:ind w:left="495" w:hanging="495"/>
        <w:rPr>
          <w:rFonts w:ascii="宋体" w:hAnsi="宋体" w:cs="宋体"/>
          <w:snapToGrid w:val="0"/>
          <w:color w:val="auto"/>
          <w:kern w:val="0"/>
          <w:sz w:val="24"/>
          <w:szCs w:val="32"/>
          <w:highlight w:val="none"/>
          <w:u w:val="single"/>
        </w:rPr>
      </w:pPr>
      <w:r>
        <w:rPr>
          <w:rFonts w:hint="eastAsia" w:ascii="宋体" w:hAnsi="宋体" w:cs="宋体"/>
          <w:snapToGrid w:val="0"/>
          <w:color w:val="auto"/>
          <w:kern w:val="0"/>
          <w:sz w:val="24"/>
          <w:szCs w:val="32"/>
          <w:highlight w:val="none"/>
        </w:rPr>
        <w:t>工程项目名称：</w:t>
      </w:r>
      <w:r>
        <w:rPr>
          <w:rFonts w:hint="eastAsia" w:ascii="宋体" w:hAnsi="宋体" w:cs="宋体"/>
          <w:snapToGrid w:val="0"/>
          <w:color w:val="auto"/>
          <w:kern w:val="0"/>
          <w:sz w:val="24"/>
          <w:szCs w:val="32"/>
          <w:highlight w:val="none"/>
          <w:u w:val="single"/>
        </w:rPr>
        <w:t xml:space="preserve">                                </w:t>
      </w:r>
    </w:p>
    <w:p>
      <w:pPr>
        <w:adjustRightInd w:val="0"/>
        <w:snapToGrid w:val="0"/>
        <w:spacing w:line="400" w:lineRule="exact"/>
        <w:ind w:left="495" w:hanging="495"/>
        <w:rPr>
          <w:rFonts w:ascii="宋体" w:hAnsi="宋体" w:cs="宋体"/>
          <w:snapToGrid w:val="0"/>
          <w:color w:val="auto"/>
          <w:kern w:val="0"/>
          <w:sz w:val="24"/>
          <w:szCs w:val="32"/>
          <w:highlight w:val="none"/>
        </w:rPr>
      </w:pPr>
      <w:r>
        <w:rPr>
          <w:rFonts w:hint="eastAsia" w:ascii="宋体" w:hAnsi="宋体" w:cs="宋体"/>
          <w:snapToGrid w:val="0"/>
          <w:color w:val="auto"/>
          <w:kern w:val="0"/>
          <w:sz w:val="24"/>
          <w:szCs w:val="32"/>
          <w:highlight w:val="none"/>
        </w:rPr>
        <w:t>工程项目地址：</w:t>
      </w:r>
      <w:r>
        <w:rPr>
          <w:rFonts w:hint="eastAsia" w:ascii="宋体" w:hAnsi="宋体" w:cs="宋体"/>
          <w:snapToGrid w:val="0"/>
          <w:color w:val="auto"/>
          <w:kern w:val="0"/>
          <w:sz w:val="24"/>
          <w:szCs w:val="32"/>
          <w:highlight w:val="none"/>
          <w:u w:val="single"/>
        </w:rPr>
        <w:t xml:space="preserve">                                </w:t>
      </w:r>
    </w:p>
    <w:p>
      <w:pPr>
        <w:adjustRightInd w:val="0"/>
        <w:snapToGrid w:val="0"/>
        <w:spacing w:line="400" w:lineRule="exact"/>
        <w:rPr>
          <w:rFonts w:ascii="宋体" w:hAnsi="宋体" w:cs="宋体"/>
          <w:snapToGrid w:val="0"/>
          <w:color w:val="auto"/>
          <w:kern w:val="0"/>
          <w:sz w:val="24"/>
          <w:szCs w:val="32"/>
          <w:highlight w:val="none"/>
          <w:u w:val="single"/>
        </w:rPr>
      </w:pPr>
      <w:r>
        <w:rPr>
          <w:rFonts w:hint="eastAsia" w:ascii="宋体" w:hAnsi="宋体" w:cs="宋体"/>
          <w:snapToGrid w:val="0"/>
          <w:color w:val="auto"/>
          <w:kern w:val="0"/>
          <w:sz w:val="24"/>
          <w:szCs w:val="32"/>
          <w:highlight w:val="none"/>
        </w:rPr>
        <w:t xml:space="preserve">甲方： </w:t>
      </w:r>
      <w:r>
        <w:rPr>
          <w:rFonts w:hint="eastAsia" w:ascii="宋体" w:hAnsi="宋体" w:cs="宋体"/>
          <w:snapToGrid w:val="0"/>
          <w:color w:val="auto"/>
          <w:kern w:val="0"/>
          <w:sz w:val="24"/>
          <w:szCs w:val="32"/>
          <w:highlight w:val="none"/>
          <w:u w:val="single"/>
        </w:rPr>
        <w:t xml:space="preserve">                                       </w:t>
      </w:r>
    </w:p>
    <w:p>
      <w:pPr>
        <w:adjustRightInd w:val="0"/>
        <w:snapToGrid w:val="0"/>
        <w:spacing w:line="400" w:lineRule="exact"/>
        <w:rPr>
          <w:rFonts w:ascii="宋体" w:hAnsi="宋体" w:cs="宋体"/>
          <w:snapToGrid w:val="0"/>
          <w:color w:val="auto"/>
          <w:kern w:val="0"/>
          <w:sz w:val="24"/>
          <w:szCs w:val="32"/>
          <w:highlight w:val="none"/>
        </w:rPr>
      </w:pPr>
      <w:r>
        <w:rPr>
          <w:rFonts w:hint="eastAsia" w:ascii="宋体" w:hAnsi="宋体" w:cs="宋体"/>
          <w:snapToGrid w:val="0"/>
          <w:color w:val="auto"/>
          <w:kern w:val="0"/>
          <w:sz w:val="24"/>
          <w:szCs w:val="32"/>
          <w:highlight w:val="none"/>
        </w:rPr>
        <w:t xml:space="preserve">乙方： </w:t>
      </w:r>
      <w:r>
        <w:rPr>
          <w:rFonts w:hint="eastAsia" w:ascii="宋体" w:hAnsi="宋体" w:cs="宋体"/>
          <w:snapToGrid w:val="0"/>
          <w:color w:val="auto"/>
          <w:kern w:val="0"/>
          <w:sz w:val="24"/>
          <w:szCs w:val="32"/>
          <w:highlight w:val="none"/>
          <w:u w:val="single"/>
        </w:rPr>
        <w:t xml:space="preserve">                                       </w:t>
      </w:r>
    </w:p>
    <w:p>
      <w:pPr>
        <w:adjustRightInd w:val="0"/>
        <w:snapToGrid w:val="0"/>
        <w:spacing w:line="400" w:lineRule="exact"/>
        <w:rPr>
          <w:rFonts w:ascii="宋体" w:hAnsi="宋体" w:cs="宋体"/>
          <w:snapToGrid w:val="0"/>
          <w:color w:val="auto"/>
          <w:kern w:val="0"/>
          <w:sz w:val="24"/>
          <w:szCs w:val="32"/>
          <w:highlight w:val="none"/>
        </w:rPr>
      </w:pP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为加强工程建设中的廉政建设，规范工程建设项目的各项活动，防止发生各种谋取不正当利益的违法违纪行为，保护国家、集体和当事人的合法权益，根据国家有关工程建设的法律法规和廉政建设责任制规定，特订立本廉政责任书。</w:t>
      </w:r>
    </w:p>
    <w:p>
      <w:pPr>
        <w:adjustRightInd w:val="0"/>
        <w:snapToGrid w:val="0"/>
        <w:spacing w:line="440" w:lineRule="exact"/>
        <w:ind w:firstLine="482"/>
        <w:rPr>
          <w:rFonts w:ascii="宋体" w:hAnsi="宋体" w:cs="宋体"/>
          <w:b/>
          <w:color w:val="auto"/>
          <w:kern w:val="0"/>
          <w:sz w:val="24"/>
          <w:szCs w:val="24"/>
          <w:highlight w:val="none"/>
        </w:rPr>
      </w:pPr>
      <w:r>
        <w:rPr>
          <w:rFonts w:hint="eastAsia" w:ascii="宋体" w:hAnsi="宋体" w:cs="宋体"/>
          <w:b/>
          <w:snapToGrid w:val="0"/>
          <w:color w:val="auto"/>
          <w:kern w:val="0"/>
          <w:sz w:val="24"/>
          <w:szCs w:val="24"/>
          <w:highlight w:val="none"/>
          <w:lang w:bidi="ar"/>
        </w:rPr>
        <w:t>第一条</w:t>
      </w:r>
      <w:r>
        <w:rPr>
          <w:rFonts w:hint="eastAsia" w:ascii="宋体" w:hAnsi="宋体" w:cs="宋体"/>
          <w:snapToGrid w:val="0"/>
          <w:color w:val="auto"/>
          <w:kern w:val="0"/>
          <w:sz w:val="24"/>
          <w:szCs w:val="24"/>
          <w:highlight w:val="none"/>
          <w:lang w:bidi="ar"/>
        </w:rPr>
        <w:t>甲、乙双方的责任</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（一）应严格遵守国家关于市场准入、项目招标投标、</w:t>
      </w:r>
      <w:r>
        <w:rPr>
          <w:rFonts w:hint="eastAsia" w:ascii="宋体" w:hAnsi="宋体" w:cs="宋体"/>
          <w:color w:val="auto"/>
          <w:kern w:val="0"/>
          <w:sz w:val="24"/>
          <w:szCs w:val="24"/>
          <w:highlight w:val="none"/>
          <w:lang w:bidi="ar"/>
        </w:rPr>
        <w:t>工程建设和市场活动</w:t>
      </w:r>
      <w:r>
        <w:rPr>
          <w:rFonts w:hint="eastAsia" w:ascii="宋体" w:hAnsi="宋体" w:cs="宋体"/>
          <w:snapToGrid w:val="0"/>
          <w:color w:val="auto"/>
          <w:kern w:val="0"/>
          <w:sz w:val="24"/>
          <w:szCs w:val="24"/>
          <w:highlight w:val="none"/>
          <w:lang w:bidi="ar"/>
        </w:rPr>
        <w:t>等有关法律、法规、相关政策，以及廉政建设的各项规定。</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（二）严格执行建设工程项目承发包合同文件，自觉按合同办事。</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（三）业务活动必须坚持公开、公平、公正、诚信、透明的原则（除法律法规另有规定者外），不得为获取不正当的利益，损害国家、集体和对方利益，不得</w:t>
      </w:r>
      <w:r>
        <w:rPr>
          <w:rFonts w:hint="eastAsia" w:ascii="宋体" w:hAnsi="宋体" w:cs="宋体"/>
          <w:color w:val="auto"/>
          <w:kern w:val="0"/>
          <w:sz w:val="24"/>
          <w:szCs w:val="24"/>
          <w:highlight w:val="none"/>
          <w:lang w:bidi="ar"/>
        </w:rPr>
        <w:t>违反工程建设过程管理的规章制度。</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（四）发现对方在业务活动中有违规、违纪、违法行为的，应及时提醒对方，情节严重的，应向其上级主管部门或纪检监察、司法等有关机关举报。</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b/>
          <w:snapToGrid w:val="0"/>
          <w:color w:val="auto"/>
          <w:kern w:val="0"/>
          <w:sz w:val="24"/>
          <w:szCs w:val="24"/>
          <w:highlight w:val="none"/>
          <w:lang w:bidi="ar"/>
        </w:rPr>
        <w:t>第二条</w:t>
      </w:r>
      <w:r>
        <w:rPr>
          <w:rFonts w:hint="eastAsia" w:ascii="宋体" w:hAnsi="宋体" w:cs="宋体"/>
          <w:snapToGrid w:val="0"/>
          <w:color w:val="auto"/>
          <w:kern w:val="0"/>
          <w:sz w:val="24"/>
          <w:szCs w:val="24"/>
          <w:highlight w:val="none"/>
          <w:lang w:bidi="ar"/>
        </w:rPr>
        <w:t>甲方的责任</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甲方的领导和从事本建设工程项目的工作人员，在工程建设的事前、事中、事后应遵守以下规定：</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（一）不准向乙方和相关单位索要或接受回扣、礼金、有价证券、贵重物品和好处费、感谢费等。</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（二）不准在乙方和相关单位报销任何应由甲方或个人支付的费用。</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（三）不准要求、暗示或接受乙方和相关单位为个人装修住房、婚丧嫁娶、配偶子女的工作安排以及出国（境）、旅游等提供方便。</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（四）不准参加有可能影响公正执行公务的乙方及相关单位的宴请、健身、娱乐等活动。</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（五）不准向乙方介绍或为配偶、子女、亲属参与同甲方项目工程合同有关的设备、材料、工程分包、劳务等经济活动。不得以任何理由向乙方和相关单位推荐分包单位。</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b/>
          <w:snapToGrid w:val="0"/>
          <w:color w:val="auto"/>
          <w:kern w:val="0"/>
          <w:sz w:val="24"/>
          <w:szCs w:val="24"/>
          <w:highlight w:val="none"/>
          <w:lang w:bidi="ar"/>
        </w:rPr>
        <w:t>第三条</w:t>
      </w:r>
      <w:r>
        <w:rPr>
          <w:rFonts w:hint="eastAsia" w:ascii="宋体" w:hAnsi="宋体" w:cs="宋体"/>
          <w:snapToGrid w:val="0"/>
          <w:color w:val="auto"/>
          <w:kern w:val="0"/>
          <w:sz w:val="24"/>
          <w:szCs w:val="24"/>
          <w:highlight w:val="none"/>
          <w:lang w:bidi="ar"/>
        </w:rPr>
        <w:t>乙方的责任</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应与甲方保持正常的业务交往，按照有关法律法规和程序开展业务工作，严格执行</w:t>
      </w:r>
      <w:r>
        <w:rPr>
          <w:rFonts w:hint="eastAsia" w:ascii="宋体" w:hAnsi="宋体" w:cs="宋体"/>
          <w:color w:val="auto"/>
          <w:kern w:val="0"/>
          <w:sz w:val="24"/>
          <w:szCs w:val="24"/>
          <w:highlight w:val="none"/>
          <w:lang w:bidi="ar"/>
        </w:rPr>
        <w:t>工程建设过程管理的有关方针、政策，尤其是强制性标准和规范</w:t>
      </w:r>
      <w:r>
        <w:rPr>
          <w:rFonts w:hint="eastAsia" w:ascii="宋体" w:hAnsi="宋体" w:cs="宋体"/>
          <w:snapToGrid w:val="0"/>
          <w:color w:val="auto"/>
          <w:kern w:val="0"/>
          <w:sz w:val="24"/>
          <w:szCs w:val="24"/>
          <w:highlight w:val="none"/>
          <w:lang w:bidi="ar"/>
        </w:rPr>
        <w:t>，并遵守以下规定：</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（一）不准以任何理由向甲方、相关单位及其工作人员索要、接受或赠送礼金、有价证券、贵重物品及回扣、好处费、感谢费等。</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（二）不准以任何理由为甲方和相关单位报销应由对方或个人支付的费用。</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（三）不准接受或暗示为甲方、相关单位或个人装修住房、婚丧嫁娶、配偶子女的工作安排以及出国（境）、旅游等提供方便。</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（四）不准以任何理由为甲方、相关单位或个人组织有可能影响公正执行公务的宴请、健身、娱乐等活动。</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b/>
          <w:snapToGrid w:val="0"/>
          <w:color w:val="auto"/>
          <w:kern w:val="0"/>
          <w:sz w:val="24"/>
          <w:szCs w:val="24"/>
          <w:highlight w:val="none"/>
          <w:lang w:bidi="ar"/>
        </w:rPr>
        <w:t>第四条</w:t>
      </w:r>
      <w:r>
        <w:rPr>
          <w:rFonts w:hint="eastAsia" w:ascii="宋体" w:hAnsi="宋体" w:cs="宋体"/>
          <w:snapToGrid w:val="0"/>
          <w:color w:val="auto"/>
          <w:kern w:val="0"/>
          <w:sz w:val="24"/>
          <w:szCs w:val="24"/>
          <w:highlight w:val="none"/>
          <w:lang w:bidi="ar"/>
        </w:rPr>
        <w:t>违约责任</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一）甲方工作人员有违反本廉政责任书第一、第二条责任行为的，按照管理权限，依据有关法律法规和规定给予党纪、政纪处分或组织处理；涉嫌犯罪的，移交司法机关追究刑事责任；给乙方单位造成经济损失的，应予以赔偿。</w:t>
      </w:r>
    </w:p>
    <w:p>
      <w:pPr>
        <w:adjustRightInd w:val="0"/>
        <w:snapToGrid w:val="0"/>
        <w:spacing w:line="440" w:lineRule="exact"/>
        <w:ind w:firstLine="482"/>
        <w:rPr>
          <w:rFonts w:ascii="宋体" w:hAnsi="宋体" w:cs="宋体"/>
          <w:color w:val="auto"/>
          <w:kern w:val="0"/>
          <w:sz w:val="24"/>
          <w:szCs w:val="24"/>
          <w:highlight w:val="none"/>
        </w:rPr>
      </w:pPr>
      <w:r>
        <w:rPr>
          <w:rFonts w:hint="eastAsia" w:ascii="宋体" w:hAnsi="宋体" w:cs="宋体"/>
          <w:snapToGrid w:val="0"/>
          <w:color w:val="auto"/>
          <w:kern w:val="0"/>
          <w:sz w:val="24"/>
          <w:szCs w:val="24"/>
          <w:highlight w:val="none"/>
          <w:lang w:bidi="ar"/>
        </w:rPr>
        <w:t>（二）乙方工作人员有违反本廉政责任书第一、三条责任行为的，按照管理权限，依据有关法律法规和规定给予党纪、政纪处分或组织处理；涉嫌犯罪的，移交司法机关追究刑事责任；给甲方单位造成经济损失的，应予以赔偿。</w:t>
      </w:r>
    </w:p>
    <w:p>
      <w:pPr>
        <w:adjustRightInd w:val="0"/>
        <w:snapToGrid w:val="0"/>
        <w:spacing w:line="440" w:lineRule="exact"/>
        <w:ind w:firstLine="482"/>
        <w:rPr>
          <w:rFonts w:ascii="宋体" w:hAnsi="宋体" w:cs="宋体"/>
          <w:b/>
          <w:color w:val="auto"/>
          <w:kern w:val="0"/>
          <w:sz w:val="24"/>
          <w:szCs w:val="24"/>
          <w:highlight w:val="none"/>
        </w:rPr>
      </w:pPr>
      <w:r>
        <w:rPr>
          <w:rFonts w:hint="eastAsia" w:ascii="宋体" w:hAnsi="宋体" w:cs="宋体"/>
          <w:b/>
          <w:snapToGrid w:val="0"/>
          <w:color w:val="auto"/>
          <w:kern w:val="0"/>
          <w:sz w:val="24"/>
          <w:szCs w:val="24"/>
          <w:highlight w:val="none"/>
          <w:lang w:bidi="ar"/>
        </w:rPr>
        <w:t>第五条</w:t>
      </w:r>
      <w:r>
        <w:rPr>
          <w:rFonts w:hint="eastAsia" w:ascii="宋体" w:hAnsi="宋体" w:cs="宋体"/>
          <w:snapToGrid w:val="0"/>
          <w:color w:val="auto"/>
          <w:kern w:val="0"/>
          <w:sz w:val="24"/>
          <w:szCs w:val="24"/>
          <w:highlight w:val="none"/>
          <w:lang w:bidi="ar"/>
        </w:rPr>
        <w:t>本廉政责任书作为合同的附件，与合同具有同等法律效力。经双方签署后立即生效。</w:t>
      </w:r>
    </w:p>
    <w:p>
      <w:pPr>
        <w:adjustRightInd w:val="0"/>
        <w:snapToGrid w:val="0"/>
        <w:spacing w:line="440" w:lineRule="exact"/>
        <w:ind w:firstLine="482"/>
        <w:rPr>
          <w:rFonts w:ascii="宋体" w:hAnsi="宋体" w:cs="宋体"/>
          <w:b/>
          <w:color w:val="auto"/>
          <w:kern w:val="0"/>
          <w:sz w:val="24"/>
          <w:szCs w:val="24"/>
          <w:highlight w:val="none"/>
        </w:rPr>
      </w:pPr>
      <w:r>
        <w:rPr>
          <w:rFonts w:hint="eastAsia" w:ascii="宋体" w:hAnsi="宋体" w:cs="宋体"/>
          <w:b/>
          <w:snapToGrid w:val="0"/>
          <w:color w:val="auto"/>
          <w:kern w:val="0"/>
          <w:sz w:val="24"/>
          <w:szCs w:val="24"/>
          <w:highlight w:val="none"/>
          <w:lang w:bidi="ar"/>
        </w:rPr>
        <w:t>第六条</w:t>
      </w:r>
      <w:r>
        <w:rPr>
          <w:rFonts w:hint="eastAsia" w:ascii="宋体" w:hAnsi="宋体" w:cs="宋体"/>
          <w:snapToGrid w:val="0"/>
          <w:color w:val="auto"/>
          <w:kern w:val="0"/>
          <w:sz w:val="24"/>
          <w:szCs w:val="24"/>
          <w:highlight w:val="none"/>
          <w:lang w:bidi="ar"/>
        </w:rPr>
        <w:t>本廉政责任书的有效期与合同的有效期相同。</w:t>
      </w:r>
    </w:p>
    <w:p>
      <w:pPr>
        <w:adjustRightInd w:val="0"/>
        <w:snapToGrid w:val="0"/>
        <w:spacing w:line="440" w:lineRule="exact"/>
        <w:rPr>
          <w:rFonts w:ascii="宋体" w:hAnsi="宋体" w:cs="宋体"/>
          <w:color w:val="auto"/>
          <w:kern w:val="0"/>
          <w:sz w:val="24"/>
          <w:szCs w:val="24"/>
          <w:highlight w:val="none"/>
        </w:rPr>
      </w:pPr>
      <w:r>
        <w:rPr>
          <w:rFonts w:hint="eastAsia" w:ascii="宋体" w:hAnsi="宋体" w:cs="宋体"/>
          <w:b/>
          <w:color w:val="auto"/>
          <w:kern w:val="0"/>
          <w:sz w:val="24"/>
          <w:szCs w:val="24"/>
          <w:highlight w:val="none"/>
          <w:lang w:bidi="ar"/>
        </w:rPr>
        <w:t xml:space="preserve">    </w:t>
      </w:r>
      <w:r>
        <w:rPr>
          <w:rFonts w:hint="eastAsia" w:ascii="宋体" w:hAnsi="宋体" w:cs="宋体"/>
          <w:b/>
          <w:snapToGrid w:val="0"/>
          <w:color w:val="auto"/>
          <w:kern w:val="0"/>
          <w:sz w:val="24"/>
          <w:szCs w:val="24"/>
          <w:highlight w:val="none"/>
          <w:lang w:bidi="ar"/>
        </w:rPr>
        <w:t>第七条</w:t>
      </w:r>
      <w:r>
        <w:rPr>
          <w:rFonts w:hint="eastAsia" w:ascii="宋体" w:hAnsi="宋体" w:cs="宋体"/>
          <w:snapToGrid w:val="0"/>
          <w:color w:val="auto"/>
          <w:kern w:val="0"/>
          <w:sz w:val="24"/>
          <w:szCs w:val="24"/>
          <w:highlight w:val="none"/>
          <w:lang w:bidi="ar"/>
        </w:rPr>
        <w:t>本廉政责任书份数和合同份数一致</w:t>
      </w:r>
      <w:r>
        <w:rPr>
          <w:rFonts w:hint="eastAsia" w:ascii="宋体" w:hAnsi="宋体" w:cs="宋体"/>
          <w:bCs/>
          <w:color w:val="auto"/>
          <w:kern w:val="0"/>
          <w:sz w:val="24"/>
          <w:szCs w:val="24"/>
          <w:highlight w:val="none"/>
          <w:lang w:bidi="ar"/>
        </w:rPr>
        <w:t>。</w:t>
      </w:r>
    </w:p>
    <w:p>
      <w:pPr>
        <w:adjustRightInd w:val="0"/>
        <w:snapToGrid w:val="0"/>
        <w:spacing w:line="380" w:lineRule="exact"/>
        <w:ind w:right="11"/>
        <w:rPr>
          <w:rFonts w:ascii="宋体" w:hAnsi="宋体" w:cs="宋体"/>
          <w:snapToGrid w:val="0"/>
          <w:color w:val="auto"/>
          <w:kern w:val="0"/>
          <w:sz w:val="24"/>
          <w:szCs w:val="24"/>
          <w:highlight w:val="none"/>
        </w:rPr>
      </w:pPr>
    </w:p>
    <w:p>
      <w:pPr>
        <w:adjustRightInd w:val="0"/>
        <w:snapToGrid w:val="0"/>
        <w:spacing w:line="360" w:lineRule="auto"/>
        <w:ind w:left="1920" w:right="11" w:hanging="1920" w:hangingChars="800"/>
        <w:rPr>
          <w:rFonts w:ascii="宋体" w:hAnsi="宋体" w:cs="宋体"/>
          <w:snapToGrid w:val="0"/>
          <w:color w:val="auto"/>
          <w:kern w:val="0"/>
          <w:sz w:val="24"/>
          <w:szCs w:val="32"/>
          <w:highlight w:val="none"/>
        </w:rPr>
      </w:pPr>
      <w:r>
        <w:rPr>
          <w:rFonts w:hint="eastAsia" w:ascii="宋体" w:hAnsi="宋体" w:cs="宋体"/>
          <w:snapToGrid w:val="0"/>
          <w:color w:val="auto"/>
          <w:kern w:val="0"/>
          <w:sz w:val="24"/>
          <w:szCs w:val="32"/>
          <w:highlight w:val="none"/>
        </w:rPr>
        <w:t xml:space="preserve">甲方：                                 乙方： </w:t>
      </w:r>
    </w:p>
    <w:p>
      <w:pPr>
        <w:adjustRightInd w:val="0"/>
        <w:snapToGrid w:val="0"/>
        <w:spacing w:line="360" w:lineRule="auto"/>
        <w:ind w:left="1917" w:leftChars="513" w:right="11" w:hanging="840" w:hangingChars="350"/>
        <w:rPr>
          <w:rFonts w:ascii="宋体" w:hAnsi="宋体" w:cs="宋体"/>
          <w:snapToGrid w:val="0"/>
          <w:color w:val="auto"/>
          <w:kern w:val="0"/>
          <w:sz w:val="24"/>
          <w:szCs w:val="32"/>
          <w:highlight w:val="none"/>
        </w:rPr>
      </w:pPr>
      <w:r>
        <w:rPr>
          <w:rFonts w:hint="eastAsia" w:ascii="宋体" w:hAnsi="宋体" w:cs="宋体"/>
          <w:snapToGrid w:val="0"/>
          <w:color w:val="auto"/>
          <w:kern w:val="0"/>
          <w:sz w:val="24"/>
          <w:szCs w:val="32"/>
          <w:highlight w:val="none"/>
        </w:rPr>
        <w:t xml:space="preserve">                          </w:t>
      </w:r>
    </w:p>
    <w:p>
      <w:pPr>
        <w:adjustRightInd w:val="0"/>
        <w:snapToGrid w:val="0"/>
        <w:spacing w:line="360" w:lineRule="auto"/>
        <w:ind w:right="11"/>
        <w:rPr>
          <w:rFonts w:ascii="宋体" w:hAnsi="宋体" w:cs="宋体"/>
          <w:snapToGrid w:val="0"/>
          <w:color w:val="auto"/>
          <w:kern w:val="0"/>
          <w:sz w:val="24"/>
          <w:szCs w:val="32"/>
          <w:highlight w:val="none"/>
        </w:rPr>
      </w:pPr>
      <w:r>
        <w:rPr>
          <w:rFonts w:hint="eastAsia" w:ascii="宋体" w:hAnsi="宋体" w:cs="宋体"/>
          <w:snapToGrid w:val="0"/>
          <w:color w:val="auto"/>
          <w:kern w:val="0"/>
          <w:sz w:val="24"/>
          <w:szCs w:val="32"/>
          <w:highlight w:val="none"/>
        </w:rPr>
        <w:t>法定代表人：                           法定代表人：</w:t>
      </w:r>
    </w:p>
    <w:p>
      <w:pPr>
        <w:tabs>
          <w:tab w:val="left" w:pos="5460"/>
        </w:tabs>
        <w:adjustRightInd w:val="0"/>
        <w:snapToGrid w:val="0"/>
        <w:spacing w:line="360" w:lineRule="auto"/>
        <w:ind w:left="-2" w:leftChars="-1" w:right="11"/>
        <w:rPr>
          <w:rFonts w:ascii="宋体" w:hAnsi="宋体" w:cs="宋体"/>
          <w:snapToGrid w:val="0"/>
          <w:color w:val="auto"/>
          <w:kern w:val="0"/>
          <w:sz w:val="24"/>
          <w:szCs w:val="32"/>
          <w:highlight w:val="none"/>
        </w:rPr>
      </w:pPr>
    </w:p>
    <w:p>
      <w:pPr>
        <w:tabs>
          <w:tab w:val="left" w:pos="5460"/>
        </w:tabs>
        <w:adjustRightInd w:val="0"/>
        <w:snapToGrid w:val="0"/>
        <w:spacing w:line="360" w:lineRule="auto"/>
        <w:ind w:left="-2" w:leftChars="-1" w:right="11"/>
        <w:rPr>
          <w:rFonts w:ascii="宋体" w:hAnsi="宋体" w:cs="宋体"/>
          <w:snapToGrid w:val="0"/>
          <w:color w:val="auto"/>
          <w:kern w:val="0"/>
          <w:sz w:val="24"/>
          <w:szCs w:val="32"/>
          <w:highlight w:val="none"/>
        </w:rPr>
      </w:pPr>
      <w:r>
        <w:rPr>
          <w:rFonts w:hint="eastAsia" w:ascii="宋体" w:hAnsi="宋体" w:cs="宋体"/>
          <w:snapToGrid w:val="0"/>
          <w:color w:val="auto"/>
          <w:kern w:val="0"/>
          <w:sz w:val="24"/>
          <w:szCs w:val="32"/>
          <w:highlight w:val="none"/>
        </w:rPr>
        <w:t>委托代理人：                           委托代理人：</w:t>
      </w:r>
    </w:p>
    <w:p>
      <w:pPr>
        <w:tabs>
          <w:tab w:val="left" w:pos="5460"/>
        </w:tabs>
        <w:adjustRightInd w:val="0"/>
        <w:snapToGrid w:val="0"/>
        <w:spacing w:line="400" w:lineRule="exact"/>
        <w:ind w:left="-2" w:leftChars="-1" w:right="11"/>
        <w:rPr>
          <w:rFonts w:ascii="宋体" w:hAnsi="宋体" w:cs="宋体"/>
          <w:snapToGrid w:val="0"/>
          <w:color w:val="auto"/>
          <w:kern w:val="0"/>
          <w:sz w:val="24"/>
          <w:szCs w:val="32"/>
          <w:highlight w:val="none"/>
        </w:rPr>
      </w:pPr>
      <w:r>
        <w:rPr>
          <w:rFonts w:hint="eastAsia" w:ascii="宋体" w:hAnsi="宋体" w:cs="宋体"/>
          <w:snapToGrid w:val="0"/>
          <w:color w:val="auto"/>
          <w:kern w:val="0"/>
          <w:sz w:val="24"/>
          <w:szCs w:val="32"/>
          <w:highlight w:val="none"/>
        </w:rPr>
        <w:t>签约日期：</w:t>
      </w:r>
      <w:r>
        <w:rPr>
          <w:rFonts w:hint="eastAsia" w:ascii="宋体" w:hAnsi="宋体" w:cs="宋体"/>
          <w:snapToGrid w:val="0"/>
          <w:color w:val="auto"/>
          <w:kern w:val="0"/>
          <w:sz w:val="24"/>
          <w:szCs w:val="32"/>
          <w:highlight w:val="none"/>
          <w:u w:val="single"/>
        </w:rPr>
        <w:t xml:space="preserve">    </w:t>
      </w:r>
      <w:r>
        <w:rPr>
          <w:rFonts w:hint="eastAsia" w:ascii="宋体" w:hAnsi="宋体" w:cs="宋体"/>
          <w:snapToGrid w:val="0"/>
          <w:color w:val="auto"/>
          <w:kern w:val="0"/>
          <w:sz w:val="24"/>
          <w:szCs w:val="32"/>
          <w:highlight w:val="none"/>
        </w:rPr>
        <w:t>年</w:t>
      </w:r>
      <w:r>
        <w:rPr>
          <w:rFonts w:hint="eastAsia" w:ascii="宋体" w:hAnsi="宋体" w:cs="宋体"/>
          <w:snapToGrid w:val="0"/>
          <w:color w:val="auto"/>
          <w:kern w:val="0"/>
          <w:sz w:val="24"/>
          <w:szCs w:val="32"/>
          <w:highlight w:val="none"/>
          <w:u w:val="single"/>
        </w:rPr>
        <w:t xml:space="preserve">   </w:t>
      </w:r>
      <w:r>
        <w:rPr>
          <w:rFonts w:hint="eastAsia" w:ascii="宋体" w:hAnsi="宋体" w:cs="宋体"/>
          <w:snapToGrid w:val="0"/>
          <w:color w:val="auto"/>
          <w:kern w:val="0"/>
          <w:sz w:val="24"/>
          <w:szCs w:val="32"/>
          <w:highlight w:val="none"/>
        </w:rPr>
        <w:t>月</w:t>
      </w:r>
      <w:r>
        <w:rPr>
          <w:rFonts w:hint="eastAsia" w:ascii="宋体" w:hAnsi="宋体" w:cs="宋体"/>
          <w:snapToGrid w:val="0"/>
          <w:color w:val="auto"/>
          <w:kern w:val="0"/>
          <w:sz w:val="24"/>
          <w:szCs w:val="32"/>
          <w:highlight w:val="none"/>
          <w:u w:val="single"/>
        </w:rPr>
        <w:t xml:space="preserve">   </w:t>
      </w:r>
      <w:r>
        <w:rPr>
          <w:rFonts w:hint="eastAsia" w:ascii="宋体" w:hAnsi="宋体" w:cs="宋体"/>
          <w:snapToGrid w:val="0"/>
          <w:color w:val="auto"/>
          <w:kern w:val="0"/>
          <w:sz w:val="24"/>
          <w:szCs w:val="32"/>
          <w:highlight w:val="none"/>
        </w:rPr>
        <w:t>日</w:t>
      </w:r>
    </w:p>
    <w:p>
      <w:pPr>
        <w:widowControl/>
        <w:tabs>
          <w:tab w:val="left" w:pos="5460"/>
        </w:tabs>
        <w:adjustRightInd w:val="0"/>
        <w:snapToGrid w:val="0"/>
        <w:spacing w:line="400" w:lineRule="exact"/>
        <w:ind w:left="-2" w:leftChars="-1" w:right="11"/>
        <w:jc w:val="left"/>
        <w:rPr>
          <w:rFonts w:ascii="宋体" w:hAnsi="宋体" w:cs="宋体"/>
          <w:snapToGrid w:val="0"/>
          <w:color w:val="auto"/>
          <w:kern w:val="0"/>
          <w:sz w:val="24"/>
          <w:szCs w:val="32"/>
          <w:highlight w:val="none"/>
        </w:rPr>
      </w:pPr>
      <w:r>
        <w:rPr>
          <w:rFonts w:hint="eastAsia" w:ascii="宋体" w:hAnsi="宋体" w:cs="宋体"/>
          <w:snapToGrid w:val="0"/>
          <w:color w:val="auto"/>
          <w:kern w:val="0"/>
          <w:sz w:val="24"/>
          <w:szCs w:val="32"/>
          <w:highlight w:val="none"/>
        </w:rPr>
        <w:t>签约地点：广东省广州市黄埔区。</w:t>
      </w:r>
    </w:p>
    <w:p>
      <w:pPr>
        <w:widowControl/>
        <w:jc w:val="left"/>
        <w:rPr>
          <w:rFonts w:ascii="宋体" w:hAnsi="宋体" w:cs="宋体"/>
          <w:snapToGrid w:val="0"/>
          <w:color w:val="auto"/>
          <w:kern w:val="0"/>
          <w:sz w:val="24"/>
          <w:szCs w:val="32"/>
          <w:highlight w:val="none"/>
        </w:rPr>
      </w:pPr>
    </w:p>
    <w:p>
      <w:pPr>
        <w:widowControl/>
        <w:jc w:val="left"/>
        <w:rPr>
          <w:rFonts w:ascii="仿宋_GB2312" w:hAnsi="Calisto MT" w:eastAsia="仿宋_GB2312"/>
          <w:color w:val="auto"/>
          <w:kern w:val="0"/>
          <w:sz w:val="32"/>
          <w:szCs w:val="20"/>
          <w:highlight w:val="none"/>
        </w:rPr>
      </w:pPr>
      <w:r>
        <w:rPr>
          <w:color w:val="auto"/>
          <w:highlight w:val="none"/>
        </w:rPr>
        <w:br w:type="page"/>
      </w:r>
    </w:p>
    <w:p>
      <w:pPr>
        <w:wordWrap/>
        <w:adjustRightInd w:val="0"/>
        <w:snapToGrid w:val="0"/>
        <w:jc w:val="center"/>
        <w:rPr>
          <w:rFonts w:ascii="宋体" w:hAnsi="宋体" w:cs="宋体"/>
          <w:b/>
          <w:bCs/>
          <w:snapToGrid w:val="0"/>
          <w:color w:val="auto"/>
          <w:kern w:val="0"/>
          <w:sz w:val="28"/>
          <w:szCs w:val="28"/>
          <w:highlight w:val="none"/>
        </w:rPr>
      </w:pPr>
      <w:r>
        <w:rPr>
          <w:rFonts w:hint="eastAsia" w:ascii="宋体" w:hAnsi="宋体" w:cs="宋体"/>
          <w:b/>
          <w:bCs/>
          <w:snapToGrid w:val="0"/>
          <w:color w:val="auto"/>
          <w:kern w:val="0"/>
          <w:sz w:val="28"/>
          <w:szCs w:val="28"/>
          <w:highlight w:val="none"/>
        </w:rPr>
        <w:t>工程预付款资金共管协议</w:t>
      </w:r>
    </w:p>
    <w:p>
      <w:pPr>
        <w:rPr>
          <w:color w:val="auto"/>
          <w:sz w:val="30"/>
          <w:szCs w:val="24"/>
          <w:highlight w:val="none"/>
        </w:rPr>
      </w:pPr>
    </w:p>
    <w:p>
      <w:pPr>
        <w:rPr>
          <w:color w:val="auto"/>
          <w:sz w:val="30"/>
          <w:szCs w:val="24"/>
          <w:highlight w:val="none"/>
        </w:rPr>
      </w:pPr>
    </w:p>
    <w:p>
      <w:pPr>
        <w:jc w:val="center"/>
        <w:rPr>
          <w:rFonts w:ascii="宋体" w:hAnsi="宋体" w:cs="宋体"/>
          <w:b/>
          <w:color w:val="auto"/>
          <w:szCs w:val="21"/>
          <w:highlight w:val="none"/>
        </w:rPr>
      </w:pPr>
    </w:p>
    <w:p>
      <w:pPr>
        <w:wordWrap w:val="0"/>
        <w:jc w:val="center"/>
        <w:rPr>
          <w:rFonts w:ascii="宋体" w:hAnsi="宋体" w:cs="宋体"/>
          <w:b/>
          <w:color w:val="auto"/>
          <w:szCs w:val="21"/>
          <w:highlight w:val="none"/>
        </w:rPr>
      </w:pPr>
      <w:r>
        <w:rPr>
          <w:rFonts w:hint="eastAsia" w:ascii="宋体" w:hAnsi="宋体" w:cs="宋体"/>
          <w:b/>
          <w:color w:val="auto"/>
          <w:szCs w:val="21"/>
          <w:highlight w:val="none"/>
        </w:rPr>
        <w:t xml:space="preserve">                                             协议编号：建管共管协议[  ]号</w:t>
      </w:r>
    </w:p>
    <w:p>
      <w:pPr>
        <w:jc w:val="center"/>
        <w:rPr>
          <w:rFonts w:ascii="宋体" w:hAnsi="宋体" w:cs="仿宋_GB2312"/>
          <w:b/>
          <w:color w:val="auto"/>
          <w:szCs w:val="21"/>
          <w:highlight w:val="none"/>
        </w:rPr>
      </w:pPr>
      <w:r>
        <w:rPr>
          <w:rFonts w:ascii="宋体" w:hAnsi="宋体" w:cs="仿宋_GB2312"/>
          <w:b/>
          <w:color w:val="auto"/>
          <w:szCs w:val="21"/>
          <w:highlight w:val="none"/>
        </w:rPr>
        <w:t xml:space="preserve"> </w:t>
      </w:r>
    </w:p>
    <w:p>
      <w:pPr>
        <w:snapToGrid w:val="0"/>
        <w:spacing w:line="520" w:lineRule="exact"/>
        <w:rPr>
          <w:rFonts w:ascii="宋体" w:hAnsi="宋体"/>
          <w:color w:val="auto"/>
          <w:szCs w:val="21"/>
          <w:highlight w:val="none"/>
        </w:rPr>
      </w:pPr>
      <w:bookmarkStart w:id="163" w:name="_Hlk105681375"/>
      <w:r>
        <w:rPr>
          <w:rFonts w:hint="eastAsia" w:ascii="宋体" w:hAnsi="宋体" w:cs="仿宋_GB2312"/>
          <w:b/>
          <w:color w:val="auto"/>
          <w:szCs w:val="21"/>
          <w:highlight w:val="none"/>
        </w:rPr>
        <w:t>甲      方</w:t>
      </w:r>
      <w:r>
        <w:rPr>
          <w:rFonts w:ascii="宋体" w:hAnsi="宋体" w:cs="仿宋_GB2312"/>
          <w:color w:val="auto"/>
          <w:szCs w:val="21"/>
          <w:highlight w:val="none"/>
        </w:rPr>
        <w:t>(</w:t>
      </w:r>
      <w:r>
        <w:rPr>
          <w:rFonts w:hint="eastAsia" w:ascii="宋体" w:hAnsi="宋体" w:cs="仿宋_GB2312"/>
          <w:color w:val="auto"/>
          <w:szCs w:val="21"/>
          <w:highlight w:val="none"/>
        </w:rPr>
        <w:t>建设业主</w:t>
      </w:r>
      <w:r>
        <w:rPr>
          <w:rFonts w:ascii="宋体" w:hAnsi="宋体" w:cs="仿宋_GB2312"/>
          <w:color w:val="auto"/>
          <w:szCs w:val="21"/>
          <w:highlight w:val="none"/>
        </w:rPr>
        <w:t>)</w:t>
      </w:r>
      <w:bookmarkEnd w:id="163"/>
      <w:r>
        <w:rPr>
          <w:rFonts w:hint="eastAsia" w:ascii="宋体" w:hAnsi="宋体" w:cs="仿宋_GB2312"/>
          <w:color w:val="auto"/>
          <w:szCs w:val="21"/>
          <w:highlight w:val="none"/>
        </w:rPr>
        <w:t xml:space="preserve">： </w:t>
      </w:r>
    </w:p>
    <w:p>
      <w:pPr>
        <w:rPr>
          <w:rFonts w:ascii="宋体" w:hAnsi="宋体" w:cs="仿宋_GB2312"/>
          <w:b/>
          <w:color w:val="auto"/>
          <w:szCs w:val="21"/>
          <w:highlight w:val="none"/>
        </w:rPr>
      </w:pPr>
    </w:p>
    <w:p>
      <w:pPr>
        <w:rPr>
          <w:rFonts w:ascii="宋体" w:hAnsi="宋体" w:cs="仿宋_GB2312"/>
          <w:color w:val="auto"/>
          <w:szCs w:val="21"/>
          <w:highlight w:val="none"/>
        </w:rPr>
      </w:pPr>
      <w:r>
        <w:rPr>
          <w:rFonts w:hint="eastAsia" w:ascii="宋体" w:hAnsi="宋体" w:cs="仿宋_GB2312"/>
          <w:color w:val="auto"/>
          <w:szCs w:val="21"/>
          <w:highlight w:val="none"/>
        </w:rPr>
        <w:t xml:space="preserve">地      址： </w:t>
      </w:r>
    </w:p>
    <w:p>
      <w:pPr>
        <w:rPr>
          <w:rFonts w:ascii="宋体" w:hAnsi="宋体" w:cs="仿宋_GB2312"/>
          <w:color w:val="auto"/>
          <w:szCs w:val="21"/>
          <w:highlight w:val="none"/>
        </w:rPr>
      </w:pPr>
    </w:p>
    <w:p>
      <w:pPr>
        <w:rPr>
          <w:rFonts w:ascii="宋体" w:hAnsi="宋体" w:cs="仿宋_GB2312"/>
          <w:color w:val="auto"/>
          <w:szCs w:val="21"/>
          <w:highlight w:val="none"/>
        </w:rPr>
      </w:pPr>
      <w:r>
        <w:rPr>
          <w:rFonts w:hint="eastAsia" w:ascii="宋体" w:hAnsi="宋体" w:cs="仿宋_GB2312"/>
          <w:color w:val="auto"/>
          <w:szCs w:val="21"/>
          <w:highlight w:val="none"/>
        </w:rPr>
        <w:t xml:space="preserve">电      话： </w:t>
      </w:r>
    </w:p>
    <w:p>
      <w:pPr>
        <w:rPr>
          <w:rFonts w:ascii="宋体" w:hAnsi="宋体" w:cs="仿宋_GB2312"/>
          <w:color w:val="auto"/>
          <w:szCs w:val="21"/>
          <w:highlight w:val="none"/>
        </w:rPr>
      </w:pPr>
      <w:r>
        <w:rPr>
          <w:rFonts w:ascii="宋体" w:hAnsi="宋体" w:cs="仿宋_GB2312"/>
          <w:color w:val="auto"/>
          <w:szCs w:val="21"/>
          <w:highlight w:val="none"/>
        </w:rPr>
        <w:t xml:space="preserve"> </w:t>
      </w:r>
    </w:p>
    <w:p>
      <w:pPr>
        <w:rPr>
          <w:rFonts w:ascii="宋体" w:hAnsi="宋体" w:cs="仿宋_GB2312"/>
          <w:color w:val="auto"/>
          <w:szCs w:val="21"/>
          <w:highlight w:val="none"/>
        </w:rPr>
      </w:pPr>
      <w:r>
        <w:rPr>
          <w:rFonts w:hint="eastAsia" w:ascii="宋体" w:hAnsi="宋体" w:cs="仿宋_GB2312"/>
          <w:color w:val="auto"/>
          <w:szCs w:val="21"/>
          <w:highlight w:val="none"/>
        </w:rPr>
        <w:t>乙      方：</w:t>
      </w:r>
    </w:p>
    <w:p>
      <w:pPr>
        <w:snapToGrid w:val="0"/>
        <w:spacing w:line="520" w:lineRule="exact"/>
        <w:rPr>
          <w:rFonts w:ascii="宋体" w:hAnsi="宋体"/>
          <w:color w:val="auto"/>
          <w:szCs w:val="21"/>
          <w:highlight w:val="none"/>
        </w:rPr>
      </w:pPr>
      <w:r>
        <w:rPr>
          <w:rFonts w:hint="eastAsia" w:ascii="宋体" w:hAnsi="宋体" w:cs="仿宋_GB2312"/>
          <w:color w:val="auto"/>
          <w:szCs w:val="21"/>
          <w:highlight w:val="none"/>
        </w:rPr>
        <w:t>地      址：</w:t>
      </w:r>
    </w:p>
    <w:p>
      <w:pPr>
        <w:rPr>
          <w:rFonts w:ascii="宋体" w:hAnsi="宋体" w:cs="仿宋_GB2312"/>
          <w:color w:val="auto"/>
          <w:szCs w:val="21"/>
          <w:highlight w:val="none"/>
        </w:rPr>
      </w:pPr>
    </w:p>
    <w:p>
      <w:pPr>
        <w:rPr>
          <w:rFonts w:ascii="宋体" w:hAnsi="宋体" w:cs="仿宋_GB2312"/>
          <w:color w:val="auto"/>
          <w:szCs w:val="21"/>
          <w:highlight w:val="none"/>
        </w:rPr>
      </w:pPr>
      <w:r>
        <w:rPr>
          <w:rFonts w:hint="eastAsia" w:ascii="宋体" w:hAnsi="宋体" w:cs="仿宋_GB2312"/>
          <w:color w:val="auto"/>
          <w:szCs w:val="21"/>
          <w:highlight w:val="none"/>
        </w:rPr>
        <w:t xml:space="preserve">电      话： </w:t>
      </w:r>
    </w:p>
    <w:p>
      <w:pPr>
        <w:rPr>
          <w:rFonts w:ascii="宋体" w:hAnsi="宋体" w:cs="仿宋_GB2312"/>
          <w:color w:val="auto"/>
          <w:szCs w:val="21"/>
          <w:highlight w:val="none"/>
        </w:rPr>
      </w:pPr>
    </w:p>
    <w:p>
      <w:pPr>
        <w:rPr>
          <w:rFonts w:ascii="宋体" w:hAnsi="宋体" w:cs="仿宋_GB2312"/>
          <w:color w:val="auto"/>
          <w:szCs w:val="21"/>
          <w:highlight w:val="none"/>
        </w:rPr>
      </w:pPr>
      <w:r>
        <w:rPr>
          <w:rFonts w:hint="eastAsia" w:ascii="宋体" w:hAnsi="宋体" w:cs="仿宋_GB2312"/>
          <w:color w:val="auto"/>
          <w:szCs w:val="21"/>
          <w:highlight w:val="none"/>
        </w:rPr>
        <w:t xml:space="preserve">丙    方（共管银行）：  </w:t>
      </w:r>
    </w:p>
    <w:p>
      <w:pPr>
        <w:rPr>
          <w:rFonts w:ascii="宋体" w:hAnsi="宋体" w:cs="仿宋_GB2312"/>
          <w:color w:val="auto"/>
          <w:szCs w:val="21"/>
          <w:highlight w:val="none"/>
        </w:rPr>
      </w:pPr>
    </w:p>
    <w:p>
      <w:pPr>
        <w:rPr>
          <w:rFonts w:ascii="宋体" w:hAnsi="宋体" w:cs="仿宋_GB2312"/>
          <w:color w:val="auto"/>
          <w:szCs w:val="21"/>
          <w:highlight w:val="none"/>
        </w:rPr>
      </w:pPr>
      <w:r>
        <w:rPr>
          <w:rFonts w:hint="eastAsia" w:ascii="宋体" w:hAnsi="宋体" w:cs="仿宋_GB2312"/>
          <w:color w:val="auto"/>
          <w:szCs w:val="21"/>
          <w:highlight w:val="none"/>
        </w:rPr>
        <w:t xml:space="preserve">地      址：  </w:t>
      </w:r>
    </w:p>
    <w:p>
      <w:pPr>
        <w:rPr>
          <w:rFonts w:ascii="宋体" w:hAnsi="宋体" w:cs="仿宋_GB2312"/>
          <w:color w:val="auto"/>
          <w:szCs w:val="21"/>
          <w:highlight w:val="none"/>
        </w:rPr>
      </w:pPr>
    </w:p>
    <w:p>
      <w:pPr>
        <w:rPr>
          <w:rFonts w:ascii="宋体" w:hAnsi="宋体" w:cs="仿宋_GB2312"/>
          <w:color w:val="auto"/>
          <w:szCs w:val="21"/>
          <w:highlight w:val="none"/>
        </w:rPr>
      </w:pPr>
      <w:r>
        <w:rPr>
          <w:rFonts w:hint="eastAsia" w:ascii="宋体" w:hAnsi="宋体" w:cs="仿宋_GB2312"/>
          <w:color w:val="auto"/>
          <w:szCs w:val="21"/>
          <w:highlight w:val="none"/>
        </w:rPr>
        <w:t xml:space="preserve">电      话： </w:t>
      </w:r>
    </w:p>
    <w:p>
      <w:pPr>
        <w:snapToGrid w:val="0"/>
        <w:spacing w:line="500" w:lineRule="atLeast"/>
        <w:ind w:left="210" w:leftChars="100" w:firstLine="210" w:firstLineChars="100"/>
        <w:rPr>
          <w:rFonts w:ascii="宋体" w:hAnsi="宋体" w:cs="仿宋_GB2312"/>
          <w:color w:val="auto"/>
          <w:szCs w:val="21"/>
          <w:highlight w:val="none"/>
        </w:rPr>
      </w:pPr>
      <w:r>
        <w:rPr>
          <w:rFonts w:hint="eastAsia" w:ascii="宋体" w:hAnsi="宋体" w:cs="仿宋_GB2312"/>
          <w:color w:val="auto"/>
          <w:szCs w:val="21"/>
          <w:highlight w:val="none"/>
        </w:rPr>
        <w:t>根据</w:t>
      </w:r>
      <w:r>
        <w:rPr>
          <w:rFonts w:hint="eastAsia" w:ascii="宋体" w:hAnsi="宋体" w:cs="仿宋_GB2312"/>
          <w:color w:val="auto"/>
          <w:szCs w:val="21"/>
          <w:highlight w:val="none"/>
          <w:u w:val="single"/>
        </w:rPr>
        <w:t xml:space="preserve"> </w:t>
      </w:r>
      <w:r>
        <w:rPr>
          <w:rFonts w:ascii="宋体" w:hAnsi="宋体" w:cs="仿宋_GB2312"/>
          <w:color w:val="auto"/>
          <w:szCs w:val="21"/>
          <w:highlight w:val="none"/>
          <w:u w:val="single"/>
        </w:rPr>
        <w:t xml:space="preserve">     </w:t>
      </w:r>
      <w:r>
        <w:rPr>
          <w:rFonts w:ascii="宋体" w:hAnsi="宋体" w:cs="仿宋_GB2312"/>
          <w:color w:val="auto"/>
          <w:szCs w:val="21"/>
          <w:highlight w:val="none"/>
        </w:rPr>
        <w:t xml:space="preserve"> </w:t>
      </w:r>
      <w:r>
        <w:rPr>
          <w:rFonts w:hint="eastAsia" w:ascii="宋体" w:hAnsi="宋体" w:cs="仿宋_GB2312"/>
          <w:color w:val="auto"/>
          <w:szCs w:val="21"/>
          <w:highlight w:val="none"/>
        </w:rPr>
        <w:t>工程的代建单位</w:t>
      </w:r>
      <w:r>
        <w:rPr>
          <w:rFonts w:hint="eastAsia" w:ascii="宋体" w:hAnsi="宋体" w:cs="仿宋_GB2312"/>
          <w:color w:val="auto"/>
          <w:szCs w:val="21"/>
          <w:highlight w:val="none"/>
          <w:u w:val="single"/>
        </w:rPr>
        <w:t xml:space="preserve"> </w:t>
      </w:r>
      <w:r>
        <w:rPr>
          <w:rFonts w:ascii="宋体" w:hAnsi="宋体" w:cs="仿宋_GB2312"/>
          <w:color w:val="auto"/>
          <w:szCs w:val="21"/>
          <w:highlight w:val="none"/>
          <w:u w:val="single"/>
        </w:rPr>
        <w:t xml:space="preserve">            </w:t>
      </w:r>
      <w:r>
        <w:rPr>
          <w:rFonts w:hint="eastAsia" w:ascii="宋体" w:hAnsi="宋体" w:cs="仿宋_GB2312"/>
          <w:color w:val="auto"/>
          <w:szCs w:val="21"/>
          <w:highlight w:val="none"/>
        </w:rPr>
        <w:t xml:space="preserve">与乙方签署的《    施工总承包合同 》（合同编号：    </w:t>
      </w:r>
    </w:p>
    <w:p>
      <w:pPr>
        <w:snapToGrid w:val="0"/>
        <w:spacing w:line="500" w:lineRule="atLeast"/>
        <w:rPr>
          <w:rFonts w:ascii="宋体" w:hAnsi="宋体"/>
          <w:bCs/>
          <w:color w:val="auto"/>
          <w:szCs w:val="21"/>
          <w:highlight w:val="none"/>
          <w:u w:val="single"/>
        </w:rPr>
      </w:pPr>
      <w:r>
        <w:rPr>
          <w:rFonts w:hint="eastAsia" w:ascii="宋体" w:hAnsi="宋体" w:cs="仿宋_GB2312"/>
          <w:color w:val="auto"/>
          <w:szCs w:val="21"/>
          <w:highlight w:val="none"/>
        </w:rPr>
        <w:t>（以下</w:t>
      </w:r>
      <w:r>
        <w:rPr>
          <w:rFonts w:hint="eastAsia" w:ascii="宋体" w:hAnsi="宋体" w:cs="仿宋_GB2312"/>
          <w:color w:val="auto"/>
          <w:szCs w:val="21"/>
          <w:highlight w:val="none"/>
          <w:lang w:val="en-US" w:eastAsia="zh-CN"/>
        </w:rPr>
        <w:t>统</w:t>
      </w:r>
      <w:r>
        <w:rPr>
          <w:rFonts w:hint="eastAsia" w:ascii="宋体" w:hAnsi="宋体" w:cs="仿宋_GB2312"/>
          <w:color w:val="auto"/>
          <w:szCs w:val="21"/>
          <w:highlight w:val="none"/>
        </w:rPr>
        <w:t>称“《施工合同》”）。为加强和规范该施工合同下工程建设资金使用的控制管理，防范和化解资金风险，确保建设资金安全和专款专用，确保合同的顺利履行，以满足工程建设资金需要，进一步提高工程投资效益，根据《中华人民共和国民法典》、《中华人民共和国建筑法》、《人民币银行结算账户管理办法》、《</w:t>
      </w:r>
      <w:r>
        <w:rPr>
          <w:rFonts w:hint="eastAsia" w:ascii="宋体" w:hAnsi="宋体" w:cs="仿宋_GB2312"/>
          <w:color w:val="auto"/>
          <w:szCs w:val="21"/>
          <w:highlight w:val="none"/>
          <w:lang w:eastAsia="zh-CN"/>
        </w:rPr>
        <w:t>共管工程预付款使用监管办法</w:t>
      </w:r>
      <w:r>
        <w:rPr>
          <w:rFonts w:hint="eastAsia" w:ascii="宋体" w:hAnsi="宋体" w:cs="仿宋_GB2312"/>
          <w:color w:val="auto"/>
          <w:szCs w:val="21"/>
          <w:highlight w:val="none"/>
        </w:rPr>
        <w:t>》等有关规定，经甲、乙、丙三方在平等、自愿基础上协商一致，特订立本协议。</w:t>
      </w:r>
    </w:p>
    <w:p>
      <w:pPr>
        <w:rPr>
          <w:rFonts w:ascii="宋体" w:hAnsi="宋体" w:cs="仿宋_GB2312"/>
          <w:color w:val="auto"/>
          <w:szCs w:val="21"/>
          <w:highlight w:val="none"/>
        </w:rPr>
      </w:pPr>
      <w:r>
        <w:rPr>
          <w:rFonts w:ascii="宋体" w:hAnsi="宋体" w:cs="仿宋_GB2312"/>
          <w:color w:val="auto"/>
          <w:szCs w:val="21"/>
          <w:highlight w:val="none"/>
        </w:rPr>
        <w:t xml:space="preserve">    </w:t>
      </w:r>
    </w:p>
    <w:p>
      <w:pPr>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第一条 共管资金及共管账户</w:t>
      </w:r>
    </w:p>
    <w:p>
      <w:pPr>
        <w:spacing w:line="500" w:lineRule="exact"/>
        <w:ind w:left="0" w:firstLine="298" w:firstLineChars="142"/>
        <w:rPr>
          <w:rFonts w:ascii="宋体" w:hAnsi="宋体" w:cs="仿宋_GB2312"/>
          <w:color w:val="auto"/>
          <w:szCs w:val="21"/>
          <w:highlight w:val="none"/>
        </w:rPr>
      </w:pPr>
      <w:r>
        <w:rPr>
          <w:rFonts w:ascii="宋体" w:hAnsi="宋体" w:cs="仿宋_GB2312"/>
          <w:color w:val="auto"/>
          <w:szCs w:val="21"/>
          <w:highlight w:val="none"/>
        </w:rPr>
        <w:t xml:space="preserve">1. </w:t>
      </w:r>
      <w:r>
        <w:rPr>
          <w:rFonts w:hint="eastAsia" w:ascii="宋体" w:hAnsi="宋体" w:cs="仿宋_GB2312"/>
          <w:color w:val="auto"/>
          <w:szCs w:val="21"/>
          <w:highlight w:val="none"/>
        </w:rPr>
        <w:t>共管资金：指依据《施工合同》及《</w:t>
      </w:r>
      <w:r>
        <w:rPr>
          <w:rFonts w:hint="eastAsia" w:ascii="宋体" w:hAnsi="宋体" w:cs="仿宋_GB2312"/>
          <w:color w:val="auto"/>
          <w:szCs w:val="21"/>
          <w:highlight w:val="none"/>
          <w:lang w:eastAsia="zh-CN"/>
        </w:rPr>
        <w:t>共管工程预付款使用监管办法</w:t>
      </w:r>
      <w:r>
        <w:rPr>
          <w:rFonts w:hint="eastAsia" w:ascii="宋体" w:hAnsi="宋体" w:cs="仿宋_GB2312"/>
          <w:color w:val="auto"/>
          <w:szCs w:val="21"/>
          <w:highlight w:val="none"/>
        </w:rPr>
        <w:t>》相关约定，甲、乙、丙三方约定共同管理在本协议有效期内转入共管账户的专项资金，且委托丙方对共管资金进行保管，并遵循专款专用原则，在符合约定划款程序的情况下按甲、乙双方的指令要求进行资金的使用划转。</w:t>
      </w:r>
    </w:p>
    <w:p>
      <w:pPr>
        <w:numPr>
          <w:ilvl w:val="0"/>
          <w:numId w:val="8"/>
        </w:numPr>
        <w:spacing w:line="500" w:lineRule="exact"/>
        <w:ind w:left="0" w:firstLine="298" w:firstLineChars="142"/>
        <w:rPr>
          <w:rFonts w:ascii="宋体" w:hAnsi="宋体" w:cs="仿宋_GB2312"/>
          <w:color w:val="auto"/>
          <w:szCs w:val="21"/>
          <w:highlight w:val="none"/>
        </w:rPr>
      </w:pPr>
      <w:r>
        <w:rPr>
          <w:rFonts w:hint="eastAsia" w:ascii="宋体" w:hAnsi="宋体" w:cs="仿宋_GB2312"/>
          <w:color w:val="auto"/>
          <w:szCs w:val="21"/>
          <w:highlight w:val="none"/>
        </w:rPr>
        <w:t>共管账户：乙方应在本协议签订之日起五个工作日内，持本协议及其他开户资料在</w:t>
      </w:r>
      <w:r>
        <w:rPr>
          <w:rFonts w:hint="eastAsia" w:ascii="宋体" w:hAnsi="宋体" w:cs="仿宋_GB2312"/>
          <w:color w:val="auto"/>
          <w:szCs w:val="21"/>
          <w:highlight w:val="none"/>
          <w:u w:val="single"/>
        </w:rPr>
        <w:t>丙方辖区内分支机构开立资金共管账户，</w:t>
      </w:r>
      <w:r>
        <w:rPr>
          <w:rFonts w:hint="eastAsia" w:ascii="宋体" w:hAnsi="宋体" w:cs="仿宋_GB2312"/>
          <w:color w:val="auto"/>
          <w:szCs w:val="21"/>
          <w:highlight w:val="none"/>
        </w:rPr>
        <w:t>用于共管资金的转入及划转。</w:t>
      </w:r>
    </w:p>
    <w:p>
      <w:pPr>
        <w:numPr>
          <w:ilvl w:val="0"/>
          <w:numId w:val="8"/>
        </w:numPr>
        <w:spacing w:line="500" w:lineRule="exact"/>
        <w:ind w:left="0" w:firstLine="298" w:firstLineChars="142"/>
        <w:rPr>
          <w:rFonts w:ascii="宋体" w:hAnsi="宋体" w:cs="仿宋_GB2312"/>
          <w:color w:val="auto"/>
          <w:szCs w:val="21"/>
          <w:highlight w:val="none"/>
        </w:rPr>
      </w:pPr>
      <w:r>
        <w:rPr>
          <w:rFonts w:hint="eastAsia" w:ascii="宋体" w:hAnsi="宋体" w:cs="仿宋_GB2312"/>
          <w:color w:val="auto"/>
          <w:szCs w:val="21"/>
          <w:highlight w:val="none"/>
        </w:rPr>
        <w:t>该账户仅限于本协议约定之专项资金的共管和清算使用，不得用于除此之外的其它任何活动。共管账户由丙方管理，账户资金不得提现、通兑及透支，仅可开通查询版网银。</w:t>
      </w:r>
    </w:p>
    <w:p>
      <w:pPr>
        <w:ind w:firstLine="420" w:firstLineChars="200"/>
        <w:rPr>
          <w:rFonts w:ascii="宋体" w:hAnsi="宋体" w:cs="仿宋_GB2312"/>
          <w:color w:val="auto"/>
          <w:szCs w:val="21"/>
          <w:highlight w:val="none"/>
        </w:rPr>
      </w:pPr>
    </w:p>
    <w:p>
      <w:pPr>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第二条 合同各方的权利与义务</w:t>
      </w:r>
    </w:p>
    <w:p>
      <w:pPr>
        <w:spacing w:line="500" w:lineRule="exact"/>
        <w:ind w:left="1" w:firstLine="298" w:firstLineChars="142"/>
        <w:rPr>
          <w:rFonts w:ascii="宋体" w:hAnsi="宋体" w:cs="仿宋_GB2312"/>
          <w:color w:val="auto"/>
          <w:szCs w:val="21"/>
          <w:highlight w:val="none"/>
        </w:rPr>
      </w:pPr>
      <w:r>
        <w:rPr>
          <w:rFonts w:ascii="宋体" w:hAnsi="宋体" w:cs="仿宋_GB2312"/>
          <w:color w:val="auto"/>
          <w:szCs w:val="21"/>
          <w:highlight w:val="none"/>
        </w:rPr>
        <w:t xml:space="preserve">1. </w:t>
      </w:r>
      <w:r>
        <w:rPr>
          <w:rFonts w:hint="eastAsia" w:ascii="宋体" w:hAnsi="宋体" w:cs="仿宋_GB2312"/>
          <w:color w:val="auto"/>
          <w:szCs w:val="21"/>
          <w:highlight w:val="none"/>
        </w:rPr>
        <w:t>甲方的权利与义务</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1）本协议约定之共管资金，甲方划拨至本协议约定的共管账户。甲方有权审核乙方提出的共管账户资金的《用款申请书》（格式见附件一）、《管理人员工资发放明细表》（含经乙方盖章核实的上期实际支付及本期支付计划）（格式见附件二）及《</w:t>
      </w:r>
      <w:r>
        <w:rPr>
          <w:rFonts w:hint="eastAsia" w:ascii="宋体" w:hAnsi="宋体" w:cs="仿宋_GB2312"/>
          <w:color w:val="auto"/>
          <w:szCs w:val="21"/>
          <w:highlight w:val="none"/>
          <w:lang w:eastAsia="zh-CN"/>
        </w:rPr>
        <w:t>共管工程预付款使用监管办法</w:t>
      </w:r>
      <w:r>
        <w:rPr>
          <w:rFonts w:hint="eastAsia" w:ascii="宋体" w:hAnsi="宋体" w:cs="仿宋_GB2312"/>
          <w:color w:val="auto"/>
          <w:szCs w:val="21"/>
          <w:highlight w:val="none"/>
        </w:rPr>
        <w:t>》规定的其他所需材料，并出具《共管账户划款通知书》（格式见附件三）；</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（2）甲方向丙方提交预留关于《共管账户划款通知》中的印鉴样式。</w:t>
      </w:r>
    </w:p>
    <w:p>
      <w:pPr>
        <w:spacing w:line="500" w:lineRule="exact"/>
        <w:ind w:firstLine="420" w:firstLineChars="200"/>
        <w:rPr>
          <w:rFonts w:ascii="宋体" w:hAnsi="宋体" w:cs="仿宋_GB2312"/>
          <w:color w:val="auto"/>
          <w:szCs w:val="21"/>
          <w:highlight w:val="none"/>
        </w:rPr>
      </w:pPr>
      <w:r>
        <w:rPr>
          <w:rFonts w:ascii="宋体" w:hAnsi="宋体" w:cs="仿宋_GB2312"/>
          <w:color w:val="auto"/>
          <w:szCs w:val="21"/>
          <w:highlight w:val="none"/>
        </w:rPr>
        <w:t>（3）</w:t>
      </w:r>
      <w:r>
        <w:rPr>
          <w:rFonts w:hint="eastAsia" w:ascii="宋体" w:hAnsi="宋体" w:cs="仿宋_GB2312"/>
          <w:color w:val="auto"/>
          <w:szCs w:val="21"/>
          <w:highlight w:val="none"/>
        </w:rPr>
        <w:t>甲方有权按本协议约定查阅该共管账户的收支情况；甲方有权依本协议要求乙方提供资金流向支付凭证（包括但不仅限于合同、发票、采购清单等）和银行存款日记账等，要求丙方提供该账户余额、流水等信息。</w:t>
      </w:r>
    </w:p>
    <w:p>
      <w:pPr>
        <w:spacing w:line="500" w:lineRule="exact"/>
        <w:ind w:left="1" w:firstLine="298" w:firstLineChars="142"/>
        <w:rPr>
          <w:rFonts w:ascii="宋体" w:hAnsi="宋体" w:cs="仿宋_GB2312"/>
          <w:color w:val="auto"/>
          <w:szCs w:val="21"/>
          <w:highlight w:val="none"/>
        </w:rPr>
      </w:pPr>
      <w:r>
        <w:rPr>
          <w:rFonts w:ascii="宋体" w:hAnsi="宋体" w:cs="仿宋_GB2312"/>
          <w:color w:val="auto"/>
          <w:szCs w:val="21"/>
          <w:highlight w:val="none"/>
        </w:rPr>
        <w:t xml:space="preserve">2. </w:t>
      </w:r>
      <w:r>
        <w:rPr>
          <w:rFonts w:hint="eastAsia" w:ascii="宋体" w:hAnsi="宋体" w:cs="仿宋_GB2312"/>
          <w:color w:val="auto"/>
          <w:szCs w:val="21"/>
          <w:highlight w:val="none"/>
        </w:rPr>
        <w:t>乙方的权利与义务</w:t>
      </w:r>
    </w:p>
    <w:p>
      <w:pPr>
        <w:spacing w:line="500" w:lineRule="exact"/>
        <w:ind w:left="1" w:firstLine="298" w:firstLineChars="142"/>
        <w:rPr>
          <w:rFonts w:ascii="宋体" w:hAnsi="宋体" w:cs="仿宋_GB2312"/>
          <w:color w:val="auto"/>
          <w:szCs w:val="21"/>
          <w:highlight w:val="none"/>
        </w:rPr>
      </w:pPr>
      <w:r>
        <w:rPr>
          <w:rFonts w:hint="eastAsia" w:ascii="宋体" w:hAnsi="宋体" w:cs="仿宋_GB2312"/>
          <w:color w:val="auto"/>
          <w:szCs w:val="21"/>
          <w:highlight w:val="none"/>
        </w:rPr>
        <w:t>（</w:t>
      </w:r>
      <w:r>
        <w:rPr>
          <w:rFonts w:ascii="宋体" w:hAnsi="宋体" w:cs="仿宋_GB2312"/>
          <w:color w:val="auto"/>
          <w:szCs w:val="21"/>
          <w:highlight w:val="none"/>
        </w:rPr>
        <w:t>1</w:t>
      </w:r>
      <w:r>
        <w:rPr>
          <w:rFonts w:hint="eastAsia" w:ascii="宋体" w:hAnsi="宋体" w:cs="仿宋_GB2312"/>
          <w:color w:val="auto"/>
          <w:szCs w:val="21"/>
          <w:highlight w:val="none"/>
        </w:rPr>
        <w:t>）乙方依据本协议约定向甲方提交《用款申请书》（格式见附件一）、《管理人员工资发放明细表》（含经乙方盖章核实的上期实际支付及本期支付计划）（格式见附件二）及相关文件凭证，相关材料必须真实、准确、合法；</w:t>
      </w:r>
    </w:p>
    <w:p>
      <w:pPr>
        <w:spacing w:line="500" w:lineRule="exact"/>
        <w:ind w:left="1" w:firstLine="298" w:firstLineChars="142"/>
        <w:rPr>
          <w:rFonts w:ascii="宋体" w:hAnsi="宋体" w:cs="仿宋_GB2312"/>
          <w:color w:val="auto"/>
          <w:szCs w:val="21"/>
          <w:highlight w:val="none"/>
        </w:rPr>
      </w:pPr>
      <w:r>
        <w:rPr>
          <w:rFonts w:hint="eastAsia" w:ascii="宋体" w:hAnsi="宋体" w:cs="仿宋_GB2312"/>
          <w:color w:val="auto"/>
          <w:szCs w:val="21"/>
          <w:highlight w:val="none"/>
        </w:rPr>
        <w:t>（</w:t>
      </w:r>
      <w:r>
        <w:rPr>
          <w:rFonts w:ascii="宋体" w:hAnsi="宋体" w:cs="仿宋_GB2312"/>
          <w:color w:val="auto"/>
          <w:szCs w:val="21"/>
          <w:highlight w:val="none"/>
        </w:rPr>
        <w:t>2</w:t>
      </w:r>
      <w:r>
        <w:rPr>
          <w:rFonts w:hint="eastAsia" w:ascii="宋体" w:hAnsi="宋体" w:cs="仿宋_GB2312"/>
          <w:color w:val="auto"/>
          <w:szCs w:val="21"/>
          <w:highlight w:val="none"/>
        </w:rPr>
        <w:t>）按照专款专用的原则使用共管资金，不得将资金挪作他用，未经甲方同意不得转入乙方其他银行账户。乙方接受甲方对共管资金使用情况的检查和监督，接受丙方对共管资金支出的监督；</w:t>
      </w:r>
    </w:p>
    <w:p>
      <w:pPr>
        <w:spacing w:line="500" w:lineRule="exact"/>
        <w:ind w:left="1" w:firstLine="298" w:firstLineChars="142"/>
        <w:rPr>
          <w:rFonts w:ascii="宋体" w:hAnsi="宋体" w:cs="仿宋_GB2312"/>
          <w:color w:val="auto"/>
          <w:szCs w:val="21"/>
          <w:highlight w:val="none"/>
        </w:rPr>
      </w:pPr>
      <w:r>
        <w:rPr>
          <w:rFonts w:hint="eastAsia" w:ascii="宋体" w:hAnsi="宋体" w:cs="仿宋_GB2312"/>
          <w:color w:val="auto"/>
          <w:szCs w:val="21"/>
          <w:highlight w:val="none"/>
        </w:rPr>
        <w:t>（3）向丙方支付共管资金划转所产生的业务手续费。</w:t>
      </w:r>
    </w:p>
    <w:p>
      <w:pPr>
        <w:spacing w:line="500" w:lineRule="exact"/>
        <w:ind w:left="1" w:firstLine="298" w:firstLineChars="142"/>
        <w:rPr>
          <w:rFonts w:ascii="宋体" w:hAnsi="宋体" w:cs="仿宋_GB2312"/>
          <w:color w:val="auto"/>
          <w:szCs w:val="21"/>
          <w:highlight w:val="none"/>
        </w:rPr>
      </w:pPr>
      <w:r>
        <w:rPr>
          <w:rFonts w:hint="eastAsia" w:ascii="宋体" w:hAnsi="宋体" w:cs="仿宋_GB2312"/>
          <w:color w:val="auto"/>
          <w:szCs w:val="21"/>
          <w:highlight w:val="none"/>
        </w:rPr>
        <w:t>（4）乙方应向丙方留存其预留印鉴样式。</w:t>
      </w:r>
    </w:p>
    <w:p>
      <w:pPr>
        <w:spacing w:line="500" w:lineRule="exact"/>
        <w:ind w:firstLine="422" w:firstLineChars="200"/>
        <w:rPr>
          <w:rFonts w:ascii="宋体" w:hAnsi="宋体" w:cs="仿宋_GB2312"/>
          <w:b/>
          <w:bCs/>
          <w:color w:val="auto"/>
          <w:szCs w:val="21"/>
          <w:highlight w:val="none"/>
        </w:rPr>
      </w:pPr>
      <w:r>
        <w:rPr>
          <w:rFonts w:hint="eastAsia" w:ascii="宋体" w:hAnsi="宋体" w:cs="仿宋_GB2312"/>
          <w:b/>
          <w:bCs/>
          <w:color w:val="auto"/>
          <w:szCs w:val="21"/>
          <w:highlight w:val="none"/>
        </w:rPr>
        <w:t>（5）区相关职能部门要求乙方退回预付款的，乙方同意按甲方通知的时间全额退回预付款项给甲方，乙方逾期退款的，对因此造成的损失甲方有权向乙方索赔。</w:t>
      </w:r>
    </w:p>
    <w:p>
      <w:pPr>
        <w:spacing w:line="500" w:lineRule="exact"/>
        <w:ind w:left="1" w:firstLine="298" w:firstLineChars="142"/>
        <w:rPr>
          <w:rFonts w:ascii="宋体" w:hAnsi="宋体" w:cs="仿宋_GB2312"/>
          <w:color w:val="auto"/>
          <w:szCs w:val="21"/>
          <w:highlight w:val="none"/>
        </w:rPr>
      </w:pPr>
    </w:p>
    <w:p>
      <w:pPr>
        <w:spacing w:line="500" w:lineRule="exact"/>
        <w:ind w:left="1" w:firstLine="403" w:firstLineChars="192"/>
        <w:rPr>
          <w:rFonts w:ascii="宋体" w:hAnsi="宋体" w:cs="仿宋_GB2312"/>
          <w:color w:val="auto"/>
          <w:szCs w:val="21"/>
          <w:highlight w:val="none"/>
        </w:rPr>
      </w:pPr>
      <w:r>
        <w:rPr>
          <w:rFonts w:hint="eastAsia" w:ascii="宋体" w:hAnsi="宋体" w:cs="仿宋_GB2312"/>
          <w:color w:val="auto"/>
          <w:szCs w:val="21"/>
          <w:highlight w:val="none"/>
        </w:rPr>
        <w:t>3.丙方权利与义务</w:t>
      </w:r>
    </w:p>
    <w:p>
      <w:pPr>
        <w:spacing w:line="500" w:lineRule="exact"/>
        <w:ind w:left="1" w:firstLine="298" w:firstLineChars="142"/>
        <w:rPr>
          <w:rFonts w:ascii="宋体" w:hAnsi="宋体" w:cs="仿宋_GB2312"/>
          <w:color w:val="auto"/>
          <w:szCs w:val="21"/>
          <w:highlight w:val="none"/>
        </w:rPr>
      </w:pPr>
      <w:r>
        <w:rPr>
          <w:rFonts w:hint="eastAsia" w:ascii="宋体" w:hAnsi="宋体" w:cs="仿宋_GB2312"/>
          <w:color w:val="auto"/>
          <w:szCs w:val="21"/>
          <w:highlight w:val="none"/>
        </w:rPr>
        <w:t>（1）依法为乙方开立工程款共管账户，</w:t>
      </w:r>
      <w:r>
        <w:rPr>
          <w:rFonts w:ascii="宋体" w:hAnsi="宋体" w:cs="仿宋_GB2312"/>
          <w:color w:val="auto"/>
          <w:szCs w:val="21"/>
          <w:highlight w:val="none"/>
        </w:rPr>
        <w:t>提供便捷有效的银行业务服务，</w:t>
      </w:r>
      <w:r>
        <w:rPr>
          <w:rFonts w:hint="eastAsia" w:ascii="宋体" w:hAnsi="宋体" w:cs="仿宋_GB2312"/>
          <w:color w:val="auto"/>
          <w:szCs w:val="21"/>
          <w:highlight w:val="none"/>
        </w:rPr>
        <w:t xml:space="preserve">保管共管资金，确保资金安全。在没有征得甲乙双方同意情况下 ，丙方不得擅自以任何方式向乙方上级管理单位归集资金，如丙方擅自向乙方上级管理单位归集资金，视同丙方违规处理，对因此造成的损失甲乙双方有权向丙方索赔。 </w:t>
      </w:r>
    </w:p>
    <w:p>
      <w:pPr>
        <w:spacing w:line="500" w:lineRule="exact"/>
        <w:ind w:firstLine="315" w:firstLineChars="150"/>
        <w:rPr>
          <w:rFonts w:ascii="宋体" w:hAnsi="宋体" w:cs="仿宋_GB2312"/>
          <w:color w:val="auto"/>
          <w:szCs w:val="21"/>
          <w:highlight w:val="none"/>
        </w:rPr>
      </w:pPr>
      <w:r>
        <w:rPr>
          <w:rFonts w:hint="eastAsia" w:ascii="宋体" w:hAnsi="宋体" w:cs="仿宋_GB2312"/>
          <w:color w:val="auto"/>
          <w:szCs w:val="21"/>
          <w:highlight w:val="none"/>
        </w:rPr>
        <w:t>（2）协助甲方审核用款申请文件，并出具意见。</w:t>
      </w:r>
    </w:p>
    <w:p>
      <w:pPr>
        <w:spacing w:line="500" w:lineRule="exact"/>
        <w:ind w:firstLine="315" w:firstLineChars="150"/>
        <w:rPr>
          <w:rFonts w:ascii="宋体" w:hAnsi="宋体" w:cs="仿宋_GB2312"/>
          <w:color w:val="auto"/>
          <w:szCs w:val="21"/>
          <w:highlight w:val="none"/>
        </w:rPr>
      </w:pPr>
      <w:r>
        <w:rPr>
          <w:rFonts w:hint="eastAsia" w:ascii="宋体" w:hAnsi="宋体" w:cs="仿宋_GB2312"/>
          <w:color w:val="auto"/>
          <w:szCs w:val="21"/>
          <w:highlight w:val="none"/>
        </w:rPr>
        <w:t>（3）对《用款申请书》、《共管资金划款通知书》等文件和预留印鉴进行一致性形式性的审查，并按约定将共管资金划入收款方。</w:t>
      </w:r>
    </w:p>
    <w:p>
      <w:pPr>
        <w:spacing w:line="500" w:lineRule="exact"/>
        <w:ind w:firstLine="315" w:firstLineChars="150"/>
        <w:rPr>
          <w:rFonts w:ascii="宋体" w:hAnsi="宋体" w:cs="仿宋_GB2312"/>
          <w:color w:val="auto"/>
          <w:szCs w:val="21"/>
          <w:highlight w:val="none"/>
        </w:rPr>
      </w:pPr>
      <w:r>
        <w:rPr>
          <w:rFonts w:hint="eastAsia" w:ascii="宋体" w:hAnsi="宋体" w:cs="仿宋_GB2312"/>
          <w:color w:val="auto"/>
          <w:szCs w:val="21"/>
          <w:highlight w:val="none"/>
        </w:rPr>
        <w:t>第三条</w:t>
      </w:r>
      <w:r>
        <w:rPr>
          <w:rFonts w:ascii="宋体" w:hAnsi="宋体" w:cs="仿宋_GB2312"/>
          <w:color w:val="auto"/>
          <w:szCs w:val="21"/>
          <w:highlight w:val="none"/>
        </w:rPr>
        <w:t xml:space="preserve"> </w:t>
      </w:r>
      <w:r>
        <w:rPr>
          <w:rFonts w:hint="eastAsia" w:ascii="宋体" w:hAnsi="宋体" w:cs="仿宋_GB2312"/>
          <w:color w:val="auto"/>
          <w:szCs w:val="21"/>
          <w:highlight w:val="none"/>
        </w:rPr>
        <w:t>共管资金的使用</w:t>
      </w:r>
    </w:p>
    <w:p>
      <w:pPr>
        <w:spacing w:line="500" w:lineRule="exact"/>
        <w:ind w:firstLine="420" w:firstLineChars="200"/>
        <w:rPr>
          <w:rFonts w:ascii="宋体" w:hAnsi="宋体" w:cs="仿宋_GB2312"/>
          <w:color w:val="auto"/>
          <w:szCs w:val="21"/>
          <w:highlight w:val="none"/>
        </w:rPr>
      </w:pPr>
      <w:r>
        <w:rPr>
          <w:rFonts w:ascii="宋体" w:hAnsi="宋体" w:cs="仿宋_GB2312"/>
          <w:color w:val="auto"/>
          <w:szCs w:val="21"/>
          <w:highlight w:val="none"/>
        </w:rPr>
        <w:t xml:space="preserve">1. </w:t>
      </w:r>
      <w:r>
        <w:rPr>
          <w:rFonts w:hint="eastAsia" w:ascii="宋体" w:hAnsi="宋体" w:cs="仿宋_GB2312"/>
          <w:color w:val="auto"/>
          <w:szCs w:val="21"/>
          <w:highlight w:val="none"/>
        </w:rPr>
        <w:t>共管资金指定用途为</w:t>
      </w:r>
      <w:r>
        <w:rPr>
          <w:rFonts w:hint="eastAsia" w:ascii="宋体" w:hAnsi="宋体"/>
          <w:bCs/>
          <w:color w:val="auto"/>
          <w:szCs w:val="21"/>
          <w:highlight w:val="none"/>
        </w:rPr>
        <w:t>《施工合同》</w:t>
      </w:r>
      <w:r>
        <w:rPr>
          <w:rFonts w:hint="eastAsia" w:ascii="宋体" w:hAnsi="宋体" w:cs="仿宋_GB2312"/>
          <w:color w:val="auto"/>
          <w:szCs w:val="21"/>
          <w:highlight w:val="none"/>
        </w:rPr>
        <w:t>工程实施支出；</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2.乙方申请支付共管资金，应在用款前按《</w:t>
      </w:r>
      <w:r>
        <w:rPr>
          <w:rFonts w:hint="eastAsia" w:ascii="宋体" w:hAnsi="宋体" w:cs="仿宋_GB2312"/>
          <w:color w:val="auto"/>
          <w:szCs w:val="21"/>
          <w:highlight w:val="none"/>
          <w:lang w:eastAsia="zh-CN"/>
        </w:rPr>
        <w:t>共管工程预付款使用监管办法</w:t>
      </w:r>
      <w:r>
        <w:rPr>
          <w:rFonts w:hint="eastAsia" w:ascii="宋体" w:hAnsi="宋体" w:cs="仿宋_GB2312"/>
          <w:color w:val="auto"/>
          <w:szCs w:val="21"/>
          <w:highlight w:val="none"/>
        </w:rPr>
        <w:t>》规定，向甲、丙方提交《用款申请书》（格式见附件一）和《管理人员工资发放明细表》（含经乙方盖章核实的上期实际支付及本期支付计划）（格式见附件二）及《</w:t>
      </w:r>
      <w:r>
        <w:rPr>
          <w:rFonts w:hint="eastAsia" w:ascii="宋体" w:hAnsi="宋体" w:cs="仿宋_GB2312"/>
          <w:color w:val="auto"/>
          <w:szCs w:val="21"/>
          <w:highlight w:val="none"/>
          <w:lang w:eastAsia="zh-CN"/>
        </w:rPr>
        <w:t>共管工程预付款使用监管办法</w:t>
      </w:r>
      <w:r>
        <w:rPr>
          <w:rFonts w:hint="eastAsia" w:ascii="宋体" w:hAnsi="宋体" w:cs="仿宋_GB2312"/>
          <w:color w:val="auto"/>
          <w:szCs w:val="21"/>
          <w:highlight w:val="none"/>
        </w:rPr>
        <w:t>》规定的其他资料。甲方应在预付款审批完成且双方确认金额和达成一致意见后5个工作日内出具《共管资金划款通知书》给乙方，由乙方送丙方柜台办理付款手续。《用款申请书》应正确清楚地列明收取托管资金的收款账户，乙方应自行承担因提供账户错误信息导致资金划转延误或发生损失的后果；</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3. 甲、丙方根据乙方提出的用款申请进行审核，如因乙方指令不合规或者提供的其它支付证明材料未符合甲、丙方要求，甲方有权拒绝支付；</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4. 丙方对乙方提供的经甲方审核同意的《用款申请书》、《共管账户划款通知书》以及约定的其它相关支付证明文件进行一致性形式性的审查。审查通过后，将共管账户中的资金划转至乙方申请并经甲方审核同意的指定账户；</w:t>
      </w:r>
    </w:p>
    <w:p>
      <w:pPr>
        <w:spacing w:line="500" w:lineRule="exact"/>
        <w:ind w:firstLine="315" w:firstLineChars="150"/>
        <w:rPr>
          <w:rFonts w:ascii="宋体" w:hAnsi="宋体" w:cs="仿宋_GB2312"/>
          <w:color w:val="auto"/>
          <w:szCs w:val="21"/>
          <w:highlight w:val="none"/>
        </w:rPr>
      </w:pPr>
      <w:r>
        <w:rPr>
          <w:rFonts w:hint="eastAsia" w:ascii="宋体" w:hAnsi="宋体" w:cs="仿宋_GB2312"/>
          <w:color w:val="auto"/>
          <w:szCs w:val="21"/>
          <w:highlight w:val="none"/>
        </w:rPr>
        <w:t>5. 乙方办理共管资金支付每一笔款项，仅可通过丙方柜台转账方式，不能通过他行进行提出票处理，如未能遵守该约定造成损失及不良影响，则乙方自行承担。</w:t>
      </w:r>
    </w:p>
    <w:p>
      <w:pPr>
        <w:spacing w:line="500" w:lineRule="exact"/>
        <w:ind w:firstLine="315" w:firstLineChars="150"/>
        <w:rPr>
          <w:rFonts w:ascii="宋体" w:hAnsi="宋体" w:cs="仿宋_GB2312"/>
          <w:color w:val="auto"/>
          <w:szCs w:val="21"/>
          <w:highlight w:val="none"/>
        </w:rPr>
      </w:pP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第四条</w:t>
      </w:r>
      <w:r>
        <w:rPr>
          <w:rFonts w:ascii="宋体" w:hAnsi="宋体" w:cs="仿宋_GB2312"/>
          <w:color w:val="auto"/>
          <w:szCs w:val="21"/>
          <w:highlight w:val="none"/>
        </w:rPr>
        <w:t xml:space="preserve">   </w:t>
      </w:r>
      <w:r>
        <w:rPr>
          <w:rFonts w:hint="eastAsia" w:ascii="宋体" w:hAnsi="宋体" w:cs="仿宋_GB2312"/>
          <w:color w:val="auto"/>
          <w:szCs w:val="21"/>
          <w:highlight w:val="none"/>
        </w:rPr>
        <w:t>共管资金的拒付</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具备下列情形之一的，丙方有权拒绝乙方从共管账户划款的请求，由此造成的后果由乙方承担：</w:t>
      </w:r>
    </w:p>
    <w:p>
      <w:pPr>
        <w:spacing w:line="500" w:lineRule="exact"/>
        <w:ind w:firstLine="420" w:firstLineChars="200"/>
        <w:rPr>
          <w:rFonts w:ascii="宋体" w:hAnsi="宋体" w:cs="仿宋_GB2312"/>
          <w:color w:val="auto"/>
          <w:szCs w:val="21"/>
          <w:highlight w:val="none"/>
        </w:rPr>
      </w:pPr>
      <w:r>
        <w:rPr>
          <w:rFonts w:ascii="宋体" w:hAnsi="宋体" w:cs="仿宋_GB2312"/>
          <w:color w:val="auto"/>
          <w:szCs w:val="21"/>
          <w:highlight w:val="none"/>
        </w:rPr>
        <w:t>1.</w:t>
      </w:r>
      <w:r>
        <w:rPr>
          <w:rFonts w:hint="eastAsia" w:ascii="宋体" w:hAnsi="宋体" w:cs="仿宋_GB2312"/>
          <w:color w:val="auto"/>
          <w:szCs w:val="21"/>
          <w:highlight w:val="none"/>
        </w:rPr>
        <w:t>《用款申请书》付款金额超出共管资金余额；</w:t>
      </w:r>
    </w:p>
    <w:p>
      <w:pPr>
        <w:spacing w:line="500" w:lineRule="exact"/>
        <w:ind w:firstLine="420" w:firstLineChars="200"/>
        <w:rPr>
          <w:rFonts w:ascii="宋体" w:hAnsi="宋体" w:cs="仿宋_GB2312"/>
          <w:color w:val="auto"/>
          <w:szCs w:val="21"/>
          <w:highlight w:val="none"/>
        </w:rPr>
      </w:pPr>
      <w:r>
        <w:rPr>
          <w:rFonts w:ascii="宋体" w:hAnsi="宋体" w:cs="仿宋_GB2312"/>
          <w:color w:val="auto"/>
          <w:szCs w:val="21"/>
          <w:highlight w:val="none"/>
        </w:rPr>
        <w:t>2.</w:t>
      </w:r>
      <w:r>
        <w:rPr>
          <w:rFonts w:hint="eastAsia" w:ascii="宋体" w:hAnsi="宋体" w:cs="仿宋_GB2312"/>
          <w:color w:val="auto"/>
          <w:szCs w:val="21"/>
          <w:highlight w:val="none"/>
        </w:rPr>
        <w:t>乙方提交的资料或证明文件不符合法律法规规定和本协议约定；</w:t>
      </w:r>
    </w:p>
    <w:p>
      <w:pPr>
        <w:spacing w:line="500" w:lineRule="exact"/>
        <w:ind w:firstLine="420" w:firstLineChars="200"/>
        <w:rPr>
          <w:rFonts w:ascii="宋体" w:hAnsi="宋体" w:cs="仿宋_GB2312"/>
          <w:color w:val="auto"/>
          <w:szCs w:val="21"/>
          <w:highlight w:val="none"/>
        </w:rPr>
      </w:pPr>
      <w:r>
        <w:rPr>
          <w:rFonts w:ascii="宋体" w:hAnsi="宋体" w:cs="仿宋_GB2312"/>
          <w:color w:val="auto"/>
          <w:szCs w:val="21"/>
          <w:highlight w:val="none"/>
        </w:rPr>
        <w:t>3.</w:t>
      </w:r>
      <w:r>
        <w:rPr>
          <w:rFonts w:hint="eastAsia" w:ascii="宋体" w:hAnsi="宋体" w:cs="仿宋_GB2312"/>
          <w:color w:val="auto"/>
          <w:szCs w:val="21"/>
          <w:highlight w:val="none"/>
        </w:rPr>
        <w:t>乙方应经甲、丙方等相关方同意而未经相关方出具同意意见或资金用途不符合相关约定或共管要求；</w:t>
      </w:r>
    </w:p>
    <w:p>
      <w:pPr>
        <w:spacing w:line="500" w:lineRule="exact"/>
        <w:ind w:firstLine="420" w:firstLineChars="200"/>
        <w:rPr>
          <w:rFonts w:ascii="宋体" w:hAnsi="宋体" w:cs="仿宋_GB2312"/>
          <w:color w:val="auto"/>
          <w:szCs w:val="21"/>
          <w:highlight w:val="none"/>
        </w:rPr>
      </w:pPr>
      <w:r>
        <w:rPr>
          <w:rFonts w:ascii="宋体" w:hAnsi="宋体" w:cs="仿宋_GB2312"/>
          <w:color w:val="auto"/>
          <w:szCs w:val="21"/>
          <w:highlight w:val="none"/>
        </w:rPr>
        <w:t xml:space="preserve"> 4.收款方与本工程项目没有直接的联系，与实际的施工方和材料的供应商不一致。</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5.乙方提供的《用款申请书》与甲方出具的《共管账户划款通知书》所载内容不一致。</w:t>
      </w:r>
    </w:p>
    <w:p>
      <w:pPr>
        <w:spacing w:line="500" w:lineRule="exact"/>
        <w:ind w:firstLine="420" w:firstLineChars="200"/>
        <w:rPr>
          <w:rFonts w:ascii="宋体" w:hAnsi="宋体" w:cs="仿宋_GB2312"/>
          <w:color w:val="auto"/>
          <w:szCs w:val="21"/>
          <w:highlight w:val="none"/>
        </w:rPr>
      </w:pPr>
      <w:r>
        <w:rPr>
          <w:rFonts w:ascii="宋体" w:hAnsi="宋体" w:cs="仿宋_GB2312"/>
          <w:color w:val="auto"/>
          <w:szCs w:val="21"/>
          <w:highlight w:val="none"/>
        </w:rPr>
        <w:t>第</w:t>
      </w:r>
      <w:r>
        <w:rPr>
          <w:rFonts w:hint="eastAsia" w:ascii="宋体" w:hAnsi="宋体" w:cs="仿宋_GB2312"/>
          <w:color w:val="auto"/>
          <w:szCs w:val="21"/>
          <w:highlight w:val="none"/>
        </w:rPr>
        <w:t>五</w:t>
      </w:r>
      <w:r>
        <w:rPr>
          <w:rFonts w:ascii="宋体" w:hAnsi="宋体" w:cs="仿宋_GB2312"/>
          <w:color w:val="auto"/>
          <w:szCs w:val="21"/>
          <w:highlight w:val="none"/>
        </w:rPr>
        <w:t>条</w:t>
      </w:r>
      <w:r>
        <w:rPr>
          <w:rFonts w:hint="eastAsia" w:ascii="宋体" w:hAnsi="宋体" w:cs="仿宋_GB2312"/>
          <w:color w:val="auto"/>
          <w:szCs w:val="21"/>
          <w:highlight w:val="none"/>
        </w:rPr>
        <w:t xml:space="preserve">  共管资金的冻结和止付</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1.本协议生效之日起，甲方</w:t>
      </w:r>
      <w:r>
        <w:rPr>
          <w:rFonts w:ascii="宋体" w:hAnsi="宋体" w:cs="仿宋_GB2312"/>
          <w:color w:val="auto"/>
          <w:szCs w:val="21"/>
          <w:highlight w:val="none"/>
        </w:rPr>
        <w:t>发现乙方将本项目资金挪用、转移或资金流向异常时，</w:t>
      </w:r>
      <w:r>
        <w:rPr>
          <w:rFonts w:hint="eastAsia" w:ascii="宋体" w:hAnsi="宋体" w:cs="仿宋_GB2312"/>
          <w:color w:val="auto"/>
          <w:szCs w:val="21"/>
          <w:highlight w:val="none"/>
        </w:rPr>
        <w:t>有权授权丙方在共管期间中止支付共管账户资金，直至乙方改正为止。</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2.共管账户资金只用于向乙方支付本协议中涉及的款项或退款，不得用于其他用途。</w:t>
      </w:r>
    </w:p>
    <w:p>
      <w:pPr>
        <w:spacing w:line="500" w:lineRule="exact"/>
        <w:ind w:left="567"/>
        <w:rPr>
          <w:rFonts w:ascii="宋体" w:hAnsi="宋体" w:cs="仿宋_GB2312"/>
          <w:color w:val="auto"/>
          <w:szCs w:val="21"/>
          <w:highlight w:val="none"/>
        </w:rPr>
      </w:pPr>
      <w:r>
        <w:rPr>
          <w:rFonts w:hint="eastAsia" w:ascii="宋体" w:hAnsi="宋体" w:cs="仿宋_GB2312"/>
          <w:color w:val="auto"/>
          <w:szCs w:val="21"/>
          <w:highlight w:val="none"/>
        </w:rPr>
        <w:t>第六条</w:t>
      </w:r>
      <w:r>
        <w:rPr>
          <w:rFonts w:ascii="宋体" w:hAnsi="宋体" w:cs="仿宋_GB2312"/>
          <w:color w:val="auto"/>
          <w:szCs w:val="21"/>
          <w:highlight w:val="none"/>
        </w:rPr>
        <w:t xml:space="preserve"> </w:t>
      </w:r>
      <w:r>
        <w:rPr>
          <w:rFonts w:hint="eastAsia" w:ascii="宋体" w:hAnsi="宋体" w:cs="仿宋_GB2312"/>
          <w:color w:val="auto"/>
          <w:szCs w:val="21"/>
          <w:highlight w:val="none"/>
        </w:rPr>
        <w:t>共管期间及协议终止</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共管期间为共管资金转入共管账户直至《施工合同》工程预付款抵扣完毕止。甲、乙、丙三方可协商缩短或延展共管期间或提前终止共管，但须达成书面补充协议。</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第七条  违约责任</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甲、乙、丙三方均应遵守并履行本协议约定的义务与责任，不得设置任何妨碍其他各方履行本协议的事实上或法律上的障碍，任何一方违反本协议的约定，应承担由此造成相应的经济损失的赔偿责任。</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第八条</w:t>
      </w:r>
      <w:r>
        <w:rPr>
          <w:rFonts w:ascii="宋体" w:hAnsi="宋体" w:cs="仿宋_GB2312"/>
          <w:color w:val="auto"/>
          <w:szCs w:val="21"/>
          <w:highlight w:val="none"/>
        </w:rPr>
        <w:t xml:space="preserve">  </w:t>
      </w:r>
      <w:r>
        <w:rPr>
          <w:rFonts w:hint="eastAsia" w:ascii="宋体" w:hAnsi="宋体" w:cs="仿宋_GB2312"/>
          <w:color w:val="auto"/>
          <w:szCs w:val="21"/>
          <w:highlight w:val="none"/>
        </w:rPr>
        <w:t>特别声明</w:t>
      </w:r>
    </w:p>
    <w:p>
      <w:pPr>
        <w:spacing w:line="500" w:lineRule="exact"/>
        <w:ind w:firstLine="420" w:firstLineChars="200"/>
        <w:rPr>
          <w:rFonts w:ascii="宋体" w:hAnsi="宋体" w:cs="仿宋_GB2312"/>
          <w:color w:val="auto"/>
          <w:szCs w:val="21"/>
          <w:highlight w:val="none"/>
        </w:rPr>
      </w:pPr>
      <w:r>
        <w:rPr>
          <w:rFonts w:ascii="宋体" w:hAnsi="宋体" w:cs="仿宋_GB2312"/>
          <w:color w:val="auto"/>
          <w:szCs w:val="21"/>
          <w:highlight w:val="none"/>
        </w:rPr>
        <w:t>1.</w:t>
      </w:r>
      <w:r>
        <w:rPr>
          <w:rFonts w:hint="eastAsia" w:ascii="宋体" w:hAnsi="宋体" w:cs="仿宋_GB2312"/>
          <w:color w:val="auto"/>
          <w:szCs w:val="21"/>
          <w:highlight w:val="none"/>
        </w:rPr>
        <w:t>乙方与其交易对象在签订和履行交易合同过程中出现任何问题和纠纷，均应自行协商或通过法律途径解决；</w:t>
      </w:r>
    </w:p>
    <w:p>
      <w:pPr>
        <w:spacing w:line="500" w:lineRule="exact"/>
        <w:ind w:firstLine="420" w:firstLineChars="200"/>
        <w:rPr>
          <w:rFonts w:ascii="宋体" w:hAnsi="宋体" w:cs="仿宋_GB2312"/>
          <w:color w:val="auto"/>
          <w:szCs w:val="21"/>
          <w:highlight w:val="none"/>
        </w:rPr>
      </w:pPr>
      <w:r>
        <w:rPr>
          <w:rFonts w:ascii="宋体" w:hAnsi="宋体" w:cs="仿宋_GB2312"/>
          <w:color w:val="auto"/>
          <w:szCs w:val="21"/>
          <w:highlight w:val="none"/>
        </w:rPr>
        <w:t>2.</w:t>
      </w:r>
      <w:r>
        <w:rPr>
          <w:rFonts w:hint="eastAsia" w:ascii="宋体" w:hAnsi="宋体" w:cs="仿宋_GB2312"/>
          <w:color w:val="auto"/>
          <w:szCs w:val="21"/>
          <w:highlight w:val="none"/>
        </w:rPr>
        <w:t xml:space="preserve"> 因国家政策或相关法律法规限制，或者共管资金在由丙方保管期间被有权机关托管、查封、止付、冻结、扣划，或存在其他情况，致使资金无法按协议约定划转的，甲方及（或）丙方不承担任何法律责任；</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3. 乙方承诺并保证共管资金的用途合法，乙方与其交易对象所从事的任何与本协议相关的活动均应符合法律法规，因违反法律法规并给甲方及（或）丙方造成任何损失的，应对甲方及（或）丙方的损失承担赔偿责任；</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4</w:t>
      </w:r>
      <w:r>
        <w:rPr>
          <w:rFonts w:ascii="宋体" w:hAnsi="宋体" w:cs="仿宋_GB2312"/>
          <w:color w:val="auto"/>
          <w:szCs w:val="21"/>
          <w:highlight w:val="none"/>
        </w:rPr>
        <w:t>.</w:t>
      </w:r>
      <w:r>
        <w:rPr>
          <w:rFonts w:hint="eastAsia" w:ascii="宋体" w:hAnsi="宋体" w:cs="仿宋_GB2312"/>
          <w:color w:val="auto"/>
          <w:szCs w:val="21"/>
          <w:highlight w:val="none"/>
        </w:rPr>
        <w:t xml:space="preserve"> 除法律、法规规定，以及因本项目专项资金共管业务的需要和三方特别约定外，未经三方一致同意，任何一方不得向外提供涉及三方商业秘密的资料。</w:t>
      </w:r>
    </w:p>
    <w:p>
      <w:pPr>
        <w:adjustRightInd w:val="0"/>
        <w:snapToGrid w:val="0"/>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第九条</w:t>
      </w:r>
      <w:r>
        <w:rPr>
          <w:rFonts w:ascii="宋体" w:hAnsi="宋体" w:cs="仿宋_GB2312"/>
          <w:color w:val="auto"/>
          <w:szCs w:val="21"/>
          <w:highlight w:val="none"/>
        </w:rPr>
        <w:t xml:space="preserve">  </w:t>
      </w:r>
      <w:r>
        <w:rPr>
          <w:rFonts w:hint="eastAsia" w:ascii="宋体" w:hAnsi="宋体" w:cs="仿宋_GB2312"/>
          <w:color w:val="auto"/>
          <w:szCs w:val="21"/>
          <w:highlight w:val="none"/>
        </w:rPr>
        <w:t>争议解决</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本协议在履行过程中需对协议进行修订、或需解除本协议时，均须三方协商一致，并达成书面协议。书面协议达成之前，不影响本协议条款效力。</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本协议未尽事宜，由三方协商解决，未能友好协商解决的，任何一方均有权向甲方所在地人民法院提起诉讼。</w:t>
      </w:r>
    </w:p>
    <w:p>
      <w:pPr>
        <w:adjustRightInd w:val="0"/>
        <w:snapToGrid w:val="0"/>
        <w:spacing w:line="500" w:lineRule="exact"/>
        <w:ind w:firstLine="310" w:firstLineChars="148"/>
        <w:rPr>
          <w:rFonts w:ascii="宋体" w:hAnsi="宋体" w:cs="仿宋_GB2312"/>
          <w:color w:val="auto"/>
          <w:szCs w:val="21"/>
          <w:highlight w:val="none"/>
        </w:rPr>
      </w:pPr>
      <w:r>
        <w:rPr>
          <w:rFonts w:hint="eastAsia" w:ascii="宋体" w:hAnsi="宋体" w:cs="仿宋_GB2312"/>
          <w:color w:val="auto"/>
          <w:szCs w:val="21"/>
          <w:highlight w:val="none"/>
        </w:rPr>
        <w:t>第十条 本协议的生效</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本协议自甲、乙、丙三方法定代表人（或负责人）或其授权代理人签字并加盖公章之日起生效。</w:t>
      </w:r>
    </w:p>
    <w:p>
      <w:pPr>
        <w:spacing w:line="500" w:lineRule="exact"/>
        <w:ind w:left="602"/>
        <w:rPr>
          <w:rFonts w:ascii="宋体" w:hAnsi="宋体" w:cs="仿宋_GB2312"/>
          <w:color w:val="auto"/>
          <w:szCs w:val="21"/>
          <w:highlight w:val="none"/>
        </w:rPr>
      </w:pPr>
      <w:r>
        <w:rPr>
          <w:rFonts w:hint="eastAsia" w:ascii="宋体" w:hAnsi="宋体" w:cs="仿宋_GB2312"/>
          <w:color w:val="auto"/>
          <w:szCs w:val="21"/>
          <w:highlight w:val="none"/>
        </w:rPr>
        <w:t>第十一条 附则</w:t>
      </w:r>
    </w:p>
    <w:p>
      <w:pPr>
        <w:spacing w:line="500" w:lineRule="exact"/>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本协议一式捌份，甲方执肆份，乙方、丙方各执贰份，具有同等法律效力。</w:t>
      </w:r>
    </w:p>
    <w:p>
      <w:pPr>
        <w:ind w:firstLine="420" w:firstLineChars="200"/>
        <w:rPr>
          <w:rFonts w:ascii="宋体" w:hAnsi="宋体" w:cs="仿宋_GB2312"/>
          <w:color w:val="auto"/>
          <w:szCs w:val="21"/>
          <w:highlight w:val="none"/>
        </w:rPr>
      </w:pPr>
    </w:p>
    <w:p>
      <w:pPr>
        <w:spacing w:line="480" w:lineRule="auto"/>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附件:</w:t>
      </w:r>
    </w:p>
    <w:p>
      <w:pPr>
        <w:spacing w:line="480" w:lineRule="auto"/>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一、《用款申请书》;</w:t>
      </w:r>
    </w:p>
    <w:p>
      <w:pPr>
        <w:spacing w:line="480" w:lineRule="auto"/>
        <w:ind w:firstLine="420" w:firstLineChars="200"/>
        <w:rPr>
          <w:rFonts w:ascii="宋体" w:hAnsi="宋体" w:cs="仿宋_GB2312"/>
          <w:b/>
          <w:bCs/>
          <w:color w:val="auto"/>
          <w:szCs w:val="21"/>
          <w:highlight w:val="none"/>
        </w:rPr>
      </w:pPr>
      <w:r>
        <w:rPr>
          <w:rFonts w:hint="eastAsia" w:ascii="宋体" w:hAnsi="宋体" w:cs="仿宋_GB2312"/>
          <w:color w:val="auto"/>
          <w:szCs w:val="21"/>
          <w:highlight w:val="none"/>
        </w:rPr>
        <w:t>二、《上期实际发放管理人员工资明细表》、《本期计划发放管理人员工资明细表</w:t>
      </w:r>
      <w:r>
        <w:rPr>
          <w:rFonts w:hint="eastAsia" w:ascii="宋体" w:hAnsi="宋体" w:cs="仿宋_GB2312"/>
          <w:b/>
          <w:bCs/>
          <w:color w:val="auto"/>
          <w:szCs w:val="21"/>
          <w:highlight w:val="none"/>
        </w:rPr>
        <w:t>》;</w:t>
      </w:r>
    </w:p>
    <w:p>
      <w:pPr>
        <w:spacing w:line="480" w:lineRule="auto"/>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三、《共管账户划款通知书》;</w:t>
      </w:r>
    </w:p>
    <w:p>
      <w:pPr>
        <w:spacing w:line="480" w:lineRule="auto"/>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四、项目资金支付审批流程概览;</w:t>
      </w:r>
    </w:p>
    <w:p>
      <w:pPr>
        <w:spacing w:line="480" w:lineRule="auto"/>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五、《共管工程预付款使用监管办法》</w:t>
      </w:r>
    </w:p>
    <w:p>
      <w:pPr>
        <w:rPr>
          <w:rFonts w:ascii="宋体" w:hAnsi="宋体" w:cs="仿宋_GB2312"/>
          <w:color w:val="auto"/>
          <w:szCs w:val="21"/>
          <w:highlight w:val="none"/>
        </w:rPr>
      </w:pPr>
      <w:r>
        <w:rPr>
          <w:rFonts w:ascii="宋体" w:hAnsi="宋体" w:cs="仿宋_GB2312"/>
          <w:color w:val="auto"/>
          <w:szCs w:val="21"/>
          <w:highlight w:val="none"/>
        </w:rPr>
        <w:t>以下无正文</w:t>
      </w:r>
    </w:p>
    <w:p>
      <w:pPr>
        <w:rPr>
          <w:rFonts w:ascii="宋体" w:hAnsi="宋体" w:cs="仿宋_GB2312"/>
          <w:color w:val="auto"/>
          <w:szCs w:val="21"/>
          <w:highlight w:val="none"/>
        </w:rPr>
      </w:pPr>
    </w:p>
    <w:p>
      <w:pPr>
        <w:rPr>
          <w:rFonts w:ascii="宋体" w:hAnsi="宋体" w:cs="仿宋_GB2312"/>
          <w:color w:val="auto"/>
          <w:szCs w:val="21"/>
          <w:highlight w:val="none"/>
        </w:rPr>
      </w:pPr>
      <w:r>
        <w:rPr>
          <w:rFonts w:hint="eastAsia" w:ascii="宋体" w:hAnsi="宋体" w:cs="仿宋_GB2312"/>
          <w:color w:val="auto"/>
          <w:szCs w:val="21"/>
          <w:highlight w:val="none"/>
        </w:rPr>
        <w:t>甲方（盖公章）：</w:t>
      </w:r>
      <w:r>
        <w:rPr>
          <w:rFonts w:ascii="宋体" w:hAnsi="宋体" w:cs="仿宋_GB2312"/>
          <w:color w:val="auto"/>
          <w:szCs w:val="21"/>
          <w:highlight w:val="none"/>
        </w:rPr>
        <w:t xml:space="preserve"> </w:t>
      </w:r>
    </w:p>
    <w:p>
      <w:pPr>
        <w:rPr>
          <w:rFonts w:ascii="宋体" w:hAnsi="宋体" w:cs="仿宋_GB2312"/>
          <w:color w:val="auto"/>
          <w:szCs w:val="21"/>
          <w:highlight w:val="none"/>
        </w:rPr>
      </w:pPr>
    </w:p>
    <w:p>
      <w:pPr>
        <w:rPr>
          <w:rFonts w:ascii="宋体" w:hAnsi="宋体" w:cs="仿宋_GB2312"/>
          <w:color w:val="auto"/>
          <w:szCs w:val="21"/>
          <w:highlight w:val="none"/>
        </w:rPr>
      </w:pPr>
      <w:r>
        <w:rPr>
          <w:rFonts w:hint="eastAsia" w:ascii="宋体" w:hAnsi="宋体" w:cs="仿宋_GB2312"/>
          <w:color w:val="auto"/>
          <w:szCs w:val="21"/>
          <w:highlight w:val="none"/>
        </w:rPr>
        <w:t>法定代表人（授权代理人）：</w:t>
      </w:r>
    </w:p>
    <w:p>
      <w:pPr>
        <w:rPr>
          <w:rFonts w:ascii="宋体" w:hAnsi="宋体" w:cs="仿宋_GB2312"/>
          <w:color w:val="auto"/>
          <w:szCs w:val="21"/>
          <w:highlight w:val="none"/>
        </w:rPr>
      </w:pPr>
    </w:p>
    <w:p>
      <w:pPr>
        <w:rPr>
          <w:rFonts w:ascii="宋体" w:hAnsi="宋体" w:cs="仿宋_GB2312"/>
          <w:color w:val="auto"/>
          <w:szCs w:val="21"/>
          <w:highlight w:val="none"/>
        </w:rPr>
      </w:pPr>
      <w:r>
        <w:rPr>
          <w:rFonts w:hint="eastAsia" w:ascii="宋体" w:hAnsi="宋体" w:cs="仿宋_GB2312"/>
          <w:color w:val="auto"/>
          <w:szCs w:val="21"/>
          <w:highlight w:val="none"/>
        </w:rPr>
        <w:t>签订日期：</w:t>
      </w:r>
      <w:r>
        <w:rPr>
          <w:rFonts w:ascii="宋体" w:hAnsi="宋体" w:cs="仿宋_GB2312"/>
          <w:color w:val="auto"/>
          <w:szCs w:val="21"/>
          <w:highlight w:val="none"/>
        </w:rPr>
        <w:t xml:space="preserve">             </w:t>
      </w:r>
      <w:r>
        <w:rPr>
          <w:rFonts w:hint="eastAsia" w:ascii="宋体" w:hAnsi="宋体" w:cs="仿宋_GB2312"/>
          <w:color w:val="auto"/>
          <w:szCs w:val="21"/>
          <w:highlight w:val="none"/>
        </w:rPr>
        <w:t>年</w:t>
      </w:r>
      <w:r>
        <w:rPr>
          <w:rFonts w:ascii="宋体" w:hAnsi="宋体" w:cs="仿宋_GB2312"/>
          <w:color w:val="auto"/>
          <w:szCs w:val="21"/>
          <w:highlight w:val="none"/>
        </w:rPr>
        <w:t xml:space="preserve">     </w:t>
      </w:r>
      <w:r>
        <w:rPr>
          <w:rFonts w:hint="eastAsia" w:ascii="宋体" w:hAnsi="宋体" w:cs="仿宋_GB2312"/>
          <w:color w:val="auto"/>
          <w:szCs w:val="21"/>
          <w:highlight w:val="none"/>
        </w:rPr>
        <w:t>月</w:t>
      </w:r>
      <w:r>
        <w:rPr>
          <w:rFonts w:ascii="宋体" w:hAnsi="宋体" w:cs="仿宋_GB2312"/>
          <w:color w:val="auto"/>
          <w:szCs w:val="21"/>
          <w:highlight w:val="none"/>
        </w:rPr>
        <w:t xml:space="preserve">     </w:t>
      </w:r>
      <w:r>
        <w:rPr>
          <w:rFonts w:hint="eastAsia" w:ascii="宋体" w:hAnsi="宋体" w:cs="仿宋_GB2312"/>
          <w:color w:val="auto"/>
          <w:szCs w:val="21"/>
          <w:highlight w:val="none"/>
        </w:rPr>
        <w:t>日</w:t>
      </w:r>
    </w:p>
    <w:p>
      <w:pPr>
        <w:rPr>
          <w:rFonts w:ascii="宋体" w:hAnsi="宋体" w:cs="仿宋_GB2312"/>
          <w:color w:val="auto"/>
          <w:szCs w:val="21"/>
          <w:highlight w:val="none"/>
        </w:rPr>
      </w:pPr>
    </w:p>
    <w:p>
      <w:pPr>
        <w:ind w:right="-867" w:rightChars="-413"/>
        <w:rPr>
          <w:rFonts w:ascii="宋体" w:hAnsi="宋体" w:cs="仿宋_GB2312"/>
          <w:color w:val="auto"/>
          <w:szCs w:val="21"/>
          <w:highlight w:val="none"/>
        </w:rPr>
      </w:pPr>
    </w:p>
    <w:p>
      <w:pPr>
        <w:ind w:right="-867" w:rightChars="-413"/>
        <w:rPr>
          <w:rFonts w:hint="eastAsia" w:ascii="宋体" w:hAnsi="宋体" w:cs="仿宋_GB2312"/>
          <w:color w:val="auto"/>
          <w:szCs w:val="21"/>
          <w:highlight w:val="none"/>
        </w:rPr>
      </w:pPr>
    </w:p>
    <w:p>
      <w:pPr>
        <w:ind w:right="-867" w:rightChars="-413"/>
        <w:rPr>
          <w:rFonts w:hint="eastAsia" w:ascii="宋体" w:hAnsi="宋体" w:cs="仿宋_GB2312"/>
          <w:color w:val="auto"/>
          <w:szCs w:val="21"/>
          <w:highlight w:val="none"/>
        </w:rPr>
      </w:pPr>
    </w:p>
    <w:p>
      <w:pPr>
        <w:ind w:right="-867" w:rightChars="-413"/>
        <w:rPr>
          <w:rFonts w:ascii="宋体" w:hAnsi="宋体" w:cs="仿宋_GB2312"/>
          <w:color w:val="auto"/>
          <w:szCs w:val="21"/>
          <w:highlight w:val="none"/>
        </w:rPr>
      </w:pPr>
      <w:r>
        <w:rPr>
          <w:rFonts w:hint="eastAsia" w:ascii="宋体" w:hAnsi="宋体" w:cs="仿宋_GB2312"/>
          <w:color w:val="auto"/>
          <w:szCs w:val="21"/>
          <w:highlight w:val="none"/>
        </w:rPr>
        <w:t>乙方（盖公章）：</w:t>
      </w:r>
      <w:r>
        <w:rPr>
          <w:rFonts w:ascii="宋体" w:hAnsi="宋体" w:cs="仿宋_GB2312"/>
          <w:color w:val="auto"/>
          <w:szCs w:val="21"/>
          <w:highlight w:val="none"/>
        </w:rPr>
        <w:t xml:space="preserve">                   </w:t>
      </w:r>
    </w:p>
    <w:p>
      <w:pPr>
        <w:rPr>
          <w:rFonts w:ascii="宋体" w:hAnsi="宋体" w:cs="仿宋_GB2312"/>
          <w:color w:val="auto"/>
          <w:szCs w:val="21"/>
          <w:highlight w:val="none"/>
        </w:rPr>
      </w:pPr>
    </w:p>
    <w:p>
      <w:pPr>
        <w:rPr>
          <w:rFonts w:ascii="宋体" w:hAnsi="宋体" w:cs="仿宋_GB2312"/>
          <w:color w:val="auto"/>
          <w:szCs w:val="21"/>
          <w:highlight w:val="none"/>
        </w:rPr>
      </w:pPr>
      <w:r>
        <w:rPr>
          <w:rFonts w:hint="eastAsia" w:ascii="宋体" w:hAnsi="宋体" w:cs="仿宋_GB2312"/>
          <w:color w:val="auto"/>
          <w:szCs w:val="21"/>
          <w:highlight w:val="none"/>
        </w:rPr>
        <w:t>法定代表人（授权代理人）：</w:t>
      </w:r>
    </w:p>
    <w:p>
      <w:pPr>
        <w:rPr>
          <w:rFonts w:ascii="宋体" w:hAnsi="宋体" w:cs="仿宋_GB2312"/>
          <w:color w:val="auto"/>
          <w:szCs w:val="21"/>
          <w:highlight w:val="none"/>
        </w:rPr>
      </w:pPr>
    </w:p>
    <w:p>
      <w:pPr>
        <w:rPr>
          <w:rFonts w:ascii="宋体" w:hAnsi="宋体" w:cs="仿宋_GB2312"/>
          <w:color w:val="auto"/>
          <w:szCs w:val="21"/>
          <w:highlight w:val="none"/>
        </w:rPr>
      </w:pPr>
      <w:r>
        <w:rPr>
          <w:rFonts w:hint="eastAsia" w:ascii="宋体" w:hAnsi="宋体" w:cs="仿宋_GB2312"/>
          <w:color w:val="auto"/>
          <w:szCs w:val="21"/>
          <w:highlight w:val="none"/>
        </w:rPr>
        <w:t>签订日期：</w:t>
      </w:r>
      <w:r>
        <w:rPr>
          <w:rFonts w:ascii="宋体" w:hAnsi="宋体" w:cs="仿宋_GB2312"/>
          <w:color w:val="auto"/>
          <w:szCs w:val="21"/>
          <w:highlight w:val="none"/>
        </w:rPr>
        <w:t xml:space="preserve">             </w:t>
      </w:r>
      <w:r>
        <w:rPr>
          <w:rFonts w:hint="eastAsia" w:ascii="宋体" w:hAnsi="宋体" w:cs="仿宋_GB2312"/>
          <w:color w:val="auto"/>
          <w:szCs w:val="21"/>
          <w:highlight w:val="none"/>
        </w:rPr>
        <w:t>年</w:t>
      </w:r>
      <w:r>
        <w:rPr>
          <w:rFonts w:ascii="宋体" w:hAnsi="宋体" w:cs="仿宋_GB2312"/>
          <w:color w:val="auto"/>
          <w:szCs w:val="21"/>
          <w:highlight w:val="none"/>
        </w:rPr>
        <w:t xml:space="preserve">     </w:t>
      </w:r>
      <w:r>
        <w:rPr>
          <w:rFonts w:hint="eastAsia" w:ascii="宋体" w:hAnsi="宋体" w:cs="仿宋_GB2312"/>
          <w:color w:val="auto"/>
          <w:szCs w:val="21"/>
          <w:highlight w:val="none"/>
        </w:rPr>
        <w:t>月</w:t>
      </w:r>
      <w:r>
        <w:rPr>
          <w:rFonts w:ascii="宋体" w:hAnsi="宋体" w:cs="仿宋_GB2312"/>
          <w:color w:val="auto"/>
          <w:szCs w:val="21"/>
          <w:highlight w:val="none"/>
        </w:rPr>
        <w:t xml:space="preserve">     </w:t>
      </w:r>
      <w:r>
        <w:rPr>
          <w:rFonts w:hint="eastAsia" w:ascii="宋体" w:hAnsi="宋体" w:cs="仿宋_GB2312"/>
          <w:color w:val="auto"/>
          <w:szCs w:val="21"/>
          <w:highlight w:val="none"/>
        </w:rPr>
        <w:t>日</w:t>
      </w:r>
    </w:p>
    <w:p>
      <w:pPr>
        <w:rPr>
          <w:rFonts w:ascii="宋体" w:hAnsi="宋体" w:cs="仿宋_GB2312"/>
          <w:color w:val="auto"/>
          <w:szCs w:val="21"/>
          <w:highlight w:val="none"/>
        </w:rPr>
      </w:pPr>
    </w:p>
    <w:p>
      <w:pPr>
        <w:ind w:right="-867" w:rightChars="-413"/>
        <w:rPr>
          <w:rFonts w:ascii="宋体" w:hAnsi="宋体" w:cs="仿宋_GB2312"/>
          <w:color w:val="auto"/>
          <w:szCs w:val="21"/>
          <w:highlight w:val="none"/>
        </w:rPr>
      </w:pPr>
    </w:p>
    <w:p>
      <w:pPr>
        <w:ind w:right="-867" w:rightChars="-413"/>
        <w:rPr>
          <w:rFonts w:hint="eastAsia" w:ascii="宋体" w:hAnsi="宋体" w:cs="仿宋_GB2312"/>
          <w:color w:val="auto"/>
          <w:szCs w:val="21"/>
          <w:highlight w:val="none"/>
        </w:rPr>
      </w:pPr>
    </w:p>
    <w:p>
      <w:pPr>
        <w:ind w:right="-867" w:rightChars="-413"/>
        <w:rPr>
          <w:rFonts w:hint="eastAsia" w:ascii="宋体" w:hAnsi="宋体" w:cs="仿宋_GB2312"/>
          <w:color w:val="auto"/>
          <w:szCs w:val="21"/>
          <w:highlight w:val="none"/>
        </w:rPr>
      </w:pPr>
    </w:p>
    <w:p>
      <w:pPr>
        <w:ind w:right="-867" w:rightChars="-413"/>
        <w:rPr>
          <w:rFonts w:ascii="宋体" w:hAnsi="宋体" w:cs="仿宋_GB2312"/>
          <w:color w:val="auto"/>
          <w:szCs w:val="21"/>
          <w:highlight w:val="none"/>
        </w:rPr>
      </w:pPr>
      <w:r>
        <w:rPr>
          <w:rFonts w:hint="eastAsia" w:ascii="宋体" w:hAnsi="宋体" w:cs="仿宋_GB2312"/>
          <w:color w:val="auto"/>
          <w:szCs w:val="21"/>
          <w:highlight w:val="none"/>
        </w:rPr>
        <w:t>丙方（盖公章）：</w:t>
      </w:r>
      <w:r>
        <w:rPr>
          <w:rFonts w:ascii="宋体" w:hAnsi="宋体" w:cs="仿宋_GB2312"/>
          <w:color w:val="auto"/>
          <w:szCs w:val="21"/>
          <w:highlight w:val="none"/>
        </w:rPr>
        <w:t xml:space="preserve">                   </w:t>
      </w:r>
    </w:p>
    <w:p>
      <w:pPr>
        <w:rPr>
          <w:rFonts w:ascii="宋体" w:hAnsi="宋体" w:cs="仿宋_GB2312"/>
          <w:color w:val="auto"/>
          <w:szCs w:val="21"/>
          <w:highlight w:val="none"/>
        </w:rPr>
      </w:pPr>
    </w:p>
    <w:p>
      <w:pPr>
        <w:rPr>
          <w:rFonts w:ascii="宋体" w:hAnsi="宋体" w:cs="仿宋_GB2312"/>
          <w:color w:val="auto"/>
          <w:szCs w:val="21"/>
          <w:highlight w:val="none"/>
        </w:rPr>
      </w:pPr>
      <w:r>
        <w:rPr>
          <w:rFonts w:hint="eastAsia" w:ascii="宋体" w:hAnsi="宋体" w:cs="仿宋_GB2312"/>
          <w:color w:val="auto"/>
          <w:szCs w:val="21"/>
          <w:highlight w:val="none"/>
        </w:rPr>
        <w:t>法定代表人（授权代理人）：</w:t>
      </w:r>
    </w:p>
    <w:p>
      <w:pPr>
        <w:rPr>
          <w:rFonts w:ascii="宋体" w:hAnsi="宋体" w:cs="仿宋_GB2312"/>
          <w:color w:val="auto"/>
          <w:szCs w:val="21"/>
          <w:highlight w:val="none"/>
        </w:rPr>
      </w:pPr>
    </w:p>
    <w:p>
      <w:pPr>
        <w:rPr>
          <w:rFonts w:ascii="宋体" w:hAnsi="宋体" w:cs="仿宋_GB2312"/>
          <w:color w:val="auto"/>
          <w:szCs w:val="21"/>
          <w:highlight w:val="none"/>
        </w:rPr>
        <w:sectPr>
          <w:headerReference r:id="rId16" w:type="default"/>
          <w:footerReference r:id="rId17" w:type="default"/>
          <w:pgSz w:w="11907" w:h="16840"/>
          <w:pgMar w:top="1134" w:right="1418" w:bottom="1134" w:left="1418" w:header="851" w:footer="992" w:gutter="0"/>
          <w:pgNumType w:fmt="decimal"/>
          <w:cols w:space="720" w:num="1"/>
          <w:docGrid w:linePitch="312" w:charSpace="0"/>
        </w:sectPr>
      </w:pPr>
      <w:r>
        <w:rPr>
          <w:rFonts w:hint="eastAsia" w:ascii="宋体" w:hAnsi="宋体" w:cs="仿宋_GB2312"/>
          <w:color w:val="auto"/>
          <w:szCs w:val="21"/>
          <w:highlight w:val="none"/>
        </w:rPr>
        <w:t>签订日期：</w:t>
      </w:r>
      <w:r>
        <w:rPr>
          <w:rFonts w:ascii="宋体" w:hAnsi="宋体" w:cs="仿宋_GB2312"/>
          <w:color w:val="auto"/>
          <w:szCs w:val="21"/>
          <w:highlight w:val="none"/>
        </w:rPr>
        <w:t xml:space="preserve">             </w:t>
      </w:r>
      <w:r>
        <w:rPr>
          <w:rFonts w:hint="eastAsia" w:ascii="宋体" w:hAnsi="宋体" w:cs="仿宋_GB2312"/>
          <w:color w:val="auto"/>
          <w:szCs w:val="21"/>
          <w:highlight w:val="none"/>
        </w:rPr>
        <w:t>年</w:t>
      </w:r>
      <w:r>
        <w:rPr>
          <w:rFonts w:ascii="宋体" w:hAnsi="宋体" w:cs="仿宋_GB2312"/>
          <w:color w:val="auto"/>
          <w:szCs w:val="21"/>
          <w:highlight w:val="none"/>
        </w:rPr>
        <w:t xml:space="preserve">     </w:t>
      </w:r>
      <w:r>
        <w:rPr>
          <w:rFonts w:hint="eastAsia" w:ascii="宋体" w:hAnsi="宋体" w:cs="仿宋_GB2312"/>
          <w:color w:val="auto"/>
          <w:szCs w:val="21"/>
          <w:highlight w:val="none"/>
        </w:rPr>
        <w:t>月</w:t>
      </w:r>
      <w:r>
        <w:rPr>
          <w:rFonts w:ascii="宋体" w:hAnsi="宋体" w:cs="仿宋_GB2312"/>
          <w:color w:val="auto"/>
          <w:szCs w:val="21"/>
          <w:highlight w:val="none"/>
        </w:rPr>
        <w:t xml:space="preserve">     </w:t>
      </w:r>
      <w:r>
        <w:rPr>
          <w:rFonts w:hint="eastAsia" w:ascii="宋体" w:hAnsi="宋体" w:cs="仿宋_GB2312"/>
          <w:color w:val="auto"/>
          <w:szCs w:val="21"/>
          <w:highlight w:val="none"/>
        </w:rPr>
        <w:t>日</w:t>
      </w:r>
      <w:bookmarkStart w:id="164" w:name="_Toc101777645"/>
      <w:bookmarkStart w:id="165" w:name="_Toc447620668"/>
      <w:bookmarkStart w:id="166" w:name="_Toc85854822"/>
    </w:p>
    <w:bookmarkEnd w:id="164"/>
    <w:bookmarkEnd w:id="165"/>
    <w:bookmarkEnd w:id="166"/>
    <w:tbl>
      <w:tblPr>
        <w:tblStyle w:val="49"/>
        <w:tblW w:w="5000" w:type="pct"/>
        <w:jc w:val="center"/>
        <w:tblLayout w:type="autofit"/>
        <w:tblCellMar>
          <w:top w:w="0" w:type="dxa"/>
          <w:left w:w="108" w:type="dxa"/>
          <w:bottom w:w="0" w:type="dxa"/>
          <w:right w:w="108" w:type="dxa"/>
        </w:tblCellMar>
      </w:tblPr>
      <w:tblGrid>
        <w:gridCol w:w="450"/>
        <w:gridCol w:w="859"/>
        <w:gridCol w:w="499"/>
        <w:gridCol w:w="921"/>
        <w:gridCol w:w="391"/>
        <w:gridCol w:w="493"/>
        <w:gridCol w:w="167"/>
        <w:gridCol w:w="284"/>
        <w:gridCol w:w="142"/>
        <w:gridCol w:w="1092"/>
        <w:gridCol w:w="272"/>
        <w:gridCol w:w="1055"/>
        <w:gridCol w:w="604"/>
        <w:gridCol w:w="1165"/>
        <w:gridCol w:w="644"/>
        <w:gridCol w:w="757"/>
        <w:gridCol w:w="37"/>
        <w:gridCol w:w="329"/>
        <w:gridCol w:w="326"/>
        <w:gridCol w:w="1293"/>
        <w:gridCol w:w="516"/>
        <w:gridCol w:w="1880"/>
      </w:tblGrid>
      <w:tr>
        <w:tblPrEx>
          <w:tblCellMar>
            <w:top w:w="0" w:type="dxa"/>
            <w:left w:w="108" w:type="dxa"/>
            <w:bottom w:w="0" w:type="dxa"/>
            <w:right w:w="108" w:type="dxa"/>
          </w:tblCellMar>
        </w:tblPrEx>
        <w:trPr>
          <w:trHeight w:val="315" w:hRule="atLeast"/>
          <w:jc w:val="center"/>
        </w:trPr>
        <w:tc>
          <w:tcPr>
            <w:tcW w:w="638" w:type="pct"/>
            <w:gridSpan w:val="3"/>
            <w:tcBorders>
              <w:top w:val="nil"/>
              <w:left w:val="nil"/>
              <w:bottom w:val="nil"/>
              <w:right w:val="nil"/>
            </w:tcBorders>
            <w:vAlign w:val="center"/>
          </w:tcPr>
          <w:p>
            <w:pPr>
              <w:widowControl/>
              <w:jc w:val="left"/>
              <w:rPr>
                <w:rFonts w:ascii="宋体" w:hAnsi="宋体" w:cs="宋体"/>
                <w:color w:val="auto"/>
                <w:highlight w:val="none"/>
              </w:rPr>
            </w:pPr>
            <w:r>
              <w:rPr>
                <w:rFonts w:hint="eastAsia" w:ascii="宋体" w:hAnsi="宋体" w:cs="宋体"/>
                <w:color w:val="auto"/>
                <w:highlight w:val="none"/>
              </w:rPr>
              <w:t>附件一：</w:t>
            </w:r>
          </w:p>
        </w:tc>
        <w:tc>
          <w:tcPr>
            <w:tcW w:w="463" w:type="pct"/>
            <w:gridSpan w:val="2"/>
            <w:tcBorders>
              <w:top w:val="nil"/>
              <w:left w:val="nil"/>
              <w:bottom w:val="nil"/>
              <w:right w:val="nil"/>
            </w:tcBorders>
            <w:vAlign w:val="center"/>
          </w:tcPr>
          <w:p>
            <w:pPr>
              <w:widowControl/>
              <w:jc w:val="center"/>
              <w:rPr>
                <w:rFonts w:ascii="宋体" w:hAnsi="宋体" w:cs="宋体"/>
                <w:color w:val="auto"/>
                <w:highlight w:val="none"/>
              </w:rPr>
            </w:pPr>
          </w:p>
        </w:tc>
        <w:tc>
          <w:tcPr>
            <w:tcW w:w="233" w:type="pct"/>
            <w:gridSpan w:val="2"/>
            <w:tcBorders>
              <w:top w:val="nil"/>
              <w:left w:val="nil"/>
              <w:bottom w:val="nil"/>
              <w:right w:val="nil"/>
            </w:tcBorders>
            <w:vAlign w:val="center"/>
          </w:tcPr>
          <w:p>
            <w:pPr>
              <w:widowControl/>
              <w:jc w:val="center"/>
              <w:rPr>
                <w:rFonts w:ascii="宋体" w:hAnsi="宋体" w:cs="宋体"/>
                <w:color w:val="auto"/>
                <w:highlight w:val="none"/>
              </w:rPr>
            </w:pPr>
          </w:p>
        </w:tc>
        <w:tc>
          <w:tcPr>
            <w:tcW w:w="150" w:type="pct"/>
            <w:gridSpan w:val="2"/>
            <w:tcBorders>
              <w:top w:val="nil"/>
              <w:left w:val="nil"/>
              <w:bottom w:val="nil"/>
              <w:right w:val="nil"/>
            </w:tcBorders>
            <w:vAlign w:val="center"/>
          </w:tcPr>
          <w:p>
            <w:pPr>
              <w:widowControl/>
              <w:jc w:val="center"/>
              <w:rPr>
                <w:rFonts w:ascii="宋体" w:hAnsi="宋体" w:cs="宋体"/>
                <w:color w:val="auto"/>
                <w:highlight w:val="none"/>
              </w:rPr>
            </w:pPr>
          </w:p>
        </w:tc>
        <w:tc>
          <w:tcPr>
            <w:tcW w:w="385" w:type="pct"/>
            <w:tcBorders>
              <w:top w:val="nil"/>
              <w:left w:val="nil"/>
              <w:bottom w:val="nil"/>
              <w:right w:val="nil"/>
            </w:tcBorders>
            <w:vAlign w:val="center"/>
          </w:tcPr>
          <w:p>
            <w:pPr>
              <w:widowControl/>
              <w:jc w:val="center"/>
              <w:rPr>
                <w:rFonts w:ascii="宋体" w:hAnsi="宋体" w:cs="宋体"/>
                <w:color w:val="auto"/>
                <w:highlight w:val="none"/>
              </w:rPr>
            </w:pPr>
          </w:p>
        </w:tc>
        <w:tc>
          <w:tcPr>
            <w:tcW w:w="468" w:type="pct"/>
            <w:gridSpan w:val="2"/>
            <w:tcBorders>
              <w:top w:val="nil"/>
              <w:left w:val="nil"/>
              <w:bottom w:val="nil"/>
              <w:right w:val="nil"/>
            </w:tcBorders>
            <w:vAlign w:val="center"/>
          </w:tcPr>
          <w:p>
            <w:pPr>
              <w:widowControl/>
              <w:jc w:val="center"/>
              <w:rPr>
                <w:rFonts w:ascii="宋体" w:hAnsi="宋体" w:cs="宋体"/>
                <w:color w:val="auto"/>
                <w:highlight w:val="none"/>
              </w:rPr>
            </w:pPr>
          </w:p>
        </w:tc>
        <w:tc>
          <w:tcPr>
            <w:tcW w:w="623" w:type="pct"/>
            <w:gridSpan w:val="2"/>
            <w:tcBorders>
              <w:top w:val="nil"/>
              <w:left w:val="nil"/>
              <w:bottom w:val="nil"/>
              <w:right w:val="nil"/>
            </w:tcBorders>
            <w:vAlign w:val="center"/>
          </w:tcPr>
          <w:p>
            <w:pPr>
              <w:widowControl/>
              <w:jc w:val="center"/>
              <w:rPr>
                <w:rFonts w:ascii="宋体" w:hAnsi="宋体" w:cs="宋体"/>
                <w:color w:val="auto"/>
                <w:highlight w:val="none"/>
              </w:rPr>
            </w:pPr>
          </w:p>
        </w:tc>
        <w:tc>
          <w:tcPr>
            <w:tcW w:w="507" w:type="pct"/>
            <w:gridSpan w:val="3"/>
            <w:tcBorders>
              <w:top w:val="nil"/>
              <w:left w:val="nil"/>
              <w:bottom w:val="nil"/>
              <w:right w:val="nil"/>
            </w:tcBorders>
            <w:vAlign w:val="center"/>
          </w:tcPr>
          <w:p>
            <w:pPr>
              <w:widowControl/>
              <w:jc w:val="center"/>
              <w:rPr>
                <w:rFonts w:ascii="宋体" w:hAnsi="宋体" w:cs="宋体"/>
                <w:color w:val="auto"/>
                <w:highlight w:val="none"/>
              </w:rPr>
            </w:pPr>
          </w:p>
        </w:tc>
        <w:tc>
          <w:tcPr>
            <w:tcW w:w="116" w:type="pct"/>
            <w:tcBorders>
              <w:top w:val="nil"/>
              <w:left w:val="nil"/>
              <w:bottom w:val="nil"/>
              <w:right w:val="nil"/>
            </w:tcBorders>
            <w:vAlign w:val="center"/>
          </w:tcPr>
          <w:p>
            <w:pPr>
              <w:widowControl/>
              <w:jc w:val="center"/>
              <w:rPr>
                <w:rFonts w:ascii="宋体" w:hAnsi="宋体" w:cs="宋体"/>
                <w:color w:val="auto"/>
                <w:highlight w:val="none"/>
              </w:rPr>
            </w:pPr>
          </w:p>
        </w:tc>
        <w:tc>
          <w:tcPr>
            <w:tcW w:w="571" w:type="pct"/>
            <w:gridSpan w:val="2"/>
            <w:tcBorders>
              <w:top w:val="nil"/>
              <w:left w:val="nil"/>
              <w:bottom w:val="nil"/>
              <w:right w:val="nil"/>
            </w:tcBorders>
            <w:vAlign w:val="center"/>
          </w:tcPr>
          <w:p>
            <w:pPr>
              <w:widowControl/>
              <w:jc w:val="center"/>
              <w:rPr>
                <w:rFonts w:ascii="宋体" w:hAnsi="宋体" w:cs="宋体"/>
                <w:color w:val="auto"/>
                <w:highlight w:val="none"/>
              </w:rPr>
            </w:pPr>
          </w:p>
        </w:tc>
        <w:tc>
          <w:tcPr>
            <w:tcW w:w="841" w:type="pct"/>
            <w:gridSpan w:val="2"/>
            <w:tcBorders>
              <w:top w:val="nil"/>
              <w:left w:val="nil"/>
              <w:bottom w:val="nil"/>
              <w:right w:val="nil"/>
            </w:tcBorders>
            <w:vAlign w:val="center"/>
          </w:tcPr>
          <w:p>
            <w:pPr>
              <w:widowControl/>
              <w:jc w:val="center"/>
              <w:rPr>
                <w:rFonts w:ascii="宋体" w:hAnsi="宋体" w:cs="宋体"/>
                <w:color w:val="auto"/>
                <w:highlight w:val="none"/>
              </w:rPr>
            </w:pPr>
          </w:p>
        </w:tc>
      </w:tr>
      <w:tr>
        <w:tblPrEx>
          <w:tblCellMar>
            <w:top w:w="0" w:type="dxa"/>
            <w:left w:w="108" w:type="dxa"/>
            <w:bottom w:w="0" w:type="dxa"/>
            <w:right w:w="108" w:type="dxa"/>
          </w:tblCellMar>
        </w:tblPrEx>
        <w:trPr>
          <w:trHeight w:val="510" w:hRule="atLeast"/>
          <w:jc w:val="center"/>
        </w:trPr>
        <w:tc>
          <w:tcPr>
            <w:tcW w:w="5000" w:type="pct"/>
            <w:gridSpan w:val="22"/>
            <w:tcBorders>
              <w:top w:val="nil"/>
              <w:left w:val="nil"/>
              <w:bottom w:val="nil"/>
              <w:right w:val="nil"/>
            </w:tcBorders>
            <w:vAlign w:val="center"/>
          </w:tcPr>
          <w:p>
            <w:pPr>
              <w:widowControl/>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工程</w:t>
            </w:r>
          </w:p>
        </w:tc>
      </w:tr>
      <w:tr>
        <w:tblPrEx>
          <w:tblCellMar>
            <w:top w:w="0" w:type="dxa"/>
            <w:left w:w="108" w:type="dxa"/>
            <w:bottom w:w="0" w:type="dxa"/>
            <w:right w:w="108" w:type="dxa"/>
          </w:tblCellMar>
        </w:tblPrEx>
        <w:trPr>
          <w:trHeight w:val="510" w:hRule="atLeast"/>
          <w:jc w:val="center"/>
        </w:trPr>
        <w:tc>
          <w:tcPr>
            <w:tcW w:w="5000" w:type="pct"/>
            <w:gridSpan w:val="22"/>
            <w:tcBorders>
              <w:top w:val="nil"/>
              <w:left w:val="nil"/>
              <w:bottom w:val="single" w:color="auto" w:sz="4" w:space="0"/>
              <w:right w:val="nil"/>
            </w:tcBorders>
            <w:vAlign w:val="center"/>
          </w:tcPr>
          <w:p>
            <w:pPr>
              <w:widowControl/>
              <w:rPr>
                <w:rFonts w:ascii="宋体" w:hAnsi="宋体" w:cs="宋体"/>
                <w:b/>
                <w:bCs/>
                <w:color w:val="auto"/>
                <w:sz w:val="22"/>
                <w:highlight w:val="none"/>
              </w:rPr>
            </w:pPr>
            <w:r>
              <w:rPr>
                <w:rFonts w:hint="eastAsia" w:ascii="宋体" w:hAnsi="宋体" w:cs="宋体"/>
                <w:b/>
                <w:bCs/>
                <w:color w:val="auto"/>
                <w:sz w:val="22"/>
                <w:highlight w:val="none"/>
              </w:rPr>
              <w:t>申请编号：20  年第  次申请</w:t>
            </w:r>
            <w:r>
              <w:rPr>
                <w:rFonts w:hint="eastAsia" w:ascii="宋体" w:hAnsi="宋体" w:cs="宋体"/>
                <w:b/>
                <w:bCs/>
                <w:color w:val="auto"/>
                <w:sz w:val="40"/>
                <w:szCs w:val="40"/>
                <w:highlight w:val="none"/>
              </w:rPr>
              <w:t xml:space="preserve">                  用款申请书              </w:t>
            </w:r>
            <w:r>
              <w:rPr>
                <w:rFonts w:hint="eastAsia" w:ascii="宋体" w:hAnsi="宋体" w:cs="宋体"/>
                <w:b/>
                <w:bCs/>
                <w:color w:val="auto"/>
                <w:sz w:val="22"/>
                <w:highlight w:val="none"/>
              </w:rPr>
              <w:t>申请日期：    年   月   日</w:t>
            </w:r>
          </w:p>
        </w:tc>
      </w:tr>
      <w:tr>
        <w:tblPrEx>
          <w:tblCellMar>
            <w:top w:w="0" w:type="dxa"/>
            <w:left w:w="108" w:type="dxa"/>
            <w:bottom w:w="0" w:type="dxa"/>
            <w:right w:w="108" w:type="dxa"/>
          </w:tblCellMar>
        </w:tblPrEx>
        <w:trPr>
          <w:trHeight w:val="485" w:hRule="atLeast"/>
          <w:jc w:val="center"/>
        </w:trPr>
        <w:tc>
          <w:tcPr>
            <w:tcW w:w="462"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申请单位全称</w:t>
            </w:r>
          </w:p>
        </w:tc>
        <w:tc>
          <w:tcPr>
            <w:tcW w:w="972" w:type="pct"/>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　</w:t>
            </w:r>
          </w:p>
        </w:tc>
        <w:tc>
          <w:tcPr>
            <w:tcW w:w="531" w:type="pct"/>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共管账户开户银行</w:t>
            </w:r>
          </w:p>
        </w:tc>
        <w:tc>
          <w:tcPr>
            <w:tcW w:w="1222" w:type="pct"/>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11" w:type="pct"/>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共管账户银行账号</w:t>
            </w:r>
          </w:p>
        </w:tc>
        <w:tc>
          <w:tcPr>
            <w:tcW w:w="1300" w:type="pct"/>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　</w:t>
            </w:r>
          </w:p>
        </w:tc>
      </w:tr>
      <w:tr>
        <w:trPr>
          <w:trHeight w:val="461" w:hRule="atLeast"/>
          <w:jc w:val="center"/>
        </w:trPr>
        <w:tc>
          <w:tcPr>
            <w:tcW w:w="638" w:type="pct"/>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本期审定应付金额（元）</w:t>
            </w:r>
          </w:p>
        </w:tc>
        <w:tc>
          <w:tcPr>
            <w:tcW w:w="796" w:type="pct"/>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　</w:t>
            </w:r>
          </w:p>
        </w:tc>
        <w:tc>
          <w:tcPr>
            <w:tcW w:w="531" w:type="pct"/>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共管帐户余额（元）</w:t>
            </w:r>
          </w:p>
        </w:tc>
        <w:tc>
          <w:tcPr>
            <w:tcW w:w="1222" w:type="pct"/>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1149" w:type="pct"/>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本次支付后共管账户余额（元）</w:t>
            </w:r>
          </w:p>
        </w:tc>
        <w:tc>
          <w:tcPr>
            <w:tcW w:w="662" w:type="pct"/>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810"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序号</w:t>
            </w:r>
          </w:p>
        </w:tc>
        <w:tc>
          <w:tcPr>
            <w:tcW w:w="478" w:type="pct"/>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用款单位</w:t>
            </w:r>
          </w:p>
        </w:tc>
        <w:tc>
          <w:tcPr>
            <w:tcW w:w="637" w:type="pct"/>
            <w:gridSpan w:val="3"/>
            <w:tcBorders>
              <w:top w:val="nil"/>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用款单位开户银行和账号</w:t>
            </w:r>
          </w:p>
        </w:tc>
        <w:tc>
          <w:tcPr>
            <w:tcW w:w="159" w:type="pct"/>
            <w:gridSpan w:val="2"/>
            <w:tcBorders>
              <w:top w:val="nil"/>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合同            编号</w:t>
            </w:r>
          </w:p>
        </w:tc>
        <w:tc>
          <w:tcPr>
            <w:tcW w:w="531" w:type="pct"/>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合同名称</w:t>
            </w:r>
          </w:p>
        </w:tc>
        <w:tc>
          <w:tcPr>
            <w:tcW w:w="584" w:type="pct"/>
            <w:gridSpan w:val="2"/>
            <w:tcBorders>
              <w:top w:val="nil"/>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合同或结算金额（元）</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本次申请划款金额（元）</w:t>
            </w:r>
          </w:p>
        </w:tc>
        <w:tc>
          <w:tcPr>
            <w:tcW w:w="511" w:type="pct"/>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划款用途</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至本次止累计划款（元）</w:t>
            </w:r>
          </w:p>
        </w:tc>
        <w:tc>
          <w:tcPr>
            <w:tcW w:w="662" w:type="pct"/>
            <w:tcBorders>
              <w:top w:val="nil"/>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备注</w:t>
            </w:r>
          </w:p>
        </w:tc>
      </w:tr>
      <w:tr>
        <w:tblPrEx>
          <w:tblCellMar>
            <w:top w:w="0" w:type="dxa"/>
            <w:left w:w="108" w:type="dxa"/>
            <w:bottom w:w="0" w:type="dxa"/>
            <w:right w:w="108" w:type="dxa"/>
          </w:tblCellMar>
        </w:tblPrEx>
        <w:trPr>
          <w:trHeight w:val="463"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　</w:t>
            </w:r>
          </w:p>
        </w:tc>
        <w:tc>
          <w:tcPr>
            <w:tcW w:w="4840" w:type="pct"/>
            <w:gridSpan w:val="21"/>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工程建设费用</w:t>
            </w:r>
          </w:p>
        </w:tc>
      </w:tr>
      <w:tr>
        <w:tblPrEx>
          <w:tblCellMar>
            <w:top w:w="0" w:type="dxa"/>
            <w:left w:w="108" w:type="dxa"/>
            <w:bottom w:w="0" w:type="dxa"/>
            <w:right w:w="108" w:type="dxa"/>
          </w:tblCellMar>
        </w:tblPrEx>
        <w:trPr>
          <w:trHeight w:val="452"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auto"/>
                <w:sz w:val="22"/>
                <w:highlight w:val="none"/>
              </w:rPr>
            </w:pPr>
            <w:r>
              <w:rPr>
                <w:rFonts w:hint="eastAsia" w:ascii="宋体" w:hAnsi="宋体" w:cs="宋体"/>
                <w:b/>
                <w:bCs/>
                <w:color w:val="auto"/>
                <w:sz w:val="22"/>
                <w:highlight w:val="none"/>
              </w:rPr>
              <w:t>一</w:t>
            </w:r>
          </w:p>
        </w:tc>
        <w:tc>
          <w:tcPr>
            <w:tcW w:w="4840" w:type="pct"/>
            <w:gridSpan w:val="21"/>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专业分包工程款</w:t>
            </w:r>
          </w:p>
        </w:tc>
      </w:tr>
      <w:tr>
        <w:tblPrEx>
          <w:tblCellMar>
            <w:top w:w="0" w:type="dxa"/>
            <w:left w:w="108" w:type="dxa"/>
            <w:bottom w:w="0" w:type="dxa"/>
            <w:right w:w="108" w:type="dxa"/>
          </w:tblCellMar>
        </w:tblPrEx>
        <w:trPr>
          <w:trHeight w:val="300"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1</w:t>
            </w:r>
          </w:p>
        </w:tc>
        <w:tc>
          <w:tcPr>
            <w:tcW w:w="478" w:type="pct"/>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7" w:type="pct"/>
            <w:gridSpan w:val="3"/>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159"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31" w:type="pct"/>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84"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11" w:type="pct"/>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62" w:type="pct"/>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300"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2</w:t>
            </w:r>
          </w:p>
        </w:tc>
        <w:tc>
          <w:tcPr>
            <w:tcW w:w="478" w:type="pct"/>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7" w:type="pct"/>
            <w:gridSpan w:val="3"/>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159"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31" w:type="pct"/>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84"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11" w:type="pct"/>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62" w:type="pct"/>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300"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w:t>
            </w:r>
          </w:p>
        </w:tc>
        <w:tc>
          <w:tcPr>
            <w:tcW w:w="478" w:type="pct"/>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7" w:type="pct"/>
            <w:gridSpan w:val="3"/>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159"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31" w:type="pct"/>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84"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11" w:type="pct"/>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62" w:type="pct"/>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150" w:hRule="atLeast"/>
          <w:jc w:val="center"/>
        </w:trPr>
        <w:tc>
          <w:tcPr>
            <w:tcW w:w="5000" w:type="pct"/>
            <w:gridSpan w:val="22"/>
            <w:tcBorders>
              <w:top w:val="single" w:color="auto" w:sz="4" w:space="0"/>
              <w:left w:val="single" w:color="auto" w:sz="4" w:space="0"/>
              <w:bottom w:val="single" w:color="auto" w:sz="4" w:space="0"/>
              <w:right w:val="single" w:color="000000" w:sz="4" w:space="0"/>
            </w:tcBorders>
            <w:shd w:val="clear" w:color="auto" w:fill="FFCC99"/>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389"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二</w:t>
            </w:r>
          </w:p>
        </w:tc>
        <w:tc>
          <w:tcPr>
            <w:tcW w:w="4840" w:type="pct"/>
            <w:gridSpan w:val="21"/>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大型设备、大宗材料款</w:t>
            </w:r>
          </w:p>
        </w:tc>
      </w:tr>
      <w:tr>
        <w:tblPrEx>
          <w:tblCellMar>
            <w:top w:w="0" w:type="dxa"/>
            <w:left w:w="108" w:type="dxa"/>
            <w:bottom w:w="0" w:type="dxa"/>
            <w:right w:w="108" w:type="dxa"/>
          </w:tblCellMar>
        </w:tblPrEx>
        <w:trPr>
          <w:trHeight w:val="300"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1</w:t>
            </w:r>
          </w:p>
        </w:tc>
        <w:tc>
          <w:tcPr>
            <w:tcW w:w="478" w:type="pct"/>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7" w:type="pct"/>
            <w:gridSpan w:val="3"/>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159"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31" w:type="pct"/>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84"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11" w:type="pct"/>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62" w:type="pct"/>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rPr>
          <w:trHeight w:val="300"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2</w:t>
            </w:r>
          </w:p>
        </w:tc>
        <w:tc>
          <w:tcPr>
            <w:tcW w:w="478" w:type="pct"/>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7" w:type="pct"/>
            <w:gridSpan w:val="3"/>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159"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31" w:type="pct"/>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84"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11" w:type="pct"/>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62" w:type="pct"/>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300"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w:t>
            </w:r>
          </w:p>
        </w:tc>
        <w:tc>
          <w:tcPr>
            <w:tcW w:w="478" w:type="pct"/>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7" w:type="pct"/>
            <w:gridSpan w:val="3"/>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159"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31" w:type="pct"/>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84"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11" w:type="pct"/>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62" w:type="pct"/>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150" w:hRule="atLeast"/>
          <w:jc w:val="center"/>
        </w:trPr>
        <w:tc>
          <w:tcPr>
            <w:tcW w:w="5000" w:type="pct"/>
            <w:gridSpan w:val="22"/>
            <w:tcBorders>
              <w:top w:val="single" w:color="auto" w:sz="4" w:space="0"/>
              <w:left w:val="single" w:color="auto" w:sz="4" w:space="0"/>
              <w:bottom w:val="single" w:color="auto" w:sz="4" w:space="0"/>
              <w:right w:val="single" w:color="000000" w:sz="4" w:space="0"/>
            </w:tcBorders>
            <w:shd w:val="clear" w:color="auto" w:fill="FFCC99"/>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453"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三</w:t>
            </w:r>
          </w:p>
        </w:tc>
        <w:tc>
          <w:tcPr>
            <w:tcW w:w="4840" w:type="pct"/>
            <w:gridSpan w:val="21"/>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劳务班组费用款</w:t>
            </w:r>
          </w:p>
        </w:tc>
      </w:tr>
      <w:tr>
        <w:tblPrEx>
          <w:tblCellMar>
            <w:top w:w="0" w:type="dxa"/>
            <w:left w:w="108" w:type="dxa"/>
            <w:bottom w:w="0" w:type="dxa"/>
            <w:right w:w="108" w:type="dxa"/>
          </w:tblCellMar>
        </w:tblPrEx>
        <w:trPr>
          <w:trHeight w:val="300"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1</w:t>
            </w:r>
          </w:p>
        </w:tc>
        <w:tc>
          <w:tcPr>
            <w:tcW w:w="478" w:type="pct"/>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7" w:type="pct"/>
            <w:gridSpan w:val="3"/>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159"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31" w:type="pct"/>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84"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11" w:type="pct"/>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62" w:type="pct"/>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300"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2</w:t>
            </w:r>
          </w:p>
        </w:tc>
        <w:tc>
          <w:tcPr>
            <w:tcW w:w="478" w:type="pct"/>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7" w:type="pct"/>
            <w:gridSpan w:val="3"/>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159"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31" w:type="pct"/>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84"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11" w:type="pct"/>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62" w:type="pct"/>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300"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w:t>
            </w:r>
          </w:p>
        </w:tc>
        <w:tc>
          <w:tcPr>
            <w:tcW w:w="478" w:type="pct"/>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7" w:type="pct"/>
            <w:gridSpan w:val="3"/>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159"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31" w:type="pct"/>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84"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11" w:type="pct"/>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62" w:type="pct"/>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150" w:hRule="atLeast"/>
          <w:jc w:val="center"/>
        </w:trPr>
        <w:tc>
          <w:tcPr>
            <w:tcW w:w="5000" w:type="pct"/>
            <w:gridSpan w:val="22"/>
            <w:tcBorders>
              <w:top w:val="single" w:color="auto" w:sz="4" w:space="0"/>
              <w:left w:val="single" w:color="auto" w:sz="4" w:space="0"/>
              <w:bottom w:val="single" w:color="auto" w:sz="4" w:space="0"/>
              <w:right w:val="single" w:color="000000" w:sz="4" w:space="0"/>
            </w:tcBorders>
            <w:shd w:val="clear" w:color="auto" w:fill="FFCC99"/>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615"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四</w:t>
            </w:r>
          </w:p>
        </w:tc>
        <w:tc>
          <w:tcPr>
            <w:tcW w:w="4178" w:type="pct"/>
            <w:gridSpan w:val="20"/>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一般材料费用、管理费、税金及其他费用</w:t>
            </w:r>
          </w:p>
        </w:tc>
        <w:tc>
          <w:tcPr>
            <w:tcW w:w="662" w:type="pct"/>
            <w:tcBorders>
              <w:top w:val="nil"/>
              <w:left w:val="nil"/>
              <w:bottom w:val="single" w:color="auto" w:sz="4" w:space="0"/>
              <w:right w:val="single" w:color="auto" w:sz="4" w:space="0"/>
            </w:tcBorders>
            <w:vAlign w:val="center"/>
          </w:tcPr>
          <w:p>
            <w:pPr>
              <w:widowControl/>
              <w:jc w:val="left"/>
              <w:rPr>
                <w:rFonts w:ascii="宋体" w:hAnsi="宋体" w:cs="宋体"/>
                <w:b/>
                <w:bCs/>
                <w:color w:val="auto"/>
                <w:sz w:val="22"/>
                <w:highlight w:val="none"/>
              </w:rPr>
            </w:pPr>
            <w:r>
              <w:rPr>
                <w:rFonts w:hint="eastAsia" w:ascii="宋体" w:hAnsi="宋体" w:cs="宋体"/>
                <w:b/>
                <w:bCs/>
                <w:color w:val="auto"/>
                <w:sz w:val="22"/>
                <w:highlight w:val="none"/>
              </w:rPr>
              <w:t>原则上不超过申请款的30%</w:t>
            </w:r>
          </w:p>
        </w:tc>
      </w:tr>
      <w:tr>
        <w:trPr>
          <w:trHeight w:val="300"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1</w:t>
            </w:r>
          </w:p>
        </w:tc>
        <w:tc>
          <w:tcPr>
            <w:tcW w:w="478" w:type="pct"/>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7" w:type="pct"/>
            <w:gridSpan w:val="3"/>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159"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31" w:type="pct"/>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84"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11" w:type="pct"/>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62" w:type="pct"/>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300"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2</w:t>
            </w:r>
          </w:p>
        </w:tc>
        <w:tc>
          <w:tcPr>
            <w:tcW w:w="478" w:type="pct"/>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7" w:type="pct"/>
            <w:gridSpan w:val="3"/>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159"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31" w:type="pct"/>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84"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11" w:type="pct"/>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62" w:type="pct"/>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300" w:hRule="atLeast"/>
          <w:jc w:val="center"/>
        </w:trPr>
        <w:tc>
          <w:tcPr>
            <w:tcW w:w="15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w:t>
            </w:r>
          </w:p>
        </w:tc>
        <w:tc>
          <w:tcPr>
            <w:tcW w:w="478" w:type="pct"/>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7" w:type="pct"/>
            <w:gridSpan w:val="3"/>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159"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31" w:type="pct"/>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84"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511" w:type="pct"/>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662" w:type="pct"/>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150" w:hRule="atLeast"/>
          <w:jc w:val="center"/>
        </w:trPr>
        <w:tc>
          <w:tcPr>
            <w:tcW w:w="5000" w:type="pct"/>
            <w:gridSpan w:val="22"/>
            <w:tcBorders>
              <w:top w:val="single" w:color="auto" w:sz="4" w:space="0"/>
              <w:left w:val="single" w:color="auto" w:sz="4" w:space="0"/>
              <w:bottom w:val="single" w:color="auto" w:sz="4" w:space="0"/>
              <w:right w:val="single" w:color="auto" w:sz="4" w:space="0"/>
            </w:tcBorders>
            <w:shd w:val="clear" w:color="auto" w:fill="FFCC99"/>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150" w:hRule="atLeast"/>
          <w:jc w:val="center"/>
        </w:trPr>
        <w:tc>
          <w:tcPr>
            <w:tcW w:w="5000" w:type="pct"/>
            <w:gridSpan w:val="22"/>
            <w:tcBorders>
              <w:top w:val="single" w:color="auto" w:sz="4" w:space="0"/>
              <w:left w:val="single" w:color="auto" w:sz="4" w:space="0"/>
              <w:bottom w:val="single" w:color="auto" w:sz="4" w:space="0"/>
              <w:right w:val="single" w:color="000000" w:sz="4" w:space="0"/>
            </w:tcBorders>
            <w:shd w:val="clear" w:color="auto" w:fill="FFCC99"/>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300" w:hRule="atLeast"/>
          <w:jc w:val="center"/>
        </w:trPr>
        <w:tc>
          <w:tcPr>
            <w:tcW w:w="2550" w:type="pct"/>
            <w:gridSpan w:val="13"/>
            <w:tcBorders>
              <w:top w:val="single" w:color="auto" w:sz="4" w:space="0"/>
              <w:left w:val="single" w:color="auto" w:sz="4" w:space="0"/>
              <w:bottom w:val="single" w:color="auto" w:sz="4" w:space="0"/>
              <w:right w:val="single" w:color="auto" w:sz="4" w:space="0"/>
            </w:tcBorders>
            <w:shd w:val="clear" w:color="auto" w:fill="FFFF99"/>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本次申请划款合计（元）</w:t>
            </w:r>
          </w:p>
        </w:tc>
        <w:tc>
          <w:tcPr>
            <w:tcW w:w="638" w:type="pct"/>
            <w:gridSpan w:val="2"/>
            <w:tcBorders>
              <w:top w:val="nil"/>
              <w:left w:val="nil"/>
              <w:bottom w:val="single" w:color="auto" w:sz="4" w:space="0"/>
              <w:right w:val="single" w:color="auto" w:sz="4" w:space="0"/>
            </w:tcBorders>
            <w:shd w:val="clear" w:color="auto" w:fill="FFFF99"/>
            <w:vAlign w:val="center"/>
          </w:tcPr>
          <w:p>
            <w:pPr>
              <w:widowControl/>
              <w:jc w:val="center"/>
              <w:rPr>
                <w:rFonts w:ascii="宋体" w:hAnsi="宋体" w:cs="宋体"/>
                <w:b/>
                <w:bCs/>
                <w:color w:val="auto"/>
                <w:sz w:val="22"/>
                <w:highlight w:val="none"/>
                <w:u w:val="single"/>
              </w:rPr>
            </w:pPr>
            <w:r>
              <w:rPr>
                <w:rFonts w:hint="eastAsia" w:ascii="宋体" w:hAnsi="宋体" w:cs="宋体"/>
                <w:b/>
                <w:bCs/>
                <w:color w:val="auto"/>
                <w:sz w:val="22"/>
                <w:highlight w:val="none"/>
                <w:u w:val="single"/>
              </w:rPr>
              <w:t>　</w:t>
            </w:r>
          </w:p>
        </w:tc>
        <w:tc>
          <w:tcPr>
            <w:tcW w:w="511" w:type="pct"/>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w:t>
            </w:r>
          </w:p>
        </w:tc>
        <w:tc>
          <w:tcPr>
            <w:tcW w:w="638" w:type="pct"/>
            <w:gridSpan w:val="2"/>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w:t>
            </w:r>
          </w:p>
        </w:tc>
        <w:tc>
          <w:tcPr>
            <w:tcW w:w="662" w:type="pct"/>
            <w:tcBorders>
              <w:top w:val="nil"/>
              <w:left w:val="nil"/>
              <w:bottom w:val="single" w:color="auto" w:sz="4" w:space="0"/>
              <w:right w:val="single" w:color="auto"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w:t>
            </w:r>
          </w:p>
        </w:tc>
      </w:tr>
      <w:tr>
        <w:trPr>
          <w:trHeight w:val="285" w:hRule="atLeast"/>
          <w:jc w:val="center"/>
        </w:trPr>
        <w:tc>
          <w:tcPr>
            <w:tcW w:w="963" w:type="pct"/>
            <w:gridSpan w:val="4"/>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b/>
                <w:bCs/>
                <w:color w:val="auto"/>
                <w:sz w:val="22"/>
                <w:highlight w:val="none"/>
              </w:rPr>
            </w:pPr>
            <w:r>
              <w:rPr>
                <w:rFonts w:hint="eastAsia" w:ascii="宋体" w:hAnsi="宋体" w:cs="宋体"/>
                <w:b/>
                <w:bCs/>
                <w:color w:val="auto"/>
                <w:sz w:val="22"/>
                <w:highlight w:val="none"/>
              </w:rPr>
              <w:t>申请单位经办人及手机：</w:t>
            </w:r>
          </w:p>
        </w:tc>
        <w:tc>
          <w:tcPr>
            <w:tcW w:w="1002" w:type="pct"/>
            <w:gridSpan w:val="7"/>
            <w:tcBorders>
              <w:top w:val="single" w:color="auto" w:sz="4" w:space="0"/>
              <w:left w:val="nil"/>
              <w:bottom w:val="single" w:color="auto" w:sz="4" w:space="0"/>
              <w:right w:val="single" w:color="000000" w:sz="4" w:space="0"/>
            </w:tcBorders>
            <w:vAlign w:val="center"/>
          </w:tcPr>
          <w:p>
            <w:pPr>
              <w:widowControl/>
              <w:jc w:val="left"/>
              <w:rPr>
                <w:rFonts w:ascii="宋体" w:hAnsi="宋体" w:cs="宋体"/>
                <w:b/>
                <w:bCs/>
                <w:color w:val="auto"/>
                <w:sz w:val="22"/>
                <w:highlight w:val="none"/>
              </w:rPr>
            </w:pPr>
            <w:r>
              <w:rPr>
                <w:rFonts w:hint="eastAsia" w:ascii="宋体" w:hAnsi="宋体" w:cs="宋体"/>
                <w:b/>
                <w:bCs/>
                <w:color w:val="auto"/>
                <w:sz w:val="22"/>
                <w:highlight w:val="none"/>
              </w:rPr>
              <w:t>监理单位审核人：</w:t>
            </w:r>
          </w:p>
        </w:tc>
        <w:tc>
          <w:tcPr>
            <w:tcW w:w="1490" w:type="pct"/>
            <w:gridSpan w:val="5"/>
            <w:tcBorders>
              <w:top w:val="single" w:color="auto" w:sz="4" w:space="0"/>
              <w:left w:val="nil"/>
              <w:bottom w:val="single" w:color="auto" w:sz="4" w:space="0"/>
              <w:right w:val="single" w:color="000000" w:sz="4" w:space="0"/>
            </w:tcBorders>
            <w:vAlign w:val="center"/>
          </w:tcPr>
          <w:p>
            <w:pPr>
              <w:widowControl/>
              <w:jc w:val="left"/>
              <w:rPr>
                <w:rFonts w:ascii="宋体" w:hAnsi="宋体" w:cs="宋体"/>
                <w:b/>
                <w:bCs/>
                <w:color w:val="auto"/>
                <w:sz w:val="22"/>
                <w:highlight w:val="none"/>
              </w:rPr>
            </w:pPr>
            <w:r>
              <w:rPr>
                <w:rFonts w:hint="eastAsia" w:ascii="宋体" w:hAnsi="宋体" w:cs="宋体"/>
                <w:b/>
                <w:bCs/>
                <w:color w:val="auto"/>
                <w:sz w:val="22"/>
                <w:highlight w:val="none"/>
              </w:rPr>
              <w:t>代业主单位审核人：</w:t>
            </w:r>
          </w:p>
        </w:tc>
        <w:tc>
          <w:tcPr>
            <w:tcW w:w="1543" w:type="pct"/>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auto"/>
                <w:sz w:val="22"/>
                <w:highlight w:val="none"/>
              </w:rPr>
            </w:pPr>
            <w:r>
              <w:rPr>
                <w:rFonts w:hint="eastAsia" w:ascii="宋体" w:hAnsi="宋体" w:cs="宋体"/>
                <w:b/>
                <w:bCs/>
                <w:color w:val="auto"/>
                <w:sz w:val="22"/>
                <w:highlight w:val="none"/>
              </w:rPr>
              <w:t>建设业主审核人：</w:t>
            </w:r>
          </w:p>
        </w:tc>
      </w:tr>
      <w:tr>
        <w:tblPrEx>
          <w:tblCellMar>
            <w:top w:w="0" w:type="dxa"/>
            <w:left w:w="108" w:type="dxa"/>
            <w:bottom w:w="0" w:type="dxa"/>
            <w:right w:w="108" w:type="dxa"/>
          </w:tblCellMar>
        </w:tblPrEx>
        <w:trPr>
          <w:trHeight w:val="810" w:hRule="atLeast"/>
          <w:jc w:val="center"/>
        </w:trPr>
        <w:tc>
          <w:tcPr>
            <w:tcW w:w="963" w:type="pct"/>
            <w:gridSpan w:val="4"/>
            <w:tcBorders>
              <w:top w:val="single" w:color="auto" w:sz="4" w:space="0"/>
              <w:left w:val="single" w:color="auto" w:sz="4" w:space="0"/>
              <w:bottom w:val="nil"/>
              <w:right w:val="single" w:color="000000" w:sz="4" w:space="0"/>
            </w:tcBorders>
            <w:vAlign w:val="center"/>
          </w:tcPr>
          <w:p>
            <w:pPr>
              <w:widowControl/>
              <w:jc w:val="left"/>
              <w:rPr>
                <w:rFonts w:ascii="宋体" w:hAnsi="宋体" w:cs="宋体"/>
                <w:color w:val="auto"/>
                <w:sz w:val="22"/>
                <w:highlight w:val="none"/>
              </w:rPr>
            </w:pPr>
            <w:r>
              <w:rPr>
                <w:rFonts w:hint="eastAsia" w:ascii="宋体" w:hAnsi="宋体" w:cs="宋体"/>
                <w:color w:val="auto"/>
                <w:sz w:val="22"/>
                <w:highlight w:val="none"/>
              </w:rPr>
              <w:t>　</w:t>
            </w:r>
          </w:p>
        </w:tc>
        <w:tc>
          <w:tcPr>
            <w:tcW w:w="1002" w:type="pct"/>
            <w:gridSpan w:val="7"/>
            <w:tcBorders>
              <w:top w:val="single" w:color="auto" w:sz="4" w:space="0"/>
              <w:left w:val="nil"/>
              <w:bottom w:val="nil"/>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tc>
        <w:tc>
          <w:tcPr>
            <w:tcW w:w="1490" w:type="pct"/>
            <w:gridSpan w:val="5"/>
            <w:vMerge w:val="restart"/>
            <w:tcBorders>
              <w:top w:val="single" w:color="auto" w:sz="4" w:space="0"/>
              <w:left w:val="nil"/>
              <w:right w:val="single" w:color="000000" w:sz="4" w:space="0"/>
            </w:tcBorders>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rPr>
              <w:t>　</w:t>
            </w:r>
          </w:p>
          <w:p>
            <w:pPr>
              <w:widowControl/>
              <w:jc w:val="left"/>
              <w:rPr>
                <w:rFonts w:ascii="宋体" w:hAnsi="宋体" w:cs="宋体"/>
                <w:color w:val="auto"/>
                <w:sz w:val="22"/>
                <w:highlight w:val="none"/>
              </w:rPr>
            </w:pPr>
          </w:p>
          <w:p>
            <w:pPr>
              <w:widowControl/>
              <w:jc w:val="left"/>
              <w:rPr>
                <w:rFonts w:ascii="宋体" w:hAnsi="宋体" w:cs="宋体"/>
                <w:b/>
                <w:bCs/>
                <w:color w:val="auto"/>
                <w:sz w:val="22"/>
                <w:highlight w:val="none"/>
              </w:rPr>
            </w:pPr>
            <w:r>
              <w:rPr>
                <w:rFonts w:hint="eastAsia" w:ascii="宋体" w:hAnsi="宋体" w:cs="宋体"/>
                <w:b/>
                <w:bCs/>
                <w:color w:val="auto"/>
                <w:sz w:val="22"/>
                <w:highlight w:val="none"/>
              </w:rPr>
              <w:t>盖章：</w:t>
            </w:r>
          </w:p>
          <w:p>
            <w:pPr>
              <w:widowControl/>
              <w:jc w:val="left"/>
              <w:rPr>
                <w:rFonts w:ascii="宋体" w:hAnsi="宋体" w:cs="宋体"/>
                <w:b/>
                <w:bCs/>
                <w:color w:val="auto"/>
                <w:sz w:val="22"/>
                <w:highlight w:val="none"/>
              </w:rPr>
            </w:pPr>
          </w:p>
          <w:p>
            <w:pPr>
              <w:widowControl/>
              <w:jc w:val="left"/>
              <w:rPr>
                <w:rFonts w:ascii="宋体" w:hAnsi="宋体" w:cs="宋体"/>
                <w:color w:val="auto"/>
                <w:sz w:val="22"/>
                <w:highlight w:val="none"/>
              </w:rPr>
            </w:pPr>
            <w:r>
              <w:rPr>
                <w:rFonts w:hint="eastAsia" w:ascii="宋体" w:hAnsi="宋体" w:cs="宋体"/>
                <w:b/>
                <w:bCs/>
                <w:color w:val="auto"/>
                <w:sz w:val="22"/>
                <w:highlight w:val="none"/>
              </w:rPr>
              <w:t>日期：  年  月  日</w:t>
            </w:r>
          </w:p>
        </w:tc>
        <w:tc>
          <w:tcPr>
            <w:tcW w:w="1543" w:type="pct"/>
            <w:gridSpan w:val="6"/>
            <w:tcBorders>
              <w:top w:val="single" w:color="auto" w:sz="4" w:space="0"/>
              <w:left w:val="nil"/>
              <w:bottom w:val="nil"/>
              <w:right w:val="single" w:color="000000" w:sz="4" w:space="0"/>
            </w:tcBorders>
            <w:vAlign w:val="center"/>
          </w:tcPr>
          <w:p>
            <w:pPr>
              <w:widowControl/>
              <w:jc w:val="left"/>
              <w:rPr>
                <w:rFonts w:ascii="宋体" w:hAnsi="宋体" w:cs="宋体"/>
                <w:color w:val="auto"/>
                <w:sz w:val="22"/>
                <w:highlight w:val="none"/>
              </w:rPr>
            </w:pPr>
            <w:r>
              <w:rPr>
                <w:rFonts w:hint="eastAsia" w:ascii="宋体" w:hAnsi="宋体" w:cs="宋体"/>
                <w:color w:val="auto"/>
                <w:sz w:val="22"/>
                <w:highlight w:val="none"/>
              </w:rPr>
              <w:t>　</w:t>
            </w:r>
          </w:p>
        </w:tc>
      </w:tr>
      <w:tr>
        <w:tblPrEx>
          <w:tblCellMar>
            <w:top w:w="0" w:type="dxa"/>
            <w:left w:w="108" w:type="dxa"/>
            <w:bottom w:w="0" w:type="dxa"/>
            <w:right w:w="108" w:type="dxa"/>
          </w:tblCellMar>
        </w:tblPrEx>
        <w:trPr>
          <w:trHeight w:val="87" w:hRule="atLeast"/>
          <w:jc w:val="center"/>
        </w:trPr>
        <w:tc>
          <w:tcPr>
            <w:tcW w:w="963" w:type="pct"/>
            <w:gridSpan w:val="4"/>
            <w:tcBorders>
              <w:top w:val="nil"/>
              <w:left w:val="single" w:color="auto" w:sz="4" w:space="0"/>
              <w:bottom w:val="nil"/>
              <w:right w:val="single" w:color="000000" w:sz="4" w:space="0"/>
            </w:tcBorders>
            <w:vAlign w:val="center"/>
          </w:tcPr>
          <w:p>
            <w:pPr>
              <w:widowControl/>
              <w:jc w:val="left"/>
              <w:rPr>
                <w:rFonts w:ascii="宋体" w:hAnsi="宋体" w:cs="宋体"/>
                <w:b/>
                <w:bCs/>
                <w:color w:val="auto"/>
                <w:sz w:val="22"/>
                <w:highlight w:val="none"/>
              </w:rPr>
            </w:pPr>
            <w:r>
              <w:rPr>
                <w:rFonts w:hint="eastAsia" w:ascii="宋体" w:hAnsi="宋体" w:cs="宋体"/>
                <w:b/>
                <w:bCs/>
                <w:color w:val="auto"/>
                <w:sz w:val="22"/>
                <w:highlight w:val="none"/>
              </w:rPr>
              <w:t>盖章：</w:t>
            </w:r>
          </w:p>
        </w:tc>
        <w:tc>
          <w:tcPr>
            <w:tcW w:w="1002" w:type="pct"/>
            <w:gridSpan w:val="7"/>
            <w:tcBorders>
              <w:top w:val="nil"/>
              <w:left w:val="nil"/>
              <w:bottom w:val="nil"/>
              <w:right w:val="single" w:color="000000" w:sz="4" w:space="0"/>
            </w:tcBorders>
            <w:vAlign w:val="center"/>
          </w:tcPr>
          <w:p>
            <w:pPr>
              <w:widowControl/>
              <w:jc w:val="left"/>
              <w:rPr>
                <w:rFonts w:ascii="宋体" w:hAnsi="宋体" w:cs="宋体"/>
                <w:b/>
                <w:bCs/>
                <w:color w:val="auto"/>
                <w:sz w:val="22"/>
                <w:highlight w:val="none"/>
              </w:rPr>
            </w:pPr>
            <w:r>
              <w:rPr>
                <w:rFonts w:hint="eastAsia" w:ascii="宋体" w:hAnsi="宋体" w:cs="宋体"/>
                <w:b/>
                <w:bCs/>
                <w:color w:val="auto"/>
                <w:sz w:val="22"/>
                <w:highlight w:val="none"/>
              </w:rPr>
              <w:t>盖章：</w:t>
            </w:r>
          </w:p>
        </w:tc>
        <w:tc>
          <w:tcPr>
            <w:tcW w:w="1490" w:type="pct"/>
            <w:gridSpan w:val="5"/>
            <w:vMerge w:val="continue"/>
            <w:tcBorders>
              <w:left w:val="nil"/>
              <w:right w:val="single" w:color="000000" w:sz="4" w:space="0"/>
            </w:tcBorders>
            <w:noWrap/>
            <w:vAlign w:val="bottom"/>
          </w:tcPr>
          <w:p>
            <w:pPr>
              <w:jc w:val="left"/>
              <w:rPr>
                <w:rFonts w:ascii="宋体" w:hAnsi="宋体" w:cs="宋体"/>
                <w:b/>
                <w:bCs/>
                <w:color w:val="auto"/>
                <w:sz w:val="22"/>
                <w:highlight w:val="none"/>
              </w:rPr>
            </w:pPr>
          </w:p>
        </w:tc>
        <w:tc>
          <w:tcPr>
            <w:tcW w:w="1543" w:type="pct"/>
            <w:gridSpan w:val="6"/>
            <w:tcBorders>
              <w:top w:val="nil"/>
              <w:left w:val="nil"/>
              <w:bottom w:val="nil"/>
              <w:right w:val="single" w:color="000000" w:sz="4" w:space="0"/>
            </w:tcBorders>
            <w:noWrap/>
            <w:vAlign w:val="bottom"/>
          </w:tcPr>
          <w:p>
            <w:pPr>
              <w:widowControl/>
              <w:jc w:val="left"/>
              <w:rPr>
                <w:rFonts w:ascii="宋体" w:hAnsi="宋体" w:cs="宋体"/>
                <w:b/>
                <w:bCs/>
                <w:color w:val="auto"/>
                <w:sz w:val="22"/>
                <w:highlight w:val="none"/>
              </w:rPr>
            </w:pPr>
            <w:r>
              <w:rPr>
                <w:rFonts w:hint="eastAsia" w:ascii="宋体" w:hAnsi="宋体" w:cs="宋体"/>
                <w:b/>
                <w:bCs/>
                <w:color w:val="auto"/>
                <w:sz w:val="22"/>
                <w:highlight w:val="none"/>
              </w:rPr>
              <w:t>盖章：</w:t>
            </w:r>
          </w:p>
        </w:tc>
      </w:tr>
      <w:tr>
        <w:tblPrEx>
          <w:tblCellMar>
            <w:top w:w="0" w:type="dxa"/>
            <w:left w:w="108" w:type="dxa"/>
            <w:bottom w:w="0" w:type="dxa"/>
            <w:right w:w="108" w:type="dxa"/>
          </w:tblCellMar>
        </w:tblPrEx>
        <w:trPr>
          <w:trHeight w:val="314" w:hRule="atLeast"/>
          <w:jc w:val="center"/>
        </w:trPr>
        <w:tc>
          <w:tcPr>
            <w:tcW w:w="963" w:type="pct"/>
            <w:gridSpan w:val="4"/>
            <w:tcBorders>
              <w:top w:val="nil"/>
              <w:left w:val="single" w:color="auto" w:sz="4" w:space="0"/>
              <w:bottom w:val="single" w:color="auto" w:sz="4" w:space="0"/>
              <w:right w:val="single" w:color="000000" w:sz="4" w:space="0"/>
            </w:tcBorders>
            <w:vAlign w:val="center"/>
          </w:tcPr>
          <w:p>
            <w:pPr>
              <w:widowControl/>
              <w:jc w:val="left"/>
              <w:rPr>
                <w:rFonts w:ascii="宋体" w:hAnsi="宋体" w:cs="宋体"/>
                <w:b/>
                <w:bCs/>
                <w:color w:val="auto"/>
                <w:sz w:val="22"/>
                <w:highlight w:val="none"/>
              </w:rPr>
            </w:pPr>
            <w:r>
              <w:rPr>
                <w:rFonts w:hint="eastAsia" w:ascii="宋体" w:hAnsi="宋体" w:cs="宋体"/>
                <w:b/>
                <w:bCs/>
                <w:color w:val="auto"/>
                <w:sz w:val="22"/>
                <w:highlight w:val="none"/>
              </w:rPr>
              <w:t>日期：  年  月  日</w:t>
            </w:r>
          </w:p>
        </w:tc>
        <w:tc>
          <w:tcPr>
            <w:tcW w:w="1002" w:type="pct"/>
            <w:gridSpan w:val="7"/>
            <w:tcBorders>
              <w:top w:val="nil"/>
              <w:left w:val="nil"/>
              <w:bottom w:val="single" w:color="auto" w:sz="4" w:space="0"/>
              <w:right w:val="single" w:color="000000" w:sz="4" w:space="0"/>
            </w:tcBorders>
            <w:vAlign w:val="center"/>
          </w:tcPr>
          <w:p>
            <w:pPr>
              <w:widowControl/>
              <w:jc w:val="left"/>
              <w:rPr>
                <w:rFonts w:ascii="宋体" w:hAnsi="宋体" w:cs="宋体"/>
                <w:b/>
                <w:bCs/>
                <w:color w:val="auto"/>
                <w:sz w:val="22"/>
                <w:highlight w:val="none"/>
              </w:rPr>
            </w:pPr>
            <w:r>
              <w:rPr>
                <w:rFonts w:hint="eastAsia" w:ascii="宋体" w:hAnsi="宋体" w:cs="宋体"/>
                <w:b/>
                <w:bCs/>
                <w:color w:val="auto"/>
                <w:sz w:val="22"/>
                <w:highlight w:val="none"/>
              </w:rPr>
              <w:t>日期：  年  月  日</w:t>
            </w:r>
          </w:p>
        </w:tc>
        <w:tc>
          <w:tcPr>
            <w:tcW w:w="1490" w:type="pct"/>
            <w:gridSpan w:val="5"/>
            <w:vMerge w:val="continue"/>
            <w:tcBorders>
              <w:left w:val="nil"/>
              <w:bottom w:val="single" w:color="auto" w:sz="4" w:space="0"/>
              <w:right w:val="single" w:color="000000" w:sz="4" w:space="0"/>
            </w:tcBorders>
            <w:vAlign w:val="center"/>
          </w:tcPr>
          <w:p>
            <w:pPr>
              <w:widowControl/>
              <w:jc w:val="left"/>
              <w:rPr>
                <w:rFonts w:ascii="宋体" w:hAnsi="宋体" w:cs="宋体"/>
                <w:b/>
                <w:bCs/>
                <w:color w:val="auto"/>
                <w:sz w:val="22"/>
                <w:highlight w:val="none"/>
              </w:rPr>
            </w:pPr>
          </w:p>
        </w:tc>
        <w:tc>
          <w:tcPr>
            <w:tcW w:w="1543" w:type="pct"/>
            <w:gridSpan w:val="6"/>
            <w:tcBorders>
              <w:top w:val="nil"/>
              <w:left w:val="nil"/>
              <w:bottom w:val="single" w:color="auto" w:sz="4" w:space="0"/>
              <w:right w:val="single" w:color="000000" w:sz="4" w:space="0"/>
            </w:tcBorders>
            <w:vAlign w:val="center"/>
          </w:tcPr>
          <w:p>
            <w:pPr>
              <w:widowControl/>
              <w:jc w:val="left"/>
              <w:rPr>
                <w:rFonts w:ascii="宋体" w:hAnsi="宋体" w:cs="宋体"/>
                <w:b/>
                <w:bCs/>
                <w:color w:val="auto"/>
                <w:sz w:val="22"/>
                <w:highlight w:val="none"/>
              </w:rPr>
            </w:pPr>
            <w:r>
              <w:rPr>
                <w:rFonts w:hint="eastAsia" w:ascii="宋体" w:hAnsi="宋体" w:cs="宋体"/>
                <w:b/>
                <w:bCs/>
                <w:color w:val="auto"/>
                <w:sz w:val="22"/>
                <w:highlight w:val="none"/>
              </w:rPr>
              <w:t>日期：  年  月  日</w:t>
            </w:r>
          </w:p>
        </w:tc>
      </w:tr>
      <w:tr>
        <w:tblPrEx>
          <w:tblCellMar>
            <w:top w:w="0" w:type="dxa"/>
            <w:left w:w="108" w:type="dxa"/>
            <w:bottom w:w="0" w:type="dxa"/>
            <w:right w:w="108" w:type="dxa"/>
          </w:tblCellMar>
        </w:tblPrEx>
        <w:trPr>
          <w:trHeight w:val="1335" w:hRule="atLeast"/>
          <w:jc w:val="center"/>
        </w:trPr>
        <w:tc>
          <w:tcPr>
            <w:tcW w:w="5000" w:type="pct"/>
            <w:gridSpan w:val="22"/>
            <w:tcBorders>
              <w:top w:val="single" w:color="auto" w:sz="4" w:space="0"/>
              <w:left w:val="nil"/>
              <w:bottom w:val="nil"/>
              <w:right w:val="nil"/>
            </w:tcBorders>
            <w:vAlign w:val="bottom"/>
          </w:tcPr>
          <w:p>
            <w:pPr>
              <w:widowControl/>
              <w:spacing w:after="240"/>
              <w:jc w:val="left"/>
              <w:rPr>
                <w:rFonts w:ascii="宋体" w:hAnsi="宋体" w:cs="宋体"/>
                <w:b/>
                <w:bCs/>
                <w:color w:val="auto"/>
                <w:highlight w:val="none"/>
              </w:rPr>
            </w:pPr>
            <w:r>
              <w:rPr>
                <w:rFonts w:hint="eastAsia" w:ascii="宋体" w:hAnsi="宋体" w:cs="宋体"/>
                <w:b/>
                <w:bCs/>
                <w:color w:val="auto"/>
                <w:highlight w:val="none"/>
              </w:rPr>
              <w:t xml:space="preserve">备注：本表根据本期审定资金额编制用款计划，加盖单位公章、一式六份         </w:t>
            </w:r>
          </w:p>
        </w:tc>
      </w:tr>
    </w:tbl>
    <w:p>
      <w:pPr>
        <w:rPr>
          <w:rFonts w:ascii="宋体" w:hAnsi="宋体" w:cs="宋体"/>
          <w:color w:val="auto"/>
          <w:szCs w:val="21"/>
          <w:highlight w:val="none"/>
        </w:rPr>
      </w:pPr>
      <w:r>
        <w:rPr>
          <w:rFonts w:hint="eastAsia" w:ascii="宋体" w:hAnsi="宋体" w:cs="宋体"/>
          <w:color w:val="auto"/>
          <w:szCs w:val="21"/>
          <w:highlight w:val="none"/>
        </w:rPr>
        <w:br w:type="page"/>
      </w:r>
    </w:p>
    <w:tbl>
      <w:tblPr>
        <w:tblStyle w:val="49"/>
        <w:tblW w:w="5000" w:type="pct"/>
        <w:jc w:val="center"/>
        <w:tblLayout w:type="autofit"/>
        <w:tblCellMar>
          <w:top w:w="0" w:type="dxa"/>
          <w:left w:w="108" w:type="dxa"/>
          <w:bottom w:w="0" w:type="dxa"/>
          <w:right w:w="108" w:type="dxa"/>
        </w:tblCellMar>
      </w:tblPr>
      <w:tblGrid>
        <w:gridCol w:w="1060"/>
        <w:gridCol w:w="1060"/>
        <w:gridCol w:w="723"/>
        <w:gridCol w:w="505"/>
        <w:gridCol w:w="1092"/>
        <w:gridCol w:w="255"/>
        <w:gridCol w:w="972"/>
        <w:gridCol w:w="88"/>
        <w:gridCol w:w="794"/>
        <w:gridCol w:w="267"/>
        <w:gridCol w:w="451"/>
        <w:gridCol w:w="876"/>
        <w:gridCol w:w="187"/>
        <w:gridCol w:w="1060"/>
        <w:gridCol w:w="2030"/>
        <w:gridCol w:w="624"/>
        <w:gridCol w:w="1060"/>
        <w:gridCol w:w="1072"/>
      </w:tblGrid>
      <w:tr>
        <w:tblPrEx>
          <w:tblCellMar>
            <w:top w:w="0" w:type="dxa"/>
            <w:left w:w="108" w:type="dxa"/>
            <w:bottom w:w="0" w:type="dxa"/>
            <w:right w:w="108" w:type="dxa"/>
          </w:tblCellMar>
        </w:tblPrEx>
        <w:trPr>
          <w:trHeight w:val="397" w:hRule="atLeast"/>
          <w:jc w:val="center"/>
        </w:trPr>
        <w:tc>
          <w:tcPr>
            <w:tcW w:w="5000" w:type="pct"/>
            <w:gridSpan w:val="18"/>
            <w:noWrap/>
            <w:vAlign w:val="center"/>
          </w:tcPr>
          <w:p>
            <w:pPr>
              <w:widowControl/>
              <w:jc w:val="left"/>
              <w:rPr>
                <w:rFonts w:ascii="宋体" w:hAnsi="宋体" w:cs="宋体"/>
                <w:b w:val="0"/>
                <w:bCs w:val="0"/>
                <w:color w:val="auto"/>
                <w:sz w:val="21"/>
                <w:szCs w:val="22"/>
                <w:highlight w:val="none"/>
              </w:rPr>
            </w:pPr>
            <w:r>
              <w:rPr>
                <w:rFonts w:hint="eastAsia" w:ascii="宋体" w:hAnsi="宋体" w:cs="宋体"/>
                <w:b w:val="0"/>
                <w:bCs w:val="0"/>
                <w:color w:val="auto"/>
                <w:sz w:val="21"/>
                <w:szCs w:val="22"/>
                <w:highlight w:val="none"/>
              </w:rPr>
              <w:t>附件二：</w:t>
            </w:r>
          </w:p>
          <w:p>
            <w:pPr>
              <w:widowControl/>
              <w:jc w:val="center"/>
              <w:rPr>
                <w:rFonts w:ascii="宋体" w:hAnsi="宋体" w:cs="宋体"/>
                <w:b/>
                <w:bCs/>
                <w:snapToGrid w:val="0"/>
                <w:color w:val="auto"/>
                <w:sz w:val="44"/>
                <w:szCs w:val="44"/>
                <w:highlight w:val="none"/>
              </w:rPr>
            </w:pPr>
            <w:r>
              <w:rPr>
                <w:rFonts w:hint="eastAsia" w:ascii="宋体" w:hAnsi="宋体" w:cs="宋体"/>
                <w:b/>
                <w:bCs/>
                <w:color w:val="auto"/>
                <w:sz w:val="28"/>
                <w:szCs w:val="28"/>
                <w:highlight w:val="none"/>
              </w:rPr>
              <w:t>工程</w:t>
            </w:r>
          </w:p>
          <w:p>
            <w:pPr>
              <w:widowControl/>
              <w:jc w:val="center"/>
              <w:rPr>
                <w:rFonts w:ascii="宋体" w:hAnsi="宋体" w:cs="宋体"/>
                <w:b/>
                <w:bCs/>
                <w:snapToGrid w:val="0"/>
                <w:color w:val="auto"/>
                <w:sz w:val="44"/>
                <w:szCs w:val="44"/>
                <w:highlight w:val="none"/>
              </w:rPr>
            </w:pPr>
            <w:r>
              <w:rPr>
                <w:rFonts w:hint="eastAsia" w:ascii="宋体" w:hAnsi="宋体" w:cs="宋体"/>
                <w:b/>
                <w:bCs/>
                <w:snapToGrid w:val="0"/>
                <w:color w:val="auto"/>
                <w:sz w:val="44"/>
                <w:szCs w:val="44"/>
                <w:highlight w:val="none"/>
              </w:rPr>
              <w:t>上期实际发放管理人员工资明细表</w:t>
            </w:r>
          </w:p>
        </w:tc>
      </w:tr>
      <w:tr>
        <w:tblPrEx>
          <w:tblCellMar>
            <w:top w:w="0" w:type="dxa"/>
            <w:left w:w="108" w:type="dxa"/>
            <w:bottom w:w="0" w:type="dxa"/>
            <w:right w:w="108" w:type="dxa"/>
          </w:tblCellMar>
        </w:tblPrEx>
        <w:trPr>
          <w:trHeight w:val="397" w:hRule="atLeast"/>
          <w:jc w:val="center"/>
        </w:trPr>
        <w:tc>
          <w:tcPr>
            <w:tcW w:w="1003" w:type="pct"/>
            <w:gridSpan w:val="3"/>
            <w:noWrap/>
            <w:vAlign w:val="center"/>
          </w:tcPr>
          <w:p>
            <w:pPr>
              <w:widowControl/>
              <w:jc w:val="left"/>
              <w:rPr>
                <w:rFonts w:ascii="宋体" w:hAnsi="宋体" w:cs="宋体"/>
                <w:snapToGrid w:val="0"/>
                <w:color w:val="auto"/>
                <w:highlight w:val="none"/>
              </w:rPr>
            </w:pPr>
            <w:r>
              <w:rPr>
                <w:rFonts w:hint="eastAsia" w:ascii="宋体" w:hAnsi="宋体" w:cs="宋体"/>
                <w:snapToGrid w:val="0"/>
                <w:color w:val="auto"/>
                <w:highlight w:val="none"/>
              </w:rPr>
              <w:t>施工单位名称（盖公章）：</w:t>
            </w:r>
          </w:p>
        </w:tc>
        <w:tc>
          <w:tcPr>
            <w:tcW w:w="178" w:type="pct"/>
            <w:noWrap/>
            <w:vAlign w:val="center"/>
          </w:tcPr>
          <w:p>
            <w:pPr>
              <w:widowControl/>
              <w:jc w:val="left"/>
              <w:rPr>
                <w:rFonts w:ascii="宋体" w:hAnsi="宋体" w:cs="宋体"/>
                <w:snapToGrid w:val="0"/>
                <w:color w:val="auto"/>
                <w:highlight w:val="none"/>
              </w:rPr>
            </w:pPr>
          </w:p>
        </w:tc>
        <w:tc>
          <w:tcPr>
            <w:tcW w:w="385" w:type="pct"/>
            <w:noWrap/>
            <w:vAlign w:val="center"/>
          </w:tcPr>
          <w:p>
            <w:pPr>
              <w:widowControl/>
              <w:jc w:val="left"/>
              <w:rPr>
                <w:rFonts w:ascii="宋体" w:hAnsi="宋体" w:cs="宋体"/>
                <w:snapToGrid w:val="0"/>
                <w:color w:val="auto"/>
                <w:highlight w:val="none"/>
              </w:rPr>
            </w:pPr>
          </w:p>
        </w:tc>
        <w:tc>
          <w:tcPr>
            <w:tcW w:w="433" w:type="pct"/>
            <w:gridSpan w:val="2"/>
            <w:noWrap/>
            <w:vAlign w:val="center"/>
          </w:tcPr>
          <w:p>
            <w:pPr>
              <w:widowControl/>
              <w:jc w:val="left"/>
              <w:rPr>
                <w:rFonts w:ascii="宋体" w:hAnsi="宋体" w:cs="宋体"/>
                <w:snapToGrid w:val="0"/>
                <w:color w:val="auto"/>
                <w:highlight w:val="none"/>
              </w:rPr>
            </w:pPr>
          </w:p>
        </w:tc>
        <w:tc>
          <w:tcPr>
            <w:tcW w:w="873" w:type="pct"/>
            <w:gridSpan w:val="5"/>
            <w:noWrap/>
            <w:vAlign w:val="center"/>
          </w:tcPr>
          <w:p>
            <w:pPr>
              <w:widowControl/>
              <w:jc w:val="left"/>
              <w:rPr>
                <w:rFonts w:ascii="宋体" w:hAnsi="宋体" w:cs="宋体"/>
                <w:snapToGrid w:val="0"/>
                <w:color w:val="auto"/>
                <w:highlight w:val="none"/>
              </w:rPr>
            </w:pPr>
            <w:r>
              <w:rPr>
                <w:rFonts w:hint="eastAsia" w:ascii="宋体" w:hAnsi="宋体" w:cs="宋体"/>
                <w:snapToGrid w:val="0"/>
                <w:color w:val="auto"/>
                <w:highlight w:val="none"/>
              </w:rPr>
              <w:t>制表日期：</w:t>
            </w:r>
          </w:p>
        </w:tc>
        <w:tc>
          <w:tcPr>
            <w:tcW w:w="1156" w:type="pct"/>
            <w:gridSpan w:val="3"/>
            <w:noWrap/>
            <w:vAlign w:val="center"/>
          </w:tcPr>
          <w:p>
            <w:pPr>
              <w:widowControl/>
              <w:jc w:val="left"/>
              <w:rPr>
                <w:rFonts w:ascii="宋体" w:hAnsi="宋体" w:cs="宋体"/>
                <w:snapToGrid w:val="0"/>
                <w:color w:val="auto"/>
                <w:highlight w:val="none"/>
              </w:rPr>
            </w:pPr>
          </w:p>
        </w:tc>
        <w:tc>
          <w:tcPr>
            <w:tcW w:w="968" w:type="pct"/>
            <w:gridSpan w:val="3"/>
            <w:noWrap/>
            <w:vAlign w:val="center"/>
          </w:tcPr>
          <w:p>
            <w:pPr>
              <w:widowControl/>
              <w:jc w:val="left"/>
              <w:rPr>
                <w:rFonts w:ascii="宋体" w:hAnsi="宋体" w:cs="宋体"/>
                <w:snapToGrid w:val="0"/>
                <w:color w:val="auto"/>
                <w:highlight w:val="none"/>
              </w:rPr>
            </w:pPr>
          </w:p>
        </w:tc>
      </w:tr>
      <w:tr>
        <w:tblPrEx>
          <w:tblCellMar>
            <w:top w:w="0" w:type="dxa"/>
            <w:left w:w="108" w:type="dxa"/>
            <w:bottom w:w="0" w:type="dxa"/>
            <w:right w:w="108" w:type="dxa"/>
          </w:tblCellMar>
        </w:tblPrEx>
        <w:trPr>
          <w:trHeight w:val="397" w:hRule="atLeast"/>
          <w:jc w:val="center"/>
        </w:trPr>
        <w:tc>
          <w:tcPr>
            <w:tcW w:w="1003" w:type="pct"/>
            <w:gridSpan w:val="3"/>
            <w:noWrap/>
            <w:vAlign w:val="center"/>
          </w:tcPr>
          <w:p>
            <w:pPr>
              <w:widowControl/>
              <w:jc w:val="left"/>
              <w:rPr>
                <w:rFonts w:ascii="宋体" w:hAnsi="宋体" w:cs="宋体"/>
                <w:snapToGrid w:val="0"/>
                <w:color w:val="auto"/>
                <w:highlight w:val="none"/>
              </w:rPr>
            </w:pPr>
            <w:r>
              <w:rPr>
                <w:rFonts w:hint="eastAsia" w:ascii="宋体" w:hAnsi="宋体" w:cs="宋体"/>
                <w:snapToGrid w:val="0"/>
                <w:color w:val="auto"/>
                <w:highlight w:val="none"/>
              </w:rPr>
              <w:t>所属月份：</w:t>
            </w:r>
          </w:p>
        </w:tc>
        <w:tc>
          <w:tcPr>
            <w:tcW w:w="178" w:type="pct"/>
            <w:noWrap/>
            <w:vAlign w:val="center"/>
          </w:tcPr>
          <w:p>
            <w:pPr>
              <w:widowControl/>
              <w:jc w:val="left"/>
              <w:rPr>
                <w:rFonts w:ascii="宋体" w:hAnsi="宋体" w:cs="宋体"/>
                <w:snapToGrid w:val="0"/>
                <w:color w:val="auto"/>
                <w:highlight w:val="none"/>
              </w:rPr>
            </w:pPr>
          </w:p>
        </w:tc>
        <w:tc>
          <w:tcPr>
            <w:tcW w:w="385" w:type="pct"/>
            <w:noWrap/>
            <w:vAlign w:val="center"/>
          </w:tcPr>
          <w:p>
            <w:pPr>
              <w:widowControl/>
              <w:jc w:val="left"/>
              <w:rPr>
                <w:rFonts w:ascii="宋体" w:hAnsi="宋体" w:cs="宋体"/>
                <w:snapToGrid w:val="0"/>
                <w:color w:val="auto"/>
                <w:highlight w:val="none"/>
              </w:rPr>
            </w:pPr>
          </w:p>
        </w:tc>
        <w:tc>
          <w:tcPr>
            <w:tcW w:w="433" w:type="pct"/>
            <w:gridSpan w:val="2"/>
            <w:noWrap/>
            <w:vAlign w:val="center"/>
          </w:tcPr>
          <w:p>
            <w:pPr>
              <w:widowControl/>
              <w:jc w:val="left"/>
              <w:rPr>
                <w:rFonts w:ascii="宋体" w:hAnsi="宋体" w:cs="宋体"/>
                <w:snapToGrid w:val="0"/>
                <w:color w:val="auto"/>
                <w:highlight w:val="none"/>
              </w:rPr>
            </w:pPr>
          </w:p>
        </w:tc>
        <w:tc>
          <w:tcPr>
            <w:tcW w:w="311" w:type="pct"/>
            <w:gridSpan w:val="2"/>
            <w:noWrap/>
            <w:vAlign w:val="center"/>
          </w:tcPr>
          <w:p>
            <w:pPr>
              <w:widowControl/>
              <w:jc w:val="left"/>
              <w:rPr>
                <w:rFonts w:ascii="宋体" w:hAnsi="宋体" w:cs="宋体"/>
                <w:snapToGrid w:val="0"/>
                <w:color w:val="auto"/>
                <w:highlight w:val="none"/>
              </w:rPr>
            </w:pPr>
          </w:p>
        </w:tc>
        <w:tc>
          <w:tcPr>
            <w:tcW w:w="561" w:type="pct"/>
            <w:gridSpan w:val="3"/>
            <w:noWrap/>
            <w:vAlign w:val="center"/>
          </w:tcPr>
          <w:p>
            <w:pPr>
              <w:widowControl/>
              <w:jc w:val="left"/>
              <w:rPr>
                <w:rFonts w:ascii="宋体" w:hAnsi="宋体" w:cs="宋体"/>
                <w:snapToGrid w:val="0"/>
                <w:color w:val="auto"/>
                <w:highlight w:val="none"/>
              </w:rPr>
            </w:pPr>
          </w:p>
        </w:tc>
        <w:tc>
          <w:tcPr>
            <w:tcW w:w="1156" w:type="pct"/>
            <w:gridSpan w:val="3"/>
            <w:noWrap/>
            <w:vAlign w:val="center"/>
          </w:tcPr>
          <w:p>
            <w:pPr>
              <w:widowControl/>
              <w:jc w:val="left"/>
              <w:rPr>
                <w:rFonts w:ascii="宋体" w:hAnsi="宋体" w:cs="宋体"/>
                <w:snapToGrid w:val="0"/>
                <w:color w:val="auto"/>
                <w:highlight w:val="none"/>
              </w:rPr>
            </w:pPr>
          </w:p>
        </w:tc>
        <w:tc>
          <w:tcPr>
            <w:tcW w:w="968" w:type="pct"/>
            <w:gridSpan w:val="3"/>
            <w:noWrap/>
            <w:vAlign w:val="center"/>
          </w:tcPr>
          <w:p>
            <w:pPr>
              <w:widowControl/>
              <w:jc w:val="left"/>
              <w:rPr>
                <w:rFonts w:ascii="宋体" w:hAnsi="宋体" w:cs="宋体"/>
                <w:snapToGrid w:val="0"/>
                <w:color w:val="auto"/>
                <w:highlight w:val="none"/>
              </w:rPr>
            </w:pPr>
          </w:p>
        </w:tc>
      </w:tr>
      <w:tr>
        <w:tblPrEx>
          <w:tblCellMar>
            <w:top w:w="0" w:type="dxa"/>
            <w:left w:w="108" w:type="dxa"/>
            <w:bottom w:w="0" w:type="dxa"/>
            <w:right w:w="108" w:type="dxa"/>
          </w:tblCellMar>
        </w:tblPrEx>
        <w:trPr>
          <w:trHeight w:val="285" w:hRule="atLeast"/>
          <w:jc w:val="center"/>
        </w:trPr>
        <w:tc>
          <w:tcPr>
            <w:tcW w:w="374" w:type="pct"/>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color w:val="auto"/>
                <w:highlight w:val="none"/>
              </w:rPr>
            </w:pPr>
            <w:r>
              <w:rPr>
                <w:rFonts w:hint="eastAsia" w:ascii="宋体" w:hAnsi="宋体" w:cs="宋体"/>
                <w:color w:val="auto"/>
                <w:highlight w:val="none"/>
              </w:rPr>
              <w:t>序号</w:t>
            </w:r>
          </w:p>
        </w:tc>
        <w:tc>
          <w:tcPr>
            <w:tcW w:w="374" w:type="pct"/>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color w:val="auto"/>
                <w:highlight w:val="none"/>
              </w:rPr>
            </w:pPr>
            <w:r>
              <w:rPr>
                <w:rFonts w:hint="eastAsia" w:ascii="宋体" w:hAnsi="宋体" w:cs="宋体"/>
                <w:color w:val="auto"/>
                <w:highlight w:val="none"/>
              </w:rPr>
              <w:t>姓  名</w:t>
            </w:r>
          </w:p>
        </w:tc>
        <w:tc>
          <w:tcPr>
            <w:tcW w:w="908" w:type="pct"/>
            <w:gridSpan w:val="4"/>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color w:val="auto"/>
                <w:highlight w:val="none"/>
              </w:rPr>
            </w:pPr>
            <w:r>
              <w:rPr>
                <w:rFonts w:hint="eastAsia" w:ascii="宋体" w:hAnsi="宋体" w:cs="宋体"/>
                <w:color w:val="auto"/>
                <w:highlight w:val="none"/>
              </w:rPr>
              <w:t>身份证号</w:t>
            </w:r>
          </w:p>
        </w:tc>
        <w:tc>
          <w:tcPr>
            <w:tcW w:w="374" w:type="pct"/>
            <w:gridSpan w:val="2"/>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auto"/>
                <w:highlight w:val="none"/>
              </w:rPr>
            </w:pPr>
            <w:r>
              <w:rPr>
                <w:rFonts w:hint="eastAsia" w:ascii="宋体" w:hAnsi="宋体" w:cs="宋体"/>
                <w:color w:val="auto"/>
                <w:highlight w:val="none"/>
              </w:rPr>
              <w:t>金额</w:t>
            </w:r>
          </w:p>
        </w:tc>
        <w:tc>
          <w:tcPr>
            <w:tcW w:w="374" w:type="pct"/>
            <w:gridSpan w:val="2"/>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color w:val="auto"/>
                <w:highlight w:val="none"/>
              </w:rPr>
            </w:pPr>
            <w:r>
              <w:rPr>
                <w:rFonts w:hint="eastAsia" w:ascii="宋体" w:hAnsi="宋体" w:cs="宋体"/>
                <w:color w:val="auto"/>
                <w:highlight w:val="none"/>
              </w:rPr>
              <w:t>签  名</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color w:val="auto"/>
                <w:highlight w:val="none"/>
              </w:rPr>
            </w:pPr>
            <w:r>
              <w:rPr>
                <w:rFonts w:hint="eastAsia" w:ascii="宋体" w:hAnsi="宋体" w:cs="宋体"/>
                <w:color w:val="auto"/>
                <w:highlight w:val="none"/>
              </w:rPr>
              <w:t>序号</w:t>
            </w:r>
          </w:p>
        </w:tc>
        <w:tc>
          <w:tcPr>
            <w:tcW w:w="374" w:type="pct"/>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color w:val="auto"/>
                <w:highlight w:val="none"/>
              </w:rPr>
            </w:pPr>
            <w:r>
              <w:rPr>
                <w:rFonts w:hint="eastAsia" w:ascii="宋体" w:hAnsi="宋体" w:cs="宋体"/>
                <w:color w:val="auto"/>
                <w:highlight w:val="none"/>
              </w:rPr>
              <w:t>姓  名</w:t>
            </w:r>
          </w:p>
        </w:tc>
        <w:tc>
          <w:tcPr>
            <w:tcW w:w="936" w:type="pct"/>
            <w:gridSpan w:val="2"/>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color w:val="auto"/>
                <w:highlight w:val="none"/>
              </w:rPr>
            </w:pPr>
            <w:r>
              <w:rPr>
                <w:rFonts w:hint="eastAsia" w:ascii="宋体" w:hAnsi="宋体" w:cs="宋体"/>
                <w:color w:val="auto"/>
                <w:highlight w:val="none"/>
              </w:rPr>
              <w:t>身份证号</w:t>
            </w:r>
          </w:p>
        </w:tc>
        <w:tc>
          <w:tcPr>
            <w:tcW w:w="374" w:type="pct"/>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auto"/>
                <w:highlight w:val="none"/>
              </w:rPr>
            </w:pPr>
            <w:r>
              <w:rPr>
                <w:rFonts w:hint="eastAsia" w:ascii="宋体" w:hAnsi="宋体" w:cs="宋体"/>
                <w:color w:val="auto"/>
                <w:highlight w:val="none"/>
              </w:rPr>
              <w:t>金额</w:t>
            </w:r>
          </w:p>
        </w:tc>
        <w:tc>
          <w:tcPr>
            <w:tcW w:w="376" w:type="pct"/>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color w:val="auto"/>
                <w:highlight w:val="none"/>
              </w:rPr>
            </w:pPr>
            <w:r>
              <w:rPr>
                <w:rFonts w:hint="eastAsia" w:ascii="宋体" w:hAnsi="宋体" w:cs="宋体"/>
                <w:color w:val="auto"/>
                <w:highlight w:val="none"/>
              </w:rPr>
              <w:t>签  名</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429" w:hRule="atLeast"/>
          <w:jc w:val="center"/>
        </w:trPr>
        <w:tc>
          <w:tcPr>
            <w:tcW w:w="5000" w:type="pct"/>
            <w:gridSpan w:val="18"/>
            <w:tcBorders>
              <w:top w:val="single" w:color="auto" w:sz="4" w:space="0"/>
              <w:left w:val="single" w:color="auto" w:sz="4" w:space="0"/>
              <w:bottom w:val="single" w:color="auto" w:sz="4" w:space="0"/>
              <w:right w:val="single" w:color="auto" w:sz="4" w:space="0"/>
            </w:tcBorders>
            <w:noWrap/>
            <w:vAlign w:val="bottom"/>
          </w:tcPr>
          <w:p>
            <w:pPr>
              <w:widowControl/>
              <w:jc w:val="left"/>
              <w:rPr>
                <w:rFonts w:ascii="宋体" w:hAnsi="宋体" w:cs="宋体"/>
                <w:b/>
                <w:bCs/>
                <w:color w:val="auto"/>
                <w:highlight w:val="none"/>
              </w:rPr>
            </w:pPr>
            <w:r>
              <w:rPr>
                <w:rFonts w:hint="eastAsia" w:ascii="宋体" w:hAnsi="宋体" w:cs="宋体"/>
                <w:b/>
                <w:bCs/>
                <w:color w:val="auto"/>
                <w:highlight w:val="none"/>
              </w:rPr>
              <w:t>工资发放总额合计：</w:t>
            </w:r>
          </w:p>
        </w:tc>
      </w:tr>
      <w:tr>
        <w:tblPrEx>
          <w:tblCellMar>
            <w:top w:w="0" w:type="dxa"/>
            <w:left w:w="108" w:type="dxa"/>
            <w:bottom w:w="0" w:type="dxa"/>
            <w:right w:w="108" w:type="dxa"/>
          </w:tblCellMar>
        </w:tblPrEx>
        <w:trPr>
          <w:trHeight w:val="525" w:hRule="atLeast"/>
          <w:jc w:val="center"/>
        </w:trPr>
        <w:tc>
          <w:tcPr>
            <w:tcW w:w="5000" w:type="pct"/>
            <w:gridSpan w:val="18"/>
            <w:tcBorders>
              <w:top w:val="single" w:color="auto" w:sz="4" w:space="0"/>
              <w:left w:val="nil"/>
              <w:bottom w:val="single" w:color="auto" w:sz="4" w:space="0"/>
              <w:right w:val="nil"/>
            </w:tcBorders>
            <w:noWrap/>
            <w:vAlign w:val="bottom"/>
          </w:tcPr>
          <w:p>
            <w:pPr>
              <w:widowControl/>
              <w:jc w:val="left"/>
              <w:rPr>
                <w:rFonts w:ascii="宋体" w:hAnsi="宋体" w:cs="宋体"/>
                <w:b/>
                <w:bCs/>
                <w:color w:val="auto"/>
                <w:highlight w:val="none"/>
              </w:rPr>
            </w:pPr>
            <w:r>
              <w:rPr>
                <w:rFonts w:hint="eastAsia" w:ascii="宋体" w:hAnsi="宋体" w:cs="宋体"/>
                <w:b/>
                <w:bCs/>
                <w:color w:val="auto"/>
                <w:highlight w:val="none"/>
              </w:rPr>
              <w:t>备注：本工资发放表按实际发放完成后，把本表复印一式六份并加盖公章，并提供一份原件核对。</w:t>
            </w:r>
          </w:p>
        </w:tc>
      </w:tr>
    </w:tbl>
    <w:p>
      <w:pPr>
        <w:rPr>
          <w:rFonts w:ascii="宋体" w:hAnsi="宋体" w:cs="宋体"/>
          <w:color w:val="auto"/>
          <w:szCs w:val="21"/>
          <w:highlight w:val="none"/>
        </w:rPr>
      </w:pPr>
      <w:r>
        <w:rPr>
          <w:rFonts w:hint="eastAsia" w:ascii="宋体" w:hAnsi="宋体" w:cs="宋体"/>
          <w:color w:val="auto"/>
          <w:szCs w:val="21"/>
          <w:highlight w:val="none"/>
        </w:rPr>
        <w:br w:type="page"/>
      </w:r>
    </w:p>
    <w:tbl>
      <w:tblPr>
        <w:tblStyle w:val="49"/>
        <w:tblW w:w="5000" w:type="pct"/>
        <w:jc w:val="center"/>
        <w:tblLayout w:type="autofit"/>
        <w:tblCellMar>
          <w:top w:w="0" w:type="dxa"/>
          <w:left w:w="108" w:type="dxa"/>
          <w:bottom w:w="0" w:type="dxa"/>
          <w:right w:w="108" w:type="dxa"/>
        </w:tblCellMar>
      </w:tblPr>
      <w:tblGrid>
        <w:gridCol w:w="1060"/>
        <w:gridCol w:w="1060"/>
        <w:gridCol w:w="723"/>
        <w:gridCol w:w="505"/>
        <w:gridCol w:w="1092"/>
        <w:gridCol w:w="255"/>
        <w:gridCol w:w="972"/>
        <w:gridCol w:w="882"/>
        <w:gridCol w:w="267"/>
        <w:gridCol w:w="451"/>
        <w:gridCol w:w="876"/>
        <w:gridCol w:w="184"/>
        <w:gridCol w:w="1060"/>
        <w:gridCol w:w="2033"/>
        <w:gridCol w:w="621"/>
        <w:gridCol w:w="1060"/>
        <w:gridCol w:w="1075"/>
      </w:tblGrid>
      <w:tr>
        <w:tblPrEx>
          <w:tblCellMar>
            <w:top w:w="0" w:type="dxa"/>
            <w:left w:w="108" w:type="dxa"/>
            <w:bottom w:w="0" w:type="dxa"/>
            <w:right w:w="108" w:type="dxa"/>
          </w:tblCellMar>
        </w:tblPrEx>
        <w:trPr>
          <w:trHeight w:val="397" w:hRule="atLeast"/>
          <w:jc w:val="center"/>
        </w:trPr>
        <w:tc>
          <w:tcPr>
            <w:tcW w:w="5000" w:type="pct"/>
            <w:gridSpan w:val="17"/>
            <w:noWrap/>
            <w:vAlign w:val="center"/>
          </w:tcPr>
          <w:p>
            <w:pPr>
              <w:widowControl/>
              <w:jc w:val="center"/>
              <w:rPr>
                <w:rFonts w:ascii="宋体" w:hAnsi="宋体" w:cs="宋体"/>
                <w:b/>
                <w:bCs/>
                <w:snapToGrid w:val="0"/>
                <w:color w:val="auto"/>
                <w:sz w:val="44"/>
                <w:szCs w:val="44"/>
                <w:highlight w:val="none"/>
              </w:rPr>
            </w:pPr>
            <w:r>
              <w:rPr>
                <w:rFonts w:hint="eastAsia" w:ascii="宋体" w:hAnsi="宋体" w:cs="宋体"/>
                <w:b/>
                <w:bCs/>
                <w:color w:val="auto"/>
                <w:sz w:val="28"/>
                <w:szCs w:val="28"/>
                <w:highlight w:val="none"/>
              </w:rPr>
              <w:t>工程</w:t>
            </w:r>
          </w:p>
          <w:p>
            <w:pPr>
              <w:widowControl/>
              <w:jc w:val="center"/>
              <w:rPr>
                <w:rFonts w:ascii="宋体" w:hAnsi="宋体" w:cs="宋体"/>
                <w:b/>
                <w:bCs/>
                <w:snapToGrid w:val="0"/>
                <w:color w:val="auto"/>
                <w:sz w:val="44"/>
                <w:szCs w:val="44"/>
                <w:highlight w:val="none"/>
              </w:rPr>
            </w:pPr>
            <w:r>
              <w:rPr>
                <w:rFonts w:hint="eastAsia" w:ascii="宋体" w:hAnsi="宋体" w:cs="宋体"/>
                <w:b/>
                <w:bCs/>
                <w:snapToGrid w:val="0"/>
                <w:color w:val="auto"/>
                <w:sz w:val="44"/>
                <w:szCs w:val="44"/>
                <w:highlight w:val="none"/>
              </w:rPr>
              <w:t>本期计划发放管理人员工资明细表</w:t>
            </w:r>
          </w:p>
        </w:tc>
      </w:tr>
      <w:tr>
        <w:tblPrEx>
          <w:tblCellMar>
            <w:top w:w="0" w:type="dxa"/>
            <w:left w:w="108" w:type="dxa"/>
            <w:bottom w:w="0" w:type="dxa"/>
            <w:right w:w="108" w:type="dxa"/>
          </w:tblCellMar>
        </w:tblPrEx>
        <w:trPr>
          <w:trHeight w:val="397" w:hRule="atLeast"/>
          <w:jc w:val="center"/>
        </w:trPr>
        <w:tc>
          <w:tcPr>
            <w:tcW w:w="1003" w:type="pct"/>
            <w:gridSpan w:val="3"/>
            <w:noWrap/>
            <w:vAlign w:val="center"/>
          </w:tcPr>
          <w:p>
            <w:pPr>
              <w:widowControl/>
              <w:jc w:val="left"/>
              <w:rPr>
                <w:rFonts w:ascii="宋体" w:hAnsi="宋体" w:cs="宋体"/>
                <w:snapToGrid w:val="0"/>
                <w:color w:val="auto"/>
                <w:highlight w:val="none"/>
              </w:rPr>
            </w:pPr>
            <w:r>
              <w:rPr>
                <w:rFonts w:hint="eastAsia" w:ascii="宋体" w:hAnsi="宋体" w:cs="宋体"/>
                <w:snapToGrid w:val="0"/>
                <w:color w:val="auto"/>
                <w:highlight w:val="none"/>
              </w:rPr>
              <w:t>施工单位名称（盖公章）：</w:t>
            </w:r>
          </w:p>
        </w:tc>
        <w:tc>
          <w:tcPr>
            <w:tcW w:w="178" w:type="pct"/>
            <w:noWrap/>
            <w:vAlign w:val="center"/>
          </w:tcPr>
          <w:p>
            <w:pPr>
              <w:widowControl/>
              <w:jc w:val="left"/>
              <w:rPr>
                <w:rFonts w:ascii="宋体" w:hAnsi="宋体" w:cs="宋体"/>
                <w:snapToGrid w:val="0"/>
                <w:color w:val="auto"/>
                <w:highlight w:val="none"/>
              </w:rPr>
            </w:pPr>
          </w:p>
        </w:tc>
        <w:tc>
          <w:tcPr>
            <w:tcW w:w="385" w:type="pct"/>
            <w:noWrap/>
            <w:vAlign w:val="center"/>
          </w:tcPr>
          <w:p>
            <w:pPr>
              <w:widowControl/>
              <w:jc w:val="left"/>
              <w:rPr>
                <w:rFonts w:ascii="宋体" w:hAnsi="宋体" w:cs="宋体"/>
                <w:snapToGrid w:val="0"/>
                <w:color w:val="auto"/>
                <w:highlight w:val="none"/>
              </w:rPr>
            </w:pPr>
          </w:p>
        </w:tc>
        <w:tc>
          <w:tcPr>
            <w:tcW w:w="433" w:type="pct"/>
            <w:gridSpan w:val="2"/>
            <w:noWrap/>
            <w:vAlign w:val="center"/>
          </w:tcPr>
          <w:p>
            <w:pPr>
              <w:widowControl/>
              <w:jc w:val="left"/>
              <w:rPr>
                <w:rFonts w:ascii="宋体" w:hAnsi="宋体" w:cs="宋体"/>
                <w:snapToGrid w:val="0"/>
                <w:color w:val="auto"/>
                <w:highlight w:val="none"/>
              </w:rPr>
            </w:pPr>
          </w:p>
        </w:tc>
        <w:tc>
          <w:tcPr>
            <w:tcW w:w="873" w:type="pct"/>
            <w:gridSpan w:val="4"/>
            <w:noWrap/>
            <w:vAlign w:val="center"/>
          </w:tcPr>
          <w:p>
            <w:pPr>
              <w:widowControl/>
              <w:jc w:val="left"/>
              <w:rPr>
                <w:rFonts w:ascii="宋体" w:hAnsi="宋体" w:cs="宋体"/>
                <w:snapToGrid w:val="0"/>
                <w:color w:val="auto"/>
                <w:highlight w:val="none"/>
              </w:rPr>
            </w:pPr>
            <w:r>
              <w:rPr>
                <w:rFonts w:hint="eastAsia" w:ascii="宋体" w:hAnsi="宋体" w:cs="宋体"/>
                <w:snapToGrid w:val="0"/>
                <w:color w:val="auto"/>
                <w:highlight w:val="none"/>
              </w:rPr>
              <w:t>制表日期：</w:t>
            </w:r>
          </w:p>
        </w:tc>
        <w:tc>
          <w:tcPr>
            <w:tcW w:w="1156" w:type="pct"/>
            <w:gridSpan w:val="3"/>
            <w:noWrap/>
            <w:vAlign w:val="center"/>
          </w:tcPr>
          <w:p>
            <w:pPr>
              <w:widowControl/>
              <w:jc w:val="left"/>
              <w:rPr>
                <w:rFonts w:ascii="宋体" w:hAnsi="宋体" w:cs="宋体"/>
                <w:snapToGrid w:val="0"/>
                <w:color w:val="auto"/>
                <w:highlight w:val="none"/>
              </w:rPr>
            </w:pPr>
          </w:p>
        </w:tc>
        <w:tc>
          <w:tcPr>
            <w:tcW w:w="968" w:type="pct"/>
            <w:gridSpan w:val="3"/>
            <w:noWrap/>
            <w:vAlign w:val="center"/>
          </w:tcPr>
          <w:p>
            <w:pPr>
              <w:widowControl/>
              <w:jc w:val="left"/>
              <w:rPr>
                <w:rFonts w:ascii="宋体" w:hAnsi="宋体" w:cs="宋体"/>
                <w:snapToGrid w:val="0"/>
                <w:color w:val="auto"/>
                <w:highlight w:val="none"/>
              </w:rPr>
            </w:pPr>
          </w:p>
        </w:tc>
      </w:tr>
      <w:tr>
        <w:tblPrEx>
          <w:tblCellMar>
            <w:top w:w="0" w:type="dxa"/>
            <w:left w:w="108" w:type="dxa"/>
            <w:bottom w:w="0" w:type="dxa"/>
            <w:right w:w="108" w:type="dxa"/>
          </w:tblCellMar>
        </w:tblPrEx>
        <w:trPr>
          <w:trHeight w:val="397" w:hRule="atLeast"/>
          <w:jc w:val="center"/>
        </w:trPr>
        <w:tc>
          <w:tcPr>
            <w:tcW w:w="1003" w:type="pct"/>
            <w:gridSpan w:val="3"/>
            <w:noWrap/>
            <w:vAlign w:val="center"/>
          </w:tcPr>
          <w:p>
            <w:pPr>
              <w:widowControl/>
              <w:jc w:val="left"/>
              <w:rPr>
                <w:rFonts w:ascii="宋体" w:hAnsi="宋体" w:cs="宋体"/>
                <w:snapToGrid w:val="0"/>
                <w:color w:val="auto"/>
                <w:highlight w:val="none"/>
              </w:rPr>
            </w:pPr>
            <w:r>
              <w:rPr>
                <w:rFonts w:hint="eastAsia" w:ascii="宋体" w:hAnsi="宋体" w:cs="宋体"/>
                <w:snapToGrid w:val="0"/>
                <w:color w:val="auto"/>
                <w:highlight w:val="none"/>
              </w:rPr>
              <w:t>所属月份：</w:t>
            </w:r>
          </w:p>
        </w:tc>
        <w:tc>
          <w:tcPr>
            <w:tcW w:w="178" w:type="pct"/>
            <w:noWrap/>
            <w:vAlign w:val="center"/>
          </w:tcPr>
          <w:p>
            <w:pPr>
              <w:widowControl/>
              <w:jc w:val="left"/>
              <w:rPr>
                <w:rFonts w:ascii="宋体" w:hAnsi="宋体" w:cs="宋体"/>
                <w:snapToGrid w:val="0"/>
                <w:color w:val="auto"/>
                <w:highlight w:val="none"/>
              </w:rPr>
            </w:pPr>
          </w:p>
        </w:tc>
        <w:tc>
          <w:tcPr>
            <w:tcW w:w="385" w:type="pct"/>
            <w:noWrap/>
            <w:vAlign w:val="center"/>
          </w:tcPr>
          <w:p>
            <w:pPr>
              <w:widowControl/>
              <w:jc w:val="left"/>
              <w:rPr>
                <w:rFonts w:ascii="宋体" w:hAnsi="宋体" w:cs="宋体"/>
                <w:snapToGrid w:val="0"/>
                <w:color w:val="auto"/>
                <w:highlight w:val="none"/>
              </w:rPr>
            </w:pPr>
          </w:p>
        </w:tc>
        <w:tc>
          <w:tcPr>
            <w:tcW w:w="433" w:type="pct"/>
            <w:gridSpan w:val="2"/>
            <w:noWrap/>
            <w:vAlign w:val="center"/>
          </w:tcPr>
          <w:p>
            <w:pPr>
              <w:widowControl/>
              <w:jc w:val="left"/>
              <w:rPr>
                <w:rFonts w:ascii="宋体" w:hAnsi="宋体" w:cs="宋体"/>
                <w:snapToGrid w:val="0"/>
                <w:color w:val="auto"/>
                <w:highlight w:val="none"/>
              </w:rPr>
            </w:pPr>
          </w:p>
        </w:tc>
        <w:tc>
          <w:tcPr>
            <w:tcW w:w="311" w:type="pct"/>
            <w:noWrap/>
            <w:vAlign w:val="center"/>
          </w:tcPr>
          <w:p>
            <w:pPr>
              <w:widowControl/>
              <w:jc w:val="left"/>
              <w:rPr>
                <w:rFonts w:ascii="宋体" w:hAnsi="宋体" w:cs="宋体"/>
                <w:snapToGrid w:val="0"/>
                <w:color w:val="auto"/>
                <w:highlight w:val="none"/>
              </w:rPr>
            </w:pPr>
          </w:p>
        </w:tc>
        <w:tc>
          <w:tcPr>
            <w:tcW w:w="561" w:type="pct"/>
            <w:gridSpan w:val="3"/>
            <w:noWrap/>
            <w:vAlign w:val="center"/>
          </w:tcPr>
          <w:p>
            <w:pPr>
              <w:widowControl/>
              <w:jc w:val="left"/>
              <w:rPr>
                <w:rFonts w:ascii="宋体" w:hAnsi="宋体" w:cs="宋体"/>
                <w:snapToGrid w:val="0"/>
                <w:color w:val="auto"/>
                <w:highlight w:val="none"/>
              </w:rPr>
            </w:pPr>
          </w:p>
        </w:tc>
        <w:tc>
          <w:tcPr>
            <w:tcW w:w="1156" w:type="pct"/>
            <w:gridSpan w:val="3"/>
            <w:noWrap/>
            <w:vAlign w:val="center"/>
          </w:tcPr>
          <w:p>
            <w:pPr>
              <w:widowControl/>
              <w:jc w:val="left"/>
              <w:rPr>
                <w:rFonts w:ascii="宋体" w:hAnsi="宋体" w:cs="宋体"/>
                <w:snapToGrid w:val="0"/>
                <w:color w:val="auto"/>
                <w:highlight w:val="none"/>
              </w:rPr>
            </w:pPr>
          </w:p>
        </w:tc>
        <w:tc>
          <w:tcPr>
            <w:tcW w:w="968" w:type="pct"/>
            <w:gridSpan w:val="3"/>
            <w:noWrap/>
            <w:vAlign w:val="center"/>
          </w:tcPr>
          <w:p>
            <w:pPr>
              <w:widowControl/>
              <w:jc w:val="left"/>
              <w:rPr>
                <w:rFonts w:ascii="宋体" w:hAnsi="宋体" w:cs="宋体"/>
                <w:snapToGrid w:val="0"/>
                <w:color w:val="auto"/>
                <w:highlight w:val="none"/>
              </w:rPr>
            </w:pPr>
          </w:p>
        </w:tc>
      </w:tr>
      <w:tr>
        <w:tblPrEx>
          <w:tblCellMar>
            <w:top w:w="0" w:type="dxa"/>
            <w:left w:w="108" w:type="dxa"/>
            <w:bottom w:w="0" w:type="dxa"/>
            <w:right w:w="108" w:type="dxa"/>
          </w:tblCellMar>
        </w:tblPrEx>
        <w:trPr>
          <w:trHeight w:val="285" w:hRule="atLeast"/>
          <w:jc w:val="center"/>
        </w:trPr>
        <w:tc>
          <w:tcPr>
            <w:tcW w:w="374" w:type="pct"/>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color w:val="auto"/>
                <w:highlight w:val="none"/>
              </w:rPr>
            </w:pPr>
            <w:r>
              <w:rPr>
                <w:rFonts w:hint="eastAsia" w:ascii="宋体" w:hAnsi="宋体" w:cs="宋体"/>
                <w:color w:val="auto"/>
                <w:highlight w:val="none"/>
              </w:rPr>
              <w:t>序号</w:t>
            </w:r>
          </w:p>
        </w:tc>
        <w:tc>
          <w:tcPr>
            <w:tcW w:w="374" w:type="pct"/>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color w:val="auto"/>
                <w:highlight w:val="none"/>
              </w:rPr>
            </w:pPr>
            <w:r>
              <w:rPr>
                <w:rFonts w:hint="eastAsia" w:ascii="宋体" w:hAnsi="宋体" w:cs="宋体"/>
                <w:color w:val="auto"/>
                <w:highlight w:val="none"/>
              </w:rPr>
              <w:t>姓  名</w:t>
            </w:r>
          </w:p>
        </w:tc>
        <w:tc>
          <w:tcPr>
            <w:tcW w:w="908" w:type="pct"/>
            <w:gridSpan w:val="4"/>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color w:val="auto"/>
                <w:highlight w:val="none"/>
              </w:rPr>
            </w:pPr>
            <w:r>
              <w:rPr>
                <w:rFonts w:hint="eastAsia" w:ascii="宋体" w:hAnsi="宋体" w:cs="宋体"/>
                <w:color w:val="auto"/>
                <w:highlight w:val="none"/>
              </w:rPr>
              <w:t>身份证号</w:t>
            </w:r>
          </w:p>
        </w:tc>
        <w:tc>
          <w:tcPr>
            <w:tcW w:w="748" w:type="pct"/>
            <w:gridSpan w:val="3"/>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auto"/>
                <w:highlight w:val="none"/>
              </w:rPr>
            </w:pPr>
            <w:r>
              <w:rPr>
                <w:rFonts w:hint="eastAsia" w:ascii="宋体" w:hAnsi="宋体" w:cs="宋体"/>
                <w:color w:val="auto"/>
                <w:highlight w:val="none"/>
              </w:rPr>
              <w:t>金额</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color w:val="auto"/>
                <w:highlight w:val="none"/>
              </w:rPr>
            </w:pPr>
            <w:r>
              <w:rPr>
                <w:rFonts w:hint="eastAsia" w:ascii="宋体" w:hAnsi="宋体" w:cs="宋体"/>
                <w:color w:val="auto"/>
                <w:highlight w:val="none"/>
              </w:rPr>
              <w:t>序号</w:t>
            </w:r>
          </w:p>
        </w:tc>
        <w:tc>
          <w:tcPr>
            <w:tcW w:w="374" w:type="pct"/>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color w:val="auto"/>
                <w:highlight w:val="none"/>
              </w:rPr>
            </w:pPr>
            <w:r>
              <w:rPr>
                <w:rFonts w:hint="eastAsia" w:ascii="宋体" w:hAnsi="宋体" w:cs="宋体"/>
                <w:color w:val="auto"/>
                <w:highlight w:val="none"/>
              </w:rPr>
              <w:t>姓  名</w:t>
            </w:r>
          </w:p>
        </w:tc>
        <w:tc>
          <w:tcPr>
            <w:tcW w:w="936" w:type="pct"/>
            <w:gridSpan w:val="2"/>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color w:val="auto"/>
                <w:highlight w:val="none"/>
              </w:rPr>
            </w:pPr>
            <w:r>
              <w:rPr>
                <w:rFonts w:hint="eastAsia" w:ascii="宋体" w:hAnsi="宋体" w:cs="宋体"/>
                <w:color w:val="auto"/>
                <w:highlight w:val="none"/>
              </w:rPr>
              <w:t>身份证号</w:t>
            </w:r>
          </w:p>
        </w:tc>
        <w:tc>
          <w:tcPr>
            <w:tcW w:w="750" w:type="pct"/>
            <w:gridSpan w:val="2"/>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auto"/>
                <w:highlight w:val="none"/>
              </w:rPr>
            </w:pPr>
            <w:r>
              <w:rPr>
                <w:rFonts w:hint="eastAsia" w:ascii="宋体" w:hAnsi="宋体" w:cs="宋体"/>
                <w:color w:val="auto"/>
                <w:highlight w:val="none"/>
              </w:rPr>
              <w:t>金额</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748" w:type="pct"/>
            <w:gridSpan w:val="3"/>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748" w:type="pct"/>
            <w:gridSpan w:val="3"/>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748" w:type="pct"/>
            <w:gridSpan w:val="3"/>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748" w:type="pct"/>
            <w:gridSpan w:val="3"/>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748" w:type="pct"/>
            <w:gridSpan w:val="3"/>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748" w:type="pct"/>
            <w:gridSpan w:val="3"/>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748" w:type="pct"/>
            <w:gridSpan w:val="3"/>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748" w:type="pct"/>
            <w:gridSpan w:val="3"/>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748" w:type="pct"/>
            <w:gridSpan w:val="3"/>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748" w:type="pct"/>
            <w:gridSpan w:val="3"/>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748" w:type="pct"/>
            <w:gridSpan w:val="3"/>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748" w:type="pct"/>
            <w:gridSpan w:val="3"/>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748" w:type="pct"/>
            <w:gridSpan w:val="3"/>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748" w:type="pct"/>
            <w:gridSpan w:val="3"/>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jc w:val="center"/>
        </w:trPr>
        <w:tc>
          <w:tcPr>
            <w:tcW w:w="374" w:type="pct"/>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08" w:type="pct"/>
            <w:gridSpan w:val="4"/>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748" w:type="pct"/>
            <w:gridSpan w:val="3"/>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159" w:type="pct"/>
            <w:tcBorders>
              <w:top w:val="nil"/>
              <w:left w:val="nil"/>
              <w:bottom w:val="nil"/>
              <w:right w:val="nil"/>
            </w:tcBorders>
            <w:noWrap/>
            <w:vAlign w:val="bottom"/>
          </w:tcPr>
          <w:p>
            <w:pPr>
              <w:widowControl/>
              <w:jc w:val="left"/>
              <w:rPr>
                <w:rFonts w:ascii="宋体" w:hAnsi="宋体" w:cs="宋体"/>
                <w:color w:val="auto"/>
                <w:highlight w:val="none"/>
              </w:rPr>
            </w:pPr>
          </w:p>
        </w:tc>
        <w:tc>
          <w:tcPr>
            <w:tcW w:w="374" w:type="pct"/>
            <w:gridSpan w:val="2"/>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936" w:type="pct"/>
            <w:gridSpan w:val="2"/>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4"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c>
          <w:tcPr>
            <w:tcW w:w="376" w:type="pct"/>
            <w:tcBorders>
              <w:top w:val="nil"/>
              <w:left w:val="nil"/>
              <w:bottom w:val="single" w:color="auto" w:sz="4" w:space="0"/>
              <w:right w:val="single" w:color="auto" w:sz="4" w:space="0"/>
            </w:tcBorders>
            <w:noWrap/>
            <w:vAlign w:val="bottom"/>
          </w:tcPr>
          <w:p>
            <w:pPr>
              <w:widowControl/>
              <w:jc w:val="left"/>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705" w:hRule="atLeast"/>
          <w:jc w:val="center"/>
        </w:trPr>
        <w:tc>
          <w:tcPr>
            <w:tcW w:w="5000" w:type="pct"/>
            <w:gridSpan w:val="17"/>
            <w:tcBorders>
              <w:top w:val="single" w:color="auto" w:sz="4" w:space="0"/>
              <w:left w:val="single" w:color="auto" w:sz="4" w:space="0"/>
              <w:bottom w:val="single" w:color="auto" w:sz="4" w:space="0"/>
              <w:right w:val="single" w:color="auto" w:sz="4" w:space="0"/>
            </w:tcBorders>
            <w:noWrap/>
            <w:vAlign w:val="bottom"/>
          </w:tcPr>
          <w:p>
            <w:pPr>
              <w:widowControl/>
              <w:jc w:val="left"/>
              <w:rPr>
                <w:rFonts w:ascii="宋体" w:hAnsi="宋体" w:cs="宋体"/>
                <w:b/>
                <w:bCs/>
                <w:color w:val="auto"/>
                <w:highlight w:val="none"/>
              </w:rPr>
            </w:pPr>
            <w:r>
              <w:rPr>
                <w:rFonts w:hint="eastAsia" w:ascii="宋体" w:hAnsi="宋体" w:cs="宋体"/>
                <w:b/>
                <w:bCs/>
                <w:color w:val="auto"/>
                <w:highlight w:val="none"/>
              </w:rPr>
              <w:t>工资发放总额合计：</w:t>
            </w:r>
          </w:p>
        </w:tc>
      </w:tr>
      <w:tr>
        <w:tblPrEx>
          <w:tblCellMar>
            <w:top w:w="0" w:type="dxa"/>
            <w:left w:w="108" w:type="dxa"/>
            <w:bottom w:w="0" w:type="dxa"/>
            <w:right w:w="108" w:type="dxa"/>
          </w:tblCellMar>
        </w:tblPrEx>
        <w:trPr>
          <w:trHeight w:val="525" w:hRule="atLeast"/>
          <w:jc w:val="center"/>
        </w:trPr>
        <w:tc>
          <w:tcPr>
            <w:tcW w:w="5000" w:type="pct"/>
            <w:gridSpan w:val="17"/>
            <w:tcBorders>
              <w:top w:val="single" w:color="auto" w:sz="4" w:space="0"/>
              <w:left w:val="nil"/>
              <w:bottom w:val="nil"/>
              <w:right w:val="nil"/>
            </w:tcBorders>
            <w:noWrap/>
            <w:vAlign w:val="bottom"/>
          </w:tcPr>
          <w:p>
            <w:pPr>
              <w:widowControl/>
              <w:jc w:val="left"/>
              <w:rPr>
                <w:rFonts w:ascii="宋体" w:hAnsi="宋体" w:cs="宋体"/>
                <w:b/>
                <w:bCs/>
                <w:color w:val="auto"/>
                <w:highlight w:val="none"/>
              </w:rPr>
            </w:pPr>
            <w:r>
              <w:rPr>
                <w:rFonts w:hint="eastAsia" w:ascii="宋体" w:hAnsi="宋体" w:cs="宋体"/>
                <w:b/>
                <w:bCs/>
                <w:color w:val="auto"/>
                <w:highlight w:val="none"/>
              </w:rPr>
              <w:t>注：本表一式六份并加盖公章。</w:t>
            </w:r>
          </w:p>
        </w:tc>
      </w:tr>
    </w:tbl>
    <w:p>
      <w:pPr>
        <w:rPr>
          <w:rFonts w:ascii="宋体" w:hAnsi="宋体" w:cs="宋体"/>
          <w:color w:val="auto"/>
          <w:szCs w:val="21"/>
          <w:highlight w:val="none"/>
        </w:rPr>
        <w:sectPr>
          <w:headerReference r:id="rId18" w:type="default"/>
          <w:pgSz w:w="16840" w:h="11907" w:orient="landscape"/>
          <w:pgMar w:top="1440" w:right="1440" w:bottom="1440" w:left="1440" w:header="851" w:footer="992" w:gutter="0"/>
          <w:pgNumType w:fmt="decimal"/>
          <w:cols w:space="720" w:num="1"/>
          <w:docGrid w:linePitch="312" w:charSpace="0"/>
        </w:sectPr>
      </w:pPr>
    </w:p>
    <w:p>
      <w:pPr>
        <w:rPr>
          <w:rFonts w:ascii="宋体" w:hAnsi="宋体" w:cs="宋体"/>
          <w:color w:val="auto"/>
          <w:highlight w:val="none"/>
        </w:rPr>
      </w:pPr>
      <w:r>
        <w:rPr>
          <w:rFonts w:hint="eastAsia" w:ascii="宋体" w:hAnsi="宋体" w:cs="宋体"/>
          <w:color w:val="auto"/>
          <w:highlight w:val="none"/>
        </w:rPr>
        <w:t>附件三：</w:t>
      </w:r>
    </w:p>
    <w:p>
      <w:pPr>
        <w:jc w:val="center"/>
        <w:rPr>
          <w:rFonts w:ascii="宋体" w:hAnsi="宋体" w:cs="宋体"/>
          <w:color w:val="auto"/>
          <w:sz w:val="28"/>
          <w:szCs w:val="21"/>
          <w:highlight w:val="none"/>
        </w:rPr>
      </w:pPr>
      <w:r>
        <w:rPr>
          <w:rFonts w:hint="eastAsia" w:ascii="宋体" w:hAnsi="宋体" w:cs="宋体"/>
          <w:b/>
          <w:color w:val="auto"/>
          <w:sz w:val="32"/>
          <w:szCs w:val="21"/>
          <w:highlight w:val="none"/>
        </w:rPr>
        <w:t>共管账户划款通知</w:t>
      </w:r>
    </w:p>
    <w:p>
      <w:pPr>
        <w:jc w:val="center"/>
        <w:rPr>
          <w:rFonts w:ascii="宋体" w:hAnsi="宋体" w:cs="宋体"/>
          <w:color w:val="auto"/>
          <w:sz w:val="28"/>
          <w:szCs w:val="21"/>
          <w:highlight w:val="none"/>
        </w:rPr>
      </w:pPr>
      <w:r>
        <w:rPr>
          <w:rFonts w:hint="eastAsia" w:ascii="宋体" w:hAnsi="宋体" w:cs="宋体"/>
          <w:color w:val="auto"/>
          <w:sz w:val="28"/>
          <w:szCs w:val="21"/>
          <w:highlight w:val="none"/>
        </w:rPr>
        <w:t>年   月    日</w:t>
      </w:r>
    </w:p>
    <w:tbl>
      <w:tblPr>
        <w:tblStyle w:val="49"/>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888" w:type="dxa"/>
          </w:tcPr>
          <w:p>
            <w:pPr>
              <w:rPr>
                <w:rFonts w:ascii="宋体" w:hAnsi="宋体" w:cs="宋体"/>
                <w:color w:val="auto"/>
                <w:sz w:val="28"/>
                <w:szCs w:val="21"/>
                <w:highlight w:val="none"/>
              </w:rPr>
            </w:pPr>
            <w:r>
              <w:rPr>
                <w:rFonts w:hint="eastAsia" w:ascii="宋体" w:hAnsi="宋体" w:cs="宋体"/>
                <w:color w:val="auto"/>
                <w:sz w:val="28"/>
                <w:szCs w:val="21"/>
                <w:highlight w:val="none"/>
              </w:rPr>
              <w:t>账户名称</w:t>
            </w:r>
          </w:p>
        </w:tc>
        <w:tc>
          <w:tcPr>
            <w:tcW w:w="5040" w:type="dxa"/>
          </w:tcPr>
          <w:p>
            <w:pPr>
              <w:rPr>
                <w:rFonts w:ascii="宋体" w:hAnsi="宋体" w:cs="宋体"/>
                <w:color w:val="auto"/>
                <w:sz w:val="2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888" w:type="dxa"/>
          </w:tcPr>
          <w:p>
            <w:pPr>
              <w:rPr>
                <w:rFonts w:ascii="宋体" w:hAnsi="宋体" w:cs="宋体"/>
                <w:color w:val="auto"/>
                <w:sz w:val="28"/>
                <w:szCs w:val="21"/>
                <w:highlight w:val="none"/>
              </w:rPr>
            </w:pPr>
            <w:r>
              <w:rPr>
                <w:rFonts w:hint="eastAsia" w:ascii="宋体" w:hAnsi="宋体" w:cs="宋体"/>
                <w:color w:val="auto"/>
                <w:sz w:val="28"/>
                <w:szCs w:val="21"/>
                <w:highlight w:val="none"/>
              </w:rPr>
              <w:t>账户账号</w:t>
            </w:r>
          </w:p>
        </w:tc>
        <w:tc>
          <w:tcPr>
            <w:tcW w:w="5040" w:type="dxa"/>
          </w:tcPr>
          <w:p>
            <w:pPr>
              <w:rPr>
                <w:rFonts w:ascii="宋体" w:hAnsi="宋体" w:cs="宋体"/>
                <w:color w:val="auto"/>
                <w:sz w:val="2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3888" w:type="dxa"/>
          </w:tcPr>
          <w:p>
            <w:pPr>
              <w:rPr>
                <w:rFonts w:ascii="宋体" w:hAnsi="宋体" w:cs="宋体"/>
                <w:color w:val="auto"/>
                <w:sz w:val="28"/>
                <w:szCs w:val="21"/>
                <w:highlight w:val="none"/>
              </w:rPr>
            </w:pPr>
            <w:r>
              <w:rPr>
                <w:rFonts w:hint="eastAsia" w:ascii="宋体" w:hAnsi="宋体" w:cs="宋体"/>
                <w:color w:val="auto"/>
                <w:sz w:val="28"/>
                <w:szCs w:val="21"/>
                <w:highlight w:val="none"/>
              </w:rPr>
              <w:t>工程项目名称</w:t>
            </w:r>
          </w:p>
        </w:tc>
        <w:tc>
          <w:tcPr>
            <w:tcW w:w="5040" w:type="dxa"/>
          </w:tcPr>
          <w:p>
            <w:pPr>
              <w:rPr>
                <w:rFonts w:ascii="宋体" w:hAnsi="宋体" w:cs="宋体"/>
                <w:color w:val="auto"/>
                <w:sz w:val="2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8" w:type="dxa"/>
          </w:tcPr>
          <w:p>
            <w:pPr>
              <w:rPr>
                <w:rFonts w:ascii="宋体" w:hAnsi="宋体" w:cs="宋体"/>
                <w:color w:val="auto"/>
                <w:sz w:val="28"/>
                <w:szCs w:val="21"/>
                <w:highlight w:val="none"/>
              </w:rPr>
            </w:pPr>
            <w:r>
              <w:rPr>
                <w:rFonts w:hint="eastAsia" w:ascii="宋体" w:hAnsi="宋体" w:cs="宋体"/>
                <w:color w:val="auto"/>
                <w:sz w:val="28"/>
                <w:szCs w:val="21"/>
                <w:highlight w:val="none"/>
              </w:rPr>
              <w:t>本次申请使用款项金额</w:t>
            </w:r>
          </w:p>
        </w:tc>
        <w:tc>
          <w:tcPr>
            <w:tcW w:w="5040" w:type="dxa"/>
          </w:tcPr>
          <w:p>
            <w:pPr>
              <w:rPr>
                <w:rFonts w:ascii="宋体" w:hAnsi="宋体" w:cs="宋体"/>
                <w:color w:val="auto"/>
                <w:sz w:val="2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3888" w:type="dxa"/>
          </w:tcPr>
          <w:p>
            <w:pPr>
              <w:rPr>
                <w:rFonts w:ascii="宋体" w:hAnsi="宋体" w:cs="宋体"/>
                <w:color w:val="auto"/>
                <w:sz w:val="28"/>
                <w:szCs w:val="21"/>
                <w:highlight w:val="none"/>
              </w:rPr>
            </w:pPr>
            <w:r>
              <w:rPr>
                <w:rFonts w:hint="eastAsia" w:ascii="宋体" w:hAnsi="宋体" w:cs="宋体"/>
                <w:color w:val="auto"/>
                <w:sz w:val="28"/>
                <w:szCs w:val="21"/>
                <w:highlight w:val="none"/>
              </w:rPr>
              <w:t>本次用途</w:t>
            </w:r>
          </w:p>
        </w:tc>
        <w:tc>
          <w:tcPr>
            <w:tcW w:w="5040" w:type="dxa"/>
          </w:tcPr>
          <w:p>
            <w:pPr>
              <w:rPr>
                <w:rFonts w:ascii="宋体" w:hAnsi="宋体" w:cs="宋体"/>
                <w:color w:val="auto"/>
                <w:sz w:val="28"/>
                <w:szCs w:val="21"/>
                <w:highlight w:val="none"/>
              </w:rPr>
            </w:pPr>
          </w:p>
          <w:p>
            <w:pPr>
              <w:rPr>
                <w:rFonts w:ascii="宋体" w:hAnsi="宋体" w:cs="宋体"/>
                <w:color w:val="auto"/>
                <w:sz w:val="2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3888" w:type="dxa"/>
          </w:tcPr>
          <w:p>
            <w:pPr>
              <w:rPr>
                <w:rFonts w:ascii="宋体" w:hAnsi="宋体" w:cs="宋体"/>
                <w:color w:val="auto"/>
                <w:sz w:val="28"/>
                <w:szCs w:val="21"/>
                <w:highlight w:val="none"/>
              </w:rPr>
            </w:pPr>
            <w:r>
              <w:rPr>
                <w:rFonts w:hint="eastAsia" w:ascii="宋体" w:hAnsi="宋体" w:cs="宋体"/>
                <w:color w:val="auto"/>
                <w:sz w:val="28"/>
                <w:szCs w:val="21"/>
                <w:highlight w:val="none"/>
              </w:rPr>
              <w:t>累计用款额（万元）</w:t>
            </w:r>
          </w:p>
        </w:tc>
        <w:tc>
          <w:tcPr>
            <w:tcW w:w="5040" w:type="dxa"/>
          </w:tcPr>
          <w:p>
            <w:pPr>
              <w:rPr>
                <w:rFonts w:ascii="宋体" w:hAnsi="宋体" w:cs="宋体"/>
                <w:color w:val="auto"/>
                <w:sz w:val="2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jc w:val="center"/>
        </w:trPr>
        <w:tc>
          <w:tcPr>
            <w:tcW w:w="3888" w:type="dxa"/>
            <w:vMerge w:val="restart"/>
          </w:tcPr>
          <w:p>
            <w:pPr>
              <w:rPr>
                <w:rFonts w:ascii="宋体" w:hAnsi="宋体" w:cs="宋体"/>
                <w:color w:val="auto"/>
                <w:sz w:val="28"/>
                <w:szCs w:val="21"/>
                <w:highlight w:val="none"/>
              </w:rPr>
            </w:pPr>
          </w:p>
          <w:p>
            <w:pPr>
              <w:rPr>
                <w:rFonts w:ascii="宋体" w:hAnsi="宋体" w:cs="宋体"/>
                <w:color w:val="auto"/>
                <w:sz w:val="28"/>
                <w:szCs w:val="21"/>
                <w:highlight w:val="none"/>
              </w:rPr>
            </w:pPr>
          </w:p>
          <w:p>
            <w:pPr>
              <w:rPr>
                <w:rFonts w:ascii="宋体" w:hAnsi="宋体" w:cs="宋体"/>
                <w:color w:val="auto"/>
                <w:sz w:val="28"/>
                <w:szCs w:val="21"/>
                <w:highlight w:val="none"/>
              </w:rPr>
            </w:pPr>
          </w:p>
          <w:p>
            <w:pPr>
              <w:rPr>
                <w:rFonts w:ascii="宋体" w:hAnsi="宋体" w:cs="宋体"/>
                <w:color w:val="auto"/>
                <w:sz w:val="28"/>
                <w:szCs w:val="21"/>
                <w:highlight w:val="none"/>
              </w:rPr>
            </w:pPr>
          </w:p>
          <w:p>
            <w:pPr>
              <w:rPr>
                <w:rFonts w:ascii="宋体" w:hAnsi="宋体" w:cs="宋体"/>
                <w:color w:val="auto"/>
                <w:sz w:val="28"/>
                <w:szCs w:val="21"/>
                <w:highlight w:val="none"/>
              </w:rPr>
            </w:pPr>
          </w:p>
          <w:p>
            <w:pPr>
              <w:rPr>
                <w:rFonts w:ascii="宋体" w:hAnsi="宋体" w:cs="宋体"/>
                <w:color w:val="auto"/>
                <w:sz w:val="28"/>
                <w:szCs w:val="21"/>
                <w:highlight w:val="none"/>
              </w:rPr>
            </w:pPr>
          </w:p>
          <w:p>
            <w:pPr>
              <w:rPr>
                <w:rFonts w:ascii="宋体" w:hAnsi="宋体" w:cs="宋体"/>
                <w:color w:val="auto"/>
                <w:sz w:val="28"/>
                <w:szCs w:val="21"/>
                <w:highlight w:val="none"/>
              </w:rPr>
            </w:pPr>
          </w:p>
          <w:p>
            <w:pPr>
              <w:rPr>
                <w:rFonts w:ascii="宋体" w:hAnsi="宋体" w:cs="宋体"/>
                <w:color w:val="auto"/>
                <w:sz w:val="28"/>
                <w:szCs w:val="21"/>
                <w:highlight w:val="none"/>
              </w:rPr>
            </w:pPr>
          </w:p>
          <w:p>
            <w:pPr>
              <w:rPr>
                <w:rFonts w:ascii="宋体" w:hAnsi="宋体" w:cs="宋体"/>
                <w:color w:val="auto"/>
                <w:sz w:val="28"/>
                <w:szCs w:val="21"/>
                <w:highlight w:val="none"/>
              </w:rPr>
            </w:pPr>
            <w:r>
              <w:rPr>
                <w:rFonts w:hint="eastAsia" w:ascii="宋体" w:hAnsi="宋体" w:cs="宋体"/>
                <w:color w:val="auto"/>
                <w:sz w:val="28"/>
                <w:szCs w:val="21"/>
                <w:highlight w:val="none"/>
              </w:rPr>
              <w:t>广州开发区财政投资建设项目管理中心审批意见</w:t>
            </w:r>
          </w:p>
        </w:tc>
        <w:tc>
          <w:tcPr>
            <w:tcW w:w="5040" w:type="dxa"/>
          </w:tcPr>
          <w:p>
            <w:pPr>
              <w:rPr>
                <w:rFonts w:ascii="宋体" w:hAnsi="宋体" w:cs="宋体"/>
                <w:color w:val="auto"/>
                <w:sz w:val="28"/>
                <w:szCs w:val="21"/>
                <w:highlight w:val="none"/>
              </w:rPr>
            </w:pPr>
          </w:p>
          <w:p>
            <w:pPr>
              <w:rPr>
                <w:rFonts w:ascii="宋体" w:hAnsi="宋体" w:cs="宋体"/>
                <w:color w:val="auto"/>
                <w:sz w:val="28"/>
                <w:szCs w:val="21"/>
                <w:highlight w:val="none"/>
              </w:rPr>
            </w:pPr>
          </w:p>
          <w:p>
            <w:pPr>
              <w:rPr>
                <w:rFonts w:ascii="宋体" w:hAnsi="宋体" w:cs="宋体"/>
                <w:color w:val="auto"/>
                <w:sz w:val="28"/>
                <w:szCs w:val="21"/>
                <w:highlight w:val="none"/>
              </w:rPr>
            </w:pPr>
          </w:p>
          <w:p>
            <w:pPr>
              <w:rPr>
                <w:rFonts w:ascii="宋体" w:hAnsi="宋体" w:cs="宋体"/>
                <w:color w:val="auto"/>
                <w:sz w:val="28"/>
                <w:szCs w:val="21"/>
                <w:highlight w:val="none"/>
              </w:rPr>
            </w:pPr>
          </w:p>
          <w:p>
            <w:pPr>
              <w:rPr>
                <w:rFonts w:ascii="宋体" w:hAnsi="宋体" w:cs="宋体"/>
                <w:color w:val="auto"/>
                <w:sz w:val="28"/>
                <w:szCs w:val="21"/>
                <w:highlight w:val="none"/>
              </w:rPr>
            </w:pPr>
          </w:p>
          <w:p>
            <w:pPr>
              <w:jc w:val="center"/>
              <w:rPr>
                <w:rFonts w:ascii="宋体" w:hAnsi="宋体" w:cs="宋体"/>
                <w:color w:val="auto"/>
                <w:sz w:val="28"/>
                <w:szCs w:val="21"/>
                <w:highlight w:val="none"/>
              </w:rPr>
            </w:pPr>
            <w:r>
              <w:rPr>
                <w:rFonts w:hint="eastAsia" w:ascii="宋体" w:hAnsi="宋体" w:cs="宋体"/>
                <w:color w:val="auto"/>
                <w:sz w:val="28"/>
                <w:szCs w:val="21"/>
                <w:highlight w:val="none"/>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3888" w:type="dxa"/>
            <w:vMerge w:val="continue"/>
          </w:tcPr>
          <w:p>
            <w:pPr>
              <w:rPr>
                <w:rFonts w:ascii="宋体" w:hAnsi="宋体" w:cs="宋体"/>
                <w:color w:val="auto"/>
                <w:sz w:val="28"/>
                <w:szCs w:val="21"/>
                <w:highlight w:val="none"/>
              </w:rPr>
            </w:pPr>
          </w:p>
        </w:tc>
        <w:tc>
          <w:tcPr>
            <w:tcW w:w="5040" w:type="dxa"/>
          </w:tcPr>
          <w:p>
            <w:pPr>
              <w:rPr>
                <w:rFonts w:ascii="宋体" w:hAnsi="宋体" w:cs="宋体"/>
                <w:color w:val="auto"/>
                <w:sz w:val="28"/>
                <w:szCs w:val="21"/>
                <w:highlight w:val="none"/>
              </w:rPr>
            </w:pPr>
          </w:p>
          <w:p>
            <w:pPr>
              <w:rPr>
                <w:rFonts w:ascii="宋体" w:hAnsi="宋体" w:cs="宋体"/>
                <w:color w:val="auto"/>
                <w:sz w:val="28"/>
                <w:szCs w:val="21"/>
                <w:highlight w:val="none"/>
              </w:rPr>
            </w:pPr>
            <w:r>
              <w:rPr>
                <w:rFonts w:hint="eastAsia" w:ascii="宋体" w:hAnsi="宋体" w:cs="宋体"/>
                <w:color w:val="auto"/>
                <w:sz w:val="28"/>
                <w:szCs w:val="21"/>
                <w:highlight w:val="none"/>
              </w:rPr>
              <w:t xml:space="preserve">经办人： </w:t>
            </w:r>
          </w:p>
          <w:p>
            <w:pPr>
              <w:rPr>
                <w:rFonts w:ascii="宋体" w:hAnsi="宋体" w:cs="宋体"/>
                <w:color w:val="auto"/>
                <w:sz w:val="28"/>
                <w:szCs w:val="21"/>
                <w:highlight w:val="none"/>
              </w:rPr>
            </w:pPr>
          </w:p>
          <w:p>
            <w:pPr>
              <w:rPr>
                <w:rFonts w:ascii="宋体" w:hAnsi="宋体" w:cs="宋体"/>
                <w:color w:val="auto"/>
                <w:sz w:val="28"/>
                <w:szCs w:val="21"/>
                <w:highlight w:val="none"/>
              </w:rPr>
            </w:pPr>
            <w:r>
              <w:rPr>
                <w:rFonts w:hint="eastAsia" w:ascii="宋体" w:hAnsi="宋体" w:cs="宋体"/>
                <w:color w:val="auto"/>
                <w:sz w:val="28"/>
                <w:szCs w:val="21"/>
                <w:highlight w:val="none"/>
              </w:rPr>
              <w:t>(联系电话及手机号码：)</w:t>
            </w:r>
          </w:p>
          <w:p>
            <w:pPr>
              <w:rPr>
                <w:rFonts w:ascii="宋体" w:hAnsi="宋体" w:cs="宋体"/>
                <w:color w:val="auto"/>
                <w:sz w:val="28"/>
                <w:szCs w:val="21"/>
                <w:highlight w:val="none"/>
              </w:rPr>
            </w:pPr>
          </w:p>
          <w:p>
            <w:pPr>
              <w:rPr>
                <w:rFonts w:ascii="宋体" w:hAnsi="宋体" w:cs="宋体"/>
                <w:color w:val="auto"/>
                <w:sz w:val="28"/>
                <w:szCs w:val="21"/>
                <w:highlight w:val="none"/>
              </w:rPr>
            </w:pPr>
          </w:p>
          <w:p>
            <w:pPr>
              <w:rPr>
                <w:rFonts w:ascii="宋体" w:hAnsi="宋体" w:cs="宋体"/>
                <w:color w:val="auto"/>
                <w:sz w:val="28"/>
                <w:szCs w:val="21"/>
                <w:highlight w:val="none"/>
              </w:rPr>
            </w:pPr>
          </w:p>
          <w:p>
            <w:pPr>
              <w:rPr>
                <w:rFonts w:ascii="宋体" w:hAnsi="宋体" w:cs="宋体"/>
                <w:color w:val="auto"/>
                <w:sz w:val="28"/>
                <w:szCs w:val="21"/>
                <w:highlight w:val="none"/>
              </w:rPr>
            </w:pPr>
            <w:r>
              <w:rPr>
                <w:rFonts w:hint="eastAsia" w:ascii="宋体" w:hAnsi="宋体" w:cs="宋体"/>
                <w:color w:val="auto"/>
                <w:sz w:val="28"/>
                <w:szCs w:val="21"/>
                <w:highlight w:val="none"/>
              </w:rPr>
              <w:t>负责人：</w:t>
            </w:r>
          </w:p>
          <w:p>
            <w:pPr>
              <w:rPr>
                <w:rFonts w:ascii="宋体" w:hAnsi="宋体" w:cs="宋体"/>
                <w:color w:val="auto"/>
                <w:sz w:val="2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8" w:type="dxa"/>
          </w:tcPr>
          <w:p>
            <w:pPr>
              <w:rPr>
                <w:rFonts w:ascii="宋体" w:hAnsi="宋体" w:cs="宋体"/>
                <w:color w:val="auto"/>
                <w:sz w:val="28"/>
                <w:szCs w:val="21"/>
                <w:highlight w:val="none"/>
              </w:rPr>
            </w:pPr>
            <w:r>
              <w:rPr>
                <w:rFonts w:hint="eastAsia" w:ascii="宋体" w:hAnsi="宋体" w:cs="宋体"/>
                <w:color w:val="auto"/>
                <w:sz w:val="28"/>
                <w:szCs w:val="21"/>
                <w:highlight w:val="none"/>
              </w:rPr>
              <w:t>开户银行审批意见</w:t>
            </w:r>
          </w:p>
        </w:tc>
        <w:tc>
          <w:tcPr>
            <w:tcW w:w="5040" w:type="dxa"/>
          </w:tcPr>
          <w:p>
            <w:pPr>
              <w:rPr>
                <w:rFonts w:ascii="宋体" w:hAnsi="宋体" w:cs="宋体"/>
                <w:color w:val="auto"/>
                <w:sz w:val="28"/>
                <w:szCs w:val="21"/>
                <w:highlight w:val="none"/>
              </w:rPr>
            </w:pPr>
          </w:p>
          <w:p>
            <w:pPr>
              <w:rPr>
                <w:rFonts w:ascii="宋体" w:hAnsi="宋体" w:cs="宋体"/>
                <w:color w:val="auto"/>
                <w:sz w:val="28"/>
                <w:szCs w:val="21"/>
                <w:highlight w:val="none"/>
              </w:rPr>
            </w:pPr>
            <w:r>
              <w:rPr>
                <w:rFonts w:hint="eastAsia" w:ascii="宋体" w:hAnsi="宋体" w:cs="宋体"/>
                <w:color w:val="auto"/>
                <w:sz w:val="28"/>
                <w:szCs w:val="21"/>
                <w:highlight w:val="none"/>
              </w:rPr>
              <w:t xml:space="preserve">经办人： </w:t>
            </w:r>
          </w:p>
          <w:p>
            <w:pPr>
              <w:rPr>
                <w:rFonts w:ascii="宋体" w:hAnsi="宋体" w:cs="宋体"/>
                <w:color w:val="auto"/>
                <w:sz w:val="28"/>
                <w:szCs w:val="21"/>
                <w:highlight w:val="none"/>
              </w:rPr>
            </w:pPr>
          </w:p>
          <w:p>
            <w:pPr>
              <w:rPr>
                <w:rFonts w:ascii="宋体" w:hAnsi="宋体" w:cs="宋体"/>
                <w:color w:val="auto"/>
                <w:sz w:val="28"/>
                <w:szCs w:val="21"/>
                <w:highlight w:val="none"/>
              </w:rPr>
            </w:pPr>
          </w:p>
          <w:p>
            <w:pPr>
              <w:rPr>
                <w:rFonts w:ascii="宋体" w:hAnsi="宋体" w:cs="宋体"/>
                <w:color w:val="auto"/>
                <w:sz w:val="28"/>
                <w:szCs w:val="21"/>
                <w:highlight w:val="none"/>
              </w:rPr>
            </w:pPr>
            <w:r>
              <w:rPr>
                <w:rFonts w:hint="eastAsia" w:ascii="宋体" w:hAnsi="宋体" w:cs="宋体"/>
                <w:color w:val="auto"/>
                <w:sz w:val="28"/>
                <w:szCs w:val="21"/>
                <w:highlight w:val="none"/>
              </w:rPr>
              <w:t>负责人：</w:t>
            </w:r>
          </w:p>
        </w:tc>
      </w:tr>
    </w:tbl>
    <w:p>
      <w:pPr>
        <w:rPr>
          <w:rFonts w:ascii="宋体" w:hAnsi="宋体" w:cs="宋体"/>
          <w:color w:val="auto"/>
          <w:szCs w:val="21"/>
          <w:highlight w:val="none"/>
        </w:rPr>
      </w:pPr>
    </w:p>
    <w:p>
      <w:pPr>
        <w:ind w:left="1136" w:hanging="1136" w:hangingChars="539"/>
        <w:rPr>
          <w:rFonts w:ascii="宋体" w:hAnsi="宋体" w:cs="宋体"/>
          <w:b/>
          <w:snapToGrid w:val="0"/>
          <w:color w:val="auto"/>
          <w:szCs w:val="21"/>
          <w:highlight w:val="none"/>
        </w:rPr>
      </w:pPr>
      <w:r>
        <w:rPr>
          <w:rFonts w:hint="eastAsia" w:ascii="宋体" w:hAnsi="宋体" w:cs="宋体"/>
          <w:b/>
          <w:snapToGrid w:val="0"/>
          <w:color w:val="auto"/>
          <w:szCs w:val="21"/>
          <w:highlight w:val="none"/>
        </w:rPr>
        <w:t>备注： 1、本表适用甲方、乙方，一式六份。</w:t>
      </w:r>
    </w:p>
    <w:p>
      <w:pPr>
        <w:rPr>
          <w:rFonts w:ascii="宋体" w:hAnsi="宋体" w:cs="宋体"/>
          <w:color w:val="auto"/>
          <w:highlight w:val="none"/>
        </w:rPr>
      </w:pPr>
    </w:p>
    <w:p>
      <w:pPr>
        <w:rPr>
          <w:rFonts w:ascii="宋体" w:hAnsi="宋体" w:cs="宋体"/>
          <w:color w:val="auto"/>
          <w:highlight w:val="none"/>
        </w:rPr>
      </w:pPr>
      <w:r>
        <w:rPr>
          <w:rFonts w:hint="eastAsia" w:ascii="宋体" w:hAnsi="宋体" w:cs="宋体"/>
          <w:color w:val="auto"/>
          <w:szCs w:val="21"/>
          <w:highlight w:val="none"/>
        </w:rPr>
        <w:br w:type="page"/>
      </w:r>
      <w:r>
        <w:rPr>
          <w:rFonts w:hint="eastAsia" w:ascii="宋体" w:hAnsi="宋体" w:cs="宋体"/>
          <w:color w:val="auto"/>
          <w:highlight w:val="none"/>
        </w:rPr>
        <w:t>附件四：</w:t>
      </w:r>
    </w:p>
    <w:p>
      <w:pPr>
        <w:jc w:val="center"/>
        <w:rPr>
          <w:rFonts w:ascii="宋体" w:hAnsi="宋体" w:cs="宋体"/>
          <w:color w:val="auto"/>
          <w:highlight w:val="none"/>
        </w:rPr>
      </w:pPr>
      <w:r>
        <w:rPr>
          <w:rFonts w:hint="eastAsia" w:ascii="宋体" w:hAnsi="宋体" w:cs="宋体"/>
          <w:color w:val="auto"/>
          <w:highlight w:val="none"/>
        </w:rPr>
        <w:t>项目资金支付审批流程概览</w:t>
      </w:r>
    </w:p>
    <w:p>
      <w:pPr>
        <w:rPr>
          <w:rFonts w:ascii="宋体" w:hAnsi="宋体" w:cs="宋体"/>
          <w:color w:val="auto"/>
          <w:szCs w:val="21"/>
          <w:highlight w:val="none"/>
        </w:rPr>
      </w:pPr>
    </w:p>
    <w:p>
      <w:pPr>
        <w:rPr>
          <w:rFonts w:ascii="宋体" w:hAnsi="宋体" w:cs="宋体"/>
          <w:color w:val="auto"/>
          <w:szCs w:val="21"/>
          <w:highlight w:val="none"/>
        </w:rPr>
        <w:sectPr>
          <w:pgSz w:w="11907" w:h="16840"/>
          <w:pgMar w:top="1134" w:right="1418" w:bottom="1134" w:left="1418" w:header="851" w:footer="992" w:gutter="0"/>
          <w:pgNumType w:fmt="decimal"/>
          <w:cols w:space="720" w:num="1"/>
          <w:docGrid w:linePitch="312" w:charSpace="0"/>
        </w:sectPr>
      </w:pPr>
      <w:r>
        <w:rPr>
          <w:rFonts w:hint="eastAsia" w:ascii="宋体" w:hAnsi="宋体" w:cs="宋体"/>
          <w:color w:val="auto"/>
          <w:highlight w:val="none"/>
        </w:rPr>
        <mc:AlternateContent>
          <mc:Choice Requires="wpc">
            <w:drawing>
              <wp:inline distT="0" distB="0" distL="0" distR="0">
                <wp:extent cx="5875020" cy="8321040"/>
                <wp:effectExtent l="0" t="0" r="0" b="0"/>
                <wp:docPr id="6" name="画布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3" name="Text Box 4"/>
                        <wps:cNvSpPr txBox="1">
                          <a:spLocks noChangeArrowheads="1"/>
                        </wps:cNvSpPr>
                        <wps:spPr bwMode="auto">
                          <a:xfrm>
                            <a:off x="3086100" y="495300"/>
                            <a:ext cx="1257300" cy="826770"/>
                          </a:xfrm>
                          <a:prstGeom prst="rect">
                            <a:avLst/>
                          </a:prstGeom>
                          <a:solidFill>
                            <a:srgbClr val="FFFFFF"/>
                          </a:solidFill>
                          <a:ln w="9525">
                            <a:solidFill>
                              <a:srgbClr val="000000"/>
                            </a:solidFill>
                            <a:miter lim="800000"/>
                          </a:ln>
                          <a:effectLst/>
                        </wps:spPr>
                        <wps:txbx>
                          <w:txbxContent>
                            <w:p>
                              <w:pPr>
                                <w:rPr>
                                  <w:rFonts w:ascii="宋体" w:hAnsi="宋体"/>
                                </w:rPr>
                              </w:pPr>
                              <w:r>
                                <w:rPr>
                                  <w:rFonts w:hint="eastAsia" w:ascii="宋体" w:hAnsi="宋体"/>
                                </w:rPr>
                                <w:t>呈交每期资金使用计划</w:t>
                              </w:r>
                            </w:p>
                          </w:txbxContent>
                        </wps:txbx>
                        <wps:bodyPr rot="0" vert="horz" wrap="square" lIns="91440" tIns="45720" rIns="91440" bIns="45720" anchor="t" anchorCtr="0" upright="1">
                          <a:noAutofit/>
                        </wps:bodyPr>
                      </wps:wsp>
                      <wps:wsp>
                        <wps:cNvPr id="54" name="Text Box 5"/>
                        <wps:cNvSpPr txBox="1">
                          <a:spLocks noChangeArrowheads="1"/>
                        </wps:cNvSpPr>
                        <wps:spPr bwMode="auto">
                          <a:xfrm>
                            <a:off x="800099" y="495300"/>
                            <a:ext cx="1028700" cy="396240"/>
                          </a:xfrm>
                          <a:prstGeom prst="rect">
                            <a:avLst/>
                          </a:prstGeom>
                          <a:solidFill>
                            <a:srgbClr val="FFFFFF"/>
                          </a:solidFill>
                          <a:ln w="9525">
                            <a:solidFill>
                              <a:srgbClr val="000000"/>
                            </a:solidFill>
                            <a:miter lim="800000"/>
                          </a:ln>
                          <a:effectLst/>
                        </wps:spPr>
                        <wps:txbx>
                          <w:txbxContent>
                            <w:p>
                              <w:pPr>
                                <w:jc w:val="center"/>
                                <w:rPr>
                                  <w:rFonts w:ascii="宋体" w:hAnsi="宋体"/>
                                </w:rPr>
                              </w:pPr>
                              <w:r>
                                <w:rPr>
                                  <w:rFonts w:hint="eastAsia" w:ascii="宋体" w:hAnsi="宋体"/>
                                </w:rPr>
                                <w:t>施工单位</w:t>
                              </w:r>
                            </w:p>
                          </w:txbxContent>
                        </wps:txbx>
                        <wps:bodyPr rot="0" vert="horz" wrap="square" lIns="91440" tIns="72000" rIns="91440" bIns="45720" anchor="t" anchorCtr="0" upright="1">
                          <a:noAutofit/>
                        </wps:bodyPr>
                      </wps:wsp>
                      <wps:wsp>
                        <wps:cNvPr id="55" name="Line 6"/>
                        <wps:cNvCnPr>
                          <a:cxnSpLocks noChangeShapeType="1"/>
                        </wps:cNvCnPr>
                        <wps:spPr bwMode="auto">
                          <a:xfrm>
                            <a:off x="1257300" y="891540"/>
                            <a:ext cx="635" cy="693420"/>
                          </a:xfrm>
                          <a:prstGeom prst="line">
                            <a:avLst/>
                          </a:prstGeom>
                          <a:noFill/>
                          <a:ln w="9525">
                            <a:solidFill>
                              <a:srgbClr val="000000"/>
                            </a:solidFill>
                            <a:round/>
                            <a:tailEnd type="triangle" w="med" len="med"/>
                          </a:ln>
                          <a:effectLst/>
                        </wps:spPr>
                        <wps:bodyPr/>
                      </wps:wsp>
                      <wps:wsp>
                        <wps:cNvPr id="56" name="Text Box 7"/>
                        <wps:cNvSpPr txBox="1">
                          <a:spLocks noChangeArrowheads="1"/>
                        </wps:cNvSpPr>
                        <wps:spPr bwMode="auto">
                          <a:xfrm>
                            <a:off x="685800" y="1584960"/>
                            <a:ext cx="1028700" cy="396240"/>
                          </a:xfrm>
                          <a:prstGeom prst="rect">
                            <a:avLst/>
                          </a:prstGeom>
                          <a:solidFill>
                            <a:srgbClr val="FFFFFF"/>
                          </a:solidFill>
                          <a:ln w="9525">
                            <a:solidFill>
                              <a:srgbClr val="000000"/>
                            </a:solidFill>
                            <a:miter lim="800000"/>
                          </a:ln>
                          <a:effectLst/>
                        </wps:spPr>
                        <wps:txbx>
                          <w:txbxContent>
                            <w:p>
                              <w:pPr>
                                <w:jc w:val="center"/>
                                <w:rPr>
                                  <w:rFonts w:ascii="宋体" w:hAnsi="宋体"/>
                                </w:rPr>
                              </w:pPr>
                              <w:r>
                                <w:rPr>
                                  <w:rFonts w:hint="eastAsia" w:ascii="宋体" w:hAnsi="宋体"/>
                                </w:rPr>
                                <w:t>监理单位</w:t>
                              </w:r>
                            </w:p>
                          </w:txbxContent>
                        </wps:txbx>
                        <wps:bodyPr rot="0" vert="horz" wrap="square" lIns="91440" tIns="72000" rIns="91440" bIns="45720" anchor="t" anchorCtr="0" upright="1">
                          <a:noAutofit/>
                        </wps:bodyPr>
                      </wps:wsp>
                      <wps:wsp>
                        <wps:cNvPr id="57" name="Text Box 8"/>
                        <wps:cNvSpPr txBox="1">
                          <a:spLocks noChangeArrowheads="1"/>
                        </wps:cNvSpPr>
                        <wps:spPr bwMode="auto">
                          <a:xfrm>
                            <a:off x="461645" y="2872740"/>
                            <a:ext cx="1481455" cy="513080"/>
                          </a:xfrm>
                          <a:prstGeom prst="rect">
                            <a:avLst/>
                          </a:prstGeom>
                          <a:solidFill>
                            <a:srgbClr val="FFFFFF"/>
                          </a:solidFill>
                          <a:ln w="9525">
                            <a:solidFill>
                              <a:srgbClr val="000000"/>
                            </a:solidFill>
                            <a:miter lim="800000"/>
                          </a:ln>
                          <a:effectLst/>
                        </wps:spPr>
                        <wps:txbx>
                          <w:txbxContent>
                            <w:p>
                              <w:pPr>
                                <w:jc w:val="center"/>
                                <w:rPr>
                                  <w:rFonts w:ascii="宋体" w:hAnsi="宋体"/>
                                </w:rPr>
                              </w:pPr>
                              <w:r>
                                <w:rPr>
                                  <w:rFonts w:hint="eastAsia" w:ascii="宋体" w:hAnsi="宋体"/>
                                </w:rPr>
                                <w:t>代业主单位（若有时）</w:t>
                              </w:r>
                            </w:p>
                            <w:p>
                              <w:pPr>
                                <w:rPr>
                                  <w:rFonts w:ascii="宋体" w:hAnsi="宋体"/>
                                </w:rPr>
                              </w:pPr>
                            </w:p>
                          </w:txbxContent>
                        </wps:txbx>
                        <wps:bodyPr rot="0" vert="horz" wrap="square" lIns="91440" tIns="72000" rIns="91440" bIns="45720" anchor="t" anchorCtr="0" upright="1">
                          <a:noAutofit/>
                        </wps:bodyPr>
                      </wps:wsp>
                      <wps:wsp>
                        <wps:cNvPr id="58" name="Line 9"/>
                        <wps:cNvCnPr>
                          <a:cxnSpLocks noChangeShapeType="1"/>
                        </wps:cNvCnPr>
                        <wps:spPr bwMode="auto">
                          <a:xfrm>
                            <a:off x="1257300" y="3268980"/>
                            <a:ext cx="635" cy="693420"/>
                          </a:xfrm>
                          <a:prstGeom prst="line">
                            <a:avLst/>
                          </a:prstGeom>
                          <a:noFill/>
                          <a:ln w="9525">
                            <a:solidFill>
                              <a:srgbClr val="000000"/>
                            </a:solidFill>
                            <a:round/>
                            <a:tailEnd type="triangle" w="med" len="med"/>
                          </a:ln>
                          <a:effectLst/>
                        </wps:spPr>
                        <wps:bodyPr/>
                      </wps:wsp>
                      <wps:wsp>
                        <wps:cNvPr id="59" name="Line 10"/>
                        <wps:cNvCnPr>
                          <a:cxnSpLocks noChangeShapeType="1"/>
                        </wps:cNvCnPr>
                        <wps:spPr bwMode="auto">
                          <a:xfrm flipH="1">
                            <a:off x="1257300" y="1981200"/>
                            <a:ext cx="635" cy="891540"/>
                          </a:xfrm>
                          <a:prstGeom prst="line">
                            <a:avLst/>
                          </a:prstGeom>
                          <a:noFill/>
                          <a:ln w="9525">
                            <a:solidFill>
                              <a:srgbClr val="000000"/>
                            </a:solidFill>
                            <a:round/>
                            <a:tailEnd type="triangle" w="med" len="med"/>
                          </a:ln>
                          <a:effectLst/>
                        </wps:spPr>
                        <wps:bodyPr/>
                      </wps:wsp>
                      <wps:wsp>
                        <wps:cNvPr id="60" name="Line 11"/>
                        <wps:cNvCnPr>
                          <a:cxnSpLocks noChangeShapeType="1"/>
                        </wps:cNvCnPr>
                        <wps:spPr bwMode="auto">
                          <a:xfrm>
                            <a:off x="1714500" y="1882140"/>
                            <a:ext cx="1074420" cy="635"/>
                          </a:xfrm>
                          <a:prstGeom prst="line">
                            <a:avLst/>
                          </a:prstGeom>
                          <a:noFill/>
                          <a:ln w="9525">
                            <a:solidFill>
                              <a:srgbClr val="000000"/>
                            </a:solidFill>
                            <a:round/>
                            <a:tailEnd type="triangle" w="med" len="med"/>
                          </a:ln>
                          <a:effectLst/>
                        </wps:spPr>
                        <wps:bodyPr/>
                      </wps:wsp>
                      <wps:wsp>
                        <wps:cNvPr id="61" name="Line 12"/>
                        <wps:cNvCnPr>
                          <a:cxnSpLocks noChangeShapeType="1"/>
                        </wps:cNvCnPr>
                        <wps:spPr bwMode="auto">
                          <a:xfrm>
                            <a:off x="1714500" y="693420"/>
                            <a:ext cx="1371600" cy="635"/>
                          </a:xfrm>
                          <a:prstGeom prst="line">
                            <a:avLst/>
                          </a:prstGeom>
                          <a:noFill/>
                          <a:ln w="9525">
                            <a:solidFill>
                              <a:srgbClr val="000000"/>
                            </a:solidFill>
                            <a:round/>
                            <a:tailEnd type="triangle" w="med" len="med"/>
                          </a:ln>
                          <a:effectLst/>
                        </wps:spPr>
                        <wps:bodyPr/>
                      </wps:wsp>
                      <wps:wsp>
                        <wps:cNvPr id="62" name="Text Box 13"/>
                        <wps:cNvSpPr txBox="1">
                          <a:spLocks noChangeArrowheads="1"/>
                        </wps:cNvSpPr>
                        <wps:spPr bwMode="auto">
                          <a:xfrm>
                            <a:off x="2788920" y="1684020"/>
                            <a:ext cx="1501775" cy="647700"/>
                          </a:xfrm>
                          <a:prstGeom prst="rect">
                            <a:avLst/>
                          </a:prstGeom>
                          <a:solidFill>
                            <a:srgbClr val="FFFFFF"/>
                          </a:solidFill>
                          <a:ln w="9525">
                            <a:solidFill>
                              <a:srgbClr val="000000"/>
                            </a:solidFill>
                            <a:miter lim="800000"/>
                          </a:ln>
                          <a:effectLst/>
                        </wps:spPr>
                        <wps:txbx>
                          <w:txbxContent>
                            <w:p>
                              <w:pPr>
                                <w:rPr>
                                  <w:rFonts w:ascii="宋体" w:hAnsi="宋体"/>
                                </w:rPr>
                              </w:pPr>
                              <w:r>
                                <w:rPr>
                                  <w:rFonts w:hint="eastAsia" w:ascii="宋体" w:hAnsi="宋体"/>
                                </w:rPr>
                                <w:t>按照工程进度对资金使用计划初审</w:t>
                              </w:r>
                            </w:p>
                            <w:p>
                              <w:pPr>
                                <w:rPr>
                                  <w:rFonts w:ascii="宋体" w:hAnsi="宋体"/>
                                </w:rPr>
                              </w:pPr>
                            </w:p>
                            <w:p>
                              <w:pPr>
                                <w:rPr>
                                  <w:rFonts w:ascii="宋体" w:hAnsi="宋体"/>
                                </w:rPr>
                              </w:pPr>
                            </w:p>
                          </w:txbxContent>
                        </wps:txbx>
                        <wps:bodyPr rot="0" vert="horz" wrap="square" lIns="91440" tIns="45720" rIns="91440" bIns="45720" anchor="t" anchorCtr="0" upright="1">
                          <a:noAutofit/>
                        </wps:bodyPr>
                      </wps:wsp>
                      <wps:wsp>
                        <wps:cNvPr id="63" name="Text Box 14"/>
                        <wps:cNvSpPr txBox="1">
                          <a:spLocks noChangeArrowheads="1"/>
                        </wps:cNvSpPr>
                        <wps:spPr bwMode="auto">
                          <a:xfrm>
                            <a:off x="571500" y="3962400"/>
                            <a:ext cx="1371600" cy="396240"/>
                          </a:xfrm>
                          <a:prstGeom prst="rect">
                            <a:avLst/>
                          </a:prstGeom>
                          <a:solidFill>
                            <a:srgbClr val="FFFFFF"/>
                          </a:solidFill>
                          <a:ln w="9525">
                            <a:solidFill>
                              <a:srgbClr val="000000"/>
                            </a:solidFill>
                            <a:miter lim="800000"/>
                          </a:ln>
                          <a:effectLst/>
                        </wps:spPr>
                        <wps:txbx>
                          <w:txbxContent>
                            <w:p>
                              <w:pPr>
                                <w:jc w:val="center"/>
                                <w:rPr>
                                  <w:rFonts w:ascii="宋体" w:hAnsi="宋体"/>
                                </w:rPr>
                              </w:pPr>
                              <w:r>
                                <w:rPr>
                                  <w:rFonts w:hint="eastAsia" w:ascii="宋体" w:hAnsi="宋体"/>
                                </w:rPr>
                                <w:t>区建管中心</w:t>
                              </w:r>
                            </w:p>
                          </w:txbxContent>
                        </wps:txbx>
                        <wps:bodyPr rot="0" vert="horz" wrap="square" lIns="91440" tIns="72000" rIns="91440" bIns="45720" anchor="t" anchorCtr="0" upright="1">
                          <a:noAutofit/>
                        </wps:bodyPr>
                      </wps:wsp>
                      <wps:wsp>
                        <wps:cNvPr id="64" name="Line 15"/>
                        <wps:cNvCnPr>
                          <a:cxnSpLocks noChangeShapeType="1"/>
                        </wps:cNvCnPr>
                        <wps:spPr bwMode="auto">
                          <a:xfrm>
                            <a:off x="1257300" y="4358640"/>
                            <a:ext cx="635" cy="891540"/>
                          </a:xfrm>
                          <a:prstGeom prst="line">
                            <a:avLst/>
                          </a:prstGeom>
                          <a:noFill/>
                          <a:ln w="9525">
                            <a:solidFill>
                              <a:srgbClr val="000000"/>
                            </a:solidFill>
                            <a:round/>
                            <a:tailEnd type="triangle" w="med" len="med"/>
                          </a:ln>
                          <a:effectLst/>
                        </wps:spPr>
                        <wps:bodyPr/>
                      </wps:wsp>
                      <wps:wsp>
                        <wps:cNvPr id="65" name="Line 17"/>
                        <wps:cNvCnPr>
                          <a:cxnSpLocks noChangeShapeType="1"/>
                        </wps:cNvCnPr>
                        <wps:spPr bwMode="auto">
                          <a:xfrm>
                            <a:off x="1943100" y="3070860"/>
                            <a:ext cx="1371600" cy="635"/>
                          </a:xfrm>
                          <a:prstGeom prst="line">
                            <a:avLst/>
                          </a:prstGeom>
                          <a:noFill/>
                          <a:ln w="9525">
                            <a:solidFill>
                              <a:srgbClr val="000000"/>
                            </a:solidFill>
                            <a:round/>
                            <a:tailEnd type="triangle" w="med" len="med"/>
                          </a:ln>
                          <a:effectLst/>
                        </wps:spPr>
                        <wps:bodyPr/>
                      </wps:wsp>
                      <wps:wsp>
                        <wps:cNvPr id="66" name="Line 18"/>
                        <wps:cNvCnPr>
                          <a:cxnSpLocks noChangeShapeType="1"/>
                        </wps:cNvCnPr>
                        <wps:spPr bwMode="auto">
                          <a:xfrm>
                            <a:off x="1257300" y="4754880"/>
                            <a:ext cx="1257300" cy="635"/>
                          </a:xfrm>
                          <a:prstGeom prst="line">
                            <a:avLst/>
                          </a:prstGeom>
                          <a:noFill/>
                          <a:ln w="9525">
                            <a:solidFill>
                              <a:srgbClr val="000000"/>
                            </a:solidFill>
                            <a:round/>
                            <a:tailEnd type="triangle" w="med" len="med"/>
                          </a:ln>
                          <a:effectLst/>
                        </wps:spPr>
                        <wps:bodyPr/>
                      </wps:wsp>
                      <wps:wsp>
                        <wps:cNvPr id="67" name="Text Box 19"/>
                        <wps:cNvSpPr txBox="1">
                          <a:spLocks noChangeArrowheads="1"/>
                        </wps:cNvSpPr>
                        <wps:spPr bwMode="auto">
                          <a:xfrm>
                            <a:off x="3314700" y="2872740"/>
                            <a:ext cx="1211580" cy="396240"/>
                          </a:xfrm>
                          <a:prstGeom prst="rect">
                            <a:avLst/>
                          </a:prstGeom>
                          <a:solidFill>
                            <a:srgbClr val="FFFFFF"/>
                          </a:solidFill>
                          <a:ln w="9525">
                            <a:solidFill>
                              <a:srgbClr val="000000"/>
                            </a:solidFill>
                            <a:miter lim="800000"/>
                          </a:ln>
                          <a:effectLst/>
                        </wps:spPr>
                        <wps:txbx>
                          <w:txbxContent>
                            <w:p>
                              <w:pPr>
                                <w:jc w:val="center"/>
                                <w:rPr>
                                  <w:rFonts w:ascii="宋体" w:hAnsi="宋体"/>
                                </w:rPr>
                              </w:pPr>
                              <w:r>
                                <w:rPr>
                                  <w:rFonts w:hint="eastAsia" w:ascii="宋体" w:hAnsi="宋体"/>
                                </w:rPr>
                                <w:t>资金使用审批</w:t>
                              </w:r>
                            </w:p>
                          </w:txbxContent>
                        </wps:txbx>
                        <wps:bodyPr rot="0" vert="horz" wrap="square" lIns="91440" tIns="72000" rIns="91440" bIns="45720" anchor="t" anchorCtr="0" upright="1">
                          <a:noAutofit/>
                        </wps:bodyPr>
                      </wps:wsp>
                      <wps:wsp>
                        <wps:cNvPr id="68" name="Line 20"/>
                        <wps:cNvCnPr>
                          <a:cxnSpLocks noChangeShapeType="1"/>
                        </wps:cNvCnPr>
                        <wps:spPr bwMode="auto">
                          <a:xfrm>
                            <a:off x="1943100" y="5448300"/>
                            <a:ext cx="1371600" cy="635"/>
                          </a:xfrm>
                          <a:prstGeom prst="line">
                            <a:avLst/>
                          </a:prstGeom>
                          <a:noFill/>
                          <a:ln w="12700">
                            <a:solidFill>
                              <a:srgbClr val="000000"/>
                            </a:solidFill>
                            <a:round/>
                            <a:tailEnd type="triangle" w="med" len="med"/>
                          </a:ln>
                          <a:effectLst/>
                        </wps:spPr>
                        <wps:bodyPr/>
                      </wps:wsp>
                      <wps:wsp>
                        <wps:cNvPr id="69" name="Text Box 21"/>
                        <wps:cNvSpPr txBox="1">
                          <a:spLocks noChangeArrowheads="1"/>
                        </wps:cNvSpPr>
                        <wps:spPr bwMode="auto">
                          <a:xfrm>
                            <a:off x="3657600" y="6637020"/>
                            <a:ext cx="1211580" cy="396240"/>
                          </a:xfrm>
                          <a:prstGeom prst="rect">
                            <a:avLst/>
                          </a:prstGeom>
                          <a:solidFill>
                            <a:srgbClr val="FFFFFF"/>
                          </a:solidFill>
                          <a:ln w="9525">
                            <a:solidFill>
                              <a:srgbClr val="000000"/>
                            </a:solidFill>
                            <a:miter lim="800000"/>
                          </a:ln>
                          <a:effectLst/>
                        </wps:spPr>
                        <wps:txbx>
                          <w:txbxContent>
                            <w:p>
                              <w:pPr>
                                <w:jc w:val="center"/>
                                <w:rPr>
                                  <w:rFonts w:ascii="宋体" w:hAnsi="宋体"/>
                                </w:rPr>
                              </w:pPr>
                              <w:r>
                                <w:rPr>
                                  <w:rFonts w:hint="eastAsia" w:ascii="宋体" w:hAnsi="宋体"/>
                                </w:rPr>
                                <w:t>资金支付</w:t>
                              </w:r>
                            </w:p>
                          </w:txbxContent>
                        </wps:txbx>
                        <wps:bodyPr rot="0" vert="horz" wrap="square" lIns="91440" tIns="72000" rIns="91440" bIns="45720" anchor="t" anchorCtr="0" upright="1">
                          <a:noAutofit/>
                        </wps:bodyPr>
                      </wps:wsp>
                      <wps:wsp>
                        <wps:cNvPr id="70" name="Text Box 22"/>
                        <wps:cNvSpPr txBox="1">
                          <a:spLocks noChangeArrowheads="1"/>
                        </wps:cNvSpPr>
                        <wps:spPr bwMode="auto">
                          <a:xfrm>
                            <a:off x="3314700" y="5052060"/>
                            <a:ext cx="2286000" cy="1188720"/>
                          </a:xfrm>
                          <a:prstGeom prst="rect">
                            <a:avLst/>
                          </a:prstGeom>
                          <a:solidFill>
                            <a:srgbClr val="FFFFFF"/>
                          </a:solidFill>
                          <a:ln w="9525">
                            <a:solidFill>
                              <a:srgbClr val="000000"/>
                            </a:solidFill>
                            <a:miter lim="800000"/>
                          </a:ln>
                          <a:effectLst/>
                        </wps:spPr>
                        <wps:txbx>
                          <w:txbxContent>
                            <w:p>
                              <w:pPr>
                                <w:rPr>
                                  <w:rFonts w:ascii="宋体" w:hAnsi="宋体"/>
                                </w:rPr>
                              </w:pPr>
                              <w:r>
                                <w:rPr>
                                  <w:rFonts w:hint="eastAsia" w:ascii="宋体" w:hAnsi="宋体"/>
                                </w:rPr>
                                <w:t>监管银行实时监控施工单位资金流向，如出现异常，将反馈至业主单位，业主单位将要求参建单位纠正并采取补救措施</w:t>
                              </w:r>
                            </w:p>
                          </w:txbxContent>
                        </wps:txbx>
                        <wps:bodyPr rot="0" vert="horz" wrap="square" lIns="91440" tIns="118800" rIns="91440" bIns="45720" anchor="t" anchorCtr="0" upright="1">
                          <a:noAutofit/>
                        </wps:bodyPr>
                      </wps:wsp>
                      <wps:wsp>
                        <wps:cNvPr id="71" name="Rectangle 26"/>
                        <wps:cNvSpPr>
                          <a:spLocks noChangeArrowheads="1"/>
                        </wps:cNvSpPr>
                        <wps:spPr bwMode="auto">
                          <a:xfrm>
                            <a:off x="571500" y="5250180"/>
                            <a:ext cx="1371600" cy="396240"/>
                          </a:xfrm>
                          <a:prstGeom prst="rect">
                            <a:avLst/>
                          </a:prstGeom>
                          <a:solidFill>
                            <a:srgbClr val="FFFFFF"/>
                          </a:solidFill>
                          <a:ln w="9525">
                            <a:solidFill>
                              <a:srgbClr val="000000"/>
                            </a:solidFill>
                            <a:miter lim="800000"/>
                          </a:ln>
                          <a:effectLst/>
                        </wps:spPr>
                        <wps:txbx>
                          <w:txbxContent>
                            <w:p>
                              <w:pPr>
                                <w:ind w:firstLine="525" w:firstLineChars="250"/>
                                <w:rPr>
                                  <w:rFonts w:ascii="宋体" w:hAnsi="宋体"/>
                                </w:rPr>
                              </w:pPr>
                              <w:r>
                                <w:rPr>
                                  <w:rFonts w:hint="eastAsia" w:ascii="宋体" w:hAnsi="宋体"/>
                                </w:rPr>
                                <w:t>开户行</w:t>
                              </w:r>
                            </w:p>
                          </w:txbxContent>
                        </wps:txbx>
                        <wps:bodyPr rot="0" vert="horz" wrap="square" lIns="91440" tIns="45720" rIns="91440" bIns="45720" anchor="t" anchorCtr="0" upright="1">
                          <a:noAutofit/>
                        </wps:bodyPr>
                      </wps:wsp>
                      <wps:wsp>
                        <wps:cNvPr id="72" name="Line 27"/>
                        <wps:cNvCnPr>
                          <a:cxnSpLocks noChangeShapeType="1"/>
                        </wps:cNvCnPr>
                        <wps:spPr bwMode="auto">
                          <a:xfrm>
                            <a:off x="4343400" y="6240780"/>
                            <a:ext cx="635" cy="396240"/>
                          </a:xfrm>
                          <a:prstGeom prst="line">
                            <a:avLst/>
                          </a:prstGeom>
                          <a:noFill/>
                          <a:ln w="9525">
                            <a:solidFill>
                              <a:srgbClr val="000000"/>
                            </a:solidFill>
                            <a:round/>
                            <a:tailEnd type="triangle" w="med" len="med"/>
                          </a:ln>
                          <a:effectLst/>
                        </wps:spPr>
                        <wps:bodyPr/>
                      </wps:wsp>
                      <wps:wsp>
                        <wps:cNvPr id="73" name="Rectangle 28"/>
                        <wps:cNvSpPr>
                          <a:spLocks noChangeArrowheads="1"/>
                        </wps:cNvSpPr>
                        <wps:spPr bwMode="auto">
                          <a:xfrm>
                            <a:off x="2514600" y="4506098"/>
                            <a:ext cx="1365422" cy="446902"/>
                          </a:xfrm>
                          <a:prstGeom prst="rect">
                            <a:avLst/>
                          </a:prstGeom>
                          <a:solidFill>
                            <a:srgbClr val="FFFFFF"/>
                          </a:solidFill>
                          <a:ln w="9525">
                            <a:solidFill>
                              <a:srgbClr val="000000"/>
                            </a:solidFill>
                            <a:miter lim="800000"/>
                          </a:ln>
                          <a:effectLst/>
                        </wps:spPr>
                        <wps:txbx>
                          <w:txbxContent>
                            <w:p>
                              <w:pPr>
                                <w:rPr>
                                  <w:rFonts w:asciiTheme="minorEastAsia" w:hAnsiTheme="minorEastAsia" w:eastAsiaTheme="minorEastAsia"/>
                                </w:rPr>
                              </w:pPr>
                              <w:r>
                                <w:rPr>
                                  <w:rFonts w:hint="eastAsia" w:asciiTheme="minorEastAsia" w:hAnsiTheme="minorEastAsia" w:eastAsiaTheme="minorEastAsia"/>
                                </w:rPr>
                                <w:t>出具划款通知书</w:t>
                              </w:r>
                            </w:p>
                          </w:txbxContent>
                        </wps:txbx>
                        <wps:bodyPr rot="0" vert="horz" wrap="square" lIns="91440" tIns="45720" rIns="91440" bIns="45720" anchor="t" anchorCtr="0" upright="1">
                          <a:noAutofit/>
                        </wps:bodyPr>
                      </wps:wsp>
                    </wpc:wpc>
                  </a:graphicData>
                </a:graphic>
              </wp:inline>
            </w:drawing>
          </mc:Choice>
          <mc:Fallback>
            <w:pict>
              <v:group id="_x0000_s1026" o:spid="_x0000_s1026" o:spt="203" style="height:655.2pt;width:462.6pt;" coordsize="5875020,8321040" editas="canvas" o:gfxdata="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">
                <o:lock v:ext="edit" aspectratio="f"/>
                <v:shape id="_x0000_s1026" o:spid="_x0000_s1026" style="position:absolute;left:0;top:0;height:8321040;width:5875020;" filled="f" stroked="f" coordsize="21600,21600" o:gfxdata="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">
                  <v:fill on="f" focussize="0,0"/>
                  <v:stroke on="f"/>
                  <v:imagedata o:title=""/>
                  <o:lock v:ext="edit" aspectratio="t"/>
                </v:shape>
                <v:shape id="Text Box 4" o:spid="_x0000_s1026" o:spt="202" type="#_x0000_t202" style="position:absolute;left:3086100;top:495300;height:826770;width:1257300;" fillcolor="#FFFFFF" filled="t" stroked="t" coordsize="21600,21600" o:gfxdata="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MHvdcAAAAGAQAADwAAAAAAAAABACAAAAAiAAAA&#10;ZHJzL2Rvd25yZXYueG1sUEsBAhQAFAAAAAgAh07iQA3+hoBBAgAAoAQAAA4AAAAAAAAAAQAgAAAA&#10;JgEAAGRycy9lMm9Eb2MueG1sUEsFBgAAAAAGAAYAWQEAANkFAAAAAA==&#10;">
                  <v:fill on="t" focussize="0,0"/>
                  <v:stroke color="#000000" miterlimit="8" joinstyle="miter"/>
                  <v:imagedata o:title=""/>
                  <o:lock v:ext="edit" aspectratio="f"/>
                  <v:textbox>
                    <w:txbxContent>
                      <w:p>
                        <w:pPr>
                          <w:rPr>
                            <w:rFonts w:ascii="宋体" w:hAnsi="宋体"/>
                          </w:rPr>
                        </w:pPr>
                        <w:r>
                          <w:rPr>
                            <w:rFonts w:hint="eastAsia" w:ascii="宋体" w:hAnsi="宋体"/>
                          </w:rPr>
                          <w:t>呈交每期资金使用计划</w:t>
                        </w:r>
                      </w:p>
                    </w:txbxContent>
                  </v:textbox>
                </v:shape>
                <v:shape id="Text Box 5" o:spid="_x0000_s1026" o:spt="202" type="#_x0000_t202" style="position:absolute;left:800099;top:495300;height:396240;width:1028700;" fillcolor="#FFFFFF" filled="t" stroked="t" coordsize="21600,21600" o:gfxdata="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zwopCdQAAAAGAQAADwAAAAAAAAABACAAAAAiAAAA&#10;ZHJzL2Rvd25yZXYueG1sUEsBAhQAFAAAAAgAh07iQMjjeT9EAgAAnwQAAA4AAAAAAAAAAQAgAAAA&#10;IwEAAGRycy9lMm9Eb2MueG1sUEsFBgAAAAAGAAYAWQEAANkFAAAAAA==&#10;">
                  <v:fill on="t" focussize="0,0"/>
                  <v:stroke color="#000000" miterlimit="8" joinstyle="miter"/>
                  <v:imagedata o:title=""/>
                  <o:lock v:ext="edit" aspectratio="f"/>
                  <v:textbox inset="2.54mm,2mm,2.54mm,1.27mm">
                    <w:txbxContent>
                      <w:p>
                        <w:pPr>
                          <w:jc w:val="center"/>
                          <w:rPr>
                            <w:rFonts w:ascii="宋体" w:hAnsi="宋体"/>
                          </w:rPr>
                        </w:pPr>
                        <w:r>
                          <w:rPr>
                            <w:rFonts w:hint="eastAsia" w:ascii="宋体" w:hAnsi="宋体"/>
                          </w:rPr>
                          <w:t>施工单位</w:t>
                        </w:r>
                      </w:p>
                    </w:txbxContent>
                  </v:textbox>
                </v:shape>
                <v:line id="Line 6" o:spid="_x0000_s1026" o:spt="20" style="position:absolute;left:1257300;top:891540;height:693420;width:635;" filled="f" stroked="t" coordsize="21600,21600" o:gfxdata="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YWLrV2AAAAAYBAAAPAAAAAAAAAAEAIAAAACIAAABkcnMvZG93bnJldi54bWxQ&#10;SwECFAAUAAAACACHTuJAsxljI/cBAADoAwAADgAAAAAAAAABACAAAAAnAQAAZHJzL2Uyb0RvYy54&#10;bWxQSwUGAAAAAAYABgBZAQAAkAUAAAAA&#10;">
                  <v:fill on="f" focussize="0,0"/>
                  <v:stroke color="#000000" joinstyle="round" endarrow="block"/>
                  <v:imagedata o:title=""/>
                  <o:lock v:ext="edit" aspectratio="f"/>
                </v:line>
                <v:shape id="Text Box 7" o:spid="_x0000_s1026" o:spt="202" type="#_x0000_t202" style="position:absolute;left:685800;top:1584960;height:396240;width:1028700;" fillcolor="#FFFFFF" filled="t" stroked="t" coordsize="21600,21600" o:gfxdata="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8KKQnUAAAABgEAAA8AAAAAAAAAAQAgAAAAIgAA&#10;AGRycy9kb3ducmV2LnhtbFBLAQIUABQAAAAIAIdO4kCdp7HWRQIAAKAEAAAOAAAAAAAAAAEAIAAA&#10;ACMBAABkcnMvZTJvRG9jLnhtbFBLBQYAAAAABgAGAFkBAADaBQAAAAA=&#10;">
                  <v:fill on="t" focussize="0,0"/>
                  <v:stroke color="#000000" miterlimit="8" joinstyle="miter"/>
                  <v:imagedata o:title=""/>
                  <o:lock v:ext="edit" aspectratio="f"/>
                  <v:textbox inset="2.54mm,2mm,2.54mm,1.27mm">
                    <w:txbxContent>
                      <w:p>
                        <w:pPr>
                          <w:jc w:val="center"/>
                          <w:rPr>
                            <w:rFonts w:ascii="宋体" w:hAnsi="宋体"/>
                          </w:rPr>
                        </w:pPr>
                        <w:r>
                          <w:rPr>
                            <w:rFonts w:hint="eastAsia" w:ascii="宋体" w:hAnsi="宋体"/>
                          </w:rPr>
                          <w:t>监理单位</w:t>
                        </w:r>
                      </w:p>
                    </w:txbxContent>
                  </v:textbox>
                </v:shape>
                <v:shape id="Text Box 8" o:spid="_x0000_s1026" o:spt="202" type="#_x0000_t202" style="position:absolute;left:461645;top:2872740;height:513080;width:1481455;" fillcolor="#FFFFFF" filled="t" stroked="t" coordsize="21600,21600" o:gfxdata="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8KKQnUAAAABgEAAA8AAAAAAAAAAQAgAAAAIgAA&#10;AGRycy9kb3ducmV2LnhtbFBLAQIUABQAAAAIAIdO4kB6DSPWRQIAAKAEAAAOAAAAAAAAAAEAIAAA&#10;ACMBAABkcnMvZTJvRG9jLnhtbFBLBQYAAAAABgAGAFkBAADaBQAAAAA=&#10;">
                  <v:fill on="t" focussize="0,0"/>
                  <v:stroke color="#000000" miterlimit="8" joinstyle="miter"/>
                  <v:imagedata o:title=""/>
                  <o:lock v:ext="edit" aspectratio="f"/>
                  <v:textbox inset="2.54mm,2mm,2.54mm,1.27mm">
                    <w:txbxContent>
                      <w:p>
                        <w:pPr>
                          <w:jc w:val="center"/>
                          <w:rPr>
                            <w:rFonts w:ascii="宋体" w:hAnsi="宋体"/>
                          </w:rPr>
                        </w:pPr>
                        <w:r>
                          <w:rPr>
                            <w:rFonts w:hint="eastAsia" w:ascii="宋体" w:hAnsi="宋体"/>
                          </w:rPr>
                          <w:t>代业主单位（若有时）</w:t>
                        </w:r>
                      </w:p>
                      <w:p>
                        <w:pPr>
                          <w:rPr>
                            <w:rFonts w:ascii="宋体" w:hAnsi="宋体"/>
                          </w:rPr>
                        </w:pPr>
                      </w:p>
                    </w:txbxContent>
                  </v:textbox>
                </v:shape>
                <v:line id="Line 9" o:spid="_x0000_s1026" o:spt="20" style="position:absolute;left:1257300;top:3268980;height:693420;width:635;" filled="f" stroked="t" coordsize="21600,21600" o:gfxdata="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hYutXYAAAABgEAAA8AAAAAAAAAAQAgAAAAIgAAAGRycy9kb3ducmV2Lnht&#10;bFBLAQIUABQAAAAIAIdO4kBOasfm+QEAAOkDAAAOAAAAAAAAAAEAIAAAACcBAABkcnMvZTJvRG9j&#10;LnhtbFBLBQYAAAAABgAGAFkBAACSBQAAAAA=&#10;">
                  <v:fill on="f" focussize="0,0"/>
                  <v:stroke color="#000000" joinstyle="round" endarrow="block"/>
                  <v:imagedata o:title=""/>
                  <o:lock v:ext="edit" aspectratio="f"/>
                </v:line>
                <v:line id="Line 10" o:spid="_x0000_s1026" o:spt="20" style="position:absolute;left:1257300;top:1981200;flip:x;height:891540;width:635;" filled="f" stroked="t" coordsize="21600,21600" o:gfxdata="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odWQNcAAAAGAQAADwAAAAAAAAABACAAAAAiAAAAZHJzL2Rvd25y&#10;ZXYueG1sUEsBAhQAFAAAAAgAh07iQBFfxBX/AQAA9AMAAA4AAAAAAAAAAQAgAAAAJgEAAGRycy9l&#10;Mm9Eb2MueG1sUEsFBgAAAAAGAAYAWQEAAJcFAAAAAA==&#10;">
                  <v:fill on="f" focussize="0,0"/>
                  <v:stroke color="#000000" joinstyle="round" endarrow="block"/>
                  <v:imagedata o:title=""/>
                  <o:lock v:ext="edit" aspectratio="f"/>
                </v:line>
                <v:line id="Line 11" o:spid="_x0000_s1026" o:spt="20" style="position:absolute;left:1714500;top:1882140;height:635;width:1074420;" filled="f" stroked="t" coordsize="21600,21600" o:gfxdata="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Fi61dgAAAAGAQAADwAAAAAAAAABACAAAAAiAAAAZHJzL2Rvd25yZXYueG1sUEsB&#10;AhQAFAAAAAgAh07iQDSlp9f1AQAA6wMAAA4AAAAAAAAAAQAgAAAAJwEAAGRycy9lMm9Eb2MueG1s&#10;UEsFBgAAAAAGAAYAWQEAAI4FAAAAAA==&#10;">
                  <v:fill on="f" focussize="0,0"/>
                  <v:stroke color="#000000" joinstyle="round" endarrow="block"/>
                  <v:imagedata o:title=""/>
                  <o:lock v:ext="edit" aspectratio="f"/>
                </v:line>
                <v:line id="Line 12" o:spid="_x0000_s1026" o:spt="20" style="position:absolute;left:1714500;top:693420;height:635;width:1371600;" filled="f" stroked="t" coordsize="21600,21600" o:gfxdata="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Fi61dgAAAAGAQAADwAAAAAAAAABACAAAAAiAAAAZHJzL2Rvd25yZXYueG1sUEsB&#10;AhQAFAAAAAgAh07iQNDa7j71AQAA6gMAAA4AAAAAAAAAAQAgAAAAJwEAAGRycy9lMm9Eb2MueG1s&#10;UEsFBgAAAAAGAAYAWQEAAI4FAAAAAA==&#10;">
                  <v:fill on="f" focussize="0,0"/>
                  <v:stroke color="#000000" joinstyle="round" endarrow="block"/>
                  <v:imagedata o:title=""/>
                  <o:lock v:ext="edit" aspectratio="f"/>
                </v:line>
                <v:shape id="Text Box 13" o:spid="_x0000_s1026" o:spt="202" type="#_x0000_t202" style="position:absolute;left:2788920;top:1684020;height:647700;width:1501775;" fillcolor="#FFFFFF" filled="t" stroked="t" coordsize="21600,21600" o:gfxdata="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FMHvdcAAAAGAQAADwAAAAAAAAABACAAAAAi&#10;AAAAZHJzL2Rvd25yZXYueG1sUEsBAhQAFAAAAAgAh07iQKk5KthEAgAAogQAAA4AAAAAAAAAAQAg&#10;AAAAJgEAAGRycy9lMm9Eb2MueG1sUEsFBgAAAAAGAAYAWQEAANwFAAAAAA==&#10;">
                  <v:fill on="t" focussize="0,0"/>
                  <v:stroke color="#000000" miterlimit="8" joinstyle="miter"/>
                  <v:imagedata o:title=""/>
                  <o:lock v:ext="edit" aspectratio="f"/>
                  <v:textbox>
                    <w:txbxContent>
                      <w:p>
                        <w:pPr>
                          <w:rPr>
                            <w:rFonts w:ascii="宋体" w:hAnsi="宋体"/>
                          </w:rPr>
                        </w:pPr>
                        <w:r>
                          <w:rPr>
                            <w:rFonts w:hint="eastAsia" w:ascii="宋体" w:hAnsi="宋体"/>
                          </w:rPr>
                          <w:t>按照工程进度对资金使用计划初审</w:t>
                        </w:r>
                      </w:p>
                      <w:p>
                        <w:pPr>
                          <w:rPr>
                            <w:rFonts w:ascii="宋体" w:hAnsi="宋体"/>
                          </w:rPr>
                        </w:pPr>
                      </w:p>
                      <w:p>
                        <w:pPr>
                          <w:rPr>
                            <w:rFonts w:ascii="宋体" w:hAnsi="宋体"/>
                          </w:rPr>
                        </w:pPr>
                      </w:p>
                    </w:txbxContent>
                  </v:textbox>
                </v:shape>
                <v:shape id="Text Box 14" o:spid="_x0000_s1026" o:spt="202" type="#_x0000_t202" style="position:absolute;left:571500;top:3962400;height:396240;width:1371600;" fillcolor="#FFFFFF" filled="t" stroked="t" coordsize="21600,21600" o:gfxdata="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zwopCdQAAAAGAQAADwAAAAAAAAABACAAAAAiAAAAZHJz&#10;L2Rvd25yZXYueG1sUEsBAhQAFAAAAAgAh07iQGl6lVNBAgAAoQQAAA4AAAAAAAAAAQAgAAAAIwEA&#10;AGRycy9lMm9Eb2MueG1sUEsFBgAAAAAGAAYAWQEAANYFAAAAAA==&#10;">
                  <v:fill on="t" focussize="0,0"/>
                  <v:stroke color="#000000" miterlimit="8" joinstyle="miter"/>
                  <v:imagedata o:title=""/>
                  <o:lock v:ext="edit" aspectratio="f"/>
                  <v:textbox inset="2.54mm,2mm,2.54mm,1.27mm">
                    <w:txbxContent>
                      <w:p>
                        <w:pPr>
                          <w:jc w:val="center"/>
                          <w:rPr>
                            <w:rFonts w:ascii="宋体" w:hAnsi="宋体"/>
                          </w:rPr>
                        </w:pPr>
                        <w:r>
                          <w:rPr>
                            <w:rFonts w:hint="eastAsia" w:ascii="宋体" w:hAnsi="宋体"/>
                          </w:rPr>
                          <w:t>区建管中心</w:t>
                        </w:r>
                      </w:p>
                    </w:txbxContent>
                  </v:textbox>
                </v:shape>
                <v:line id="Line 15" o:spid="_x0000_s1026" o:spt="20" style="position:absolute;left:1257300;top:4358640;height:891540;width:635;" filled="f" stroked="t" coordsize="21600,21600" o:gfxdata="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hYutXYAAAABgEAAA8AAAAAAAAAAQAgAAAAIgAAAGRycy9kb3ducmV2Lnht&#10;bFBLAQIUABQAAAAIAIdO4kDpLSh++QEAAOoDAAAOAAAAAAAAAAEAIAAAACcBAABkcnMvZTJvRG9j&#10;LnhtbFBLBQYAAAAABgAGAFkBAACSBQAAAAA=&#10;">
                  <v:fill on="f" focussize="0,0"/>
                  <v:stroke color="#000000" joinstyle="round" endarrow="block"/>
                  <v:imagedata o:title=""/>
                  <o:lock v:ext="edit" aspectratio="f"/>
                </v:line>
                <v:line id="Line 17" o:spid="_x0000_s1026" o:spt="20" style="position:absolute;left:1943100;top:3070860;height:635;width:1371600;" filled="f" stroked="t" coordsize="21600,21600" o:gfxdata="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YWLrV2AAAAAYBAAAPAAAAAAAAAAEAIAAAACIAAABkcnMvZG93bnJldi54bWxQ&#10;SwECFAAUAAAACACHTuJAoE72RfcBAADrAwAADgAAAAAAAAABACAAAAAnAQAAZHJzL2Uyb0RvYy54&#10;bWxQSwUGAAAAAAYABgBZAQAAkAUAAAAA&#10;">
                  <v:fill on="f" focussize="0,0"/>
                  <v:stroke color="#000000" joinstyle="round" endarrow="block"/>
                  <v:imagedata o:title=""/>
                  <o:lock v:ext="edit" aspectratio="f"/>
                </v:line>
                <v:line id="Line 18" o:spid="_x0000_s1026" o:spt="20" style="position:absolute;left:1257300;top:4754880;height:635;width:1257300;" filled="f" stroked="t" coordsize="21600,21600" o:gfxdata="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Fi61dgAAAAGAQAADwAAAAAAAAABACAAAAAiAAAAZHJzL2Rvd25yZXYueG1sUEsBAhQA&#10;FAAAAAgAh07iQD7iCozyAQAA6wMAAA4AAAAAAAAAAQAgAAAAJwEAAGRycy9lMm9Eb2MueG1sUEsF&#10;BgAAAAAGAAYAWQEAAIsFAAAAAA==&#10;">
                  <v:fill on="f" focussize="0,0"/>
                  <v:stroke color="#000000" joinstyle="round" endarrow="block"/>
                  <v:imagedata o:title=""/>
                  <o:lock v:ext="edit" aspectratio="f"/>
                </v:line>
                <v:shape id="Text Box 19" o:spid="_x0000_s1026" o:spt="202" type="#_x0000_t202" style="position:absolute;left:3314700;top:2872740;height:396240;width:1211580;" fillcolor="#FFFFFF" filled="t" stroked="t" coordsize="21600,21600" o:gfxdata="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8KKQnUAAAABgEAAA8AAAAAAAAAAQAgAAAAIgAA&#10;AGRycy9kb3ducmV2LnhtbFBLAQIUABQAAAAIAIdO4kAfuuc+RQIAAKIEAAAOAAAAAAAAAAEAIAAA&#10;ACMBAABkcnMvZTJvRG9jLnhtbFBLBQYAAAAABgAGAFkBAADaBQAAAAA=&#10;">
                  <v:fill on="t" focussize="0,0"/>
                  <v:stroke color="#000000" miterlimit="8" joinstyle="miter"/>
                  <v:imagedata o:title=""/>
                  <o:lock v:ext="edit" aspectratio="f"/>
                  <v:textbox inset="2.54mm,2mm,2.54mm,1.27mm">
                    <w:txbxContent>
                      <w:p>
                        <w:pPr>
                          <w:jc w:val="center"/>
                          <w:rPr>
                            <w:rFonts w:ascii="宋体" w:hAnsi="宋体"/>
                          </w:rPr>
                        </w:pPr>
                        <w:r>
                          <w:rPr>
                            <w:rFonts w:hint="eastAsia" w:ascii="宋体" w:hAnsi="宋体"/>
                          </w:rPr>
                          <w:t>资金使用审批</w:t>
                        </w:r>
                      </w:p>
                    </w:txbxContent>
                  </v:textbox>
                </v:shape>
                <v:line id="Line 20" o:spid="_x0000_s1026" o:spt="20" style="position:absolute;left:1943100;top:5448300;height:635;width:1371600;" filled="f" stroked="t" coordsize="21600,21600" o:gfxdata="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kTaQf1gAAAAYBAAAPAAAAAAAAAAEAIAAAACIAAABkcnMvZG93bnJldi54bWxQSwEC&#10;FAAUAAAACACHTuJAhsTV5vYBAADsAwAADgAAAAAAAAABACAAAAAlAQAAZHJzL2Uyb0RvYy54bWxQ&#10;SwUGAAAAAAYABgBZAQAAjQUAAAAA&#10;">
                  <v:fill on="f" focussize="0,0"/>
                  <v:stroke weight="1pt" color="#000000" joinstyle="round" endarrow="block"/>
                  <v:imagedata o:title=""/>
                  <o:lock v:ext="edit" aspectratio="f"/>
                </v:line>
                <v:shape id="Text Box 21" o:spid="_x0000_s1026" o:spt="202" type="#_x0000_t202" style="position:absolute;left:3657600;top:6637020;height:396240;width:1211580;" fillcolor="#FFFFFF" filled="t" stroked="t" coordsize="21600,21600" o:gfxdata="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8KKQnUAAAABgEAAA8AAAAAAAAAAQAgAAAA&#10;IgAAAGRycy9kb3ducmV2LnhtbFBLAQIUABQAAAAIAIdO4kAULIvASAIAAKIEAAAOAAAAAAAAAAEA&#10;IAAAACMBAABkcnMvZTJvRG9jLnhtbFBLBQYAAAAABgAGAFkBAADdBQAAAAA=&#10;">
                  <v:fill on="t" focussize="0,0"/>
                  <v:stroke color="#000000" miterlimit="8" joinstyle="miter"/>
                  <v:imagedata o:title=""/>
                  <o:lock v:ext="edit" aspectratio="f"/>
                  <v:textbox inset="2.54mm,2mm,2.54mm,1.27mm">
                    <w:txbxContent>
                      <w:p>
                        <w:pPr>
                          <w:jc w:val="center"/>
                          <w:rPr>
                            <w:rFonts w:ascii="宋体" w:hAnsi="宋体"/>
                          </w:rPr>
                        </w:pPr>
                        <w:r>
                          <w:rPr>
                            <w:rFonts w:hint="eastAsia" w:ascii="宋体" w:hAnsi="宋体"/>
                          </w:rPr>
                          <w:t>资金支付</w:t>
                        </w:r>
                      </w:p>
                    </w:txbxContent>
                  </v:textbox>
                </v:shape>
                <v:shape id="Text Box 22" o:spid="_x0000_s1026" o:spt="202" type="#_x0000_t202" style="position:absolute;left:3314700;top:5052060;height:1188720;width:2286000;" fillcolor="#FFFFFF" filled="t" stroked="t" coordsize="21600,21600" o:gfxdata="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cJ0QrTAAAABgEAAA8AAAAAAAAAAQAgAAAA&#10;IgAAAGRycy9kb3ducmV2LnhtbFBLAQIUABQAAAAIAIdO4kCZ/7AOSQIAAKQEAAAOAAAAAAAAAAEA&#10;IAAAACIBAABkcnMvZTJvRG9jLnhtbFBLBQYAAAAABgAGAFkBAADdBQAAAAA=&#10;">
                  <v:fill on="t" focussize="0,0"/>
                  <v:stroke color="#000000" miterlimit="8" joinstyle="miter"/>
                  <v:imagedata o:title=""/>
                  <o:lock v:ext="edit" aspectratio="f"/>
                  <v:textbox inset="2.54mm,3.3mm,2.54mm,1.27mm">
                    <w:txbxContent>
                      <w:p>
                        <w:pPr>
                          <w:rPr>
                            <w:rFonts w:ascii="宋体" w:hAnsi="宋体"/>
                          </w:rPr>
                        </w:pPr>
                        <w:r>
                          <w:rPr>
                            <w:rFonts w:hint="eastAsia" w:ascii="宋体" w:hAnsi="宋体"/>
                          </w:rPr>
                          <w:t>监管银行实时监控施工单位资金流向，如出现异常，将反馈至业主单位，业主单位将要求参建单位纠正并采取补救措施</w:t>
                        </w:r>
                      </w:p>
                    </w:txbxContent>
                  </v:textbox>
                </v:shape>
                <v:rect id="Rectangle 26" o:spid="_x0000_s1026" o:spt="1" style="position:absolute;left:571500;top:5250180;height:396240;width:1371600;" fillcolor="#FFFFFF" filled="t" stroked="t" coordsize="21600,21600" o:gfxdata="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qFnet1QAAAAYBAAAPAAAAAAAAAAEAIAAAACIAAABkcnMv&#10;ZG93bnJldi54bWxQSwECFAAUAAAACACHTuJApNUY1T8CAACYBAAADgAAAAAAAAABACAAAAAkAQAA&#10;ZHJzL2Uyb0RvYy54bWxQSwUGAAAAAAYABgBZAQAA1QUAAAAA&#10;">
                  <v:fill on="t" focussize="0,0"/>
                  <v:stroke color="#000000" miterlimit="8" joinstyle="miter"/>
                  <v:imagedata o:title=""/>
                  <o:lock v:ext="edit" aspectratio="f"/>
                  <v:textbox>
                    <w:txbxContent>
                      <w:p>
                        <w:pPr>
                          <w:ind w:firstLine="525" w:firstLineChars="250"/>
                          <w:rPr>
                            <w:rFonts w:ascii="宋体" w:hAnsi="宋体"/>
                          </w:rPr>
                        </w:pPr>
                        <w:r>
                          <w:rPr>
                            <w:rFonts w:hint="eastAsia" w:ascii="宋体" w:hAnsi="宋体"/>
                          </w:rPr>
                          <w:t>开户行</w:t>
                        </w:r>
                      </w:p>
                    </w:txbxContent>
                  </v:textbox>
                </v:rect>
                <v:line id="Line 27" o:spid="_x0000_s1026" o:spt="20" style="position:absolute;left:4343400;top:6240780;height:396240;width:635;" filled="f" stroked="t" coordsize="21600,21600" o:gfxdata="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YWLrV2AAAAAYBAAAPAAAAAAAAAAEAIAAAACIAAABkcnMvZG93bnJldi54bWxQ&#10;SwECFAAUAAAACACHTuJAZb9ec/cBAADqAwAADgAAAAAAAAABACAAAAAnAQAAZHJzL2Uyb0RvYy54&#10;bWxQSwUGAAAAAAYABgBZAQAAkAUAAAAA&#10;">
                  <v:fill on="f" focussize="0,0"/>
                  <v:stroke color="#000000" joinstyle="round" endarrow="block"/>
                  <v:imagedata o:title=""/>
                  <o:lock v:ext="edit" aspectratio="f"/>
                </v:line>
                <v:rect id="Rectangle 28" o:spid="_x0000_s1026" o:spt="1" style="position:absolute;left:2514600;top:4506098;height:446902;width:1365422;" fillcolor="#FFFFFF" filled="t" stroked="t" coordsize="21600,21600" o:gfxdata="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&#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qFnet1QAAAAYBAAAPAAAAAAAAAAEAIAAAACIAAABk&#10;cnMvZG93bnJldi54bWxQSwECFAAUAAAACACHTuJAeHS9ykICAACZBAAADgAAAAAAAAABACAAAAAk&#10;AQAAZHJzL2Uyb0RvYy54bWxQSwUGAAAAAAYABgBZAQAA2AUAAAAA&#10;">
                  <v:fill on="t" focussize="0,0"/>
                  <v:stroke color="#000000" miterlimit="8" joinstyle="miter"/>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出具划款通知书</w:t>
                        </w:r>
                      </w:p>
                    </w:txbxContent>
                  </v:textbox>
                </v:rect>
                <w10:wrap type="none"/>
                <w10:anchorlock/>
              </v:group>
            </w:pict>
          </mc:Fallback>
        </mc:AlternateContent>
      </w:r>
    </w:p>
    <w:p>
      <w:pPr>
        <w:wordWrap w:val="0"/>
        <w:rPr>
          <w:rFonts w:ascii="宋体" w:hAnsi="宋体" w:cs="宋体"/>
          <w:color w:val="auto"/>
          <w:highlight w:val="none"/>
        </w:rPr>
      </w:pPr>
      <w:r>
        <w:rPr>
          <w:rFonts w:hint="eastAsia" w:ascii="宋体" w:hAnsi="宋体" w:cs="宋体"/>
          <w:color w:val="auto"/>
          <w:highlight w:val="none"/>
        </w:rPr>
        <w:t>附件五：</w:t>
      </w:r>
    </w:p>
    <w:p>
      <w:pPr>
        <w:wordWrap w:val="0"/>
        <w:autoSpaceDN w:val="0"/>
        <w:spacing w:line="360" w:lineRule="auto"/>
        <w:jc w:val="center"/>
        <w:rPr>
          <w:rFonts w:ascii="宋体" w:hAnsi="宋体" w:cs="宋体"/>
          <w:b/>
          <w:bCs/>
          <w:color w:val="auto"/>
          <w:sz w:val="30"/>
          <w:szCs w:val="30"/>
          <w:highlight w:val="none"/>
        </w:rPr>
      </w:pPr>
    </w:p>
    <w:p>
      <w:pPr>
        <w:wordWrap w:val="0"/>
        <w:autoSpaceDN w:val="0"/>
        <w:spacing w:line="360" w:lineRule="auto"/>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共管工程预付款使用监管办法（适用于无代建项目）</w:t>
      </w:r>
    </w:p>
    <w:p>
      <w:pPr>
        <w:wordWrap w:val="0"/>
        <w:autoSpaceDN w:val="0"/>
        <w:spacing w:line="360" w:lineRule="auto"/>
        <w:ind w:firstLine="555"/>
        <w:rPr>
          <w:rFonts w:ascii="宋体" w:hAnsi="宋体" w:cs="宋体"/>
          <w:color w:val="auto"/>
          <w:sz w:val="32"/>
          <w:szCs w:val="32"/>
          <w:highlight w:val="none"/>
        </w:rPr>
      </w:pPr>
    </w:p>
    <w:p>
      <w:pPr>
        <w:wordWrap w:val="0"/>
        <w:autoSpaceDN w:val="0"/>
        <w:spacing w:line="360" w:lineRule="auto"/>
        <w:rPr>
          <w:rFonts w:ascii="宋体" w:hAnsi="宋体" w:cs="宋体"/>
          <w:color w:val="auto"/>
          <w:highlight w:val="none"/>
        </w:rPr>
      </w:pPr>
      <w:r>
        <w:rPr>
          <w:rFonts w:hint="eastAsia" w:ascii="宋体" w:hAnsi="宋体" w:cs="宋体"/>
          <w:color w:val="auto"/>
          <w:highlight w:val="none"/>
        </w:rPr>
        <w:t xml:space="preserve">    鉴于</w:t>
      </w:r>
      <w:r>
        <w:rPr>
          <w:rFonts w:hint="eastAsia" w:ascii="宋体" w:hAnsi="宋体" w:cs="宋体"/>
          <w:color w:val="auto"/>
          <w:highlight w:val="none"/>
          <w:u w:val="single"/>
        </w:rPr>
        <w:t xml:space="preserve">       </w:t>
      </w:r>
      <w:r>
        <w:rPr>
          <w:rFonts w:hint="eastAsia" w:ascii="宋体" w:hAnsi="宋体" w:cs="宋体"/>
          <w:color w:val="auto"/>
          <w:highlight w:val="none"/>
        </w:rPr>
        <w:t>（下称“本工程”）建设业主（即发包人）支付给承包人的建安工程预付款（扣除工人工资款项）（以下简称“工程预付款”）采用在经由建设业主、承包人双方协商一致后选择的银行（以下简称“共管银行”）设立共管账户，以建设业主、承包人共管方式支出。为保证工程预付款的专款专用和合理使用，现就共管账户内资金支出监管事宜制订本办法。</w:t>
      </w:r>
    </w:p>
    <w:p>
      <w:pPr>
        <w:wordWrap w:val="0"/>
        <w:autoSpaceDN w:val="0"/>
        <w:spacing w:line="360" w:lineRule="auto"/>
        <w:rPr>
          <w:rFonts w:ascii="宋体" w:hAnsi="宋体" w:cs="宋体"/>
          <w:color w:val="auto"/>
          <w:highlight w:val="none"/>
        </w:rPr>
      </w:pPr>
      <w:r>
        <w:rPr>
          <w:rFonts w:hint="eastAsia" w:ascii="宋体" w:hAnsi="宋体" w:cs="宋体"/>
          <w:color w:val="auto"/>
          <w:highlight w:val="none"/>
        </w:rPr>
        <w:t xml:space="preserve">    一、共管原则</w:t>
      </w:r>
    </w:p>
    <w:p>
      <w:pPr>
        <w:wordWrap w:val="0"/>
        <w:autoSpaceDN w:val="0"/>
        <w:spacing w:line="360" w:lineRule="auto"/>
        <w:rPr>
          <w:rFonts w:ascii="宋体" w:hAnsi="宋体" w:cs="宋体"/>
          <w:color w:val="auto"/>
          <w:highlight w:val="none"/>
        </w:rPr>
      </w:pPr>
      <w:r>
        <w:rPr>
          <w:rFonts w:hint="eastAsia" w:ascii="宋体" w:hAnsi="宋体" w:cs="宋体"/>
          <w:color w:val="auto"/>
          <w:highlight w:val="none"/>
        </w:rPr>
        <w:t xml:space="preserve">    本工程建设业主、施工承包人及共管银行签订三方资金共管账户合同，在共管银行设立户名为施工承包人的资金结算共管账户。建设业主按《》（以下简称施工合同）约定支付的工程预付款直接支付至上述共管账户（款项支付至共管账户，即视为发包人已按合同约定履行付款义务）。承包人就本工程需从上述账户中对外支付款项的，应按本办法规定报建设业主审核。建设业主审批同意承包人用款申请后，向银行出具书面同意支付通知，银行根据前述书面支付通知及承包人的申请，将相应资金从共管账户划转至指定收款方。</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二、工程预付款对外支付审批流程</w:t>
      </w:r>
    </w:p>
    <w:p>
      <w:pPr>
        <w:wordWrap w:val="0"/>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u w:val="single"/>
        </w:rPr>
        <w:t>建设业主按施工合同约定支付工程预付款至共管账户后，承包人即可申请支出，每次支出金额不得超过帐户中工程预付款，且累计支出金额不得超过按本工程可开工部分工程量占本工程总工程量比例计算的预付款金额，直至预付款支出完毕。</w:t>
      </w:r>
    </w:p>
    <w:p>
      <w:pPr>
        <w:wordWrap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 xml:space="preserve"> （注：具体预付款支付次数及条件由工程部门结合项目实际确定。）</w:t>
      </w:r>
    </w:p>
    <w:p>
      <w:pPr>
        <w:wordWrap w:val="0"/>
        <w:autoSpaceDN w:val="0"/>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u w:val="single"/>
        </w:rPr>
        <w:t>支付前置条件：签订施工合同，工程本次交地范围完成临时设施、安全文明措施，具备开工条件。</w:t>
      </w:r>
    </w:p>
    <w:p>
      <w:pPr>
        <w:wordWrap w:val="0"/>
        <w:autoSpaceDN w:val="0"/>
        <w:spacing w:line="360" w:lineRule="auto"/>
        <w:rPr>
          <w:rFonts w:ascii="宋体" w:hAnsi="宋体" w:cs="宋体"/>
          <w:color w:val="auto"/>
          <w:highlight w:val="none"/>
        </w:rPr>
      </w:pPr>
      <w:r>
        <w:rPr>
          <w:rFonts w:hint="eastAsia" w:ascii="宋体" w:hAnsi="宋体" w:cs="宋体"/>
          <w:color w:val="auto"/>
          <w:highlight w:val="none"/>
        </w:rPr>
        <w:t xml:space="preserve">    申请支付审批流程为：承包人提交申请材料→监理审核→建设业主审核并出具同意支付通知。</w:t>
      </w:r>
    </w:p>
    <w:p>
      <w:pPr>
        <w:wordWrap w:val="0"/>
        <w:autoSpaceDN w:val="0"/>
        <w:spacing w:line="360" w:lineRule="auto"/>
        <w:ind w:firstLine="315" w:firstLineChars="150"/>
        <w:rPr>
          <w:rFonts w:ascii="宋体" w:hAnsi="宋体" w:cs="宋体"/>
          <w:color w:val="auto"/>
          <w:highlight w:val="none"/>
        </w:rPr>
      </w:pPr>
      <w:r>
        <w:rPr>
          <w:rFonts w:hint="eastAsia" w:ascii="宋体" w:hAnsi="宋体" w:cs="宋体"/>
          <w:color w:val="auto"/>
          <w:highlight w:val="none"/>
        </w:rPr>
        <w:t xml:space="preserve"> 承包人申请款项支出应提供材料包括但不限于：</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1、填写建设业主统一提供的付款申请书；</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2、用款计划（内容包括款项用途、金额等）。</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三、监理单位、建设业主在审核承包人支付申请时，如发现支付申请不满足工程节点要求、支出金额不符合工程实际或有弄虚作假情况的，应拒绝承包人的支出申请。</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承包人的支出申请因上述情况被拒绝的，监理单位、建设业主不承担任何责任，承包人不得因此延误工程进度、或向相关方索赔。</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四、建设业主可不定期采取到银行对账等方式对共管账户资金使用情况（包括支付金额、支付单位等）进行检查，并有权要求承包人定期或不定期编制共管账户资金支出汇总表交建设业主审核及对账，前述汇总表应列明每笔用款的具体日期、金额、用途等要素。</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建设业主如发现账户资金支付有不符合工程实际、弄虚作假情况的，或发现本工程建设资金存在外借、挪用、转移、权益转让、抵押、质押、担保等情况的，有权停止后续工程款项的支付、并要求承包人限期返还违规支出的资金。上述权利不因建设业主审核同意承包人具体支出申请或暂定、停止审核支出申请而排除。</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五、监理单位、建设业主审核同意承包人的支出申请，不表示其对承包人提供资料的真实性、合法性承担责任，不表示其与承包人的供应商建立了合同关系，也不表示其同意承担承包人与供应商的任何权利义务。承包人与其供应商之间的任何纠纷与监理单位、建设业主无关。</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六、本办法是本工程施工合同的组成部分，建设业主及承包人均应按本办法执行。</w:t>
      </w:r>
    </w:p>
    <w:p>
      <w:pPr>
        <w:wordWrap w:val="0"/>
        <w:autoSpaceDN w:val="0"/>
        <w:spacing w:line="360" w:lineRule="auto"/>
        <w:jc w:val="center"/>
        <w:rPr>
          <w:rFonts w:ascii="宋体" w:hAnsi="宋体" w:cs="宋体"/>
          <w:b/>
          <w:bCs/>
          <w:color w:val="auto"/>
          <w:sz w:val="30"/>
          <w:szCs w:val="30"/>
          <w:highlight w:val="none"/>
        </w:rPr>
      </w:pPr>
    </w:p>
    <w:p>
      <w:pPr>
        <w:widowControl/>
        <w:jc w:val="left"/>
        <w:rPr>
          <w:rFonts w:ascii="宋体" w:hAnsi="宋体" w:cs="宋体"/>
          <w:b/>
          <w:bCs/>
          <w:color w:val="auto"/>
          <w:sz w:val="30"/>
          <w:szCs w:val="30"/>
          <w:highlight w:val="none"/>
        </w:rPr>
      </w:pPr>
      <w:r>
        <w:rPr>
          <w:rFonts w:hint="eastAsia" w:ascii="宋体" w:hAnsi="宋体" w:cs="宋体"/>
          <w:b/>
          <w:bCs/>
          <w:color w:val="auto"/>
          <w:sz w:val="30"/>
          <w:szCs w:val="30"/>
          <w:highlight w:val="none"/>
        </w:rPr>
        <w:br w:type="page"/>
      </w:r>
    </w:p>
    <w:p>
      <w:pPr>
        <w:wordWrap w:val="0"/>
        <w:autoSpaceDN w:val="0"/>
        <w:spacing w:line="360" w:lineRule="auto"/>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共管工程预付款使用监管办法（适用于代建项目）</w:t>
      </w:r>
    </w:p>
    <w:p>
      <w:pPr>
        <w:wordWrap w:val="0"/>
        <w:autoSpaceDN w:val="0"/>
        <w:spacing w:line="360" w:lineRule="auto"/>
        <w:ind w:firstLine="555"/>
        <w:rPr>
          <w:rFonts w:ascii="宋体" w:hAnsi="宋体" w:cs="宋体"/>
          <w:color w:val="auto"/>
          <w:sz w:val="32"/>
          <w:szCs w:val="32"/>
          <w:highlight w:val="none"/>
        </w:rPr>
      </w:pPr>
    </w:p>
    <w:p>
      <w:pPr>
        <w:wordWrap w:val="0"/>
        <w:autoSpaceDN w:val="0"/>
        <w:spacing w:line="360" w:lineRule="auto"/>
        <w:ind w:firstLine="630" w:firstLineChars="300"/>
        <w:rPr>
          <w:rFonts w:ascii="宋体" w:hAnsi="宋体" w:cs="宋体"/>
          <w:color w:val="auto"/>
          <w:highlight w:val="none"/>
        </w:rPr>
      </w:pPr>
      <w:r>
        <w:rPr>
          <w:rFonts w:hint="eastAsia" w:ascii="宋体" w:hAnsi="宋体" w:cs="宋体"/>
          <w:color w:val="auto"/>
          <w:highlight w:val="none"/>
        </w:rPr>
        <w:t xml:space="preserve">  鉴于</w:t>
      </w:r>
      <w:r>
        <w:rPr>
          <w:rFonts w:hint="eastAsia" w:ascii="宋体" w:hAnsi="宋体" w:cs="宋体"/>
          <w:color w:val="auto"/>
          <w:highlight w:val="none"/>
          <w:u w:val="single"/>
        </w:rPr>
        <w:t xml:space="preserve">       </w:t>
      </w:r>
      <w:r>
        <w:rPr>
          <w:rFonts w:hint="eastAsia" w:ascii="宋体" w:hAnsi="宋体" w:cs="宋体"/>
          <w:color w:val="auto"/>
          <w:highlight w:val="none"/>
        </w:rPr>
        <w:t>（下称“本工程”）建设业主支付给承包人的建安工程预付款（扣除工人工资款项）（以下简称“工程预付款”）采用在经由建设业主、承包人双方协商一致后选择的银行（以下简称“共管银行”）设立共管账户，以建设业主、承包人共管方式支出。为保证工程预付款的专款专用和合理使用，现就共管账户内资金支出监管事宜制订本办法。</w:t>
      </w:r>
    </w:p>
    <w:p>
      <w:pPr>
        <w:wordWrap w:val="0"/>
        <w:autoSpaceDN w:val="0"/>
        <w:spacing w:line="360" w:lineRule="auto"/>
        <w:rPr>
          <w:rFonts w:ascii="宋体" w:hAnsi="宋体" w:cs="宋体"/>
          <w:color w:val="auto"/>
          <w:highlight w:val="none"/>
        </w:rPr>
      </w:pPr>
      <w:r>
        <w:rPr>
          <w:rFonts w:hint="eastAsia" w:ascii="宋体" w:hAnsi="宋体" w:cs="宋体"/>
          <w:color w:val="auto"/>
          <w:highlight w:val="none"/>
        </w:rPr>
        <w:t xml:space="preserve">    一、共管原则</w:t>
      </w:r>
    </w:p>
    <w:p>
      <w:pPr>
        <w:wordWrap w:val="0"/>
        <w:autoSpaceDN w:val="0"/>
        <w:spacing w:line="360" w:lineRule="auto"/>
        <w:rPr>
          <w:rFonts w:ascii="宋体" w:hAnsi="宋体" w:cs="宋体"/>
          <w:color w:val="auto"/>
          <w:highlight w:val="none"/>
        </w:rPr>
      </w:pPr>
      <w:r>
        <w:rPr>
          <w:rFonts w:hint="eastAsia" w:ascii="宋体" w:hAnsi="宋体" w:cs="宋体"/>
          <w:color w:val="auto"/>
          <w:highlight w:val="none"/>
        </w:rPr>
        <w:t xml:space="preserve">    本工程建设业主、施工承包人及共管银行签订三方资金共管账户合同，在共管银行设立户名为施工承包人的资金结算共管账户。建设业主按《     合同》（以下简称施工合同）约定支付的工程预付款直接支付至上述共管账户（款项支付至共管账户，即视为建设业主已按合同约定履行付款义务）。施工承包人就本工程需从上述账户中对外支付款项的，应按本办法规定报建设业主审核。建设业主审批同意施工承包人用款申请后，向银行出具书面同意支付通知，银行根据前述书面支付通知及施工承包人的申请，将相应资金从共管账户划转至指定收款方。</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二、工程预付款对外支付审批流程</w:t>
      </w:r>
    </w:p>
    <w:p>
      <w:pPr>
        <w:wordWrap w:val="0"/>
        <w:autoSpaceDN w:val="0"/>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u w:val="single"/>
        </w:rPr>
        <w:t>建设业主按施工合同约定支付工程预付款至共管账户后，承包人即可申请支出，每次支出金额不得超过帐户中工程预付款，且累计支出金额不得超过按本工程可开工部分工程量占本工程总工程量比例计算的预付款金额，直至工程预付款支出完毕。</w:t>
      </w:r>
    </w:p>
    <w:p>
      <w:pPr>
        <w:wordWrap w:val="0"/>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rPr>
        <w:t xml:space="preserve"> （注：具体预付款支付次数及条件由工程部门结合项目实际确定。）</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u w:val="single"/>
        </w:rPr>
        <w:t>支付前置条件：签订施工合同，工程本次交地范围完成临时设施、安全文明措施，具备开工条件</w:t>
      </w:r>
      <w:r>
        <w:rPr>
          <w:rFonts w:hint="eastAsia" w:ascii="宋体" w:hAnsi="宋体" w:cs="宋体"/>
          <w:color w:val="auto"/>
          <w:highlight w:val="none"/>
        </w:rPr>
        <w:t>。</w:t>
      </w:r>
    </w:p>
    <w:p>
      <w:pPr>
        <w:wordWrap w:val="0"/>
        <w:autoSpaceDN w:val="0"/>
        <w:spacing w:line="360" w:lineRule="auto"/>
        <w:rPr>
          <w:rFonts w:ascii="宋体" w:hAnsi="宋体" w:cs="宋体"/>
          <w:color w:val="auto"/>
          <w:highlight w:val="none"/>
        </w:rPr>
      </w:pPr>
      <w:r>
        <w:rPr>
          <w:rFonts w:hint="eastAsia" w:ascii="宋体" w:hAnsi="宋体" w:cs="宋体"/>
          <w:color w:val="auto"/>
          <w:highlight w:val="none"/>
        </w:rPr>
        <w:t xml:space="preserve">    申请支付审批流程为：承包人提交申请材料→监理审核→代建单位审核→建设业主审核并出具同意支付通知。</w:t>
      </w:r>
    </w:p>
    <w:p>
      <w:pPr>
        <w:wordWrap w:val="0"/>
        <w:autoSpaceDN w:val="0"/>
        <w:spacing w:line="360" w:lineRule="auto"/>
        <w:ind w:firstLine="315" w:firstLineChars="150"/>
        <w:rPr>
          <w:rFonts w:ascii="宋体" w:hAnsi="宋体" w:cs="宋体"/>
          <w:color w:val="auto"/>
          <w:highlight w:val="none"/>
        </w:rPr>
      </w:pPr>
      <w:r>
        <w:rPr>
          <w:rFonts w:hint="eastAsia" w:ascii="宋体" w:hAnsi="宋体" w:cs="宋体"/>
          <w:color w:val="auto"/>
          <w:highlight w:val="none"/>
        </w:rPr>
        <w:t xml:space="preserve"> 承包人申请款项支出应提供材料包括但不限于：</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1、填写建设业主统一提供的付款申请书；</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2、用款计划（内容包括款项用途、金额等）。</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三、监理单位、代建单位、建设业主在审核承包人支付申请时，如发现支付申请不满足工程节点要求、支出金额不符合工程实际或有弄虚作假情况的，应拒绝承包人的支出申请。</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承包人的支出申请因上述情况被拒绝的，监理单位、代建单位、建设业主不承担任何责任，承包人不得因此延误工程进度、或向相关方索赔。</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四、建设业主可不定期采取到银行对账等方式对共管账户资金使用情况（包括支付金额、支付单位等）进行检查，并有权要求承包人定期或不定期编制共管账户资金支出汇总表交建设业主审核及对账，前述汇总表应列明每笔用款的具体日期、金额、用途等要素。</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建设业主如发现账户资金支付有不符合工程实际、弄虚作假情况的，或发现本工程建设资金存在外借、挪用、转移、权益转让、抵押、质押、担保等情况的，有权停止后续工程款项的支付、并要求承包人限期返还违规支出的资金。上述权利不因建设业主审核同意承包人具体支出申请或暂定、停止审核支出申请而排除。</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五、监理单位、代建单位、建设业主审核同意承包人的支出申请，不表示其对承包人提供资料的真实性、合法性承担责任，不表示其与承包人的供应商建立了合同关系，也不表示其同意承担承包人与供应商的任何权利义务。承包人与其供应商之间的任何纠纷与监理单位、代建单位、建设业主无关。</w:t>
      </w:r>
    </w:p>
    <w:p>
      <w:pPr>
        <w:wordWrap w:val="0"/>
        <w:autoSpaceDN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六、本办法是本工程施工合同的组成部分，建设业主、代建单位及承包人均应按本办法执行。</w:t>
      </w:r>
    </w:p>
    <w:p>
      <w:pPr>
        <w:widowControl/>
        <w:jc w:val="left"/>
        <w:rPr>
          <w:rFonts w:ascii="宋体" w:hAnsi="宋体" w:cs="宋体"/>
          <w:snapToGrid w:val="0"/>
          <w:color w:val="auto"/>
          <w:kern w:val="0"/>
          <w:sz w:val="24"/>
          <w:szCs w:val="32"/>
          <w:highlight w:val="none"/>
        </w:rPr>
      </w:pPr>
      <w:r>
        <w:rPr>
          <w:rFonts w:ascii="宋体" w:hAnsi="宋体"/>
          <w:b/>
          <w:color w:val="auto"/>
          <w:sz w:val="28"/>
          <w:szCs w:val="28"/>
          <w:highlight w:val="none"/>
        </w:rPr>
        <w:br w:type="page"/>
      </w:r>
    </w:p>
    <w:p>
      <w:pPr>
        <w:pStyle w:val="3"/>
        <w:rPr>
          <w:rFonts w:ascii="宋体" w:hAnsi="宋体"/>
          <w:color w:val="auto"/>
          <w:highlight w:val="none"/>
        </w:rPr>
      </w:pPr>
      <w:bookmarkStart w:id="167" w:name="_Toc8692"/>
      <w:bookmarkStart w:id="168" w:name="_Toc26989"/>
      <w:bookmarkStart w:id="169" w:name="_Toc2272567"/>
      <w:bookmarkStart w:id="170" w:name="_Toc4135"/>
      <w:bookmarkStart w:id="171" w:name="_Toc112397827"/>
      <w:bookmarkStart w:id="172" w:name="_Toc22795"/>
      <w:r>
        <w:rPr>
          <w:rFonts w:hint="eastAsia" w:ascii="宋体" w:hAnsi="宋体"/>
          <w:color w:val="auto"/>
          <w:highlight w:val="none"/>
        </w:rPr>
        <w:t>第四章</w:t>
      </w:r>
      <w:r>
        <w:rPr>
          <w:rFonts w:ascii="宋体" w:hAnsi="宋体"/>
          <w:color w:val="auto"/>
          <w:highlight w:val="none"/>
        </w:rPr>
        <w:t xml:space="preserve"> </w:t>
      </w:r>
      <w:r>
        <w:rPr>
          <w:rFonts w:hint="eastAsia" w:ascii="宋体" w:hAnsi="宋体"/>
          <w:color w:val="auto"/>
          <w:highlight w:val="none"/>
          <w:lang w:val="en-US" w:eastAsia="zh-CN"/>
        </w:rPr>
        <w:t xml:space="preserve"> </w:t>
      </w:r>
      <w:r>
        <w:rPr>
          <w:rFonts w:hint="eastAsia" w:ascii="宋体" w:hAnsi="宋体"/>
          <w:color w:val="auto"/>
          <w:highlight w:val="none"/>
        </w:rPr>
        <w:t>投标文件格式</w:t>
      </w:r>
      <w:bookmarkEnd w:id="167"/>
      <w:bookmarkEnd w:id="168"/>
      <w:bookmarkEnd w:id="169"/>
      <w:bookmarkEnd w:id="170"/>
      <w:bookmarkEnd w:id="171"/>
      <w:bookmarkEnd w:id="172"/>
    </w:p>
    <w:p>
      <w:pPr>
        <w:pStyle w:val="5"/>
        <w:rPr>
          <w:rFonts w:ascii="宋体" w:hAnsi="宋体"/>
          <w:color w:val="auto"/>
          <w:highlight w:val="none"/>
        </w:rPr>
      </w:pPr>
      <w:bookmarkStart w:id="173" w:name="_Toc1070"/>
      <w:bookmarkStart w:id="174" w:name="_Toc17211"/>
      <w:bookmarkStart w:id="175" w:name="_Toc8010"/>
      <w:bookmarkStart w:id="176" w:name="_Toc24679"/>
      <w:bookmarkStart w:id="177" w:name="_Toc112397828"/>
      <w:r>
        <w:rPr>
          <w:rFonts w:hint="eastAsia" w:ascii="宋体" w:hAnsi="宋体"/>
          <w:color w:val="auto"/>
          <w:highlight w:val="none"/>
        </w:rPr>
        <w:t>一、技术标投标文件格式</w:t>
      </w:r>
      <w:bookmarkEnd w:id="173"/>
      <w:bookmarkEnd w:id="174"/>
      <w:bookmarkEnd w:id="175"/>
      <w:bookmarkEnd w:id="176"/>
      <w:bookmarkEnd w:id="177"/>
    </w:p>
    <w:p>
      <w:pPr>
        <w:pStyle w:val="6"/>
        <w:rPr>
          <w:color w:val="auto"/>
          <w:highlight w:val="none"/>
        </w:rPr>
      </w:pPr>
      <w:bookmarkStart w:id="178" w:name="_Toc25534"/>
      <w:bookmarkStart w:id="179" w:name="_Toc112397829"/>
      <w:bookmarkStart w:id="180" w:name="_Toc1634"/>
      <w:bookmarkStart w:id="181" w:name="_Toc32604"/>
      <w:bookmarkStart w:id="182" w:name="_Toc60070621"/>
      <w:bookmarkStart w:id="183" w:name="_Toc781"/>
      <w:r>
        <w:rPr>
          <w:rFonts w:hint="eastAsia"/>
          <w:color w:val="auto"/>
          <w:highlight w:val="none"/>
        </w:rPr>
        <w:t>格式一：</w:t>
      </w:r>
      <w:bookmarkEnd w:id="178"/>
      <w:bookmarkEnd w:id="179"/>
      <w:bookmarkEnd w:id="180"/>
      <w:bookmarkEnd w:id="181"/>
      <w:bookmarkEnd w:id="182"/>
      <w:bookmarkEnd w:id="183"/>
    </w:p>
    <w:p>
      <w:pPr>
        <w:jc w:val="center"/>
        <w:rPr>
          <w:rFonts w:ascii="宋体" w:hAnsi="宋体" w:cs="宋体"/>
          <w:b/>
          <w:color w:val="auto"/>
          <w:sz w:val="36"/>
          <w:szCs w:val="36"/>
          <w:highlight w:val="none"/>
        </w:rPr>
      </w:pPr>
      <w:bookmarkStart w:id="184" w:name="_Toc58838587"/>
      <w:r>
        <w:rPr>
          <w:rFonts w:hint="eastAsia" w:ascii="宋体" w:hAnsi="宋体" w:cs="宋体"/>
          <w:b/>
          <w:color w:val="auto"/>
          <w:sz w:val="36"/>
          <w:szCs w:val="36"/>
          <w:highlight w:val="none"/>
        </w:rPr>
        <w:t>广州建设工程施工招标投标书（技术标）</w:t>
      </w:r>
      <w:bookmarkEnd w:id="184"/>
    </w:p>
    <w:tbl>
      <w:tblPr>
        <w:tblStyle w:val="49"/>
        <w:tblpPr w:leftFromText="180" w:rightFromText="180" w:vertAnchor="text" w:horzAnchor="margin" w:tblpXSpec="center" w:tblpY="27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4"/>
        <w:gridCol w:w="2211"/>
        <w:gridCol w:w="3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3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color w:val="auto"/>
                <w:sz w:val="24"/>
                <w:szCs w:val="24"/>
                <w:highlight w:val="none"/>
                <w:lang w:val="zh-CN"/>
              </w:rPr>
              <w:t>工程名称</w:t>
            </w:r>
          </w:p>
        </w:tc>
        <w:tc>
          <w:tcPr>
            <w:tcW w:w="6045"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33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投标总工期</w:t>
            </w:r>
          </w:p>
        </w:tc>
        <w:tc>
          <w:tcPr>
            <w:tcW w:w="6045"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33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highlight w:val="none"/>
              </w:rPr>
            </w:pPr>
            <w:r>
              <w:rPr>
                <w:rFonts w:hint="eastAsia" w:ascii="宋体" w:hAnsi="宋体" w:cs="宋体"/>
                <w:color w:val="auto"/>
                <w:sz w:val="24"/>
                <w:szCs w:val="24"/>
                <w:highlight w:val="none"/>
                <w:lang w:val="zh-CN"/>
              </w:rPr>
              <w:t>工程质量标准</w:t>
            </w:r>
          </w:p>
        </w:tc>
        <w:tc>
          <w:tcPr>
            <w:tcW w:w="6045"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color w:val="auto"/>
                <w:sz w:val="24"/>
                <w:szCs w:val="24"/>
                <w:highlight w:val="none"/>
                <w:lang w:val="zh-CN"/>
              </w:rPr>
              <w:t>保修期限</w:t>
            </w:r>
          </w:p>
        </w:tc>
        <w:tc>
          <w:tcPr>
            <w:tcW w:w="6045"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3334"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color w:val="auto"/>
                <w:sz w:val="24"/>
                <w:szCs w:val="24"/>
                <w:highlight w:val="none"/>
                <w:lang w:val="zh-CN"/>
              </w:rPr>
              <w:t>委派的项目负责人</w:t>
            </w:r>
          </w:p>
        </w:tc>
        <w:tc>
          <w:tcPr>
            <w:tcW w:w="22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姓</w:t>
            </w:r>
            <w:r>
              <w:rPr>
                <w:rFonts w:ascii="宋体" w:hAnsi="宋体"/>
                <w:color w:val="auto"/>
                <w:sz w:val="24"/>
                <w:szCs w:val="24"/>
                <w:highlight w:val="none"/>
              </w:rPr>
              <w:t xml:space="preserve">   </w:t>
            </w:r>
            <w:r>
              <w:rPr>
                <w:rFonts w:hint="eastAsia" w:ascii="宋体" w:hAnsi="宋体"/>
                <w:color w:val="auto"/>
                <w:sz w:val="24"/>
                <w:szCs w:val="24"/>
                <w:highlight w:val="none"/>
              </w:rPr>
              <w:t>名</w:t>
            </w:r>
          </w:p>
        </w:tc>
        <w:tc>
          <w:tcPr>
            <w:tcW w:w="383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3334"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委派的专职安全员</w:t>
            </w:r>
          </w:p>
        </w:tc>
        <w:tc>
          <w:tcPr>
            <w:tcW w:w="221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姓</w:t>
            </w:r>
            <w:r>
              <w:rPr>
                <w:rFonts w:ascii="宋体" w:hAnsi="宋体" w:cs="宋体"/>
                <w:bCs/>
                <w:color w:val="auto"/>
                <w:sz w:val="24"/>
                <w:szCs w:val="24"/>
                <w:highlight w:val="none"/>
                <w:lang w:val="zh-CN"/>
              </w:rPr>
              <w:t xml:space="preserve">   </w:t>
            </w:r>
            <w:r>
              <w:rPr>
                <w:rFonts w:hint="eastAsia" w:ascii="宋体" w:hAnsi="宋体" w:cs="宋体"/>
                <w:bCs/>
                <w:color w:val="auto"/>
                <w:sz w:val="24"/>
                <w:szCs w:val="24"/>
                <w:highlight w:val="none"/>
                <w:lang w:val="zh-CN"/>
              </w:rPr>
              <w:t>名</w:t>
            </w:r>
          </w:p>
        </w:tc>
        <w:tc>
          <w:tcPr>
            <w:tcW w:w="383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Cs/>
                <w:color w:val="auto"/>
                <w:sz w:val="24"/>
                <w:szCs w:val="24"/>
                <w:highlight w:val="none"/>
                <w:lang w:val="zh-CN"/>
              </w:rPr>
            </w:pPr>
          </w:p>
        </w:tc>
      </w:tr>
    </w:tbl>
    <w:p>
      <w:pPr>
        <w:autoSpaceDE w:val="0"/>
        <w:autoSpaceDN w:val="0"/>
        <w:adjustRightInd w:val="0"/>
        <w:spacing w:line="360" w:lineRule="auto"/>
        <w:rPr>
          <w:rFonts w:ascii="宋体" w:hAnsi="宋体" w:cs="宋体"/>
          <w:color w:val="auto"/>
          <w:sz w:val="24"/>
          <w:szCs w:val="24"/>
          <w:highlight w:val="none"/>
        </w:rPr>
      </w:pPr>
      <w:r>
        <w:rPr>
          <w:rFonts w:ascii="宋体" w:hAnsi="宋体"/>
          <w:b/>
          <w:color w:val="auto"/>
          <w:highlight w:val="none"/>
        </w:rPr>
        <w:br w:type="page"/>
      </w:r>
    </w:p>
    <w:p>
      <w:pPr>
        <w:pStyle w:val="6"/>
        <w:rPr>
          <w:color w:val="auto"/>
          <w:highlight w:val="none"/>
        </w:rPr>
      </w:pPr>
      <w:bookmarkStart w:id="185" w:name="_Toc5394"/>
      <w:bookmarkStart w:id="186" w:name="_Toc60070622"/>
      <w:bookmarkStart w:id="187" w:name="_Toc112397830"/>
      <w:bookmarkStart w:id="188" w:name="_Toc9148"/>
      <w:bookmarkStart w:id="189" w:name="_Toc10062"/>
      <w:bookmarkStart w:id="190" w:name="_Toc23821"/>
      <w:r>
        <w:rPr>
          <w:rFonts w:hint="eastAsia"/>
          <w:color w:val="auto"/>
          <w:highlight w:val="none"/>
        </w:rPr>
        <w:t>格式二：</w:t>
      </w:r>
      <w:bookmarkEnd w:id="185"/>
      <w:bookmarkEnd w:id="186"/>
      <w:bookmarkEnd w:id="187"/>
      <w:bookmarkEnd w:id="188"/>
      <w:bookmarkEnd w:id="189"/>
      <w:bookmarkEnd w:id="190"/>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t>投标函</w:t>
      </w:r>
    </w:p>
    <w:p>
      <w:pPr>
        <w:topLinePunct/>
        <w:adjustRightInd w:val="0"/>
        <w:snapToGrid w:val="0"/>
        <w:spacing w:line="360" w:lineRule="auto"/>
        <w:rPr>
          <w:rFonts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致：</w:t>
      </w:r>
      <w:r>
        <w:rPr>
          <w:rFonts w:ascii="宋体" w:hAnsi="宋体" w:cs="宋体"/>
          <w:snapToGrid w:val="0"/>
          <w:color w:val="auto"/>
          <w:spacing w:val="4"/>
          <w:kern w:val="0"/>
          <w:sz w:val="24"/>
          <w:szCs w:val="24"/>
          <w:highlight w:val="none"/>
          <w:u w:val="single"/>
        </w:rPr>
        <w:t xml:space="preserve"> （招标人名称） </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1.根据已收到贵方的项目编号为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的</w:t>
      </w:r>
      <w:r>
        <w:rPr>
          <w:rFonts w:ascii="宋体" w:hAnsi="宋体" w:cs="宋体"/>
          <w:color w:val="auto"/>
          <w:sz w:val="24"/>
          <w:szCs w:val="24"/>
          <w:highlight w:val="none"/>
          <w:u w:val="single"/>
        </w:rPr>
        <w:t xml:space="preserve">          项目</w:t>
      </w:r>
      <w:r>
        <w:rPr>
          <w:rFonts w:hint="eastAsia" w:ascii="宋体" w:hAnsi="宋体" w:cs="宋体"/>
          <w:color w:val="auto"/>
          <w:sz w:val="24"/>
          <w:szCs w:val="24"/>
          <w:highlight w:val="none"/>
        </w:rPr>
        <w:t>的招标文件，并已详细审核了全部招标文件及有关附件。</w:t>
      </w:r>
    </w:p>
    <w:p>
      <w:pPr>
        <w:snapToGrid w:val="0"/>
        <w:spacing w:line="360" w:lineRule="auto"/>
        <w:ind w:firstLine="523" w:firstLineChars="218"/>
        <w:rPr>
          <w:rFonts w:ascii="宋体" w:hAnsi="宋体" w:cs="宋体"/>
          <w:color w:val="auto"/>
          <w:sz w:val="24"/>
          <w:szCs w:val="24"/>
          <w:highlight w:val="none"/>
        </w:rPr>
      </w:pPr>
      <w:r>
        <w:rPr>
          <w:rFonts w:ascii="宋体" w:hAnsi="宋体" w:cs="宋体"/>
          <w:color w:val="auto"/>
          <w:sz w:val="24"/>
          <w:szCs w:val="24"/>
          <w:highlight w:val="none"/>
        </w:rPr>
        <w:t>2.遵照《中华人民共和国招标投标法》、《中华人民共和国招标投标法实施条例》、《广东省实施〈中华人民共和国招标投标法〉办法》、等有关规定，经考察现场和研究上述招标文件的投标须知、合同条款、标准和技术规范、图纸、工程量清单及其他有关文件后，我方承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愿以经济标中的投标报价并按上述合同条款、标准和技术规范、图纸、工程量清单等的要求承包上述工程的施工、竣工并修补其任何缺陷。</w:t>
      </w:r>
    </w:p>
    <w:p>
      <w:pPr>
        <w:spacing w:line="360" w:lineRule="auto"/>
        <w:rPr>
          <w:rFonts w:ascii="宋体" w:hAnsi="宋体" w:cs="宋体"/>
          <w:color w:val="auto"/>
          <w:sz w:val="24"/>
          <w:szCs w:val="24"/>
          <w:highlight w:val="none"/>
        </w:rPr>
      </w:pPr>
      <w:r>
        <w:rPr>
          <w:rFonts w:ascii="宋体" w:hAnsi="宋体" w:cs="宋体"/>
          <w:color w:val="auto"/>
          <w:sz w:val="24"/>
          <w:szCs w:val="24"/>
          <w:highlight w:val="none"/>
        </w:rPr>
        <w:t xml:space="preserve">    3.我方同意所递交的投标文件在投标须知规定的投标有效期内有效，在此期间内我方的投标有可能中标，我方将受此约束。如果在投标有效期内撤回投标或放弃中标资格，</w:t>
      </w:r>
      <w:r>
        <w:rPr>
          <w:rFonts w:hint="eastAsia" w:ascii="宋体" w:hAnsi="宋体" w:cs="宋体"/>
          <w:color w:val="auto"/>
          <w:sz w:val="24"/>
          <w:szCs w:val="24"/>
          <w:highlight w:val="none"/>
        </w:rPr>
        <w:t>给贵方造成的损失，贵方还有权要求我方进行赔偿。</w:t>
      </w:r>
    </w:p>
    <w:p>
      <w:pPr>
        <w:spacing w:line="360" w:lineRule="auto"/>
        <w:rPr>
          <w:rFonts w:ascii="宋体" w:hAnsi="宋体" w:cs="宋体"/>
          <w:color w:val="auto"/>
          <w:sz w:val="24"/>
          <w:szCs w:val="24"/>
          <w:highlight w:val="none"/>
        </w:rPr>
      </w:pPr>
      <w:r>
        <w:rPr>
          <w:rFonts w:ascii="宋体" w:hAnsi="宋体" w:cs="宋体"/>
          <w:color w:val="auto"/>
          <w:sz w:val="24"/>
          <w:szCs w:val="24"/>
          <w:highlight w:val="none"/>
        </w:rPr>
        <w:t xml:space="preserve">    4.我方理解贵方将不受必须接受你们所收到的最低标价或其它任何投标文件的约束。</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5.如果我方中标，我方保证按招标文件中规定的工期，</w:t>
      </w:r>
      <w:r>
        <w:rPr>
          <w:rFonts w:hint="eastAsia" w:ascii="宋体" w:hAnsi="宋体" w:cs="宋体"/>
          <w:b/>
          <w:color w:val="auto"/>
          <w:sz w:val="24"/>
          <w:szCs w:val="24"/>
          <w:highlight w:val="none"/>
        </w:rPr>
        <w:t>在</w:t>
      </w:r>
      <w:r>
        <w:rPr>
          <w:rFonts w:ascii="宋体" w:hAnsi="宋体" w:cs="宋体"/>
          <w:b/>
          <w:color w:val="auto"/>
          <w:sz w:val="24"/>
          <w:szCs w:val="24"/>
          <w:highlight w:val="none"/>
          <w:u w:val="single"/>
        </w:rPr>
        <w:t xml:space="preserve">  </w:t>
      </w:r>
      <w:r>
        <w:rPr>
          <w:rFonts w:hint="eastAsia" w:ascii="宋体" w:hAnsi="宋体" w:cs="宋体"/>
          <w:b/>
          <w:color w:val="auto"/>
          <w:sz w:val="24"/>
          <w:szCs w:val="24"/>
          <w:highlight w:val="none"/>
        </w:rPr>
        <w:t>日历天</w:t>
      </w:r>
      <w:r>
        <w:rPr>
          <w:rFonts w:hint="eastAsia" w:ascii="宋体" w:hAnsi="宋体" w:cs="宋体"/>
          <w:color w:val="auto"/>
          <w:sz w:val="24"/>
          <w:szCs w:val="24"/>
          <w:highlight w:val="none"/>
        </w:rPr>
        <w:t>内完成并移交本工程，质量标准达到招标文件中的要求。</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6.如果我方中标，我方将按照规定递交由招标人认可，并在招标文件中规定金额的履约保函。</w:t>
      </w:r>
    </w:p>
    <w:p>
      <w:pPr>
        <w:spacing w:line="360" w:lineRule="auto"/>
        <w:ind w:firstLine="480"/>
        <w:rPr>
          <w:rFonts w:ascii="宋体" w:hAnsi="宋体" w:cs="宋体"/>
          <w:color w:val="auto"/>
          <w:sz w:val="24"/>
          <w:szCs w:val="24"/>
          <w:highlight w:val="none"/>
        </w:rPr>
      </w:pPr>
      <w:r>
        <w:rPr>
          <w:rFonts w:ascii="宋体" w:hAnsi="宋体" w:cs="宋体"/>
          <w:color w:val="auto"/>
          <w:sz w:val="24"/>
          <w:szCs w:val="24"/>
          <w:highlight w:val="none"/>
        </w:rPr>
        <w:t>7.除非另外达成协议并生效，贵方的中标通知书和本投标文件将成为约束双方的合同文件的组成部分。</w:t>
      </w:r>
    </w:p>
    <w:p>
      <w:pPr>
        <w:spacing w:line="360" w:lineRule="auto"/>
        <w:ind w:firstLine="480"/>
        <w:rPr>
          <w:rFonts w:ascii="宋体" w:hAnsi="宋体" w:cs="宋体"/>
          <w:color w:val="auto"/>
          <w:sz w:val="24"/>
          <w:szCs w:val="24"/>
          <w:highlight w:val="none"/>
        </w:rPr>
      </w:pPr>
      <w:r>
        <w:rPr>
          <w:rFonts w:ascii="宋体" w:hAnsi="宋体" w:cs="宋体"/>
          <w:color w:val="auto"/>
          <w:sz w:val="24"/>
          <w:szCs w:val="24"/>
          <w:highlight w:val="none"/>
        </w:rPr>
        <w:t>8、如果我方中标，我方将实行项目经理负责制，并按投标文件配备项目管理班子。如未经招标人同意更换项目班子成员，招标人有权取消我公司的中标资格或单方面终止合同，由此造成的违约责任由我公司承担。</w:t>
      </w:r>
    </w:p>
    <w:p>
      <w:pPr>
        <w:spacing w:line="360" w:lineRule="auto"/>
        <w:ind w:firstLine="480"/>
        <w:rPr>
          <w:rFonts w:ascii="宋体" w:hAnsi="宋体" w:cs="宋体"/>
          <w:color w:val="auto"/>
          <w:sz w:val="24"/>
          <w:szCs w:val="24"/>
          <w:highlight w:val="none"/>
        </w:rPr>
      </w:pPr>
      <w:r>
        <w:rPr>
          <w:rFonts w:ascii="宋体" w:hAnsi="宋体" w:cs="宋体"/>
          <w:b/>
          <w:bCs/>
          <w:color w:val="auto"/>
          <w:sz w:val="24"/>
          <w:szCs w:val="24"/>
          <w:highlight w:val="none"/>
        </w:rPr>
        <w:t>9、</w:t>
      </w:r>
      <w:r>
        <w:rPr>
          <w:rFonts w:hint="eastAsia" w:ascii="宋体" w:hAnsi="宋体" w:cs="宋体"/>
          <w:b/>
          <w:bCs/>
          <w:color w:val="auto"/>
          <w:kern w:val="0"/>
          <w:sz w:val="24"/>
          <w:szCs w:val="24"/>
          <w:highlight w:val="none"/>
        </w:rPr>
        <w:t>如我方中标</w:t>
      </w:r>
      <w:r>
        <w:rPr>
          <w:rFonts w:ascii="宋体" w:hAnsi="宋体" w:cs="宋体"/>
          <w:b/>
          <w:bCs/>
          <w:color w:val="auto"/>
          <w:kern w:val="0"/>
          <w:sz w:val="24"/>
          <w:szCs w:val="24"/>
          <w:highlight w:val="none"/>
        </w:rPr>
        <w:t>,我方承诺：须按《广州开发区财政投资建设项目管理中心施工类合同结算编审指引（试行）》及广州开发区有关规</w:t>
      </w:r>
      <w:r>
        <w:rPr>
          <w:rFonts w:hint="eastAsia" w:ascii="宋体" w:hAnsi="宋体" w:cs="宋体"/>
          <w:b/>
          <w:bCs/>
          <w:color w:val="auto"/>
          <w:kern w:val="0"/>
          <w:sz w:val="24"/>
          <w:szCs w:val="24"/>
          <w:highlight w:val="none"/>
        </w:rPr>
        <w:t>定编制及办理建设项目工程结算。本公司未按上述规定的期限和内容编制及办理建设项目工程结算，经建设业主或代建单位或监理人书面通知之日起</w:t>
      </w:r>
      <w:r>
        <w:rPr>
          <w:rFonts w:ascii="宋体" w:hAnsi="宋体" w:cs="宋体"/>
          <w:b/>
          <w:bCs/>
          <w:color w:val="auto"/>
          <w:kern w:val="0"/>
          <w:sz w:val="24"/>
          <w:szCs w:val="24"/>
          <w:highlight w:val="none"/>
        </w:rPr>
        <w:t>2个月内（最长期限不得超过6个月）仍未提交编制及办理建设项目工程结算的相关文件的，监理人和建设业主有权根据建设业主已有资料进行审核并报财政部门审定，财政部门审定的竣工结算合同总价视同是经我方认可的工程竣工结算合同总价。</w:t>
      </w:r>
    </w:p>
    <w:p>
      <w:pPr>
        <w:topLinePunct/>
        <w:adjustRightInd w:val="0"/>
        <w:snapToGrid w:val="0"/>
        <w:spacing w:line="360" w:lineRule="auto"/>
        <w:ind w:firstLine="691" w:firstLineChars="279"/>
        <w:rPr>
          <w:rFonts w:ascii="宋体" w:hAnsi="宋体" w:cs="宋体"/>
          <w:snapToGrid w:val="0"/>
          <w:color w:val="auto"/>
          <w:spacing w:val="4"/>
          <w:kern w:val="0"/>
          <w:sz w:val="24"/>
          <w:szCs w:val="24"/>
          <w:highlight w:val="none"/>
        </w:rPr>
      </w:pPr>
    </w:p>
    <w:p>
      <w:pPr>
        <w:topLinePunct/>
        <w:adjustRightInd w:val="0"/>
        <w:snapToGrid w:val="0"/>
        <w:spacing w:line="360" w:lineRule="auto"/>
        <w:ind w:firstLine="691" w:firstLineChars="279"/>
        <w:rPr>
          <w:rFonts w:ascii="宋体" w:hAnsi="宋体" w:cs="宋体"/>
          <w:snapToGrid w:val="0"/>
          <w:color w:val="auto"/>
          <w:spacing w:val="4"/>
          <w:kern w:val="0"/>
          <w:sz w:val="24"/>
          <w:szCs w:val="24"/>
          <w:highlight w:val="none"/>
        </w:rPr>
      </w:pPr>
    </w:p>
    <w:p>
      <w:pPr>
        <w:topLinePunct/>
        <w:adjustRightInd w:val="0"/>
        <w:snapToGrid w:val="0"/>
        <w:spacing w:line="360" w:lineRule="auto"/>
        <w:ind w:firstLine="691" w:firstLineChars="279"/>
        <w:rPr>
          <w:rFonts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投</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标</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人：</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（盖章）</w:t>
      </w:r>
    </w:p>
    <w:p>
      <w:pPr>
        <w:topLinePunct/>
        <w:adjustRightInd w:val="0"/>
        <w:snapToGrid w:val="0"/>
        <w:spacing w:line="360" w:lineRule="auto"/>
        <w:ind w:firstLine="691" w:firstLineChars="279"/>
        <w:rPr>
          <w:rFonts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法定代表人或授权代理人（签字或盖章）：</w:t>
      </w:r>
    </w:p>
    <w:p>
      <w:pPr>
        <w:spacing w:line="360" w:lineRule="auto"/>
        <w:ind w:firstLine="691" w:firstLineChars="279"/>
        <w:jc w:val="left"/>
        <w:rPr>
          <w:rFonts w:ascii="宋体" w:hAnsi="宋体" w:cs="宋体"/>
          <w:color w:val="auto"/>
          <w:sz w:val="24"/>
          <w:szCs w:val="20"/>
          <w:highlight w:val="none"/>
        </w:rPr>
      </w:pPr>
      <w:r>
        <w:rPr>
          <w:rFonts w:hint="eastAsia" w:ascii="宋体" w:hAnsi="宋体" w:cs="宋体"/>
          <w:snapToGrid w:val="0"/>
          <w:color w:val="auto"/>
          <w:spacing w:val="4"/>
          <w:kern w:val="0"/>
          <w:sz w:val="24"/>
          <w:szCs w:val="24"/>
          <w:highlight w:val="none"/>
        </w:rPr>
        <w:t>日</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期：</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年</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月</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日</w:t>
      </w:r>
    </w:p>
    <w:p>
      <w:pPr>
        <w:autoSpaceDN w:val="0"/>
        <w:jc w:val="center"/>
        <w:rPr>
          <w:rFonts w:ascii="宋体" w:hAnsi="宋体" w:cs="宋体"/>
          <w:color w:val="auto"/>
          <w:szCs w:val="20"/>
          <w:highlight w:val="none"/>
        </w:rPr>
      </w:pPr>
      <w:r>
        <w:rPr>
          <w:rFonts w:ascii="宋体" w:hAnsi="宋体" w:cs="宋体"/>
          <w:color w:val="auto"/>
          <w:szCs w:val="20"/>
          <w:highlight w:val="none"/>
        </w:rPr>
        <w:br w:type="page"/>
      </w:r>
    </w:p>
    <w:p>
      <w:pPr>
        <w:pStyle w:val="6"/>
        <w:rPr>
          <w:snapToGrid w:val="0"/>
          <w:color w:val="auto"/>
          <w:spacing w:val="4"/>
          <w:highlight w:val="none"/>
        </w:rPr>
      </w:pPr>
      <w:bookmarkStart w:id="191" w:name="_Toc32518"/>
      <w:bookmarkStart w:id="192" w:name="_Toc21214"/>
      <w:bookmarkStart w:id="193" w:name="_Toc60070623"/>
      <w:bookmarkStart w:id="194" w:name="_Toc18235"/>
      <w:bookmarkStart w:id="195" w:name="_Toc10082"/>
      <w:bookmarkStart w:id="196" w:name="_Toc112397831"/>
      <w:r>
        <w:rPr>
          <w:rFonts w:hint="eastAsia"/>
          <w:color w:val="auto"/>
          <w:highlight w:val="none"/>
        </w:rPr>
        <w:t>格式三：</w:t>
      </w:r>
      <w:bookmarkEnd w:id="191"/>
      <w:bookmarkEnd w:id="192"/>
      <w:bookmarkEnd w:id="193"/>
      <w:bookmarkEnd w:id="194"/>
      <w:bookmarkEnd w:id="195"/>
      <w:bookmarkEnd w:id="196"/>
    </w:p>
    <w:p>
      <w:pPr>
        <w:jc w:val="center"/>
        <w:rPr>
          <w:rFonts w:ascii="宋体" w:hAnsi="宋体"/>
          <w:b/>
          <w:color w:val="auto"/>
          <w:sz w:val="36"/>
          <w:szCs w:val="36"/>
          <w:highlight w:val="none"/>
        </w:rPr>
      </w:pPr>
      <w:r>
        <w:rPr>
          <w:rFonts w:hint="eastAsia" w:ascii="宋体" w:hAnsi="宋体"/>
          <w:b/>
          <w:color w:val="auto"/>
          <w:sz w:val="36"/>
          <w:szCs w:val="36"/>
          <w:highlight w:val="none"/>
        </w:rPr>
        <w:t>标函承诺书</w:t>
      </w:r>
    </w:p>
    <w:p>
      <w:pPr>
        <w:pStyle w:val="309"/>
        <w:spacing w:line="360" w:lineRule="auto"/>
        <w:ind w:left="339" w:leftChars="101" w:hanging="127" w:hangingChars="53"/>
        <w:jc w:val="left"/>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致：（招标人）</w:t>
      </w:r>
    </w:p>
    <w:p>
      <w:pPr>
        <w:pStyle w:val="309"/>
        <w:spacing w:after="0" w:line="360" w:lineRule="auto"/>
        <w:ind w:left="357" w:leftChars="170" w:firstLine="480" w:firstLineChars="200"/>
        <w:jc w:val="left"/>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如果在本招标工程中我司中标，我司将积极响应贵单位提出的合同条件及招标文件的要求，并做出如下承诺：</w:t>
      </w:r>
    </w:p>
    <w:p>
      <w:pPr>
        <w:pStyle w:val="309"/>
        <w:spacing w:after="0" w:line="360" w:lineRule="auto"/>
        <w:ind w:left="357" w:leftChars="170" w:firstLine="480" w:firstLineChars="200"/>
        <w:jc w:val="left"/>
        <w:rPr>
          <w:rFonts w:ascii="宋体" w:hAnsi="宋体" w:eastAsia="宋体" w:cs="宋体"/>
          <w:color w:val="auto"/>
          <w:sz w:val="24"/>
          <w:szCs w:val="24"/>
          <w:highlight w:val="none"/>
          <w:u w:val="single"/>
        </w:rPr>
      </w:pPr>
      <w:r>
        <w:rPr>
          <w:rFonts w:ascii="宋体" w:hAnsi="宋体" w:eastAsia="宋体" w:cs="宋体"/>
          <w:color w:val="auto"/>
          <w:sz w:val="24"/>
          <w:szCs w:val="24"/>
          <w:highlight w:val="none"/>
          <w:u w:val="single"/>
        </w:rPr>
        <w:t>1、若我公司中标，我公司承诺按时交纳履约保证金。</w:t>
      </w:r>
    </w:p>
    <w:p>
      <w:pPr>
        <w:pStyle w:val="309"/>
        <w:spacing w:after="156" w:afterLines="50" w:line="360" w:lineRule="auto"/>
        <w:ind w:left="357" w:leftChars="170" w:firstLine="480" w:firstLineChars="200"/>
        <w:jc w:val="left"/>
        <w:rPr>
          <w:rFonts w:ascii="宋体" w:hAnsi="宋体" w:eastAsia="宋体" w:cs="宋体"/>
          <w:color w:val="auto"/>
          <w:sz w:val="24"/>
          <w:szCs w:val="24"/>
          <w:highlight w:val="none"/>
          <w:u w:val="single"/>
        </w:rPr>
      </w:pPr>
      <w:r>
        <w:rPr>
          <w:rFonts w:ascii="宋体" w:hAnsi="宋体" w:eastAsia="宋体" w:cs="宋体"/>
          <w:color w:val="auto"/>
          <w:sz w:val="24"/>
          <w:szCs w:val="24"/>
          <w:highlight w:val="none"/>
          <w:u w:val="single"/>
        </w:rPr>
        <w:t>2、在本工程施工期间，拟投入的人力不少于下表中的人数</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0"/>
        <w:gridCol w:w="3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pStyle w:val="113"/>
              <w:spacing w:line="240" w:lineRule="auto"/>
              <w:ind w:left="357" w:leftChars="170" w:firstLine="420" w:firstLineChars="200"/>
              <w:rPr>
                <w:rFonts w:ascii="宋体" w:hAnsi="宋体" w:eastAsia="宋体" w:cs="宋体"/>
                <w:color w:val="auto"/>
                <w:kern w:val="2"/>
                <w:sz w:val="21"/>
                <w:szCs w:val="21"/>
                <w:highlight w:val="none"/>
                <w:u w:val="single"/>
              </w:rPr>
            </w:pPr>
            <w:r>
              <w:rPr>
                <w:rFonts w:hint="eastAsia" w:ascii="宋体" w:hAnsi="宋体" w:eastAsia="宋体" w:cs="宋体"/>
                <w:color w:val="auto"/>
                <w:kern w:val="2"/>
                <w:sz w:val="21"/>
                <w:szCs w:val="21"/>
                <w:highlight w:val="none"/>
                <w:u w:val="single"/>
              </w:rPr>
              <w:t>工种</w:t>
            </w:r>
          </w:p>
        </w:tc>
        <w:tc>
          <w:tcPr>
            <w:tcW w:w="3783"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r>
              <w:rPr>
                <w:rFonts w:hint="eastAsia" w:ascii="宋体" w:hAnsi="宋体" w:cs="宋体"/>
                <w:color w:val="auto"/>
                <w:szCs w:val="21"/>
                <w:highlight w:val="none"/>
                <w:u w:val="single"/>
              </w:rPr>
              <w:t>施工低峰期数量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r>
    </w:tbl>
    <w:p>
      <w:pPr>
        <w:spacing w:line="360" w:lineRule="auto"/>
        <w:ind w:left="420" w:leftChars="200"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3、在工程施工期间，拟投入的主要机械设备按投标文件所附的《拟投入本工程施工的主要机械设备配备表》</w:t>
      </w:r>
    </w:p>
    <w:p>
      <w:pPr>
        <w:spacing w:line="360" w:lineRule="auto"/>
        <w:ind w:left="420" w:leftChars="200"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4、所选用的主要材料品牌符合招标文件的要求。</w:t>
      </w:r>
    </w:p>
    <w:p>
      <w:pPr>
        <w:spacing w:line="360" w:lineRule="auto"/>
        <w:ind w:left="420" w:leftChars="200" w:firstLine="480" w:firstLineChars="200"/>
        <w:rPr>
          <w:rFonts w:hint="eastAsia" w:ascii="宋体" w:hAnsi="宋体" w:eastAsia="宋体" w:cs="宋体"/>
          <w:color w:val="auto"/>
          <w:sz w:val="24"/>
          <w:szCs w:val="24"/>
          <w:highlight w:val="none"/>
          <w:u w:val="single"/>
          <w:lang w:eastAsia="zh-CN"/>
        </w:rPr>
      </w:pPr>
      <w:r>
        <w:rPr>
          <w:rFonts w:ascii="宋体" w:hAnsi="宋体" w:cs="宋体"/>
          <w:color w:val="auto"/>
          <w:sz w:val="24"/>
          <w:szCs w:val="24"/>
          <w:highlight w:val="none"/>
          <w:u w:val="single"/>
        </w:rPr>
        <w:t>5、拟投入到本工程的主要技术人员、经济和管理人员如表：详见《施工项目管理团队人员信息表》</w:t>
      </w:r>
      <w:r>
        <w:rPr>
          <w:rFonts w:hint="eastAsia" w:ascii="宋体" w:hAnsi="宋体" w:cs="宋体"/>
          <w:color w:val="auto"/>
          <w:sz w:val="24"/>
          <w:szCs w:val="24"/>
          <w:highlight w:val="none"/>
          <w:u w:val="single"/>
          <w:lang w:eastAsia="zh-CN"/>
        </w:rPr>
        <w:t>。</w:t>
      </w:r>
      <w:r>
        <w:rPr>
          <w:rFonts w:hint="eastAsia" w:ascii="宋体" w:hAnsi="宋体" w:cs="宋体"/>
          <w:color w:val="auto"/>
          <w:sz w:val="24"/>
          <w:szCs w:val="24"/>
          <w:highlight w:val="none"/>
          <w:u w:val="single"/>
          <w:lang w:val="en-US" w:eastAsia="zh-CN"/>
        </w:rPr>
        <w:t>中标后，拟投入到本工程安全员人数不得低于住建部相关文件的最低要求。</w:t>
      </w:r>
    </w:p>
    <w:p>
      <w:pPr>
        <w:spacing w:line="360" w:lineRule="auto"/>
        <w:ind w:left="420" w:leftChars="200"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6、我公司保证拟派项目负责人符合《广州市住房和城乡建设局关于加强建筑工程项目负责人管理的通知》（穗建规字〔2020〕32号）文的要求，并将严格按照招标文件要求，自签订合同之日起至工程竣工验收将常驻现场，严格按照有关工程项目管理的要求进行项目管理，如果不能够按照此要求实施，我方自愿接受贵中心的处罚措施。</w:t>
      </w:r>
    </w:p>
    <w:p>
      <w:pPr>
        <w:spacing w:line="360" w:lineRule="auto"/>
        <w:ind w:left="420" w:leftChars="200"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7、本工程施工过程中，我司将严格按照国家、省、市有关施工及验收规范、标准进行施工，确保本工程质量</w:t>
      </w:r>
      <w:r>
        <w:rPr>
          <w:rFonts w:hint="eastAsia" w:ascii="宋体" w:hAnsi="宋体" w:cs="宋体"/>
          <w:b/>
          <w:color w:val="auto"/>
          <w:sz w:val="24"/>
          <w:szCs w:val="24"/>
          <w:highlight w:val="none"/>
          <w:u w:val="single"/>
        </w:rPr>
        <w:t>达到</w:t>
      </w:r>
      <w:r>
        <w:rPr>
          <w:rFonts w:ascii="宋体" w:hAnsi="宋体" w:cs="宋体"/>
          <w:b/>
          <w:color w:val="auto"/>
          <w:sz w:val="24"/>
          <w:szCs w:val="24"/>
          <w:highlight w:val="none"/>
          <w:u w:val="single"/>
        </w:rPr>
        <w:t xml:space="preserve">      </w:t>
      </w:r>
      <w:r>
        <w:rPr>
          <w:rFonts w:hint="eastAsia" w:ascii="宋体" w:hAnsi="宋体" w:cs="宋体"/>
          <w:color w:val="auto"/>
          <w:sz w:val="24"/>
          <w:szCs w:val="24"/>
          <w:highlight w:val="none"/>
          <w:u w:val="single"/>
        </w:rPr>
        <w:t>（要按本工程投标文件承诺的等级填写）等级。</w:t>
      </w:r>
    </w:p>
    <w:p>
      <w:pPr>
        <w:spacing w:line="360" w:lineRule="auto"/>
        <w:ind w:left="420" w:leftChars="200"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 xml:space="preserve">8、在确保工程质量的前提下，我司严格控制工程工期，确保工程      </w:t>
      </w:r>
      <w:r>
        <w:rPr>
          <w:rFonts w:hint="eastAsia" w:ascii="宋体" w:hAnsi="宋体" w:cs="宋体"/>
          <w:b/>
          <w:color w:val="auto"/>
          <w:sz w:val="24"/>
          <w:szCs w:val="24"/>
          <w:highlight w:val="none"/>
          <w:u w:val="single"/>
        </w:rPr>
        <w:t>在</w:t>
      </w:r>
      <w:r>
        <w:rPr>
          <w:rFonts w:ascii="宋体" w:hAnsi="宋体" w:cs="宋体"/>
          <w:b/>
          <w:color w:val="auto"/>
          <w:sz w:val="24"/>
          <w:szCs w:val="24"/>
          <w:highlight w:val="none"/>
          <w:u w:val="single"/>
        </w:rPr>
        <w:t xml:space="preserve">      </w:t>
      </w:r>
      <w:r>
        <w:rPr>
          <w:rFonts w:hint="eastAsia" w:ascii="宋体" w:hAnsi="宋体" w:cs="宋体"/>
          <w:b/>
          <w:color w:val="auto"/>
          <w:sz w:val="24"/>
          <w:szCs w:val="24"/>
          <w:highlight w:val="none"/>
          <w:u w:val="single"/>
        </w:rPr>
        <w:t>日历天</w:t>
      </w:r>
      <w:r>
        <w:rPr>
          <w:rFonts w:hint="eastAsia" w:ascii="宋体" w:hAnsi="宋体" w:cs="宋体"/>
          <w:color w:val="auto"/>
          <w:sz w:val="24"/>
          <w:szCs w:val="24"/>
          <w:highlight w:val="none"/>
          <w:u w:val="single"/>
        </w:rPr>
        <w:t>内完成。</w:t>
      </w:r>
    </w:p>
    <w:p>
      <w:pPr>
        <w:spacing w:line="360" w:lineRule="auto"/>
        <w:ind w:left="420" w:leftChars="200"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9、严格按照国家、省、市有关安全生产、文明施工要求，积极制定安全生产、文明施工措施，并严格执行，确保施工中符合安全生产、文明施工要求。在施工过程中,若发生重大伤亡事故，我方自愿接受贵中心的经济处罚：如发生死亡事故，死亡1人，支付20万元违约金；死亡2人，支付40万元违约金；死亡3人或以上，支付80万元违约金；如发生重伤事故，重伤1人，支付10万元违约金；重伤2人，支付20万元违约金；重伤3人或以上，支付40万元违约金。以上款项从工程款中扣除，扣除的款项均上缴国库。</w:t>
      </w:r>
    </w:p>
    <w:p>
      <w:pPr>
        <w:spacing w:line="360" w:lineRule="auto"/>
        <w:ind w:left="420" w:leftChars="200"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10、按照发包人、监理工程师的要求及时为各专业工程（电信、电力管线、电力走廊、煤气、道路绿化、路灯、交通设施等）提供工作面，并为专业工程穿插施工所需各项配合工作给予方便。</w:t>
      </w:r>
    </w:p>
    <w:p>
      <w:pPr>
        <w:spacing w:line="360" w:lineRule="auto"/>
        <w:ind w:left="420" w:leftChars="200"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11、将按照招标过程中确定的范围，除了下表所列专业工程外，其余全部工程由我司自行施工。对工程分包，我司承诺按照招标文件的要求和有关规定履行总包单位的职责，在中标后提供分包单位的资质证明材料（如有必须分包的专业工程，请填入下表）。</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7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85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u w:val="none"/>
              </w:rPr>
            </w:pPr>
            <w:r>
              <w:rPr>
                <w:rFonts w:hint="eastAsia" w:ascii="宋体" w:hAnsi="宋体" w:cs="宋体"/>
                <w:color w:val="auto"/>
                <w:sz w:val="24"/>
                <w:szCs w:val="24"/>
                <w:highlight w:val="none"/>
                <w:u w:val="none"/>
              </w:rPr>
              <w:t>必须分包的专业工程内容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u w:val="none"/>
              </w:rPr>
            </w:pPr>
            <w:r>
              <w:rPr>
                <w:rFonts w:hint="eastAsia" w:ascii="宋体" w:hAnsi="宋体" w:cs="宋体"/>
                <w:color w:val="auto"/>
                <w:sz w:val="24"/>
                <w:szCs w:val="24"/>
                <w:highlight w:val="none"/>
                <w:u w:val="none"/>
              </w:rPr>
              <w:t>序号</w:t>
            </w:r>
          </w:p>
        </w:tc>
        <w:tc>
          <w:tcPr>
            <w:tcW w:w="75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u w:val="none"/>
              </w:rPr>
            </w:pPr>
            <w:r>
              <w:rPr>
                <w:rFonts w:hint="eastAsia" w:ascii="宋体" w:hAnsi="宋体" w:cs="宋体"/>
                <w:color w:val="auto"/>
                <w:sz w:val="24"/>
                <w:szCs w:val="24"/>
                <w:highlight w:val="none"/>
                <w:u w:val="none"/>
              </w:rPr>
              <w:t>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u w:val="single"/>
              </w:rPr>
            </w:pPr>
          </w:p>
        </w:tc>
        <w:tc>
          <w:tcPr>
            <w:tcW w:w="75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u w:val="single"/>
              </w:rPr>
            </w:pPr>
          </w:p>
        </w:tc>
        <w:tc>
          <w:tcPr>
            <w:tcW w:w="75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u w:val="single"/>
              </w:rPr>
            </w:pPr>
          </w:p>
        </w:tc>
        <w:tc>
          <w:tcPr>
            <w:tcW w:w="75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u w:val="single"/>
              </w:rPr>
            </w:pPr>
          </w:p>
        </w:tc>
      </w:tr>
    </w:tbl>
    <w:p>
      <w:pPr>
        <w:tabs>
          <w:tab w:val="left" w:pos="645"/>
          <w:tab w:val="left" w:pos="930"/>
        </w:tabs>
        <w:spacing w:line="360" w:lineRule="auto"/>
        <w:ind w:left="420" w:leftChars="200" w:firstLine="480" w:firstLineChars="200"/>
        <w:rPr>
          <w:rFonts w:ascii="宋体" w:hAnsi="宋体" w:cs="宋体"/>
          <w:bCs/>
          <w:color w:val="auto"/>
          <w:sz w:val="24"/>
          <w:szCs w:val="24"/>
          <w:highlight w:val="none"/>
          <w:u w:val="single"/>
        </w:rPr>
      </w:pPr>
      <w:r>
        <w:rPr>
          <w:rFonts w:ascii="宋体" w:hAnsi="宋体"/>
          <w:color w:val="auto"/>
          <w:sz w:val="24"/>
          <w:szCs w:val="24"/>
          <w:highlight w:val="none"/>
          <w:u w:val="single"/>
        </w:rPr>
        <w:t xml:space="preserve">12、我司保证在中标后，严格按照 </w:t>
      </w:r>
      <w:r>
        <w:rPr>
          <w:rFonts w:hint="eastAsia" w:ascii="宋体" w:hAnsi="宋体"/>
          <w:color w:val="auto"/>
          <w:sz w:val="24"/>
          <w:szCs w:val="24"/>
          <w:highlight w:val="none"/>
          <w:u w:val="single"/>
        </w:rPr>
        <w:t>《广州市住房和城乡建设局关于印发广州市建筑施工实名制管理办法的通知》（穗建规字</w:t>
      </w:r>
      <w:r>
        <w:rPr>
          <w:rFonts w:ascii="宋体" w:hAnsi="宋体"/>
          <w:color w:val="auto"/>
          <w:sz w:val="24"/>
          <w:szCs w:val="24"/>
          <w:highlight w:val="none"/>
          <w:u w:val="single"/>
        </w:rPr>
        <w:t>[2020]18号）、《关于印发广州市建设领域工人工资支付分账管理实施细则的通知》（穗建规字[2020]37号）等最新规定及广州市黄埔区、开发区对应出台的相关文件规定办理建筑工地实名制管理和工人工资支付分账管理事宜；加强对我司承包范围（含其专业分包、劳务分包范围）工人工资支付的管理，并对我司及其分包单位工人工资支付负总责，防止出现拖欠工人工资情况。若因违法转包、分包工程的或其他承包人原因导致相应工程出现拖欠工人工资情况的，我司</w:t>
      </w:r>
      <w:r>
        <w:rPr>
          <w:rFonts w:hint="eastAsia" w:ascii="宋体" w:hAnsi="宋体"/>
          <w:color w:val="auto"/>
          <w:sz w:val="24"/>
          <w:szCs w:val="24"/>
          <w:highlight w:val="none"/>
          <w:u w:val="single"/>
        </w:rPr>
        <w:t>将对拖欠工人工资承担清偿责任，对此引起的纠纷负全责，造成发包人损失（包括但不限于发包人因此而支付的赔偿款、律师费、诉讼费、保全费、公证费、鉴定费等）的，我司将承担全部责任。</w:t>
      </w:r>
    </w:p>
    <w:p>
      <w:pPr>
        <w:tabs>
          <w:tab w:val="left" w:pos="315"/>
        </w:tabs>
        <w:spacing w:line="360" w:lineRule="auto"/>
        <w:ind w:left="420" w:leftChars="200"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13、我司保证在中标后，根据工程特点，编制本工程详细的施工组织设计和施工方案，并报监理和发包人审核批准，并严格按审批的意见和要求组织施工。</w:t>
      </w:r>
    </w:p>
    <w:p>
      <w:pPr>
        <w:spacing w:line="360" w:lineRule="auto"/>
        <w:ind w:left="420" w:leftChars="200"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14、我司承诺积极响应并接受招标文件中合同专用专款关于合同价款的调整办法。</w:t>
      </w:r>
    </w:p>
    <w:p>
      <w:pPr>
        <w:pStyle w:val="296"/>
        <w:spacing w:line="360" w:lineRule="auto"/>
        <w:ind w:left="420" w:leftChars="200" w:firstLine="480" w:firstLineChars="200"/>
        <w:rPr>
          <w:rFonts w:ascii="宋体" w:hAnsi="宋体"/>
          <w:color w:val="auto"/>
          <w:sz w:val="24"/>
          <w:szCs w:val="24"/>
          <w:highlight w:val="none"/>
          <w:u w:val="single"/>
        </w:rPr>
      </w:pPr>
      <w:r>
        <w:rPr>
          <w:rFonts w:ascii="宋体" w:hAnsi="宋体"/>
          <w:color w:val="auto"/>
          <w:sz w:val="24"/>
          <w:szCs w:val="24"/>
          <w:highlight w:val="none"/>
          <w:u w:val="single"/>
        </w:rPr>
        <w:t>15、我司保证在中标后，施工现场严格按照《广州市建设工程文明施工管理规定》（广州市人民政府令第62号</w:t>
      </w:r>
      <w:r>
        <w:rPr>
          <w:rFonts w:hint="eastAsia" w:ascii="宋体" w:hAnsi="宋体"/>
          <w:color w:val="auto"/>
          <w:sz w:val="24"/>
          <w:szCs w:val="24"/>
          <w:highlight w:val="none"/>
          <w:u w:val="single"/>
        </w:rPr>
        <w:t>、第158号</w:t>
      </w:r>
      <w:r>
        <w:rPr>
          <w:rFonts w:ascii="宋体" w:hAnsi="宋体"/>
          <w:color w:val="auto"/>
          <w:sz w:val="24"/>
          <w:szCs w:val="24"/>
          <w:highlight w:val="none"/>
          <w:u w:val="single"/>
        </w:rPr>
        <w:t xml:space="preserve">）、《广州市建设工程现场文明施工管理办法》（穗建质〔2008〕937号）、《关于进一步加强我区建设工地文明施工管理的通知》（穗开规建〔2006〕74号）、《广州市住房和城乡建设委员会关于印发建设工程扬尘防治“6个100%”管理标准细化措施的通知》（穗建质〔2018〕1394号）及其他相关规定实施，施工围蔽严格按照、《关于进一步规范建设工程施工现场围蔽的通知》（穗建质〔2018〕1008号）、《广州市建设工程绿色施工围蔽指导图集（V2.0版）的通知》(穂建质〔2020〕1号)、《关于进一步落实我区市政建设项目施工围蔽提升工作的通知》（穗埔建[2019]123号）及《黄埔区住房和城乡建设局 </w:t>
      </w:r>
      <w:r>
        <w:rPr>
          <w:rFonts w:hint="eastAsia" w:ascii="宋体" w:hAnsi="宋体"/>
          <w:color w:val="auto"/>
          <w:sz w:val="24"/>
          <w:szCs w:val="24"/>
          <w:highlight w:val="none"/>
          <w:u w:val="single"/>
        </w:rPr>
        <w:t>广州开发区建设和交通局关于进一步规范全区建设工程施工围蔽标准的通知》（穗埔建﹝</w:t>
      </w:r>
      <w:r>
        <w:rPr>
          <w:rFonts w:ascii="宋体" w:hAnsi="宋体"/>
          <w:color w:val="auto"/>
          <w:sz w:val="24"/>
          <w:szCs w:val="24"/>
          <w:highlight w:val="none"/>
          <w:u w:val="single"/>
        </w:rPr>
        <w:t>2020﹞183号）实施。以上文件要求不一致的，以后发布文件为准，若相关部门发布有关施工围蔽新文件规定的，按新规定执行。我司随时接受监理、业主、安监机构等相关部门监督和检查，对在检查中发现不符合绿色施工、安全文明施工要求的，无条件进行整改。如不及时按要求整改，发包人有权不支付绿色施工安全防护措施费，或另行委托单位实施，所发生的费用在本工程绿色施工安全防护措施费中扣除，如不足抵扣可在本工程承包工程款中扣除，同时我司接受发包人根据实际情况对我司作出的其他处罚措施。发包人可将情况上报建设行政主管部门，视情况追究我司有关责任，可对我司或项目责任人作不良行为记录。</w:t>
      </w:r>
    </w:p>
    <w:p>
      <w:pPr>
        <w:pStyle w:val="309"/>
        <w:spacing w:line="360" w:lineRule="auto"/>
        <w:ind w:left="0" w:leftChars="0" w:firstLine="4" w:firstLineChars="2"/>
        <w:jc w:val="right"/>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投标单位：（公章）</w:t>
      </w:r>
    </w:p>
    <w:p>
      <w:pPr>
        <w:pStyle w:val="309"/>
        <w:spacing w:line="360" w:lineRule="auto"/>
        <w:ind w:left="0" w:leftChars="0" w:firstLine="4" w:firstLineChars="2"/>
        <w:jc w:val="right"/>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法人代表：（签字或盖章）</w:t>
      </w:r>
    </w:p>
    <w:p>
      <w:pPr>
        <w:pStyle w:val="309"/>
        <w:spacing w:line="360" w:lineRule="auto"/>
        <w:ind w:left="0" w:leftChars="0" w:firstLine="4" w:firstLineChars="2"/>
        <w:jc w:val="right"/>
        <w:rPr>
          <w:rFonts w:ascii="宋体" w:hAnsi="宋体" w:eastAsia="宋体" w:cs="宋体"/>
          <w:color w:val="auto"/>
          <w:sz w:val="24"/>
          <w:szCs w:val="24"/>
          <w:highlight w:val="none"/>
          <w:u w:val="single"/>
        </w:rPr>
      </w:pPr>
      <w:r>
        <w:rPr>
          <w:rFonts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ascii="宋体" w:hAnsi="宋体" w:eastAsia="宋体" w:cs="宋体"/>
          <w:color w:val="auto"/>
          <w:sz w:val="24"/>
          <w:szCs w:val="24"/>
          <w:highlight w:val="none"/>
          <w:u w:val="single"/>
        </w:rPr>
        <w:t xml:space="preserve"> 年  月  日</w:t>
      </w:r>
    </w:p>
    <w:p>
      <w:pPr>
        <w:tabs>
          <w:tab w:val="left" w:pos="720"/>
        </w:tabs>
        <w:snapToGrid w:val="0"/>
        <w:spacing w:line="360" w:lineRule="auto"/>
        <w:rPr>
          <w:rFonts w:hint="eastAsia" w:ascii="宋体" w:hAnsi="宋体" w:cs="宋体"/>
          <w:color w:val="auto"/>
          <w:sz w:val="24"/>
          <w:szCs w:val="24"/>
          <w:highlight w:val="none"/>
          <w:u w:val="single"/>
        </w:rPr>
      </w:pPr>
    </w:p>
    <w:p>
      <w:pPr>
        <w:tabs>
          <w:tab w:val="left" w:pos="720"/>
        </w:tabs>
        <w:snapToGrid w:val="0"/>
        <w:spacing w:line="360" w:lineRule="auto"/>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注：标函承诺书作为投标文件的“实质性响应”文件，投标人应如实填写，中标后必须按填报内容如期实施，否则按“弄虚作假骗取中标”处理。中标后，工程的监理单位将经常核验投标人是否按填报内容实施，行政管理机构也将随时抽查。</w:t>
      </w:r>
    </w:p>
    <w:p>
      <w:pPr>
        <w:pStyle w:val="6"/>
        <w:rPr>
          <w:color w:val="auto"/>
          <w:highlight w:val="none"/>
        </w:rPr>
      </w:pPr>
      <w:r>
        <w:rPr>
          <w:color w:val="auto"/>
          <w:highlight w:val="none"/>
        </w:rPr>
        <w:br w:type="page"/>
      </w:r>
      <w:bookmarkStart w:id="197" w:name="_Toc12877"/>
      <w:bookmarkStart w:id="198" w:name="_Toc112397832"/>
      <w:bookmarkStart w:id="199" w:name="_Toc29333"/>
      <w:bookmarkStart w:id="200" w:name="_Toc25559"/>
      <w:bookmarkStart w:id="201" w:name="_Toc60070624"/>
      <w:bookmarkStart w:id="202" w:name="_Toc9762"/>
      <w:r>
        <w:rPr>
          <w:rFonts w:hint="eastAsia"/>
          <w:color w:val="auto"/>
          <w:highlight w:val="none"/>
        </w:rPr>
        <w:t>格式四</w:t>
      </w:r>
      <w:r>
        <w:rPr>
          <w:rFonts w:hint="eastAsia"/>
          <w:snapToGrid w:val="0"/>
          <w:color w:val="auto"/>
          <w:spacing w:val="4"/>
          <w:highlight w:val="none"/>
        </w:rPr>
        <w:t>：</w:t>
      </w:r>
      <w:bookmarkEnd w:id="197"/>
      <w:bookmarkEnd w:id="198"/>
      <w:bookmarkEnd w:id="199"/>
      <w:bookmarkEnd w:id="200"/>
      <w:bookmarkEnd w:id="201"/>
      <w:bookmarkEnd w:id="202"/>
    </w:p>
    <w:p>
      <w:pPr>
        <w:jc w:val="center"/>
        <w:rPr>
          <w:rFonts w:ascii="宋体" w:hAnsi="宋体"/>
          <w:b/>
          <w:color w:val="auto"/>
          <w:sz w:val="36"/>
          <w:szCs w:val="36"/>
          <w:highlight w:val="none"/>
        </w:rPr>
      </w:pPr>
      <w:r>
        <w:rPr>
          <w:rFonts w:hint="eastAsia" w:ascii="宋体" w:hAnsi="宋体"/>
          <w:b/>
          <w:color w:val="auto"/>
          <w:sz w:val="36"/>
          <w:szCs w:val="36"/>
          <w:highlight w:val="none"/>
        </w:rPr>
        <w:t>项目负责人驻场承诺书</w:t>
      </w:r>
    </w:p>
    <w:p>
      <w:pPr>
        <w:pStyle w:val="47"/>
        <w:spacing w:after="0" w:line="336" w:lineRule="auto"/>
        <w:ind w:left="-2" w:leftChars="-1" w:firstLineChars="175"/>
        <w:jc w:val="center"/>
        <w:rPr>
          <w:rFonts w:ascii="宋体" w:hAnsi="宋体" w:cs="宋体"/>
          <w:color w:val="auto"/>
          <w:sz w:val="24"/>
          <w:szCs w:val="24"/>
          <w:highlight w:val="none"/>
          <w:u w:val="single"/>
        </w:rPr>
      </w:pPr>
    </w:p>
    <w:p>
      <w:pPr>
        <w:spacing w:line="336" w:lineRule="auto"/>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致（业主</w:t>
      </w:r>
      <w:r>
        <w:rPr>
          <w:rFonts w:ascii="宋体" w:hAnsi="宋体" w:cs="宋体"/>
          <w:color w:val="auto"/>
          <w:sz w:val="24"/>
          <w:szCs w:val="24"/>
          <w:highlight w:val="none"/>
          <w:u w:val="single"/>
        </w:rPr>
        <w:t xml:space="preserve">/监理）                                           </w:t>
      </w:r>
      <w:r>
        <w:rPr>
          <w:rFonts w:hint="eastAsia" w:ascii="宋体" w:hAnsi="宋体" w:cs="宋体"/>
          <w:color w:val="auto"/>
          <w:sz w:val="24"/>
          <w:szCs w:val="24"/>
          <w:highlight w:val="none"/>
          <w:u w:val="single"/>
        </w:rPr>
        <w:t>：</w:t>
      </w:r>
    </w:p>
    <w:p>
      <w:pPr>
        <w:spacing w:line="336" w:lineRule="auto"/>
        <w:rPr>
          <w:rFonts w:ascii="宋体" w:hAnsi="宋体" w:cs="宋体"/>
          <w:color w:val="auto"/>
          <w:sz w:val="24"/>
          <w:szCs w:val="24"/>
          <w:highlight w:val="none"/>
          <w:u w:val="single"/>
        </w:rPr>
      </w:pPr>
    </w:p>
    <w:p>
      <w:pPr>
        <w:spacing w:line="336" w:lineRule="auto"/>
        <w:ind w:firstLine="523" w:firstLineChars="218"/>
        <w:jc w:val="left"/>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本人（姓名）</w:t>
      </w:r>
      <w:r>
        <w:rPr>
          <w:rFonts w:ascii="宋体" w:hAnsi="宋体" w:cs="宋体"/>
          <w:color w:val="auto"/>
          <w:sz w:val="24"/>
          <w:szCs w:val="24"/>
          <w:highlight w:val="none"/>
          <w:u w:val="single"/>
        </w:rPr>
        <w:t xml:space="preserve">              ，项目负责人证书注册编号：                       </w:t>
      </w:r>
    </w:p>
    <w:p>
      <w:pPr>
        <w:spacing w:line="336" w:lineRule="auto"/>
        <w:ind w:left="1"/>
        <w:jc w:val="left"/>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受（投标人）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委派，拟在（项目名称）</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担任项目负责人一职。为加强本工程项目管理，保证我公司在中标后严格履行与业主签定的工程建设承包合同，圆满的完成本项工程，我愿就此做出以下承诺；</w:t>
      </w:r>
    </w:p>
    <w:p>
      <w:pPr>
        <w:spacing w:line="336" w:lineRule="auto"/>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1．本人作为公司选派的本项目的项目负责人，我保证自即日起至项目竣工并通过验收之日止，自始至终全过程常驻工地现场，代表我公司全面负责本工程现场组织，指挥，管理，协调等工作。并承诺在本项目完成后的合同责任保修期内，根据项目实际保修工作需要也能随时到场负责指挥，安排应做的保修工作。</w:t>
      </w:r>
    </w:p>
    <w:p>
      <w:pPr>
        <w:spacing w:line="336" w:lineRule="auto"/>
        <w:ind w:firstLine="480" w:firstLineChars="200"/>
        <w:rPr>
          <w:rFonts w:hint="eastAsia" w:ascii="宋体" w:hAnsi="宋体" w:cs="宋体"/>
          <w:color w:val="auto"/>
          <w:sz w:val="24"/>
          <w:szCs w:val="24"/>
          <w:highlight w:val="none"/>
          <w:u w:val="single"/>
        </w:rPr>
      </w:pPr>
      <w:r>
        <w:rPr>
          <w:rFonts w:ascii="宋体" w:hAnsi="宋体" w:cs="宋体"/>
          <w:color w:val="auto"/>
          <w:sz w:val="24"/>
          <w:szCs w:val="24"/>
          <w:highlight w:val="none"/>
          <w:u w:val="single"/>
        </w:rPr>
        <w:t>2．如果本招标工程我公司中标，我本人保证在工程签订合同之日起至工程竣工验收完成期间只担任此工程的项目经理，不参加其他任何工程的登记和任何工作，不在其他任何工程担任</w:t>
      </w:r>
      <w:r>
        <w:rPr>
          <w:rFonts w:hint="eastAsia" w:ascii="宋体" w:hAnsi="宋体" w:cs="宋体"/>
          <w:color w:val="auto"/>
          <w:sz w:val="24"/>
          <w:szCs w:val="24"/>
          <w:highlight w:val="none"/>
          <w:u w:val="single"/>
        </w:rPr>
        <w:t>本职务。</w:t>
      </w:r>
    </w:p>
    <w:p>
      <w:pPr>
        <w:spacing w:line="336" w:lineRule="auto"/>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3．除非征得业主的书面批准，否则如果违背以上承诺，不能常驻施工现场，我自愿接受业主给予我本人的批评和处罚，并同意业主就此作为我个人的不良纪录进一步上报区行业主管部门，项目负责人证书注册、备案、审批机构，直至广州市建设管理等有关部门并接受上述部门给予的通报和相关职能部门给予的扣证等处罚。</w:t>
      </w:r>
    </w:p>
    <w:p>
      <w:pPr>
        <w:spacing w:line="336" w:lineRule="auto"/>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u w:val="single"/>
        </w:rPr>
        <w:t>4．项目负责人本人身份证</w:t>
      </w:r>
      <w:r>
        <w:rPr>
          <w:rFonts w:hint="eastAsia" w:ascii="宋体" w:hAnsi="宋体" w:cs="宋体"/>
          <w:color w:val="auto"/>
          <w:sz w:val="24"/>
          <w:szCs w:val="24"/>
          <w:highlight w:val="none"/>
          <w:u w:val="single"/>
          <w:lang w:eastAsia="zh-CN"/>
        </w:rPr>
        <w:t>扫描</w:t>
      </w:r>
      <w:r>
        <w:rPr>
          <w:rFonts w:ascii="宋体" w:hAnsi="宋体" w:cs="宋体"/>
          <w:color w:val="auto"/>
          <w:sz w:val="24"/>
          <w:szCs w:val="24"/>
          <w:highlight w:val="none"/>
          <w:u w:val="single"/>
        </w:rPr>
        <w:t>件和相片：</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3"/>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6043" w:type="dxa"/>
            <w:tcBorders>
              <w:top w:val="single" w:color="auto" w:sz="4" w:space="0"/>
              <w:left w:val="single" w:color="auto" w:sz="4" w:space="0"/>
              <w:bottom w:val="single" w:color="auto" w:sz="4" w:space="0"/>
              <w:right w:val="single" w:color="auto" w:sz="4" w:space="0"/>
            </w:tcBorders>
          </w:tcPr>
          <w:p>
            <w:pPr>
              <w:spacing w:line="336" w:lineRule="auto"/>
              <w:jc w:val="center"/>
              <w:rPr>
                <w:rFonts w:ascii="宋体" w:hAnsi="宋体" w:cs="宋体"/>
                <w:color w:val="auto"/>
                <w:szCs w:val="21"/>
                <w:highlight w:val="none"/>
                <w:u w:val="single"/>
              </w:rPr>
            </w:pPr>
          </w:p>
          <w:p>
            <w:pPr>
              <w:spacing w:line="336" w:lineRule="auto"/>
              <w:jc w:val="center"/>
              <w:rPr>
                <w:rFonts w:ascii="宋体" w:hAnsi="宋体" w:cs="宋体"/>
                <w:color w:val="auto"/>
                <w:szCs w:val="21"/>
                <w:highlight w:val="none"/>
                <w:u w:val="single"/>
              </w:rPr>
            </w:pPr>
          </w:p>
          <w:p>
            <w:pPr>
              <w:spacing w:line="336" w:lineRule="auto"/>
              <w:jc w:val="center"/>
              <w:rPr>
                <w:rFonts w:ascii="宋体" w:hAnsi="宋体" w:cs="宋体"/>
                <w:color w:val="auto"/>
                <w:szCs w:val="21"/>
                <w:highlight w:val="none"/>
                <w:u w:val="single"/>
              </w:rPr>
            </w:pPr>
          </w:p>
          <w:p>
            <w:pPr>
              <w:spacing w:line="336" w:lineRule="auto"/>
              <w:jc w:val="center"/>
              <w:rPr>
                <w:rFonts w:ascii="宋体" w:hAnsi="宋体" w:cs="宋体"/>
                <w:color w:val="auto"/>
                <w:szCs w:val="21"/>
                <w:highlight w:val="none"/>
                <w:u w:val="single"/>
              </w:rPr>
            </w:pPr>
            <w:r>
              <w:rPr>
                <w:rFonts w:hint="eastAsia" w:ascii="宋体" w:hAnsi="宋体" w:cs="宋体"/>
                <w:color w:val="auto"/>
                <w:szCs w:val="21"/>
                <w:highlight w:val="none"/>
                <w:u w:val="single"/>
              </w:rPr>
              <w:t>身份证</w:t>
            </w:r>
            <w:r>
              <w:rPr>
                <w:rFonts w:hint="eastAsia" w:ascii="宋体" w:hAnsi="宋体" w:cs="宋体"/>
                <w:color w:val="auto"/>
                <w:szCs w:val="21"/>
                <w:highlight w:val="none"/>
                <w:u w:val="single"/>
                <w:lang w:eastAsia="zh-CN"/>
              </w:rPr>
              <w:t>扫描</w:t>
            </w:r>
            <w:r>
              <w:rPr>
                <w:rFonts w:hint="eastAsia" w:ascii="宋体" w:hAnsi="宋体" w:cs="宋体"/>
                <w:color w:val="auto"/>
                <w:szCs w:val="21"/>
                <w:highlight w:val="none"/>
                <w:u w:val="single"/>
              </w:rPr>
              <w:t>件</w:t>
            </w:r>
          </w:p>
        </w:tc>
        <w:tc>
          <w:tcPr>
            <w:tcW w:w="2492" w:type="dxa"/>
            <w:tcBorders>
              <w:top w:val="single" w:color="auto" w:sz="4" w:space="0"/>
              <w:left w:val="single" w:color="auto" w:sz="4" w:space="0"/>
              <w:bottom w:val="single" w:color="auto" w:sz="4" w:space="0"/>
              <w:right w:val="single" w:color="auto" w:sz="4" w:space="0"/>
            </w:tcBorders>
          </w:tcPr>
          <w:p>
            <w:pPr>
              <w:spacing w:line="336" w:lineRule="auto"/>
              <w:jc w:val="center"/>
              <w:rPr>
                <w:rFonts w:ascii="宋体" w:hAnsi="宋体" w:cs="宋体"/>
                <w:color w:val="auto"/>
                <w:szCs w:val="21"/>
                <w:highlight w:val="none"/>
                <w:u w:val="single"/>
              </w:rPr>
            </w:pPr>
          </w:p>
          <w:p>
            <w:pPr>
              <w:spacing w:line="336" w:lineRule="auto"/>
              <w:jc w:val="center"/>
              <w:rPr>
                <w:rFonts w:ascii="宋体" w:hAnsi="宋体" w:cs="宋体"/>
                <w:color w:val="auto"/>
                <w:szCs w:val="21"/>
                <w:highlight w:val="none"/>
                <w:u w:val="single"/>
              </w:rPr>
            </w:pPr>
          </w:p>
          <w:p>
            <w:pPr>
              <w:spacing w:line="336" w:lineRule="auto"/>
              <w:jc w:val="center"/>
              <w:rPr>
                <w:rFonts w:ascii="宋体" w:hAnsi="宋体" w:cs="宋体"/>
                <w:color w:val="auto"/>
                <w:szCs w:val="21"/>
                <w:highlight w:val="none"/>
                <w:u w:val="single"/>
              </w:rPr>
            </w:pPr>
          </w:p>
          <w:p>
            <w:pPr>
              <w:spacing w:line="336" w:lineRule="auto"/>
              <w:jc w:val="center"/>
              <w:rPr>
                <w:rFonts w:ascii="宋体" w:hAnsi="宋体" w:cs="宋体"/>
                <w:b/>
                <w:bCs/>
                <w:color w:val="auto"/>
                <w:szCs w:val="21"/>
                <w:highlight w:val="none"/>
                <w:u w:val="single"/>
              </w:rPr>
            </w:pPr>
            <w:r>
              <w:rPr>
                <w:rFonts w:hint="eastAsia" w:ascii="宋体" w:hAnsi="宋体" w:cs="宋体"/>
                <w:color w:val="auto"/>
                <w:szCs w:val="21"/>
                <w:highlight w:val="none"/>
                <w:u w:val="single"/>
              </w:rPr>
              <w:t>相片</w:t>
            </w:r>
            <w:r>
              <w:rPr>
                <w:rFonts w:hint="eastAsia" w:ascii="宋体" w:hAnsi="宋体" w:cs="宋体"/>
                <w:color w:val="auto"/>
                <w:szCs w:val="21"/>
                <w:highlight w:val="none"/>
                <w:u w:val="single"/>
                <w:lang w:eastAsia="zh-CN"/>
              </w:rPr>
              <w:t>扫描</w:t>
            </w:r>
            <w:r>
              <w:rPr>
                <w:rFonts w:hint="eastAsia" w:ascii="宋体" w:hAnsi="宋体" w:cs="宋体"/>
                <w:color w:val="auto"/>
                <w:szCs w:val="21"/>
                <w:highlight w:val="none"/>
                <w:u w:val="single"/>
              </w:rPr>
              <w:t>件</w:t>
            </w:r>
          </w:p>
        </w:tc>
      </w:tr>
    </w:tbl>
    <w:p>
      <w:pPr>
        <w:spacing w:line="336" w:lineRule="auto"/>
        <w:ind w:firstLine="3840" w:firstLineChars="1600"/>
        <w:jc w:val="right"/>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投标人：（盖章）</w:t>
      </w:r>
    </w:p>
    <w:p>
      <w:pPr>
        <w:spacing w:line="336" w:lineRule="auto"/>
        <w:ind w:firstLine="3840" w:firstLineChars="1600"/>
        <w:jc w:val="right"/>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项目负责人：（签字）</w:t>
      </w:r>
    </w:p>
    <w:p>
      <w:pPr>
        <w:tabs>
          <w:tab w:val="left" w:pos="720"/>
        </w:tabs>
        <w:snapToGrid w:val="0"/>
        <w:spacing w:line="336" w:lineRule="auto"/>
        <w:jc w:val="right"/>
        <w:rPr>
          <w:rFonts w:ascii="宋体" w:hAnsi="宋体" w:cs="宋体"/>
          <w:color w:val="auto"/>
          <w:sz w:val="24"/>
          <w:szCs w:val="24"/>
          <w:highlight w:val="none"/>
          <w:u w:val="single"/>
        </w:rPr>
      </w:pPr>
      <w:r>
        <w:rPr>
          <w:rFonts w:ascii="宋体" w:hAnsi="宋体" w:cs="宋体"/>
          <w:color w:val="auto"/>
          <w:sz w:val="24"/>
          <w:szCs w:val="24"/>
          <w:highlight w:val="none"/>
          <w:u w:val="single"/>
        </w:rPr>
        <w:t xml:space="preserve">     年   月    日</w:t>
      </w:r>
    </w:p>
    <w:p>
      <w:pPr>
        <w:pStyle w:val="25"/>
        <w:rPr>
          <w:rFonts w:hAnsi="宋体" w:cs="宋体"/>
          <w:color w:val="auto"/>
          <w:kern w:val="0"/>
          <w:sz w:val="27"/>
          <w:szCs w:val="27"/>
          <w:highlight w:val="none"/>
        </w:rPr>
      </w:pPr>
      <w:bookmarkStart w:id="203" w:name="_Toc60070625"/>
      <w:r>
        <w:rPr>
          <w:rFonts w:hAnsi="宋体"/>
          <w:color w:val="auto"/>
          <w:highlight w:val="none"/>
        </w:rPr>
        <w:br w:type="page"/>
      </w:r>
    </w:p>
    <w:p>
      <w:pPr>
        <w:pStyle w:val="6"/>
        <w:rPr>
          <w:color w:val="auto"/>
          <w:highlight w:val="none"/>
        </w:rPr>
      </w:pPr>
      <w:bookmarkStart w:id="204" w:name="_Toc112397833"/>
      <w:bookmarkStart w:id="205" w:name="_Toc31628"/>
      <w:bookmarkStart w:id="206" w:name="_Toc23755"/>
      <w:bookmarkStart w:id="207" w:name="_Toc5390"/>
      <w:bookmarkStart w:id="208" w:name="_Toc1355"/>
      <w:r>
        <w:rPr>
          <w:rFonts w:hint="eastAsia"/>
          <w:color w:val="auto"/>
          <w:highlight w:val="none"/>
        </w:rPr>
        <w:t>格式五：</w:t>
      </w:r>
      <w:bookmarkEnd w:id="203"/>
      <w:bookmarkEnd w:id="204"/>
      <w:bookmarkEnd w:id="205"/>
      <w:bookmarkEnd w:id="206"/>
      <w:bookmarkEnd w:id="207"/>
      <w:bookmarkEnd w:id="208"/>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t>施工项目管理团队人员信息表</w:t>
      </w:r>
    </w:p>
    <w:tbl>
      <w:tblPr>
        <w:tblStyle w:val="49"/>
        <w:tblW w:w="8472" w:type="dxa"/>
        <w:tblInd w:w="0" w:type="dxa"/>
        <w:tblLayout w:type="fixed"/>
        <w:tblCellMar>
          <w:top w:w="0" w:type="dxa"/>
          <w:left w:w="108" w:type="dxa"/>
          <w:bottom w:w="0" w:type="dxa"/>
          <w:right w:w="108" w:type="dxa"/>
        </w:tblCellMar>
      </w:tblPr>
      <w:tblGrid>
        <w:gridCol w:w="959"/>
        <w:gridCol w:w="1744"/>
        <w:gridCol w:w="1549"/>
        <w:gridCol w:w="1417"/>
        <w:gridCol w:w="2803"/>
      </w:tblGrid>
      <w:tr>
        <w:tblPrEx>
          <w:tblCellMar>
            <w:top w:w="0" w:type="dxa"/>
            <w:left w:w="108" w:type="dxa"/>
            <w:bottom w:w="0" w:type="dxa"/>
            <w:right w:w="108" w:type="dxa"/>
          </w:tblCellMar>
        </w:tblPrEx>
        <w:trPr>
          <w:trHeight w:val="975"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序号</w:t>
            </w:r>
          </w:p>
        </w:tc>
        <w:tc>
          <w:tcPr>
            <w:tcW w:w="1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姓名</w:t>
            </w:r>
          </w:p>
        </w:tc>
        <w:tc>
          <w:tcPr>
            <w:tcW w:w="15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岗位</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职称</w:t>
            </w:r>
          </w:p>
        </w:tc>
        <w:tc>
          <w:tcPr>
            <w:tcW w:w="28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职称证书或资格证书编号</w:t>
            </w:r>
          </w:p>
        </w:tc>
      </w:tr>
      <w:tr>
        <w:tblPrEx>
          <w:tblCellMar>
            <w:top w:w="0" w:type="dxa"/>
            <w:left w:w="108" w:type="dxa"/>
            <w:bottom w:w="0" w:type="dxa"/>
            <w:right w:w="108" w:type="dxa"/>
          </w:tblCellMar>
        </w:tblPrEx>
        <w:trPr>
          <w:trHeight w:val="555"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1</w:t>
            </w:r>
          </w:p>
        </w:tc>
        <w:tc>
          <w:tcPr>
            <w:tcW w:w="1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28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55"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2</w:t>
            </w:r>
          </w:p>
        </w:tc>
        <w:tc>
          <w:tcPr>
            <w:tcW w:w="1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28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55"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3</w:t>
            </w:r>
          </w:p>
        </w:tc>
        <w:tc>
          <w:tcPr>
            <w:tcW w:w="1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28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55"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4</w:t>
            </w:r>
          </w:p>
        </w:tc>
        <w:tc>
          <w:tcPr>
            <w:tcW w:w="1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28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55"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5</w:t>
            </w:r>
          </w:p>
        </w:tc>
        <w:tc>
          <w:tcPr>
            <w:tcW w:w="1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28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55"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6</w:t>
            </w:r>
          </w:p>
        </w:tc>
        <w:tc>
          <w:tcPr>
            <w:tcW w:w="1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28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55"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28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55"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28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3787" w:hRule="atLeast"/>
        </w:trPr>
        <w:tc>
          <w:tcPr>
            <w:tcW w:w="847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备注：</w:t>
            </w:r>
            <w:r>
              <w:rPr>
                <w:rFonts w:ascii="宋体" w:hAnsi="宋体" w:cs="宋体"/>
                <w:color w:val="auto"/>
                <w:kern w:val="0"/>
                <w:szCs w:val="21"/>
                <w:highlight w:val="none"/>
              </w:rPr>
              <w:br w:type="textWrapping"/>
            </w:r>
            <w:r>
              <w:rPr>
                <w:rFonts w:ascii="宋体" w:hAnsi="宋体" w:cs="宋体"/>
                <w:color w:val="auto"/>
                <w:kern w:val="0"/>
                <w:szCs w:val="21"/>
                <w:highlight w:val="none"/>
              </w:rPr>
              <w:t>1、“岗位”要求</w:t>
            </w:r>
            <w:r>
              <w:rPr>
                <w:rFonts w:hint="eastAsia" w:ascii="宋体" w:hAnsi="宋体" w:cs="宋体"/>
                <w:b/>
                <w:bCs/>
                <w:color w:val="auto"/>
                <w:kern w:val="0"/>
                <w:szCs w:val="21"/>
                <w:highlight w:val="none"/>
              </w:rPr>
              <w:t>（除项目负责人和专职安全员外）</w:t>
            </w:r>
            <w:r>
              <w:rPr>
                <w:rFonts w:hint="eastAsia" w:ascii="宋体" w:hAnsi="宋体" w:cs="宋体"/>
                <w:color w:val="auto"/>
                <w:kern w:val="0"/>
                <w:szCs w:val="21"/>
                <w:highlight w:val="none"/>
              </w:rPr>
              <w:t>由招标人根据项目管理需要在本表备注中明确提出，如：拟派驻施工现场的指挥长、技术负责人、质量负责人、安全负责人、造价负责人、土建工程师、机电工程师、给排水工程师、装饰装修工程师、造价工程师、质量工程师、施工员、质量员、安全员、资料员等。以上项目管理团队人员信息将由交易系统提取后供各相关单位在履约时比对、查核。</w:t>
            </w:r>
            <w:r>
              <w:rPr>
                <w:rFonts w:ascii="宋体" w:hAnsi="宋体" w:cs="宋体"/>
                <w:color w:val="auto"/>
                <w:kern w:val="0"/>
                <w:szCs w:val="21"/>
                <w:highlight w:val="none"/>
              </w:rPr>
              <w:br w:type="textWrapping"/>
            </w:r>
            <w:r>
              <w:rPr>
                <w:rFonts w:ascii="宋体" w:hAnsi="宋体" w:cs="宋体"/>
                <w:color w:val="auto"/>
                <w:kern w:val="0"/>
                <w:szCs w:val="21"/>
                <w:highlight w:val="none"/>
              </w:rPr>
              <w:t>2、投标人应根据本表备注中的“岗位”要求，填写本表“岗位”栏和相关人员“姓名”、“职称”和“职称证书编号”栏。“职称”栏填“高级”、“中级”、“初级”或“无”；无职称证书或资格证书的，“职称证书或资格证书编号”栏填“无”；同时具备职称证书和资格证书的，“职称证书或资格证书编号”栏填职称证书编号。投标人完整填写相关表格内容后，投标登记方能成功(投标截止时间前可以补充、修改、替代)。</w:t>
            </w:r>
            <w:r>
              <w:rPr>
                <w:rFonts w:ascii="宋体" w:hAnsi="宋体" w:cs="宋体"/>
                <w:color w:val="auto"/>
                <w:kern w:val="0"/>
                <w:szCs w:val="21"/>
                <w:highlight w:val="none"/>
              </w:rPr>
              <w:br w:type="textWrapping"/>
            </w:r>
            <w:r>
              <w:rPr>
                <w:rFonts w:ascii="宋体" w:hAnsi="宋体" w:cs="宋体"/>
                <w:color w:val="auto"/>
                <w:kern w:val="0"/>
                <w:szCs w:val="21"/>
                <w:highlight w:val="none"/>
              </w:rPr>
              <w:t>3、如评标办法对投标人拟投入的项目管理团队进行评审的，如相同岗位投入人员姓名与本表不一致的，以本表中姓名为准；投标人提供的团队人员职称或资格（含证书编号）情况与本表不一致的，以投标人提供的相关证明材料为准。</w:t>
            </w:r>
          </w:p>
        </w:tc>
      </w:tr>
    </w:tbl>
    <w:p>
      <w:pPr>
        <w:pStyle w:val="181"/>
        <w:spacing w:line="240" w:lineRule="auto"/>
        <w:ind w:firstLine="0" w:firstLineChars="0"/>
        <w:rPr>
          <w:rFonts w:eastAsia="宋体"/>
          <w:color w:val="auto"/>
          <w:highlight w:val="none"/>
        </w:rPr>
      </w:pPr>
      <w:r>
        <w:rPr>
          <w:rFonts w:hint="eastAsia" w:eastAsia="宋体"/>
          <w:color w:val="auto"/>
          <w:highlight w:val="none"/>
        </w:rPr>
        <w:t>注：附相</w:t>
      </w:r>
      <w:r>
        <w:rPr>
          <w:rFonts w:hint="eastAsia" w:eastAsia="宋体"/>
          <w:color w:val="auto"/>
          <w:sz w:val="21"/>
          <w:szCs w:val="21"/>
          <w:highlight w:val="none"/>
        </w:rPr>
        <w:t>关的证明材</w:t>
      </w:r>
      <w:r>
        <w:rPr>
          <w:rFonts w:hint="eastAsia" w:eastAsia="宋体"/>
          <w:color w:val="auto"/>
          <w:highlight w:val="none"/>
        </w:rPr>
        <w:t>料。</w:t>
      </w:r>
    </w:p>
    <w:p>
      <w:pPr>
        <w:topLinePunct/>
        <w:adjustRightInd w:val="0"/>
        <w:snapToGrid w:val="0"/>
        <w:rPr>
          <w:rFonts w:ascii="宋体" w:hAnsi="宋体" w:cs="宋体"/>
          <w:color w:val="auto"/>
          <w:spacing w:val="4"/>
          <w:kern w:val="0"/>
          <w:szCs w:val="21"/>
          <w:highlight w:val="none"/>
        </w:rPr>
      </w:pPr>
    </w:p>
    <w:p>
      <w:pPr>
        <w:topLinePunct/>
        <w:adjustRightInd w:val="0"/>
        <w:snapToGrid w:val="0"/>
        <w:spacing w:line="360" w:lineRule="auto"/>
        <w:ind w:firstLine="3596" w:firstLineChars="1450"/>
        <w:jc w:val="left"/>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投标人：　　（盖章）</w:t>
      </w:r>
    </w:p>
    <w:p>
      <w:pPr>
        <w:topLinePunct/>
        <w:adjustRightInd w:val="0"/>
        <w:snapToGrid w:val="0"/>
        <w:spacing w:line="360" w:lineRule="auto"/>
        <w:ind w:firstLine="3596" w:firstLineChars="1450"/>
        <w:jc w:val="left"/>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法定代表人或授权代理人</w:t>
      </w:r>
      <w:r>
        <w:rPr>
          <w:rFonts w:ascii="宋体" w:hAnsi="宋体" w:cs="宋体"/>
          <w:color w:val="auto"/>
          <w:spacing w:val="4"/>
          <w:kern w:val="0"/>
          <w:sz w:val="24"/>
          <w:szCs w:val="24"/>
          <w:highlight w:val="none"/>
        </w:rPr>
        <w:t>(签字或盖章)：</w:t>
      </w:r>
    </w:p>
    <w:p>
      <w:pPr>
        <w:autoSpaceDE w:val="0"/>
        <w:autoSpaceDN w:val="0"/>
        <w:adjustRightInd w:val="0"/>
        <w:spacing w:line="360" w:lineRule="auto"/>
        <w:ind w:firstLine="3596" w:firstLineChars="1450"/>
        <w:jc w:val="left"/>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日</w:t>
      </w:r>
      <w:r>
        <w:rPr>
          <w:rFonts w:ascii="宋体" w:hAnsi="宋体" w:cs="宋体"/>
          <w:color w:val="auto"/>
          <w:spacing w:val="4"/>
          <w:kern w:val="0"/>
          <w:sz w:val="24"/>
          <w:szCs w:val="24"/>
          <w:highlight w:val="none"/>
        </w:rPr>
        <w:t xml:space="preserve">   </w:t>
      </w:r>
      <w:r>
        <w:rPr>
          <w:rFonts w:hint="eastAsia" w:ascii="宋体" w:hAnsi="宋体" w:cs="宋体"/>
          <w:color w:val="auto"/>
          <w:spacing w:val="4"/>
          <w:kern w:val="0"/>
          <w:sz w:val="24"/>
          <w:szCs w:val="24"/>
          <w:highlight w:val="none"/>
        </w:rPr>
        <w:t>期：</w:t>
      </w:r>
      <w:r>
        <w:rPr>
          <w:rFonts w:ascii="宋体" w:hAnsi="宋体" w:cs="宋体"/>
          <w:color w:val="auto"/>
          <w:spacing w:val="4"/>
          <w:kern w:val="0"/>
          <w:sz w:val="24"/>
          <w:szCs w:val="24"/>
          <w:highlight w:val="none"/>
        </w:rPr>
        <w:t xml:space="preserve">    </w:t>
      </w:r>
      <w:r>
        <w:rPr>
          <w:rFonts w:hint="eastAsia" w:ascii="宋体" w:hAnsi="宋体" w:cs="宋体"/>
          <w:color w:val="auto"/>
          <w:spacing w:val="4"/>
          <w:kern w:val="0"/>
          <w:sz w:val="24"/>
          <w:szCs w:val="24"/>
          <w:highlight w:val="none"/>
        </w:rPr>
        <w:t>年</w:t>
      </w:r>
      <w:r>
        <w:rPr>
          <w:rFonts w:ascii="宋体" w:hAnsi="宋体" w:cs="宋体"/>
          <w:color w:val="auto"/>
          <w:spacing w:val="4"/>
          <w:kern w:val="0"/>
          <w:sz w:val="24"/>
          <w:szCs w:val="24"/>
          <w:highlight w:val="none"/>
        </w:rPr>
        <w:t xml:space="preserve">    </w:t>
      </w:r>
      <w:r>
        <w:rPr>
          <w:rFonts w:hint="eastAsia" w:ascii="宋体" w:hAnsi="宋体" w:cs="宋体"/>
          <w:color w:val="auto"/>
          <w:spacing w:val="4"/>
          <w:kern w:val="0"/>
          <w:sz w:val="24"/>
          <w:szCs w:val="24"/>
          <w:highlight w:val="none"/>
        </w:rPr>
        <w:t>月</w:t>
      </w:r>
      <w:r>
        <w:rPr>
          <w:rFonts w:ascii="宋体" w:hAnsi="宋体" w:cs="宋体"/>
          <w:color w:val="auto"/>
          <w:spacing w:val="4"/>
          <w:kern w:val="0"/>
          <w:sz w:val="24"/>
          <w:szCs w:val="24"/>
          <w:highlight w:val="none"/>
        </w:rPr>
        <w:t xml:space="preserve">    </w:t>
      </w:r>
      <w:r>
        <w:rPr>
          <w:rFonts w:hint="eastAsia" w:ascii="宋体" w:hAnsi="宋体" w:cs="宋体"/>
          <w:color w:val="auto"/>
          <w:spacing w:val="4"/>
          <w:kern w:val="0"/>
          <w:sz w:val="24"/>
          <w:szCs w:val="24"/>
          <w:highlight w:val="none"/>
        </w:rPr>
        <w:t>日</w:t>
      </w:r>
    </w:p>
    <w:p>
      <w:pPr>
        <w:jc w:val="center"/>
        <w:rPr>
          <w:rFonts w:ascii="宋体" w:hAnsi="宋体" w:cs="宋体"/>
          <w:b/>
          <w:color w:val="auto"/>
          <w:sz w:val="36"/>
          <w:szCs w:val="36"/>
          <w:highlight w:val="none"/>
        </w:rPr>
      </w:pPr>
      <w:r>
        <w:rPr>
          <w:rFonts w:ascii="宋体" w:hAnsi="宋体"/>
          <w:color w:val="auto"/>
          <w:spacing w:val="4"/>
          <w:highlight w:val="none"/>
        </w:rPr>
        <w:br w:type="page"/>
      </w:r>
      <w:r>
        <w:rPr>
          <w:rFonts w:hint="eastAsia" w:ascii="宋体" w:hAnsi="宋体" w:cs="宋体"/>
          <w:b/>
          <w:color w:val="auto"/>
          <w:sz w:val="36"/>
          <w:szCs w:val="36"/>
          <w:highlight w:val="none"/>
        </w:rPr>
        <w:t>主要人员简历表</w:t>
      </w:r>
    </w:p>
    <w:tbl>
      <w:tblPr>
        <w:tblStyle w:val="49"/>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0" w:type="dxa"/>
          <w:left w:w="60" w:type="dxa"/>
          <w:bottom w:w="60" w:type="dxa"/>
          <w:right w:w="60" w:type="dxa"/>
        </w:tblCellMar>
      </w:tblPr>
      <w:tblGrid>
        <w:gridCol w:w="1334"/>
        <w:gridCol w:w="1488"/>
        <w:gridCol w:w="1534"/>
        <w:gridCol w:w="1911"/>
        <w:gridCol w:w="1361"/>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20" w:hRule="atLeast"/>
          <w:tblCellSpacing w:w="0" w:type="dxa"/>
          <w:jc w:val="center"/>
        </w:trPr>
        <w:tc>
          <w:tcPr>
            <w:tcW w:w="1334"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姓名</w:t>
            </w:r>
          </w:p>
        </w:tc>
        <w:tc>
          <w:tcPr>
            <w:tcW w:w="1488" w:type="dxa"/>
            <w:vAlign w:val="center"/>
          </w:tcPr>
          <w:p>
            <w:pPr>
              <w:spacing w:line="360" w:lineRule="auto"/>
              <w:jc w:val="center"/>
              <w:rPr>
                <w:rFonts w:ascii="宋体" w:hAnsi="宋体" w:cs="宋体"/>
                <w:color w:val="auto"/>
                <w:szCs w:val="21"/>
                <w:highlight w:val="none"/>
              </w:rPr>
            </w:pPr>
          </w:p>
        </w:tc>
        <w:tc>
          <w:tcPr>
            <w:tcW w:w="1534"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性别</w:t>
            </w:r>
          </w:p>
        </w:tc>
        <w:tc>
          <w:tcPr>
            <w:tcW w:w="1911" w:type="dxa"/>
            <w:vAlign w:val="center"/>
          </w:tcPr>
          <w:p>
            <w:pPr>
              <w:spacing w:line="360" w:lineRule="auto"/>
              <w:jc w:val="center"/>
              <w:rPr>
                <w:rFonts w:ascii="宋体" w:hAnsi="宋体" w:cs="宋体"/>
                <w:color w:val="auto"/>
                <w:szCs w:val="21"/>
                <w:highlight w:val="none"/>
              </w:rPr>
            </w:pPr>
          </w:p>
        </w:tc>
        <w:tc>
          <w:tcPr>
            <w:tcW w:w="136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年龄</w:t>
            </w:r>
          </w:p>
        </w:tc>
        <w:tc>
          <w:tcPr>
            <w:tcW w:w="1582"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1334"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职务</w:t>
            </w:r>
          </w:p>
        </w:tc>
        <w:tc>
          <w:tcPr>
            <w:tcW w:w="1488" w:type="dxa"/>
            <w:vAlign w:val="center"/>
          </w:tcPr>
          <w:p>
            <w:pPr>
              <w:spacing w:line="360" w:lineRule="auto"/>
              <w:jc w:val="center"/>
              <w:rPr>
                <w:rFonts w:ascii="宋体" w:hAnsi="宋体" w:cs="宋体"/>
                <w:color w:val="auto"/>
                <w:szCs w:val="21"/>
                <w:highlight w:val="none"/>
              </w:rPr>
            </w:pPr>
          </w:p>
        </w:tc>
        <w:tc>
          <w:tcPr>
            <w:tcW w:w="1534"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职称</w:t>
            </w:r>
          </w:p>
        </w:tc>
        <w:tc>
          <w:tcPr>
            <w:tcW w:w="1911" w:type="dxa"/>
            <w:vAlign w:val="center"/>
          </w:tcPr>
          <w:p>
            <w:pPr>
              <w:spacing w:line="360" w:lineRule="auto"/>
              <w:jc w:val="center"/>
              <w:rPr>
                <w:rFonts w:ascii="宋体" w:hAnsi="宋体" w:cs="宋体"/>
                <w:color w:val="auto"/>
                <w:szCs w:val="21"/>
                <w:highlight w:val="none"/>
              </w:rPr>
            </w:pPr>
          </w:p>
        </w:tc>
        <w:tc>
          <w:tcPr>
            <w:tcW w:w="136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学历</w:t>
            </w:r>
          </w:p>
        </w:tc>
        <w:tc>
          <w:tcPr>
            <w:tcW w:w="1582"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2822" w:type="dxa"/>
            <w:gridSpan w:val="2"/>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参加工作时间</w:t>
            </w:r>
          </w:p>
        </w:tc>
        <w:tc>
          <w:tcPr>
            <w:tcW w:w="1534" w:type="dxa"/>
            <w:vAlign w:val="center"/>
          </w:tcPr>
          <w:p>
            <w:pPr>
              <w:spacing w:line="360" w:lineRule="auto"/>
              <w:jc w:val="center"/>
              <w:rPr>
                <w:rFonts w:ascii="宋体" w:hAnsi="宋体" w:cs="宋体"/>
                <w:color w:val="auto"/>
                <w:szCs w:val="21"/>
                <w:highlight w:val="none"/>
              </w:rPr>
            </w:pPr>
          </w:p>
        </w:tc>
        <w:tc>
          <w:tcPr>
            <w:tcW w:w="191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担任相应职务年限</w:t>
            </w:r>
          </w:p>
        </w:tc>
        <w:tc>
          <w:tcPr>
            <w:tcW w:w="2943" w:type="dxa"/>
            <w:gridSpan w:val="2"/>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2822" w:type="dxa"/>
            <w:gridSpan w:val="2"/>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资格证书号</w:t>
            </w:r>
          </w:p>
        </w:tc>
        <w:tc>
          <w:tcPr>
            <w:tcW w:w="6388" w:type="dxa"/>
            <w:gridSpan w:val="4"/>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9210" w:type="dxa"/>
            <w:gridSpan w:val="6"/>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业绩简介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1334"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建设单位</w:t>
            </w:r>
          </w:p>
        </w:tc>
        <w:tc>
          <w:tcPr>
            <w:tcW w:w="1488"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项目名称</w:t>
            </w:r>
          </w:p>
        </w:tc>
        <w:tc>
          <w:tcPr>
            <w:tcW w:w="1534"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建设规模</w:t>
            </w:r>
          </w:p>
        </w:tc>
        <w:tc>
          <w:tcPr>
            <w:tcW w:w="191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开、竣工日期</w:t>
            </w:r>
          </w:p>
        </w:tc>
        <w:tc>
          <w:tcPr>
            <w:tcW w:w="136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在建或已完工程质量</w:t>
            </w:r>
          </w:p>
        </w:tc>
        <w:tc>
          <w:tcPr>
            <w:tcW w:w="1582"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1334" w:type="dxa"/>
            <w:vAlign w:val="center"/>
          </w:tcPr>
          <w:p>
            <w:pPr>
              <w:spacing w:line="360" w:lineRule="auto"/>
              <w:jc w:val="left"/>
              <w:rPr>
                <w:rFonts w:ascii="宋体" w:hAnsi="宋体" w:cs="宋体"/>
                <w:color w:val="auto"/>
                <w:szCs w:val="21"/>
                <w:highlight w:val="none"/>
              </w:rPr>
            </w:pPr>
          </w:p>
        </w:tc>
        <w:tc>
          <w:tcPr>
            <w:tcW w:w="1488" w:type="dxa"/>
            <w:vAlign w:val="center"/>
          </w:tcPr>
          <w:p>
            <w:pPr>
              <w:spacing w:line="360" w:lineRule="auto"/>
              <w:jc w:val="left"/>
              <w:rPr>
                <w:rFonts w:ascii="宋体" w:hAnsi="宋体" w:cs="宋体"/>
                <w:color w:val="auto"/>
                <w:szCs w:val="21"/>
                <w:highlight w:val="none"/>
              </w:rPr>
            </w:pPr>
          </w:p>
        </w:tc>
        <w:tc>
          <w:tcPr>
            <w:tcW w:w="1534" w:type="dxa"/>
            <w:vAlign w:val="center"/>
          </w:tcPr>
          <w:p>
            <w:pPr>
              <w:spacing w:line="360" w:lineRule="auto"/>
              <w:jc w:val="left"/>
              <w:rPr>
                <w:rFonts w:ascii="宋体" w:hAnsi="宋体" w:cs="宋体"/>
                <w:color w:val="auto"/>
                <w:szCs w:val="21"/>
                <w:highlight w:val="none"/>
              </w:rPr>
            </w:pPr>
          </w:p>
        </w:tc>
        <w:tc>
          <w:tcPr>
            <w:tcW w:w="1911" w:type="dxa"/>
            <w:vAlign w:val="center"/>
          </w:tcPr>
          <w:p>
            <w:pPr>
              <w:spacing w:line="360" w:lineRule="auto"/>
              <w:jc w:val="left"/>
              <w:rPr>
                <w:rFonts w:ascii="宋体" w:hAnsi="宋体" w:cs="宋体"/>
                <w:color w:val="auto"/>
                <w:szCs w:val="21"/>
                <w:highlight w:val="none"/>
              </w:rPr>
            </w:pPr>
          </w:p>
        </w:tc>
        <w:tc>
          <w:tcPr>
            <w:tcW w:w="1361" w:type="dxa"/>
            <w:vAlign w:val="center"/>
          </w:tcPr>
          <w:p>
            <w:pPr>
              <w:spacing w:line="360" w:lineRule="auto"/>
              <w:jc w:val="left"/>
              <w:rPr>
                <w:rFonts w:ascii="宋体" w:hAnsi="宋体" w:cs="宋体"/>
                <w:color w:val="auto"/>
                <w:szCs w:val="21"/>
                <w:highlight w:val="none"/>
              </w:rPr>
            </w:pPr>
          </w:p>
        </w:tc>
        <w:tc>
          <w:tcPr>
            <w:tcW w:w="1582" w:type="dxa"/>
            <w:vAlign w:val="center"/>
          </w:tcPr>
          <w:p>
            <w:pPr>
              <w:spacing w:line="360" w:lineRule="auto"/>
              <w:jc w:val="lef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1334" w:type="dxa"/>
            <w:vAlign w:val="center"/>
          </w:tcPr>
          <w:p>
            <w:pPr>
              <w:spacing w:line="360" w:lineRule="auto"/>
              <w:jc w:val="left"/>
              <w:rPr>
                <w:rFonts w:ascii="宋体" w:hAnsi="宋体" w:cs="宋体"/>
                <w:color w:val="auto"/>
                <w:szCs w:val="21"/>
                <w:highlight w:val="none"/>
              </w:rPr>
            </w:pPr>
          </w:p>
        </w:tc>
        <w:tc>
          <w:tcPr>
            <w:tcW w:w="1488" w:type="dxa"/>
            <w:vAlign w:val="center"/>
          </w:tcPr>
          <w:p>
            <w:pPr>
              <w:spacing w:line="360" w:lineRule="auto"/>
              <w:jc w:val="left"/>
              <w:rPr>
                <w:rFonts w:ascii="宋体" w:hAnsi="宋体" w:cs="宋体"/>
                <w:color w:val="auto"/>
                <w:szCs w:val="21"/>
                <w:highlight w:val="none"/>
              </w:rPr>
            </w:pPr>
          </w:p>
        </w:tc>
        <w:tc>
          <w:tcPr>
            <w:tcW w:w="1534" w:type="dxa"/>
            <w:vAlign w:val="center"/>
          </w:tcPr>
          <w:p>
            <w:pPr>
              <w:spacing w:line="360" w:lineRule="auto"/>
              <w:jc w:val="left"/>
              <w:rPr>
                <w:rFonts w:ascii="宋体" w:hAnsi="宋体" w:cs="宋体"/>
                <w:color w:val="auto"/>
                <w:szCs w:val="21"/>
                <w:highlight w:val="none"/>
              </w:rPr>
            </w:pPr>
          </w:p>
        </w:tc>
        <w:tc>
          <w:tcPr>
            <w:tcW w:w="1911" w:type="dxa"/>
            <w:vAlign w:val="center"/>
          </w:tcPr>
          <w:p>
            <w:pPr>
              <w:spacing w:line="360" w:lineRule="auto"/>
              <w:jc w:val="left"/>
              <w:rPr>
                <w:rFonts w:ascii="宋体" w:hAnsi="宋体" w:cs="宋体"/>
                <w:color w:val="auto"/>
                <w:szCs w:val="21"/>
                <w:highlight w:val="none"/>
              </w:rPr>
            </w:pPr>
          </w:p>
        </w:tc>
        <w:tc>
          <w:tcPr>
            <w:tcW w:w="1361" w:type="dxa"/>
            <w:vAlign w:val="center"/>
          </w:tcPr>
          <w:p>
            <w:pPr>
              <w:spacing w:line="360" w:lineRule="auto"/>
              <w:jc w:val="left"/>
              <w:rPr>
                <w:rFonts w:ascii="宋体" w:hAnsi="宋体" w:cs="宋体"/>
                <w:color w:val="auto"/>
                <w:szCs w:val="21"/>
                <w:highlight w:val="none"/>
              </w:rPr>
            </w:pPr>
          </w:p>
        </w:tc>
        <w:tc>
          <w:tcPr>
            <w:tcW w:w="1582" w:type="dxa"/>
            <w:vAlign w:val="center"/>
          </w:tcPr>
          <w:p>
            <w:pPr>
              <w:spacing w:line="360" w:lineRule="auto"/>
              <w:jc w:val="lef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35" w:hRule="atLeast"/>
          <w:tblCellSpacing w:w="0" w:type="dxa"/>
          <w:jc w:val="center"/>
        </w:trPr>
        <w:tc>
          <w:tcPr>
            <w:tcW w:w="1334" w:type="dxa"/>
            <w:vAlign w:val="center"/>
          </w:tcPr>
          <w:p>
            <w:pPr>
              <w:spacing w:line="360" w:lineRule="auto"/>
              <w:jc w:val="left"/>
              <w:rPr>
                <w:rFonts w:ascii="宋体" w:hAnsi="宋体" w:cs="宋体"/>
                <w:color w:val="auto"/>
                <w:szCs w:val="21"/>
                <w:highlight w:val="none"/>
              </w:rPr>
            </w:pPr>
          </w:p>
        </w:tc>
        <w:tc>
          <w:tcPr>
            <w:tcW w:w="1488" w:type="dxa"/>
            <w:vAlign w:val="center"/>
          </w:tcPr>
          <w:p>
            <w:pPr>
              <w:spacing w:line="360" w:lineRule="auto"/>
              <w:jc w:val="left"/>
              <w:rPr>
                <w:rFonts w:ascii="宋体" w:hAnsi="宋体" w:cs="宋体"/>
                <w:color w:val="auto"/>
                <w:szCs w:val="21"/>
                <w:highlight w:val="none"/>
              </w:rPr>
            </w:pPr>
          </w:p>
        </w:tc>
        <w:tc>
          <w:tcPr>
            <w:tcW w:w="1534" w:type="dxa"/>
            <w:vAlign w:val="center"/>
          </w:tcPr>
          <w:p>
            <w:pPr>
              <w:spacing w:line="360" w:lineRule="auto"/>
              <w:jc w:val="left"/>
              <w:rPr>
                <w:rFonts w:ascii="宋体" w:hAnsi="宋体" w:cs="宋体"/>
                <w:color w:val="auto"/>
                <w:szCs w:val="21"/>
                <w:highlight w:val="none"/>
              </w:rPr>
            </w:pPr>
          </w:p>
        </w:tc>
        <w:tc>
          <w:tcPr>
            <w:tcW w:w="1911" w:type="dxa"/>
            <w:vAlign w:val="center"/>
          </w:tcPr>
          <w:p>
            <w:pPr>
              <w:spacing w:line="360" w:lineRule="auto"/>
              <w:jc w:val="left"/>
              <w:rPr>
                <w:rFonts w:ascii="宋体" w:hAnsi="宋体" w:cs="宋体"/>
                <w:color w:val="auto"/>
                <w:szCs w:val="21"/>
                <w:highlight w:val="none"/>
              </w:rPr>
            </w:pPr>
          </w:p>
        </w:tc>
        <w:tc>
          <w:tcPr>
            <w:tcW w:w="1361" w:type="dxa"/>
            <w:vAlign w:val="center"/>
          </w:tcPr>
          <w:p>
            <w:pPr>
              <w:spacing w:line="360" w:lineRule="auto"/>
              <w:jc w:val="left"/>
              <w:rPr>
                <w:rFonts w:ascii="宋体" w:hAnsi="宋体" w:cs="宋体"/>
                <w:color w:val="auto"/>
                <w:szCs w:val="21"/>
                <w:highlight w:val="none"/>
              </w:rPr>
            </w:pPr>
          </w:p>
        </w:tc>
        <w:tc>
          <w:tcPr>
            <w:tcW w:w="1582" w:type="dxa"/>
            <w:vAlign w:val="center"/>
          </w:tcPr>
          <w:p>
            <w:pPr>
              <w:spacing w:line="360" w:lineRule="auto"/>
              <w:jc w:val="left"/>
              <w:rPr>
                <w:rFonts w:ascii="宋体" w:hAnsi="宋体" w:cs="宋体"/>
                <w:color w:val="auto"/>
                <w:szCs w:val="21"/>
                <w:highlight w:val="none"/>
              </w:rPr>
            </w:pPr>
          </w:p>
        </w:tc>
      </w:tr>
    </w:tbl>
    <w:p>
      <w:pPr>
        <w:topLinePunct/>
        <w:adjustRightInd w:val="0"/>
        <w:snapToGrid w:val="0"/>
        <w:spacing w:line="360" w:lineRule="auto"/>
        <w:ind w:firstLine="496" w:firstLineChars="200"/>
        <w:rPr>
          <w:rFonts w:ascii="宋体" w:hAnsi="宋体" w:cs="宋体"/>
          <w:color w:val="auto"/>
          <w:spacing w:val="4"/>
          <w:kern w:val="0"/>
          <w:sz w:val="24"/>
          <w:szCs w:val="24"/>
          <w:highlight w:val="none"/>
        </w:rPr>
      </w:pPr>
    </w:p>
    <w:p>
      <w:pPr>
        <w:autoSpaceDE w:val="0"/>
        <w:autoSpaceDN w:val="0"/>
        <w:adjustRightInd w:val="0"/>
        <w:spacing w:line="360" w:lineRule="auto"/>
        <w:ind w:firstLine="565" w:firstLineChars="228"/>
        <w:jc w:val="left"/>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投标人：　　（盖章）</w:t>
      </w:r>
    </w:p>
    <w:p>
      <w:pPr>
        <w:autoSpaceDE w:val="0"/>
        <w:autoSpaceDN w:val="0"/>
        <w:adjustRightInd w:val="0"/>
        <w:spacing w:line="360" w:lineRule="auto"/>
        <w:ind w:firstLine="565" w:firstLineChars="228"/>
        <w:jc w:val="left"/>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法定代表人或授权代理人</w:t>
      </w:r>
      <w:r>
        <w:rPr>
          <w:rFonts w:ascii="宋体" w:hAnsi="宋体" w:cs="宋体"/>
          <w:color w:val="auto"/>
          <w:spacing w:val="4"/>
          <w:kern w:val="0"/>
          <w:sz w:val="24"/>
          <w:szCs w:val="24"/>
          <w:highlight w:val="none"/>
        </w:rPr>
        <w:t>(签字或盖章)：</w:t>
      </w:r>
    </w:p>
    <w:p>
      <w:pPr>
        <w:autoSpaceDE w:val="0"/>
        <w:autoSpaceDN w:val="0"/>
        <w:adjustRightInd w:val="0"/>
        <w:spacing w:line="360" w:lineRule="auto"/>
        <w:ind w:firstLine="565" w:firstLineChars="228"/>
        <w:jc w:val="left"/>
        <w:rPr>
          <w:rFonts w:ascii="宋体" w:hAnsi="宋体" w:cs="宋体"/>
          <w:color w:val="auto"/>
          <w:sz w:val="24"/>
          <w:szCs w:val="24"/>
          <w:highlight w:val="none"/>
        </w:rPr>
      </w:pPr>
      <w:r>
        <w:rPr>
          <w:rFonts w:hint="eastAsia" w:ascii="宋体" w:hAnsi="宋体" w:cs="宋体"/>
          <w:color w:val="auto"/>
          <w:spacing w:val="4"/>
          <w:kern w:val="0"/>
          <w:sz w:val="24"/>
          <w:szCs w:val="24"/>
          <w:highlight w:val="none"/>
        </w:rPr>
        <w:t>日</w:t>
      </w:r>
      <w:r>
        <w:rPr>
          <w:rFonts w:ascii="宋体" w:hAnsi="宋体" w:cs="宋体"/>
          <w:color w:val="auto"/>
          <w:spacing w:val="4"/>
          <w:kern w:val="0"/>
          <w:sz w:val="24"/>
          <w:szCs w:val="24"/>
          <w:highlight w:val="none"/>
        </w:rPr>
        <w:t xml:space="preserve">   </w:t>
      </w:r>
      <w:r>
        <w:rPr>
          <w:rFonts w:hint="eastAsia" w:ascii="宋体" w:hAnsi="宋体" w:cs="宋体"/>
          <w:color w:val="auto"/>
          <w:spacing w:val="4"/>
          <w:kern w:val="0"/>
          <w:sz w:val="24"/>
          <w:szCs w:val="24"/>
          <w:highlight w:val="none"/>
        </w:rPr>
        <w:t>期：</w:t>
      </w:r>
      <w:r>
        <w:rPr>
          <w:rFonts w:ascii="宋体" w:hAnsi="宋体" w:cs="宋体"/>
          <w:color w:val="auto"/>
          <w:spacing w:val="4"/>
          <w:kern w:val="0"/>
          <w:sz w:val="24"/>
          <w:szCs w:val="24"/>
          <w:highlight w:val="none"/>
        </w:rPr>
        <w:t xml:space="preserve">    </w:t>
      </w:r>
      <w:r>
        <w:rPr>
          <w:rFonts w:hint="eastAsia" w:ascii="宋体" w:hAnsi="宋体" w:cs="宋体"/>
          <w:color w:val="auto"/>
          <w:spacing w:val="4"/>
          <w:kern w:val="0"/>
          <w:sz w:val="24"/>
          <w:szCs w:val="24"/>
          <w:highlight w:val="none"/>
        </w:rPr>
        <w:t>年</w:t>
      </w:r>
      <w:r>
        <w:rPr>
          <w:rFonts w:ascii="宋体" w:hAnsi="宋体" w:cs="宋体"/>
          <w:color w:val="auto"/>
          <w:spacing w:val="4"/>
          <w:kern w:val="0"/>
          <w:sz w:val="24"/>
          <w:szCs w:val="24"/>
          <w:highlight w:val="none"/>
        </w:rPr>
        <w:t xml:space="preserve">    </w:t>
      </w:r>
      <w:r>
        <w:rPr>
          <w:rFonts w:hint="eastAsia" w:ascii="宋体" w:hAnsi="宋体" w:cs="宋体"/>
          <w:color w:val="auto"/>
          <w:spacing w:val="4"/>
          <w:kern w:val="0"/>
          <w:sz w:val="24"/>
          <w:szCs w:val="24"/>
          <w:highlight w:val="none"/>
        </w:rPr>
        <w:t>月</w:t>
      </w:r>
      <w:r>
        <w:rPr>
          <w:rFonts w:ascii="宋体" w:hAnsi="宋体" w:cs="宋体"/>
          <w:color w:val="auto"/>
          <w:spacing w:val="4"/>
          <w:kern w:val="0"/>
          <w:sz w:val="24"/>
          <w:szCs w:val="24"/>
          <w:highlight w:val="none"/>
        </w:rPr>
        <w:t xml:space="preserve">    </w:t>
      </w:r>
      <w:r>
        <w:rPr>
          <w:rFonts w:hint="eastAsia" w:ascii="宋体" w:hAnsi="宋体" w:cs="宋体"/>
          <w:color w:val="auto"/>
          <w:spacing w:val="4"/>
          <w:kern w:val="0"/>
          <w:sz w:val="24"/>
          <w:szCs w:val="24"/>
          <w:highlight w:val="none"/>
        </w:rPr>
        <w:t>日</w:t>
      </w:r>
    </w:p>
    <w:p>
      <w:pPr>
        <w:pStyle w:val="6"/>
        <w:rPr>
          <w:color w:val="auto"/>
          <w:highlight w:val="none"/>
        </w:rPr>
      </w:pPr>
      <w:r>
        <w:rPr>
          <w:color w:val="auto"/>
          <w:highlight w:val="none"/>
        </w:rPr>
        <w:br w:type="page"/>
      </w:r>
    </w:p>
    <w:p>
      <w:pPr>
        <w:pStyle w:val="6"/>
        <w:rPr>
          <w:color w:val="auto"/>
          <w:highlight w:val="none"/>
        </w:rPr>
      </w:pPr>
      <w:bookmarkStart w:id="209" w:name="_Toc60070626"/>
      <w:bookmarkStart w:id="210" w:name="_Toc13170"/>
      <w:bookmarkStart w:id="211" w:name="_Toc4104"/>
      <w:bookmarkStart w:id="212" w:name="_Toc1436"/>
      <w:bookmarkStart w:id="213" w:name="_Toc18790"/>
      <w:bookmarkStart w:id="214" w:name="_Toc112397834"/>
      <w:r>
        <w:rPr>
          <w:rFonts w:hint="eastAsia"/>
          <w:color w:val="auto"/>
          <w:highlight w:val="none"/>
        </w:rPr>
        <w:t>格式六：</w:t>
      </w:r>
      <w:bookmarkEnd w:id="209"/>
      <w:bookmarkEnd w:id="210"/>
      <w:bookmarkEnd w:id="211"/>
      <w:bookmarkEnd w:id="212"/>
      <w:bookmarkEnd w:id="213"/>
      <w:bookmarkEnd w:id="214"/>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t>企业业绩信息表</w:t>
      </w:r>
    </w:p>
    <w:p>
      <w:pPr>
        <w:rPr>
          <w:rFonts w:ascii="宋体" w:hAnsi="宋体"/>
          <w:color w:val="auto"/>
          <w:sz w:val="24"/>
          <w:szCs w:val="24"/>
          <w:highlight w:val="none"/>
        </w:rPr>
      </w:pPr>
    </w:p>
    <w:tbl>
      <w:tblPr>
        <w:tblStyle w:val="49"/>
        <w:tblpPr w:leftFromText="180" w:rightFromText="180" w:vertAnchor="text" w:horzAnchor="margin" w:tblpXSpec="center" w:tblpY="-2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2163"/>
        <w:gridCol w:w="2693"/>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6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类似工程业绩</w:t>
            </w:r>
          </w:p>
        </w:tc>
        <w:tc>
          <w:tcPr>
            <w:tcW w:w="2163"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color w:val="auto"/>
                <w:sz w:val="24"/>
                <w:szCs w:val="24"/>
                <w:highlight w:val="none"/>
              </w:rPr>
            </w:pPr>
            <w:r>
              <w:rPr>
                <w:rFonts w:hint="eastAsia" w:ascii="宋体" w:hAnsi="宋体"/>
                <w:color w:val="auto"/>
                <w:sz w:val="24"/>
                <w:szCs w:val="24"/>
                <w:highlight w:val="none"/>
              </w:rPr>
              <w:t>工程名称</w:t>
            </w:r>
          </w:p>
        </w:tc>
        <w:tc>
          <w:tcPr>
            <w:tcW w:w="26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ascii="宋体" w:hAnsi="宋体" w:cs="宋体"/>
                <w:bCs/>
                <w:color w:val="auto"/>
                <w:sz w:val="24"/>
                <w:szCs w:val="24"/>
                <w:highlight w:val="none"/>
                <w:lang w:val="zh-CN"/>
              </w:rPr>
              <w:t xml:space="preserve"> 金额</w:t>
            </w:r>
          </w:p>
        </w:tc>
        <w:tc>
          <w:tcPr>
            <w:tcW w:w="29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64" w:type="dxa"/>
            <w:vMerge w:val="continue"/>
            <w:tcBorders>
              <w:left w:val="single" w:color="auto" w:sz="4" w:space="0"/>
              <w:right w:val="single" w:color="auto" w:sz="4" w:space="0"/>
            </w:tcBorders>
            <w:vAlign w:val="center"/>
          </w:tcPr>
          <w:p>
            <w:pPr>
              <w:widowControl/>
              <w:jc w:val="center"/>
              <w:rPr>
                <w:rFonts w:ascii="宋体" w:hAnsi="宋体" w:cs="宋体"/>
                <w:bCs/>
                <w:color w:val="auto"/>
                <w:sz w:val="24"/>
                <w:szCs w:val="24"/>
                <w:highlight w:val="none"/>
                <w:lang w:val="zh-CN"/>
              </w:rPr>
            </w:pPr>
          </w:p>
        </w:tc>
        <w:tc>
          <w:tcPr>
            <w:tcW w:w="2163" w:type="dxa"/>
            <w:tcBorders>
              <w:left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p>
        </w:tc>
        <w:tc>
          <w:tcPr>
            <w:tcW w:w="26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p>
        </w:tc>
        <w:tc>
          <w:tcPr>
            <w:tcW w:w="29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64" w:type="dxa"/>
            <w:vMerge w:val="continue"/>
            <w:tcBorders>
              <w:left w:val="single" w:color="auto" w:sz="4" w:space="0"/>
              <w:right w:val="single" w:color="auto" w:sz="4" w:space="0"/>
            </w:tcBorders>
            <w:vAlign w:val="center"/>
          </w:tcPr>
          <w:p>
            <w:pPr>
              <w:widowControl/>
              <w:jc w:val="center"/>
              <w:rPr>
                <w:rFonts w:ascii="宋体" w:hAnsi="宋体" w:cs="宋体"/>
                <w:bCs/>
                <w:color w:val="auto"/>
                <w:sz w:val="24"/>
                <w:szCs w:val="24"/>
                <w:highlight w:val="none"/>
                <w:lang w:val="zh-CN"/>
              </w:rPr>
            </w:pPr>
          </w:p>
        </w:tc>
        <w:tc>
          <w:tcPr>
            <w:tcW w:w="2163" w:type="dxa"/>
            <w:tcBorders>
              <w:left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p>
        </w:tc>
        <w:tc>
          <w:tcPr>
            <w:tcW w:w="26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p>
        </w:tc>
        <w:tc>
          <w:tcPr>
            <w:tcW w:w="29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64" w:type="dxa"/>
            <w:vMerge w:val="restart"/>
            <w:tcBorders>
              <w:left w:val="single" w:color="auto" w:sz="4" w:space="0"/>
              <w:right w:val="single" w:color="auto" w:sz="4" w:space="0"/>
            </w:tcBorders>
            <w:vAlign w:val="center"/>
          </w:tcPr>
          <w:p>
            <w:pPr>
              <w:widowControl/>
              <w:jc w:val="center"/>
              <w:rPr>
                <w:rFonts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获奖情况</w:t>
            </w:r>
          </w:p>
        </w:tc>
        <w:tc>
          <w:tcPr>
            <w:tcW w:w="2163" w:type="dxa"/>
            <w:tcBorders>
              <w:left w:val="single" w:color="auto" w:sz="4" w:space="0"/>
              <w:right w:val="single" w:color="auto" w:sz="4" w:space="0"/>
            </w:tcBorders>
            <w:vAlign w:val="center"/>
          </w:tcPr>
          <w:p>
            <w:pPr>
              <w:autoSpaceDE w:val="0"/>
              <w:autoSpaceDN w:val="0"/>
              <w:adjustRightInd w:val="0"/>
              <w:jc w:val="center"/>
              <w:rPr>
                <w:rFonts w:ascii="宋体" w:hAnsi="宋体"/>
                <w:color w:val="auto"/>
                <w:sz w:val="24"/>
                <w:szCs w:val="24"/>
                <w:highlight w:val="none"/>
              </w:rPr>
            </w:pPr>
            <w:r>
              <w:rPr>
                <w:rFonts w:hint="eastAsia" w:ascii="宋体" w:hAnsi="宋体"/>
                <w:color w:val="auto"/>
                <w:sz w:val="24"/>
                <w:szCs w:val="24"/>
                <w:highlight w:val="none"/>
              </w:rPr>
              <w:t>工程名称</w:t>
            </w:r>
          </w:p>
        </w:tc>
        <w:tc>
          <w:tcPr>
            <w:tcW w:w="26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所获奖项</w:t>
            </w:r>
          </w:p>
        </w:tc>
        <w:tc>
          <w:tcPr>
            <w:tcW w:w="29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64" w:type="dxa"/>
            <w:vMerge w:val="continue"/>
            <w:tcBorders>
              <w:left w:val="single" w:color="auto" w:sz="4" w:space="0"/>
              <w:right w:val="single" w:color="auto" w:sz="4" w:space="0"/>
            </w:tcBorders>
            <w:vAlign w:val="center"/>
          </w:tcPr>
          <w:p>
            <w:pPr>
              <w:widowControl/>
              <w:jc w:val="center"/>
              <w:rPr>
                <w:rFonts w:ascii="宋体" w:hAnsi="宋体" w:cs="宋体"/>
                <w:bCs/>
                <w:color w:val="auto"/>
                <w:sz w:val="24"/>
                <w:szCs w:val="24"/>
                <w:highlight w:val="none"/>
                <w:lang w:val="zh-CN"/>
              </w:rPr>
            </w:pPr>
          </w:p>
        </w:tc>
        <w:tc>
          <w:tcPr>
            <w:tcW w:w="2163" w:type="dxa"/>
            <w:tcBorders>
              <w:left w:val="single" w:color="auto" w:sz="4" w:space="0"/>
              <w:right w:val="single" w:color="auto" w:sz="4" w:space="0"/>
            </w:tcBorders>
          </w:tcPr>
          <w:p>
            <w:pPr>
              <w:autoSpaceDE w:val="0"/>
              <w:autoSpaceDN w:val="0"/>
              <w:adjustRightInd w:val="0"/>
              <w:jc w:val="center"/>
              <w:rPr>
                <w:rFonts w:ascii="宋体" w:hAnsi="宋体" w:cs="宋体"/>
                <w:bCs/>
                <w:color w:val="auto"/>
                <w:sz w:val="24"/>
                <w:szCs w:val="24"/>
                <w:highlight w:val="none"/>
                <w:lang w:val="zh-CN"/>
              </w:rPr>
            </w:pPr>
          </w:p>
        </w:tc>
        <w:tc>
          <w:tcPr>
            <w:tcW w:w="26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p>
        </w:tc>
        <w:tc>
          <w:tcPr>
            <w:tcW w:w="29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64" w:type="dxa"/>
            <w:vMerge w:val="continue"/>
            <w:tcBorders>
              <w:left w:val="single" w:color="auto" w:sz="4" w:space="0"/>
              <w:right w:val="single" w:color="auto" w:sz="4" w:space="0"/>
            </w:tcBorders>
            <w:vAlign w:val="center"/>
          </w:tcPr>
          <w:p>
            <w:pPr>
              <w:widowControl/>
              <w:jc w:val="center"/>
              <w:rPr>
                <w:rFonts w:ascii="宋体" w:hAnsi="宋体" w:cs="宋体"/>
                <w:bCs/>
                <w:color w:val="auto"/>
                <w:sz w:val="24"/>
                <w:szCs w:val="24"/>
                <w:highlight w:val="none"/>
                <w:lang w:val="zh-CN"/>
              </w:rPr>
            </w:pPr>
          </w:p>
        </w:tc>
        <w:tc>
          <w:tcPr>
            <w:tcW w:w="2163" w:type="dxa"/>
            <w:tcBorders>
              <w:left w:val="single" w:color="auto" w:sz="4" w:space="0"/>
              <w:right w:val="single" w:color="auto" w:sz="4" w:space="0"/>
            </w:tcBorders>
          </w:tcPr>
          <w:p>
            <w:pPr>
              <w:autoSpaceDE w:val="0"/>
              <w:autoSpaceDN w:val="0"/>
              <w:adjustRightInd w:val="0"/>
              <w:jc w:val="center"/>
              <w:rPr>
                <w:rFonts w:ascii="宋体" w:hAnsi="宋体" w:cs="宋体"/>
                <w:bCs/>
                <w:color w:val="auto"/>
                <w:sz w:val="24"/>
                <w:szCs w:val="24"/>
                <w:highlight w:val="none"/>
                <w:lang w:val="zh-CN"/>
              </w:rPr>
            </w:pPr>
          </w:p>
        </w:tc>
        <w:tc>
          <w:tcPr>
            <w:tcW w:w="26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p>
        </w:tc>
        <w:tc>
          <w:tcPr>
            <w:tcW w:w="29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p>
        </w:tc>
      </w:tr>
    </w:tbl>
    <w:p>
      <w:pPr>
        <w:pStyle w:val="6"/>
        <w:rPr>
          <w:color w:val="auto"/>
          <w:highlight w:val="none"/>
        </w:rPr>
      </w:pPr>
      <w:r>
        <w:rPr>
          <w:color w:val="auto"/>
          <w:highlight w:val="none"/>
        </w:rPr>
        <w:br w:type="page"/>
      </w:r>
    </w:p>
    <w:p>
      <w:pPr>
        <w:pStyle w:val="6"/>
        <w:rPr>
          <w:bCs/>
          <w:color w:val="auto"/>
          <w:highlight w:val="none"/>
          <w:lang w:val="zh-CN"/>
        </w:rPr>
      </w:pPr>
      <w:bookmarkStart w:id="215" w:name="_Toc20669"/>
      <w:bookmarkStart w:id="216" w:name="_Toc60070629"/>
      <w:bookmarkStart w:id="217" w:name="_Toc26225"/>
      <w:bookmarkStart w:id="218" w:name="_Toc30435"/>
      <w:bookmarkStart w:id="219" w:name="_Toc112397835"/>
      <w:bookmarkStart w:id="220" w:name="_Toc31520"/>
      <w:r>
        <w:rPr>
          <w:rFonts w:hint="eastAsia"/>
          <w:color w:val="auto"/>
          <w:highlight w:val="none"/>
        </w:rPr>
        <w:t>格式七：</w:t>
      </w:r>
      <w:bookmarkEnd w:id="215"/>
      <w:bookmarkEnd w:id="216"/>
      <w:bookmarkEnd w:id="217"/>
      <w:bookmarkEnd w:id="218"/>
      <w:bookmarkEnd w:id="219"/>
      <w:bookmarkEnd w:id="220"/>
    </w:p>
    <w:p>
      <w:pPr>
        <w:autoSpaceDE w:val="0"/>
        <w:autoSpaceDN w:val="0"/>
        <w:adjustRightInd w:val="0"/>
        <w:spacing w:line="36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拟投入本工程施工的主要机械设备配备表</w:t>
      </w:r>
    </w:p>
    <w:tbl>
      <w:tblPr>
        <w:tblStyle w:val="4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0"/>
        <w:gridCol w:w="2563"/>
        <w:gridCol w:w="2024"/>
        <w:gridCol w:w="1559"/>
        <w:gridCol w:w="15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3"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r>
              <w:rPr>
                <w:rFonts w:hint="eastAsia" w:ascii="宋体" w:hAnsi="宋体" w:cs="宋体"/>
                <w:color w:val="auto"/>
                <w:sz w:val="24"/>
                <w:szCs w:val="24"/>
                <w:highlight w:val="none"/>
              </w:rPr>
              <w:t>序号</w:t>
            </w:r>
          </w:p>
        </w:tc>
        <w:tc>
          <w:tcPr>
            <w:tcW w:w="2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r>
              <w:rPr>
                <w:rFonts w:hint="eastAsia" w:ascii="宋体" w:hAnsi="宋体" w:cs="宋体"/>
                <w:color w:val="auto"/>
                <w:sz w:val="24"/>
                <w:szCs w:val="24"/>
                <w:highlight w:val="none"/>
              </w:rPr>
              <w:t>设备名称</w:t>
            </w:r>
          </w:p>
        </w:tc>
        <w:tc>
          <w:tcPr>
            <w:tcW w:w="20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r>
              <w:rPr>
                <w:rFonts w:hint="eastAsia" w:ascii="宋体" w:hAnsi="宋体" w:cs="宋体"/>
                <w:color w:val="auto"/>
                <w:sz w:val="24"/>
                <w:szCs w:val="24"/>
                <w:highlight w:val="none"/>
              </w:rPr>
              <w:t>投入总数量</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r>
              <w:rPr>
                <w:rFonts w:hint="eastAsia" w:ascii="宋体" w:hAnsi="宋体" w:cs="宋体"/>
                <w:color w:val="auto"/>
                <w:sz w:val="24"/>
                <w:szCs w:val="24"/>
                <w:highlight w:val="none"/>
              </w:rPr>
              <w:t>来源</w:t>
            </w:r>
            <w:r>
              <w:rPr>
                <w:rFonts w:ascii="宋体" w:hAnsi="宋体" w:cs="宋体"/>
                <w:color w:val="auto"/>
                <w:sz w:val="24"/>
                <w:szCs w:val="24"/>
                <w:highlight w:val="none"/>
              </w:rPr>
              <w:t>(自有/</w:t>
            </w:r>
            <w:r>
              <w:rPr>
                <w:rFonts w:hint="eastAsia" w:ascii="宋体" w:hAnsi="宋体" w:cs="宋体"/>
                <w:color w:val="auto"/>
                <w:sz w:val="24"/>
                <w:szCs w:val="24"/>
                <w:highlight w:val="none"/>
              </w:rPr>
              <w:t>租赁</w:t>
            </w:r>
            <w:r>
              <w:rPr>
                <w:rFonts w:ascii="宋体" w:hAnsi="宋体" w:cs="宋体"/>
                <w:color w:val="auto"/>
                <w:sz w:val="24"/>
                <w:szCs w:val="24"/>
                <w:highlight w:val="none"/>
              </w:rPr>
              <w:t>)</w:t>
            </w: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r>
              <w:rPr>
                <w:rFonts w:hint="eastAsia" w:ascii="宋体" w:hAnsi="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2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20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2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20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2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20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2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20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2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20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c>
          <w:tcPr>
            <w:tcW w:w="1545" w:type="dxa"/>
            <w:tcBorders>
              <w:top w:val="single" w:color="auto" w:sz="4" w:space="0"/>
              <w:left w:val="single" w:color="auto" w:sz="4" w:space="0"/>
              <w:right w:val="single" w:color="auto" w:sz="4" w:space="0"/>
            </w:tcBorders>
            <w:vAlign w:val="center"/>
          </w:tcPr>
          <w:p>
            <w:pPr>
              <w:spacing w:line="240" w:lineRule="exact"/>
              <w:jc w:val="center"/>
              <w:textAlignment w:val="center"/>
              <w:rPr>
                <w:rFonts w:ascii="宋体" w:hAnsi="宋体" w:cs="宋体"/>
                <w:color w:val="auto"/>
                <w:sz w:val="24"/>
                <w:szCs w:val="24"/>
                <w:highlight w:val="none"/>
              </w:rPr>
            </w:pPr>
          </w:p>
        </w:tc>
      </w:tr>
    </w:tbl>
    <w:p>
      <w:pPr>
        <w:topLinePunct/>
        <w:adjustRightInd w:val="0"/>
        <w:snapToGrid w:val="0"/>
        <w:spacing w:line="240" w:lineRule="auto"/>
        <w:ind w:firstLine="0" w:firstLineChars="0"/>
        <w:jc w:val="left"/>
        <w:rPr>
          <w:rFonts w:ascii="宋体" w:hAnsi="宋体" w:cs="宋体"/>
          <w:snapToGrid w:val="0"/>
          <w:color w:val="auto"/>
          <w:spacing w:val="4"/>
          <w:kern w:val="0"/>
          <w:sz w:val="21"/>
          <w:szCs w:val="21"/>
          <w:highlight w:val="none"/>
        </w:rPr>
      </w:pPr>
      <w:r>
        <w:rPr>
          <w:rFonts w:hint="eastAsia" w:ascii="宋体" w:hAnsi="宋体" w:cs="宋体"/>
          <w:snapToGrid w:val="0"/>
          <w:color w:val="auto"/>
          <w:spacing w:val="4"/>
          <w:kern w:val="0"/>
          <w:sz w:val="21"/>
          <w:szCs w:val="21"/>
          <w:highlight w:val="none"/>
        </w:rPr>
        <w:t>注：</w:t>
      </w:r>
      <w:r>
        <w:rPr>
          <w:rFonts w:ascii="宋体" w:hAnsi="宋体" w:cs="宋体"/>
          <w:snapToGrid w:val="0"/>
          <w:color w:val="auto"/>
          <w:spacing w:val="4"/>
          <w:kern w:val="0"/>
          <w:sz w:val="21"/>
          <w:szCs w:val="21"/>
          <w:highlight w:val="none"/>
        </w:rPr>
        <w:t>1</w:t>
      </w:r>
      <w:r>
        <w:rPr>
          <w:rFonts w:hint="eastAsia" w:ascii="宋体" w:hAnsi="宋体" w:cs="宋体"/>
          <w:snapToGrid w:val="0"/>
          <w:color w:val="auto"/>
          <w:spacing w:val="4"/>
          <w:kern w:val="0"/>
          <w:sz w:val="21"/>
          <w:szCs w:val="21"/>
          <w:highlight w:val="none"/>
        </w:rPr>
        <w:t>、设备名称及要求数量由投标人视本工程具体情况结合招标人对本工程的具体要求自行配备。</w:t>
      </w:r>
    </w:p>
    <w:p>
      <w:pPr>
        <w:ind w:right="-130" w:rightChars="-62"/>
        <w:rPr>
          <w:rFonts w:ascii="宋体" w:hAnsi="宋体"/>
          <w:color w:val="auto"/>
          <w:highlight w:val="none"/>
        </w:rPr>
      </w:pPr>
      <w:r>
        <w:rPr>
          <w:rFonts w:ascii="宋体" w:hAnsi="宋体" w:cs="宋体"/>
          <w:snapToGrid w:val="0"/>
          <w:color w:val="auto"/>
          <w:spacing w:val="4"/>
          <w:kern w:val="0"/>
          <w:sz w:val="21"/>
          <w:szCs w:val="21"/>
          <w:highlight w:val="none"/>
        </w:rPr>
        <w:t>2</w:t>
      </w:r>
      <w:r>
        <w:rPr>
          <w:rFonts w:hint="eastAsia" w:ascii="宋体" w:hAnsi="宋体" w:cs="宋体"/>
          <w:snapToGrid w:val="0"/>
          <w:color w:val="auto"/>
          <w:spacing w:val="4"/>
          <w:kern w:val="0"/>
          <w:sz w:val="21"/>
          <w:szCs w:val="21"/>
          <w:highlight w:val="none"/>
        </w:rPr>
        <w:t>、为贯彻绿色发展理念，本项目应积极使用燃料电池汽车等新能源工程车，要求投标人投入的新能源工程车占投入的建筑垃圾自卸车（渣土车）总数比例不低于</w:t>
      </w:r>
      <w:r>
        <w:rPr>
          <w:rFonts w:ascii="宋体" w:hAnsi="宋体" w:cs="宋体"/>
          <w:snapToGrid w:val="0"/>
          <w:color w:val="auto"/>
          <w:spacing w:val="4"/>
          <w:kern w:val="0"/>
          <w:sz w:val="21"/>
          <w:szCs w:val="21"/>
          <w:highlight w:val="none"/>
        </w:rPr>
        <w:t>40%</w:t>
      </w:r>
      <w:r>
        <w:rPr>
          <w:rFonts w:hint="eastAsia" w:ascii="宋体" w:hAnsi="宋体" w:cs="宋体"/>
          <w:snapToGrid w:val="0"/>
          <w:color w:val="auto"/>
          <w:spacing w:val="4"/>
          <w:kern w:val="0"/>
          <w:sz w:val="21"/>
          <w:szCs w:val="21"/>
          <w:highlight w:val="none"/>
        </w:rPr>
        <w:t>。一旦中标，必须全部到位，否则按合同违约处理。</w:t>
      </w:r>
    </w:p>
    <w:p>
      <w:pPr>
        <w:topLinePunct/>
        <w:adjustRightInd w:val="0"/>
        <w:snapToGrid w:val="0"/>
        <w:spacing w:line="360" w:lineRule="auto"/>
        <w:ind w:firstLine="3161" w:firstLineChars="1450"/>
        <w:rPr>
          <w:rFonts w:ascii="宋体" w:hAnsi="宋体"/>
          <w:snapToGrid w:val="0"/>
          <w:color w:val="auto"/>
          <w:spacing w:val="4"/>
          <w:kern w:val="0"/>
          <w:szCs w:val="21"/>
          <w:highlight w:val="none"/>
        </w:rPr>
      </w:pPr>
    </w:p>
    <w:p>
      <w:pPr>
        <w:topLinePunct/>
        <w:adjustRightInd w:val="0"/>
        <w:snapToGrid w:val="0"/>
        <w:spacing w:line="360" w:lineRule="auto"/>
        <w:ind w:firstLine="691" w:firstLineChars="279"/>
        <w:rPr>
          <w:rFonts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投</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标</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人：</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（盖章）</w:t>
      </w:r>
    </w:p>
    <w:p>
      <w:pPr>
        <w:topLinePunct/>
        <w:adjustRightInd w:val="0"/>
        <w:snapToGrid w:val="0"/>
        <w:spacing w:line="360" w:lineRule="auto"/>
        <w:ind w:firstLine="691" w:firstLineChars="279"/>
        <w:rPr>
          <w:rFonts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法定代表人或授权代理人（签字或盖章）：</w:t>
      </w:r>
    </w:p>
    <w:p>
      <w:pPr>
        <w:topLinePunct/>
        <w:adjustRightInd w:val="0"/>
        <w:snapToGrid w:val="0"/>
        <w:spacing w:line="360" w:lineRule="auto"/>
        <w:ind w:firstLine="691" w:firstLineChars="279"/>
        <w:jc w:val="left"/>
        <w:rPr>
          <w:rFonts w:ascii="宋体" w:hAnsi="宋体"/>
          <w:snapToGrid w:val="0"/>
          <w:color w:val="auto"/>
          <w:spacing w:val="4"/>
          <w:kern w:val="0"/>
          <w:szCs w:val="21"/>
          <w:highlight w:val="none"/>
        </w:rPr>
      </w:pPr>
      <w:r>
        <w:rPr>
          <w:rFonts w:hint="eastAsia" w:ascii="宋体" w:hAnsi="宋体" w:cs="宋体"/>
          <w:snapToGrid w:val="0"/>
          <w:color w:val="auto"/>
          <w:spacing w:val="4"/>
          <w:kern w:val="0"/>
          <w:sz w:val="24"/>
          <w:szCs w:val="24"/>
          <w:highlight w:val="none"/>
        </w:rPr>
        <w:t>日</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期：</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年</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月</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日</w:t>
      </w:r>
    </w:p>
    <w:p>
      <w:pPr>
        <w:rPr>
          <w:rFonts w:ascii="宋体" w:hAnsi="宋体"/>
          <w:color w:val="auto"/>
          <w:highlight w:val="none"/>
        </w:rPr>
      </w:pPr>
    </w:p>
    <w:p>
      <w:pPr>
        <w:widowControl/>
        <w:jc w:val="left"/>
        <w:rPr>
          <w:rFonts w:ascii="宋体" w:hAnsi="宋体"/>
          <w:color w:val="auto"/>
          <w:highlight w:val="none"/>
        </w:rPr>
      </w:pPr>
      <w:r>
        <w:rPr>
          <w:rFonts w:ascii="宋体" w:hAnsi="宋体"/>
          <w:color w:val="auto"/>
          <w:highlight w:val="none"/>
        </w:rPr>
        <w:br w:type="page"/>
      </w:r>
    </w:p>
    <w:p>
      <w:pPr>
        <w:pStyle w:val="6"/>
        <w:rPr>
          <w:color w:val="auto"/>
          <w:highlight w:val="none"/>
        </w:rPr>
      </w:pPr>
      <w:bookmarkStart w:id="221" w:name="_Toc11542"/>
      <w:bookmarkStart w:id="222" w:name="_Toc60070630"/>
      <w:bookmarkStart w:id="223" w:name="_Toc27175"/>
      <w:bookmarkStart w:id="224" w:name="_Toc32271"/>
      <w:bookmarkStart w:id="225" w:name="_Toc17793"/>
      <w:bookmarkStart w:id="226" w:name="_Toc112397836"/>
      <w:bookmarkStart w:id="227" w:name="_Toc58838602"/>
      <w:r>
        <w:rPr>
          <w:rFonts w:hint="eastAsia"/>
          <w:color w:val="auto"/>
          <w:highlight w:val="none"/>
        </w:rPr>
        <w:t>格式八：</w:t>
      </w:r>
      <w:bookmarkEnd w:id="221"/>
      <w:bookmarkEnd w:id="222"/>
      <w:bookmarkEnd w:id="223"/>
      <w:bookmarkEnd w:id="224"/>
      <w:bookmarkEnd w:id="225"/>
      <w:bookmarkEnd w:id="226"/>
    </w:p>
    <w:p>
      <w:pPr>
        <w:jc w:val="center"/>
        <w:rPr>
          <w:rFonts w:ascii="宋体" w:hAnsi="宋体"/>
          <w:b/>
          <w:color w:val="auto"/>
          <w:sz w:val="36"/>
          <w:szCs w:val="36"/>
          <w:highlight w:val="none"/>
        </w:rPr>
      </w:pPr>
      <w:r>
        <w:rPr>
          <w:rFonts w:hint="eastAsia" w:ascii="宋体" w:hAnsi="宋体"/>
          <w:b/>
          <w:color w:val="auto"/>
          <w:sz w:val="36"/>
          <w:szCs w:val="36"/>
          <w:highlight w:val="none"/>
        </w:rPr>
        <w:t>危险性较大的分部分项工程安全管理措施</w:t>
      </w:r>
      <w:bookmarkEnd w:id="227"/>
    </w:p>
    <w:p>
      <w:pPr>
        <w:numPr>
          <w:ilvl w:val="0"/>
          <w:numId w:val="9"/>
        </w:numPr>
        <w:autoSpaceDE w:val="0"/>
        <w:autoSpaceDN w:val="0"/>
        <w:adjustRightInd w:val="0"/>
        <w:spacing w:line="360" w:lineRule="auto"/>
        <w:jc w:val="left"/>
        <w:rPr>
          <w:rFonts w:ascii="宋体" w:hAnsi="宋体"/>
          <w:snapToGrid w:val="0"/>
          <w:color w:val="auto"/>
          <w:spacing w:val="4"/>
          <w:kern w:val="0"/>
          <w:sz w:val="24"/>
          <w:szCs w:val="24"/>
          <w:highlight w:val="none"/>
        </w:rPr>
      </w:pPr>
      <w:r>
        <w:rPr>
          <w:rFonts w:hint="eastAsia" w:ascii="宋体" w:hAnsi="宋体"/>
          <w:color w:val="auto"/>
          <w:sz w:val="24"/>
          <w:szCs w:val="28"/>
          <w:highlight w:val="none"/>
        </w:rPr>
        <w:t>根据中华人民共和国住房和城乡建设部令第</w:t>
      </w:r>
      <w:r>
        <w:rPr>
          <w:rFonts w:ascii="宋体" w:hAnsi="宋体"/>
          <w:color w:val="auto"/>
          <w:sz w:val="24"/>
          <w:szCs w:val="28"/>
          <w:highlight w:val="none"/>
        </w:rPr>
        <w:t>37号《危险性较大的分部分项工程安全管理规定》（以下简称“37号文”），投标人在投标时须补充完善危大工程清单并</w:t>
      </w:r>
      <w:r>
        <w:rPr>
          <w:rFonts w:hint="eastAsia" w:ascii="宋体" w:hAnsi="宋体"/>
          <w:snapToGrid w:val="0"/>
          <w:color w:val="auto"/>
          <w:spacing w:val="4"/>
          <w:kern w:val="0"/>
          <w:sz w:val="24"/>
          <w:szCs w:val="24"/>
          <w:highlight w:val="none"/>
        </w:rPr>
        <w:t>结合本工程的类型和特点，科学、合理地设置本项目的危险性较大的分部分项工程安全管理措施，危险性较大的分部分项工程安全管理措施由投标人结合招标人对本工程的具体要求自行设定。</w:t>
      </w:r>
    </w:p>
    <w:p>
      <w:pPr>
        <w:numPr>
          <w:ilvl w:val="0"/>
          <w:numId w:val="9"/>
        </w:numPr>
        <w:autoSpaceDE w:val="0"/>
        <w:autoSpaceDN w:val="0"/>
        <w:adjustRightInd w:val="0"/>
        <w:spacing w:line="360" w:lineRule="auto"/>
        <w:jc w:val="left"/>
        <w:rPr>
          <w:rFonts w:ascii="宋体" w:hAnsi="宋体"/>
          <w:color w:val="auto"/>
          <w:sz w:val="24"/>
          <w:szCs w:val="28"/>
          <w:highlight w:val="none"/>
        </w:rPr>
      </w:pPr>
      <w:r>
        <w:rPr>
          <w:rFonts w:hint="eastAsia" w:ascii="宋体" w:hAnsi="宋体"/>
          <w:color w:val="auto"/>
          <w:sz w:val="24"/>
          <w:szCs w:val="28"/>
          <w:highlight w:val="none"/>
        </w:rPr>
        <w:t>招标人根据设计文件的要求及</w:t>
      </w:r>
      <w:r>
        <w:rPr>
          <w:rFonts w:ascii="宋体" w:hAnsi="宋体"/>
          <w:color w:val="auto"/>
          <w:sz w:val="24"/>
          <w:szCs w:val="28"/>
          <w:highlight w:val="none"/>
        </w:rPr>
        <w:t>37号文的规定列出“危险性较大的分部分项工程清单及超过一定规模的危险性较大的分部分项工程清单”中与本招标项目相关的清单项，具体详见第5点“打</w:t>
      </w:r>
      <w:r>
        <w:rPr>
          <w:rFonts w:hint="eastAsia" w:ascii="宋体" w:hAnsi="宋体"/>
          <w:color w:val="auto"/>
          <w:sz w:val="24"/>
          <w:szCs w:val="36"/>
          <w:highlight w:val="none"/>
        </w:rPr>
        <w:t>√”标识。</w:t>
      </w:r>
    </w:p>
    <w:p>
      <w:pPr>
        <w:numPr>
          <w:ilvl w:val="0"/>
          <w:numId w:val="10"/>
        </w:numPr>
        <w:autoSpaceDE w:val="0"/>
        <w:autoSpaceDN w:val="0"/>
        <w:adjustRightInd w:val="0"/>
        <w:spacing w:line="360" w:lineRule="auto"/>
        <w:jc w:val="left"/>
        <w:rPr>
          <w:rFonts w:ascii="宋体" w:hAnsi="宋体"/>
          <w:color w:val="auto"/>
          <w:sz w:val="24"/>
          <w:szCs w:val="36"/>
          <w:highlight w:val="none"/>
        </w:rPr>
      </w:pPr>
      <w:r>
        <w:rPr>
          <w:rFonts w:hint="eastAsia" w:ascii="宋体" w:hAnsi="宋体"/>
          <w:color w:val="auto"/>
          <w:sz w:val="24"/>
          <w:szCs w:val="28"/>
          <w:highlight w:val="none"/>
        </w:rPr>
        <w:t>投标单位同意招标人在清单中标识的该项请在对应项打“</w:t>
      </w:r>
      <w:r>
        <w:rPr>
          <w:rFonts w:hint="eastAsia" w:ascii="宋体" w:hAnsi="宋体"/>
          <w:color w:val="auto"/>
          <w:sz w:val="24"/>
          <w:szCs w:val="36"/>
          <w:highlight w:val="none"/>
        </w:rPr>
        <w:t>√”标识，并在投标文件中提供相应的安全管理措施。</w:t>
      </w:r>
    </w:p>
    <w:p>
      <w:pPr>
        <w:numPr>
          <w:ilvl w:val="0"/>
          <w:numId w:val="10"/>
        </w:numPr>
        <w:autoSpaceDE w:val="0"/>
        <w:autoSpaceDN w:val="0"/>
        <w:adjustRightInd w:val="0"/>
        <w:spacing w:line="360" w:lineRule="auto"/>
        <w:jc w:val="left"/>
        <w:rPr>
          <w:rFonts w:ascii="宋体" w:hAnsi="宋体"/>
          <w:color w:val="auto"/>
          <w:sz w:val="24"/>
          <w:szCs w:val="36"/>
          <w:highlight w:val="none"/>
        </w:rPr>
      </w:pPr>
      <w:r>
        <w:rPr>
          <w:rFonts w:hint="eastAsia" w:ascii="宋体" w:hAnsi="宋体"/>
          <w:color w:val="auto"/>
          <w:sz w:val="24"/>
          <w:szCs w:val="28"/>
          <w:highlight w:val="none"/>
        </w:rPr>
        <w:t>投标单位对清单中认为需要补充的该项请在对应项打“</w:t>
      </w:r>
      <w:r>
        <w:rPr>
          <w:rFonts w:hint="eastAsia" w:ascii="宋体" w:hAnsi="宋体"/>
          <w:color w:val="auto"/>
          <w:sz w:val="24"/>
          <w:szCs w:val="36"/>
          <w:highlight w:val="none"/>
        </w:rPr>
        <w:t>√”标识，并在投标文件中提供相应的安全管理措施。</w:t>
      </w:r>
    </w:p>
    <w:p>
      <w:pPr>
        <w:numPr>
          <w:ilvl w:val="0"/>
          <w:numId w:val="10"/>
        </w:numPr>
        <w:autoSpaceDE w:val="0"/>
        <w:autoSpaceDN w:val="0"/>
        <w:adjustRightInd w:val="0"/>
        <w:spacing w:line="360" w:lineRule="auto"/>
        <w:jc w:val="left"/>
        <w:rPr>
          <w:rFonts w:ascii="宋体" w:hAnsi="宋体"/>
          <w:color w:val="auto"/>
          <w:sz w:val="24"/>
          <w:szCs w:val="28"/>
          <w:highlight w:val="none"/>
        </w:rPr>
      </w:pPr>
      <w:r>
        <w:rPr>
          <w:rFonts w:hint="eastAsia" w:ascii="宋体" w:hAnsi="宋体"/>
          <w:color w:val="auto"/>
          <w:sz w:val="24"/>
          <w:szCs w:val="36"/>
          <w:highlight w:val="none"/>
        </w:rPr>
        <w:t>投标单位不同意招标人</w:t>
      </w:r>
      <w:r>
        <w:rPr>
          <w:rFonts w:hint="eastAsia" w:ascii="宋体" w:hAnsi="宋体"/>
          <w:color w:val="auto"/>
          <w:sz w:val="24"/>
          <w:szCs w:val="28"/>
          <w:highlight w:val="none"/>
        </w:rPr>
        <w:t>在清单中标识的该项</w:t>
      </w:r>
      <w:r>
        <w:rPr>
          <w:rFonts w:hint="eastAsia" w:ascii="宋体" w:hAnsi="宋体"/>
          <w:color w:val="auto"/>
          <w:sz w:val="24"/>
          <w:szCs w:val="36"/>
          <w:highlight w:val="none"/>
        </w:rPr>
        <w:t>请在对应项打“×”标识，并在备注栏填上相关说明。</w:t>
      </w:r>
    </w:p>
    <w:p>
      <w:pPr>
        <w:numPr>
          <w:ilvl w:val="0"/>
          <w:numId w:val="9"/>
        </w:numPr>
        <w:autoSpaceDE w:val="0"/>
        <w:autoSpaceDN w:val="0"/>
        <w:adjustRightInd w:val="0"/>
        <w:spacing w:line="360" w:lineRule="auto"/>
        <w:jc w:val="left"/>
        <w:rPr>
          <w:rFonts w:ascii="宋体" w:hAnsi="宋体"/>
          <w:color w:val="auto"/>
          <w:sz w:val="24"/>
          <w:szCs w:val="28"/>
          <w:highlight w:val="none"/>
        </w:rPr>
      </w:pPr>
      <w:r>
        <w:rPr>
          <w:rFonts w:hint="eastAsia" w:ascii="宋体" w:hAnsi="宋体"/>
          <w:color w:val="auto"/>
          <w:sz w:val="24"/>
          <w:szCs w:val="28"/>
          <w:highlight w:val="none"/>
        </w:rPr>
        <w:t>投标单位应当在投标时根据招标人提供的下述第</w:t>
      </w:r>
      <w:r>
        <w:rPr>
          <w:rFonts w:ascii="宋体" w:hAnsi="宋体"/>
          <w:color w:val="auto"/>
          <w:sz w:val="24"/>
          <w:szCs w:val="28"/>
          <w:highlight w:val="none"/>
        </w:rPr>
        <w:t>5点清单，在投标文件中编制专项施工方案。</w:t>
      </w:r>
    </w:p>
    <w:p>
      <w:pPr>
        <w:numPr>
          <w:ilvl w:val="0"/>
          <w:numId w:val="9"/>
        </w:numPr>
        <w:autoSpaceDE w:val="0"/>
        <w:autoSpaceDN w:val="0"/>
        <w:adjustRightInd w:val="0"/>
        <w:spacing w:line="360" w:lineRule="auto"/>
        <w:jc w:val="left"/>
        <w:rPr>
          <w:rFonts w:ascii="宋体" w:hAnsi="宋体"/>
          <w:color w:val="auto"/>
          <w:sz w:val="24"/>
          <w:szCs w:val="28"/>
          <w:highlight w:val="none"/>
        </w:rPr>
      </w:pPr>
      <w:r>
        <w:rPr>
          <w:rFonts w:hint="eastAsia" w:ascii="宋体" w:hAnsi="宋体"/>
          <w:color w:val="auto"/>
          <w:sz w:val="24"/>
          <w:szCs w:val="28"/>
          <w:highlight w:val="none"/>
        </w:rPr>
        <w:t>对于超过一定规模的危大工程，中标单位应当组织召开专家论证会对专项施工方案进行论证。实行施工总承包的，由施工总承包单位组织召开专家论证会。专家论证前专项施工方案应当通过施工总承包单位审核和总监理工程师审查。</w:t>
      </w:r>
    </w:p>
    <w:p>
      <w:pPr>
        <w:numPr>
          <w:ilvl w:val="0"/>
          <w:numId w:val="9"/>
        </w:numPr>
        <w:autoSpaceDE w:val="0"/>
        <w:autoSpaceDN w:val="0"/>
        <w:adjustRightInd w:val="0"/>
        <w:spacing w:line="360" w:lineRule="auto"/>
        <w:jc w:val="left"/>
        <w:rPr>
          <w:rFonts w:ascii="宋体" w:hAnsi="宋体"/>
          <w:color w:val="auto"/>
          <w:sz w:val="24"/>
          <w:szCs w:val="28"/>
          <w:highlight w:val="none"/>
        </w:rPr>
      </w:pPr>
      <w:r>
        <w:rPr>
          <w:rFonts w:hint="eastAsia" w:ascii="宋体" w:hAnsi="宋体"/>
          <w:color w:val="auto"/>
          <w:sz w:val="24"/>
          <w:szCs w:val="28"/>
          <w:highlight w:val="none"/>
        </w:rPr>
        <w:t>危险性较大的分部分项工程清单及超过一定规模的危险性较大的分部分项工程清单：</w:t>
      </w:r>
    </w:p>
    <w:p>
      <w:pPr>
        <w:widowControl/>
        <w:jc w:val="left"/>
        <w:rPr>
          <w:rFonts w:ascii="宋体" w:hAnsi="宋体"/>
          <w:color w:val="auto"/>
          <w:sz w:val="24"/>
          <w:szCs w:val="28"/>
          <w:highlight w:val="none"/>
        </w:rPr>
      </w:pPr>
      <w:r>
        <w:rPr>
          <w:rFonts w:ascii="宋体" w:hAnsi="宋体"/>
          <w:color w:val="auto"/>
          <w:sz w:val="24"/>
          <w:szCs w:val="28"/>
          <w:highlight w:val="none"/>
        </w:rPr>
        <w:br w:type="page"/>
      </w:r>
    </w:p>
    <w:tbl>
      <w:tblPr>
        <w:tblStyle w:val="49"/>
        <w:tblW w:w="8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6"/>
        <w:gridCol w:w="1361"/>
        <w:gridCol w:w="1361"/>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786" w:type="dxa"/>
            <w:tcBorders>
              <w:top w:val="single" w:color="auto" w:sz="4" w:space="0"/>
              <w:left w:val="single" w:color="auto" w:sz="4" w:space="0"/>
              <w:bottom w:val="single" w:color="auto" w:sz="4" w:space="0"/>
              <w:right w:val="single" w:color="auto" w:sz="4" w:space="0"/>
            </w:tcBorders>
            <w:shd w:val="clear" w:color="auto" w:fill="D8D8D8"/>
            <w:vAlign w:val="center"/>
          </w:tcPr>
          <w:p>
            <w:pPr>
              <w:jc w:val="center"/>
              <w:rPr>
                <w:rFonts w:ascii="宋体" w:hAnsi="宋体"/>
                <w:b/>
                <w:color w:val="auto"/>
                <w:highlight w:val="none"/>
              </w:rPr>
            </w:pPr>
            <w:r>
              <w:rPr>
                <w:rFonts w:hint="eastAsia" w:ascii="宋体" w:hAnsi="宋体"/>
                <w:b/>
                <w:color w:val="auto"/>
                <w:highlight w:val="none"/>
              </w:rPr>
              <w:t>危险性较大的分部分项工程清单</w:t>
            </w:r>
          </w:p>
        </w:tc>
        <w:tc>
          <w:tcPr>
            <w:tcW w:w="1361" w:type="dxa"/>
            <w:tcBorders>
              <w:top w:val="single" w:color="auto" w:sz="4" w:space="0"/>
              <w:left w:val="nil"/>
              <w:bottom w:val="single" w:color="auto" w:sz="4" w:space="0"/>
              <w:right w:val="single" w:color="auto" w:sz="4" w:space="0"/>
            </w:tcBorders>
            <w:shd w:val="clear" w:color="auto" w:fill="D8D8D8"/>
            <w:vAlign w:val="center"/>
          </w:tcPr>
          <w:p>
            <w:pPr>
              <w:jc w:val="center"/>
              <w:rPr>
                <w:rFonts w:ascii="宋体" w:hAnsi="宋体"/>
                <w:b/>
                <w:color w:val="auto"/>
                <w:highlight w:val="none"/>
              </w:rPr>
            </w:pPr>
            <w:r>
              <w:rPr>
                <w:rFonts w:hint="eastAsia" w:ascii="宋体" w:hAnsi="宋体"/>
                <w:b/>
                <w:color w:val="auto"/>
                <w:highlight w:val="none"/>
              </w:rPr>
              <w:t>招标人</w:t>
            </w:r>
          </w:p>
        </w:tc>
        <w:tc>
          <w:tcPr>
            <w:tcW w:w="1361" w:type="dxa"/>
            <w:tcBorders>
              <w:top w:val="single" w:color="auto" w:sz="4" w:space="0"/>
              <w:left w:val="nil"/>
              <w:bottom w:val="single" w:color="auto" w:sz="4" w:space="0"/>
              <w:right w:val="single" w:color="auto" w:sz="4" w:space="0"/>
            </w:tcBorders>
            <w:shd w:val="clear" w:color="auto" w:fill="D8D8D8"/>
            <w:vAlign w:val="center"/>
          </w:tcPr>
          <w:p>
            <w:pPr>
              <w:jc w:val="center"/>
              <w:rPr>
                <w:rFonts w:ascii="宋体" w:hAnsi="宋体"/>
                <w:b/>
                <w:color w:val="auto"/>
                <w:highlight w:val="none"/>
              </w:rPr>
            </w:pPr>
            <w:r>
              <w:rPr>
                <w:rFonts w:hint="eastAsia" w:ascii="宋体" w:hAnsi="宋体"/>
                <w:b/>
                <w:color w:val="auto"/>
                <w:highlight w:val="none"/>
              </w:rPr>
              <w:t>投标单位</w:t>
            </w:r>
          </w:p>
        </w:tc>
        <w:tc>
          <w:tcPr>
            <w:tcW w:w="1063" w:type="dxa"/>
            <w:tcBorders>
              <w:top w:val="single" w:color="auto" w:sz="4" w:space="0"/>
              <w:left w:val="nil"/>
              <w:bottom w:val="single" w:color="auto" w:sz="4" w:space="0"/>
              <w:right w:val="single" w:color="auto" w:sz="4" w:space="0"/>
            </w:tcBorders>
            <w:shd w:val="clear" w:color="auto" w:fill="D8D8D8"/>
            <w:vAlign w:val="center"/>
          </w:tcPr>
          <w:p>
            <w:pPr>
              <w:jc w:val="center"/>
              <w:rPr>
                <w:rFonts w:ascii="宋体" w:hAnsi="宋体"/>
                <w:b/>
                <w:color w:val="auto"/>
                <w:highlight w:val="none"/>
              </w:rPr>
            </w:pPr>
            <w:r>
              <w:rPr>
                <w:rFonts w:hint="eastAsia" w:ascii="宋体" w:hAnsi="宋体"/>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highlight w:val="none"/>
              </w:rPr>
            </w:pPr>
            <w:r>
              <w:rPr>
                <w:rFonts w:hint="eastAsia" w:ascii="宋体" w:hAnsi="宋体"/>
                <w:b/>
                <w:color w:val="auto"/>
                <w:highlight w:val="none"/>
              </w:rPr>
              <w:t>一、基坑支护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（一）开挖深度超过</w:t>
            </w:r>
            <w:r>
              <w:rPr>
                <w:rFonts w:ascii="宋体" w:hAnsi="宋体"/>
                <w:color w:val="auto"/>
                <w:highlight w:val="none"/>
              </w:rPr>
              <w:t>3m（含3m）的基坑（槽）的土方开挖、支护、降水工程。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r>
              <w:rPr>
                <w:rFonts w:hint="default" w:ascii="Arial" w:hAnsi="Arial" w:cs="Arial"/>
                <w:b/>
                <w:color w:val="auto"/>
                <w:highlight w:val="none"/>
              </w:rPr>
              <w:t>√</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（二）开挖深度虽未超过</w:t>
            </w:r>
            <w:r>
              <w:rPr>
                <w:rFonts w:ascii="宋体" w:hAnsi="宋体"/>
                <w:color w:val="auto"/>
                <w:highlight w:val="none"/>
              </w:rPr>
              <w:t>3m，但地质条件、周围环境和地下管线复杂，或影响毗邻建、构筑物安全的基坑（槽）的土方开挖、支护、降水工程。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default" w:ascii="Arial" w:hAnsi="Arial" w:cs="Arial"/>
                <w:b/>
                <w:color w:val="auto"/>
                <w:highlight w:val="none"/>
              </w:rPr>
              <w:t>√</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b/>
                <w:color w:val="auto"/>
                <w:highlight w:val="none"/>
              </w:rPr>
              <w:t>二、模板工程及支撑体系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（一）各类工具式模板工程：包括滑模、爬模、飞模、隧道模等工程。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default" w:ascii="Arial" w:hAnsi="Arial" w:cs="Arial"/>
                <w:b/>
                <w:color w:val="auto"/>
                <w:highlight w:val="none"/>
              </w:rPr>
              <w:t>√</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（二）混凝土模板支撑工程：搭设高度</w:t>
            </w:r>
            <w:r>
              <w:rPr>
                <w:rFonts w:ascii="宋体" w:hAnsi="宋体"/>
                <w:color w:val="auto"/>
                <w:highlight w:val="none"/>
              </w:rPr>
              <w:t>5m及以上，或搭设跨度10m及以上，或施工总荷载（荷载效应基本组合的设计值，以下简称设计值）10kN/m2及以上，或集中线荷载（设计值）15kN/m及以上，或高度大于支撑水平投影宽度且相对独立无联系构件的混凝土模板支撑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highlight w:val="none"/>
              </w:rPr>
            </w:pPr>
            <w:r>
              <w:rPr>
                <w:rFonts w:hint="eastAsia" w:ascii="宋体" w:hAnsi="宋体"/>
                <w:color w:val="auto"/>
                <w:highlight w:val="none"/>
              </w:rPr>
              <w:t>（三）承重支撑体系：用于钢结构安装等满堂支撑体系。</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b/>
                <w:color w:val="auto"/>
                <w:highlight w:val="none"/>
              </w:rPr>
              <w:t>三、起重吊装及起重机械安装拆卸工程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8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highlight w:val="none"/>
              </w:rPr>
            </w:pPr>
            <w:r>
              <w:rPr>
                <w:rFonts w:hint="eastAsia" w:ascii="宋体" w:hAnsi="宋体"/>
                <w:color w:val="auto"/>
                <w:highlight w:val="none"/>
              </w:rPr>
              <w:t>（一）采用非常规起重设备、方法，且单件起吊重量在</w:t>
            </w:r>
            <w:r>
              <w:rPr>
                <w:rFonts w:ascii="宋体" w:hAnsi="宋体"/>
                <w:color w:val="auto"/>
                <w:highlight w:val="none"/>
              </w:rPr>
              <w:t>10kN及以上的起重吊装工程。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green"/>
              </w:rPr>
            </w:pPr>
            <w:r>
              <w:rPr>
                <w:rFonts w:hint="default" w:ascii="Arial" w:hAnsi="Arial" w:cs="Arial"/>
                <w:b/>
                <w:color w:val="auto"/>
                <w:highlight w:val="none"/>
              </w:rPr>
              <w:t>√</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（二）采用起重机械进行安装的工程。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r>
              <w:rPr>
                <w:rFonts w:hint="default" w:ascii="Arial" w:hAnsi="Arial" w:cs="Arial"/>
                <w:b/>
                <w:color w:val="auto"/>
                <w:highlight w:val="none"/>
              </w:rPr>
              <w:t>√</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olor w:val="auto"/>
                <w:highlight w:val="none"/>
              </w:rPr>
              <w:t>（三）起重机械安装和拆卸工程。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default" w:ascii="Arial" w:hAnsi="Arial" w:cs="Arial"/>
                <w:b/>
                <w:color w:val="auto"/>
                <w:highlight w:val="none"/>
              </w:rPr>
              <w:t>√</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b/>
                <w:color w:val="auto"/>
                <w:highlight w:val="none"/>
              </w:rPr>
              <w:t>四、脚手架工程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（一）搭设高度</w:t>
            </w:r>
            <w:r>
              <w:rPr>
                <w:rFonts w:ascii="宋体" w:hAnsi="宋体"/>
                <w:color w:val="auto"/>
                <w:highlight w:val="none"/>
              </w:rPr>
              <w:t>24m及以上的落地式钢管脚手架工程（包括采光井、电梯井脚手架）。</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（二）附着式升降脚手架工程。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（三）悬挑式脚手架工程。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（四）高处作业吊篮。</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（五）卸料平台、操作平台工程。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（六）异型脚手架工程。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b/>
                <w:color w:val="auto"/>
                <w:highlight w:val="none"/>
              </w:rPr>
              <w:t>五、拆除工程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可能影响行人、交通、电力设施、通讯设施或其它建、构筑物安全的拆除工程。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b/>
                <w:color w:val="auto"/>
                <w:highlight w:val="none"/>
              </w:rPr>
              <w:t>六、暗挖工程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采用矿山法、盾构法、顶管法施工的隧道、洞室工程。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b/>
                <w:color w:val="auto"/>
                <w:highlight w:val="none"/>
              </w:rPr>
              <w:t>七、其它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（一）建筑幕墙安装工程。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（二）钢结构、网架和索膜结构安装工程。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（三）人工挖孔桩工程。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（四）水下作业工程。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（五）装配式建筑混凝土预制构件安装工程。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（六）采用新技术、新工艺、新材料、新设备可能影响工程施工安全，尚无国家、行业及地方技术标准的分部分项工程。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4786" w:type="dxa"/>
            <w:tcBorders>
              <w:top w:val="single" w:color="auto" w:sz="4" w:space="0"/>
              <w:left w:val="single" w:color="auto" w:sz="4" w:space="0"/>
              <w:bottom w:val="single" w:color="auto" w:sz="4" w:space="0"/>
              <w:right w:val="single" w:color="auto" w:sz="4" w:space="0"/>
            </w:tcBorders>
            <w:shd w:val="clear" w:color="auto" w:fill="D8D8D8"/>
            <w:vAlign w:val="center"/>
          </w:tcPr>
          <w:p>
            <w:pPr>
              <w:jc w:val="center"/>
              <w:rPr>
                <w:rFonts w:ascii="宋体" w:hAnsi="宋体"/>
                <w:b/>
                <w:color w:val="auto"/>
                <w:highlight w:val="none"/>
              </w:rPr>
            </w:pPr>
            <w:r>
              <w:rPr>
                <w:rFonts w:hint="eastAsia" w:ascii="宋体" w:hAnsi="宋体"/>
                <w:b/>
                <w:color w:val="auto"/>
                <w:highlight w:val="none"/>
              </w:rPr>
              <w:t>超过一定规模的危险性较大的分部分项工程清单</w:t>
            </w:r>
          </w:p>
        </w:tc>
        <w:tc>
          <w:tcPr>
            <w:tcW w:w="1361" w:type="dxa"/>
            <w:tcBorders>
              <w:top w:val="single" w:color="auto" w:sz="4" w:space="0"/>
              <w:left w:val="nil"/>
              <w:bottom w:val="single" w:color="auto" w:sz="4" w:space="0"/>
              <w:right w:val="single" w:color="auto" w:sz="4" w:space="0"/>
            </w:tcBorders>
            <w:shd w:val="clear" w:color="auto" w:fill="D8D8D8"/>
            <w:vAlign w:val="center"/>
          </w:tcPr>
          <w:p>
            <w:pPr>
              <w:jc w:val="center"/>
              <w:rPr>
                <w:rFonts w:ascii="宋体" w:hAnsi="宋体"/>
                <w:b/>
                <w:color w:val="auto"/>
                <w:highlight w:val="none"/>
              </w:rPr>
            </w:pPr>
            <w:r>
              <w:rPr>
                <w:rFonts w:hint="eastAsia" w:ascii="宋体" w:hAnsi="宋体"/>
                <w:b/>
                <w:color w:val="auto"/>
                <w:highlight w:val="none"/>
              </w:rPr>
              <w:t>招标人</w:t>
            </w:r>
          </w:p>
        </w:tc>
        <w:tc>
          <w:tcPr>
            <w:tcW w:w="1361" w:type="dxa"/>
            <w:tcBorders>
              <w:top w:val="single" w:color="auto" w:sz="4" w:space="0"/>
              <w:left w:val="nil"/>
              <w:bottom w:val="single" w:color="auto" w:sz="4" w:space="0"/>
              <w:right w:val="single" w:color="auto" w:sz="4" w:space="0"/>
            </w:tcBorders>
            <w:shd w:val="clear" w:color="auto" w:fill="D8D8D8"/>
            <w:vAlign w:val="center"/>
          </w:tcPr>
          <w:p>
            <w:pPr>
              <w:jc w:val="center"/>
              <w:rPr>
                <w:rFonts w:ascii="宋体" w:hAnsi="宋体"/>
                <w:b/>
                <w:color w:val="auto"/>
                <w:highlight w:val="none"/>
              </w:rPr>
            </w:pPr>
            <w:r>
              <w:rPr>
                <w:rFonts w:hint="eastAsia" w:ascii="宋体" w:hAnsi="宋体"/>
                <w:b/>
                <w:color w:val="auto"/>
                <w:highlight w:val="none"/>
              </w:rPr>
              <w:t>投标单位</w:t>
            </w:r>
          </w:p>
        </w:tc>
        <w:tc>
          <w:tcPr>
            <w:tcW w:w="1063" w:type="dxa"/>
            <w:tcBorders>
              <w:top w:val="single" w:color="auto" w:sz="4" w:space="0"/>
              <w:left w:val="nil"/>
              <w:bottom w:val="single" w:color="auto" w:sz="4" w:space="0"/>
              <w:right w:val="single" w:color="auto" w:sz="4" w:space="0"/>
            </w:tcBorders>
            <w:shd w:val="clear" w:color="auto" w:fill="D8D8D8"/>
            <w:vAlign w:val="center"/>
          </w:tcPr>
          <w:p>
            <w:pPr>
              <w:jc w:val="center"/>
              <w:rPr>
                <w:rFonts w:ascii="宋体" w:hAnsi="宋体"/>
                <w:b/>
                <w:color w:val="auto"/>
                <w:highlight w:val="none"/>
              </w:rPr>
            </w:pPr>
            <w:r>
              <w:rPr>
                <w:rFonts w:hint="eastAsia" w:ascii="宋体" w:hAnsi="宋体"/>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highlight w:val="none"/>
              </w:rPr>
            </w:pPr>
            <w:r>
              <w:rPr>
                <w:rFonts w:hint="eastAsia" w:ascii="宋体" w:hAnsi="宋体"/>
                <w:b/>
                <w:color w:val="auto"/>
                <w:highlight w:val="none"/>
              </w:rPr>
              <w:t>一、深基坑工程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开挖深度超过</w:t>
            </w:r>
            <w:r>
              <w:rPr>
                <w:rFonts w:ascii="宋体" w:hAnsi="宋体"/>
                <w:color w:val="auto"/>
                <w:highlight w:val="none"/>
              </w:rPr>
              <w:t>5m（含5m）的基坑（槽）的土方开挖、支护、降水工程。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b/>
                <w:color w:val="auto"/>
                <w:highlight w:val="none"/>
              </w:rPr>
              <w:t>二、模板工程及支撑体系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（一）各类工具式模板工程：包括滑模、爬模、飞模、隧道模等工程。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（二）混凝土模板支撑工程：搭设高度</w:t>
            </w:r>
            <w:r>
              <w:rPr>
                <w:rFonts w:ascii="宋体" w:hAnsi="宋体"/>
                <w:color w:val="auto"/>
                <w:highlight w:val="none"/>
              </w:rPr>
              <w:t>8m及以上，或搭设跨度18m及以上，或施工总荷载（设计值）15kN/m2及以上，或集中线荷载（设计值）20kN/m及以上。</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（三）承重支撑体系：用于钢结构安装等满堂支撑体系，承受单点集中荷载</w:t>
            </w:r>
            <w:r>
              <w:rPr>
                <w:rFonts w:ascii="宋体" w:hAnsi="宋体"/>
                <w:color w:val="auto"/>
                <w:highlight w:val="none"/>
              </w:rPr>
              <w:t>7kN及以上。</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b/>
                <w:color w:val="auto"/>
                <w:highlight w:val="none"/>
              </w:rPr>
              <w:t>三、起重吊装及起重机械安装拆卸工程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（一）采用非常规起重设备、方法，且单件起吊重量在</w:t>
            </w:r>
            <w:r>
              <w:rPr>
                <w:rFonts w:ascii="宋体" w:hAnsi="宋体"/>
                <w:color w:val="auto"/>
                <w:highlight w:val="none"/>
              </w:rPr>
              <w:t>100kN及以上的起重吊装工程。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（二）起重量</w:t>
            </w:r>
            <w:r>
              <w:rPr>
                <w:rFonts w:ascii="宋体" w:hAnsi="宋体"/>
                <w:color w:val="auto"/>
                <w:highlight w:val="none"/>
              </w:rPr>
              <w:t>300kN及以上，或搭设总高度200m及以上，或搭设基础标高在200m及以上的起重机械安装和拆卸工程。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highlight w:val="none"/>
              </w:rPr>
            </w:pPr>
            <w:r>
              <w:rPr>
                <w:rFonts w:hint="eastAsia" w:ascii="宋体" w:hAnsi="宋体"/>
                <w:b/>
                <w:color w:val="auto"/>
                <w:highlight w:val="none"/>
              </w:rPr>
              <w:t>四、脚手架工程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（一）搭设高度</w:t>
            </w:r>
            <w:r>
              <w:rPr>
                <w:rFonts w:ascii="宋体" w:hAnsi="宋体"/>
                <w:color w:val="auto"/>
                <w:highlight w:val="none"/>
              </w:rPr>
              <w:t>50m及以上的落地式钢管脚手架工程。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（二）提升高度在</w:t>
            </w:r>
            <w:r>
              <w:rPr>
                <w:rFonts w:ascii="宋体" w:hAnsi="宋体"/>
                <w:color w:val="auto"/>
                <w:highlight w:val="none"/>
              </w:rPr>
              <w:t>150m及以上的附着式升降脚手架工程或附着式升降操作平台工程。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（三）分段架体搭设高度</w:t>
            </w:r>
            <w:r>
              <w:rPr>
                <w:rFonts w:ascii="宋体" w:hAnsi="宋体"/>
                <w:color w:val="auto"/>
                <w:highlight w:val="none"/>
              </w:rPr>
              <w:t>20m及以上的悬挑式脚手架工程。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highlight w:val="none"/>
              </w:rPr>
            </w:pPr>
            <w:r>
              <w:rPr>
                <w:rFonts w:hint="eastAsia" w:ascii="宋体" w:hAnsi="宋体"/>
                <w:b/>
                <w:color w:val="auto"/>
                <w:highlight w:val="none"/>
              </w:rPr>
              <w:t>五、拆除工程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（一）码头、桥梁、高架、烟囱、水塔或拆除中容易引起有毒有害气（液）体或粉尘扩散、易燃易爆事故发生的特殊建、构筑物的拆除工程。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（二）文物保护建筑、优秀历史建筑或历史文化风貌区影响范围内的拆除工程。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highlight w:val="none"/>
              </w:rPr>
            </w:pPr>
            <w:r>
              <w:rPr>
                <w:rFonts w:hint="eastAsia" w:ascii="宋体" w:hAnsi="宋体"/>
                <w:b/>
                <w:color w:val="auto"/>
                <w:highlight w:val="none"/>
              </w:rPr>
              <w:t>六、暗挖工程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采用矿山法、盾构法、顶管法施工的隧道、洞室工程。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highlight w:val="none"/>
              </w:rPr>
            </w:pPr>
            <w:r>
              <w:rPr>
                <w:rFonts w:hint="eastAsia" w:ascii="宋体" w:hAnsi="宋体"/>
                <w:b/>
                <w:color w:val="auto"/>
                <w:highlight w:val="none"/>
              </w:rPr>
              <w:t>七、其它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（一）施工高度</w:t>
            </w:r>
            <w:r>
              <w:rPr>
                <w:rFonts w:ascii="宋体" w:hAnsi="宋体"/>
                <w:color w:val="auto"/>
                <w:highlight w:val="none"/>
              </w:rPr>
              <w:t>50m及以上的建筑幕墙安装工程。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（二）跨度</w:t>
            </w:r>
            <w:r>
              <w:rPr>
                <w:rFonts w:ascii="宋体" w:hAnsi="宋体"/>
                <w:color w:val="auto"/>
                <w:highlight w:val="none"/>
              </w:rPr>
              <w:t>36m及以上的钢结构安装工程，或跨度60m及以上的网架和索膜结构安装工程。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（三）开挖深度</w:t>
            </w:r>
            <w:r>
              <w:rPr>
                <w:rFonts w:ascii="宋体" w:hAnsi="宋体"/>
                <w:color w:val="auto"/>
                <w:highlight w:val="none"/>
              </w:rPr>
              <w:t>16m及以上的人工挖孔桩工程。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（四）水下作业工程。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（五）重量</w:t>
            </w:r>
            <w:r>
              <w:rPr>
                <w:rFonts w:ascii="宋体" w:hAnsi="宋体"/>
                <w:color w:val="auto"/>
                <w:highlight w:val="none"/>
              </w:rPr>
              <w:t>1000kN及以上的大型结构整体顶升、平移、转体等施工工艺。</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（六）采用新技术、新工艺、新材料、新设备可能影响工程施工安全，尚无国家、行业及地方技术标准的分部分项工程。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bl>
    <w:p>
      <w:pPr>
        <w:topLinePunct/>
        <w:adjustRightInd w:val="0"/>
        <w:snapToGrid w:val="0"/>
        <w:spacing w:line="360" w:lineRule="auto"/>
        <w:ind w:firstLine="691" w:firstLineChars="279"/>
        <w:rPr>
          <w:rFonts w:ascii="宋体" w:hAnsi="宋体" w:cs="宋体"/>
          <w:snapToGrid w:val="0"/>
          <w:color w:val="auto"/>
          <w:spacing w:val="4"/>
          <w:kern w:val="0"/>
          <w:sz w:val="24"/>
          <w:szCs w:val="24"/>
          <w:highlight w:val="none"/>
        </w:rPr>
      </w:pPr>
    </w:p>
    <w:p>
      <w:pPr>
        <w:topLinePunct/>
        <w:adjustRightInd w:val="0"/>
        <w:snapToGrid w:val="0"/>
        <w:spacing w:line="360" w:lineRule="auto"/>
        <w:ind w:firstLine="691" w:firstLineChars="279"/>
        <w:rPr>
          <w:rFonts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投</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标</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人：</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（盖章）</w:t>
      </w:r>
    </w:p>
    <w:p>
      <w:pPr>
        <w:topLinePunct/>
        <w:adjustRightInd w:val="0"/>
        <w:snapToGrid w:val="0"/>
        <w:spacing w:line="360" w:lineRule="auto"/>
        <w:ind w:firstLine="691" w:firstLineChars="279"/>
        <w:rPr>
          <w:rFonts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法定代表人或授权代理人（签字或盖章）：</w:t>
      </w:r>
    </w:p>
    <w:p>
      <w:pPr>
        <w:autoSpaceDE w:val="0"/>
        <w:autoSpaceDN w:val="0"/>
        <w:adjustRightInd w:val="0"/>
        <w:spacing w:line="360" w:lineRule="auto"/>
        <w:ind w:firstLine="691" w:firstLineChars="279"/>
        <w:rPr>
          <w:rFonts w:ascii="宋体" w:hAnsi="宋体" w:cs="宋体"/>
          <w:bCs/>
          <w:color w:val="auto"/>
          <w:sz w:val="24"/>
          <w:szCs w:val="24"/>
          <w:highlight w:val="none"/>
        </w:rPr>
      </w:pPr>
      <w:r>
        <w:rPr>
          <w:rFonts w:hint="eastAsia" w:ascii="宋体" w:hAnsi="宋体" w:cs="宋体"/>
          <w:snapToGrid w:val="0"/>
          <w:color w:val="auto"/>
          <w:spacing w:val="4"/>
          <w:kern w:val="0"/>
          <w:sz w:val="24"/>
          <w:szCs w:val="24"/>
          <w:highlight w:val="none"/>
        </w:rPr>
        <w:t>日</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期：</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年</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月</w:t>
      </w:r>
      <w:r>
        <w:rPr>
          <w:rFonts w:ascii="宋体" w:hAnsi="宋体" w:cs="宋体"/>
          <w:snapToGrid w:val="0"/>
          <w:color w:val="auto"/>
          <w:spacing w:val="4"/>
          <w:kern w:val="0"/>
          <w:sz w:val="24"/>
          <w:szCs w:val="24"/>
          <w:highlight w:val="none"/>
        </w:rPr>
        <w:t xml:space="preserve">    </w:t>
      </w:r>
      <w:r>
        <w:rPr>
          <w:rFonts w:hint="eastAsia" w:ascii="宋体" w:hAnsi="宋体" w:cs="宋体"/>
          <w:snapToGrid w:val="0"/>
          <w:color w:val="auto"/>
          <w:spacing w:val="4"/>
          <w:kern w:val="0"/>
          <w:sz w:val="24"/>
          <w:szCs w:val="24"/>
          <w:highlight w:val="none"/>
        </w:rPr>
        <w:t>日</w:t>
      </w:r>
    </w:p>
    <w:p>
      <w:pPr>
        <w:ind w:right="-130" w:rightChars="-62"/>
        <w:rPr>
          <w:rFonts w:ascii="宋体" w:hAnsi="宋体"/>
          <w:color w:val="auto"/>
          <w:highlight w:val="none"/>
        </w:rPr>
      </w:pPr>
    </w:p>
    <w:p>
      <w:pPr>
        <w:widowControl/>
        <w:jc w:val="left"/>
        <w:rPr>
          <w:rFonts w:ascii="宋体" w:hAnsi="宋体"/>
          <w:color w:val="auto"/>
          <w:highlight w:val="none"/>
        </w:rPr>
      </w:pPr>
      <w:r>
        <w:rPr>
          <w:rFonts w:ascii="宋体" w:hAnsi="宋体"/>
          <w:color w:val="auto"/>
          <w:highlight w:val="none"/>
        </w:rPr>
        <w:br w:type="page"/>
      </w:r>
    </w:p>
    <w:p>
      <w:pPr>
        <w:pStyle w:val="6"/>
        <w:rPr>
          <w:color w:val="auto"/>
          <w:highlight w:val="none"/>
        </w:rPr>
      </w:pPr>
      <w:bookmarkStart w:id="228" w:name="_Toc15618"/>
      <w:bookmarkStart w:id="229" w:name="_Toc112397837"/>
      <w:bookmarkStart w:id="230" w:name="_Toc60070631"/>
      <w:bookmarkStart w:id="231" w:name="_Toc31223"/>
      <w:bookmarkStart w:id="232" w:name="_Toc31390"/>
      <w:bookmarkStart w:id="233" w:name="_Toc58838603"/>
      <w:bookmarkStart w:id="234" w:name="_Toc11051"/>
      <w:r>
        <w:rPr>
          <w:rFonts w:hint="eastAsia"/>
          <w:color w:val="auto"/>
          <w:highlight w:val="none"/>
        </w:rPr>
        <w:t>格式九：</w:t>
      </w:r>
      <w:bookmarkEnd w:id="228"/>
      <w:bookmarkEnd w:id="229"/>
      <w:bookmarkEnd w:id="230"/>
      <w:bookmarkEnd w:id="231"/>
      <w:bookmarkEnd w:id="232"/>
      <w:bookmarkEnd w:id="233"/>
      <w:bookmarkEnd w:id="234"/>
    </w:p>
    <w:p>
      <w:pPr>
        <w:jc w:val="center"/>
        <w:rPr>
          <w:rFonts w:ascii="宋体" w:hAnsi="宋体"/>
          <w:b/>
          <w:color w:val="auto"/>
          <w:sz w:val="36"/>
          <w:szCs w:val="36"/>
          <w:highlight w:val="none"/>
        </w:rPr>
      </w:pPr>
      <w:r>
        <w:rPr>
          <w:rFonts w:hint="eastAsia" w:ascii="宋体" w:hAnsi="宋体"/>
          <w:b/>
          <w:color w:val="auto"/>
          <w:sz w:val="36"/>
          <w:szCs w:val="36"/>
          <w:highlight w:val="none"/>
        </w:rPr>
        <w:t>参与编制技术标投标文件人员名单</w:t>
      </w:r>
    </w:p>
    <w:tbl>
      <w:tblPr>
        <w:tblStyle w:val="49"/>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386"/>
        <w:gridCol w:w="2377"/>
        <w:gridCol w:w="2278"/>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600" w:type="dxa"/>
            <w:gridSpan w:val="5"/>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r>
              <w:rPr>
                <w:rFonts w:hint="eastAsia" w:ascii="宋体" w:hAnsi="宋体" w:cs="宋体"/>
                <w:color w:val="auto"/>
                <w:szCs w:val="21"/>
                <w:highlight w:val="none"/>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9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r>
              <w:rPr>
                <w:rFonts w:hint="eastAsia" w:ascii="宋体" w:hAnsi="宋体" w:cs="宋体"/>
                <w:color w:val="auto"/>
                <w:szCs w:val="21"/>
                <w:highlight w:val="none"/>
              </w:rPr>
              <w:t>姓名</w:t>
            </w:r>
          </w:p>
        </w:tc>
        <w:tc>
          <w:tcPr>
            <w:tcW w:w="138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r>
              <w:rPr>
                <w:rFonts w:hint="eastAsia" w:ascii="宋体" w:hAnsi="宋体" w:cs="宋体"/>
                <w:color w:val="auto"/>
                <w:szCs w:val="21"/>
                <w:highlight w:val="none"/>
              </w:rPr>
              <w:t>职务</w:t>
            </w:r>
          </w:p>
        </w:tc>
        <w:tc>
          <w:tcPr>
            <w:tcW w:w="237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r>
              <w:rPr>
                <w:rFonts w:hint="eastAsia" w:ascii="宋体" w:hAnsi="宋体" w:cs="宋体"/>
                <w:color w:val="auto"/>
                <w:szCs w:val="21"/>
                <w:highlight w:val="none"/>
              </w:rPr>
              <w:t>所承担工作</w:t>
            </w:r>
          </w:p>
        </w:tc>
        <w:tc>
          <w:tcPr>
            <w:tcW w:w="227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r>
              <w:rPr>
                <w:rFonts w:hint="eastAsia" w:ascii="宋体" w:hAnsi="宋体" w:cs="宋体"/>
                <w:color w:val="auto"/>
                <w:szCs w:val="21"/>
                <w:highlight w:val="none"/>
              </w:rPr>
              <w:t>身份证号码</w:t>
            </w: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r>
              <w:rPr>
                <w:rFonts w:hint="eastAsia" w:ascii="宋体" w:hAnsi="宋体" w:cs="宋体"/>
                <w:color w:val="auto"/>
                <w:szCs w:val="21"/>
                <w:highlight w:val="none"/>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9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38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37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27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19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38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37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27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19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38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37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27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19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38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37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27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19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38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37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27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19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38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37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27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9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38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37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27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91"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38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37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27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36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r>
    </w:tbl>
    <w:p>
      <w:pPr>
        <w:autoSpaceDE w:val="0"/>
        <w:autoSpaceDN w:val="0"/>
        <w:adjustRightInd w:val="0"/>
        <w:spacing w:line="240" w:lineRule="auto"/>
        <w:rPr>
          <w:rFonts w:ascii="宋体" w:hAnsi="宋体" w:cs="宋体"/>
          <w:bCs/>
          <w:color w:val="auto"/>
          <w:sz w:val="21"/>
          <w:szCs w:val="21"/>
          <w:highlight w:val="none"/>
        </w:rPr>
      </w:pPr>
      <w:r>
        <w:rPr>
          <w:rFonts w:hint="eastAsia" w:ascii="宋体" w:hAnsi="宋体" w:cs="宋体"/>
          <w:color w:val="auto"/>
          <w:sz w:val="21"/>
          <w:szCs w:val="21"/>
          <w:highlight w:val="none"/>
        </w:rPr>
        <w:t>注：参与编制技术标书所有人员名单应包括如编制技术投标方案、负责清样校对、负责打印及复印等所有人员在内的人员名单。</w:t>
      </w:r>
    </w:p>
    <w:p>
      <w:pPr>
        <w:rPr>
          <w:rFonts w:ascii="宋体" w:hAnsi="宋体"/>
          <w:color w:val="auto"/>
          <w:highlight w:val="none"/>
        </w:rPr>
      </w:pPr>
    </w:p>
    <w:p>
      <w:pPr>
        <w:widowControl/>
        <w:jc w:val="left"/>
        <w:rPr>
          <w:rFonts w:ascii="宋体" w:hAnsi="宋体"/>
          <w:color w:val="auto"/>
          <w:highlight w:val="none"/>
        </w:rPr>
      </w:pPr>
      <w:r>
        <w:rPr>
          <w:rFonts w:ascii="宋体" w:hAnsi="宋体"/>
          <w:color w:val="auto"/>
          <w:highlight w:val="none"/>
        </w:rPr>
        <w:br w:type="page"/>
      </w:r>
    </w:p>
    <w:p>
      <w:pPr>
        <w:pStyle w:val="5"/>
        <w:rPr>
          <w:rFonts w:ascii="宋体" w:hAnsi="宋体"/>
          <w:bCs/>
          <w:color w:val="auto"/>
          <w:highlight w:val="none"/>
        </w:rPr>
      </w:pPr>
      <w:bookmarkStart w:id="235" w:name="_Toc26253"/>
      <w:bookmarkStart w:id="236" w:name="_Toc11191"/>
      <w:bookmarkStart w:id="237" w:name="_Toc58838604"/>
      <w:bookmarkStart w:id="238" w:name="_Toc112397838"/>
      <w:bookmarkStart w:id="239" w:name="_Toc17848"/>
      <w:bookmarkStart w:id="240" w:name="_Toc21141"/>
      <w:r>
        <w:rPr>
          <w:rFonts w:hint="eastAsia" w:ascii="宋体" w:hAnsi="宋体"/>
          <w:color w:val="auto"/>
          <w:highlight w:val="none"/>
        </w:rPr>
        <w:t>二、经济标投标文件格式</w:t>
      </w:r>
      <w:bookmarkEnd w:id="235"/>
      <w:bookmarkEnd w:id="236"/>
      <w:bookmarkEnd w:id="237"/>
      <w:bookmarkEnd w:id="238"/>
      <w:bookmarkEnd w:id="239"/>
      <w:bookmarkEnd w:id="240"/>
    </w:p>
    <w:p>
      <w:pPr>
        <w:pStyle w:val="6"/>
        <w:rPr>
          <w:b/>
          <w:bCs/>
          <w:color w:val="auto"/>
          <w:sz w:val="44"/>
          <w:szCs w:val="44"/>
          <w:highlight w:val="none"/>
          <w:lang w:val="zh-CN"/>
        </w:rPr>
      </w:pPr>
      <w:bookmarkStart w:id="241" w:name="_Toc58838605"/>
      <w:bookmarkStart w:id="242" w:name="_Toc6493862"/>
      <w:bookmarkStart w:id="243" w:name="_Toc28555"/>
      <w:bookmarkStart w:id="244" w:name="_Toc60070633"/>
      <w:bookmarkStart w:id="245" w:name="_Toc8730"/>
      <w:bookmarkStart w:id="246" w:name="_Toc31787"/>
      <w:bookmarkStart w:id="247" w:name="_Toc28745"/>
      <w:bookmarkStart w:id="248" w:name="_Toc112397839"/>
      <w:r>
        <w:rPr>
          <w:rFonts w:hint="eastAsia"/>
          <w:snapToGrid w:val="0"/>
          <w:color w:val="auto"/>
          <w:highlight w:val="none"/>
        </w:rPr>
        <w:t>格式十</w:t>
      </w:r>
      <w:bookmarkEnd w:id="241"/>
      <w:bookmarkEnd w:id="242"/>
      <w:r>
        <w:rPr>
          <w:rFonts w:hint="eastAsia"/>
          <w:snapToGrid w:val="0"/>
          <w:color w:val="auto"/>
          <w:highlight w:val="none"/>
        </w:rPr>
        <w:t>：</w:t>
      </w:r>
      <w:bookmarkEnd w:id="243"/>
      <w:bookmarkEnd w:id="244"/>
      <w:bookmarkEnd w:id="245"/>
      <w:bookmarkEnd w:id="246"/>
      <w:bookmarkEnd w:id="247"/>
      <w:bookmarkEnd w:id="248"/>
    </w:p>
    <w:p>
      <w:pPr>
        <w:jc w:val="center"/>
        <w:rPr>
          <w:rFonts w:ascii="宋体" w:hAnsi="宋体"/>
          <w:b/>
          <w:color w:val="auto"/>
          <w:sz w:val="36"/>
          <w:szCs w:val="36"/>
          <w:highlight w:val="none"/>
        </w:rPr>
      </w:pPr>
      <w:bookmarkStart w:id="249" w:name="_Toc58838606"/>
      <w:r>
        <w:rPr>
          <w:rFonts w:hint="eastAsia" w:ascii="宋体" w:hAnsi="宋体"/>
          <w:b/>
          <w:color w:val="auto"/>
          <w:sz w:val="36"/>
          <w:szCs w:val="36"/>
          <w:highlight w:val="none"/>
        </w:rPr>
        <w:t>广州建设工程施工招标投标书（经济标）</w:t>
      </w:r>
      <w:bookmarkEnd w:id="249"/>
    </w:p>
    <w:tbl>
      <w:tblPr>
        <w:tblStyle w:val="49"/>
        <w:tblpPr w:leftFromText="180" w:rightFromText="180" w:vertAnchor="text" w:horzAnchor="margin" w:tblpXSpec="center" w:tblpY="27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4"/>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3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color w:val="auto"/>
                <w:sz w:val="24"/>
                <w:szCs w:val="24"/>
                <w:highlight w:val="none"/>
                <w:lang w:val="zh-CN"/>
              </w:rPr>
              <w:t>工程名称</w:t>
            </w:r>
          </w:p>
        </w:tc>
        <w:tc>
          <w:tcPr>
            <w:tcW w:w="6045"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334"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color w:val="auto"/>
                <w:sz w:val="24"/>
                <w:szCs w:val="24"/>
                <w:highlight w:val="none"/>
                <w:lang w:val="zh-CN"/>
              </w:rPr>
              <w:t>投标总报价（元）</w:t>
            </w:r>
          </w:p>
        </w:tc>
        <w:tc>
          <w:tcPr>
            <w:tcW w:w="6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Cs/>
                <w:color w:val="auto"/>
                <w:sz w:val="24"/>
                <w:szCs w:val="24"/>
                <w:highlight w:val="none"/>
                <w:lang w:val="zh-CN"/>
              </w:rPr>
            </w:pPr>
            <w:r>
              <w:rPr>
                <w:rFonts w:hint="eastAsia" w:ascii="宋体" w:hAnsi="宋体"/>
                <w:color w:val="auto"/>
                <w:sz w:val="24"/>
                <w:szCs w:val="24"/>
                <w:highlight w:val="none"/>
              </w:rPr>
              <w:t>大写：</w:t>
            </w:r>
            <w:r>
              <w:rPr>
                <w:rFonts w:ascii="宋体" w:hAnsi="宋体" w:cs="宋体"/>
                <w:bCs/>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3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auto"/>
                <w:sz w:val="24"/>
                <w:szCs w:val="24"/>
                <w:highlight w:val="none"/>
                <w:lang w:val="zh-CN"/>
              </w:rPr>
            </w:pPr>
          </w:p>
        </w:tc>
        <w:tc>
          <w:tcPr>
            <w:tcW w:w="6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Cs/>
                <w:color w:val="auto"/>
                <w:sz w:val="24"/>
                <w:szCs w:val="24"/>
                <w:highlight w:val="none"/>
                <w:lang w:val="zh-CN"/>
              </w:rPr>
            </w:pPr>
            <w:r>
              <w:rPr>
                <w:rFonts w:hint="eastAsia" w:ascii="宋体" w:hAnsi="宋体"/>
                <w:color w:val="auto"/>
                <w:sz w:val="24"/>
                <w:szCs w:val="24"/>
                <w:highlight w:val="none"/>
              </w:rPr>
              <w:t>小写：</w:t>
            </w:r>
            <w:r>
              <w:rPr>
                <w:rFonts w:ascii="宋体" w:hAnsi="宋体" w:cs="宋体"/>
                <w:bCs/>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3334"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color w:val="auto"/>
                <w:sz w:val="24"/>
                <w:szCs w:val="24"/>
                <w:highlight w:val="none"/>
                <w:lang w:val="zh-CN"/>
              </w:rPr>
              <w:t>其中：</w:t>
            </w:r>
            <w:r>
              <w:rPr>
                <w:rFonts w:hint="eastAsia" w:ascii="宋体" w:hAnsi="宋体" w:cs="宋体"/>
                <w:bCs/>
                <w:color w:val="auto"/>
                <w:sz w:val="24"/>
                <w:szCs w:val="24"/>
                <w:highlight w:val="none"/>
                <w:lang w:val="zh-CN"/>
              </w:rPr>
              <w:t>人工费</w:t>
            </w:r>
            <w:r>
              <w:rPr>
                <w:rFonts w:hint="eastAsia" w:ascii="宋体" w:hAnsi="宋体" w:cs="宋体"/>
                <w:color w:val="auto"/>
                <w:sz w:val="24"/>
                <w:szCs w:val="24"/>
                <w:highlight w:val="none"/>
                <w:lang w:val="zh-CN"/>
              </w:rPr>
              <w:t>（元）</w:t>
            </w:r>
          </w:p>
        </w:tc>
        <w:tc>
          <w:tcPr>
            <w:tcW w:w="6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Cs/>
                <w:color w:val="auto"/>
                <w:sz w:val="24"/>
                <w:szCs w:val="24"/>
                <w:highlight w:val="none"/>
                <w:lang w:val="zh-CN"/>
              </w:rPr>
            </w:pPr>
            <w:r>
              <w:rPr>
                <w:rFonts w:hint="eastAsia" w:ascii="宋体" w:hAnsi="宋体"/>
                <w:color w:val="auto"/>
                <w:sz w:val="24"/>
                <w:szCs w:val="24"/>
                <w:highlight w:val="none"/>
              </w:rPr>
              <w:t>大写：</w:t>
            </w:r>
            <w:r>
              <w:rPr>
                <w:rFonts w:ascii="宋体" w:hAnsi="宋体" w:cs="宋体"/>
                <w:bCs/>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3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auto"/>
                <w:sz w:val="24"/>
                <w:szCs w:val="24"/>
                <w:highlight w:val="none"/>
                <w:lang w:val="zh-CN"/>
              </w:rPr>
            </w:pPr>
          </w:p>
        </w:tc>
        <w:tc>
          <w:tcPr>
            <w:tcW w:w="6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Cs/>
                <w:color w:val="auto"/>
                <w:sz w:val="24"/>
                <w:szCs w:val="24"/>
                <w:highlight w:val="none"/>
                <w:lang w:val="zh-CN"/>
              </w:rPr>
            </w:pPr>
            <w:r>
              <w:rPr>
                <w:rFonts w:hint="eastAsia" w:ascii="宋体" w:hAnsi="宋体"/>
                <w:color w:val="auto"/>
                <w:sz w:val="24"/>
                <w:szCs w:val="24"/>
                <w:highlight w:val="none"/>
              </w:rPr>
              <w:t>小写：</w:t>
            </w:r>
            <w:r>
              <w:rPr>
                <w:rFonts w:ascii="宋体" w:hAnsi="宋体" w:cs="宋体"/>
                <w:bCs/>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334"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b/>
                <w:color w:val="auto"/>
                <w:sz w:val="24"/>
                <w:szCs w:val="24"/>
                <w:highlight w:val="none"/>
                <w:lang w:val="zh-CN"/>
              </w:rPr>
            </w:pPr>
            <w:r>
              <w:rPr>
                <w:rFonts w:hint="eastAsia" w:ascii="宋体" w:hAnsi="宋体" w:cs="宋体"/>
                <w:bCs/>
                <w:color w:val="auto"/>
                <w:sz w:val="24"/>
                <w:szCs w:val="24"/>
                <w:highlight w:val="none"/>
                <w:lang w:val="zh-CN"/>
              </w:rPr>
              <w:t>其中：</w:t>
            </w:r>
            <w:r>
              <w:rPr>
                <w:rFonts w:hint="eastAsia" w:ascii="宋体" w:hAnsi="宋体" w:cs="宋体"/>
                <w:color w:val="auto"/>
                <w:sz w:val="24"/>
                <w:szCs w:val="24"/>
                <w:highlight w:val="none"/>
                <w:lang w:val="zh-CN"/>
              </w:rPr>
              <w:t>绿色施工安全防护措施费（元）</w:t>
            </w:r>
          </w:p>
        </w:tc>
        <w:tc>
          <w:tcPr>
            <w:tcW w:w="6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Cs/>
                <w:color w:val="auto"/>
                <w:sz w:val="24"/>
                <w:szCs w:val="24"/>
                <w:highlight w:val="none"/>
                <w:lang w:val="zh-CN"/>
              </w:rPr>
            </w:pPr>
            <w:r>
              <w:rPr>
                <w:rFonts w:hint="eastAsia" w:ascii="宋体" w:hAnsi="宋体"/>
                <w:color w:val="auto"/>
                <w:sz w:val="24"/>
                <w:szCs w:val="24"/>
                <w:highlight w:val="none"/>
              </w:rPr>
              <w:t>大写：</w:t>
            </w:r>
            <w:r>
              <w:rPr>
                <w:rFonts w:ascii="宋体" w:hAnsi="宋体" w:cs="宋体"/>
                <w:bCs/>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334" w:type="dxa"/>
            <w:vMerge w:val="continue"/>
            <w:tcBorders>
              <w:left w:val="single" w:color="auto" w:sz="4" w:space="0"/>
              <w:right w:val="single" w:color="auto" w:sz="4" w:space="0"/>
            </w:tcBorders>
            <w:vAlign w:val="center"/>
          </w:tcPr>
          <w:p>
            <w:pPr>
              <w:widowControl/>
              <w:jc w:val="left"/>
              <w:rPr>
                <w:rFonts w:ascii="宋体" w:hAnsi="宋体" w:cs="宋体"/>
                <w:bCs/>
                <w:color w:val="auto"/>
                <w:sz w:val="24"/>
                <w:szCs w:val="24"/>
                <w:highlight w:val="none"/>
                <w:lang w:val="zh-CN"/>
              </w:rPr>
            </w:pPr>
          </w:p>
        </w:tc>
        <w:tc>
          <w:tcPr>
            <w:tcW w:w="6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Cs/>
                <w:color w:val="auto"/>
                <w:sz w:val="24"/>
                <w:szCs w:val="24"/>
                <w:highlight w:val="none"/>
                <w:lang w:val="zh-CN"/>
              </w:rPr>
            </w:pPr>
            <w:r>
              <w:rPr>
                <w:rFonts w:hint="eastAsia" w:ascii="宋体" w:hAnsi="宋体"/>
                <w:color w:val="auto"/>
                <w:sz w:val="24"/>
                <w:szCs w:val="24"/>
                <w:highlight w:val="none"/>
              </w:rPr>
              <w:t>小写：</w:t>
            </w:r>
            <w:r>
              <w:rPr>
                <w:rFonts w:ascii="宋体" w:hAnsi="宋体" w:cs="宋体"/>
                <w:bCs/>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334" w:type="dxa"/>
            <w:vMerge w:val="restart"/>
            <w:tcBorders>
              <w:left w:val="single" w:color="auto" w:sz="4" w:space="0"/>
              <w:right w:val="single" w:color="auto" w:sz="4" w:space="0"/>
            </w:tcBorders>
            <w:vAlign w:val="center"/>
          </w:tcPr>
          <w:p>
            <w:pPr>
              <w:widowControl/>
              <w:jc w:val="left"/>
              <w:rPr>
                <w:rFonts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其中：</w:t>
            </w:r>
            <w:r>
              <w:rPr>
                <w:rFonts w:ascii="宋体" w:hAnsi="宋体" w:cs="宋体"/>
                <w:bCs/>
                <w:color w:val="auto"/>
                <w:sz w:val="24"/>
                <w:szCs w:val="24"/>
                <w:highlight w:val="none"/>
                <w:lang w:val="zh-CN"/>
              </w:rPr>
              <w:t xml:space="preserve"> </w:t>
            </w:r>
            <w:r>
              <w:rPr>
                <w:rFonts w:hint="eastAsia" w:ascii="宋体" w:hAnsi="宋体" w:cs="宋体"/>
                <w:bCs/>
                <w:color w:val="auto"/>
                <w:sz w:val="24"/>
                <w:szCs w:val="24"/>
                <w:highlight w:val="none"/>
                <w:lang w:val="zh-CN"/>
              </w:rPr>
              <w:t>暂列金额</w:t>
            </w:r>
            <w:r>
              <w:rPr>
                <w:rFonts w:hint="eastAsia" w:ascii="宋体" w:hAnsi="宋体" w:cs="宋体"/>
                <w:color w:val="auto"/>
                <w:sz w:val="24"/>
                <w:szCs w:val="24"/>
                <w:highlight w:val="none"/>
                <w:lang w:val="zh-CN"/>
              </w:rPr>
              <w:t>（元）</w:t>
            </w:r>
          </w:p>
        </w:tc>
        <w:tc>
          <w:tcPr>
            <w:tcW w:w="6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Cs/>
                <w:color w:val="auto"/>
                <w:sz w:val="24"/>
                <w:szCs w:val="24"/>
                <w:highlight w:val="none"/>
                <w:lang w:val="zh-CN"/>
              </w:rPr>
            </w:pPr>
            <w:r>
              <w:rPr>
                <w:rFonts w:hint="eastAsia" w:ascii="宋体" w:hAnsi="宋体"/>
                <w:color w:val="auto"/>
                <w:sz w:val="24"/>
                <w:szCs w:val="24"/>
                <w:highlight w:val="none"/>
              </w:rPr>
              <w:t>大写：</w:t>
            </w:r>
            <w:r>
              <w:rPr>
                <w:rFonts w:ascii="宋体" w:hAnsi="宋体" w:cs="宋体"/>
                <w:bCs/>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3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Cs/>
                <w:color w:val="auto"/>
                <w:sz w:val="24"/>
                <w:szCs w:val="24"/>
                <w:highlight w:val="none"/>
                <w:lang w:val="zh-CN"/>
              </w:rPr>
            </w:pPr>
          </w:p>
        </w:tc>
        <w:tc>
          <w:tcPr>
            <w:tcW w:w="6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Cs/>
                <w:color w:val="auto"/>
                <w:sz w:val="24"/>
                <w:szCs w:val="24"/>
                <w:highlight w:val="none"/>
                <w:lang w:val="zh-CN"/>
              </w:rPr>
            </w:pPr>
            <w:r>
              <w:rPr>
                <w:rFonts w:hint="eastAsia" w:ascii="宋体" w:hAnsi="宋体"/>
                <w:color w:val="auto"/>
                <w:sz w:val="24"/>
                <w:szCs w:val="24"/>
                <w:highlight w:val="none"/>
              </w:rPr>
              <w:t>小写：</w:t>
            </w:r>
            <w:r>
              <w:rPr>
                <w:rFonts w:ascii="宋体" w:hAnsi="宋体" w:cs="宋体"/>
                <w:bCs/>
                <w:color w:val="auto"/>
                <w:sz w:val="24"/>
                <w:szCs w:val="24"/>
                <w:highlight w:val="none"/>
                <w:lang w:val="zh-CN"/>
              </w:rPr>
              <w:t xml:space="preserve"> </w:t>
            </w:r>
          </w:p>
        </w:tc>
      </w:tr>
    </w:tbl>
    <w:p>
      <w:pPr>
        <w:pStyle w:val="6"/>
        <w:rPr>
          <w:bCs/>
          <w:color w:val="auto"/>
          <w:highlight w:val="none"/>
        </w:rPr>
      </w:pPr>
      <w:r>
        <w:rPr>
          <w:color w:val="auto"/>
          <w:highlight w:val="none"/>
        </w:rPr>
        <w:br w:type="page"/>
      </w:r>
      <w:bookmarkStart w:id="250" w:name="_Toc6493863"/>
      <w:bookmarkStart w:id="251" w:name="_Toc58838607"/>
      <w:bookmarkStart w:id="252" w:name="_Toc23263"/>
      <w:bookmarkStart w:id="253" w:name="_Toc26588"/>
      <w:bookmarkStart w:id="254" w:name="_Toc12418"/>
      <w:bookmarkStart w:id="255" w:name="_Toc112397840"/>
      <w:bookmarkStart w:id="256" w:name="_Toc12639"/>
      <w:bookmarkStart w:id="257" w:name="_Toc60070634"/>
      <w:r>
        <w:rPr>
          <w:rFonts w:hint="eastAsia"/>
          <w:snapToGrid w:val="0"/>
          <w:color w:val="auto"/>
          <w:highlight w:val="none"/>
        </w:rPr>
        <w:t>格式十</w:t>
      </w:r>
      <w:bookmarkEnd w:id="250"/>
      <w:bookmarkEnd w:id="251"/>
      <w:r>
        <w:rPr>
          <w:rFonts w:hint="eastAsia"/>
          <w:snapToGrid w:val="0"/>
          <w:color w:val="auto"/>
          <w:highlight w:val="none"/>
        </w:rPr>
        <w:t>一：</w:t>
      </w:r>
      <w:bookmarkEnd w:id="252"/>
      <w:bookmarkEnd w:id="253"/>
      <w:bookmarkEnd w:id="254"/>
      <w:bookmarkEnd w:id="255"/>
      <w:bookmarkEnd w:id="256"/>
      <w:bookmarkEnd w:id="257"/>
    </w:p>
    <w:p>
      <w:pPr>
        <w:jc w:val="center"/>
        <w:rPr>
          <w:rFonts w:ascii="宋体" w:hAnsi="宋体"/>
          <w:b/>
          <w:color w:val="auto"/>
          <w:sz w:val="36"/>
          <w:szCs w:val="36"/>
          <w:highlight w:val="none"/>
        </w:rPr>
      </w:pPr>
      <w:bookmarkStart w:id="258" w:name="_Toc58838608"/>
      <w:r>
        <w:rPr>
          <w:rFonts w:hint="eastAsia" w:ascii="宋体" w:hAnsi="宋体"/>
          <w:b/>
          <w:color w:val="auto"/>
          <w:sz w:val="36"/>
          <w:szCs w:val="36"/>
          <w:highlight w:val="none"/>
        </w:rPr>
        <w:t>参与编制经济标投标文件人员名单</w:t>
      </w:r>
      <w:bookmarkEnd w:id="258"/>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441"/>
        <w:gridCol w:w="2461"/>
        <w:gridCol w:w="2359"/>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919" w:type="dxa"/>
            <w:gridSpan w:val="5"/>
            <w:vAlign w:val="center"/>
          </w:tcPr>
          <w:p>
            <w:pPr>
              <w:tabs>
                <w:tab w:val="left" w:pos="720"/>
              </w:tabs>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39" w:type="dxa"/>
            <w:vAlign w:val="center"/>
          </w:tcPr>
          <w:p>
            <w:pPr>
              <w:tabs>
                <w:tab w:val="left" w:pos="720"/>
              </w:tabs>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姓名</w:t>
            </w:r>
          </w:p>
        </w:tc>
        <w:tc>
          <w:tcPr>
            <w:tcW w:w="1441" w:type="dxa"/>
            <w:vAlign w:val="center"/>
          </w:tcPr>
          <w:p>
            <w:pPr>
              <w:tabs>
                <w:tab w:val="left" w:pos="720"/>
              </w:tabs>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职务</w:t>
            </w:r>
          </w:p>
        </w:tc>
        <w:tc>
          <w:tcPr>
            <w:tcW w:w="2461" w:type="dxa"/>
            <w:vAlign w:val="center"/>
          </w:tcPr>
          <w:p>
            <w:pPr>
              <w:tabs>
                <w:tab w:val="left" w:pos="720"/>
              </w:tabs>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所承担工作</w:t>
            </w:r>
          </w:p>
        </w:tc>
        <w:tc>
          <w:tcPr>
            <w:tcW w:w="2359" w:type="dxa"/>
            <w:vAlign w:val="center"/>
          </w:tcPr>
          <w:p>
            <w:pPr>
              <w:tabs>
                <w:tab w:val="left" w:pos="720"/>
              </w:tabs>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身份证号码</w:t>
            </w:r>
          </w:p>
        </w:tc>
        <w:tc>
          <w:tcPr>
            <w:tcW w:w="1419" w:type="dxa"/>
            <w:vAlign w:val="center"/>
          </w:tcPr>
          <w:p>
            <w:pPr>
              <w:tabs>
                <w:tab w:val="left" w:pos="720"/>
              </w:tabs>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9" w:type="dxa"/>
            <w:vAlign w:val="center"/>
          </w:tcPr>
          <w:p>
            <w:pPr>
              <w:tabs>
                <w:tab w:val="left" w:pos="720"/>
              </w:tabs>
              <w:snapToGrid w:val="0"/>
              <w:spacing w:line="360" w:lineRule="auto"/>
              <w:jc w:val="center"/>
              <w:rPr>
                <w:rFonts w:ascii="宋体" w:hAnsi="宋体"/>
                <w:color w:val="auto"/>
                <w:sz w:val="24"/>
                <w:szCs w:val="24"/>
                <w:highlight w:val="none"/>
              </w:rPr>
            </w:pPr>
          </w:p>
        </w:tc>
        <w:tc>
          <w:tcPr>
            <w:tcW w:w="1441" w:type="dxa"/>
            <w:vAlign w:val="center"/>
          </w:tcPr>
          <w:p>
            <w:pPr>
              <w:tabs>
                <w:tab w:val="left" w:pos="720"/>
              </w:tabs>
              <w:snapToGrid w:val="0"/>
              <w:spacing w:line="360" w:lineRule="auto"/>
              <w:jc w:val="center"/>
              <w:rPr>
                <w:rFonts w:ascii="宋体" w:hAnsi="宋体"/>
                <w:color w:val="auto"/>
                <w:sz w:val="24"/>
                <w:szCs w:val="24"/>
                <w:highlight w:val="none"/>
              </w:rPr>
            </w:pPr>
          </w:p>
        </w:tc>
        <w:tc>
          <w:tcPr>
            <w:tcW w:w="2461" w:type="dxa"/>
            <w:vAlign w:val="center"/>
          </w:tcPr>
          <w:p>
            <w:pPr>
              <w:tabs>
                <w:tab w:val="left" w:pos="720"/>
              </w:tabs>
              <w:snapToGrid w:val="0"/>
              <w:spacing w:line="360" w:lineRule="auto"/>
              <w:jc w:val="center"/>
              <w:rPr>
                <w:rFonts w:ascii="宋体" w:hAnsi="宋体"/>
                <w:color w:val="auto"/>
                <w:sz w:val="24"/>
                <w:szCs w:val="24"/>
                <w:highlight w:val="none"/>
              </w:rPr>
            </w:pPr>
          </w:p>
        </w:tc>
        <w:tc>
          <w:tcPr>
            <w:tcW w:w="2359" w:type="dxa"/>
            <w:vAlign w:val="center"/>
          </w:tcPr>
          <w:p>
            <w:pPr>
              <w:tabs>
                <w:tab w:val="left" w:pos="720"/>
              </w:tabs>
              <w:snapToGrid w:val="0"/>
              <w:spacing w:line="360" w:lineRule="auto"/>
              <w:jc w:val="center"/>
              <w:rPr>
                <w:rFonts w:ascii="宋体" w:hAnsi="宋体"/>
                <w:color w:val="auto"/>
                <w:sz w:val="24"/>
                <w:szCs w:val="24"/>
                <w:highlight w:val="none"/>
              </w:rPr>
            </w:pPr>
          </w:p>
        </w:tc>
        <w:tc>
          <w:tcPr>
            <w:tcW w:w="1419" w:type="dxa"/>
            <w:vAlign w:val="center"/>
          </w:tcPr>
          <w:p>
            <w:pPr>
              <w:tabs>
                <w:tab w:val="left" w:pos="720"/>
              </w:tabs>
              <w:snapToGrid w:val="0"/>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39" w:type="dxa"/>
            <w:vAlign w:val="center"/>
          </w:tcPr>
          <w:p>
            <w:pPr>
              <w:tabs>
                <w:tab w:val="left" w:pos="720"/>
              </w:tabs>
              <w:snapToGrid w:val="0"/>
              <w:spacing w:line="360" w:lineRule="auto"/>
              <w:jc w:val="center"/>
              <w:rPr>
                <w:rFonts w:ascii="宋体" w:hAnsi="宋体"/>
                <w:color w:val="auto"/>
                <w:sz w:val="24"/>
                <w:szCs w:val="24"/>
                <w:highlight w:val="none"/>
              </w:rPr>
            </w:pPr>
          </w:p>
        </w:tc>
        <w:tc>
          <w:tcPr>
            <w:tcW w:w="1441" w:type="dxa"/>
            <w:vAlign w:val="center"/>
          </w:tcPr>
          <w:p>
            <w:pPr>
              <w:tabs>
                <w:tab w:val="left" w:pos="720"/>
              </w:tabs>
              <w:snapToGrid w:val="0"/>
              <w:spacing w:line="360" w:lineRule="auto"/>
              <w:jc w:val="center"/>
              <w:rPr>
                <w:rFonts w:ascii="宋体" w:hAnsi="宋体"/>
                <w:color w:val="auto"/>
                <w:sz w:val="24"/>
                <w:szCs w:val="24"/>
                <w:highlight w:val="none"/>
              </w:rPr>
            </w:pPr>
          </w:p>
        </w:tc>
        <w:tc>
          <w:tcPr>
            <w:tcW w:w="2461" w:type="dxa"/>
            <w:vAlign w:val="center"/>
          </w:tcPr>
          <w:p>
            <w:pPr>
              <w:tabs>
                <w:tab w:val="left" w:pos="720"/>
              </w:tabs>
              <w:snapToGrid w:val="0"/>
              <w:spacing w:line="360" w:lineRule="auto"/>
              <w:jc w:val="center"/>
              <w:rPr>
                <w:rFonts w:ascii="宋体" w:hAnsi="宋体"/>
                <w:color w:val="auto"/>
                <w:sz w:val="24"/>
                <w:szCs w:val="24"/>
                <w:highlight w:val="none"/>
              </w:rPr>
            </w:pPr>
          </w:p>
        </w:tc>
        <w:tc>
          <w:tcPr>
            <w:tcW w:w="2359" w:type="dxa"/>
            <w:vAlign w:val="center"/>
          </w:tcPr>
          <w:p>
            <w:pPr>
              <w:tabs>
                <w:tab w:val="left" w:pos="720"/>
              </w:tabs>
              <w:snapToGrid w:val="0"/>
              <w:spacing w:line="360" w:lineRule="auto"/>
              <w:jc w:val="center"/>
              <w:rPr>
                <w:rFonts w:ascii="宋体" w:hAnsi="宋体"/>
                <w:color w:val="auto"/>
                <w:sz w:val="24"/>
                <w:szCs w:val="24"/>
                <w:highlight w:val="none"/>
              </w:rPr>
            </w:pPr>
          </w:p>
        </w:tc>
        <w:tc>
          <w:tcPr>
            <w:tcW w:w="1419" w:type="dxa"/>
            <w:vAlign w:val="center"/>
          </w:tcPr>
          <w:p>
            <w:pPr>
              <w:tabs>
                <w:tab w:val="left" w:pos="720"/>
              </w:tabs>
              <w:snapToGrid w:val="0"/>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39" w:type="dxa"/>
            <w:vAlign w:val="center"/>
          </w:tcPr>
          <w:p>
            <w:pPr>
              <w:tabs>
                <w:tab w:val="left" w:pos="720"/>
              </w:tabs>
              <w:snapToGrid w:val="0"/>
              <w:spacing w:line="360" w:lineRule="auto"/>
              <w:jc w:val="center"/>
              <w:rPr>
                <w:rFonts w:ascii="宋体" w:hAnsi="宋体"/>
                <w:color w:val="auto"/>
                <w:sz w:val="24"/>
                <w:szCs w:val="24"/>
                <w:highlight w:val="none"/>
              </w:rPr>
            </w:pPr>
          </w:p>
        </w:tc>
        <w:tc>
          <w:tcPr>
            <w:tcW w:w="1441" w:type="dxa"/>
            <w:vAlign w:val="center"/>
          </w:tcPr>
          <w:p>
            <w:pPr>
              <w:tabs>
                <w:tab w:val="left" w:pos="720"/>
              </w:tabs>
              <w:snapToGrid w:val="0"/>
              <w:spacing w:line="360" w:lineRule="auto"/>
              <w:jc w:val="center"/>
              <w:rPr>
                <w:rFonts w:ascii="宋体" w:hAnsi="宋体"/>
                <w:color w:val="auto"/>
                <w:sz w:val="24"/>
                <w:szCs w:val="24"/>
                <w:highlight w:val="none"/>
              </w:rPr>
            </w:pPr>
          </w:p>
        </w:tc>
        <w:tc>
          <w:tcPr>
            <w:tcW w:w="2461" w:type="dxa"/>
            <w:vAlign w:val="center"/>
          </w:tcPr>
          <w:p>
            <w:pPr>
              <w:tabs>
                <w:tab w:val="left" w:pos="720"/>
              </w:tabs>
              <w:snapToGrid w:val="0"/>
              <w:spacing w:line="360" w:lineRule="auto"/>
              <w:jc w:val="center"/>
              <w:rPr>
                <w:rFonts w:ascii="宋体" w:hAnsi="宋体"/>
                <w:color w:val="auto"/>
                <w:sz w:val="24"/>
                <w:szCs w:val="24"/>
                <w:highlight w:val="none"/>
              </w:rPr>
            </w:pPr>
          </w:p>
        </w:tc>
        <w:tc>
          <w:tcPr>
            <w:tcW w:w="2359" w:type="dxa"/>
            <w:vAlign w:val="center"/>
          </w:tcPr>
          <w:p>
            <w:pPr>
              <w:tabs>
                <w:tab w:val="left" w:pos="720"/>
              </w:tabs>
              <w:snapToGrid w:val="0"/>
              <w:spacing w:line="360" w:lineRule="auto"/>
              <w:jc w:val="center"/>
              <w:rPr>
                <w:rFonts w:ascii="宋体" w:hAnsi="宋体"/>
                <w:color w:val="auto"/>
                <w:sz w:val="24"/>
                <w:szCs w:val="24"/>
                <w:highlight w:val="none"/>
              </w:rPr>
            </w:pPr>
          </w:p>
        </w:tc>
        <w:tc>
          <w:tcPr>
            <w:tcW w:w="1419" w:type="dxa"/>
            <w:vAlign w:val="center"/>
          </w:tcPr>
          <w:p>
            <w:pPr>
              <w:tabs>
                <w:tab w:val="left" w:pos="720"/>
              </w:tabs>
              <w:snapToGrid w:val="0"/>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39" w:type="dxa"/>
            <w:vAlign w:val="center"/>
          </w:tcPr>
          <w:p>
            <w:pPr>
              <w:tabs>
                <w:tab w:val="left" w:pos="720"/>
              </w:tabs>
              <w:snapToGrid w:val="0"/>
              <w:spacing w:line="360" w:lineRule="auto"/>
              <w:jc w:val="center"/>
              <w:rPr>
                <w:rFonts w:ascii="宋体" w:hAnsi="宋体"/>
                <w:color w:val="auto"/>
                <w:sz w:val="24"/>
                <w:szCs w:val="24"/>
                <w:highlight w:val="none"/>
              </w:rPr>
            </w:pPr>
          </w:p>
        </w:tc>
        <w:tc>
          <w:tcPr>
            <w:tcW w:w="1441" w:type="dxa"/>
            <w:vAlign w:val="center"/>
          </w:tcPr>
          <w:p>
            <w:pPr>
              <w:tabs>
                <w:tab w:val="left" w:pos="720"/>
              </w:tabs>
              <w:snapToGrid w:val="0"/>
              <w:spacing w:line="360" w:lineRule="auto"/>
              <w:jc w:val="center"/>
              <w:rPr>
                <w:rFonts w:ascii="宋体" w:hAnsi="宋体"/>
                <w:color w:val="auto"/>
                <w:sz w:val="24"/>
                <w:szCs w:val="24"/>
                <w:highlight w:val="none"/>
              </w:rPr>
            </w:pPr>
          </w:p>
        </w:tc>
        <w:tc>
          <w:tcPr>
            <w:tcW w:w="2461" w:type="dxa"/>
            <w:vAlign w:val="center"/>
          </w:tcPr>
          <w:p>
            <w:pPr>
              <w:tabs>
                <w:tab w:val="left" w:pos="720"/>
              </w:tabs>
              <w:snapToGrid w:val="0"/>
              <w:spacing w:line="360" w:lineRule="auto"/>
              <w:jc w:val="center"/>
              <w:rPr>
                <w:rFonts w:ascii="宋体" w:hAnsi="宋体"/>
                <w:color w:val="auto"/>
                <w:sz w:val="24"/>
                <w:szCs w:val="24"/>
                <w:highlight w:val="none"/>
              </w:rPr>
            </w:pPr>
          </w:p>
        </w:tc>
        <w:tc>
          <w:tcPr>
            <w:tcW w:w="2359" w:type="dxa"/>
            <w:vAlign w:val="center"/>
          </w:tcPr>
          <w:p>
            <w:pPr>
              <w:tabs>
                <w:tab w:val="left" w:pos="720"/>
              </w:tabs>
              <w:snapToGrid w:val="0"/>
              <w:spacing w:line="360" w:lineRule="auto"/>
              <w:jc w:val="center"/>
              <w:rPr>
                <w:rFonts w:ascii="宋体" w:hAnsi="宋体"/>
                <w:color w:val="auto"/>
                <w:sz w:val="24"/>
                <w:szCs w:val="24"/>
                <w:highlight w:val="none"/>
              </w:rPr>
            </w:pPr>
          </w:p>
        </w:tc>
        <w:tc>
          <w:tcPr>
            <w:tcW w:w="1419" w:type="dxa"/>
            <w:vAlign w:val="center"/>
          </w:tcPr>
          <w:p>
            <w:pPr>
              <w:tabs>
                <w:tab w:val="left" w:pos="720"/>
              </w:tabs>
              <w:snapToGrid w:val="0"/>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39" w:type="dxa"/>
            <w:vAlign w:val="center"/>
          </w:tcPr>
          <w:p>
            <w:pPr>
              <w:tabs>
                <w:tab w:val="left" w:pos="720"/>
              </w:tabs>
              <w:snapToGrid w:val="0"/>
              <w:spacing w:line="360" w:lineRule="auto"/>
              <w:jc w:val="center"/>
              <w:rPr>
                <w:rFonts w:ascii="宋体" w:hAnsi="宋体"/>
                <w:color w:val="auto"/>
                <w:sz w:val="24"/>
                <w:szCs w:val="24"/>
                <w:highlight w:val="none"/>
              </w:rPr>
            </w:pPr>
          </w:p>
        </w:tc>
        <w:tc>
          <w:tcPr>
            <w:tcW w:w="1441" w:type="dxa"/>
            <w:vAlign w:val="center"/>
          </w:tcPr>
          <w:p>
            <w:pPr>
              <w:tabs>
                <w:tab w:val="left" w:pos="720"/>
              </w:tabs>
              <w:snapToGrid w:val="0"/>
              <w:spacing w:line="360" w:lineRule="auto"/>
              <w:jc w:val="center"/>
              <w:rPr>
                <w:rFonts w:ascii="宋体" w:hAnsi="宋体"/>
                <w:color w:val="auto"/>
                <w:sz w:val="24"/>
                <w:szCs w:val="24"/>
                <w:highlight w:val="none"/>
              </w:rPr>
            </w:pPr>
          </w:p>
        </w:tc>
        <w:tc>
          <w:tcPr>
            <w:tcW w:w="2461" w:type="dxa"/>
            <w:vAlign w:val="center"/>
          </w:tcPr>
          <w:p>
            <w:pPr>
              <w:tabs>
                <w:tab w:val="left" w:pos="720"/>
              </w:tabs>
              <w:snapToGrid w:val="0"/>
              <w:spacing w:line="360" w:lineRule="auto"/>
              <w:jc w:val="center"/>
              <w:rPr>
                <w:rFonts w:ascii="宋体" w:hAnsi="宋体"/>
                <w:color w:val="auto"/>
                <w:sz w:val="24"/>
                <w:szCs w:val="24"/>
                <w:highlight w:val="none"/>
              </w:rPr>
            </w:pPr>
          </w:p>
        </w:tc>
        <w:tc>
          <w:tcPr>
            <w:tcW w:w="2359" w:type="dxa"/>
            <w:vAlign w:val="center"/>
          </w:tcPr>
          <w:p>
            <w:pPr>
              <w:tabs>
                <w:tab w:val="left" w:pos="720"/>
              </w:tabs>
              <w:snapToGrid w:val="0"/>
              <w:spacing w:line="360" w:lineRule="auto"/>
              <w:jc w:val="center"/>
              <w:rPr>
                <w:rFonts w:ascii="宋体" w:hAnsi="宋体"/>
                <w:color w:val="auto"/>
                <w:sz w:val="24"/>
                <w:szCs w:val="24"/>
                <w:highlight w:val="none"/>
              </w:rPr>
            </w:pPr>
          </w:p>
        </w:tc>
        <w:tc>
          <w:tcPr>
            <w:tcW w:w="1419" w:type="dxa"/>
            <w:vAlign w:val="center"/>
          </w:tcPr>
          <w:p>
            <w:pPr>
              <w:tabs>
                <w:tab w:val="left" w:pos="720"/>
              </w:tabs>
              <w:snapToGrid w:val="0"/>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39" w:type="dxa"/>
            <w:vAlign w:val="center"/>
          </w:tcPr>
          <w:p>
            <w:pPr>
              <w:tabs>
                <w:tab w:val="left" w:pos="720"/>
              </w:tabs>
              <w:snapToGrid w:val="0"/>
              <w:spacing w:line="360" w:lineRule="auto"/>
              <w:jc w:val="center"/>
              <w:rPr>
                <w:rFonts w:ascii="宋体" w:hAnsi="宋体"/>
                <w:color w:val="auto"/>
                <w:sz w:val="24"/>
                <w:szCs w:val="24"/>
                <w:highlight w:val="none"/>
              </w:rPr>
            </w:pPr>
          </w:p>
        </w:tc>
        <w:tc>
          <w:tcPr>
            <w:tcW w:w="1441" w:type="dxa"/>
            <w:vAlign w:val="center"/>
          </w:tcPr>
          <w:p>
            <w:pPr>
              <w:tabs>
                <w:tab w:val="left" w:pos="720"/>
              </w:tabs>
              <w:snapToGrid w:val="0"/>
              <w:spacing w:line="360" w:lineRule="auto"/>
              <w:jc w:val="center"/>
              <w:rPr>
                <w:rFonts w:ascii="宋体" w:hAnsi="宋体"/>
                <w:color w:val="auto"/>
                <w:sz w:val="24"/>
                <w:szCs w:val="24"/>
                <w:highlight w:val="none"/>
              </w:rPr>
            </w:pPr>
          </w:p>
        </w:tc>
        <w:tc>
          <w:tcPr>
            <w:tcW w:w="2461" w:type="dxa"/>
            <w:vAlign w:val="center"/>
          </w:tcPr>
          <w:p>
            <w:pPr>
              <w:tabs>
                <w:tab w:val="left" w:pos="720"/>
              </w:tabs>
              <w:snapToGrid w:val="0"/>
              <w:spacing w:line="360" w:lineRule="auto"/>
              <w:jc w:val="center"/>
              <w:rPr>
                <w:rFonts w:ascii="宋体" w:hAnsi="宋体"/>
                <w:color w:val="auto"/>
                <w:sz w:val="24"/>
                <w:szCs w:val="24"/>
                <w:highlight w:val="none"/>
              </w:rPr>
            </w:pPr>
          </w:p>
        </w:tc>
        <w:tc>
          <w:tcPr>
            <w:tcW w:w="2359" w:type="dxa"/>
            <w:vAlign w:val="center"/>
          </w:tcPr>
          <w:p>
            <w:pPr>
              <w:tabs>
                <w:tab w:val="left" w:pos="720"/>
              </w:tabs>
              <w:snapToGrid w:val="0"/>
              <w:spacing w:line="360" w:lineRule="auto"/>
              <w:jc w:val="center"/>
              <w:rPr>
                <w:rFonts w:ascii="宋体" w:hAnsi="宋体"/>
                <w:color w:val="auto"/>
                <w:sz w:val="24"/>
                <w:szCs w:val="24"/>
                <w:highlight w:val="none"/>
              </w:rPr>
            </w:pPr>
          </w:p>
        </w:tc>
        <w:tc>
          <w:tcPr>
            <w:tcW w:w="1419" w:type="dxa"/>
            <w:vAlign w:val="center"/>
          </w:tcPr>
          <w:p>
            <w:pPr>
              <w:tabs>
                <w:tab w:val="left" w:pos="720"/>
              </w:tabs>
              <w:snapToGrid w:val="0"/>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39" w:type="dxa"/>
            <w:vAlign w:val="center"/>
          </w:tcPr>
          <w:p>
            <w:pPr>
              <w:tabs>
                <w:tab w:val="left" w:pos="720"/>
              </w:tabs>
              <w:snapToGrid w:val="0"/>
              <w:spacing w:line="360" w:lineRule="auto"/>
              <w:jc w:val="center"/>
              <w:rPr>
                <w:rFonts w:ascii="宋体" w:hAnsi="宋体"/>
                <w:color w:val="auto"/>
                <w:sz w:val="24"/>
                <w:szCs w:val="24"/>
                <w:highlight w:val="none"/>
              </w:rPr>
            </w:pPr>
          </w:p>
        </w:tc>
        <w:tc>
          <w:tcPr>
            <w:tcW w:w="1441" w:type="dxa"/>
            <w:vAlign w:val="center"/>
          </w:tcPr>
          <w:p>
            <w:pPr>
              <w:tabs>
                <w:tab w:val="left" w:pos="720"/>
              </w:tabs>
              <w:snapToGrid w:val="0"/>
              <w:spacing w:line="360" w:lineRule="auto"/>
              <w:jc w:val="center"/>
              <w:rPr>
                <w:rFonts w:ascii="宋体" w:hAnsi="宋体"/>
                <w:color w:val="auto"/>
                <w:sz w:val="24"/>
                <w:szCs w:val="24"/>
                <w:highlight w:val="none"/>
              </w:rPr>
            </w:pPr>
          </w:p>
        </w:tc>
        <w:tc>
          <w:tcPr>
            <w:tcW w:w="2461" w:type="dxa"/>
            <w:vAlign w:val="center"/>
          </w:tcPr>
          <w:p>
            <w:pPr>
              <w:tabs>
                <w:tab w:val="left" w:pos="720"/>
              </w:tabs>
              <w:snapToGrid w:val="0"/>
              <w:spacing w:line="360" w:lineRule="auto"/>
              <w:jc w:val="center"/>
              <w:rPr>
                <w:rFonts w:ascii="宋体" w:hAnsi="宋体"/>
                <w:color w:val="auto"/>
                <w:sz w:val="24"/>
                <w:szCs w:val="24"/>
                <w:highlight w:val="none"/>
              </w:rPr>
            </w:pPr>
          </w:p>
        </w:tc>
        <w:tc>
          <w:tcPr>
            <w:tcW w:w="2359" w:type="dxa"/>
            <w:vAlign w:val="center"/>
          </w:tcPr>
          <w:p>
            <w:pPr>
              <w:tabs>
                <w:tab w:val="left" w:pos="720"/>
              </w:tabs>
              <w:snapToGrid w:val="0"/>
              <w:spacing w:line="360" w:lineRule="auto"/>
              <w:jc w:val="center"/>
              <w:rPr>
                <w:rFonts w:ascii="宋体" w:hAnsi="宋体"/>
                <w:color w:val="auto"/>
                <w:sz w:val="24"/>
                <w:szCs w:val="24"/>
                <w:highlight w:val="none"/>
              </w:rPr>
            </w:pPr>
          </w:p>
        </w:tc>
        <w:tc>
          <w:tcPr>
            <w:tcW w:w="1419" w:type="dxa"/>
            <w:vAlign w:val="center"/>
          </w:tcPr>
          <w:p>
            <w:pPr>
              <w:tabs>
                <w:tab w:val="left" w:pos="720"/>
              </w:tabs>
              <w:snapToGrid w:val="0"/>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39" w:type="dxa"/>
            <w:vAlign w:val="center"/>
          </w:tcPr>
          <w:p>
            <w:pPr>
              <w:tabs>
                <w:tab w:val="left" w:pos="720"/>
              </w:tabs>
              <w:snapToGrid w:val="0"/>
              <w:spacing w:line="360" w:lineRule="auto"/>
              <w:jc w:val="center"/>
              <w:rPr>
                <w:rFonts w:ascii="宋体" w:hAnsi="宋体"/>
                <w:color w:val="auto"/>
                <w:sz w:val="24"/>
                <w:szCs w:val="24"/>
                <w:highlight w:val="none"/>
              </w:rPr>
            </w:pPr>
          </w:p>
        </w:tc>
        <w:tc>
          <w:tcPr>
            <w:tcW w:w="1441" w:type="dxa"/>
            <w:vAlign w:val="center"/>
          </w:tcPr>
          <w:p>
            <w:pPr>
              <w:tabs>
                <w:tab w:val="left" w:pos="720"/>
              </w:tabs>
              <w:snapToGrid w:val="0"/>
              <w:spacing w:line="360" w:lineRule="auto"/>
              <w:jc w:val="center"/>
              <w:rPr>
                <w:rFonts w:ascii="宋体" w:hAnsi="宋体"/>
                <w:color w:val="auto"/>
                <w:sz w:val="24"/>
                <w:szCs w:val="24"/>
                <w:highlight w:val="none"/>
              </w:rPr>
            </w:pPr>
          </w:p>
        </w:tc>
        <w:tc>
          <w:tcPr>
            <w:tcW w:w="2461" w:type="dxa"/>
            <w:vAlign w:val="center"/>
          </w:tcPr>
          <w:p>
            <w:pPr>
              <w:tabs>
                <w:tab w:val="left" w:pos="720"/>
              </w:tabs>
              <w:snapToGrid w:val="0"/>
              <w:spacing w:line="360" w:lineRule="auto"/>
              <w:jc w:val="center"/>
              <w:rPr>
                <w:rFonts w:ascii="宋体" w:hAnsi="宋体"/>
                <w:color w:val="auto"/>
                <w:sz w:val="24"/>
                <w:szCs w:val="24"/>
                <w:highlight w:val="none"/>
              </w:rPr>
            </w:pPr>
          </w:p>
        </w:tc>
        <w:tc>
          <w:tcPr>
            <w:tcW w:w="2359" w:type="dxa"/>
            <w:vAlign w:val="center"/>
          </w:tcPr>
          <w:p>
            <w:pPr>
              <w:tabs>
                <w:tab w:val="left" w:pos="720"/>
              </w:tabs>
              <w:snapToGrid w:val="0"/>
              <w:spacing w:line="360" w:lineRule="auto"/>
              <w:jc w:val="center"/>
              <w:rPr>
                <w:rFonts w:ascii="宋体" w:hAnsi="宋体"/>
                <w:color w:val="auto"/>
                <w:sz w:val="24"/>
                <w:szCs w:val="24"/>
                <w:highlight w:val="none"/>
              </w:rPr>
            </w:pPr>
          </w:p>
        </w:tc>
        <w:tc>
          <w:tcPr>
            <w:tcW w:w="1419" w:type="dxa"/>
            <w:vAlign w:val="center"/>
          </w:tcPr>
          <w:p>
            <w:pPr>
              <w:tabs>
                <w:tab w:val="left" w:pos="720"/>
              </w:tabs>
              <w:snapToGrid w:val="0"/>
              <w:spacing w:line="360" w:lineRule="auto"/>
              <w:jc w:val="center"/>
              <w:rPr>
                <w:rFonts w:ascii="宋体" w:hAnsi="宋体"/>
                <w:color w:val="auto"/>
                <w:sz w:val="24"/>
                <w:szCs w:val="24"/>
                <w:highlight w:val="none"/>
              </w:rPr>
            </w:pPr>
          </w:p>
        </w:tc>
      </w:tr>
    </w:tbl>
    <w:p>
      <w:pPr>
        <w:rPr>
          <w:rFonts w:ascii="宋体" w:hAnsi="宋体"/>
          <w:color w:val="auto"/>
          <w:highlight w:val="none"/>
        </w:rPr>
      </w:pPr>
      <w:r>
        <w:rPr>
          <w:rFonts w:hint="eastAsia" w:ascii="宋体" w:hAnsi="宋体"/>
          <w:color w:val="auto"/>
          <w:spacing w:val="4"/>
          <w:kern w:val="0"/>
          <w:sz w:val="21"/>
          <w:szCs w:val="21"/>
          <w:highlight w:val="none"/>
        </w:rPr>
        <w:t>注：参与编制经济标书所有人员名单应包括如编制各种专业工程量清单投标报价、负责清样校对、负责打印及复印等所有人员在内的人员名单。</w:t>
      </w:r>
    </w:p>
    <w:p>
      <w:pPr>
        <w:widowControl/>
        <w:jc w:val="left"/>
        <w:rPr>
          <w:rFonts w:ascii="宋体" w:hAnsi="宋体" w:cs="宋体"/>
          <w:b/>
          <w:color w:val="auto"/>
          <w:kern w:val="0"/>
          <w:sz w:val="24"/>
          <w:szCs w:val="24"/>
          <w:highlight w:val="none"/>
        </w:rPr>
      </w:pPr>
      <w:r>
        <w:rPr>
          <w:rFonts w:ascii="宋体" w:hAnsi="宋体"/>
          <w:color w:val="auto"/>
          <w:highlight w:val="none"/>
        </w:rPr>
        <w:br w:type="page"/>
      </w:r>
    </w:p>
    <w:p>
      <w:pPr>
        <w:pStyle w:val="6"/>
        <w:rPr>
          <w:color w:val="auto"/>
          <w:highlight w:val="none"/>
        </w:rPr>
      </w:pPr>
      <w:bookmarkStart w:id="259" w:name="_Toc19432"/>
      <w:bookmarkStart w:id="260" w:name="_Toc2827"/>
      <w:bookmarkStart w:id="261" w:name="_Toc25672"/>
      <w:bookmarkStart w:id="262" w:name="_Toc2692"/>
      <w:bookmarkStart w:id="263" w:name="_Toc112397841"/>
      <w:bookmarkStart w:id="264" w:name="_Toc60070635"/>
      <w:r>
        <w:rPr>
          <w:rFonts w:hint="eastAsia"/>
          <w:color w:val="auto"/>
          <w:highlight w:val="none"/>
        </w:rPr>
        <w:t>格式</w:t>
      </w:r>
      <w:r>
        <w:rPr>
          <w:rFonts w:hint="eastAsia"/>
          <w:snapToGrid w:val="0"/>
          <w:color w:val="auto"/>
          <w:highlight w:val="none"/>
        </w:rPr>
        <w:t>十二</w:t>
      </w:r>
      <w:r>
        <w:rPr>
          <w:rFonts w:hint="eastAsia"/>
          <w:color w:val="auto"/>
          <w:kern w:val="2"/>
          <w:highlight w:val="none"/>
        </w:rPr>
        <w:t>：</w:t>
      </w:r>
      <w:bookmarkEnd w:id="259"/>
      <w:bookmarkEnd w:id="260"/>
      <w:bookmarkEnd w:id="261"/>
      <w:bookmarkEnd w:id="262"/>
      <w:bookmarkEnd w:id="263"/>
      <w:bookmarkEnd w:id="264"/>
    </w:p>
    <w:p>
      <w:pPr>
        <w:pStyle w:val="47"/>
        <w:spacing w:after="0" w:line="360" w:lineRule="auto"/>
        <w:ind w:firstLine="0"/>
        <w:jc w:val="center"/>
        <w:rPr>
          <w:rFonts w:ascii="宋体" w:hAnsi="宋体" w:cs="宋体"/>
          <w:color w:val="auto"/>
          <w:sz w:val="36"/>
          <w:szCs w:val="36"/>
          <w:highlight w:val="none"/>
        </w:rPr>
      </w:pPr>
      <w:r>
        <w:rPr>
          <w:rFonts w:hint="eastAsia" w:ascii="宋体" w:hAnsi="宋体" w:cs="宋体"/>
          <w:b/>
          <w:color w:val="auto"/>
          <w:sz w:val="36"/>
          <w:szCs w:val="36"/>
          <w:highlight w:val="none"/>
        </w:rPr>
        <w:t>对投标文件编制的承诺</w:t>
      </w:r>
    </w:p>
    <w:p>
      <w:pPr>
        <w:pStyle w:val="47"/>
        <w:spacing w:after="0" w:line="360" w:lineRule="auto"/>
        <w:ind w:left="-2" w:leftChars="-1" w:firstLine="540" w:firstLineChars="225"/>
        <w:rPr>
          <w:rFonts w:ascii="宋体" w:hAnsi="宋体" w:cs="宋体"/>
          <w:color w:val="auto"/>
          <w:sz w:val="24"/>
          <w:szCs w:val="24"/>
          <w:highlight w:val="none"/>
        </w:rPr>
      </w:pPr>
      <w:r>
        <w:rPr>
          <w:rFonts w:hint="eastAsia" w:ascii="宋体" w:hAnsi="宋体" w:cs="宋体"/>
          <w:color w:val="auto"/>
          <w:sz w:val="24"/>
          <w:szCs w:val="24"/>
          <w:highlight w:val="none"/>
        </w:rPr>
        <w:t>本公司授权</w:t>
      </w:r>
      <w:r>
        <w:rPr>
          <w:rFonts w:ascii="宋体" w:hAnsi="宋体" w:cs="宋体"/>
          <w:color w:val="auto"/>
          <w:sz w:val="24"/>
          <w:szCs w:val="24"/>
          <w:highlight w:val="none"/>
          <w:u w:val="single"/>
        </w:rPr>
        <w:t xml:space="preserve">         （身份证号：               ）</w:t>
      </w:r>
      <w:r>
        <w:rPr>
          <w:rFonts w:hint="eastAsia" w:ascii="宋体" w:hAnsi="宋体" w:cs="宋体"/>
          <w:color w:val="auto"/>
          <w:sz w:val="24"/>
          <w:szCs w:val="24"/>
          <w:highlight w:val="none"/>
        </w:rPr>
        <w:t>负责对投标文件的编制及内容进行解释、说明，并承诺以下事项：</w:t>
      </w:r>
    </w:p>
    <w:p>
      <w:pPr>
        <w:pStyle w:val="47"/>
        <w:spacing w:after="0" w:line="360" w:lineRule="auto"/>
        <w:ind w:left="-2" w:leftChars="-1" w:firstLine="540" w:firstLineChars="225"/>
        <w:rPr>
          <w:rFonts w:ascii="宋体" w:hAnsi="宋体" w:cs="宋体"/>
          <w:color w:val="auto"/>
          <w:sz w:val="24"/>
          <w:szCs w:val="24"/>
          <w:highlight w:val="none"/>
        </w:rPr>
      </w:pPr>
      <w:r>
        <w:rPr>
          <w:rFonts w:ascii="宋体" w:hAnsi="宋体" w:cs="宋体"/>
          <w:color w:val="auto"/>
          <w:sz w:val="24"/>
          <w:szCs w:val="24"/>
          <w:highlight w:val="none"/>
        </w:rPr>
        <w:t>1.被授权人清楚投标文件编制的具体情况，包括</w:t>
      </w:r>
      <w:r>
        <w:rPr>
          <w:rFonts w:hint="eastAsia" w:ascii="宋体" w:hAnsi="宋体"/>
          <w:color w:val="auto"/>
          <w:sz w:val="24"/>
          <w:szCs w:val="24"/>
          <w:highlight w:val="none"/>
        </w:rPr>
        <w:t>技术方案文件、</w:t>
      </w:r>
      <w:r>
        <w:rPr>
          <w:rFonts w:hint="eastAsia" w:ascii="宋体" w:hAnsi="宋体" w:cs="宋体"/>
          <w:color w:val="auto"/>
          <w:sz w:val="24"/>
          <w:szCs w:val="24"/>
          <w:highlight w:val="none"/>
        </w:rPr>
        <w:t>工程量清单、以及投标文件的加密打包的理解；</w:t>
      </w:r>
    </w:p>
    <w:p>
      <w:pPr>
        <w:pStyle w:val="47"/>
        <w:spacing w:after="0" w:line="360" w:lineRule="auto"/>
        <w:ind w:left="-2" w:leftChars="-1" w:firstLine="540" w:firstLineChars="225"/>
        <w:rPr>
          <w:rFonts w:ascii="宋体" w:hAnsi="宋体" w:cs="宋体"/>
          <w:color w:val="auto"/>
          <w:sz w:val="24"/>
          <w:szCs w:val="24"/>
          <w:highlight w:val="none"/>
        </w:rPr>
      </w:pPr>
      <w:r>
        <w:rPr>
          <w:rFonts w:ascii="宋体" w:hAnsi="宋体" w:cs="宋体"/>
          <w:color w:val="auto"/>
          <w:sz w:val="24"/>
          <w:szCs w:val="24"/>
          <w:highlight w:val="none"/>
        </w:rPr>
        <w:t>2.在本项目开标至评标结束前，努力确保被授权人在项目评标所在地附近；</w:t>
      </w:r>
    </w:p>
    <w:p>
      <w:pPr>
        <w:pStyle w:val="47"/>
        <w:spacing w:after="0" w:line="360" w:lineRule="auto"/>
        <w:ind w:left="-2" w:leftChars="-1" w:firstLine="540" w:firstLineChars="225"/>
        <w:rPr>
          <w:rFonts w:ascii="宋体" w:hAnsi="宋体" w:cs="宋体"/>
          <w:color w:val="auto"/>
          <w:sz w:val="24"/>
          <w:szCs w:val="24"/>
          <w:highlight w:val="none"/>
        </w:rPr>
      </w:pPr>
      <w:r>
        <w:rPr>
          <w:rFonts w:ascii="宋体" w:hAnsi="宋体" w:cs="宋体"/>
          <w:color w:val="auto"/>
          <w:sz w:val="24"/>
          <w:szCs w:val="24"/>
          <w:highlight w:val="none"/>
        </w:rPr>
        <w:t>3.从评标委员会要求澄清起二小时内，被授权人应如实地书面澄清。</w:t>
      </w:r>
    </w:p>
    <w:p>
      <w:pPr>
        <w:pStyle w:val="47"/>
        <w:spacing w:after="0" w:line="360" w:lineRule="auto"/>
        <w:ind w:left="-2" w:leftChars="-1" w:firstLine="540" w:firstLineChars="225"/>
        <w:rPr>
          <w:rFonts w:ascii="宋体" w:hAnsi="宋体" w:cs="宋体"/>
          <w:color w:val="auto"/>
          <w:sz w:val="24"/>
          <w:szCs w:val="24"/>
          <w:highlight w:val="none"/>
        </w:rPr>
      </w:pPr>
      <w:r>
        <w:rPr>
          <w:rFonts w:hint="eastAsia" w:ascii="宋体" w:hAnsi="宋体" w:cs="宋体"/>
          <w:color w:val="auto"/>
          <w:sz w:val="24"/>
          <w:szCs w:val="24"/>
          <w:highlight w:val="none"/>
        </w:rPr>
        <w:t>如由于未遵守上述承诺内容之一导致无法进行澄清的，我公司认可和接受评标委员会作出的评审结论。</w:t>
      </w:r>
      <w:r>
        <w:rPr>
          <w:rFonts w:ascii="宋体" w:hAnsi="宋体" w:cs="宋体"/>
          <w:color w:val="auto"/>
          <w:sz w:val="24"/>
          <w:szCs w:val="24"/>
          <w:highlight w:val="none"/>
        </w:rPr>
        <w:t xml:space="preserve">                                 </w:t>
      </w:r>
    </w:p>
    <w:p>
      <w:pPr>
        <w:pStyle w:val="47"/>
        <w:spacing w:after="0" w:line="360" w:lineRule="auto"/>
        <w:ind w:firstLine="360" w:firstLineChars="150"/>
        <w:rPr>
          <w:rFonts w:ascii="宋体" w:hAnsi="宋体" w:cs="宋体"/>
          <w:color w:val="auto"/>
          <w:sz w:val="24"/>
          <w:szCs w:val="24"/>
          <w:highlight w:val="none"/>
        </w:rPr>
      </w:pPr>
    </w:p>
    <w:p>
      <w:pPr>
        <w:pStyle w:val="47"/>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附件：《投标文件编制情况》</w:t>
      </w:r>
    </w:p>
    <w:p>
      <w:pPr>
        <w:spacing w:line="360" w:lineRule="auto"/>
        <w:ind w:right="90" w:firstLine="3240" w:firstLineChars="1350"/>
        <w:rPr>
          <w:rFonts w:ascii="宋体" w:hAnsi="宋体" w:cs="宋体"/>
          <w:color w:val="auto"/>
          <w:sz w:val="24"/>
          <w:szCs w:val="24"/>
          <w:highlight w:val="none"/>
        </w:rPr>
      </w:pPr>
      <w:r>
        <w:rPr>
          <w:rFonts w:hint="eastAsia" w:ascii="宋体" w:hAnsi="宋体" w:cs="宋体"/>
          <w:color w:val="auto"/>
          <w:sz w:val="24"/>
          <w:szCs w:val="24"/>
          <w:highlight w:val="none"/>
        </w:rPr>
        <w:t>投</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标</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人：</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（盖章）</w:t>
      </w:r>
    </w:p>
    <w:p>
      <w:pPr>
        <w:spacing w:line="360" w:lineRule="auto"/>
        <w:ind w:right="90" w:firstLine="3240" w:firstLineChars="1350"/>
        <w:rPr>
          <w:rFonts w:ascii="宋体" w:hAnsi="宋体" w:cs="宋体"/>
          <w:color w:val="auto"/>
          <w:sz w:val="24"/>
          <w:szCs w:val="24"/>
          <w:highlight w:val="none"/>
        </w:rPr>
      </w:pPr>
      <w:r>
        <w:rPr>
          <w:rFonts w:hint="eastAsia" w:ascii="宋体" w:hAnsi="宋体" w:cs="宋体"/>
          <w:color w:val="auto"/>
          <w:sz w:val="24"/>
          <w:szCs w:val="24"/>
          <w:highlight w:val="none"/>
        </w:rPr>
        <w:t>法定代表人或授权代理人（签字或盖章）：</w:t>
      </w:r>
    </w:p>
    <w:p>
      <w:pPr>
        <w:spacing w:line="360" w:lineRule="auto"/>
        <w:ind w:right="90" w:firstLine="3240" w:firstLineChars="1350"/>
        <w:rPr>
          <w:rFonts w:ascii="宋体" w:hAnsi="宋体" w:cs="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年</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月</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日</w:t>
      </w:r>
    </w:p>
    <w:p>
      <w:pPr>
        <w:pStyle w:val="47"/>
        <w:spacing w:after="0" w:line="360" w:lineRule="auto"/>
        <w:ind w:firstLine="0"/>
        <w:jc w:val="center"/>
        <w:rPr>
          <w:rFonts w:ascii="宋体" w:hAnsi="宋体" w:cs="宋体"/>
          <w:color w:val="auto"/>
          <w:sz w:val="36"/>
          <w:szCs w:val="36"/>
          <w:highlight w:val="none"/>
        </w:rPr>
      </w:pPr>
      <w:r>
        <w:rPr>
          <w:rFonts w:hint="eastAsia" w:ascii="宋体" w:hAnsi="宋体" w:cs="宋体"/>
          <w:b/>
          <w:color w:val="auto"/>
          <w:sz w:val="36"/>
          <w:szCs w:val="36"/>
          <w:highlight w:val="none"/>
        </w:rPr>
        <w:t>投标文件编制情况</w:t>
      </w:r>
    </w:p>
    <w:p>
      <w:pPr>
        <w:pStyle w:val="47"/>
        <w:spacing w:after="0" w:line="360" w:lineRule="auto"/>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 xml:space="preserve">1.投标文件报价编制方式: </w:t>
      </w:r>
      <w:r>
        <w:rPr>
          <w:rFonts w:hint="eastAsia" w:ascii="宋体" w:hAnsi="宋体" w:cs="宋体"/>
          <w:color w:val="auto"/>
          <w:sz w:val="24"/>
          <w:szCs w:val="24"/>
          <w:highlight w:val="none"/>
        </w:rPr>
        <w:t>□自行编制的，编制的负责人：</w:t>
      </w:r>
      <w:r>
        <w:rPr>
          <w:rFonts w:ascii="宋体" w:hAnsi="宋体" w:cs="宋体"/>
          <w:color w:val="auto"/>
          <w:sz w:val="24"/>
          <w:szCs w:val="24"/>
          <w:highlight w:val="none"/>
          <w:u w:val="single"/>
        </w:rPr>
        <w:t xml:space="preserve"> （盖造价工程师执业专用章或全国建设工程造价员章，执业单位应与投标人一致） </w:t>
      </w:r>
      <w:r>
        <w:rPr>
          <w:rFonts w:hint="eastAsia" w:ascii="宋体" w:hAnsi="宋体" w:cs="宋体"/>
          <w:color w:val="auto"/>
          <w:sz w:val="24"/>
          <w:szCs w:val="24"/>
          <w:highlight w:val="none"/>
        </w:rPr>
        <w:t>。□委托编制的，受委托单位，编制的负责人：</w:t>
      </w:r>
      <w:r>
        <w:rPr>
          <w:rFonts w:ascii="宋体" w:hAnsi="宋体" w:cs="宋体"/>
          <w:color w:val="auto"/>
          <w:sz w:val="24"/>
          <w:szCs w:val="24"/>
          <w:highlight w:val="none"/>
          <w:u w:val="single"/>
        </w:rPr>
        <w:t xml:space="preserve"> （盖造价工程师执业专用章或全国建设工程造价员章，执业单位应与受委托单位一致） </w:t>
      </w:r>
      <w:r>
        <w:rPr>
          <w:rFonts w:hint="eastAsia" w:ascii="宋体" w:hAnsi="宋体" w:cs="宋体"/>
          <w:color w:val="auto"/>
          <w:sz w:val="24"/>
          <w:szCs w:val="24"/>
          <w:highlight w:val="none"/>
        </w:rPr>
        <w:t>。</w:t>
      </w:r>
    </w:p>
    <w:p>
      <w:pPr>
        <w:pStyle w:val="47"/>
        <w:spacing w:after="0"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2.投标文件加密打包的电脑情况</w:t>
      </w:r>
    </w:p>
    <w:tbl>
      <w:tblPr>
        <w:tblStyle w:val="49"/>
        <w:tblW w:w="0" w:type="auto"/>
        <w:tblInd w:w="0" w:type="dxa"/>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2819" w:hRule="atLeast"/>
        </w:trPr>
        <w:tc>
          <w:tcPr>
            <w:tcW w:w="8522" w:type="dxa"/>
          </w:tcPr>
          <w:p>
            <w:pPr>
              <w:pStyle w:val="47"/>
              <w:spacing w:after="0" w:line="360" w:lineRule="auto"/>
              <w:ind w:firstLine="0"/>
              <w:rPr>
                <w:rFonts w:ascii="宋体" w:hAnsi="宋体" w:cs="宋体"/>
                <w:color w:val="auto"/>
                <w:sz w:val="24"/>
                <w:szCs w:val="24"/>
                <w:highlight w:val="none"/>
              </w:rPr>
            </w:pPr>
            <w:r>
              <w:rPr>
                <w:rFonts w:hint="eastAsia" w:ascii="宋体" w:hAnsi="宋体" w:cs="宋体"/>
                <w:color w:val="auto"/>
                <w:sz w:val="24"/>
                <w:szCs w:val="24"/>
                <w:highlight w:val="none"/>
              </w:rPr>
              <w:t>投标文件加密打包的电脑</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自有</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外包</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其他</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w:t>
            </w:r>
          </w:p>
          <w:p>
            <w:pPr>
              <w:pStyle w:val="47"/>
              <w:spacing w:after="0" w:line="360" w:lineRule="auto"/>
              <w:ind w:firstLine="0"/>
              <w:rPr>
                <w:rFonts w:ascii="宋体" w:hAnsi="宋体" w:cs="宋体"/>
                <w:color w:val="auto"/>
                <w:sz w:val="24"/>
                <w:szCs w:val="24"/>
                <w:highlight w:val="none"/>
              </w:rPr>
            </w:pPr>
            <w:r>
              <w:rPr>
                <w:rFonts w:hint="eastAsia" w:ascii="宋体" w:hAnsi="宋体" w:cs="宋体"/>
                <w:color w:val="auto"/>
                <w:sz w:val="24"/>
                <w:szCs w:val="24"/>
                <w:highlight w:val="none"/>
              </w:rPr>
              <w:t>电脑类型</w:t>
            </w:r>
          </w:p>
          <w:p>
            <w:pPr>
              <w:pStyle w:val="47"/>
              <w:spacing w:after="0" w:line="360" w:lineRule="auto"/>
              <w:ind w:firstLine="0"/>
              <w:rPr>
                <w:rFonts w:ascii="宋体" w:hAnsi="宋体" w:cs="宋体"/>
                <w:color w:val="auto"/>
                <w:sz w:val="24"/>
                <w:szCs w:val="24"/>
                <w:highlight w:val="none"/>
              </w:rPr>
            </w:pPr>
            <w:r>
              <w:rPr>
                <w:rFonts w:hint="eastAsia" w:ascii="宋体" w:hAnsi="宋体" w:cs="宋体"/>
                <w:color w:val="auto"/>
                <w:sz w:val="24"/>
                <w:szCs w:val="24"/>
                <w:highlight w:val="none"/>
              </w:rPr>
              <w:t>电脑所属单位</w:t>
            </w:r>
          </w:p>
          <w:p>
            <w:pPr>
              <w:pStyle w:val="47"/>
              <w:spacing w:after="0" w:line="360" w:lineRule="auto"/>
              <w:ind w:firstLine="0"/>
              <w:rPr>
                <w:rFonts w:ascii="宋体" w:hAnsi="宋体" w:cs="宋体"/>
                <w:color w:val="auto"/>
                <w:sz w:val="24"/>
                <w:szCs w:val="24"/>
                <w:highlight w:val="none"/>
              </w:rPr>
            </w:pPr>
            <w:r>
              <w:rPr>
                <w:rFonts w:hint="eastAsia" w:ascii="宋体" w:hAnsi="宋体" w:cs="宋体"/>
                <w:color w:val="auto"/>
                <w:sz w:val="24"/>
                <w:szCs w:val="24"/>
                <w:highlight w:val="none"/>
              </w:rPr>
              <w:t>电脑所在地址</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（如××市××区</w:t>
            </w:r>
            <w:r>
              <w:rPr>
                <w:rFonts w:ascii="宋体" w:hAnsi="宋体" w:cs="宋体"/>
                <w:color w:val="auto"/>
                <w:sz w:val="24"/>
                <w:szCs w:val="24"/>
                <w:highlight w:val="none"/>
              </w:rPr>
              <w:t xml:space="preserve">(县) </w:t>
            </w:r>
            <w:r>
              <w:rPr>
                <w:rFonts w:hint="eastAsia" w:ascii="宋体" w:hAnsi="宋体" w:cs="宋体"/>
                <w:color w:val="auto"/>
                <w:sz w:val="24"/>
                <w:szCs w:val="24"/>
                <w:highlight w:val="none"/>
              </w:rPr>
              <w:t>××街（路）××号××大厦××房）</w:t>
            </w:r>
          </w:p>
        </w:tc>
      </w:tr>
    </w:tbl>
    <w:p>
      <w:pPr>
        <w:pStyle w:val="3"/>
        <w:rPr>
          <w:rStyle w:val="93"/>
          <w:rFonts w:ascii="宋体" w:hAnsi="宋体"/>
          <w:b w:val="0"/>
          <w:color w:val="auto"/>
          <w:highlight w:val="none"/>
        </w:rPr>
      </w:pPr>
      <w:bookmarkStart w:id="265" w:name="_Toc21733"/>
      <w:bookmarkStart w:id="266" w:name="_Toc27222"/>
      <w:bookmarkStart w:id="267" w:name="_Toc15030"/>
      <w:bookmarkStart w:id="268" w:name="_Toc17010"/>
      <w:bookmarkStart w:id="269" w:name="_Toc112397842"/>
      <w:bookmarkStart w:id="270" w:name="_Toc2272568"/>
      <w:r>
        <w:rPr>
          <w:rFonts w:hint="eastAsia" w:ascii="宋体" w:hAnsi="宋体"/>
          <w:color w:val="auto"/>
          <w:highlight w:val="none"/>
        </w:rPr>
        <w:t>第五章</w:t>
      </w:r>
      <w:r>
        <w:rPr>
          <w:rFonts w:ascii="宋体" w:hAnsi="宋体"/>
          <w:color w:val="auto"/>
          <w:highlight w:val="none"/>
        </w:rPr>
        <w:t xml:space="preserve"> </w:t>
      </w:r>
      <w:r>
        <w:rPr>
          <w:rFonts w:hint="eastAsia" w:ascii="宋体" w:hAnsi="宋体"/>
          <w:color w:val="auto"/>
          <w:highlight w:val="none"/>
          <w:lang w:val="en-US" w:eastAsia="zh-CN"/>
        </w:rPr>
        <w:t xml:space="preserve"> </w:t>
      </w:r>
      <w:r>
        <w:rPr>
          <w:rFonts w:hint="eastAsia" w:ascii="宋体" w:hAnsi="宋体"/>
          <w:color w:val="auto"/>
          <w:highlight w:val="none"/>
        </w:rPr>
        <w:t>技术条件（工程建设标准）</w:t>
      </w:r>
      <w:bookmarkEnd w:id="265"/>
      <w:bookmarkEnd w:id="266"/>
      <w:bookmarkEnd w:id="267"/>
      <w:bookmarkEnd w:id="268"/>
      <w:bookmarkEnd w:id="269"/>
      <w:bookmarkEnd w:id="270"/>
    </w:p>
    <w:p>
      <w:pPr>
        <w:spacing w:line="360" w:lineRule="auto"/>
        <w:rPr>
          <w:rFonts w:ascii="宋体" w:hAnsi="宋体" w:cs="宋体"/>
          <w:b/>
          <w:color w:val="auto"/>
          <w:szCs w:val="21"/>
          <w:highlight w:val="none"/>
        </w:rPr>
      </w:pPr>
      <w:bookmarkStart w:id="271" w:name="_Toc112397843"/>
      <w:bookmarkStart w:id="272" w:name="_Toc60070637"/>
      <w:r>
        <w:rPr>
          <w:rFonts w:hint="eastAsia" w:ascii="宋体" w:hAnsi="宋体" w:cs="宋体"/>
          <w:b/>
          <w:color w:val="auto"/>
          <w:szCs w:val="21"/>
          <w:highlight w:val="none"/>
        </w:rPr>
        <w:t>一、标准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以现行的中华人民共和国及有关部委颁布的标准、规范、和规程。若施工时期建设主管部门颁布新的规范、标准，则按照新的规范、标准执行。</w:t>
      </w:r>
    </w:p>
    <w:p>
      <w:pPr>
        <w:spacing w:line="360" w:lineRule="auto"/>
        <w:rPr>
          <w:rFonts w:ascii="宋体" w:hAnsi="宋体" w:cs="宋体"/>
          <w:color w:val="auto"/>
          <w:szCs w:val="21"/>
          <w:highlight w:val="none"/>
        </w:rPr>
      </w:pP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二、施工组织设计要点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如果中标，中标人应按项目的进展需求，并在规定的时间内按要点要求，编制详细的施工组织设计，作为工程施工的指导性文件，向建设单位提交一式四份的《施工组织设计方案》，内容包括（不限于）以下：</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（一）工程概况及特点</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1.1 </w:t>
      </w:r>
      <w:r>
        <w:rPr>
          <w:rFonts w:hint="eastAsia" w:ascii="宋体" w:hAnsi="宋体" w:cs="宋体"/>
          <w:color w:val="auto"/>
          <w:szCs w:val="21"/>
          <w:highlight w:val="none"/>
        </w:rPr>
        <w:t>工程概况</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工程简述，工程规模，工程承包范围，地质及地貌状况，自然环境，交通情况等。</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1.2 </w:t>
      </w:r>
      <w:r>
        <w:rPr>
          <w:rFonts w:hint="eastAsia" w:ascii="宋体" w:hAnsi="宋体" w:cs="宋体"/>
          <w:color w:val="auto"/>
          <w:szCs w:val="21"/>
          <w:highlight w:val="none"/>
        </w:rPr>
        <w:t>工程特点</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设计特点、工程特点、影响施工的主要和特殊环节分析等。</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（二）施工现场组织机构</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2.1 </w:t>
      </w:r>
      <w:r>
        <w:rPr>
          <w:rFonts w:hint="eastAsia" w:ascii="宋体" w:hAnsi="宋体" w:cs="宋体"/>
          <w:color w:val="auto"/>
          <w:szCs w:val="21"/>
          <w:highlight w:val="none"/>
        </w:rPr>
        <w:t>组织机构关系图</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2.2 </w:t>
      </w:r>
      <w:r>
        <w:rPr>
          <w:rFonts w:hint="eastAsia" w:ascii="宋体" w:hAnsi="宋体" w:cs="宋体"/>
          <w:color w:val="auto"/>
          <w:szCs w:val="21"/>
          <w:highlight w:val="none"/>
        </w:rPr>
        <w:t>工程主要负责人简介。</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（三）施工现场总平面布置图</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3.1 </w:t>
      </w:r>
      <w:r>
        <w:rPr>
          <w:rFonts w:hint="eastAsia" w:ascii="宋体" w:hAnsi="宋体" w:cs="宋体"/>
          <w:color w:val="auto"/>
          <w:szCs w:val="21"/>
          <w:highlight w:val="none"/>
        </w:rPr>
        <w:t>施工现场平面布置图</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平面布置要求内容全面，充分利用现场条件，合理布置施工队、材料站、指挥部等。确定现场指挥部（工程处）和工区的驻地，材料站的设置，施工工区与施工班驻地，主要交通道路和通讯设施。平面布置图采用</w:t>
      </w:r>
      <w:r>
        <w:rPr>
          <w:rFonts w:ascii="宋体" w:hAnsi="宋体" w:cs="宋体"/>
          <w:color w:val="auto"/>
          <w:szCs w:val="21"/>
          <w:highlight w:val="none"/>
        </w:rPr>
        <w:t>A3纸，图面要求线条清晰、标志明确。</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（四）施工方案</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4.1 </w:t>
      </w:r>
      <w:r>
        <w:rPr>
          <w:rFonts w:hint="eastAsia" w:ascii="宋体" w:hAnsi="宋体" w:cs="宋体"/>
          <w:color w:val="auto"/>
          <w:szCs w:val="21"/>
          <w:highlight w:val="none"/>
        </w:rPr>
        <w:t>施工准备</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简要叙述施工技术资料、材料、通讯、施工场地的准备，施工机械、施工力量的配置，以及生活设施等的准备情况。主要施工机械设备表。</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4.2 </w:t>
      </w:r>
      <w:r>
        <w:rPr>
          <w:rFonts w:hint="eastAsia" w:ascii="宋体" w:hAnsi="宋体" w:cs="宋体"/>
          <w:color w:val="auto"/>
          <w:szCs w:val="21"/>
          <w:highlight w:val="none"/>
        </w:rPr>
        <w:t>施工工序总体安排</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4.3 </w:t>
      </w:r>
      <w:r>
        <w:rPr>
          <w:rFonts w:hint="eastAsia" w:ascii="宋体" w:hAnsi="宋体" w:cs="宋体"/>
          <w:color w:val="auto"/>
          <w:szCs w:val="21"/>
          <w:highlight w:val="none"/>
        </w:rPr>
        <w:t>主要工序和特殊工序的施工方法和施工效率估计，潜在问题的分析。</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4.4 </w:t>
      </w:r>
      <w:r>
        <w:rPr>
          <w:rFonts w:hint="eastAsia" w:ascii="宋体" w:hAnsi="宋体" w:cs="宋体"/>
          <w:color w:val="auto"/>
          <w:szCs w:val="21"/>
          <w:highlight w:val="none"/>
        </w:rPr>
        <w:t>工程成本的控制措施为控制成本，提高效益，拟采取的措施。</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（五）工期及施工进度计划</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5.1 </w:t>
      </w:r>
      <w:r>
        <w:rPr>
          <w:rFonts w:hint="eastAsia" w:ascii="宋体" w:hAnsi="宋体" w:cs="宋体"/>
          <w:color w:val="auto"/>
          <w:szCs w:val="21"/>
          <w:highlight w:val="none"/>
        </w:rPr>
        <w:t>工期规划及要求</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用横道图反映各主要施工过程的计划进度，深度达到全面、准确、清楚的描述工程实施过程，从中可衍生出各种施工资源计划及其过程管理信息。</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5.2 </w:t>
      </w:r>
      <w:r>
        <w:rPr>
          <w:rFonts w:hint="eastAsia" w:ascii="宋体" w:hAnsi="宋体" w:cs="宋体"/>
          <w:color w:val="auto"/>
          <w:szCs w:val="21"/>
          <w:highlight w:val="none"/>
        </w:rPr>
        <w:t>施工进度计划网络图</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施工网络图应明确工程开工、竣工日期，工程施工的关键路线，并针对关键工序，提出确保工期拟采取的措施。</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5.3 </w:t>
      </w:r>
      <w:r>
        <w:rPr>
          <w:rFonts w:hint="eastAsia" w:ascii="宋体" w:hAnsi="宋体" w:cs="宋体"/>
          <w:color w:val="auto"/>
          <w:szCs w:val="21"/>
          <w:highlight w:val="none"/>
        </w:rPr>
        <w:t>施工资源（人力、材料、机具、场地及进场道路、公共关系）计划</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5.4 </w:t>
      </w:r>
      <w:r>
        <w:rPr>
          <w:rFonts w:hint="eastAsia" w:ascii="宋体" w:hAnsi="宋体" w:cs="宋体"/>
          <w:color w:val="auto"/>
          <w:szCs w:val="21"/>
          <w:highlight w:val="none"/>
        </w:rPr>
        <w:t>施工进度计划分析</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计划潜在问题，计划中的潜力及其开发途径等。</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5.5 </w:t>
      </w:r>
      <w:r>
        <w:rPr>
          <w:rFonts w:hint="eastAsia" w:ascii="宋体" w:hAnsi="宋体" w:cs="宋体"/>
          <w:color w:val="auto"/>
          <w:szCs w:val="21"/>
          <w:highlight w:val="none"/>
        </w:rPr>
        <w:t>计划控制</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程序、方法及制度等。</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（六）质量目标、质量保证体系及技术组织措施</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6.1 </w:t>
      </w:r>
      <w:r>
        <w:rPr>
          <w:rFonts w:hint="eastAsia" w:ascii="宋体" w:hAnsi="宋体" w:cs="宋体"/>
          <w:color w:val="auto"/>
          <w:szCs w:val="21"/>
          <w:highlight w:val="none"/>
        </w:rPr>
        <w:t>质量目标</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本工程要求的质量目标：合格。</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用单位工程和分项工程合格率、优良品率表示，欲达到的工程质量等级。</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6.2 </w:t>
      </w:r>
      <w:r>
        <w:rPr>
          <w:rFonts w:hint="eastAsia" w:ascii="宋体" w:hAnsi="宋体" w:cs="宋体"/>
          <w:color w:val="auto"/>
          <w:szCs w:val="21"/>
          <w:highlight w:val="none"/>
        </w:rPr>
        <w:t>质量管理组织机构及主要职责</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用框图表示质量管理组织机构，并简要叙述各质量管理部门的主要职责。</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6.3 </w:t>
      </w:r>
      <w:r>
        <w:rPr>
          <w:rFonts w:hint="eastAsia" w:ascii="宋体" w:hAnsi="宋体" w:cs="宋体"/>
          <w:color w:val="auto"/>
          <w:szCs w:val="21"/>
          <w:highlight w:val="none"/>
        </w:rPr>
        <w:t>质量管理的措施</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简要叙述质量管理的措施和关键工序的质量控制。</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6.4 </w:t>
      </w:r>
      <w:r>
        <w:rPr>
          <w:rFonts w:hint="eastAsia" w:ascii="宋体" w:hAnsi="宋体" w:cs="宋体"/>
          <w:color w:val="auto"/>
          <w:szCs w:val="21"/>
          <w:highlight w:val="none"/>
        </w:rPr>
        <w:t>质量管理及检验的标准</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执行的主要质量标准、规范。</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6.5 </w:t>
      </w:r>
      <w:r>
        <w:rPr>
          <w:rFonts w:hint="eastAsia" w:ascii="宋体" w:hAnsi="宋体" w:cs="宋体"/>
          <w:color w:val="auto"/>
          <w:szCs w:val="21"/>
          <w:highlight w:val="none"/>
        </w:rPr>
        <w:t>质量保证技术措施</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针对本工程特点，分析质量薄弱环节，拟将采取的技术措施。</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（七）安全目标、安全保证体系及技术组织措施</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7.1 </w:t>
      </w:r>
      <w:r>
        <w:rPr>
          <w:rFonts w:hint="eastAsia" w:ascii="宋体" w:hAnsi="宋体" w:cs="宋体"/>
          <w:color w:val="auto"/>
          <w:szCs w:val="21"/>
          <w:highlight w:val="none"/>
        </w:rPr>
        <w:t>安全管理目标</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7.2 </w:t>
      </w:r>
      <w:r>
        <w:rPr>
          <w:rFonts w:hint="eastAsia" w:ascii="宋体" w:hAnsi="宋体" w:cs="宋体"/>
          <w:color w:val="auto"/>
          <w:szCs w:val="21"/>
          <w:highlight w:val="none"/>
        </w:rPr>
        <w:t>安全管理组织机构及主要职责</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用框图表示安全管理组织机构，并简要叙述各安全管理部门及人员的主要职责。</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7.3 </w:t>
      </w:r>
      <w:r>
        <w:rPr>
          <w:rFonts w:hint="eastAsia" w:ascii="宋体" w:hAnsi="宋体" w:cs="宋体"/>
          <w:color w:val="auto"/>
          <w:szCs w:val="21"/>
          <w:highlight w:val="none"/>
        </w:rPr>
        <w:t>安全管理制度及办法</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7.4 </w:t>
      </w:r>
      <w:r>
        <w:rPr>
          <w:rFonts w:hint="eastAsia" w:ascii="宋体" w:hAnsi="宋体" w:cs="宋体"/>
          <w:color w:val="auto"/>
          <w:szCs w:val="21"/>
          <w:highlight w:val="none"/>
        </w:rPr>
        <w:t>安全组织技术措施</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针对本工程特点，分析安全薄弱环节，拟将采取的技术措施。</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7.5 </w:t>
      </w:r>
      <w:r>
        <w:rPr>
          <w:rFonts w:hint="eastAsia" w:ascii="宋体" w:hAnsi="宋体" w:cs="宋体"/>
          <w:color w:val="auto"/>
          <w:szCs w:val="21"/>
          <w:highlight w:val="none"/>
        </w:rPr>
        <w:t>重要施工方案和特殊施工工序的安全过程控制</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7.6 </w:t>
      </w:r>
      <w:r>
        <w:rPr>
          <w:rFonts w:hint="eastAsia" w:ascii="宋体" w:hAnsi="宋体" w:cs="宋体"/>
          <w:color w:val="auto"/>
          <w:szCs w:val="21"/>
          <w:highlight w:val="none"/>
        </w:rPr>
        <w:t>严格执行《建筑施工安全检查标准》</w:t>
      </w:r>
      <w:r>
        <w:rPr>
          <w:rFonts w:ascii="宋体" w:hAnsi="宋体" w:cs="宋体"/>
          <w:color w:val="auto"/>
          <w:szCs w:val="21"/>
          <w:highlight w:val="none"/>
        </w:rPr>
        <w:t>(JGJ59-99)和省、市建设主管部门有关文明施工的规定。并按照甲方要求安排工作时间，在施工中尽量减少噪音，必要时采取有效的隔音措施，混凝土浇灌需连续不间断作业时，按有关规定申报夜间施工许可证。</w:t>
      </w:r>
    </w:p>
    <w:p>
      <w:pPr>
        <w:spacing w:line="360" w:lineRule="auto"/>
        <w:ind w:firstLine="371" w:firstLineChars="177"/>
        <w:rPr>
          <w:rFonts w:ascii="宋体" w:hAnsi="宋体" w:cs="宋体"/>
          <w:color w:val="auto"/>
          <w:szCs w:val="21"/>
          <w:highlight w:val="none"/>
        </w:rPr>
      </w:pPr>
      <w:bookmarkStart w:id="273" w:name="_Hlt531956504"/>
      <w:r>
        <w:rPr>
          <w:rFonts w:hint="eastAsia" w:ascii="宋体" w:hAnsi="宋体" w:cs="宋体"/>
          <w:color w:val="auto"/>
          <w:szCs w:val="21"/>
          <w:highlight w:val="none"/>
        </w:rPr>
        <w:t>安全生产目标：杜绝本项目施工人员重大伤亡事故。</w:t>
      </w:r>
      <w:bookmarkEnd w:id="273"/>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文明施工目标：标准化管理。</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（八）环境保护及文明施工</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8.1 </w:t>
      </w:r>
      <w:r>
        <w:rPr>
          <w:rFonts w:hint="eastAsia" w:ascii="宋体" w:hAnsi="宋体" w:cs="宋体"/>
          <w:color w:val="auto"/>
          <w:szCs w:val="21"/>
          <w:highlight w:val="none"/>
        </w:rPr>
        <w:t>环境保护</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分析因施工可能引起的环境保护方面的问题。</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8.2 </w:t>
      </w:r>
      <w:r>
        <w:rPr>
          <w:rFonts w:hint="eastAsia" w:ascii="宋体" w:hAnsi="宋体" w:cs="宋体"/>
          <w:color w:val="auto"/>
          <w:szCs w:val="21"/>
          <w:highlight w:val="none"/>
        </w:rPr>
        <w:t>加强施工管理、严格保护环境</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提出环境保护的目标及采取的具体措施。</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8.3 </w:t>
      </w:r>
      <w:r>
        <w:rPr>
          <w:rFonts w:hint="eastAsia" w:ascii="宋体" w:hAnsi="宋体" w:cs="宋体"/>
          <w:color w:val="auto"/>
          <w:szCs w:val="21"/>
          <w:highlight w:val="none"/>
        </w:rPr>
        <w:t>文明施工的目标、组织机构和实施方案</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8.4 </w:t>
      </w:r>
      <w:r>
        <w:rPr>
          <w:rFonts w:hint="eastAsia" w:ascii="宋体" w:hAnsi="宋体" w:cs="宋体"/>
          <w:color w:val="auto"/>
          <w:szCs w:val="21"/>
          <w:highlight w:val="none"/>
        </w:rPr>
        <w:t>文明施工考核、管理办法</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（九）计划、统计和信息管理</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9.1 </w:t>
      </w:r>
      <w:r>
        <w:rPr>
          <w:rFonts w:hint="eastAsia" w:ascii="宋体" w:hAnsi="宋体" w:cs="宋体"/>
          <w:color w:val="auto"/>
          <w:szCs w:val="21"/>
          <w:highlight w:val="none"/>
        </w:rPr>
        <w:t>计划、统计报表的编制与传递；</w:t>
      </w:r>
    </w:p>
    <w:p>
      <w:pPr>
        <w:spacing w:line="360" w:lineRule="auto"/>
        <w:ind w:firstLine="371" w:firstLineChars="177"/>
        <w:rPr>
          <w:rFonts w:ascii="宋体" w:hAnsi="宋体" w:cs="宋体"/>
          <w:color w:val="auto"/>
          <w:szCs w:val="21"/>
          <w:highlight w:val="none"/>
        </w:rPr>
      </w:pPr>
      <w:r>
        <w:rPr>
          <w:rFonts w:ascii="宋体" w:hAnsi="宋体" w:cs="宋体"/>
          <w:color w:val="auto"/>
          <w:szCs w:val="21"/>
          <w:highlight w:val="none"/>
        </w:rPr>
        <w:t xml:space="preserve">9.2 </w:t>
      </w:r>
      <w:r>
        <w:rPr>
          <w:rFonts w:hint="eastAsia" w:ascii="宋体" w:hAnsi="宋体" w:cs="宋体"/>
          <w:color w:val="auto"/>
          <w:szCs w:val="21"/>
          <w:highlight w:val="none"/>
        </w:rPr>
        <w:t>信息管理</w:t>
      </w:r>
    </w:p>
    <w:p>
      <w:pPr>
        <w:spacing w:line="360" w:lineRule="auto"/>
        <w:ind w:firstLine="371" w:firstLineChars="177"/>
        <w:rPr>
          <w:rFonts w:ascii="宋体" w:hAnsi="宋体" w:cs="宋体"/>
          <w:color w:val="auto"/>
          <w:szCs w:val="21"/>
          <w:highlight w:val="none"/>
        </w:rPr>
      </w:pPr>
      <w:r>
        <w:rPr>
          <w:rFonts w:hint="eastAsia" w:ascii="宋体" w:hAnsi="宋体" w:cs="宋体"/>
          <w:color w:val="auto"/>
          <w:szCs w:val="21"/>
          <w:highlight w:val="none"/>
        </w:rPr>
        <w:t>提出信息管理的目标及拟将采取的措施。</w:t>
      </w:r>
    </w:p>
    <w:bookmarkEnd w:id="271"/>
    <w:bookmarkEnd w:id="272"/>
    <w:p>
      <w:pPr>
        <w:spacing w:line="360" w:lineRule="auto"/>
        <w:ind w:firstLine="240" w:firstLineChars="100"/>
        <w:rPr>
          <w:rFonts w:ascii="宋体" w:hAnsi="宋体" w:cs="宋体"/>
          <w:color w:val="auto"/>
          <w:sz w:val="24"/>
          <w:szCs w:val="24"/>
          <w:highlight w:val="none"/>
        </w:rPr>
      </w:pPr>
    </w:p>
    <w:p>
      <w:pPr>
        <w:widowControl/>
        <w:jc w:val="left"/>
        <w:rPr>
          <w:rFonts w:ascii="宋体" w:hAnsi="宋体"/>
          <w:b/>
          <w:color w:val="auto"/>
          <w:sz w:val="24"/>
          <w:szCs w:val="24"/>
          <w:highlight w:val="none"/>
        </w:rPr>
      </w:pPr>
      <w:r>
        <w:rPr>
          <w:rFonts w:ascii="宋体" w:hAnsi="宋体"/>
          <w:color w:val="auto"/>
          <w:highlight w:val="none"/>
        </w:rPr>
        <w:br w:type="page"/>
      </w:r>
    </w:p>
    <w:p>
      <w:pPr>
        <w:pStyle w:val="3"/>
        <w:rPr>
          <w:rFonts w:ascii="宋体" w:hAnsi="宋体"/>
          <w:color w:val="auto"/>
          <w:highlight w:val="none"/>
        </w:rPr>
      </w:pPr>
      <w:bookmarkStart w:id="274" w:name="_Toc14331"/>
      <w:bookmarkStart w:id="275" w:name="_Toc6613"/>
      <w:bookmarkStart w:id="276" w:name="_Toc17871"/>
      <w:bookmarkStart w:id="277" w:name="_Toc27309"/>
      <w:bookmarkStart w:id="278" w:name="_Toc112397844"/>
      <w:bookmarkStart w:id="279" w:name="_Toc2272569"/>
      <w:r>
        <w:rPr>
          <w:rFonts w:hint="eastAsia" w:ascii="宋体" w:hAnsi="宋体"/>
          <w:color w:val="auto"/>
          <w:highlight w:val="none"/>
        </w:rPr>
        <w:t>第六章</w:t>
      </w:r>
      <w:r>
        <w:rPr>
          <w:rFonts w:ascii="宋体" w:hAnsi="宋体"/>
          <w:color w:val="auto"/>
          <w:highlight w:val="none"/>
        </w:rPr>
        <w:t xml:space="preserve"> </w:t>
      </w:r>
      <w:r>
        <w:rPr>
          <w:rFonts w:hint="eastAsia" w:ascii="宋体" w:hAnsi="宋体"/>
          <w:color w:val="auto"/>
          <w:highlight w:val="none"/>
          <w:lang w:val="en-US" w:eastAsia="zh-CN"/>
        </w:rPr>
        <w:t xml:space="preserve"> </w:t>
      </w:r>
      <w:r>
        <w:rPr>
          <w:rFonts w:hint="eastAsia" w:ascii="宋体" w:hAnsi="宋体"/>
          <w:color w:val="auto"/>
          <w:highlight w:val="none"/>
        </w:rPr>
        <w:t>图纸及勘察资料</w:t>
      </w:r>
      <w:bookmarkEnd w:id="274"/>
      <w:bookmarkEnd w:id="275"/>
      <w:bookmarkEnd w:id="276"/>
      <w:bookmarkEnd w:id="277"/>
      <w:bookmarkEnd w:id="278"/>
      <w:bookmarkEnd w:id="279"/>
    </w:p>
    <w:p>
      <w:pPr>
        <w:rPr>
          <w:rFonts w:hint="eastAsia" w:ascii="宋体" w:hAnsi="宋体" w:cs="宋体"/>
          <w:color w:val="auto"/>
          <w:sz w:val="24"/>
          <w:szCs w:val="24"/>
          <w:highlight w:val="none"/>
        </w:rPr>
      </w:pPr>
    </w:p>
    <w:p>
      <w:pPr>
        <w:rPr>
          <w:rFonts w:hint="eastAsia" w:ascii="宋体" w:hAnsi="宋体" w:cs="宋体"/>
          <w:color w:val="auto"/>
          <w:sz w:val="24"/>
          <w:szCs w:val="24"/>
          <w:highlight w:val="none"/>
        </w:rPr>
      </w:pPr>
      <w:r>
        <w:rPr>
          <w:rFonts w:hint="eastAsia" w:ascii="宋体" w:hAnsi="宋体" w:cs="宋体"/>
          <w:color w:val="auto"/>
          <w:sz w:val="24"/>
          <w:szCs w:val="24"/>
          <w:highlight w:val="none"/>
        </w:rPr>
        <w:t>注：本章由招标人自行制定，另册。</w:t>
      </w:r>
    </w:p>
    <w:p>
      <w:pPr>
        <w:pStyle w:val="41"/>
        <w:rPr>
          <w:color w:val="auto"/>
        </w:rPr>
      </w:pPr>
    </w:p>
    <w:p>
      <w:pPr>
        <w:pStyle w:val="3"/>
        <w:rPr>
          <w:rFonts w:ascii="宋体" w:hAnsi="宋体"/>
          <w:color w:val="auto"/>
          <w:highlight w:val="none"/>
        </w:rPr>
      </w:pPr>
      <w:r>
        <w:rPr>
          <w:rFonts w:ascii="宋体" w:hAnsi="宋体"/>
          <w:color w:val="auto"/>
          <w:sz w:val="24"/>
          <w:szCs w:val="24"/>
          <w:highlight w:val="none"/>
        </w:rPr>
        <w:br w:type="page"/>
      </w:r>
      <w:bookmarkStart w:id="280" w:name="_Toc31319"/>
      <w:bookmarkStart w:id="281" w:name="_Toc2050"/>
      <w:bookmarkStart w:id="282" w:name="_Toc9167"/>
      <w:bookmarkStart w:id="283" w:name="_Toc2272570"/>
      <w:bookmarkStart w:id="284" w:name="_Toc112397845"/>
      <w:bookmarkStart w:id="285" w:name="_Toc25832"/>
      <w:r>
        <w:rPr>
          <w:rFonts w:hint="eastAsia" w:ascii="宋体" w:hAnsi="宋体"/>
          <w:color w:val="auto"/>
          <w:highlight w:val="none"/>
        </w:rPr>
        <w:t>第七章</w:t>
      </w:r>
      <w:r>
        <w:rPr>
          <w:rFonts w:ascii="宋体" w:hAnsi="宋体"/>
          <w:color w:val="auto"/>
          <w:highlight w:val="none"/>
        </w:rPr>
        <w:t xml:space="preserve"> </w:t>
      </w:r>
      <w:r>
        <w:rPr>
          <w:rFonts w:hint="eastAsia" w:ascii="宋体" w:hAnsi="宋体"/>
          <w:color w:val="auto"/>
          <w:highlight w:val="none"/>
          <w:lang w:val="en-US" w:eastAsia="zh-CN"/>
        </w:rPr>
        <w:t xml:space="preserve"> </w:t>
      </w:r>
      <w:r>
        <w:rPr>
          <w:rFonts w:hint="eastAsia" w:ascii="宋体" w:hAnsi="宋体"/>
          <w:color w:val="auto"/>
          <w:highlight w:val="none"/>
        </w:rPr>
        <w:t>工程量清单</w:t>
      </w:r>
      <w:bookmarkEnd w:id="280"/>
      <w:bookmarkEnd w:id="281"/>
      <w:bookmarkEnd w:id="282"/>
      <w:bookmarkEnd w:id="283"/>
      <w:bookmarkEnd w:id="284"/>
      <w:bookmarkEnd w:id="285"/>
    </w:p>
    <w:p>
      <w:pPr>
        <w:rPr>
          <w:rFonts w:hint="eastAsia" w:ascii="宋体" w:hAnsi="宋体" w:cs="宋体"/>
          <w:color w:val="auto"/>
          <w:sz w:val="24"/>
          <w:szCs w:val="24"/>
          <w:highlight w:val="none"/>
        </w:rPr>
      </w:pPr>
    </w:p>
    <w:p>
      <w:pPr>
        <w:rPr>
          <w:rFonts w:ascii="宋体" w:hAnsi="宋体" w:cs="宋体"/>
          <w:b/>
          <w:color w:val="auto"/>
          <w:sz w:val="24"/>
          <w:szCs w:val="24"/>
          <w:highlight w:val="none"/>
        </w:rPr>
      </w:pPr>
      <w:r>
        <w:rPr>
          <w:rFonts w:hint="eastAsia" w:ascii="宋体" w:hAnsi="宋体" w:cs="宋体"/>
          <w:color w:val="auto"/>
          <w:sz w:val="24"/>
          <w:szCs w:val="24"/>
          <w:highlight w:val="none"/>
        </w:rPr>
        <w:t>注：本章由招标人自行制定，另册。</w:t>
      </w:r>
    </w:p>
    <w:p>
      <w:pPr>
        <w:pStyle w:val="47"/>
        <w:spacing w:after="0" w:line="360" w:lineRule="auto"/>
        <w:ind w:left="-2" w:leftChars="-1" w:firstLine="960" w:firstLineChars="400"/>
        <w:rPr>
          <w:rFonts w:ascii="宋体" w:hAnsi="宋体" w:cs="宋体"/>
          <w:color w:val="auto"/>
          <w:sz w:val="24"/>
          <w:highlight w:val="none"/>
        </w:rPr>
      </w:pPr>
    </w:p>
    <w:p>
      <w:pPr>
        <w:pStyle w:val="3"/>
        <w:rPr>
          <w:rFonts w:ascii="宋体" w:hAnsi="宋体"/>
          <w:color w:val="auto"/>
          <w:highlight w:val="none"/>
        </w:rPr>
      </w:pPr>
      <w:r>
        <w:rPr>
          <w:rFonts w:ascii="宋体" w:hAnsi="宋体"/>
          <w:color w:val="auto"/>
          <w:sz w:val="24"/>
          <w:szCs w:val="24"/>
          <w:highlight w:val="none"/>
        </w:rPr>
        <w:br w:type="page"/>
      </w:r>
      <w:bookmarkStart w:id="286" w:name="_Toc17788"/>
      <w:bookmarkStart w:id="287" w:name="_Toc112397846"/>
      <w:bookmarkStart w:id="288" w:name="_Toc2272571"/>
      <w:bookmarkStart w:id="289" w:name="_Toc19485"/>
      <w:bookmarkStart w:id="290" w:name="_Toc10732"/>
      <w:bookmarkStart w:id="291" w:name="_Toc7619"/>
      <w:r>
        <w:rPr>
          <w:rFonts w:hint="eastAsia" w:ascii="宋体" w:hAnsi="宋体"/>
          <w:color w:val="auto"/>
          <w:highlight w:val="none"/>
        </w:rPr>
        <w:t>第八章</w:t>
      </w:r>
      <w:r>
        <w:rPr>
          <w:rFonts w:ascii="宋体" w:hAnsi="宋体"/>
          <w:color w:val="auto"/>
          <w:highlight w:val="none"/>
        </w:rPr>
        <w:t xml:space="preserve"> </w:t>
      </w:r>
      <w:r>
        <w:rPr>
          <w:rFonts w:hint="eastAsia" w:ascii="宋体" w:hAnsi="宋体"/>
          <w:color w:val="auto"/>
          <w:highlight w:val="none"/>
          <w:lang w:val="en-US" w:eastAsia="zh-CN"/>
        </w:rPr>
        <w:t xml:space="preserve"> </w:t>
      </w:r>
      <w:r>
        <w:rPr>
          <w:rFonts w:hint="eastAsia" w:ascii="宋体" w:hAnsi="宋体"/>
          <w:color w:val="auto"/>
          <w:highlight w:val="none"/>
        </w:rPr>
        <w:t>最高投标限价</w:t>
      </w:r>
      <w:bookmarkEnd w:id="286"/>
      <w:bookmarkEnd w:id="287"/>
      <w:bookmarkEnd w:id="288"/>
      <w:bookmarkEnd w:id="289"/>
      <w:bookmarkEnd w:id="290"/>
      <w:bookmarkEnd w:id="291"/>
    </w:p>
    <w:p>
      <w:pPr>
        <w:spacing w:line="360" w:lineRule="auto"/>
        <w:ind w:firstLine="480"/>
        <w:rPr>
          <w:rFonts w:ascii="宋体" w:hAnsi="宋体" w:cs="宋体"/>
          <w:color w:val="auto"/>
          <w:sz w:val="24"/>
          <w:szCs w:val="24"/>
          <w:highlight w:val="none"/>
        </w:rPr>
      </w:pPr>
      <w:r>
        <w:rPr>
          <w:rFonts w:hint="eastAsia" w:ascii="宋体" w:hAnsi="宋体" w:cs="宋体"/>
          <w:color w:val="auto"/>
          <w:sz w:val="24"/>
          <w:szCs w:val="24"/>
          <w:highlight w:val="none"/>
        </w:rPr>
        <w:t>招标人应当在发布招标文件时，公布最高投标限价的总价，分部分项工程费、措施项目费、其他项目费、规费和税金，以及绿色施工安全防护措施费、暂列金额等投标人不可竞争的固定报价。</w:t>
      </w:r>
    </w:p>
    <w:p>
      <w:pPr>
        <w:spacing w:line="360" w:lineRule="auto"/>
        <w:ind w:firstLine="480"/>
        <w:rPr>
          <w:rFonts w:ascii="宋体" w:hAnsi="宋体" w:cs="宋体"/>
          <w:color w:val="auto"/>
          <w:sz w:val="24"/>
          <w:szCs w:val="24"/>
          <w:highlight w:val="none"/>
          <w:u w:val="single"/>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5" w:hRule="atLeast"/>
        </w:trPr>
        <w:tc>
          <w:tcPr>
            <w:tcW w:w="8528" w:type="dxa"/>
          </w:tcPr>
          <w:p>
            <w:pPr>
              <w:spacing w:line="600" w:lineRule="exact"/>
              <w:jc w:val="center"/>
              <w:rPr>
                <w:rFonts w:ascii="宋体" w:hAnsi="宋体" w:cs="宋体"/>
                <w:b/>
                <w:color w:val="auto"/>
                <w:spacing w:val="60"/>
                <w:sz w:val="44"/>
                <w:szCs w:val="44"/>
                <w:highlight w:val="none"/>
              </w:rPr>
            </w:pPr>
            <w:r>
              <w:rPr>
                <w:rFonts w:hint="eastAsia" w:ascii="宋体" w:hAnsi="宋体" w:cs="宋体"/>
                <w:b/>
                <w:color w:val="auto"/>
                <w:spacing w:val="60"/>
                <w:sz w:val="44"/>
                <w:szCs w:val="44"/>
                <w:highlight w:val="none"/>
              </w:rPr>
              <w:t>最高投标限价公布函</w:t>
            </w:r>
          </w:p>
          <w:p>
            <w:pPr>
              <w:spacing w:line="600" w:lineRule="exact"/>
              <w:jc w:val="center"/>
              <w:rPr>
                <w:rFonts w:ascii="宋体" w:hAnsi="宋体" w:cs="宋体"/>
                <w:b/>
                <w:color w:val="auto"/>
                <w:spacing w:val="60"/>
                <w:sz w:val="44"/>
                <w:szCs w:val="44"/>
                <w:highlight w:val="none"/>
              </w:rPr>
            </w:pPr>
            <w:r>
              <w:rPr>
                <w:rFonts w:hint="eastAsia" w:ascii="宋体" w:hAnsi="宋体" w:cs="宋体"/>
                <w:b/>
                <w:color w:val="auto"/>
                <w:spacing w:val="60"/>
                <w:sz w:val="44"/>
                <w:szCs w:val="44"/>
                <w:highlight w:val="none"/>
              </w:rPr>
              <w:t>（参考格式）</w:t>
            </w:r>
          </w:p>
          <w:p>
            <w:pPr>
              <w:spacing w:line="360" w:lineRule="auto"/>
              <w:rPr>
                <w:rFonts w:ascii="宋体" w:hAnsi="宋体" w:cs="宋体"/>
                <w:color w:val="auto"/>
                <w:szCs w:val="21"/>
                <w:highlight w:val="none"/>
              </w:rPr>
            </w:pP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工程名称：</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最高投标限价（元）：</w:t>
            </w:r>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分部分项工程费（元）：</w:t>
            </w:r>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措施项目费（元）：</w:t>
            </w:r>
          </w:p>
          <w:p>
            <w:pPr>
              <w:spacing w:line="360" w:lineRule="auto"/>
              <w:ind w:firstLine="960" w:firstLineChars="400"/>
              <w:rPr>
                <w:rFonts w:ascii="宋体" w:hAnsi="宋体" w:cs="宋体"/>
                <w:color w:val="auto"/>
                <w:sz w:val="24"/>
                <w:szCs w:val="24"/>
                <w:highlight w:val="none"/>
                <w:u w:val="single"/>
              </w:rPr>
            </w:pPr>
            <w:r>
              <w:rPr>
                <w:rFonts w:hint="eastAsia" w:ascii="宋体" w:hAnsi="宋体" w:cs="宋体"/>
                <w:color w:val="auto"/>
                <w:sz w:val="24"/>
                <w:szCs w:val="24"/>
                <w:highlight w:val="none"/>
              </w:rPr>
              <w:t>其中绿色施工安全防护措施费（元）：</w:t>
            </w:r>
          </w:p>
          <w:p>
            <w:pPr>
              <w:spacing w:line="360" w:lineRule="auto"/>
              <w:ind w:firstLine="723" w:firstLineChars="300"/>
              <w:rPr>
                <w:rFonts w:ascii="宋体" w:hAnsi="宋体" w:cs="宋体"/>
                <w:color w:val="auto"/>
                <w:sz w:val="24"/>
                <w:szCs w:val="24"/>
                <w:highlight w:val="none"/>
              </w:rPr>
            </w:pPr>
            <w:r>
              <w:rPr>
                <w:rFonts w:hint="eastAsia" w:ascii="宋体" w:hAnsi="宋体" w:cs="宋体"/>
                <w:b/>
                <w:color w:val="auto"/>
                <w:sz w:val="24"/>
                <w:szCs w:val="24"/>
                <w:highlight w:val="none"/>
              </w:rPr>
              <w:t>（详细列明各专业工程绿色施工安全防护措施费）</w:t>
            </w:r>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其他项目费（元）：</w:t>
            </w:r>
          </w:p>
          <w:p>
            <w:pPr>
              <w:spacing w:line="360" w:lineRule="auto"/>
              <w:ind w:firstLine="960" w:firstLineChars="400"/>
              <w:rPr>
                <w:rFonts w:ascii="宋体" w:hAnsi="宋体" w:cs="宋体"/>
                <w:color w:val="auto"/>
                <w:sz w:val="24"/>
                <w:szCs w:val="24"/>
                <w:highlight w:val="none"/>
                <w:u w:val="single"/>
              </w:rPr>
            </w:pPr>
            <w:r>
              <w:rPr>
                <w:rFonts w:hint="eastAsia" w:ascii="宋体" w:hAnsi="宋体" w:cs="宋体"/>
                <w:color w:val="auto"/>
                <w:sz w:val="24"/>
                <w:szCs w:val="24"/>
                <w:highlight w:val="none"/>
              </w:rPr>
              <w:t>其中暂列金额（元）：</w:t>
            </w:r>
          </w:p>
          <w:p>
            <w:pPr>
              <w:spacing w:line="360" w:lineRule="auto"/>
              <w:ind w:firstLine="723" w:firstLineChars="300"/>
              <w:rPr>
                <w:rFonts w:ascii="宋体" w:hAnsi="宋体" w:cs="宋体"/>
                <w:color w:val="auto"/>
                <w:sz w:val="24"/>
                <w:szCs w:val="24"/>
                <w:highlight w:val="none"/>
              </w:rPr>
            </w:pPr>
            <w:r>
              <w:rPr>
                <w:rFonts w:hint="eastAsia" w:ascii="宋体" w:hAnsi="宋体" w:cs="宋体"/>
                <w:b/>
                <w:color w:val="auto"/>
                <w:sz w:val="24"/>
                <w:szCs w:val="24"/>
                <w:highlight w:val="none"/>
              </w:rPr>
              <w:t>（详细列明各专业工程暂列金额）</w:t>
            </w:r>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规费（元）：</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税金（元）：</w:t>
            </w:r>
          </w:p>
          <w:p>
            <w:pPr>
              <w:widowControl/>
              <w:spacing w:before="75" w:after="75" w:line="360" w:lineRule="auto"/>
              <w:ind w:firstLine="480" w:firstLineChars="200"/>
              <w:jc w:val="left"/>
              <w:rPr>
                <w:rFonts w:ascii="宋体" w:hAnsi="宋体" w:cs="宋体"/>
                <w:color w:val="auto"/>
                <w:kern w:val="0"/>
                <w:sz w:val="24"/>
                <w:szCs w:val="24"/>
                <w:highlight w:val="none"/>
              </w:rPr>
            </w:pPr>
          </w:p>
          <w:p>
            <w:pPr>
              <w:widowControl/>
              <w:spacing w:before="75" w:after="75" w:line="360" w:lineRule="auto"/>
              <w:ind w:firstLine="960" w:firstLineChars="4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对公开招标工程，</w:t>
            </w:r>
            <w:r>
              <w:rPr>
                <w:rFonts w:hint="eastAsia" w:ascii="宋体" w:hAnsi="宋体" w:cs="宋体"/>
                <w:color w:val="auto"/>
                <w:sz w:val="24"/>
                <w:szCs w:val="24"/>
                <w:highlight w:val="none"/>
              </w:rPr>
              <w:t>投标人须按照公布的绿色施工安全防护措施费、</w:t>
            </w:r>
            <w:r>
              <w:rPr>
                <w:rFonts w:hint="eastAsia" w:ascii="宋体" w:hAnsi="宋体" w:cs="宋体"/>
                <w:color w:val="auto"/>
                <w:kern w:val="0"/>
                <w:sz w:val="24"/>
                <w:szCs w:val="24"/>
                <w:highlight w:val="none"/>
              </w:rPr>
              <w:t>暂</w:t>
            </w:r>
          </w:p>
          <w:p>
            <w:pPr>
              <w:widowControl/>
              <w:spacing w:before="75" w:after="75"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列金额报价。</w:t>
            </w:r>
          </w:p>
          <w:p>
            <w:pPr>
              <w:widowControl/>
              <w:spacing w:before="75" w:after="75" w:line="360" w:lineRule="auto"/>
              <w:ind w:firstLine="5640" w:firstLineChars="2350"/>
              <w:jc w:val="left"/>
              <w:rPr>
                <w:rFonts w:ascii="宋体" w:hAnsi="宋体" w:cs="宋体"/>
                <w:b/>
                <w:color w:val="auto"/>
                <w:spacing w:val="60"/>
                <w:sz w:val="24"/>
                <w:szCs w:val="24"/>
                <w:highlight w:val="none"/>
              </w:rPr>
            </w:pPr>
            <w:r>
              <w:rPr>
                <w:rFonts w:hint="eastAsia" w:ascii="宋体" w:hAnsi="宋体" w:cs="宋体"/>
                <w:color w:val="auto"/>
                <w:sz w:val="24"/>
                <w:szCs w:val="24"/>
                <w:highlight w:val="none"/>
              </w:rPr>
              <w:t>招标单位（盖章）</w:t>
            </w:r>
          </w:p>
          <w:p>
            <w:pPr>
              <w:widowControl/>
              <w:spacing w:before="75" w:after="75" w:line="360" w:lineRule="auto"/>
              <w:ind w:firstLine="5880" w:firstLineChars="2450"/>
              <w:jc w:val="left"/>
              <w:rPr>
                <w:rFonts w:ascii="宋体" w:hAnsi="宋体" w:cs="宋体"/>
                <w:b/>
                <w:color w:val="auto"/>
                <w:spacing w:val="60"/>
                <w:sz w:val="44"/>
                <w:szCs w:val="44"/>
                <w:highlight w:val="none"/>
              </w:rPr>
            </w:pPr>
            <w:r>
              <w:rPr>
                <w:rFonts w:hint="eastAsia" w:ascii="宋体" w:hAnsi="宋体" w:cs="宋体"/>
                <w:color w:val="auto"/>
                <w:kern w:val="0"/>
                <w:sz w:val="24"/>
                <w:szCs w:val="24"/>
                <w:highlight w:val="none"/>
              </w:rPr>
              <w:t>年</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月</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日</w:t>
            </w:r>
          </w:p>
        </w:tc>
      </w:tr>
    </w:tbl>
    <w:p>
      <w:pPr>
        <w:rPr>
          <w:rFonts w:ascii="宋体" w:hAnsi="宋体"/>
          <w:color w:val="auto"/>
          <w:highlight w:val="none"/>
        </w:rPr>
      </w:pPr>
    </w:p>
    <w:sectPr>
      <w:footerReference r:id="rId21" w:type="first"/>
      <w:headerReference r:id="rId19" w:type="even"/>
      <w:footerReference r:id="rId20"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Calisto MT">
    <w:altName w:val="Segoe Print"/>
    <w:panose1 w:val="02040603050505030304"/>
    <w:charset w:val="00"/>
    <w:family w:val="roman"/>
    <w:pitch w:val="default"/>
    <w:sig w:usb0="00000000" w:usb1="00000000" w:usb2="00000000" w:usb3="00000000" w:csb0="20000001"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MingLiU">
    <w:panose1 w:val="02020509000000000000"/>
    <w:charset w:val="88"/>
    <w:family w:val="modern"/>
    <w:pitch w:val="default"/>
    <w:sig w:usb0="A00002FF" w:usb1="28CFFCFA" w:usb2="00000016" w:usb3="00000000" w:csb0="00100001" w:csb1="00000000"/>
  </w:font>
  <w:font w:name="Proxy 9">
    <w:altName w:val="Segoe Print"/>
    <w:panose1 w:val="00000400000000000000"/>
    <w:charset w:val="00"/>
    <w:family w:val="auto"/>
    <w:pitch w:val="default"/>
    <w:sig w:usb0="00000000" w:usb1="00000000" w:usb2="00000000" w:usb3="00000000" w:csb0="000001FF" w:csb1="00000000"/>
  </w:font>
  <w:font w:name="Verdana">
    <w:panose1 w:val="020B0604030504040204"/>
    <w:charset w:val="00"/>
    <w:family w:val="swiss"/>
    <w:pitch w:val="default"/>
    <w:sig w:usb0="A10006FF" w:usb1="4000205B" w:usb2="0000001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DejaVu Sans">
    <w:altName w:val="Courier New"/>
    <w:panose1 w:val="00000000000000000000"/>
    <w:charset w:val="00"/>
    <w:family w:val="swiss"/>
    <w:pitch w:val="default"/>
    <w:sig w:usb0="00000000" w:usb1="00000000" w:usb2="0A246029" w:usb3="00000000" w:csb0="000001FF" w:csb1="00000000"/>
  </w:font>
  <w:font w:name="Helvetica Neue">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Style w:val="54"/>
      </w:rPr>
      <w:fldChar w:fldCharType="begin"/>
    </w:r>
    <w:r>
      <w:rPr>
        <w:rStyle w:val="54"/>
      </w:rPr>
      <w:instrText xml:space="preserve"> PAGE </w:instrText>
    </w:r>
    <w:r>
      <w:rPr>
        <w:rStyle w:val="54"/>
      </w:rPr>
      <w:fldChar w:fldCharType="separate"/>
    </w:r>
    <w:r>
      <w:rPr>
        <w:rStyle w:val="54"/>
      </w:rPr>
      <w:t>66</w:t>
    </w:r>
    <w:r>
      <w:rPr>
        <w:rStyle w:val="5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92"/>
      <w:rPr>
        <w:rStyle w:val="54"/>
      </w:rPr>
    </w:pPr>
    <w:r>
      <w:fldChar w:fldCharType="begin"/>
    </w:r>
    <w:r>
      <w:rPr>
        <w:rStyle w:val="54"/>
      </w:rPr>
      <w:instrText xml:space="preserve">PAGE  </w:instrText>
    </w:r>
    <w:r>
      <w:fldChar w:fldCharType="separate"/>
    </w:r>
    <w:r>
      <w:rPr>
        <w:rStyle w:val="54"/>
        <w:rFonts w:hint="eastAsia"/>
      </w:rPr>
      <w:t>一</w:t>
    </w:r>
    <w:r>
      <w:rPr>
        <w:rStyle w:val="54"/>
      </w:rPr>
      <w:t>–2</w:t>
    </w:r>
    <w:r>
      <w:fldChar w:fldCharType="end"/>
    </w:r>
  </w:p>
  <w:p>
    <w:pPr>
      <w:pStyle w:val="31"/>
      <w:ind w:firstLine="392"/>
    </w:pP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311150" cy="21209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311150" cy="2120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6.7pt;width:24.5pt;mso-position-horizontal:center;mso-position-horizontal-relative:margin;z-index:251666432;mso-width-relative:page;mso-height-relative:page;" filled="f" stroked="f" coordsize="21600,21600" o:gfxdata="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Y6aD/TAAAAAwEAAA8AAAAAAAAAAQAgAAAAIgAAAGRycy9kb3ducmV2LnhtbFBL&#10;AQIUABQAAAAIAIdO4kAiJk8kNAIAAGMEAAAOAAAAAAAAAAEAIAAAACIBAABkcnMvZTJvRG9jLnht&#10;bFBLBQYAAAAABgAGAFkBAADIBQAAAAA=&#10;">
              <v:fill on="f" focussize="0,0"/>
              <v:stroke on="f" weight="0.5pt"/>
              <v:imagedata o:title=""/>
              <o:lock v:ext="edit" aspectratio="f"/>
              <v:textbox inset="0mm,0mm,0mm,0mm">
                <w:txbxContent>
                  <w:p>
                    <w:pPr>
                      <w:pStyle w:val="31"/>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92"/>
      <w:rPr>
        <w:rStyle w:val="54"/>
      </w:rPr>
    </w:pPr>
    <w:r>
      <w:fldChar w:fldCharType="begin"/>
    </w:r>
    <w:r>
      <w:rPr>
        <w:rStyle w:val="54"/>
      </w:rPr>
      <w:instrText xml:space="preserve">PAGE  </w:instrText>
    </w:r>
    <w:r>
      <w:fldChar w:fldCharType="separate"/>
    </w:r>
    <w:r>
      <w:rPr>
        <w:rStyle w:val="54"/>
        <w:rFonts w:hint="eastAsia"/>
      </w:rPr>
      <w:t>一</w:t>
    </w:r>
    <w:r>
      <w:rPr>
        <w:rStyle w:val="54"/>
      </w:rPr>
      <w:t>–2</w:t>
    </w:r>
    <w:r>
      <w:fldChar w:fldCharType="end"/>
    </w:r>
  </w:p>
  <w:p>
    <w:pPr>
      <w:pStyle w:val="31"/>
      <w:ind w:firstLine="392"/>
    </w:pPr>
    <w: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outside" w:y="1"/>
      <w:rPr>
        <w:rStyle w:val="54"/>
      </w:rPr>
    </w:pPr>
    <w:r>
      <w:fldChar w:fldCharType="begin"/>
    </w:r>
    <w:r>
      <w:rPr>
        <w:rStyle w:val="54"/>
      </w:rPr>
      <w:instrText xml:space="preserve">PAGE  </w:instrText>
    </w:r>
    <w:r>
      <w:fldChar w:fldCharType="separate"/>
    </w:r>
    <w:r>
      <w:rPr>
        <w:rStyle w:val="54"/>
        <w:rFonts w:hint="eastAsia"/>
      </w:rPr>
      <w:t>一</w:t>
    </w:r>
    <w:r>
      <w:rPr>
        <w:rStyle w:val="54"/>
      </w:rPr>
      <w:t>–2</w:t>
    </w:r>
    <w:r>
      <w:fldChar w:fldCharType="end"/>
    </w:r>
  </w:p>
  <w:p>
    <w:pPr>
      <w:pStyle w:val="31"/>
      <w:ind w:right="360" w:firstLine="360"/>
      <w:jc w:val="center"/>
    </w:pPr>
    <w:r>
      <w:rPr>
        <w:sz w:val="20"/>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1"/>
                          </w:pPr>
                          <w:r>
                            <w:fldChar w:fldCharType="begin"/>
                          </w:r>
                          <w:r>
                            <w:instrText xml:space="preserve"> PAGE  \* MERGEFORMAT </w:instrText>
                          </w:r>
                          <w:r>
                            <w:fldChar w:fldCharType="separate"/>
                          </w:r>
                          <w:r>
                            <w:t>0</w:t>
                          </w:r>
                          <w: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AWgDsd5gEA&#10;AMoDAAAOAAAAAAAAAAEAIAAAACIBAABkcnMvZTJvRG9jLnhtbFBLBQYAAAAABgAGAFkBAAB6BQAA&#10;AAA=&#10;">
              <v:fill on="f" focussize="0,0"/>
              <v:stroke on="f" weight="1.25pt"/>
              <v:imagedata o:title=""/>
              <o:lock v:ext="edit" aspectratio="f"/>
              <v:textbox inset="0mm,0mm,0mm,0mm" style="mso-fit-shape-to-text:t;">
                <w:txbxContent>
                  <w:p>
                    <w:pPr>
                      <w:pStyle w:val="31"/>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pPr>
    <w:r>
      <mc:AlternateContent>
        <mc:Choice Requires="wps">
          <w:drawing>
            <wp:anchor distT="0" distB="0" distL="114300" distR="114300" simplePos="0" relativeHeight="251665408" behindDoc="0" locked="0" layoutInCell="1" allowOverlap="1">
              <wp:simplePos x="0" y="0"/>
              <wp:positionH relativeFrom="margin">
                <wp:posOffset>2588895</wp:posOffset>
              </wp:positionH>
              <wp:positionV relativeFrom="paragraph">
                <wp:posOffset>0</wp:posOffset>
              </wp:positionV>
              <wp:extent cx="534670" cy="131445"/>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534670" cy="131445"/>
                      </a:xfrm>
                      <a:prstGeom prst="rect">
                        <a:avLst/>
                      </a:prstGeom>
                      <a:noFill/>
                      <a:ln>
                        <a:noFill/>
                      </a:ln>
                      <a:effectLst/>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0</w:t>
                          </w:r>
                          <w:r>
                            <w:rPr>
                              <w:sz w:val="18"/>
                            </w:rPr>
                            <w:fldChar w:fldCharType="end"/>
                          </w:r>
                        </w:p>
                      </w:txbxContent>
                    </wps:txbx>
                    <wps:bodyPr rot="0" vert="horz" wrap="square" lIns="0" tIns="0" rIns="0" bIns="0" anchor="t" anchorCtr="0" upright="1">
                      <a:spAutoFit/>
                    </wps:bodyPr>
                  </wps:wsp>
                </a:graphicData>
              </a:graphic>
            </wp:anchor>
          </w:drawing>
        </mc:Choice>
        <mc:Fallback>
          <w:pict>
            <v:shape id="_x0000_s1026" o:spid="_x0000_s1026" o:spt="202" type="#_x0000_t202" style="position:absolute;left:0pt;margin-left:203.85pt;margin-top:0pt;height:10.35pt;width:42.1pt;mso-position-horizontal-relative:margin;z-index:251665408;mso-width-relative:page;mso-height-relative:page;" filled="f" stroked="f" coordsize="21600,21600" o:gfxdata="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J0VcdQAAAAHAQAADwAAAAAAAAABACAA&#10;AAAiAAAAZHJzL2Rvd25yZXYueG1sUEsBAhQAFAAAAAgAh07iQO2NHDYRAgAAEgQAAA4AAAAAAAAA&#10;AQAgAAAAIwEAAGRycy9lMm9Eb2MueG1sUEsFBgAAAAAGAAYAWQEAAKYFA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0</w:t>
                    </w:r>
                    <w:r>
                      <w:rPr>
                        <w:sz w:val="1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outside" w:y="1"/>
      <w:rPr>
        <w:rStyle w:val="54"/>
      </w:rPr>
    </w:pPr>
    <w:r>
      <w:rPr>
        <w:rStyle w:val="54"/>
      </w:rPr>
      <w:fldChar w:fldCharType="begin"/>
    </w:r>
    <w:r>
      <w:rPr>
        <w:rStyle w:val="54"/>
      </w:rPr>
      <w:instrText xml:space="preserve">PAGE  </w:instrText>
    </w:r>
    <w:r>
      <w:rPr>
        <w:rStyle w:val="54"/>
      </w:rPr>
      <w:fldChar w:fldCharType="separate"/>
    </w:r>
    <w:r>
      <w:rPr>
        <w:rStyle w:val="54"/>
        <w:rFonts w:hint="eastAsia"/>
      </w:rPr>
      <w:t>一</w:t>
    </w:r>
    <w:r>
      <w:rPr>
        <w:rStyle w:val="54"/>
      </w:rPr>
      <w:t>–2</w:t>
    </w:r>
    <w:r>
      <w:rPr>
        <w:rStyle w:val="54"/>
      </w:rPr>
      <w:fldChar w:fldCharType="end"/>
    </w:r>
  </w:p>
  <w:p>
    <w:pPr>
      <w:pStyle w:val="31"/>
      <w:ind w:right="360" w:firstLine="360"/>
      <w:jc w:val="center"/>
    </w:pPr>
    <w:r>
      <w:rPr>
        <w:kern w:val="0"/>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92"/>
    </w:pPr>
    <w:r>
      <w:rPr>
        <w:rFonts w:hint="eastAsia"/>
      </w:rPr>
      <w:t>横枝岗路道路排水改造工程招标文件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92"/>
    </w:pPr>
    <w:r>
      <w:rPr>
        <w:rFonts w:hint="eastAsia"/>
      </w:rPr>
      <w:t>横枝岗路道路排水改造工程招标文件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right"/>
      <w:rPr>
        <w:i/>
        <w:iCs/>
      </w:rPr>
    </w:pPr>
    <w:r>
      <w:rPr>
        <w:rFonts w:hint="eastAsia"/>
        <w:i/>
        <w:iCs/>
      </w:rPr>
      <w:t>横枝岗路道路排水改造工程招标文件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jc w:val="right"/>
      <w:rPr>
        <w:i/>
        <w:iC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right"/>
      <w:rPr>
        <w:i/>
        <w:iCs/>
      </w:rPr>
    </w:pPr>
    <w:r>
      <w:rPr>
        <w:rFonts w:hint="eastAsia"/>
        <w:i/>
        <w:iCs/>
      </w:rPr>
      <w:t>横枝岗路道路排水改造工程招标文件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lvlText w:val="（%1）"/>
      <w:lvlJc w:val="left"/>
      <w:pPr>
        <w:ind w:left="1080" w:hanging="720"/>
      </w:pPr>
      <w:rPr>
        <w:rFonts w:hint="default"/>
        <w:color w:val="000000"/>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00000008"/>
    <w:multiLevelType w:val="singleLevel"/>
    <w:tmpl w:val="00000008"/>
    <w:lvl w:ilvl="0" w:tentative="0">
      <w:start w:val="1"/>
      <w:numFmt w:val="japaneseCounting"/>
      <w:lvlText w:val="%1、"/>
      <w:lvlJc w:val="left"/>
      <w:pPr>
        <w:tabs>
          <w:tab w:val="left" w:pos="960"/>
        </w:tabs>
        <w:ind w:left="960" w:hanging="480"/>
      </w:pPr>
    </w:lvl>
  </w:abstractNum>
  <w:abstractNum w:abstractNumId="2">
    <w:nsid w:val="0000000B"/>
    <w:multiLevelType w:val="singleLevel"/>
    <w:tmpl w:val="0000000B"/>
    <w:lvl w:ilvl="0" w:tentative="0">
      <w:start w:val="1"/>
      <w:numFmt w:val="decimal"/>
      <w:suff w:val="nothing"/>
      <w:lvlText w:val="（%1）"/>
      <w:lvlJc w:val="left"/>
    </w:lvl>
  </w:abstractNum>
  <w:abstractNum w:abstractNumId="3">
    <w:nsid w:val="0000000C"/>
    <w:multiLevelType w:val="singleLevel"/>
    <w:tmpl w:val="0000000C"/>
    <w:lvl w:ilvl="0" w:tentative="0">
      <w:start w:val="1"/>
      <w:numFmt w:val="decimal"/>
      <w:suff w:val="nothing"/>
      <w:lvlText w:val="（%1）"/>
      <w:lvlJc w:val="left"/>
    </w:lvl>
  </w:abstractNum>
  <w:abstractNum w:abstractNumId="4">
    <w:nsid w:val="01BB16A0"/>
    <w:multiLevelType w:val="singleLevel"/>
    <w:tmpl w:val="01BB16A0"/>
    <w:lvl w:ilvl="0" w:tentative="0">
      <w:start w:val="4"/>
      <w:numFmt w:val="chineseCounting"/>
      <w:suff w:val="space"/>
      <w:lvlText w:val="第%1部分"/>
      <w:lvlJc w:val="left"/>
      <w:rPr>
        <w:rFonts w:hint="eastAsia"/>
      </w:rPr>
    </w:lvl>
  </w:abstractNum>
  <w:abstractNum w:abstractNumId="5">
    <w:nsid w:val="14181B7E"/>
    <w:multiLevelType w:val="singleLevel"/>
    <w:tmpl w:val="14181B7E"/>
    <w:lvl w:ilvl="0" w:tentative="0">
      <w:start w:val="1"/>
      <w:numFmt w:val="decimal"/>
      <w:suff w:val="nothing"/>
      <w:lvlText w:val="%1、"/>
      <w:lvlJc w:val="left"/>
    </w:lvl>
  </w:abstractNum>
  <w:abstractNum w:abstractNumId="6">
    <w:nsid w:val="259905B5"/>
    <w:multiLevelType w:val="multilevel"/>
    <w:tmpl w:val="259905B5"/>
    <w:lvl w:ilvl="0" w:tentative="0">
      <w:start w:val="1"/>
      <w:numFmt w:val="chineseCountingThousand"/>
      <w:pStyle w:val="116"/>
      <w:suff w:val="space"/>
      <w:lvlText w:val="第%1章"/>
      <w:lvlJc w:val="left"/>
      <w:pPr>
        <w:ind w:left="567" w:hanging="279"/>
      </w:pPr>
      <w:rPr>
        <w:rFonts w:hint="eastAsia" w:ascii="宋体" w:eastAsia="宋体" w:cs="Times New Roman"/>
        <w:b/>
        <w:i w:val="0"/>
        <w:spacing w:val="0"/>
        <w:position w:val="0"/>
        <w:sz w:val="44"/>
      </w:rPr>
    </w:lvl>
    <w:lvl w:ilvl="1" w:tentative="0">
      <w:start w:val="1"/>
      <w:numFmt w:val="decimal"/>
      <w:suff w:val="space"/>
      <w:lvlText w:val="%2."/>
      <w:lvlJc w:val="left"/>
      <w:pPr>
        <w:ind w:left="454" w:hanging="454"/>
      </w:pPr>
      <w:rPr>
        <w:rFonts w:hint="eastAsia" w:ascii="宋体" w:eastAsia="宋体" w:cs="Times New Roman"/>
        <w:b/>
        <w:i w:val="0"/>
        <w:sz w:val="32"/>
      </w:rPr>
    </w:lvl>
    <w:lvl w:ilvl="2" w:tentative="0">
      <w:start w:val="1"/>
      <w:numFmt w:val="decimal"/>
      <w:suff w:val="space"/>
      <w:lvlText w:val="%2.%3"/>
      <w:lvlJc w:val="left"/>
      <w:pPr>
        <w:ind w:left="454" w:hanging="454"/>
      </w:pPr>
      <w:rPr>
        <w:rFonts w:hint="eastAsia" w:ascii="宋体" w:eastAsia="宋体" w:cs="Times New Roman"/>
        <w:b/>
        <w:i w:val="0"/>
        <w:sz w:val="28"/>
      </w:rPr>
    </w:lvl>
    <w:lvl w:ilvl="3" w:tentative="0">
      <w:start w:val="1"/>
      <w:numFmt w:val="decimal"/>
      <w:pStyle w:val="7"/>
      <w:suff w:val="space"/>
      <w:lvlText w:val="%2.%3.%4"/>
      <w:lvlJc w:val="left"/>
      <w:pPr>
        <w:ind w:left="284" w:hanging="284"/>
      </w:pPr>
      <w:rPr>
        <w:rFonts w:hint="eastAsia" w:ascii="宋体" w:eastAsia="宋体" w:cs="Times New Roman"/>
        <w:b/>
        <w:i w:val="0"/>
        <w:sz w:val="28"/>
      </w:rPr>
    </w:lvl>
    <w:lvl w:ilvl="4" w:tentative="0">
      <w:start w:val="1"/>
      <w:numFmt w:val="decimal"/>
      <w:pStyle w:val="8"/>
      <w:isLgl/>
      <w:suff w:val="space"/>
      <w:lvlText w:val="%2.%3.%4.%5"/>
      <w:lvlJc w:val="left"/>
      <w:pPr>
        <w:ind w:left="284" w:hanging="284"/>
      </w:pPr>
      <w:rPr>
        <w:rFonts w:hint="eastAsia" w:ascii="宋体" w:eastAsia="宋体" w:cs="Times New Roman"/>
        <w:b/>
        <w:i w:val="0"/>
        <w:strike w:val="0"/>
        <w:dstrike w:val="0"/>
        <w:sz w:val="28"/>
      </w:rPr>
    </w:lvl>
    <w:lvl w:ilvl="5" w:tentative="0">
      <w:start w:val="1"/>
      <w:numFmt w:val="decimal"/>
      <w:lvlRestart w:val="0"/>
      <w:suff w:val="space"/>
      <w:lvlText w:val="1.1.1.1.1.%6%5"/>
      <w:lvlJc w:val="left"/>
      <w:rPr>
        <w:rFonts w:hint="eastAsia" w:ascii="宋体" w:eastAsia="宋体" w:cs="Times New Roman"/>
        <w:b/>
        <w:i w:val="0"/>
        <w:sz w:val="28"/>
      </w:rPr>
    </w:lvl>
    <w:lvl w:ilvl="6" w:tentative="0">
      <w:start w:val="1"/>
      <w:numFmt w:val="none"/>
      <w:pStyle w:val="10"/>
      <w:suff w:val="nothing"/>
      <w:lvlText w:val=""/>
      <w:lvlJc w:val="left"/>
      <w:rPr>
        <w:rFonts w:hint="eastAsia" w:cs="Times New Roman"/>
      </w:rPr>
    </w:lvl>
    <w:lvl w:ilvl="7" w:tentative="0">
      <w:start w:val="1"/>
      <w:numFmt w:val="none"/>
      <w:pStyle w:val="11"/>
      <w:suff w:val="nothing"/>
      <w:lvlText w:val=""/>
      <w:lvlJc w:val="left"/>
      <w:rPr>
        <w:rFonts w:hint="eastAsia" w:cs="Times New Roman"/>
      </w:rPr>
    </w:lvl>
    <w:lvl w:ilvl="8" w:tentative="0">
      <w:start w:val="1"/>
      <w:numFmt w:val="none"/>
      <w:pStyle w:val="12"/>
      <w:suff w:val="nothing"/>
      <w:lvlText w:val=""/>
      <w:lvlJc w:val="left"/>
      <w:rPr>
        <w:rFonts w:hint="eastAsia" w:cs="Times New Roman"/>
      </w:rPr>
    </w:lvl>
  </w:abstractNum>
  <w:abstractNum w:abstractNumId="7">
    <w:nsid w:val="3AD5465A"/>
    <w:multiLevelType w:val="multilevel"/>
    <w:tmpl w:val="3AD5465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44649A8"/>
    <w:multiLevelType w:val="singleLevel"/>
    <w:tmpl w:val="544649A8"/>
    <w:lvl w:ilvl="0" w:tentative="0">
      <w:start w:val="2"/>
      <w:numFmt w:val="decimal"/>
      <w:suff w:val="space"/>
      <w:lvlText w:val="%1."/>
      <w:lvlJc w:val="left"/>
    </w:lvl>
  </w:abstractNum>
  <w:abstractNum w:abstractNumId="9">
    <w:nsid w:val="74FB0463"/>
    <w:multiLevelType w:val="multilevel"/>
    <w:tmpl w:val="74FB0463"/>
    <w:lvl w:ilvl="0" w:tentative="0">
      <w:start w:val="1"/>
      <w:numFmt w:val="decimal"/>
      <w:suff w:val="nothing"/>
      <w:lvlText w:val="第%1篇"/>
      <w:lvlJc w:val="left"/>
      <w:rPr>
        <w:rFonts w:hint="eastAsia" w:cs="Times New Roman"/>
        <w:spacing w:val="60"/>
      </w:rPr>
    </w:lvl>
    <w:lvl w:ilvl="1" w:tentative="0">
      <w:start w:val="1"/>
      <w:numFmt w:val="none"/>
      <w:suff w:val="nothing"/>
      <w:lvlText w:val=""/>
      <w:lvlJc w:val="left"/>
      <w:rPr>
        <w:rFonts w:hint="eastAsia" w:cs="Times New Roman"/>
      </w:rPr>
    </w:lvl>
    <w:lvl w:ilvl="2" w:tentative="0">
      <w:start w:val="1"/>
      <w:numFmt w:val="none"/>
      <w:suff w:val="nothing"/>
      <w:lvlText w:val=""/>
      <w:lvlJc w:val="left"/>
      <w:rPr>
        <w:rFonts w:hint="eastAsia" w:cs="Times New Roman"/>
      </w:rPr>
    </w:lvl>
    <w:lvl w:ilvl="3" w:tentative="0">
      <w:start w:val="1"/>
      <w:numFmt w:val="none"/>
      <w:suff w:val="nothing"/>
      <w:lvlText w:val=""/>
      <w:lvlJc w:val="left"/>
      <w:rPr>
        <w:rFonts w:hint="eastAsia" w:cs="Times New Roman"/>
      </w:rPr>
    </w:lvl>
    <w:lvl w:ilvl="4" w:tentative="0">
      <w:start w:val="1"/>
      <w:numFmt w:val="none"/>
      <w:suff w:val="nothing"/>
      <w:lvlText w:val=""/>
      <w:lvlJc w:val="center"/>
      <w:pPr>
        <w:ind w:firstLine="288"/>
      </w:pPr>
      <w:rPr>
        <w:rFonts w:hint="eastAsia" w:cs="Times New Roman"/>
      </w:rPr>
    </w:lvl>
    <w:lvl w:ilvl="5" w:tentative="0">
      <w:start w:val="1"/>
      <w:numFmt w:val="none"/>
      <w:pStyle w:val="9"/>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num w:numId="1">
    <w:abstractNumId w:val="6"/>
  </w:num>
  <w:num w:numId="2">
    <w:abstractNumId w:val="9"/>
  </w:num>
  <w:num w:numId="3">
    <w:abstractNumId w:val="3"/>
  </w:num>
  <w:num w:numId="4">
    <w:abstractNumId w:val="2"/>
  </w:num>
  <w:num w:numId="5">
    <w:abstractNumId w:val="4"/>
  </w:num>
  <w:num w:numId="6">
    <w:abstractNumId w:val="5"/>
  </w:num>
  <w:num w:numId="7">
    <w:abstractNumId w:val="1"/>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yOTlmNTUwNzhlMDUwMmUwNWUyMzhjZGVkYjNkNWMifQ=="/>
  </w:docVars>
  <w:rsids>
    <w:rsidRoot w:val="00106A70"/>
    <w:rsid w:val="00005EC1"/>
    <w:rsid w:val="0001065C"/>
    <w:rsid w:val="00021782"/>
    <w:rsid w:val="00022426"/>
    <w:rsid w:val="0002445C"/>
    <w:rsid w:val="000267AF"/>
    <w:rsid w:val="00043AC1"/>
    <w:rsid w:val="00045D77"/>
    <w:rsid w:val="00046EE3"/>
    <w:rsid w:val="00063D8C"/>
    <w:rsid w:val="000667C4"/>
    <w:rsid w:val="00071AB3"/>
    <w:rsid w:val="00072402"/>
    <w:rsid w:val="000733AF"/>
    <w:rsid w:val="000876AE"/>
    <w:rsid w:val="00087C67"/>
    <w:rsid w:val="00095BA9"/>
    <w:rsid w:val="00095F4B"/>
    <w:rsid w:val="00097A92"/>
    <w:rsid w:val="000A46E8"/>
    <w:rsid w:val="000D44B5"/>
    <w:rsid w:val="000D4F60"/>
    <w:rsid w:val="000D6806"/>
    <w:rsid w:val="000E54A4"/>
    <w:rsid w:val="000E6341"/>
    <w:rsid w:val="000E641F"/>
    <w:rsid w:val="000F5231"/>
    <w:rsid w:val="000F7EA9"/>
    <w:rsid w:val="0010098B"/>
    <w:rsid w:val="0010353C"/>
    <w:rsid w:val="00106A70"/>
    <w:rsid w:val="00112FF4"/>
    <w:rsid w:val="001210E2"/>
    <w:rsid w:val="001256F8"/>
    <w:rsid w:val="00125ACD"/>
    <w:rsid w:val="00136494"/>
    <w:rsid w:val="00137831"/>
    <w:rsid w:val="00137B8D"/>
    <w:rsid w:val="0014090E"/>
    <w:rsid w:val="00140D80"/>
    <w:rsid w:val="00150CB8"/>
    <w:rsid w:val="00155C5A"/>
    <w:rsid w:val="00156F51"/>
    <w:rsid w:val="00161469"/>
    <w:rsid w:val="00170EBB"/>
    <w:rsid w:val="00177ADF"/>
    <w:rsid w:val="00177E92"/>
    <w:rsid w:val="00182042"/>
    <w:rsid w:val="00182DE3"/>
    <w:rsid w:val="00183C0D"/>
    <w:rsid w:val="00193459"/>
    <w:rsid w:val="001A384E"/>
    <w:rsid w:val="001A6201"/>
    <w:rsid w:val="001D12B0"/>
    <w:rsid w:val="001E1400"/>
    <w:rsid w:val="001E2667"/>
    <w:rsid w:val="001E54EC"/>
    <w:rsid w:val="001F33BB"/>
    <w:rsid w:val="001F4C40"/>
    <w:rsid w:val="001F5539"/>
    <w:rsid w:val="0020345A"/>
    <w:rsid w:val="002069FB"/>
    <w:rsid w:val="00213850"/>
    <w:rsid w:val="002171C1"/>
    <w:rsid w:val="0022100E"/>
    <w:rsid w:val="00227243"/>
    <w:rsid w:val="00230BE3"/>
    <w:rsid w:val="00235FA0"/>
    <w:rsid w:val="00241756"/>
    <w:rsid w:val="002426CF"/>
    <w:rsid w:val="00242D35"/>
    <w:rsid w:val="00252964"/>
    <w:rsid w:val="002549CD"/>
    <w:rsid w:val="0025694A"/>
    <w:rsid w:val="00264D57"/>
    <w:rsid w:val="0026505D"/>
    <w:rsid w:val="00276FB4"/>
    <w:rsid w:val="0028196C"/>
    <w:rsid w:val="00294E4A"/>
    <w:rsid w:val="002A0303"/>
    <w:rsid w:val="002A3FA2"/>
    <w:rsid w:val="002A6CC8"/>
    <w:rsid w:val="002B038D"/>
    <w:rsid w:val="002B1E93"/>
    <w:rsid w:val="002B374F"/>
    <w:rsid w:val="002B5886"/>
    <w:rsid w:val="002C2790"/>
    <w:rsid w:val="002D01E9"/>
    <w:rsid w:val="002E2687"/>
    <w:rsid w:val="002E4F4C"/>
    <w:rsid w:val="002E6150"/>
    <w:rsid w:val="002F5543"/>
    <w:rsid w:val="003037E2"/>
    <w:rsid w:val="00304652"/>
    <w:rsid w:val="003059C9"/>
    <w:rsid w:val="00312A38"/>
    <w:rsid w:val="00323E11"/>
    <w:rsid w:val="00323F2F"/>
    <w:rsid w:val="00325E96"/>
    <w:rsid w:val="00326C00"/>
    <w:rsid w:val="00331F8C"/>
    <w:rsid w:val="003358E3"/>
    <w:rsid w:val="00335BD3"/>
    <w:rsid w:val="003420EB"/>
    <w:rsid w:val="00347B01"/>
    <w:rsid w:val="00354C41"/>
    <w:rsid w:val="00355284"/>
    <w:rsid w:val="0035584D"/>
    <w:rsid w:val="00356A44"/>
    <w:rsid w:val="00357D01"/>
    <w:rsid w:val="00365FD0"/>
    <w:rsid w:val="0037273F"/>
    <w:rsid w:val="00373EF6"/>
    <w:rsid w:val="00376258"/>
    <w:rsid w:val="00376C23"/>
    <w:rsid w:val="00383CEB"/>
    <w:rsid w:val="00390C85"/>
    <w:rsid w:val="003A7E76"/>
    <w:rsid w:val="003B0476"/>
    <w:rsid w:val="003B63B2"/>
    <w:rsid w:val="003B7254"/>
    <w:rsid w:val="003C23DA"/>
    <w:rsid w:val="003E36F2"/>
    <w:rsid w:val="003E413E"/>
    <w:rsid w:val="003E4F01"/>
    <w:rsid w:val="003E54BE"/>
    <w:rsid w:val="003E7068"/>
    <w:rsid w:val="00400119"/>
    <w:rsid w:val="00400DFB"/>
    <w:rsid w:val="00404B76"/>
    <w:rsid w:val="004127C7"/>
    <w:rsid w:val="004269B1"/>
    <w:rsid w:val="00427B9D"/>
    <w:rsid w:val="00433E3E"/>
    <w:rsid w:val="004368E1"/>
    <w:rsid w:val="00440C26"/>
    <w:rsid w:val="004415E6"/>
    <w:rsid w:val="004435E8"/>
    <w:rsid w:val="00450953"/>
    <w:rsid w:val="00452B76"/>
    <w:rsid w:val="00464D7C"/>
    <w:rsid w:val="00467D6C"/>
    <w:rsid w:val="00472433"/>
    <w:rsid w:val="00475E95"/>
    <w:rsid w:val="00484211"/>
    <w:rsid w:val="0049307D"/>
    <w:rsid w:val="004931DB"/>
    <w:rsid w:val="004C41DD"/>
    <w:rsid w:val="004D33F6"/>
    <w:rsid w:val="004D5513"/>
    <w:rsid w:val="004F006D"/>
    <w:rsid w:val="004F0DEF"/>
    <w:rsid w:val="004F6DC0"/>
    <w:rsid w:val="004F787D"/>
    <w:rsid w:val="00503F3E"/>
    <w:rsid w:val="00510DF0"/>
    <w:rsid w:val="00514EA1"/>
    <w:rsid w:val="00531AB2"/>
    <w:rsid w:val="00537256"/>
    <w:rsid w:val="00547EE0"/>
    <w:rsid w:val="0055283C"/>
    <w:rsid w:val="00552AEF"/>
    <w:rsid w:val="00560137"/>
    <w:rsid w:val="00564D16"/>
    <w:rsid w:val="00564EDC"/>
    <w:rsid w:val="00572B75"/>
    <w:rsid w:val="00575273"/>
    <w:rsid w:val="00577F75"/>
    <w:rsid w:val="00584859"/>
    <w:rsid w:val="00584C09"/>
    <w:rsid w:val="00585880"/>
    <w:rsid w:val="005927BC"/>
    <w:rsid w:val="005959F6"/>
    <w:rsid w:val="00597BE7"/>
    <w:rsid w:val="005A3ABF"/>
    <w:rsid w:val="005A3F9A"/>
    <w:rsid w:val="005A4F2C"/>
    <w:rsid w:val="005A5D7F"/>
    <w:rsid w:val="005B497B"/>
    <w:rsid w:val="005C01D7"/>
    <w:rsid w:val="005C1D65"/>
    <w:rsid w:val="005C3C1D"/>
    <w:rsid w:val="005C6375"/>
    <w:rsid w:val="005D10EE"/>
    <w:rsid w:val="005D3B63"/>
    <w:rsid w:val="005E489E"/>
    <w:rsid w:val="005F58A7"/>
    <w:rsid w:val="005F7CFA"/>
    <w:rsid w:val="00602352"/>
    <w:rsid w:val="00603CF7"/>
    <w:rsid w:val="006049D1"/>
    <w:rsid w:val="00605BF6"/>
    <w:rsid w:val="006071D2"/>
    <w:rsid w:val="00610572"/>
    <w:rsid w:val="00612D3B"/>
    <w:rsid w:val="00614095"/>
    <w:rsid w:val="00620AAD"/>
    <w:rsid w:val="006212CF"/>
    <w:rsid w:val="006216C6"/>
    <w:rsid w:val="006231A3"/>
    <w:rsid w:val="006231C4"/>
    <w:rsid w:val="006251D0"/>
    <w:rsid w:val="00627E17"/>
    <w:rsid w:val="00633297"/>
    <w:rsid w:val="00647BC3"/>
    <w:rsid w:val="006627C5"/>
    <w:rsid w:val="00663B63"/>
    <w:rsid w:val="00673A0D"/>
    <w:rsid w:val="00677109"/>
    <w:rsid w:val="006803A3"/>
    <w:rsid w:val="00683D88"/>
    <w:rsid w:val="00686120"/>
    <w:rsid w:val="006A20B8"/>
    <w:rsid w:val="006A38FE"/>
    <w:rsid w:val="006A50D5"/>
    <w:rsid w:val="006A5453"/>
    <w:rsid w:val="006A660D"/>
    <w:rsid w:val="006C2C6D"/>
    <w:rsid w:val="006C5562"/>
    <w:rsid w:val="006C7559"/>
    <w:rsid w:val="006D3772"/>
    <w:rsid w:val="006E06A0"/>
    <w:rsid w:val="006E0CE0"/>
    <w:rsid w:val="006E7DA7"/>
    <w:rsid w:val="006F27F9"/>
    <w:rsid w:val="006F435B"/>
    <w:rsid w:val="007005E6"/>
    <w:rsid w:val="00701055"/>
    <w:rsid w:val="00722577"/>
    <w:rsid w:val="007234C4"/>
    <w:rsid w:val="00724A3E"/>
    <w:rsid w:val="00730B59"/>
    <w:rsid w:val="00735E0E"/>
    <w:rsid w:val="00737DC1"/>
    <w:rsid w:val="00744B3D"/>
    <w:rsid w:val="00751E2F"/>
    <w:rsid w:val="00753220"/>
    <w:rsid w:val="007620A9"/>
    <w:rsid w:val="0076712F"/>
    <w:rsid w:val="00772656"/>
    <w:rsid w:val="00773A2A"/>
    <w:rsid w:val="0077478A"/>
    <w:rsid w:val="00776569"/>
    <w:rsid w:val="00781507"/>
    <w:rsid w:val="007816EB"/>
    <w:rsid w:val="00781CE6"/>
    <w:rsid w:val="007860A3"/>
    <w:rsid w:val="007A172A"/>
    <w:rsid w:val="007A52FD"/>
    <w:rsid w:val="007A5427"/>
    <w:rsid w:val="007B64BB"/>
    <w:rsid w:val="007C0E30"/>
    <w:rsid w:val="007C1F1A"/>
    <w:rsid w:val="007C3599"/>
    <w:rsid w:val="007C44C4"/>
    <w:rsid w:val="007D2AE6"/>
    <w:rsid w:val="007D3984"/>
    <w:rsid w:val="007D58AD"/>
    <w:rsid w:val="007D69D2"/>
    <w:rsid w:val="007E1295"/>
    <w:rsid w:val="007F0C98"/>
    <w:rsid w:val="007F1CE8"/>
    <w:rsid w:val="007F1D54"/>
    <w:rsid w:val="007F6AA8"/>
    <w:rsid w:val="0080125D"/>
    <w:rsid w:val="00804CA2"/>
    <w:rsid w:val="00805381"/>
    <w:rsid w:val="00805988"/>
    <w:rsid w:val="00813899"/>
    <w:rsid w:val="008152BE"/>
    <w:rsid w:val="008207C6"/>
    <w:rsid w:val="008209D1"/>
    <w:rsid w:val="00822016"/>
    <w:rsid w:val="00822A44"/>
    <w:rsid w:val="008246B0"/>
    <w:rsid w:val="00825958"/>
    <w:rsid w:val="00833DE3"/>
    <w:rsid w:val="008372B0"/>
    <w:rsid w:val="00853EBF"/>
    <w:rsid w:val="008544A0"/>
    <w:rsid w:val="00860F2A"/>
    <w:rsid w:val="00865D80"/>
    <w:rsid w:val="0087608F"/>
    <w:rsid w:val="008801F1"/>
    <w:rsid w:val="00887303"/>
    <w:rsid w:val="0089198B"/>
    <w:rsid w:val="00894099"/>
    <w:rsid w:val="008A41D4"/>
    <w:rsid w:val="008A65E7"/>
    <w:rsid w:val="008B09DA"/>
    <w:rsid w:val="008B1128"/>
    <w:rsid w:val="008B1223"/>
    <w:rsid w:val="008B2F44"/>
    <w:rsid w:val="008B6A59"/>
    <w:rsid w:val="008B6CF4"/>
    <w:rsid w:val="008C29B6"/>
    <w:rsid w:val="008C499E"/>
    <w:rsid w:val="008E2906"/>
    <w:rsid w:val="008E57A7"/>
    <w:rsid w:val="008E7AC4"/>
    <w:rsid w:val="008F269F"/>
    <w:rsid w:val="008F2739"/>
    <w:rsid w:val="008F7DD7"/>
    <w:rsid w:val="00901BFA"/>
    <w:rsid w:val="009022CC"/>
    <w:rsid w:val="0090553D"/>
    <w:rsid w:val="00910BB1"/>
    <w:rsid w:val="00913EBD"/>
    <w:rsid w:val="00917485"/>
    <w:rsid w:val="00925619"/>
    <w:rsid w:val="00927AFA"/>
    <w:rsid w:val="00930634"/>
    <w:rsid w:val="009309BA"/>
    <w:rsid w:val="00934B26"/>
    <w:rsid w:val="0094146D"/>
    <w:rsid w:val="00945BD0"/>
    <w:rsid w:val="0095268A"/>
    <w:rsid w:val="00953BF3"/>
    <w:rsid w:val="00954ABC"/>
    <w:rsid w:val="00955BFE"/>
    <w:rsid w:val="0096765A"/>
    <w:rsid w:val="00976012"/>
    <w:rsid w:val="00980D98"/>
    <w:rsid w:val="009811C7"/>
    <w:rsid w:val="00995F58"/>
    <w:rsid w:val="009A14B7"/>
    <w:rsid w:val="009A60B9"/>
    <w:rsid w:val="009A63E9"/>
    <w:rsid w:val="009B5136"/>
    <w:rsid w:val="009B63BA"/>
    <w:rsid w:val="009C3154"/>
    <w:rsid w:val="009D2BC0"/>
    <w:rsid w:val="009D4F9C"/>
    <w:rsid w:val="009D5D34"/>
    <w:rsid w:val="009D7CB7"/>
    <w:rsid w:val="009E15F9"/>
    <w:rsid w:val="009E53DC"/>
    <w:rsid w:val="009E5795"/>
    <w:rsid w:val="00A026D3"/>
    <w:rsid w:val="00A07368"/>
    <w:rsid w:val="00A10851"/>
    <w:rsid w:val="00A118DF"/>
    <w:rsid w:val="00A13103"/>
    <w:rsid w:val="00A136E8"/>
    <w:rsid w:val="00A15D52"/>
    <w:rsid w:val="00A172CD"/>
    <w:rsid w:val="00A21DDF"/>
    <w:rsid w:val="00A224AC"/>
    <w:rsid w:val="00A30FEF"/>
    <w:rsid w:val="00A35EA4"/>
    <w:rsid w:val="00A423EF"/>
    <w:rsid w:val="00A52B27"/>
    <w:rsid w:val="00A54824"/>
    <w:rsid w:val="00A54B81"/>
    <w:rsid w:val="00A6079C"/>
    <w:rsid w:val="00A630D5"/>
    <w:rsid w:val="00A71A73"/>
    <w:rsid w:val="00A735DB"/>
    <w:rsid w:val="00A76DEA"/>
    <w:rsid w:val="00A7765B"/>
    <w:rsid w:val="00A844DE"/>
    <w:rsid w:val="00A85283"/>
    <w:rsid w:val="00A858BB"/>
    <w:rsid w:val="00A900B5"/>
    <w:rsid w:val="00A90BAB"/>
    <w:rsid w:val="00A93526"/>
    <w:rsid w:val="00A96855"/>
    <w:rsid w:val="00A97C52"/>
    <w:rsid w:val="00AA22F6"/>
    <w:rsid w:val="00AA79F2"/>
    <w:rsid w:val="00AB0DC0"/>
    <w:rsid w:val="00AB2753"/>
    <w:rsid w:val="00AC43F7"/>
    <w:rsid w:val="00AC4BC8"/>
    <w:rsid w:val="00AC7DDE"/>
    <w:rsid w:val="00AD24A0"/>
    <w:rsid w:val="00AD654E"/>
    <w:rsid w:val="00AD6DF9"/>
    <w:rsid w:val="00AD7597"/>
    <w:rsid w:val="00AD7FAF"/>
    <w:rsid w:val="00AE7F1A"/>
    <w:rsid w:val="00AF462C"/>
    <w:rsid w:val="00AF5B9A"/>
    <w:rsid w:val="00B04039"/>
    <w:rsid w:val="00B04E1D"/>
    <w:rsid w:val="00B0528B"/>
    <w:rsid w:val="00B163B8"/>
    <w:rsid w:val="00B17D06"/>
    <w:rsid w:val="00B17E37"/>
    <w:rsid w:val="00B231A7"/>
    <w:rsid w:val="00B24461"/>
    <w:rsid w:val="00B36E67"/>
    <w:rsid w:val="00B41536"/>
    <w:rsid w:val="00B57A0C"/>
    <w:rsid w:val="00B624E3"/>
    <w:rsid w:val="00B63D6F"/>
    <w:rsid w:val="00B65CB6"/>
    <w:rsid w:val="00B6614D"/>
    <w:rsid w:val="00B75CBC"/>
    <w:rsid w:val="00B8423A"/>
    <w:rsid w:val="00B849E5"/>
    <w:rsid w:val="00B9694C"/>
    <w:rsid w:val="00B96C5C"/>
    <w:rsid w:val="00BA1454"/>
    <w:rsid w:val="00BB0C3E"/>
    <w:rsid w:val="00BB50F0"/>
    <w:rsid w:val="00BB6347"/>
    <w:rsid w:val="00BC4B44"/>
    <w:rsid w:val="00BE0720"/>
    <w:rsid w:val="00BE3D9B"/>
    <w:rsid w:val="00BF5429"/>
    <w:rsid w:val="00BF77E0"/>
    <w:rsid w:val="00C02588"/>
    <w:rsid w:val="00C10F84"/>
    <w:rsid w:val="00C117AE"/>
    <w:rsid w:val="00C15D4E"/>
    <w:rsid w:val="00C1729C"/>
    <w:rsid w:val="00C210DB"/>
    <w:rsid w:val="00C22713"/>
    <w:rsid w:val="00C2570B"/>
    <w:rsid w:val="00C3663E"/>
    <w:rsid w:val="00C45782"/>
    <w:rsid w:val="00C460B7"/>
    <w:rsid w:val="00C50D17"/>
    <w:rsid w:val="00C540C5"/>
    <w:rsid w:val="00C570C3"/>
    <w:rsid w:val="00C57421"/>
    <w:rsid w:val="00C57A8B"/>
    <w:rsid w:val="00C57F02"/>
    <w:rsid w:val="00C60D1A"/>
    <w:rsid w:val="00C67582"/>
    <w:rsid w:val="00C72CDC"/>
    <w:rsid w:val="00C743D2"/>
    <w:rsid w:val="00C8307B"/>
    <w:rsid w:val="00C845AF"/>
    <w:rsid w:val="00C917BA"/>
    <w:rsid w:val="00C9479E"/>
    <w:rsid w:val="00C959E7"/>
    <w:rsid w:val="00CA0F9A"/>
    <w:rsid w:val="00CA28BC"/>
    <w:rsid w:val="00CA2BD0"/>
    <w:rsid w:val="00CA3724"/>
    <w:rsid w:val="00CB4B2C"/>
    <w:rsid w:val="00CC0B81"/>
    <w:rsid w:val="00CC4A2C"/>
    <w:rsid w:val="00CC4A3B"/>
    <w:rsid w:val="00CC5452"/>
    <w:rsid w:val="00CC761D"/>
    <w:rsid w:val="00CC76F2"/>
    <w:rsid w:val="00CD15DC"/>
    <w:rsid w:val="00CE323D"/>
    <w:rsid w:val="00CE4C51"/>
    <w:rsid w:val="00CE6725"/>
    <w:rsid w:val="00CF252D"/>
    <w:rsid w:val="00D0267E"/>
    <w:rsid w:val="00D12933"/>
    <w:rsid w:val="00D2477F"/>
    <w:rsid w:val="00D26848"/>
    <w:rsid w:val="00D30EAB"/>
    <w:rsid w:val="00D31750"/>
    <w:rsid w:val="00D317C3"/>
    <w:rsid w:val="00D33D89"/>
    <w:rsid w:val="00D34C79"/>
    <w:rsid w:val="00D36ED5"/>
    <w:rsid w:val="00D36FC7"/>
    <w:rsid w:val="00D40450"/>
    <w:rsid w:val="00D40460"/>
    <w:rsid w:val="00D432CC"/>
    <w:rsid w:val="00D467E4"/>
    <w:rsid w:val="00D51E20"/>
    <w:rsid w:val="00D573B0"/>
    <w:rsid w:val="00D63D1A"/>
    <w:rsid w:val="00D6431A"/>
    <w:rsid w:val="00D65E5C"/>
    <w:rsid w:val="00D67C2A"/>
    <w:rsid w:val="00D753B6"/>
    <w:rsid w:val="00D80EEC"/>
    <w:rsid w:val="00D816DA"/>
    <w:rsid w:val="00DA2320"/>
    <w:rsid w:val="00DB0023"/>
    <w:rsid w:val="00DB19E9"/>
    <w:rsid w:val="00DB2194"/>
    <w:rsid w:val="00DB7882"/>
    <w:rsid w:val="00DC18A7"/>
    <w:rsid w:val="00DC466F"/>
    <w:rsid w:val="00DC7009"/>
    <w:rsid w:val="00DD0619"/>
    <w:rsid w:val="00DD09CF"/>
    <w:rsid w:val="00DD691C"/>
    <w:rsid w:val="00DE56B3"/>
    <w:rsid w:val="00DE60BB"/>
    <w:rsid w:val="00DE6BEF"/>
    <w:rsid w:val="00DF10AA"/>
    <w:rsid w:val="00E06889"/>
    <w:rsid w:val="00E14D3A"/>
    <w:rsid w:val="00E16892"/>
    <w:rsid w:val="00E22D1A"/>
    <w:rsid w:val="00E23864"/>
    <w:rsid w:val="00E3103A"/>
    <w:rsid w:val="00E319A2"/>
    <w:rsid w:val="00E352D6"/>
    <w:rsid w:val="00E36B5F"/>
    <w:rsid w:val="00E37367"/>
    <w:rsid w:val="00E41A01"/>
    <w:rsid w:val="00E42E7B"/>
    <w:rsid w:val="00E44144"/>
    <w:rsid w:val="00E50307"/>
    <w:rsid w:val="00E6173C"/>
    <w:rsid w:val="00E62305"/>
    <w:rsid w:val="00E63DBF"/>
    <w:rsid w:val="00E66486"/>
    <w:rsid w:val="00E669D8"/>
    <w:rsid w:val="00E70285"/>
    <w:rsid w:val="00E705C9"/>
    <w:rsid w:val="00E762B9"/>
    <w:rsid w:val="00E84FC5"/>
    <w:rsid w:val="00E8751A"/>
    <w:rsid w:val="00E9080F"/>
    <w:rsid w:val="00E9353C"/>
    <w:rsid w:val="00E95235"/>
    <w:rsid w:val="00E95E82"/>
    <w:rsid w:val="00EA7C63"/>
    <w:rsid w:val="00EB0EC5"/>
    <w:rsid w:val="00EB256D"/>
    <w:rsid w:val="00EC2697"/>
    <w:rsid w:val="00EC63D6"/>
    <w:rsid w:val="00EC737E"/>
    <w:rsid w:val="00ED315A"/>
    <w:rsid w:val="00ED377C"/>
    <w:rsid w:val="00ED3DE4"/>
    <w:rsid w:val="00EE0DE9"/>
    <w:rsid w:val="00EE7EEF"/>
    <w:rsid w:val="00EF6AAB"/>
    <w:rsid w:val="00F03595"/>
    <w:rsid w:val="00F13910"/>
    <w:rsid w:val="00F17147"/>
    <w:rsid w:val="00F2018E"/>
    <w:rsid w:val="00F23625"/>
    <w:rsid w:val="00F24F96"/>
    <w:rsid w:val="00F40DB9"/>
    <w:rsid w:val="00F43FB9"/>
    <w:rsid w:val="00F465C8"/>
    <w:rsid w:val="00F4761F"/>
    <w:rsid w:val="00F57AF8"/>
    <w:rsid w:val="00F64455"/>
    <w:rsid w:val="00F6639E"/>
    <w:rsid w:val="00F6676E"/>
    <w:rsid w:val="00F679D6"/>
    <w:rsid w:val="00F67EC3"/>
    <w:rsid w:val="00F72E4C"/>
    <w:rsid w:val="00F81375"/>
    <w:rsid w:val="00F8575A"/>
    <w:rsid w:val="00F866A5"/>
    <w:rsid w:val="00F87F2E"/>
    <w:rsid w:val="00F87F94"/>
    <w:rsid w:val="00F93EAC"/>
    <w:rsid w:val="00F942D2"/>
    <w:rsid w:val="00FA6691"/>
    <w:rsid w:val="00FA67AB"/>
    <w:rsid w:val="00FA72FC"/>
    <w:rsid w:val="00FB0358"/>
    <w:rsid w:val="00FB2966"/>
    <w:rsid w:val="00FB49CB"/>
    <w:rsid w:val="00FC4E30"/>
    <w:rsid w:val="00FD19B8"/>
    <w:rsid w:val="00FD6327"/>
    <w:rsid w:val="00FE4330"/>
    <w:rsid w:val="00FF2214"/>
    <w:rsid w:val="00FF5BA6"/>
    <w:rsid w:val="00FF7350"/>
    <w:rsid w:val="013755F2"/>
    <w:rsid w:val="01962E33"/>
    <w:rsid w:val="03CD6A75"/>
    <w:rsid w:val="0462603D"/>
    <w:rsid w:val="04B8274F"/>
    <w:rsid w:val="061C612A"/>
    <w:rsid w:val="06FD5BAA"/>
    <w:rsid w:val="092B63A6"/>
    <w:rsid w:val="09972F3A"/>
    <w:rsid w:val="09BF629F"/>
    <w:rsid w:val="0A507DAD"/>
    <w:rsid w:val="0B850E89"/>
    <w:rsid w:val="0B957DE3"/>
    <w:rsid w:val="0BD343FD"/>
    <w:rsid w:val="0BD6694B"/>
    <w:rsid w:val="0BDD1CD0"/>
    <w:rsid w:val="0DCB661C"/>
    <w:rsid w:val="0E6C5BDD"/>
    <w:rsid w:val="0F8F51AE"/>
    <w:rsid w:val="0FB53086"/>
    <w:rsid w:val="0FBC204F"/>
    <w:rsid w:val="0FE124EA"/>
    <w:rsid w:val="10967844"/>
    <w:rsid w:val="10A46527"/>
    <w:rsid w:val="10FF26C5"/>
    <w:rsid w:val="1110038B"/>
    <w:rsid w:val="12E81295"/>
    <w:rsid w:val="133B05A8"/>
    <w:rsid w:val="1344395F"/>
    <w:rsid w:val="13A75E69"/>
    <w:rsid w:val="13CD30D0"/>
    <w:rsid w:val="13D1077B"/>
    <w:rsid w:val="13F930BA"/>
    <w:rsid w:val="140C0FC9"/>
    <w:rsid w:val="14162C01"/>
    <w:rsid w:val="146C6E95"/>
    <w:rsid w:val="147B24E9"/>
    <w:rsid w:val="15597D95"/>
    <w:rsid w:val="167F160F"/>
    <w:rsid w:val="16AD0051"/>
    <w:rsid w:val="16DA2361"/>
    <w:rsid w:val="17B50AEA"/>
    <w:rsid w:val="18854C06"/>
    <w:rsid w:val="19466646"/>
    <w:rsid w:val="1A0751C0"/>
    <w:rsid w:val="1A9C36BB"/>
    <w:rsid w:val="1B711CAA"/>
    <w:rsid w:val="1B830F12"/>
    <w:rsid w:val="1C760288"/>
    <w:rsid w:val="1CE50A8E"/>
    <w:rsid w:val="1D6C1273"/>
    <w:rsid w:val="1D6D42A0"/>
    <w:rsid w:val="1D7303B9"/>
    <w:rsid w:val="1E34713F"/>
    <w:rsid w:val="1E957831"/>
    <w:rsid w:val="1FA77A39"/>
    <w:rsid w:val="1FA87D88"/>
    <w:rsid w:val="201C12BD"/>
    <w:rsid w:val="213230D0"/>
    <w:rsid w:val="21953112"/>
    <w:rsid w:val="231B675B"/>
    <w:rsid w:val="23275AEB"/>
    <w:rsid w:val="23C010B4"/>
    <w:rsid w:val="24195ACA"/>
    <w:rsid w:val="24C92C14"/>
    <w:rsid w:val="24D111DA"/>
    <w:rsid w:val="256A3DC9"/>
    <w:rsid w:val="25773AFA"/>
    <w:rsid w:val="25EA73A4"/>
    <w:rsid w:val="2761677E"/>
    <w:rsid w:val="27B423B9"/>
    <w:rsid w:val="27E37417"/>
    <w:rsid w:val="2849589E"/>
    <w:rsid w:val="285F4565"/>
    <w:rsid w:val="28C763F7"/>
    <w:rsid w:val="2AB14818"/>
    <w:rsid w:val="2AB90E86"/>
    <w:rsid w:val="2C785D1F"/>
    <w:rsid w:val="2C7A7EFA"/>
    <w:rsid w:val="2CB03B88"/>
    <w:rsid w:val="2CDB2CF3"/>
    <w:rsid w:val="2E6339A7"/>
    <w:rsid w:val="2E6A2D37"/>
    <w:rsid w:val="318A4A5A"/>
    <w:rsid w:val="325241A8"/>
    <w:rsid w:val="32AD0842"/>
    <w:rsid w:val="32D7512E"/>
    <w:rsid w:val="32F970BB"/>
    <w:rsid w:val="33FB0FD2"/>
    <w:rsid w:val="367A016E"/>
    <w:rsid w:val="37FF753D"/>
    <w:rsid w:val="38226489"/>
    <w:rsid w:val="38905252"/>
    <w:rsid w:val="392811FF"/>
    <w:rsid w:val="39C602AD"/>
    <w:rsid w:val="39C63DBA"/>
    <w:rsid w:val="3A96186F"/>
    <w:rsid w:val="3B1A1699"/>
    <w:rsid w:val="3B822100"/>
    <w:rsid w:val="3BCB4964"/>
    <w:rsid w:val="3C2F63D2"/>
    <w:rsid w:val="3CE57DB2"/>
    <w:rsid w:val="3D32682E"/>
    <w:rsid w:val="3D481DB1"/>
    <w:rsid w:val="3DB264FD"/>
    <w:rsid w:val="3E0F3D2C"/>
    <w:rsid w:val="3E187D71"/>
    <w:rsid w:val="3E395CF5"/>
    <w:rsid w:val="40A857F4"/>
    <w:rsid w:val="420E09B6"/>
    <w:rsid w:val="42A46233"/>
    <w:rsid w:val="455F43CC"/>
    <w:rsid w:val="46676636"/>
    <w:rsid w:val="467E39AB"/>
    <w:rsid w:val="4754401C"/>
    <w:rsid w:val="47E43B96"/>
    <w:rsid w:val="47E87ED2"/>
    <w:rsid w:val="48177967"/>
    <w:rsid w:val="48253BFC"/>
    <w:rsid w:val="4924264B"/>
    <w:rsid w:val="49B72190"/>
    <w:rsid w:val="49E36D4E"/>
    <w:rsid w:val="4A301CD1"/>
    <w:rsid w:val="4AD75027"/>
    <w:rsid w:val="4B2D33F9"/>
    <w:rsid w:val="4C827125"/>
    <w:rsid w:val="4CE3378A"/>
    <w:rsid w:val="4D270701"/>
    <w:rsid w:val="4D380704"/>
    <w:rsid w:val="4D560CB2"/>
    <w:rsid w:val="4E177AC0"/>
    <w:rsid w:val="4EC1308C"/>
    <w:rsid w:val="4F993212"/>
    <w:rsid w:val="4FCC610A"/>
    <w:rsid w:val="504061C5"/>
    <w:rsid w:val="50795F13"/>
    <w:rsid w:val="5228722A"/>
    <w:rsid w:val="52480F3B"/>
    <w:rsid w:val="525C5C97"/>
    <w:rsid w:val="528F117E"/>
    <w:rsid w:val="52A913E5"/>
    <w:rsid w:val="52BC4786"/>
    <w:rsid w:val="53785583"/>
    <w:rsid w:val="55902889"/>
    <w:rsid w:val="565A1B42"/>
    <w:rsid w:val="56737ECA"/>
    <w:rsid w:val="56916124"/>
    <w:rsid w:val="56C34532"/>
    <w:rsid w:val="56EA26C3"/>
    <w:rsid w:val="57C31F9D"/>
    <w:rsid w:val="584B2C69"/>
    <w:rsid w:val="587207E8"/>
    <w:rsid w:val="58CD6F99"/>
    <w:rsid w:val="595215E5"/>
    <w:rsid w:val="59E511B1"/>
    <w:rsid w:val="5C077A99"/>
    <w:rsid w:val="5C0C310F"/>
    <w:rsid w:val="5DB115E2"/>
    <w:rsid w:val="5E5C753E"/>
    <w:rsid w:val="5EA85DCE"/>
    <w:rsid w:val="6066794A"/>
    <w:rsid w:val="60860E5B"/>
    <w:rsid w:val="608E773B"/>
    <w:rsid w:val="60D51636"/>
    <w:rsid w:val="6204548A"/>
    <w:rsid w:val="635556CF"/>
    <w:rsid w:val="640C206E"/>
    <w:rsid w:val="649C6851"/>
    <w:rsid w:val="657A291F"/>
    <w:rsid w:val="65831DCF"/>
    <w:rsid w:val="661158D7"/>
    <w:rsid w:val="664D7E66"/>
    <w:rsid w:val="665F70F3"/>
    <w:rsid w:val="67427984"/>
    <w:rsid w:val="67832A62"/>
    <w:rsid w:val="67F3111C"/>
    <w:rsid w:val="68915345"/>
    <w:rsid w:val="68C674D7"/>
    <w:rsid w:val="68FA17AF"/>
    <w:rsid w:val="691B0450"/>
    <w:rsid w:val="6978406E"/>
    <w:rsid w:val="6AE07808"/>
    <w:rsid w:val="6B684F2D"/>
    <w:rsid w:val="6BE60821"/>
    <w:rsid w:val="6C8A10C9"/>
    <w:rsid w:val="6EE8383A"/>
    <w:rsid w:val="6EFA0DA6"/>
    <w:rsid w:val="7084798E"/>
    <w:rsid w:val="71EA089B"/>
    <w:rsid w:val="729D6528"/>
    <w:rsid w:val="7302063A"/>
    <w:rsid w:val="73EE3117"/>
    <w:rsid w:val="748E0B96"/>
    <w:rsid w:val="756F380E"/>
    <w:rsid w:val="75703482"/>
    <w:rsid w:val="75F80517"/>
    <w:rsid w:val="760A678D"/>
    <w:rsid w:val="76B50F56"/>
    <w:rsid w:val="7A5E1B7A"/>
    <w:rsid w:val="7BD900D6"/>
    <w:rsid w:val="7CC2473D"/>
    <w:rsid w:val="7D1428F3"/>
    <w:rsid w:val="7D6050C0"/>
    <w:rsid w:val="7D836911"/>
    <w:rsid w:val="7DB4038F"/>
    <w:rsid w:val="7E7E2454"/>
    <w:rsid w:val="7F8A3D17"/>
    <w:rsid w:val="7FA024F9"/>
    <w:rsid w:val="7FC0133C"/>
    <w:rsid w:val="7FDA2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9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99" w:semiHidden="0" w:name="Date"/>
    <w:lsdException w:qFormat="1" w:unhideWhenUsed="0" w:uiPriority="0" w:semiHidden="0" w:name="Body Text First Indent"/>
    <w:lsdException w:qFormat="1"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4"/>
    <w:next w:val="1"/>
    <w:link w:val="93"/>
    <w:qFormat/>
    <w:uiPriority w:val="0"/>
    <w:pPr>
      <w:keepNext/>
      <w:keepLines/>
      <w:spacing w:after="120" w:line="360" w:lineRule="auto"/>
      <w:outlineLvl w:val="0"/>
    </w:pPr>
    <w:rPr>
      <w:kern w:val="44"/>
      <w:sz w:val="28"/>
      <w:szCs w:val="28"/>
    </w:rPr>
  </w:style>
  <w:style w:type="paragraph" w:styleId="5">
    <w:name w:val="heading 2"/>
    <w:basedOn w:val="1"/>
    <w:next w:val="1"/>
    <w:link w:val="94"/>
    <w:qFormat/>
    <w:uiPriority w:val="0"/>
    <w:pPr>
      <w:keepNext/>
      <w:keepLines/>
      <w:spacing w:before="120" w:after="120" w:line="415" w:lineRule="auto"/>
      <w:jc w:val="center"/>
      <w:outlineLvl w:val="1"/>
    </w:pPr>
    <w:rPr>
      <w:rFonts w:ascii="Arial" w:hAnsi="Arial"/>
      <w:b/>
      <w:color w:val="000000"/>
      <w:sz w:val="24"/>
      <w:szCs w:val="24"/>
    </w:rPr>
  </w:style>
  <w:style w:type="paragraph" w:styleId="6">
    <w:name w:val="heading 3"/>
    <w:basedOn w:val="1"/>
    <w:next w:val="1"/>
    <w:link w:val="90"/>
    <w:qFormat/>
    <w:uiPriority w:val="0"/>
    <w:pPr>
      <w:widowControl/>
      <w:spacing w:line="360" w:lineRule="auto"/>
      <w:jc w:val="left"/>
      <w:outlineLvl w:val="2"/>
    </w:pPr>
    <w:rPr>
      <w:rFonts w:ascii="宋体" w:hAnsi="宋体" w:cs="宋体"/>
      <w:kern w:val="0"/>
      <w:sz w:val="24"/>
      <w:szCs w:val="24"/>
    </w:rPr>
  </w:style>
  <w:style w:type="paragraph" w:styleId="7">
    <w:name w:val="heading 4"/>
    <w:basedOn w:val="6"/>
    <w:next w:val="2"/>
    <w:link w:val="95"/>
    <w:qFormat/>
    <w:uiPriority w:val="0"/>
    <w:pPr>
      <w:keepNext/>
      <w:keepLines/>
      <w:widowControl w:val="0"/>
      <w:numPr>
        <w:ilvl w:val="3"/>
        <w:numId w:val="1"/>
      </w:numPr>
      <w:spacing w:beforeLines="50" w:afterLines="50"/>
      <w:outlineLvl w:val="3"/>
    </w:pPr>
    <w:rPr>
      <w:rFonts w:ascii="Arial" w:hAnsi="Arial" w:cs="Times New Roman"/>
      <w:color w:val="000000"/>
      <w:kern w:val="2"/>
      <w:sz w:val="21"/>
      <w:szCs w:val="21"/>
    </w:rPr>
  </w:style>
  <w:style w:type="paragraph" w:styleId="8">
    <w:name w:val="heading 5"/>
    <w:basedOn w:val="7"/>
    <w:next w:val="2"/>
    <w:link w:val="96"/>
    <w:qFormat/>
    <w:uiPriority w:val="0"/>
    <w:pPr>
      <w:numPr>
        <w:ilvl w:val="4"/>
      </w:numPr>
      <w:spacing w:line="240" w:lineRule="exact"/>
      <w:outlineLvl w:val="4"/>
    </w:pPr>
  </w:style>
  <w:style w:type="paragraph" w:styleId="9">
    <w:name w:val="heading 6"/>
    <w:basedOn w:val="1"/>
    <w:next w:val="1"/>
    <w:link w:val="97"/>
    <w:qFormat/>
    <w:uiPriority w:val="0"/>
    <w:pPr>
      <w:keepNext/>
      <w:keepLines/>
      <w:numPr>
        <w:ilvl w:val="5"/>
        <w:numId w:val="2"/>
      </w:numPr>
      <w:spacing w:before="240" w:after="64" w:line="320" w:lineRule="auto"/>
      <w:outlineLvl w:val="5"/>
    </w:pPr>
    <w:rPr>
      <w:rFonts w:ascii="Arial" w:hAnsi="Arial" w:eastAsia="黑体"/>
      <w:b/>
      <w:bCs/>
      <w:sz w:val="24"/>
      <w:szCs w:val="24"/>
    </w:rPr>
  </w:style>
  <w:style w:type="paragraph" w:styleId="10">
    <w:name w:val="heading 7"/>
    <w:basedOn w:val="1"/>
    <w:next w:val="2"/>
    <w:link w:val="98"/>
    <w:qFormat/>
    <w:uiPriority w:val="0"/>
    <w:pPr>
      <w:keepNext/>
      <w:keepLines/>
      <w:numPr>
        <w:ilvl w:val="6"/>
        <w:numId w:val="1"/>
      </w:numPr>
      <w:spacing w:before="240" w:after="64" w:line="320" w:lineRule="auto"/>
      <w:outlineLvl w:val="6"/>
    </w:pPr>
    <w:rPr>
      <w:rFonts w:ascii="Times New Roman" w:hAnsi="Times New Roman"/>
      <w:b/>
      <w:sz w:val="24"/>
      <w:szCs w:val="20"/>
    </w:rPr>
  </w:style>
  <w:style w:type="paragraph" w:styleId="11">
    <w:name w:val="heading 8"/>
    <w:basedOn w:val="1"/>
    <w:next w:val="2"/>
    <w:link w:val="99"/>
    <w:qFormat/>
    <w:uiPriority w:val="0"/>
    <w:pPr>
      <w:keepNext/>
      <w:keepLines/>
      <w:numPr>
        <w:ilvl w:val="7"/>
        <w:numId w:val="1"/>
      </w:numPr>
      <w:spacing w:before="240" w:after="64" w:line="320" w:lineRule="auto"/>
      <w:outlineLvl w:val="7"/>
    </w:pPr>
    <w:rPr>
      <w:rFonts w:ascii="Arial" w:hAnsi="Arial" w:eastAsia="黑体"/>
      <w:sz w:val="24"/>
      <w:szCs w:val="20"/>
    </w:rPr>
  </w:style>
  <w:style w:type="paragraph" w:styleId="12">
    <w:name w:val="heading 9"/>
    <w:basedOn w:val="1"/>
    <w:next w:val="2"/>
    <w:link w:val="100"/>
    <w:qFormat/>
    <w:uiPriority w:val="0"/>
    <w:pPr>
      <w:keepNext/>
      <w:keepLines/>
      <w:numPr>
        <w:ilvl w:val="8"/>
        <w:numId w:val="1"/>
      </w:numPr>
      <w:spacing w:before="240" w:after="64" w:line="320" w:lineRule="auto"/>
      <w:outlineLvl w:val="8"/>
    </w:pPr>
    <w:rPr>
      <w:rFonts w:ascii="Arial" w:hAnsi="Arial" w:eastAsia="黑体"/>
      <w:szCs w:val="20"/>
    </w:r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link w:val="133"/>
    <w:qFormat/>
    <w:uiPriority w:val="0"/>
    <w:pPr>
      <w:ind w:firstLine="420"/>
    </w:pPr>
    <w:rPr>
      <w:rFonts w:ascii="Times New Roman" w:hAnsi="Times New Roman"/>
      <w:szCs w:val="20"/>
    </w:rPr>
  </w:style>
  <w:style w:type="paragraph" w:styleId="4">
    <w:name w:val="Title"/>
    <w:basedOn w:val="1"/>
    <w:link w:val="101"/>
    <w:qFormat/>
    <w:uiPriority w:val="0"/>
    <w:pPr>
      <w:spacing w:before="120" w:after="60"/>
      <w:jc w:val="center"/>
    </w:pPr>
    <w:rPr>
      <w:rFonts w:ascii="Arial" w:hAnsi="Arial"/>
      <w:b/>
      <w:sz w:val="44"/>
      <w:szCs w:val="20"/>
    </w:rPr>
  </w:style>
  <w:style w:type="paragraph" w:styleId="13">
    <w:name w:val="toc 7"/>
    <w:basedOn w:val="1"/>
    <w:next w:val="1"/>
    <w:qFormat/>
    <w:uiPriority w:val="0"/>
    <w:pPr>
      <w:ind w:left="1200" w:leftChars="1200"/>
    </w:pPr>
    <w:rPr>
      <w:rFonts w:ascii="Times New Roman" w:hAnsi="Times New Roman"/>
    </w:rPr>
  </w:style>
  <w:style w:type="paragraph" w:styleId="14">
    <w:name w:val="caption"/>
    <w:basedOn w:val="1"/>
    <w:next w:val="1"/>
    <w:qFormat/>
    <w:uiPriority w:val="0"/>
    <w:rPr>
      <w:rFonts w:ascii="Arial" w:hAnsi="Arial" w:eastAsia="黑体" w:cs="Arial"/>
      <w:sz w:val="20"/>
      <w:szCs w:val="20"/>
    </w:rPr>
  </w:style>
  <w:style w:type="paragraph" w:styleId="15">
    <w:name w:val="List Bullet"/>
    <w:basedOn w:val="1"/>
    <w:qFormat/>
    <w:uiPriority w:val="0"/>
    <w:pPr>
      <w:tabs>
        <w:tab w:val="left" w:pos="360"/>
      </w:tabs>
      <w:ind w:left="360" w:hanging="360"/>
    </w:pPr>
    <w:rPr>
      <w:rFonts w:ascii="Times New Roman" w:hAnsi="Times New Roman"/>
      <w:szCs w:val="24"/>
    </w:rPr>
  </w:style>
  <w:style w:type="paragraph" w:styleId="16">
    <w:name w:val="Document Map"/>
    <w:basedOn w:val="1"/>
    <w:link w:val="106"/>
    <w:qFormat/>
    <w:uiPriority w:val="0"/>
    <w:pPr>
      <w:shd w:val="clear" w:color="auto" w:fill="000080"/>
    </w:pPr>
    <w:rPr>
      <w:rFonts w:ascii="Times New Roman" w:hAnsi="Times New Roman"/>
      <w:szCs w:val="20"/>
    </w:rPr>
  </w:style>
  <w:style w:type="paragraph" w:styleId="17">
    <w:name w:val="annotation text"/>
    <w:basedOn w:val="1"/>
    <w:link w:val="125"/>
    <w:qFormat/>
    <w:uiPriority w:val="0"/>
    <w:pPr>
      <w:spacing w:line="360" w:lineRule="auto"/>
      <w:ind w:firstLine="523" w:firstLineChars="218"/>
      <w:jc w:val="left"/>
    </w:pPr>
    <w:rPr>
      <w:rFonts w:ascii="宋体" w:hAnsi="宋体"/>
      <w:sz w:val="24"/>
      <w:szCs w:val="24"/>
    </w:rPr>
  </w:style>
  <w:style w:type="paragraph" w:styleId="18">
    <w:name w:val="Body Text 3"/>
    <w:basedOn w:val="1"/>
    <w:link w:val="144"/>
    <w:qFormat/>
    <w:uiPriority w:val="0"/>
    <w:rPr>
      <w:rFonts w:ascii="宋体" w:hAnsi="宋体"/>
      <w:sz w:val="24"/>
      <w:szCs w:val="20"/>
    </w:rPr>
  </w:style>
  <w:style w:type="paragraph" w:styleId="19">
    <w:name w:val="Body Text"/>
    <w:basedOn w:val="1"/>
    <w:next w:val="20"/>
    <w:link w:val="75"/>
    <w:unhideWhenUsed/>
    <w:qFormat/>
    <w:uiPriority w:val="0"/>
    <w:pPr>
      <w:spacing w:after="120"/>
    </w:pPr>
  </w:style>
  <w:style w:type="paragraph" w:styleId="20">
    <w:name w:val="Body Text Indent"/>
    <w:basedOn w:val="1"/>
    <w:link w:val="105"/>
    <w:qFormat/>
    <w:uiPriority w:val="0"/>
    <w:pPr>
      <w:ind w:firstLine="570"/>
    </w:pPr>
    <w:rPr>
      <w:rFonts w:ascii="Times New Roman" w:hAnsi="Times New Roman"/>
      <w:sz w:val="28"/>
      <w:szCs w:val="20"/>
    </w:rPr>
  </w:style>
  <w:style w:type="paragraph" w:styleId="21">
    <w:name w:val="List 2"/>
    <w:basedOn w:val="1"/>
    <w:qFormat/>
    <w:uiPriority w:val="0"/>
    <w:pPr>
      <w:ind w:left="200" w:leftChars="200" w:hanging="200" w:hangingChars="200"/>
    </w:pPr>
    <w:rPr>
      <w:rFonts w:ascii="Times New Roman" w:hAnsi="Times New Roman" w:eastAsia="楷体_GB2312"/>
      <w:szCs w:val="20"/>
    </w:rPr>
  </w:style>
  <w:style w:type="paragraph" w:styleId="22">
    <w:name w:val="List Bullet 2"/>
    <w:basedOn w:val="15"/>
    <w:qFormat/>
    <w:uiPriority w:val="0"/>
    <w:pPr>
      <w:widowControl/>
      <w:tabs>
        <w:tab w:val="left" w:pos="432"/>
        <w:tab w:val="clear" w:pos="360"/>
      </w:tabs>
      <w:spacing w:after="220" w:line="220" w:lineRule="atLeast"/>
      <w:ind w:left="2160" w:right="720" w:hanging="432"/>
      <w:jc w:val="left"/>
    </w:pPr>
    <w:rPr>
      <w:kern w:val="0"/>
      <w:szCs w:val="20"/>
    </w:rPr>
  </w:style>
  <w:style w:type="paragraph" w:styleId="23">
    <w:name w:val="toc 5"/>
    <w:basedOn w:val="1"/>
    <w:next w:val="1"/>
    <w:qFormat/>
    <w:uiPriority w:val="0"/>
    <w:pPr>
      <w:ind w:left="800" w:leftChars="800"/>
    </w:pPr>
    <w:rPr>
      <w:rFonts w:ascii="Times New Roman" w:hAnsi="Times New Roman"/>
    </w:rPr>
  </w:style>
  <w:style w:type="paragraph" w:styleId="24">
    <w:name w:val="toc 3"/>
    <w:basedOn w:val="1"/>
    <w:next w:val="1"/>
    <w:qFormat/>
    <w:uiPriority w:val="39"/>
    <w:pPr>
      <w:snapToGrid w:val="0"/>
      <w:spacing w:line="360" w:lineRule="auto"/>
      <w:ind w:left="400" w:leftChars="400"/>
      <w:jc w:val="left"/>
    </w:pPr>
    <w:rPr>
      <w:rFonts w:ascii="Times New Roman" w:hAnsi="Times New Roman"/>
      <w:sz w:val="24"/>
      <w:szCs w:val="20"/>
    </w:rPr>
  </w:style>
  <w:style w:type="paragraph" w:styleId="25">
    <w:name w:val="Plain Text"/>
    <w:basedOn w:val="1"/>
    <w:next w:val="1"/>
    <w:link w:val="107"/>
    <w:qFormat/>
    <w:uiPriority w:val="0"/>
    <w:rPr>
      <w:rFonts w:ascii="宋体" w:hAnsi="Courier New"/>
      <w:szCs w:val="20"/>
    </w:rPr>
  </w:style>
  <w:style w:type="paragraph" w:styleId="26">
    <w:name w:val="toc 8"/>
    <w:basedOn w:val="1"/>
    <w:next w:val="1"/>
    <w:qFormat/>
    <w:uiPriority w:val="0"/>
    <w:pPr>
      <w:ind w:left="1400" w:leftChars="1400"/>
    </w:pPr>
    <w:rPr>
      <w:rFonts w:ascii="Times New Roman" w:hAnsi="Times New Roman"/>
    </w:rPr>
  </w:style>
  <w:style w:type="paragraph" w:styleId="27">
    <w:name w:val="Date"/>
    <w:basedOn w:val="1"/>
    <w:next w:val="1"/>
    <w:link w:val="104"/>
    <w:qFormat/>
    <w:uiPriority w:val="99"/>
    <w:rPr>
      <w:rFonts w:ascii="Times New Roman" w:hAnsi="Times New Roman"/>
      <w:szCs w:val="20"/>
    </w:rPr>
  </w:style>
  <w:style w:type="paragraph" w:styleId="28">
    <w:name w:val="Body Text Indent 2"/>
    <w:basedOn w:val="1"/>
    <w:link w:val="108"/>
    <w:qFormat/>
    <w:uiPriority w:val="0"/>
    <w:pPr>
      <w:spacing w:line="400" w:lineRule="exact"/>
      <w:ind w:left="425"/>
    </w:pPr>
    <w:rPr>
      <w:rFonts w:ascii="Times New Roman" w:hAnsi="Times New Roman"/>
      <w:color w:val="000000"/>
      <w:sz w:val="24"/>
      <w:szCs w:val="20"/>
    </w:rPr>
  </w:style>
  <w:style w:type="paragraph" w:styleId="29">
    <w:name w:val="endnote text"/>
    <w:basedOn w:val="1"/>
    <w:link w:val="114"/>
    <w:qFormat/>
    <w:uiPriority w:val="0"/>
    <w:pPr>
      <w:snapToGrid w:val="0"/>
      <w:jc w:val="left"/>
    </w:pPr>
    <w:rPr>
      <w:rFonts w:ascii="Times New Roman" w:hAnsi="Times New Roman"/>
      <w:szCs w:val="20"/>
    </w:rPr>
  </w:style>
  <w:style w:type="paragraph" w:styleId="30">
    <w:name w:val="Balloon Text"/>
    <w:basedOn w:val="1"/>
    <w:link w:val="123"/>
    <w:qFormat/>
    <w:uiPriority w:val="0"/>
    <w:rPr>
      <w:rFonts w:ascii="Times New Roman" w:hAnsi="Times New Roman"/>
      <w:sz w:val="18"/>
      <w:szCs w:val="18"/>
    </w:rPr>
  </w:style>
  <w:style w:type="paragraph" w:styleId="31">
    <w:name w:val="footer"/>
    <w:basedOn w:val="1"/>
    <w:link w:val="92"/>
    <w:unhideWhenUsed/>
    <w:qFormat/>
    <w:uiPriority w:val="0"/>
    <w:pPr>
      <w:tabs>
        <w:tab w:val="center" w:pos="4153"/>
        <w:tab w:val="right" w:pos="8306"/>
      </w:tabs>
      <w:snapToGrid w:val="0"/>
      <w:jc w:val="left"/>
    </w:pPr>
    <w:rPr>
      <w:sz w:val="18"/>
      <w:szCs w:val="18"/>
    </w:rPr>
  </w:style>
  <w:style w:type="paragraph" w:styleId="32">
    <w:name w:val="header"/>
    <w:basedOn w:val="1"/>
    <w:link w:val="91"/>
    <w:unhideWhenUsed/>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tabs>
        <w:tab w:val="right" w:leader="dot" w:pos="9060"/>
      </w:tabs>
      <w:adjustRightInd w:val="0"/>
      <w:snapToGrid w:val="0"/>
      <w:spacing w:line="360" w:lineRule="auto"/>
      <w:jc w:val="left"/>
      <w:textAlignment w:val="baseline"/>
    </w:pPr>
    <w:rPr>
      <w:rFonts w:ascii="宋体" w:hAnsi="宋体"/>
      <w:caps/>
      <w:kern w:val="0"/>
      <w:sz w:val="24"/>
      <w:szCs w:val="32"/>
    </w:rPr>
  </w:style>
  <w:style w:type="paragraph" w:styleId="34">
    <w:name w:val="toc 4"/>
    <w:basedOn w:val="1"/>
    <w:next w:val="1"/>
    <w:qFormat/>
    <w:uiPriority w:val="0"/>
    <w:pPr>
      <w:ind w:left="600" w:leftChars="600"/>
    </w:pPr>
    <w:rPr>
      <w:rFonts w:ascii="Times New Roman" w:hAnsi="Times New Roman"/>
    </w:rPr>
  </w:style>
  <w:style w:type="paragraph" w:styleId="35">
    <w:name w:val="Subtitle"/>
    <w:basedOn w:val="1"/>
    <w:next w:val="1"/>
    <w:link w:val="154"/>
    <w:qFormat/>
    <w:uiPriority w:val="0"/>
    <w:pPr>
      <w:widowControl/>
      <w:spacing w:after="60"/>
      <w:jc w:val="center"/>
      <w:outlineLvl w:val="1"/>
    </w:pPr>
    <w:rPr>
      <w:rFonts w:ascii="Arial" w:hAnsi="Arial" w:eastAsia="黑体"/>
      <w:b/>
      <w:bCs/>
      <w:sz w:val="32"/>
      <w:szCs w:val="32"/>
    </w:rPr>
  </w:style>
  <w:style w:type="paragraph" w:styleId="36">
    <w:name w:val="List"/>
    <w:basedOn w:val="19"/>
    <w:qFormat/>
    <w:uiPriority w:val="0"/>
    <w:pPr>
      <w:suppressAutoHyphens/>
      <w:spacing w:after="0"/>
    </w:pPr>
    <w:rPr>
      <w:rFonts w:ascii="Times New Roman" w:eastAsia="黑体"/>
      <w:kern w:val="0"/>
      <w:sz w:val="24"/>
      <w:szCs w:val="20"/>
      <w:lang w:eastAsia="ar-SA"/>
    </w:rPr>
  </w:style>
  <w:style w:type="paragraph" w:styleId="37">
    <w:name w:val="footnote text"/>
    <w:basedOn w:val="1"/>
    <w:link w:val="126"/>
    <w:qFormat/>
    <w:uiPriority w:val="0"/>
    <w:pPr>
      <w:snapToGrid w:val="0"/>
      <w:spacing w:line="360" w:lineRule="auto"/>
      <w:ind w:firstLine="523" w:firstLineChars="218"/>
      <w:jc w:val="left"/>
    </w:pPr>
    <w:rPr>
      <w:rFonts w:ascii="宋体" w:hAnsi="宋体"/>
      <w:sz w:val="18"/>
      <w:szCs w:val="18"/>
    </w:rPr>
  </w:style>
  <w:style w:type="paragraph" w:styleId="38">
    <w:name w:val="toc 6"/>
    <w:basedOn w:val="1"/>
    <w:next w:val="1"/>
    <w:qFormat/>
    <w:uiPriority w:val="0"/>
    <w:pPr>
      <w:ind w:left="1000" w:leftChars="1000"/>
    </w:pPr>
    <w:rPr>
      <w:rFonts w:ascii="Times New Roman" w:hAnsi="Times New Roman"/>
    </w:rPr>
  </w:style>
  <w:style w:type="paragraph" w:styleId="39">
    <w:name w:val="Body Text Indent 3"/>
    <w:basedOn w:val="1"/>
    <w:link w:val="109"/>
    <w:qFormat/>
    <w:uiPriority w:val="0"/>
    <w:pPr>
      <w:tabs>
        <w:tab w:val="left" w:pos="0"/>
      </w:tabs>
      <w:spacing w:line="400" w:lineRule="exact"/>
      <w:ind w:left="563" w:leftChars="228" w:hanging="84" w:hangingChars="35"/>
    </w:pPr>
    <w:rPr>
      <w:rFonts w:ascii="Times New Roman" w:hAnsi="Times New Roman"/>
      <w:color w:val="000000"/>
      <w:sz w:val="24"/>
      <w:szCs w:val="20"/>
    </w:rPr>
  </w:style>
  <w:style w:type="paragraph" w:styleId="40">
    <w:name w:val="table of figures"/>
    <w:basedOn w:val="1"/>
    <w:next w:val="1"/>
    <w:qFormat/>
    <w:uiPriority w:val="0"/>
    <w:pPr>
      <w:ind w:left="200" w:leftChars="200" w:hanging="200" w:hangingChars="200"/>
    </w:pPr>
    <w:rPr>
      <w:rFonts w:ascii="Times New Roman" w:hAnsi="Times New Roman"/>
    </w:rPr>
  </w:style>
  <w:style w:type="paragraph" w:styleId="41">
    <w:name w:val="toc 2"/>
    <w:basedOn w:val="1"/>
    <w:next w:val="1"/>
    <w:qFormat/>
    <w:uiPriority w:val="99"/>
    <w:pPr>
      <w:tabs>
        <w:tab w:val="right" w:leader="dot" w:pos="9060"/>
      </w:tabs>
      <w:snapToGrid w:val="0"/>
      <w:spacing w:line="360" w:lineRule="auto"/>
      <w:ind w:left="420" w:leftChars="200"/>
      <w:jc w:val="left"/>
    </w:pPr>
    <w:rPr>
      <w:rFonts w:ascii="Times New Roman" w:hAnsi="Times New Roman"/>
      <w:sz w:val="24"/>
      <w:szCs w:val="24"/>
    </w:rPr>
  </w:style>
  <w:style w:type="paragraph" w:styleId="42">
    <w:name w:val="toc 9"/>
    <w:basedOn w:val="1"/>
    <w:next w:val="1"/>
    <w:qFormat/>
    <w:uiPriority w:val="0"/>
    <w:pPr>
      <w:ind w:left="1600" w:leftChars="1600"/>
    </w:pPr>
    <w:rPr>
      <w:rFonts w:ascii="Times New Roman" w:hAnsi="Times New Roman"/>
    </w:rPr>
  </w:style>
  <w:style w:type="paragraph" w:styleId="43">
    <w:name w:val="Body Text 2"/>
    <w:basedOn w:val="1"/>
    <w:link w:val="112"/>
    <w:qFormat/>
    <w:uiPriority w:val="0"/>
    <w:rPr>
      <w:rFonts w:ascii="宋体" w:hAnsi="宋体"/>
      <w:szCs w:val="24"/>
      <w:u w:val="single"/>
    </w:rPr>
  </w:style>
  <w:style w:type="paragraph" w:styleId="4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45">
    <w:name w:val="index 1"/>
    <w:basedOn w:val="1"/>
    <w:next w:val="1"/>
    <w:qFormat/>
    <w:uiPriority w:val="0"/>
    <w:rPr>
      <w:rFonts w:ascii="Times New Roman" w:hAnsi="Times New Roman" w:eastAsia="仿宋_GB2312"/>
      <w:sz w:val="28"/>
      <w:szCs w:val="20"/>
    </w:rPr>
  </w:style>
  <w:style w:type="paragraph" w:styleId="46">
    <w:name w:val="annotation subject"/>
    <w:basedOn w:val="17"/>
    <w:next w:val="17"/>
    <w:link w:val="127"/>
    <w:qFormat/>
    <w:uiPriority w:val="0"/>
    <w:rPr>
      <w:b/>
      <w:bCs/>
    </w:rPr>
  </w:style>
  <w:style w:type="paragraph" w:styleId="47">
    <w:name w:val="Body Text First Indent"/>
    <w:basedOn w:val="19"/>
    <w:link w:val="103"/>
    <w:qFormat/>
    <w:uiPriority w:val="0"/>
    <w:pPr>
      <w:ind w:firstLine="420"/>
    </w:pPr>
    <w:rPr>
      <w:rFonts w:ascii="Times New Roman" w:hAnsi="Times New Roman"/>
      <w:szCs w:val="20"/>
    </w:rPr>
  </w:style>
  <w:style w:type="paragraph" w:styleId="48">
    <w:name w:val="Body Text First Indent 2"/>
    <w:basedOn w:val="20"/>
    <w:link w:val="466"/>
    <w:semiHidden/>
    <w:unhideWhenUsed/>
    <w:qFormat/>
    <w:uiPriority w:val="99"/>
    <w:pPr>
      <w:spacing w:after="120"/>
      <w:ind w:left="420" w:leftChars="200" w:firstLine="420" w:firstLineChars="200"/>
    </w:pPr>
    <w:rPr>
      <w:rFonts w:ascii="Calibri" w:hAnsi="Calibri"/>
      <w:sz w:val="21"/>
      <w:szCs w:val="22"/>
    </w:rPr>
  </w:style>
  <w:style w:type="table" w:styleId="50">
    <w:name w:val="Table Grid"/>
    <w:basedOn w:val="4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qFormat/>
    <w:uiPriority w:val="0"/>
    <w:rPr>
      <w:b/>
    </w:rPr>
  </w:style>
  <w:style w:type="character" w:styleId="53">
    <w:name w:val="endnote reference"/>
    <w:qFormat/>
    <w:uiPriority w:val="0"/>
    <w:rPr>
      <w:vertAlign w:val="superscript"/>
    </w:rPr>
  </w:style>
  <w:style w:type="character" w:styleId="54">
    <w:name w:val="page number"/>
    <w:basedOn w:val="51"/>
    <w:qFormat/>
    <w:uiPriority w:val="0"/>
    <w:rPr>
      <w:rFonts w:cs="Times New Roman"/>
    </w:rPr>
  </w:style>
  <w:style w:type="character" w:styleId="55">
    <w:name w:val="FollowedHyperlink"/>
    <w:unhideWhenUsed/>
    <w:qFormat/>
    <w:uiPriority w:val="0"/>
    <w:rPr>
      <w:color w:val="954F72"/>
      <w:u w:val="single"/>
    </w:rPr>
  </w:style>
  <w:style w:type="character" w:styleId="56">
    <w:name w:val="Emphasis"/>
    <w:qFormat/>
    <w:uiPriority w:val="0"/>
    <w:rPr>
      <w:color w:val="CC0000"/>
    </w:rPr>
  </w:style>
  <w:style w:type="character" w:styleId="57">
    <w:name w:val="HTML Definition"/>
    <w:unhideWhenUsed/>
    <w:qFormat/>
    <w:uiPriority w:val="99"/>
    <w:rPr>
      <w:i/>
      <w:iCs/>
    </w:rPr>
  </w:style>
  <w:style w:type="character" w:styleId="58">
    <w:name w:val="Hyperlink"/>
    <w:qFormat/>
    <w:uiPriority w:val="99"/>
    <w:rPr>
      <w:color w:val="0000FF"/>
      <w:u w:val="single"/>
    </w:rPr>
  </w:style>
  <w:style w:type="character" w:styleId="59">
    <w:name w:val="HTML Code"/>
    <w:unhideWhenUsed/>
    <w:qFormat/>
    <w:uiPriority w:val="99"/>
    <w:rPr>
      <w:rFonts w:hint="default" w:ascii="Consolas" w:hAnsi="Consolas" w:eastAsia="Consolas" w:cs="Consolas"/>
      <w:color w:val="C7254E"/>
      <w:sz w:val="21"/>
      <w:szCs w:val="21"/>
      <w:bdr w:val="single" w:color="E1E1E1" w:sz="6" w:space="0"/>
      <w:shd w:val="clear" w:color="auto" w:fill="F9F2F4"/>
    </w:rPr>
  </w:style>
  <w:style w:type="character" w:styleId="60">
    <w:name w:val="annotation reference"/>
    <w:qFormat/>
    <w:uiPriority w:val="0"/>
    <w:rPr>
      <w:sz w:val="21"/>
      <w:szCs w:val="21"/>
    </w:rPr>
  </w:style>
  <w:style w:type="character" w:styleId="61">
    <w:name w:val="footnote reference"/>
    <w:qFormat/>
    <w:uiPriority w:val="0"/>
    <w:rPr>
      <w:vertAlign w:val="superscript"/>
    </w:rPr>
  </w:style>
  <w:style w:type="character" w:styleId="62">
    <w:name w:val="HTML Keyboard"/>
    <w:unhideWhenUsed/>
    <w:qFormat/>
    <w:uiPriority w:val="99"/>
    <w:rPr>
      <w:rFonts w:hint="default" w:ascii="Consolas" w:hAnsi="Consolas" w:eastAsia="Consolas" w:cs="Consolas"/>
      <w:color w:val="FFFFFF"/>
      <w:sz w:val="21"/>
      <w:szCs w:val="21"/>
      <w:shd w:val="clear" w:color="auto" w:fill="333333"/>
    </w:rPr>
  </w:style>
  <w:style w:type="character" w:styleId="63">
    <w:name w:val="HTML Sample"/>
    <w:unhideWhenUsed/>
    <w:qFormat/>
    <w:uiPriority w:val="99"/>
    <w:rPr>
      <w:rFonts w:ascii="Consolas" w:hAnsi="Consolas" w:eastAsia="Consolas" w:cs="Consolas"/>
      <w:sz w:val="21"/>
      <w:szCs w:val="21"/>
    </w:rPr>
  </w:style>
  <w:style w:type="character" w:customStyle="1" w:styleId="64">
    <w:name w:val="标题 1 字符"/>
    <w:basedOn w:val="51"/>
    <w:qFormat/>
    <w:uiPriority w:val="9"/>
    <w:rPr>
      <w:rFonts w:ascii="Calibri" w:hAnsi="Calibri" w:eastAsia="宋体" w:cs="Times New Roman"/>
      <w:b/>
      <w:bCs/>
      <w:kern w:val="44"/>
      <w:sz w:val="44"/>
      <w:szCs w:val="44"/>
    </w:rPr>
  </w:style>
  <w:style w:type="character" w:customStyle="1" w:styleId="65">
    <w:name w:val="标题 2 字符"/>
    <w:basedOn w:val="51"/>
    <w:qFormat/>
    <w:uiPriority w:val="0"/>
    <w:rPr>
      <w:rFonts w:asciiTheme="majorHAnsi" w:hAnsiTheme="majorHAnsi" w:eastAsiaTheme="majorEastAsia" w:cstheme="majorBidi"/>
      <w:b/>
      <w:bCs/>
      <w:sz w:val="32"/>
      <w:szCs w:val="32"/>
    </w:rPr>
  </w:style>
  <w:style w:type="character" w:customStyle="1" w:styleId="66">
    <w:name w:val="标题 3 字符"/>
    <w:basedOn w:val="51"/>
    <w:qFormat/>
    <w:uiPriority w:val="0"/>
    <w:rPr>
      <w:rFonts w:ascii="Calibri" w:hAnsi="Calibri" w:eastAsia="宋体" w:cs="Times New Roman"/>
      <w:b/>
      <w:bCs/>
      <w:sz w:val="32"/>
      <w:szCs w:val="32"/>
    </w:rPr>
  </w:style>
  <w:style w:type="character" w:customStyle="1" w:styleId="67">
    <w:name w:val="标题 4 字符"/>
    <w:basedOn w:val="51"/>
    <w:qFormat/>
    <w:uiPriority w:val="0"/>
    <w:rPr>
      <w:rFonts w:asciiTheme="majorHAnsi" w:hAnsiTheme="majorHAnsi" w:eastAsiaTheme="majorEastAsia" w:cstheme="majorBidi"/>
      <w:b/>
      <w:bCs/>
      <w:sz w:val="28"/>
      <w:szCs w:val="28"/>
    </w:rPr>
  </w:style>
  <w:style w:type="character" w:customStyle="1" w:styleId="68">
    <w:name w:val="标题 5 字符"/>
    <w:basedOn w:val="51"/>
    <w:qFormat/>
    <w:uiPriority w:val="0"/>
    <w:rPr>
      <w:rFonts w:ascii="Calibri" w:hAnsi="Calibri" w:eastAsia="宋体" w:cs="Times New Roman"/>
      <w:b/>
      <w:bCs/>
      <w:sz w:val="28"/>
      <w:szCs w:val="28"/>
    </w:rPr>
  </w:style>
  <w:style w:type="character" w:customStyle="1" w:styleId="69">
    <w:name w:val="标题 6 字符"/>
    <w:basedOn w:val="51"/>
    <w:qFormat/>
    <w:uiPriority w:val="9"/>
    <w:rPr>
      <w:rFonts w:asciiTheme="majorHAnsi" w:hAnsiTheme="majorHAnsi" w:eastAsiaTheme="majorEastAsia" w:cstheme="majorBidi"/>
      <w:b/>
      <w:bCs/>
      <w:sz w:val="24"/>
      <w:szCs w:val="24"/>
    </w:rPr>
  </w:style>
  <w:style w:type="character" w:customStyle="1" w:styleId="70">
    <w:name w:val="标题 7 字符"/>
    <w:basedOn w:val="51"/>
    <w:qFormat/>
    <w:uiPriority w:val="0"/>
    <w:rPr>
      <w:rFonts w:ascii="Calibri" w:hAnsi="Calibri" w:eastAsia="宋体" w:cs="Times New Roman"/>
      <w:b/>
      <w:bCs/>
      <w:sz w:val="24"/>
      <w:szCs w:val="24"/>
    </w:rPr>
  </w:style>
  <w:style w:type="character" w:customStyle="1" w:styleId="71">
    <w:name w:val="标题 8 字符"/>
    <w:basedOn w:val="51"/>
    <w:qFormat/>
    <w:uiPriority w:val="0"/>
    <w:rPr>
      <w:rFonts w:asciiTheme="majorHAnsi" w:hAnsiTheme="majorHAnsi" w:eastAsiaTheme="majorEastAsia" w:cstheme="majorBidi"/>
      <w:sz w:val="24"/>
      <w:szCs w:val="24"/>
    </w:rPr>
  </w:style>
  <w:style w:type="character" w:customStyle="1" w:styleId="72">
    <w:name w:val="标题 9 字符"/>
    <w:basedOn w:val="51"/>
    <w:qFormat/>
    <w:uiPriority w:val="0"/>
    <w:rPr>
      <w:rFonts w:asciiTheme="majorHAnsi" w:hAnsiTheme="majorHAnsi" w:eastAsiaTheme="majorEastAsia" w:cstheme="majorBidi"/>
      <w:szCs w:val="21"/>
    </w:rPr>
  </w:style>
  <w:style w:type="character" w:customStyle="1" w:styleId="73">
    <w:name w:val="纯文本 字符"/>
    <w:basedOn w:val="51"/>
    <w:qFormat/>
    <w:uiPriority w:val="0"/>
    <w:rPr>
      <w:rFonts w:hAnsi="Courier New" w:cs="Courier New" w:asciiTheme="minorEastAsia"/>
    </w:rPr>
  </w:style>
  <w:style w:type="character" w:customStyle="1" w:styleId="74">
    <w:name w:val="标题 字符"/>
    <w:basedOn w:val="51"/>
    <w:qFormat/>
    <w:uiPriority w:val="10"/>
    <w:rPr>
      <w:rFonts w:asciiTheme="majorHAnsi" w:hAnsiTheme="majorHAnsi" w:eastAsiaTheme="majorEastAsia" w:cstheme="majorBidi"/>
      <w:b/>
      <w:bCs/>
      <w:sz w:val="32"/>
      <w:szCs w:val="32"/>
    </w:rPr>
  </w:style>
  <w:style w:type="character" w:customStyle="1" w:styleId="75">
    <w:name w:val="正文文本 字符"/>
    <w:basedOn w:val="51"/>
    <w:link w:val="19"/>
    <w:qFormat/>
    <w:uiPriority w:val="0"/>
    <w:rPr>
      <w:rFonts w:ascii="Calibri" w:hAnsi="Calibri" w:eastAsia="宋体" w:cs="Times New Roman"/>
    </w:rPr>
  </w:style>
  <w:style w:type="character" w:customStyle="1" w:styleId="76">
    <w:name w:val="正文首行缩进 字符"/>
    <w:basedOn w:val="75"/>
    <w:qFormat/>
    <w:uiPriority w:val="0"/>
    <w:rPr>
      <w:rFonts w:ascii="Calibri" w:hAnsi="Calibri" w:eastAsia="宋体" w:cs="Times New Roman"/>
    </w:rPr>
  </w:style>
  <w:style w:type="character" w:customStyle="1" w:styleId="77">
    <w:name w:val="文档结构图 字符"/>
    <w:basedOn w:val="51"/>
    <w:qFormat/>
    <w:uiPriority w:val="99"/>
    <w:rPr>
      <w:rFonts w:ascii="Microsoft YaHei UI" w:hAnsi="Calibri" w:eastAsia="Microsoft YaHei UI" w:cs="Times New Roman"/>
      <w:sz w:val="18"/>
      <w:szCs w:val="18"/>
    </w:rPr>
  </w:style>
  <w:style w:type="character" w:customStyle="1" w:styleId="78">
    <w:name w:val="批注文字 字符"/>
    <w:basedOn w:val="51"/>
    <w:qFormat/>
    <w:uiPriority w:val="0"/>
    <w:rPr>
      <w:rFonts w:ascii="Calibri" w:hAnsi="Calibri" w:eastAsia="宋体" w:cs="Times New Roman"/>
    </w:rPr>
  </w:style>
  <w:style w:type="character" w:customStyle="1" w:styleId="79">
    <w:name w:val="正文文本缩进 字符"/>
    <w:basedOn w:val="51"/>
    <w:qFormat/>
    <w:uiPriority w:val="0"/>
    <w:rPr>
      <w:rFonts w:ascii="Calibri" w:hAnsi="Calibri" w:eastAsia="宋体" w:cs="Times New Roman"/>
    </w:rPr>
  </w:style>
  <w:style w:type="character" w:customStyle="1" w:styleId="80">
    <w:name w:val="日期 字符"/>
    <w:basedOn w:val="51"/>
    <w:qFormat/>
    <w:uiPriority w:val="99"/>
    <w:rPr>
      <w:rFonts w:ascii="Calibri" w:hAnsi="Calibri" w:eastAsia="宋体" w:cs="Times New Roman"/>
    </w:rPr>
  </w:style>
  <w:style w:type="character" w:customStyle="1" w:styleId="81">
    <w:name w:val="正文文本缩进 2 字符"/>
    <w:basedOn w:val="51"/>
    <w:qFormat/>
    <w:uiPriority w:val="0"/>
    <w:rPr>
      <w:rFonts w:ascii="Calibri" w:hAnsi="Calibri" w:eastAsia="宋体" w:cs="Times New Roman"/>
    </w:rPr>
  </w:style>
  <w:style w:type="character" w:customStyle="1" w:styleId="82">
    <w:name w:val="尾注文本 字符"/>
    <w:basedOn w:val="51"/>
    <w:qFormat/>
    <w:uiPriority w:val="99"/>
    <w:rPr>
      <w:rFonts w:ascii="Calibri" w:hAnsi="Calibri" w:eastAsia="宋体" w:cs="Times New Roman"/>
    </w:rPr>
  </w:style>
  <w:style w:type="character" w:customStyle="1" w:styleId="83">
    <w:name w:val="批注框文本 字符"/>
    <w:basedOn w:val="51"/>
    <w:qFormat/>
    <w:uiPriority w:val="0"/>
    <w:rPr>
      <w:rFonts w:ascii="Calibri" w:hAnsi="Calibri" w:eastAsia="宋体" w:cs="Times New Roman"/>
      <w:sz w:val="18"/>
      <w:szCs w:val="18"/>
    </w:rPr>
  </w:style>
  <w:style w:type="character" w:customStyle="1" w:styleId="84">
    <w:name w:val="页脚 字符"/>
    <w:basedOn w:val="51"/>
    <w:qFormat/>
    <w:uiPriority w:val="0"/>
    <w:rPr>
      <w:rFonts w:ascii="Calibri" w:hAnsi="Calibri" w:eastAsia="宋体" w:cs="Times New Roman"/>
      <w:sz w:val="18"/>
      <w:szCs w:val="18"/>
    </w:rPr>
  </w:style>
  <w:style w:type="character" w:customStyle="1" w:styleId="85">
    <w:name w:val="页眉 字符"/>
    <w:basedOn w:val="51"/>
    <w:qFormat/>
    <w:uiPriority w:val="0"/>
    <w:rPr>
      <w:rFonts w:ascii="Calibri" w:hAnsi="Calibri" w:eastAsia="宋体" w:cs="Times New Roman"/>
      <w:sz w:val="18"/>
      <w:szCs w:val="18"/>
    </w:rPr>
  </w:style>
  <w:style w:type="character" w:customStyle="1" w:styleId="86">
    <w:name w:val="脚注文本 字符"/>
    <w:basedOn w:val="51"/>
    <w:qFormat/>
    <w:uiPriority w:val="99"/>
    <w:rPr>
      <w:rFonts w:ascii="Calibri" w:hAnsi="Calibri" w:eastAsia="宋体" w:cs="Times New Roman"/>
      <w:sz w:val="18"/>
      <w:szCs w:val="18"/>
    </w:rPr>
  </w:style>
  <w:style w:type="character" w:customStyle="1" w:styleId="87">
    <w:name w:val="正文文本缩进 3 字符"/>
    <w:basedOn w:val="51"/>
    <w:qFormat/>
    <w:uiPriority w:val="0"/>
    <w:rPr>
      <w:rFonts w:ascii="Calibri" w:hAnsi="Calibri" w:eastAsia="宋体" w:cs="Times New Roman"/>
      <w:sz w:val="16"/>
      <w:szCs w:val="16"/>
    </w:rPr>
  </w:style>
  <w:style w:type="character" w:customStyle="1" w:styleId="88">
    <w:name w:val="正文文本 2 字符"/>
    <w:basedOn w:val="51"/>
    <w:qFormat/>
    <w:uiPriority w:val="99"/>
    <w:rPr>
      <w:rFonts w:ascii="Calibri" w:hAnsi="Calibri" w:eastAsia="宋体" w:cs="Times New Roman"/>
    </w:rPr>
  </w:style>
  <w:style w:type="character" w:customStyle="1" w:styleId="89">
    <w:name w:val="批注主题 字符"/>
    <w:basedOn w:val="78"/>
    <w:qFormat/>
    <w:uiPriority w:val="0"/>
    <w:rPr>
      <w:rFonts w:ascii="Calibri" w:hAnsi="Calibri" w:eastAsia="宋体" w:cs="Times New Roman"/>
      <w:b/>
      <w:bCs/>
    </w:rPr>
  </w:style>
  <w:style w:type="character" w:customStyle="1" w:styleId="90">
    <w:name w:val="标题 3 字符1"/>
    <w:link w:val="6"/>
    <w:qFormat/>
    <w:uiPriority w:val="0"/>
    <w:rPr>
      <w:rFonts w:ascii="宋体" w:hAnsi="宋体" w:eastAsia="宋体" w:cs="宋体"/>
      <w:kern w:val="0"/>
      <w:sz w:val="24"/>
      <w:szCs w:val="24"/>
    </w:rPr>
  </w:style>
  <w:style w:type="character" w:customStyle="1" w:styleId="91">
    <w:name w:val="页眉 字符1"/>
    <w:link w:val="32"/>
    <w:qFormat/>
    <w:uiPriority w:val="0"/>
    <w:rPr>
      <w:rFonts w:ascii="Calibri" w:hAnsi="Calibri" w:eastAsia="宋体" w:cs="Times New Roman"/>
      <w:sz w:val="18"/>
      <w:szCs w:val="18"/>
    </w:rPr>
  </w:style>
  <w:style w:type="character" w:customStyle="1" w:styleId="92">
    <w:name w:val="页脚 字符1"/>
    <w:link w:val="31"/>
    <w:qFormat/>
    <w:uiPriority w:val="0"/>
    <w:rPr>
      <w:rFonts w:ascii="Calibri" w:hAnsi="Calibri" w:eastAsia="宋体" w:cs="Times New Roman"/>
      <w:sz w:val="18"/>
      <w:szCs w:val="18"/>
    </w:rPr>
  </w:style>
  <w:style w:type="character" w:customStyle="1" w:styleId="93">
    <w:name w:val="标题 1 字符1"/>
    <w:link w:val="3"/>
    <w:qFormat/>
    <w:uiPriority w:val="0"/>
    <w:rPr>
      <w:rFonts w:ascii="Arial" w:hAnsi="Arial" w:eastAsia="宋体" w:cs="Times New Roman"/>
      <w:b/>
      <w:kern w:val="44"/>
      <w:sz w:val="28"/>
      <w:szCs w:val="28"/>
    </w:rPr>
  </w:style>
  <w:style w:type="character" w:customStyle="1" w:styleId="94">
    <w:name w:val="标题 2 字符1"/>
    <w:link w:val="5"/>
    <w:qFormat/>
    <w:uiPriority w:val="0"/>
    <w:rPr>
      <w:rFonts w:ascii="Arial" w:hAnsi="Arial" w:eastAsia="宋体" w:cs="Times New Roman"/>
      <w:b/>
      <w:color w:val="000000"/>
      <w:sz w:val="24"/>
      <w:szCs w:val="24"/>
    </w:rPr>
  </w:style>
  <w:style w:type="character" w:customStyle="1" w:styleId="95">
    <w:name w:val="标题 4 字符1"/>
    <w:link w:val="7"/>
    <w:qFormat/>
    <w:uiPriority w:val="0"/>
    <w:rPr>
      <w:rFonts w:ascii="Arial" w:hAnsi="Arial" w:eastAsia="宋体" w:cs="Times New Roman"/>
      <w:color w:val="000000"/>
      <w:szCs w:val="21"/>
    </w:rPr>
  </w:style>
  <w:style w:type="character" w:customStyle="1" w:styleId="96">
    <w:name w:val="标题 5 字符1"/>
    <w:link w:val="8"/>
    <w:qFormat/>
    <w:uiPriority w:val="0"/>
    <w:rPr>
      <w:rFonts w:ascii="Arial" w:hAnsi="Arial" w:eastAsia="宋体" w:cs="Times New Roman"/>
      <w:color w:val="000000"/>
      <w:szCs w:val="21"/>
    </w:rPr>
  </w:style>
  <w:style w:type="character" w:customStyle="1" w:styleId="97">
    <w:name w:val="标题 6 字符1"/>
    <w:link w:val="9"/>
    <w:qFormat/>
    <w:uiPriority w:val="0"/>
    <w:rPr>
      <w:rFonts w:ascii="Arial" w:hAnsi="Arial" w:eastAsia="黑体" w:cs="Times New Roman"/>
      <w:b/>
      <w:bCs/>
      <w:sz w:val="24"/>
      <w:szCs w:val="24"/>
    </w:rPr>
  </w:style>
  <w:style w:type="character" w:customStyle="1" w:styleId="98">
    <w:name w:val="标题 7 字符1"/>
    <w:link w:val="10"/>
    <w:qFormat/>
    <w:uiPriority w:val="0"/>
    <w:rPr>
      <w:rFonts w:ascii="Times New Roman" w:hAnsi="Times New Roman" w:eastAsia="宋体" w:cs="Times New Roman"/>
      <w:b/>
      <w:sz w:val="24"/>
      <w:szCs w:val="20"/>
    </w:rPr>
  </w:style>
  <w:style w:type="character" w:customStyle="1" w:styleId="99">
    <w:name w:val="标题 8 字符1"/>
    <w:link w:val="11"/>
    <w:qFormat/>
    <w:uiPriority w:val="0"/>
    <w:rPr>
      <w:rFonts w:ascii="Arial" w:hAnsi="Arial" w:eastAsia="黑体" w:cs="Times New Roman"/>
      <w:sz w:val="24"/>
      <w:szCs w:val="20"/>
    </w:rPr>
  </w:style>
  <w:style w:type="character" w:customStyle="1" w:styleId="100">
    <w:name w:val="标题 9 字符1"/>
    <w:link w:val="12"/>
    <w:qFormat/>
    <w:uiPriority w:val="0"/>
    <w:rPr>
      <w:rFonts w:ascii="Arial" w:hAnsi="Arial" w:eastAsia="黑体" w:cs="Times New Roman"/>
      <w:szCs w:val="20"/>
    </w:rPr>
  </w:style>
  <w:style w:type="character" w:customStyle="1" w:styleId="101">
    <w:name w:val="标题 字符1"/>
    <w:link w:val="4"/>
    <w:qFormat/>
    <w:uiPriority w:val="0"/>
    <w:rPr>
      <w:rFonts w:ascii="Arial" w:hAnsi="Arial" w:eastAsia="宋体" w:cs="Times New Roman"/>
      <w:b/>
      <w:sz w:val="44"/>
      <w:szCs w:val="20"/>
    </w:rPr>
  </w:style>
  <w:style w:type="character" w:customStyle="1" w:styleId="102">
    <w:name w:val="正文文本 字符1"/>
    <w:qFormat/>
    <w:uiPriority w:val="0"/>
    <w:rPr>
      <w:rFonts w:ascii="Times New Roman" w:hAnsi="Times New Roman" w:eastAsia="宋体" w:cs="Times New Roman"/>
      <w:szCs w:val="20"/>
    </w:rPr>
  </w:style>
  <w:style w:type="character" w:customStyle="1" w:styleId="103">
    <w:name w:val="正文首行缩进 字符1"/>
    <w:link w:val="47"/>
    <w:qFormat/>
    <w:uiPriority w:val="0"/>
    <w:rPr>
      <w:rFonts w:ascii="Times New Roman" w:hAnsi="Times New Roman" w:eastAsia="宋体" w:cs="Times New Roman"/>
      <w:szCs w:val="20"/>
    </w:rPr>
  </w:style>
  <w:style w:type="character" w:customStyle="1" w:styleId="104">
    <w:name w:val="日期 字符1"/>
    <w:link w:val="27"/>
    <w:qFormat/>
    <w:uiPriority w:val="0"/>
    <w:rPr>
      <w:rFonts w:ascii="Times New Roman" w:hAnsi="Times New Roman" w:eastAsia="宋体" w:cs="Times New Roman"/>
      <w:szCs w:val="20"/>
    </w:rPr>
  </w:style>
  <w:style w:type="character" w:customStyle="1" w:styleId="105">
    <w:name w:val="正文文本缩进 字符1"/>
    <w:link w:val="20"/>
    <w:qFormat/>
    <w:uiPriority w:val="0"/>
    <w:rPr>
      <w:rFonts w:ascii="Times New Roman" w:hAnsi="Times New Roman" w:eastAsia="宋体" w:cs="Times New Roman"/>
      <w:sz w:val="28"/>
      <w:szCs w:val="20"/>
    </w:rPr>
  </w:style>
  <w:style w:type="character" w:customStyle="1" w:styleId="106">
    <w:name w:val="文档结构图 字符1"/>
    <w:link w:val="16"/>
    <w:qFormat/>
    <w:uiPriority w:val="0"/>
    <w:rPr>
      <w:rFonts w:ascii="Times New Roman" w:hAnsi="Times New Roman" w:eastAsia="宋体" w:cs="Times New Roman"/>
      <w:szCs w:val="20"/>
      <w:shd w:val="clear" w:color="auto" w:fill="000080"/>
    </w:rPr>
  </w:style>
  <w:style w:type="character" w:customStyle="1" w:styleId="107">
    <w:name w:val="纯文本 字符1"/>
    <w:link w:val="25"/>
    <w:qFormat/>
    <w:uiPriority w:val="0"/>
    <w:rPr>
      <w:rFonts w:ascii="宋体" w:hAnsi="Courier New" w:eastAsia="宋体" w:cs="Times New Roman"/>
      <w:szCs w:val="20"/>
    </w:rPr>
  </w:style>
  <w:style w:type="character" w:customStyle="1" w:styleId="108">
    <w:name w:val="正文文本缩进 2 字符1"/>
    <w:link w:val="28"/>
    <w:qFormat/>
    <w:uiPriority w:val="0"/>
    <w:rPr>
      <w:rFonts w:ascii="Times New Roman" w:hAnsi="Times New Roman" w:eastAsia="宋体" w:cs="Times New Roman"/>
      <w:color w:val="000000"/>
      <w:sz w:val="24"/>
      <w:szCs w:val="20"/>
    </w:rPr>
  </w:style>
  <w:style w:type="character" w:customStyle="1" w:styleId="109">
    <w:name w:val="正文文本缩进 3 字符1"/>
    <w:link w:val="39"/>
    <w:qFormat/>
    <w:uiPriority w:val="0"/>
    <w:rPr>
      <w:rFonts w:ascii="Times New Roman" w:hAnsi="Times New Roman" w:eastAsia="宋体" w:cs="Times New Roman"/>
      <w:color w:val="000000"/>
      <w:sz w:val="24"/>
      <w:szCs w:val="20"/>
    </w:rPr>
  </w:style>
  <w:style w:type="paragraph" w:customStyle="1" w:styleId="110">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111">
    <w:name w:val="_Style 69"/>
    <w:qFormat/>
    <w:uiPriority w:val="0"/>
    <w:rPr>
      <w:rFonts w:ascii="等线" w:hAnsi="等线" w:eastAsia="等线" w:cs="Times New Roman"/>
      <w:lang w:val="en-US" w:eastAsia="zh-CN" w:bidi="ar-SA"/>
    </w:rPr>
  </w:style>
  <w:style w:type="character" w:customStyle="1" w:styleId="112">
    <w:name w:val="正文文本 2 字符1"/>
    <w:link w:val="43"/>
    <w:qFormat/>
    <w:uiPriority w:val="0"/>
    <w:rPr>
      <w:rFonts w:ascii="宋体" w:hAnsi="宋体" w:eastAsia="宋体" w:cs="Times New Roman"/>
      <w:szCs w:val="24"/>
      <w:u w:val="single"/>
    </w:rPr>
  </w:style>
  <w:style w:type="paragraph" w:customStyle="1" w:styleId="113">
    <w:name w:val="表头"/>
    <w:basedOn w:val="1"/>
    <w:qFormat/>
    <w:uiPriority w:val="0"/>
    <w:pPr>
      <w:spacing w:line="360" w:lineRule="auto"/>
      <w:jc w:val="center"/>
    </w:pPr>
    <w:rPr>
      <w:rFonts w:ascii="黑体" w:hAnsi="Times New Roman" w:eastAsia="黑体"/>
      <w:kern w:val="0"/>
      <w:sz w:val="24"/>
      <w:szCs w:val="20"/>
    </w:rPr>
  </w:style>
  <w:style w:type="character" w:customStyle="1" w:styleId="114">
    <w:name w:val="尾注文本 字符1"/>
    <w:link w:val="29"/>
    <w:qFormat/>
    <w:uiPriority w:val="0"/>
    <w:rPr>
      <w:rFonts w:ascii="Times New Roman" w:hAnsi="Times New Roman" w:eastAsia="宋体" w:cs="Times New Roman"/>
      <w:szCs w:val="20"/>
    </w:rPr>
  </w:style>
  <w:style w:type="paragraph" w:customStyle="1" w:styleId="115">
    <w:name w:val="Char"/>
    <w:basedOn w:val="1"/>
    <w:link w:val="203"/>
    <w:qFormat/>
    <w:uiPriority w:val="0"/>
    <w:rPr>
      <w:rFonts w:ascii="Tahoma" w:hAnsi="Tahoma"/>
      <w:sz w:val="24"/>
      <w:szCs w:val="20"/>
    </w:rPr>
  </w:style>
  <w:style w:type="paragraph" w:customStyle="1" w:styleId="116">
    <w:name w:val="Char1"/>
    <w:basedOn w:val="1"/>
    <w:qFormat/>
    <w:uiPriority w:val="0"/>
    <w:pPr>
      <w:numPr>
        <w:ilvl w:val="0"/>
        <w:numId w:val="1"/>
      </w:numPr>
    </w:pPr>
    <w:rPr>
      <w:rFonts w:ascii="Times New Roman" w:hAnsi="Times New Roman"/>
      <w:sz w:val="24"/>
      <w:szCs w:val="24"/>
    </w:rPr>
  </w:style>
  <w:style w:type="paragraph" w:customStyle="1" w:styleId="117">
    <w:name w:val="公文抬头"/>
    <w:basedOn w:val="2"/>
    <w:qFormat/>
    <w:uiPriority w:val="0"/>
    <w:pPr>
      <w:ind w:firstLine="0"/>
    </w:pPr>
    <w:rPr>
      <w:rFonts w:ascii="仿宋_GB2312" w:eastAsia="仿宋_GB2312"/>
      <w:sz w:val="30"/>
      <w:szCs w:val="24"/>
    </w:rPr>
  </w:style>
  <w:style w:type="paragraph" w:customStyle="1" w:styleId="118">
    <w:name w:val="Char Char Char1 Char"/>
    <w:basedOn w:val="16"/>
    <w:qFormat/>
    <w:uiPriority w:val="0"/>
    <w:rPr>
      <w:rFonts w:ascii="Tahoma" w:hAnsi="Tahoma"/>
      <w:sz w:val="24"/>
      <w:szCs w:val="24"/>
    </w:rPr>
  </w:style>
  <w:style w:type="paragraph" w:customStyle="1" w:styleId="119">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120">
    <w:name w:val="公文标题"/>
    <w:basedOn w:val="6"/>
    <w:qFormat/>
    <w:uiPriority w:val="0"/>
    <w:pPr>
      <w:keepNext/>
      <w:keepLines/>
      <w:widowControl w:val="0"/>
      <w:ind w:left="1469" w:right="1542"/>
    </w:pPr>
    <w:rPr>
      <w:rFonts w:hAnsi="Times New Roman" w:cs="Times New Roman"/>
      <w:b/>
      <w:kern w:val="2"/>
      <w:sz w:val="44"/>
      <w:szCs w:val="21"/>
    </w:rPr>
  </w:style>
  <w:style w:type="paragraph" w:customStyle="1" w:styleId="121">
    <w:name w:val="发文落款"/>
    <w:basedOn w:val="119"/>
    <w:qFormat/>
    <w:uiPriority w:val="0"/>
    <w:pPr>
      <w:ind w:left="4094" w:right="607" w:firstLine="0"/>
      <w:jc w:val="center"/>
    </w:pPr>
  </w:style>
  <w:style w:type="paragraph" w:customStyle="1" w:styleId="122">
    <w:name w:val="Char Char Char Char"/>
    <w:basedOn w:val="1"/>
    <w:qFormat/>
    <w:uiPriority w:val="0"/>
    <w:rPr>
      <w:rFonts w:ascii="Times New Roman" w:hAnsi="Times New Roman"/>
      <w:sz w:val="30"/>
      <w:szCs w:val="24"/>
    </w:rPr>
  </w:style>
  <w:style w:type="character" w:customStyle="1" w:styleId="123">
    <w:name w:val="批注框文本 字符1"/>
    <w:link w:val="30"/>
    <w:qFormat/>
    <w:uiPriority w:val="0"/>
    <w:rPr>
      <w:rFonts w:ascii="Times New Roman" w:hAnsi="Times New Roman" w:eastAsia="宋体" w:cs="Times New Roman"/>
      <w:sz w:val="18"/>
      <w:szCs w:val="18"/>
    </w:rPr>
  </w:style>
  <w:style w:type="paragraph" w:customStyle="1" w:styleId="124">
    <w:name w:val="TOC 标题1"/>
    <w:basedOn w:val="3"/>
    <w:next w:val="1"/>
    <w:semiHidden/>
    <w:unhideWhenUsed/>
    <w:qFormat/>
    <w:uiPriority w:val="39"/>
    <w:pPr>
      <w:widowControl/>
      <w:spacing w:before="480" w:after="0" w:line="276" w:lineRule="auto"/>
      <w:outlineLvl w:val="9"/>
    </w:pPr>
    <w:rPr>
      <w:rFonts w:ascii="Cambria" w:hAnsi="Cambria"/>
      <w:color w:val="365F91"/>
      <w:kern w:val="0"/>
    </w:rPr>
  </w:style>
  <w:style w:type="character" w:customStyle="1" w:styleId="125">
    <w:name w:val="批注文字 字符1"/>
    <w:link w:val="17"/>
    <w:qFormat/>
    <w:uiPriority w:val="0"/>
    <w:rPr>
      <w:rFonts w:ascii="宋体" w:hAnsi="宋体" w:eastAsia="宋体" w:cs="Times New Roman"/>
      <w:sz w:val="24"/>
      <w:szCs w:val="24"/>
    </w:rPr>
  </w:style>
  <w:style w:type="character" w:customStyle="1" w:styleId="126">
    <w:name w:val="脚注文本 字符1"/>
    <w:link w:val="37"/>
    <w:qFormat/>
    <w:uiPriority w:val="0"/>
    <w:rPr>
      <w:rFonts w:ascii="宋体" w:hAnsi="宋体" w:eastAsia="宋体" w:cs="Times New Roman"/>
      <w:sz w:val="18"/>
      <w:szCs w:val="18"/>
    </w:rPr>
  </w:style>
  <w:style w:type="character" w:customStyle="1" w:styleId="127">
    <w:name w:val="批注主题 字符1"/>
    <w:link w:val="46"/>
    <w:qFormat/>
    <w:uiPriority w:val="0"/>
    <w:rPr>
      <w:rFonts w:ascii="宋体" w:hAnsi="宋体" w:eastAsia="宋体" w:cs="Times New Roman"/>
      <w:b/>
      <w:bCs/>
      <w:sz w:val="24"/>
      <w:szCs w:val="24"/>
    </w:rPr>
  </w:style>
  <w:style w:type="paragraph" w:styleId="128">
    <w:name w:val="List Paragraph"/>
    <w:basedOn w:val="1"/>
    <w:qFormat/>
    <w:uiPriority w:val="34"/>
    <w:pPr>
      <w:ind w:firstLine="420" w:firstLineChars="200"/>
    </w:pPr>
    <w:rPr>
      <w:rFonts w:ascii="Times New Roman" w:hAnsi="Times New Roman"/>
      <w:szCs w:val="20"/>
    </w:rPr>
  </w:style>
  <w:style w:type="paragraph" w:customStyle="1" w:styleId="129">
    <w:name w:val="修订1"/>
    <w:hidden/>
    <w:semiHidden/>
    <w:qFormat/>
    <w:uiPriority w:val="99"/>
    <w:rPr>
      <w:rFonts w:ascii="Times New Roman" w:hAnsi="Times New Roman" w:eastAsia="宋体" w:cs="Times New Roman"/>
      <w:kern w:val="2"/>
      <w:sz w:val="21"/>
      <w:lang w:val="en-US" w:eastAsia="zh-CN" w:bidi="ar-SA"/>
    </w:rPr>
  </w:style>
  <w:style w:type="character" w:customStyle="1" w:styleId="130">
    <w:name w:val="纯文本 Char"/>
    <w:qFormat/>
    <w:uiPriority w:val="0"/>
    <w:rPr>
      <w:rFonts w:ascii="宋体" w:hAnsi="Courier New" w:eastAsia="宋体" w:cs="Times New Roman"/>
      <w:szCs w:val="20"/>
    </w:rPr>
  </w:style>
  <w:style w:type="character" w:customStyle="1" w:styleId="131">
    <w:name w:val="标题 1 Char"/>
    <w:qFormat/>
    <w:uiPriority w:val="0"/>
    <w:rPr>
      <w:rFonts w:ascii="Arial" w:hAnsi="Arial" w:eastAsia="宋体" w:cs="Times New Roman"/>
      <w:b/>
      <w:kern w:val="44"/>
      <w:sz w:val="28"/>
      <w:szCs w:val="28"/>
    </w:rPr>
  </w:style>
  <w:style w:type="character" w:customStyle="1" w:styleId="132">
    <w:name w:val="标题 2 Char"/>
    <w:qFormat/>
    <w:uiPriority w:val="0"/>
    <w:rPr>
      <w:rFonts w:ascii="Arial" w:hAnsi="Arial" w:eastAsia="宋体" w:cs="Times New Roman"/>
      <w:b/>
      <w:color w:val="000000"/>
      <w:sz w:val="24"/>
      <w:szCs w:val="24"/>
    </w:rPr>
  </w:style>
  <w:style w:type="character" w:customStyle="1" w:styleId="133">
    <w:name w:val="正文缩进 字符"/>
    <w:link w:val="2"/>
    <w:qFormat/>
    <w:uiPriority w:val="0"/>
    <w:rPr>
      <w:rFonts w:ascii="Times New Roman" w:hAnsi="Times New Roman" w:eastAsia="宋体" w:cs="Times New Roman"/>
      <w:szCs w:val="20"/>
    </w:rPr>
  </w:style>
  <w:style w:type="character" w:customStyle="1" w:styleId="134">
    <w:name w:val="标题 3 Char"/>
    <w:qFormat/>
    <w:uiPriority w:val="0"/>
    <w:rPr>
      <w:rFonts w:ascii="宋体" w:hAnsi="宋体" w:eastAsia="宋体" w:cs="宋体"/>
      <w:kern w:val="0"/>
      <w:sz w:val="27"/>
      <w:szCs w:val="27"/>
    </w:rPr>
  </w:style>
  <w:style w:type="character" w:customStyle="1" w:styleId="135">
    <w:name w:val="标题 4 Char"/>
    <w:qFormat/>
    <w:uiPriority w:val="0"/>
    <w:rPr>
      <w:rFonts w:ascii="Arial" w:hAnsi="Arial" w:eastAsia="宋体" w:cs="Times New Roman"/>
      <w:color w:val="000000"/>
      <w:szCs w:val="21"/>
    </w:rPr>
  </w:style>
  <w:style w:type="character" w:customStyle="1" w:styleId="136">
    <w:name w:val="标题 5 Char"/>
    <w:qFormat/>
    <w:uiPriority w:val="0"/>
    <w:rPr>
      <w:rFonts w:ascii="Arial" w:hAnsi="Arial" w:eastAsia="宋体" w:cs="Times New Roman"/>
      <w:color w:val="000000"/>
      <w:szCs w:val="21"/>
    </w:rPr>
  </w:style>
  <w:style w:type="character" w:customStyle="1" w:styleId="137">
    <w:name w:val="标题 6 Char"/>
    <w:qFormat/>
    <w:uiPriority w:val="0"/>
    <w:rPr>
      <w:rFonts w:ascii="Arial" w:hAnsi="Arial" w:eastAsia="黑体" w:cs="Times New Roman"/>
      <w:b/>
      <w:bCs/>
      <w:sz w:val="24"/>
      <w:szCs w:val="24"/>
    </w:rPr>
  </w:style>
  <w:style w:type="character" w:customStyle="1" w:styleId="138">
    <w:name w:val="标题 7 Char"/>
    <w:qFormat/>
    <w:uiPriority w:val="0"/>
    <w:rPr>
      <w:rFonts w:ascii="Times New Roman" w:hAnsi="Times New Roman" w:eastAsia="宋体" w:cs="Times New Roman"/>
      <w:b/>
      <w:sz w:val="24"/>
      <w:szCs w:val="20"/>
    </w:rPr>
  </w:style>
  <w:style w:type="character" w:customStyle="1" w:styleId="139">
    <w:name w:val="标题 8 Char"/>
    <w:qFormat/>
    <w:uiPriority w:val="0"/>
    <w:rPr>
      <w:rFonts w:ascii="Arial" w:hAnsi="Arial" w:eastAsia="黑体" w:cs="Times New Roman"/>
      <w:sz w:val="24"/>
      <w:szCs w:val="20"/>
    </w:rPr>
  </w:style>
  <w:style w:type="character" w:customStyle="1" w:styleId="140">
    <w:name w:val="标题 9 Char"/>
    <w:qFormat/>
    <w:uiPriority w:val="0"/>
    <w:rPr>
      <w:rFonts w:ascii="Arial" w:hAnsi="Arial" w:eastAsia="黑体" w:cs="Times New Roman"/>
      <w:szCs w:val="20"/>
    </w:rPr>
  </w:style>
  <w:style w:type="character" w:customStyle="1" w:styleId="141">
    <w:name w:val="文档结构图 Char"/>
    <w:qFormat/>
    <w:uiPriority w:val="0"/>
    <w:rPr>
      <w:rFonts w:ascii="Times New Roman" w:hAnsi="Times New Roman" w:eastAsia="宋体" w:cs="Times New Roman"/>
      <w:szCs w:val="20"/>
      <w:shd w:val="clear" w:color="auto" w:fill="000080"/>
    </w:rPr>
  </w:style>
  <w:style w:type="character" w:customStyle="1" w:styleId="142">
    <w:name w:val="批注文字 Char"/>
    <w:qFormat/>
    <w:uiPriority w:val="0"/>
    <w:rPr>
      <w:rFonts w:ascii="宋体" w:hAnsi="宋体" w:eastAsia="宋体" w:cs="Times New Roman"/>
      <w:sz w:val="24"/>
      <w:szCs w:val="24"/>
    </w:rPr>
  </w:style>
  <w:style w:type="character" w:customStyle="1" w:styleId="143">
    <w:name w:val="正文文本 3 字符"/>
    <w:basedOn w:val="51"/>
    <w:qFormat/>
    <w:uiPriority w:val="99"/>
    <w:rPr>
      <w:rFonts w:ascii="Calibri" w:hAnsi="Calibri" w:eastAsia="宋体" w:cs="Times New Roman"/>
      <w:sz w:val="16"/>
      <w:szCs w:val="16"/>
    </w:rPr>
  </w:style>
  <w:style w:type="character" w:customStyle="1" w:styleId="144">
    <w:name w:val="正文文本 3 字符1"/>
    <w:link w:val="18"/>
    <w:qFormat/>
    <w:uiPriority w:val="0"/>
    <w:rPr>
      <w:rFonts w:ascii="宋体" w:hAnsi="宋体" w:eastAsia="宋体" w:cs="Times New Roman"/>
      <w:sz w:val="24"/>
      <w:szCs w:val="20"/>
    </w:rPr>
  </w:style>
  <w:style w:type="character" w:customStyle="1" w:styleId="145">
    <w:name w:val="正文文本 Char"/>
    <w:qFormat/>
    <w:uiPriority w:val="0"/>
    <w:rPr>
      <w:rFonts w:ascii="Times New Roman" w:hAnsi="Times New Roman" w:eastAsia="宋体" w:cs="Times New Roman"/>
      <w:szCs w:val="20"/>
    </w:rPr>
  </w:style>
  <w:style w:type="character" w:customStyle="1" w:styleId="146">
    <w:name w:val="正文文本缩进 Char"/>
    <w:qFormat/>
    <w:uiPriority w:val="0"/>
    <w:rPr>
      <w:rFonts w:ascii="Times New Roman" w:hAnsi="Times New Roman" w:eastAsia="宋体" w:cs="Times New Roman"/>
      <w:sz w:val="28"/>
      <w:szCs w:val="20"/>
    </w:rPr>
  </w:style>
  <w:style w:type="character" w:customStyle="1" w:styleId="147">
    <w:name w:val="日期 Char"/>
    <w:qFormat/>
    <w:uiPriority w:val="0"/>
    <w:rPr>
      <w:rFonts w:ascii="Times New Roman" w:hAnsi="Times New Roman" w:eastAsia="宋体" w:cs="Times New Roman"/>
      <w:szCs w:val="20"/>
    </w:rPr>
  </w:style>
  <w:style w:type="character" w:customStyle="1" w:styleId="148">
    <w:name w:val="正文文本缩进 2 Char"/>
    <w:qFormat/>
    <w:uiPriority w:val="0"/>
    <w:rPr>
      <w:rFonts w:ascii="Times New Roman" w:hAnsi="Times New Roman" w:eastAsia="宋体" w:cs="Times New Roman"/>
      <w:color w:val="000000"/>
      <w:sz w:val="24"/>
      <w:szCs w:val="20"/>
    </w:rPr>
  </w:style>
  <w:style w:type="character" w:customStyle="1" w:styleId="149">
    <w:name w:val="尾注文本 Char"/>
    <w:qFormat/>
    <w:uiPriority w:val="0"/>
    <w:rPr>
      <w:rFonts w:ascii="Times New Roman" w:hAnsi="Times New Roman" w:eastAsia="宋体" w:cs="Times New Roman"/>
      <w:szCs w:val="20"/>
    </w:rPr>
  </w:style>
  <w:style w:type="character" w:customStyle="1" w:styleId="150">
    <w:name w:val="批注框文本 Char"/>
    <w:qFormat/>
    <w:uiPriority w:val="0"/>
    <w:rPr>
      <w:rFonts w:ascii="Times New Roman" w:hAnsi="Times New Roman" w:eastAsia="宋体" w:cs="Times New Roman"/>
      <w:sz w:val="18"/>
      <w:szCs w:val="18"/>
    </w:rPr>
  </w:style>
  <w:style w:type="character" w:customStyle="1" w:styleId="151">
    <w:name w:val="页脚 Char"/>
    <w:qFormat/>
    <w:uiPriority w:val="99"/>
    <w:rPr>
      <w:rFonts w:ascii="Calibri" w:hAnsi="Calibri" w:eastAsia="宋体" w:cs="Times New Roman"/>
      <w:sz w:val="18"/>
      <w:szCs w:val="18"/>
    </w:rPr>
  </w:style>
  <w:style w:type="character" w:customStyle="1" w:styleId="152">
    <w:name w:val="页眉 Char"/>
    <w:qFormat/>
    <w:uiPriority w:val="0"/>
    <w:rPr>
      <w:rFonts w:ascii="Calibri" w:hAnsi="Calibri" w:eastAsia="宋体" w:cs="Times New Roman"/>
      <w:sz w:val="18"/>
      <w:szCs w:val="18"/>
    </w:rPr>
  </w:style>
  <w:style w:type="character" w:customStyle="1" w:styleId="153">
    <w:name w:val="副标题 字符"/>
    <w:basedOn w:val="51"/>
    <w:qFormat/>
    <w:uiPriority w:val="11"/>
    <w:rPr>
      <w:b/>
      <w:bCs/>
      <w:kern w:val="28"/>
      <w:sz w:val="32"/>
      <w:szCs w:val="32"/>
    </w:rPr>
  </w:style>
  <w:style w:type="character" w:customStyle="1" w:styleId="154">
    <w:name w:val="副标题 字符1"/>
    <w:link w:val="35"/>
    <w:qFormat/>
    <w:uiPriority w:val="0"/>
    <w:rPr>
      <w:rFonts w:ascii="Arial" w:hAnsi="Arial" w:eastAsia="黑体" w:cs="Times New Roman"/>
      <w:b/>
      <w:bCs/>
      <w:sz w:val="32"/>
      <w:szCs w:val="32"/>
    </w:rPr>
  </w:style>
  <w:style w:type="character" w:customStyle="1" w:styleId="155">
    <w:name w:val="脚注文本 Char"/>
    <w:qFormat/>
    <w:uiPriority w:val="0"/>
    <w:rPr>
      <w:rFonts w:ascii="宋体" w:hAnsi="宋体" w:eastAsia="宋体" w:cs="Times New Roman"/>
      <w:sz w:val="18"/>
      <w:szCs w:val="18"/>
    </w:rPr>
  </w:style>
  <w:style w:type="character" w:customStyle="1" w:styleId="156">
    <w:name w:val="正文文本缩进 3 Char"/>
    <w:qFormat/>
    <w:uiPriority w:val="0"/>
    <w:rPr>
      <w:rFonts w:ascii="Times New Roman" w:hAnsi="Times New Roman" w:eastAsia="宋体" w:cs="Times New Roman"/>
      <w:color w:val="000000"/>
      <w:sz w:val="24"/>
      <w:szCs w:val="20"/>
    </w:rPr>
  </w:style>
  <w:style w:type="character" w:customStyle="1" w:styleId="157">
    <w:name w:val="正文文本 2 Char"/>
    <w:qFormat/>
    <w:uiPriority w:val="0"/>
    <w:rPr>
      <w:rFonts w:ascii="宋体" w:hAnsi="宋体" w:eastAsia="宋体" w:cs="Times New Roman"/>
      <w:szCs w:val="24"/>
      <w:u w:val="single"/>
    </w:rPr>
  </w:style>
  <w:style w:type="character" w:customStyle="1" w:styleId="158">
    <w:name w:val="标题 Char"/>
    <w:qFormat/>
    <w:uiPriority w:val="0"/>
    <w:rPr>
      <w:rFonts w:ascii="Arial" w:hAnsi="Arial" w:eastAsia="宋体" w:cs="Times New Roman"/>
      <w:b/>
      <w:sz w:val="44"/>
      <w:szCs w:val="20"/>
    </w:rPr>
  </w:style>
  <w:style w:type="character" w:customStyle="1" w:styleId="159">
    <w:name w:val="批注主题 Char"/>
    <w:qFormat/>
    <w:uiPriority w:val="0"/>
    <w:rPr>
      <w:rFonts w:ascii="宋体" w:hAnsi="宋体" w:eastAsia="宋体" w:cs="Times New Roman"/>
      <w:b/>
      <w:bCs/>
      <w:sz w:val="24"/>
      <w:szCs w:val="24"/>
    </w:rPr>
  </w:style>
  <w:style w:type="character" w:customStyle="1" w:styleId="160">
    <w:name w:val="正文首行缩进 Char"/>
    <w:qFormat/>
    <w:uiPriority w:val="0"/>
  </w:style>
  <w:style w:type="character" w:customStyle="1" w:styleId="161">
    <w:name w:val="username"/>
    <w:qFormat/>
    <w:uiPriority w:val="0"/>
  </w:style>
  <w:style w:type="character" w:customStyle="1" w:styleId="162">
    <w:name w:val="title2"/>
    <w:qFormat/>
    <w:uiPriority w:val="0"/>
  </w:style>
  <w:style w:type="character" w:customStyle="1" w:styleId="163">
    <w:name w:val="msointensereference"/>
    <w:qFormat/>
    <w:uiPriority w:val="0"/>
    <w:rPr>
      <w:b/>
      <w:sz w:val="24"/>
      <w:u w:val="single"/>
    </w:rPr>
  </w:style>
  <w:style w:type="character" w:customStyle="1" w:styleId="164">
    <w:name w:val="font6"/>
    <w:qFormat/>
    <w:uiPriority w:val="0"/>
  </w:style>
  <w:style w:type="character" w:customStyle="1" w:styleId="165">
    <w:name w:val="Char Char10"/>
    <w:qFormat/>
    <w:uiPriority w:val="0"/>
    <w:rPr>
      <w:rFonts w:hint="default" w:ascii="Cambria" w:hAnsi="Cambria" w:eastAsia="宋体"/>
      <w:b/>
      <w:bCs/>
      <w:i/>
      <w:iCs/>
      <w:sz w:val="28"/>
      <w:szCs w:val="28"/>
    </w:rPr>
  </w:style>
  <w:style w:type="character" w:customStyle="1" w:styleId="166">
    <w:name w:val="Char Char16"/>
    <w:qFormat/>
    <w:uiPriority w:val="0"/>
    <w:rPr>
      <w:rFonts w:hint="default" w:ascii="Arial" w:hAnsi="Arial" w:eastAsia="黑体" w:cs="Arial"/>
      <w:b/>
      <w:bCs/>
      <w:sz w:val="24"/>
      <w:szCs w:val="24"/>
      <w:lang w:val="en-US" w:eastAsia="zh-CN" w:bidi="ar-SA"/>
    </w:rPr>
  </w:style>
  <w:style w:type="character" w:customStyle="1" w:styleId="167">
    <w:name w:val="WW8Num9z0"/>
    <w:qFormat/>
    <w:uiPriority w:val="0"/>
    <w:rPr>
      <w:rFonts w:hint="default" w:ascii="Wingdings" w:hAnsi="Wingdings"/>
    </w:rPr>
  </w:style>
  <w:style w:type="character" w:customStyle="1" w:styleId="168">
    <w:name w:val="副标题 Char3"/>
    <w:qFormat/>
    <w:uiPriority w:val="11"/>
    <w:rPr>
      <w:rFonts w:ascii="Cambria" w:hAnsi="Cambria" w:cs="Times New Roman"/>
      <w:b/>
      <w:bCs/>
      <w:kern w:val="28"/>
      <w:sz w:val="32"/>
      <w:szCs w:val="32"/>
    </w:rPr>
  </w:style>
  <w:style w:type="character" w:customStyle="1" w:styleId="169">
    <w:name w:val="明显引用 Char1"/>
    <w:qFormat/>
    <w:uiPriority w:val="0"/>
    <w:rPr>
      <w:rFonts w:hint="eastAsia" w:ascii="仿宋_GB2312" w:eastAsia="仿宋_GB2312"/>
      <w:b/>
      <w:bCs/>
      <w:i/>
      <w:iCs/>
      <w:color w:val="4F81BD"/>
      <w:kern w:val="2"/>
      <w:sz w:val="21"/>
      <w:szCs w:val="32"/>
    </w:rPr>
  </w:style>
  <w:style w:type="character" w:customStyle="1" w:styleId="170">
    <w:name w:val="正文首行缩进 Char Char"/>
    <w:qFormat/>
    <w:uiPriority w:val="0"/>
    <w:rPr>
      <w:rFonts w:ascii="宋体" w:eastAsia="宋体"/>
      <w:kern w:val="2"/>
      <w:sz w:val="34"/>
      <w:lang w:val="en-US" w:eastAsia="zh-CN" w:bidi="ar-SA"/>
    </w:rPr>
  </w:style>
  <w:style w:type="character" w:customStyle="1" w:styleId="171">
    <w:name w:val="批注框文本 Char Char"/>
    <w:qFormat/>
    <w:uiPriority w:val="0"/>
    <w:rPr>
      <w:kern w:val="2"/>
      <w:sz w:val="18"/>
      <w:szCs w:val="18"/>
    </w:rPr>
  </w:style>
  <w:style w:type="character" w:customStyle="1" w:styleId="172">
    <w:name w:val="font41"/>
    <w:qFormat/>
    <w:uiPriority w:val="0"/>
    <w:rPr>
      <w:rFonts w:hint="eastAsia" w:ascii="宋体" w:hAnsi="宋体" w:eastAsia="宋体"/>
      <w:strike/>
      <w:color w:val="000000"/>
      <w:sz w:val="24"/>
      <w:szCs w:val="24"/>
    </w:rPr>
  </w:style>
  <w:style w:type="character" w:customStyle="1" w:styleId="173">
    <w:name w:val="msosubtleemphasis"/>
    <w:qFormat/>
    <w:uiPriority w:val="0"/>
    <w:rPr>
      <w:i/>
      <w:color w:val="5A5A5A"/>
    </w:rPr>
  </w:style>
  <w:style w:type="character" w:customStyle="1" w:styleId="174">
    <w:name w:val="引用 Char1"/>
    <w:qFormat/>
    <w:uiPriority w:val="0"/>
    <w:rPr>
      <w:rFonts w:hint="eastAsia" w:ascii="仿宋_GB2312" w:eastAsia="仿宋_GB2312"/>
      <w:i/>
      <w:iCs/>
      <w:color w:val="000000"/>
      <w:kern w:val="2"/>
      <w:sz w:val="21"/>
      <w:szCs w:val="32"/>
    </w:rPr>
  </w:style>
  <w:style w:type="character" w:customStyle="1" w:styleId="175">
    <w:name w:val="标题 5 Char Char"/>
    <w:qFormat/>
    <w:uiPriority w:val="0"/>
    <w:rPr>
      <w:rFonts w:hint="eastAsia" w:ascii="仿宋_GB2312" w:eastAsia="仿宋_GB2312"/>
      <w:b/>
      <w:bCs/>
      <w:kern w:val="2"/>
      <w:sz w:val="28"/>
      <w:szCs w:val="28"/>
    </w:rPr>
  </w:style>
  <w:style w:type="character" w:customStyle="1" w:styleId="176">
    <w:name w:val="textcontents1"/>
    <w:qFormat/>
    <w:uiPriority w:val="0"/>
    <w:rPr>
      <w:color w:val="000000"/>
      <w:sz w:val="22"/>
      <w:szCs w:val="22"/>
    </w:rPr>
  </w:style>
  <w:style w:type="character" w:customStyle="1" w:styleId="177">
    <w:name w:val="标题 9 Char Char"/>
    <w:qFormat/>
    <w:uiPriority w:val="0"/>
    <w:rPr>
      <w:rFonts w:hint="default" w:ascii="Cambria" w:hAnsi="Cambria" w:eastAsia="宋体" w:cs="Times New Roman"/>
      <w:kern w:val="2"/>
      <w:sz w:val="21"/>
      <w:szCs w:val="21"/>
    </w:rPr>
  </w:style>
  <w:style w:type="character" w:customStyle="1" w:styleId="178">
    <w:name w:val="副标题 Char2"/>
    <w:qFormat/>
    <w:uiPriority w:val="0"/>
    <w:rPr>
      <w:rFonts w:hint="default" w:ascii="Cambria" w:hAnsi="Cambria" w:cs="Times New Roman"/>
      <w:b/>
      <w:bCs/>
      <w:kern w:val="28"/>
      <w:sz w:val="32"/>
      <w:szCs w:val="32"/>
    </w:rPr>
  </w:style>
  <w:style w:type="character" w:customStyle="1" w:styleId="179">
    <w:name w:val="Char Char23"/>
    <w:qFormat/>
    <w:uiPriority w:val="0"/>
    <w:rPr>
      <w:rFonts w:hint="default" w:ascii="Times New Roman" w:hAnsi="Times New Roman" w:cs="Times New Roman"/>
      <w:b/>
      <w:color w:val="000000"/>
      <w:kern w:val="2"/>
      <w:sz w:val="24"/>
      <w:szCs w:val="24"/>
    </w:rPr>
  </w:style>
  <w:style w:type="character" w:customStyle="1" w:styleId="180">
    <w:name w:val="文一 Char Char"/>
    <w:link w:val="181"/>
    <w:qFormat/>
    <w:uiPriority w:val="0"/>
    <w:rPr>
      <w:rFonts w:ascii="宋体" w:hAnsi="宋体"/>
      <w:spacing w:val="4"/>
      <w:sz w:val="24"/>
      <w:szCs w:val="24"/>
    </w:rPr>
  </w:style>
  <w:style w:type="paragraph" w:customStyle="1" w:styleId="181">
    <w:name w:val="文一"/>
    <w:basedOn w:val="1"/>
    <w:link w:val="180"/>
    <w:qFormat/>
    <w:uiPriority w:val="0"/>
    <w:pPr>
      <w:topLinePunct/>
      <w:adjustRightInd w:val="0"/>
      <w:snapToGrid w:val="0"/>
      <w:spacing w:line="360" w:lineRule="auto"/>
      <w:ind w:firstLine="200" w:firstLineChars="200"/>
    </w:pPr>
    <w:rPr>
      <w:rFonts w:ascii="宋体" w:hAnsi="宋体" w:eastAsiaTheme="minorEastAsia" w:cstheme="minorBidi"/>
      <w:spacing w:val="4"/>
      <w:sz w:val="24"/>
      <w:szCs w:val="24"/>
    </w:rPr>
  </w:style>
  <w:style w:type="character" w:customStyle="1" w:styleId="182">
    <w:name w:val="页脚 Char Char"/>
    <w:qFormat/>
    <w:uiPriority w:val="0"/>
    <w:rPr>
      <w:sz w:val="18"/>
      <w:szCs w:val="18"/>
    </w:rPr>
  </w:style>
  <w:style w:type="character" w:customStyle="1" w:styleId="183">
    <w:name w:val="正文文本缩进 3 Char Char"/>
    <w:qFormat/>
    <w:uiPriority w:val="0"/>
    <w:rPr>
      <w:kern w:val="2"/>
      <w:sz w:val="16"/>
      <w:szCs w:val="16"/>
    </w:rPr>
  </w:style>
  <w:style w:type="character" w:customStyle="1" w:styleId="184">
    <w:name w:val="样式 Char Char"/>
    <w:link w:val="185"/>
    <w:qFormat/>
    <w:uiPriority w:val="0"/>
  </w:style>
  <w:style w:type="paragraph" w:customStyle="1" w:styleId="185">
    <w:name w:val="样式"/>
    <w:basedOn w:val="186"/>
    <w:link w:val="184"/>
    <w:qFormat/>
    <w:uiPriority w:val="0"/>
    <w:pPr>
      <w:tabs>
        <w:tab w:val="left" w:pos="2310"/>
        <w:tab w:val="left" w:pos="2730"/>
      </w:tabs>
      <w:outlineLvl w:val="9"/>
    </w:pPr>
    <w:rPr>
      <w:rFonts w:asciiTheme="minorHAnsi" w:hAnsiTheme="minorHAnsi" w:eastAsiaTheme="minorEastAsia" w:cstheme="minorBidi"/>
      <w:bCs w:val="0"/>
      <w:sz w:val="21"/>
      <w:szCs w:val="22"/>
    </w:rPr>
  </w:style>
  <w:style w:type="paragraph" w:customStyle="1" w:styleId="186">
    <w:name w:val="标题5"/>
    <w:basedOn w:val="8"/>
    <w:link w:val="187"/>
    <w:qFormat/>
    <w:uiPriority w:val="0"/>
    <w:pPr>
      <w:keepNext w:val="0"/>
      <w:keepLines w:val="0"/>
      <w:widowControl/>
      <w:numPr>
        <w:ilvl w:val="0"/>
        <w:numId w:val="0"/>
      </w:numPr>
      <w:tabs>
        <w:tab w:val="left" w:pos="2310"/>
      </w:tabs>
      <w:spacing w:before="240" w:after="60" w:line="240" w:lineRule="auto"/>
      <w:jc w:val="center"/>
    </w:pPr>
    <w:rPr>
      <w:rFonts w:eastAsia="黑体"/>
      <w:bCs/>
      <w:color w:val="auto"/>
      <w:sz w:val="24"/>
      <w:szCs w:val="32"/>
    </w:rPr>
  </w:style>
  <w:style w:type="character" w:customStyle="1" w:styleId="187">
    <w:name w:val="标题5 Char Char"/>
    <w:link w:val="186"/>
    <w:qFormat/>
    <w:uiPriority w:val="0"/>
    <w:rPr>
      <w:rFonts w:ascii="Arial" w:hAnsi="Arial" w:eastAsia="黑体" w:cs="Times New Roman"/>
      <w:bCs/>
      <w:sz w:val="24"/>
      <w:szCs w:val="32"/>
    </w:rPr>
  </w:style>
  <w:style w:type="character" w:customStyle="1" w:styleId="188">
    <w:name w:val="title24"/>
    <w:qFormat/>
    <w:uiPriority w:val="0"/>
  </w:style>
  <w:style w:type="character" w:customStyle="1" w:styleId="189">
    <w:name w:val="正文文本缩进 2 Char Char"/>
    <w:qFormat/>
    <w:uiPriority w:val="0"/>
    <w:rPr>
      <w:rFonts w:hint="default" w:ascii="Times New Roman" w:hAnsi="Times New Roman" w:cs="Times New Roman"/>
      <w:color w:val="000000"/>
      <w:sz w:val="24"/>
    </w:rPr>
  </w:style>
  <w:style w:type="character" w:customStyle="1" w:styleId="190">
    <w:name w:val="!我的正文 Ctr+Q Char Char"/>
    <w:link w:val="191"/>
    <w:qFormat/>
    <w:uiPriority w:val="0"/>
    <w:rPr>
      <w:rFonts w:ascii="Arial" w:hAnsi="Arial"/>
      <w:sz w:val="24"/>
      <w:szCs w:val="21"/>
    </w:rPr>
  </w:style>
  <w:style w:type="paragraph" w:customStyle="1" w:styleId="191">
    <w:name w:val="!我的正文 Ctr+Q"/>
    <w:basedOn w:val="1"/>
    <w:link w:val="190"/>
    <w:qFormat/>
    <w:uiPriority w:val="0"/>
    <w:pPr>
      <w:adjustRightInd w:val="0"/>
      <w:snapToGrid w:val="0"/>
      <w:spacing w:line="360" w:lineRule="auto"/>
      <w:ind w:firstLine="480" w:firstLineChars="200"/>
    </w:pPr>
    <w:rPr>
      <w:rFonts w:ascii="Arial" w:hAnsi="Arial" w:eastAsiaTheme="minorEastAsia" w:cstheme="minorBidi"/>
      <w:sz w:val="24"/>
      <w:szCs w:val="21"/>
    </w:rPr>
  </w:style>
  <w:style w:type="character" w:customStyle="1" w:styleId="192">
    <w:name w:val="rightspan"/>
    <w:qFormat/>
    <w:uiPriority w:val="0"/>
  </w:style>
  <w:style w:type="character" w:customStyle="1" w:styleId="193">
    <w:name w:val="WW8Num4z0"/>
    <w:qFormat/>
    <w:uiPriority w:val="0"/>
    <w:rPr>
      <w:rFonts w:hint="default" w:ascii="Courier New" w:hAnsi="Courier New" w:cs="Courier New"/>
      <w:sz w:val="22"/>
    </w:rPr>
  </w:style>
  <w:style w:type="character" w:customStyle="1" w:styleId="194">
    <w:name w:val="样式 正文缩进正文（首行缩进两字）特点ALT+Z表正文正文非缩进四号段1Normal Indent Char2... Char Char"/>
    <w:qFormat/>
    <w:uiPriority w:val="0"/>
    <w:rPr>
      <w:rFonts w:hint="eastAsia" w:ascii="宋体" w:hAnsi="宋体" w:eastAsia="黑体"/>
      <w:b/>
      <w:sz w:val="32"/>
      <w:lang w:val="en-US" w:eastAsia="zh-CN"/>
    </w:rPr>
  </w:style>
  <w:style w:type="character" w:customStyle="1" w:styleId="195">
    <w:name w:val="Char Char15"/>
    <w:qFormat/>
    <w:uiPriority w:val="0"/>
  </w:style>
  <w:style w:type="character" w:customStyle="1" w:styleId="196">
    <w:name w:val="引用 字符1"/>
    <w:link w:val="197"/>
    <w:qFormat/>
    <w:uiPriority w:val="0"/>
    <w:rPr>
      <w:i/>
      <w:sz w:val="24"/>
    </w:rPr>
  </w:style>
  <w:style w:type="paragraph" w:styleId="197">
    <w:name w:val="Quote"/>
    <w:basedOn w:val="1"/>
    <w:link w:val="196"/>
    <w:qFormat/>
    <w:uiPriority w:val="0"/>
    <w:rPr>
      <w:rFonts w:asciiTheme="minorHAnsi" w:hAnsiTheme="minorHAnsi" w:eastAsiaTheme="minorEastAsia" w:cstheme="minorBidi"/>
      <w:i/>
      <w:sz w:val="24"/>
    </w:rPr>
  </w:style>
  <w:style w:type="character" w:customStyle="1" w:styleId="198">
    <w:name w:val="引用 字符"/>
    <w:basedOn w:val="51"/>
    <w:qFormat/>
    <w:uiPriority w:val="0"/>
    <w:rPr>
      <w:rFonts w:ascii="Calibri" w:hAnsi="Calibri" w:eastAsia="宋体" w:cs="Times New Roman"/>
      <w:i/>
      <w:iCs/>
      <w:color w:val="404040" w:themeColor="text1" w:themeTint="BF"/>
      <w14:textFill>
        <w14:solidFill>
          <w14:schemeClr w14:val="tx1">
            <w14:lumMod w14:val="75000"/>
            <w14:lumOff w14:val="25000"/>
          </w14:schemeClr>
        </w14:solidFill>
      </w14:textFill>
    </w:rPr>
  </w:style>
  <w:style w:type="character" w:customStyle="1" w:styleId="199">
    <w:name w:val="标题 Char3"/>
    <w:qFormat/>
    <w:uiPriority w:val="0"/>
    <w:rPr>
      <w:rFonts w:hint="default" w:ascii="Cambria" w:hAnsi="Cambria" w:cs="Times New Roman"/>
      <w:b/>
      <w:bCs/>
      <w:kern w:val="2"/>
      <w:sz w:val="32"/>
      <w:szCs w:val="32"/>
    </w:rPr>
  </w:style>
  <w:style w:type="character" w:customStyle="1" w:styleId="200">
    <w:name w:val="明显引用 字符1"/>
    <w:link w:val="201"/>
    <w:qFormat/>
    <w:uiPriority w:val="0"/>
    <w:rPr>
      <w:b/>
      <w:i/>
      <w:sz w:val="24"/>
    </w:rPr>
  </w:style>
  <w:style w:type="paragraph" w:styleId="201">
    <w:name w:val="Intense Quote"/>
    <w:basedOn w:val="1"/>
    <w:link w:val="200"/>
    <w:qFormat/>
    <w:uiPriority w:val="0"/>
    <w:rPr>
      <w:rFonts w:asciiTheme="minorHAnsi" w:hAnsiTheme="minorHAnsi" w:eastAsiaTheme="minorEastAsia" w:cstheme="minorBidi"/>
      <w:b/>
      <w:i/>
      <w:sz w:val="24"/>
    </w:rPr>
  </w:style>
  <w:style w:type="character" w:customStyle="1" w:styleId="202">
    <w:name w:val="明显引用 字符"/>
    <w:basedOn w:val="51"/>
    <w:qFormat/>
    <w:uiPriority w:val="30"/>
    <w:rPr>
      <w:rFonts w:ascii="Calibri" w:hAnsi="Calibri" w:eastAsia="宋体" w:cs="Times New Roman"/>
      <w:i/>
      <w:iCs/>
      <w:color w:val="5B9BD5" w:themeColor="accent1"/>
      <w14:textFill>
        <w14:solidFill>
          <w14:schemeClr w14:val="accent1"/>
        </w14:solidFill>
      </w14:textFill>
    </w:rPr>
  </w:style>
  <w:style w:type="character" w:customStyle="1" w:styleId="203">
    <w:name w:val="Char Char4"/>
    <w:link w:val="115"/>
    <w:qFormat/>
    <w:uiPriority w:val="0"/>
    <w:rPr>
      <w:rFonts w:ascii="Tahoma" w:hAnsi="Tahoma" w:eastAsia="宋体" w:cs="Times New Roman"/>
      <w:sz w:val="24"/>
      <w:szCs w:val="20"/>
    </w:rPr>
  </w:style>
  <w:style w:type="character" w:customStyle="1" w:styleId="204">
    <w:name w:val="Char Char8"/>
    <w:qFormat/>
    <w:uiPriority w:val="0"/>
    <w:rPr>
      <w:rFonts w:hint="default" w:ascii="Arial" w:hAnsi="Arial" w:eastAsia="黑体" w:cs="Arial"/>
      <w:b/>
      <w:bCs/>
      <w:kern w:val="2"/>
      <w:sz w:val="32"/>
      <w:szCs w:val="32"/>
      <w:lang w:val="en-US" w:eastAsia="zh-CN" w:bidi="ar-SA"/>
    </w:rPr>
  </w:style>
  <w:style w:type="character" w:customStyle="1" w:styleId="205">
    <w:name w:val="明显引用 Char2"/>
    <w:qFormat/>
    <w:uiPriority w:val="99"/>
    <w:rPr>
      <w:b/>
      <w:bCs/>
      <w:i/>
      <w:iCs/>
      <w:color w:val="4F81BD"/>
      <w:kern w:val="2"/>
      <w:sz w:val="21"/>
      <w:szCs w:val="22"/>
    </w:rPr>
  </w:style>
  <w:style w:type="character" w:customStyle="1" w:styleId="206">
    <w:name w:val="副标题 Char1"/>
    <w:qFormat/>
    <w:uiPriority w:val="0"/>
    <w:rPr>
      <w:rFonts w:hint="default" w:ascii="Cambria" w:hAnsi="Cambria" w:cs="Times New Roman"/>
      <w:b/>
      <w:bCs/>
      <w:kern w:val="28"/>
      <w:sz w:val="32"/>
      <w:szCs w:val="32"/>
    </w:rPr>
  </w:style>
  <w:style w:type="character" w:customStyle="1" w:styleId="207">
    <w:name w:val="正文文本 3 Char1"/>
    <w:semiHidden/>
    <w:qFormat/>
    <w:uiPriority w:val="99"/>
    <w:rPr>
      <w:kern w:val="2"/>
      <w:sz w:val="16"/>
      <w:szCs w:val="16"/>
    </w:rPr>
  </w:style>
  <w:style w:type="character" w:customStyle="1" w:styleId="208">
    <w:name w:val="font31"/>
    <w:qFormat/>
    <w:uiPriority w:val="0"/>
    <w:rPr>
      <w:rFonts w:hint="eastAsia" w:ascii="宋体" w:hAnsi="宋体" w:eastAsia="宋体"/>
      <w:color w:val="000000"/>
      <w:sz w:val="24"/>
      <w:szCs w:val="24"/>
      <w:u w:val="single"/>
    </w:rPr>
  </w:style>
  <w:style w:type="character" w:customStyle="1" w:styleId="209">
    <w:name w:val="标题6 Char Char"/>
    <w:link w:val="210"/>
    <w:qFormat/>
    <w:uiPriority w:val="0"/>
    <w:rPr>
      <w:rFonts w:ascii="宋体" w:hAnsi="宋体" w:eastAsia="黑体"/>
      <w:sz w:val="32"/>
      <w:szCs w:val="32"/>
    </w:rPr>
  </w:style>
  <w:style w:type="paragraph" w:customStyle="1" w:styleId="210">
    <w:name w:val="标题6"/>
    <w:basedOn w:val="1"/>
    <w:link w:val="209"/>
    <w:qFormat/>
    <w:uiPriority w:val="0"/>
    <w:pPr>
      <w:keepNext/>
      <w:keepLines/>
      <w:spacing w:line="400" w:lineRule="exact"/>
      <w:jc w:val="center"/>
      <w:outlineLvl w:val="2"/>
    </w:pPr>
    <w:rPr>
      <w:rFonts w:ascii="宋体" w:hAnsi="宋体" w:eastAsia="黑体" w:cstheme="minorBidi"/>
      <w:sz w:val="32"/>
      <w:szCs w:val="32"/>
    </w:rPr>
  </w:style>
  <w:style w:type="character" w:customStyle="1" w:styleId="211">
    <w:name w:val="纯文本 Char Char"/>
    <w:qFormat/>
    <w:uiPriority w:val="0"/>
    <w:rPr>
      <w:rFonts w:ascii="宋体" w:hAnsi="Courier New"/>
      <w:kern w:val="2"/>
      <w:sz w:val="24"/>
    </w:rPr>
  </w:style>
  <w:style w:type="character" w:customStyle="1" w:styleId="212">
    <w:name w:val="正文缩进2格 Char Char"/>
    <w:link w:val="213"/>
    <w:qFormat/>
    <w:uiPriority w:val="0"/>
    <w:rPr>
      <w:rFonts w:ascii="仿宋_GB2312" w:hAnsi="宋体" w:eastAsia="仿宋_GB2312"/>
      <w:sz w:val="31"/>
      <w:szCs w:val="31"/>
    </w:rPr>
  </w:style>
  <w:style w:type="paragraph" w:customStyle="1" w:styleId="213">
    <w:name w:val="正文缩进2格"/>
    <w:basedOn w:val="1"/>
    <w:link w:val="212"/>
    <w:qFormat/>
    <w:uiPriority w:val="0"/>
    <w:pPr>
      <w:widowControl/>
      <w:spacing w:line="600" w:lineRule="exact"/>
      <w:ind w:firstLine="639" w:firstLineChars="206"/>
      <w:jc w:val="left"/>
    </w:pPr>
    <w:rPr>
      <w:rFonts w:ascii="仿宋_GB2312" w:hAnsi="宋体" w:eastAsia="仿宋_GB2312" w:cstheme="minorBidi"/>
      <w:sz w:val="31"/>
      <w:szCs w:val="31"/>
    </w:rPr>
  </w:style>
  <w:style w:type="character" w:customStyle="1" w:styleId="214">
    <w:name w:val="文一 Char"/>
    <w:qFormat/>
    <w:uiPriority w:val="0"/>
    <w:rPr>
      <w:spacing w:val="4"/>
      <w:sz w:val="24"/>
      <w:szCs w:val="24"/>
    </w:rPr>
  </w:style>
  <w:style w:type="character" w:customStyle="1" w:styleId="215">
    <w:name w:val="msosubtlereference"/>
    <w:qFormat/>
    <w:uiPriority w:val="0"/>
    <w:rPr>
      <w:sz w:val="30"/>
      <w:szCs w:val="24"/>
      <w:u w:val="none"/>
    </w:rPr>
  </w:style>
  <w:style w:type="character" w:customStyle="1" w:styleId="216">
    <w:name w:val="默认段落字体1"/>
    <w:qFormat/>
    <w:uiPriority w:val="0"/>
  </w:style>
  <w:style w:type="character" w:customStyle="1" w:styleId="217">
    <w:name w:val="页眉 Char Char"/>
    <w:qFormat/>
    <w:uiPriority w:val="0"/>
    <w:rPr>
      <w:sz w:val="18"/>
      <w:szCs w:val="18"/>
    </w:rPr>
  </w:style>
  <w:style w:type="character" w:customStyle="1" w:styleId="218">
    <w:name w:val="引用 Char2"/>
    <w:qFormat/>
    <w:uiPriority w:val="99"/>
    <w:rPr>
      <w:i/>
      <w:iCs/>
      <w:color w:val="000000"/>
      <w:kern w:val="2"/>
      <w:sz w:val="21"/>
      <w:szCs w:val="22"/>
    </w:rPr>
  </w:style>
  <w:style w:type="character" w:customStyle="1" w:styleId="219">
    <w:name w:val="样式 标题 3h3section:3Level 3 HeadH3level_3PIM 33rd level3H... Char Char"/>
    <w:link w:val="220"/>
    <w:qFormat/>
    <w:uiPriority w:val="0"/>
    <w:rPr>
      <w:rFonts w:ascii="Arial" w:hAnsi="Arial"/>
      <w:b/>
      <w:sz w:val="24"/>
      <w:szCs w:val="28"/>
    </w:rPr>
  </w:style>
  <w:style w:type="paragraph" w:customStyle="1" w:styleId="220">
    <w:name w:val="样式 标题 3h3section:3Level 3 HeadH3level_3PIM 33rd level3H..."/>
    <w:basedOn w:val="6"/>
    <w:link w:val="219"/>
    <w:qFormat/>
    <w:uiPriority w:val="0"/>
    <w:pPr>
      <w:keepNext/>
      <w:tabs>
        <w:tab w:val="left" w:pos="1680"/>
        <w:tab w:val="left" w:pos="2310"/>
      </w:tabs>
      <w:adjustRightInd w:val="0"/>
      <w:spacing w:before="240" w:after="60" w:line="416" w:lineRule="atLeast"/>
      <w:ind w:left="2310" w:hanging="420"/>
    </w:pPr>
    <w:rPr>
      <w:rFonts w:ascii="Arial" w:hAnsi="Arial" w:eastAsiaTheme="minorEastAsia" w:cstheme="minorBidi"/>
      <w:b/>
      <w:kern w:val="2"/>
      <w:szCs w:val="28"/>
    </w:rPr>
  </w:style>
  <w:style w:type="character" w:customStyle="1" w:styleId="221">
    <w:name w:val="正文文本 (3)_"/>
    <w:link w:val="222"/>
    <w:qFormat/>
    <w:uiPriority w:val="0"/>
    <w:rPr>
      <w:rFonts w:ascii="Arial Unicode MS" w:hAnsi="Arial Unicode MS" w:eastAsia="Arial Unicode MS"/>
      <w:spacing w:val="10"/>
      <w:sz w:val="17"/>
      <w:szCs w:val="17"/>
      <w:shd w:val="clear" w:color="auto" w:fill="FFFFFF"/>
    </w:rPr>
  </w:style>
  <w:style w:type="paragraph" w:customStyle="1" w:styleId="222">
    <w:name w:val="正文文本 (3)"/>
    <w:basedOn w:val="1"/>
    <w:link w:val="221"/>
    <w:qFormat/>
    <w:uiPriority w:val="0"/>
    <w:pPr>
      <w:shd w:val="clear" w:color="auto" w:fill="FFFFFF"/>
      <w:spacing w:after="60" w:line="0" w:lineRule="atLeast"/>
      <w:ind w:hanging="940"/>
      <w:jc w:val="left"/>
    </w:pPr>
    <w:rPr>
      <w:rFonts w:ascii="Arial Unicode MS" w:hAnsi="Arial Unicode MS" w:eastAsia="Arial Unicode MS" w:cstheme="minorBidi"/>
      <w:spacing w:val="10"/>
      <w:sz w:val="17"/>
      <w:szCs w:val="17"/>
      <w:shd w:val="clear" w:color="auto" w:fill="FFFFFF"/>
    </w:rPr>
  </w:style>
  <w:style w:type="character" w:customStyle="1" w:styleId="223">
    <w:name w:val="Char Char Char"/>
    <w:qFormat/>
    <w:uiPriority w:val="0"/>
    <w:rPr>
      <w:rFonts w:hint="eastAsia" w:ascii="楷体_GB2312" w:eastAsia="楷体_GB2312"/>
      <w:b/>
      <w:kern w:val="2"/>
      <w:sz w:val="21"/>
    </w:rPr>
  </w:style>
  <w:style w:type="character" w:customStyle="1" w:styleId="224">
    <w:name w:val="标题 2 Char1"/>
    <w:qFormat/>
    <w:uiPriority w:val="0"/>
    <w:rPr>
      <w:rFonts w:hint="default" w:ascii="Arial" w:hAnsi="Arial" w:eastAsia="黑体" w:cs="Arial"/>
      <w:b/>
      <w:bCs/>
      <w:sz w:val="32"/>
      <w:szCs w:val="32"/>
    </w:rPr>
  </w:style>
  <w:style w:type="character" w:customStyle="1" w:styleId="225">
    <w:name w:val="正文文本 Char1"/>
    <w:qFormat/>
    <w:uiPriority w:val="0"/>
    <w:rPr>
      <w:rFonts w:hint="eastAsia" w:ascii="仿宋_GB2312" w:eastAsia="宋体"/>
      <w:kern w:val="2"/>
      <w:sz w:val="21"/>
      <w:szCs w:val="32"/>
      <w:lang w:val="en-US" w:eastAsia="zh-CN" w:bidi="ar-SA"/>
    </w:rPr>
  </w:style>
  <w:style w:type="character" w:customStyle="1" w:styleId="226">
    <w:name w:val="正文文本_"/>
    <w:link w:val="227"/>
    <w:qFormat/>
    <w:uiPriority w:val="0"/>
    <w:rPr>
      <w:rFonts w:ascii="MingLiU" w:hAnsi="MingLiU" w:eastAsia="MingLiU"/>
      <w:spacing w:val="20"/>
      <w:shd w:val="clear" w:color="auto" w:fill="FFFFFF"/>
    </w:rPr>
  </w:style>
  <w:style w:type="paragraph" w:customStyle="1" w:styleId="227">
    <w:name w:val="正文文本1"/>
    <w:basedOn w:val="1"/>
    <w:link w:val="226"/>
    <w:qFormat/>
    <w:uiPriority w:val="0"/>
    <w:pPr>
      <w:shd w:val="clear" w:color="auto" w:fill="FFFFFF"/>
      <w:spacing w:before="300" w:line="0" w:lineRule="atLeast"/>
      <w:ind w:hanging="580"/>
      <w:jc w:val="left"/>
    </w:pPr>
    <w:rPr>
      <w:rFonts w:ascii="MingLiU" w:hAnsi="MingLiU" w:eastAsia="MingLiU" w:cstheme="minorBidi"/>
      <w:spacing w:val="20"/>
      <w:shd w:val="clear" w:color="auto" w:fill="FFFFFF"/>
    </w:rPr>
  </w:style>
  <w:style w:type="character" w:customStyle="1" w:styleId="228">
    <w:name w:val="Char Char24"/>
    <w:qFormat/>
    <w:uiPriority w:val="0"/>
    <w:rPr>
      <w:rFonts w:hint="default" w:ascii="Arial" w:hAnsi="Arial" w:cs="Times New Roman"/>
      <w:b/>
      <w:color w:val="000000"/>
      <w:kern w:val="2"/>
      <w:sz w:val="24"/>
      <w:szCs w:val="24"/>
    </w:rPr>
  </w:style>
  <w:style w:type="character" w:customStyle="1" w:styleId="229">
    <w:name w:val="普通文字 Char Char"/>
    <w:qFormat/>
    <w:uiPriority w:val="0"/>
    <w:rPr>
      <w:rFonts w:hint="default" w:ascii="Courier New" w:hAnsi="Courier New" w:eastAsia="宋体" w:cs="Proxy 9"/>
      <w:kern w:val="2"/>
      <w:sz w:val="21"/>
      <w:lang w:val="en-US" w:eastAsia="zh-CN" w:bidi="ar-SA"/>
    </w:rPr>
  </w:style>
  <w:style w:type="character" w:customStyle="1" w:styleId="230">
    <w:name w:val="标题 3 Char Char"/>
    <w:qFormat/>
    <w:uiPriority w:val="0"/>
    <w:rPr>
      <w:rFonts w:ascii="宋体" w:hAnsi="宋体" w:eastAsia="宋体"/>
      <w:b/>
      <w:bCs/>
      <w:color w:val="FF0000"/>
      <w:kern w:val="2"/>
      <w:sz w:val="24"/>
      <w:szCs w:val="24"/>
      <w:lang w:val="zh-CN" w:eastAsia="zh-CN" w:bidi="ar-SA"/>
    </w:rPr>
  </w:style>
  <w:style w:type="character" w:customStyle="1" w:styleId="231">
    <w:name w:val="Char Char11"/>
    <w:qFormat/>
    <w:uiPriority w:val="0"/>
    <w:rPr>
      <w:rFonts w:hint="default" w:ascii="Cambria" w:hAnsi="Cambria" w:eastAsia="宋体"/>
      <w:b/>
      <w:bCs/>
      <w:kern w:val="32"/>
      <w:sz w:val="32"/>
      <w:szCs w:val="32"/>
    </w:rPr>
  </w:style>
  <w:style w:type="character" w:customStyle="1" w:styleId="232">
    <w:name w:val="WW8Num1z0"/>
    <w:qFormat/>
    <w:uiPriority w:val="0"/>
    <w:rPr>
      <w:sz w:val="24"/>
    </w:rPr>
  </w:style>
  <w:style w:type="character" w:customStyle="1" w:styleId="233">
    <w:name w:val="font21"/>
    <w:qFormat/>
    <w:uiPriority w:val="0"/>
    <w:rPr>
      <w:rFonts w:hint="eastAsia" w:ascii="宋体" w:hAnsi="宋体" w:eastAsia="宋体"/>
      <w:color w:val="000000"/>
      <w:sz w:val="24"/>
      <w:szCs w:val="24"/>
      <w:u w:val="none"/>
    </w:rPr>
  </w:style>
  <w:style w:type="character" w:customStyle="1" w:styleId="234">
    <w:name w:val="textcontents"/>
    <w:qFormat/>
    <w:uiPriority w:val="0"/>
  </w:style>
  <w:style w:type="character" w:customStyle="1" w:styleId="235">
    <w:name w:val="font11"/>
    <w:qFormat/>
    <w:uiPriority w:val="0"/>
    <w:rPr>
      <w:rFonts w:hint="eastAsia" w:ascii="宋体" w:hAnsi="宋体" w:eastAsia="宋体"/>
      <w:color w:val="000000"/>
      <w:sz w:val="24"/>
      <w:szCs w:val="24"/>
      <w:u w:val="single"/>
    </w:rPr>
  </w:style>
  <w:style w:type="character" w:customStyle="1" w:styleId="236">
    <w:name w:val="style6"/>
    <w:qFormat/>
    <w:uiPriority w:val="0"/>
  </w:style>
  <w:style w:type="character" w:customStyle="1" w:styleId="237">
    <w:name w:val="Endnote Text Char"/>
    <w:qFormat/>
    <w:uiPriority w:val="0"/>
    <w:rPr>
      <w:rFonts w:hint="default" w:ascii="Times New Roman" w:hAnsi="Times New Roman" w:cs="Times New Roman"/>
      <w:kern w:val="2"/>
      <w:sz w:val="21"/>
    </w:rPr>
  </w:style>
  <w:style w:type="character" w:customStyle="1" w:styleId="238">
    <w:name w:val="Variable"/>
    <w:qFormat/>
    <w:uiPriority w:val="0"/>
    <w:rPr>
      <w:i/>
    </w:rPr>
  </w:style>
  <w:style w:type="character" w:customStyle="1" w:styleId="239">
    <w:name w:val="Char Char2"/>
    <w:qFormat/>
    <w:uiPriority w:val="0"/>
    <w:rPr>
      <w:rFonts w:hint="eastAsia" w:ascii="宋体" w:hAnsi="宋体" w:eastAsia="宋体"/>
      <w:kern w:val="2"/>
      <w:sz w:val="21"/>
      <w:szCs w:val="24"/>
      <w:lang w:val="en-US" w:eastAsia="zh-CN" w:bidi="ar-SA"/>
    </w:rPr>
  </w:style>
  <w:style w:type="character" w:customStyle="1" w:styleId="240">
    <w:name w:val="标题 1 Char_0"/>
    <w:qFormat/>
    <w:uiPriority w:val="0"/>
    <w:rPr>
      <w:rFonts w:ascii="仿宋_GB2312" w:hAnsi="宋体" w:eastAsia="仿宋_GB2312" w:cs="宋体"/>
      <w:b/>
      <w:bCs/>
      <w:kern w:val="2"/>
      <w:sz w:val="30"/>
      <w:szCs w:val="30"/>
      <w:lang w:val="en-US" w:eastAsia="zh-CN" w:bidi="ar-SA"/>
    </w:rPr>
  </w:style>
  <w:style w:type="character" w:customStyle="1" w:styleId="241">
    <w:name w:val="批注主题 Char Char"/>
    <w:qFormat/>
    <w:uiPriority w:val="0"/>
    <w:rPr>
      <w:rFonts w:hint="default" w:ascii="Times New Roman" w:hAnsi="Times New Roman" w:cs="Times New Roman"/>
      <w:b/>
      <w:bCs/>
      <w:kern w:val="2"/>
      <w:sz w:val="21"/>
      <w:szCs w:val="24"/>
    </w:rPr>
  </w:style>
  <w:style w:type="character" w:customStyle="1" w:styleId="242">
    <w:name w:val="标题 Char Char Char"/>
    <w:qFormat/>
    <w:uiPriority w:val="0"/>
    <w:rPr>
      <w:rFonts w:hint="default" w:ascii="Arial" w:hAnsi="Arial" w:cs="Arial"/>
      <w:b/>
      <w:sz w:val="32"/>
    </w:rPr>
  </w:style>
  <w:style w:type="character" w:customStyle="1" w:styleId="243">
    <w:name w:val="纯文本 Char1"/>
    <w:qFormat/>
    <w:uiPriority w:val="0"/>
    <w:rPr>
      <w:rFonts w:ascii="宋体" w:hAnsi="Courier New" w:eastAsia="宋体"/>
      <w:kern w:val="2"/>
      <w:sz w:val="21"/>
      <w:lang w:bidi="ar-SA"/>
    </w:rPr>
  </w:style>
  <w:style w:type="character" w:customStyle="1" w:styleId="244">
    <w:name w:val="font51"/>
    <w:qFormat/>
    <w:uiPriority w:val="0"/>
    <w:rPr>
      <w:rFonts w:hint="eastAsia" w:ascii="宋体" w:hAnsi="宋体" w:eastAsia="宋体"/>
      <w:color w:val="000000"/>
      <w:sz w:val="24"/>
      <w:szCs w:val="24"/>
      <w:u w:val="none"/>
    </w:rPr>
  </w:style>
  <w:style w:type="character" w:customStyle="1" w:styleId="245">
    <w:name w:val="WW8Num8z0"/>
    <w:qFormat/>
    <w:uiPriority w:val="0"/>
    <w:rPr>
      <w:sz w:val="24"/>
    </w:rPr>
  </w:style>
  <w:style w:type="character" w:customStyle="1" w:styleId="246">
    <w:name w:val="尾注文本 Char Char Char"/>
    <w:qFormat/>
    <w:uiPriority w:val="0"/>
    <w:rPr>
      <w:kern w:val="2"/>
      <w:sz w:val="21"/>
      <w:szCs w:val="24"/>
    </w:rPr>
  </w:style>
  <w:style w:type="character" w:customStyle="1" w:styleId="247">
    <w:name w:val="WW8Num15z1"/>
    <w:qFormat/>
    <w:uiPriority w:val="0"/>
    <w:rPr>
      <w:rFonts w:hint="default" w:ascii="Times New Roman" w:hAnsi="Times New Roman" w:cs="Times New Roman"/>
      <w:color w:val="auto"/>
    </w:rPr>
  </w:style>
  <w:style w:type="character" w:customStyle="1" w:styleId="248">
    <w:name w:val="msobooktitle"/>
    <w:qFormat/>
    <w:uiPriority w:val="0"/>
    <w:rPr>
      <w:rFonts w:hint="default" w:ascii="Cambria" w:hAnsi="Cambria" w:eastAsia="宋体"/>
      <w:b/>
      <w:i/>
      <w:sz w:val="24"/>
      <w:szCs w:val="24"/>
    </w:rPr>
  </w:style>
  <w:style w:type="character" w:customStyle="1" w:styleId="249">
    <w:name w:val="页码1"/>
    <w:qFormat/>
    <w:uiPriority w:val="0"/>
  </w:style>
  <w:style w:type="character" w:customStyle="1" w:styleId="250">
    <w:name w:val="WW8Num3z0"/>
    <w:qFormat/>
    <w:uiPriority w:val="0"/>
    <w:rPr>
      <w:sz w:val="24"/>
      <w:szCs w:val="24"/>
    </w:rPr>
  </w:style>
  <w:style w:type="character" w:customStyle="1" w:styleId="251">
    <w:name w:val="font7"/>
    <w:qFormat/>
    <w:uiPriority w:val="0"/>
  </w:style>
  <w:style w:type="character" w:customStyle="1" w:styleId="252">
    <w:name w:val="font161"/>
    <w:qFormat/>
    <w:uiPriority w:val="0"/>
    <w:rPr>
      <w:b/>
      <w:bCs/>
      <w:sz w:val="32"/>
      <w:szCs w:val="32"/>
    </w:rPr>
  </w:style>
  <w:style w:type="character" w:customStyle="1" w:styleId="253">
    <w:name w:val="日期 Char Char"/>
    <w:qFormat/>
    <w:uiPriority w:val="0"/>
    <w:rPr>
      <w:kern w:val="2"/>
      <w:sz w:val="24"/>
    </w:rPr>
  </w:style>
  <w:style w:type="character" w:customStyle="1" w:styleId="254">
    <w:name w:val="标提1 Char Char"/>
    <w:link w:val="255"/>
    <w:qFormat/>
    <w:uiPriority w:val="0"/>
    <w:rPr>
      <w:rFonts w:ascii="黑体" w:hAnsi="黑体" w:eastAsia="黑体"/>
      <w:b/>
      <w:kern w:val="44"/>
      <w:sz w:val="24"/>
      <w:szCs w:val="24"/>
    </w:rPr>
  </w:style>
  <w:style w:type="paragraph" w:customStyle="1" w:styleId="255">
    <w:name w:val="标提1"/>
    <w:basedOn w:val="3"/>
    <w:next w:val="1"/>
    <w:link w:val="254"/>
    <w:qFormat/>
    <w:uiPriority w:val="0"/>
    <w:pPr>
      <w:spacing w:before="0" w:after="0" w:line="240" w:lineRule="auto"/>
      <w:jc w:val="both"/>
    </w:pPr>
    <w:rPr>
      <w:rFonts w:ascii="黑体" w:hAnsi="黑体" w:eastAsia="黑体" w:cstheme="minorBidi"/>
      <w:sz w:val="24"/>
      <w:szCs w:val="24"/>
    </w:rPr>
  </w:style>
  <w:style w:type="character" w:customStyle="1" w:styleId="256">
    <w:name w:val="标题 Char Char"/>
    <w:qFormat/>
    <w:uiPriority w:val="0"/>
    <w:rPr>
      <w:rFonts w:hint="default" w:ascii="Arial" w:hAnsi="Arial" w:eastAsia="楷体_GB2312" w:cs="Arial"/>
      <w:b/>
      <w:kern w:val="2"/>
      <w:sz w:val="44"/>
      <w:szCs w:val="24"/>
      <w:lang w:val="en-US" w:eastAsia="zh-CN" w:bidi="ar-SA"/>
    </w:rPr>
  </w:style>
  <w:style w:type="character" w:customStyle="1" w:styleId="257">
    <w:name w:val="标题 Char1"/>
    <w:qFormat/>
    <w:uiPriority w:val="0"/>
    <w:rPr>
      <w:rFonts w:hint="default" w:ascii="Arial" w:hAnsi="Arial" w:cs="Arial"/>
      <w:b/>
      <w:sz w:val="44"/>
    </w:rPr>
  </w:style>
  <w:style w:type="character" w:customStyle="1" w:styleId="258">
    <w:name w:val="msointenseemphasis"/>
    <w:qFormat/>
    <w:uiPriority w:val="0"/>
    <w:rPr>
      <w:b/>
      <w:i/>
      <w:sz w:val="24"/>
      <w:szCs w:val="24"/>
      <w:u w:val="single"/>
    </w:rPr>
  </w:style>
  <w:style w:type="character" w:customStyle="1" w:styleId="259">
    <w:name w:val="无间隔 字符"/>
    <w:link w:val="260"/>
    <w:qFormat/>
    <w:uiPriority w:val="0"/>
    <w:rPr>
      <w:sz w:val="22"/>
    </w:rPr>
  </w:style>
  <w:style w:type="paragraph" w:styleId="260">
    <w:name w:val="No Spacing"/>
    <w:basedOn w:val="1"/>
    <w:link w:val="259"/>
    <w:qFormat/>
    <w:uiPriority w:val="0"/>
    <w:rPr>
      <w:rFonts w:asciiTheme="minorHAnsi" w:hAnsiTheme="minorHAnsi" w:eastAsiaTheme="minorEastAsia" w:cstheme="minorBidi"/>
      <w:sz w:val="22"/>
    </w:rPr>
  </w:style>
  <w:style w:type="character" w:customStyle="1" w:styleId="261">
    <w:name w:val="标题 1 Char Char"/>
    <w:qFormat/>
    <w:uiPriority w:val="0"/>
    <w:rPr>
      <w:rFonts w:hint="eastAsia" w:ascii="仿宋_GB2312" w:eastAsia="仿宋_GB2312"/>
      <w:b/>
      <w:bCs/>
      <w:kern w:val="44"/>
      <w:sz w:val="44"/>
      <w:szCs w:val="44"/>
    </w:rPr>
  </w:style>
  <w:style w:type="character" w:customStyle="1" w:styleId="262">
    <w:name w:val="列出段落 Char"/>
    <w:link w:val="263"/>
    <w:qFormat/>
    <w:uiPriority w:val="0"/>
  </w:style>
  <w:style w:type="paragraph" w:customStyle="1" w:styleId="263">
    <w:name w:val="列出段落1"/>
    <w:basedOn w:val="1"/>
    <w:link w:val="262"/>
    <w:qFormat/>
    <w:uiPriority w:val="0"/>
    <w:pPr>
      <w:ind w:firstLine="420" w:firstLineChars="200"/>
    </w:pPr>
    <w:rPr>
      <w:rFonts w:asciiTheme="minorHAnsi" w:hAnsiTheme="minorHAnsi" w:eastAsiaTheme="minorEastAsia" w:cstheme="minorBidi"/>
    </w:rPr>
  </w:style>
  <w:style w:type="character" w:customStyle="1" w:styleId="264">
    <w:name w:val="Char Char25"/>
    <w:qFormat/>
    <w:uiPriority w:val="0"/>
    <w:rPr>
      <w:rFonts w:hint="default" w:ascii="Arial" w:hAnsi="Arial" w:cs="Arial"/>
      <w:b/>
      <w:bCs/>
      <w:color w:val="000000"/>
      <w:kern w:val="44"/>
      <w:sz w:val="30"/>
      <w:szCs w:val="30"/>
    </w:rPr>
  </w:style>
  <w:style w:type="paragraph" w:customStyle="1" w:styleId="265">
    <w:name w:val="样式 正文缩进正文（首行缩进两字）特点ALT+Z表正文正文非缩进四号段1Normal Indent Char2..."/>
    <w:basedOn w:val="5"/>
    <w:next w:val="6"/>
    <w:qFormat/>
    <w:uiPriority w:val="0"/>
    <w:pPr>
      <w:tabs>
        <w:tab w:val="left" w:pos="840"/>
      </w:tabs>
      <w:spacing w:before="240" w:line="400" w:lineRule="exact"/>
      <w:ind w:left="840" w:hanging="420"/>
    </w:pPr>
    <w:rPr>
      <w:rFonts w:hint="eastAsia" w:ascii="宋体" w:hAnsi="宋体" w:eastAsia="黑体"/>
      <w:b w:val="0"/>
      <w:color w:val="auto"/>
      <w:kern w:val="0"/>
      <w:szCs w:val="20"/>
    </w:rPr>
  </w:style>
  <w:style w:type="paragraph" w:customStyle="1" w:styleId="266">
    <w:name w:val="ÕýÎÄ"/>
    <w:qFormat/>
    <w:uiPriority w:val="0"/>
    <w:pPr>
      <w:widowControl w:val="0"/>
      <w:overflowPunct w:val="0"/>
      <w:autoSpaceDE w:val="0"/>
      <w:autoSpaceDN w:val="0"/>
      <w:adjustRightInd w:val="0"/>
      <w:spacing w:line="357" w:lineRule="atLeast"/>
      <w:jc w:val="both"/>
    </w:pPr>
    <w:rPr>
      <w:rFonts w:ascii="Times New Roman" w:hAnsi="Times New Roman" w:eastAsia="宋体" w:cs="Times New Roman"/>
      <w:color w:val="000000"/>
      <w:sz w:val="21"/>
      <w:lang w:val="en-US" w:eastAsia="zh-CN" w:bidi="ar-SA"/>
    </w:rPr>
  </w:style>
  <w:style w:type="paragraph" w:customStyle="1" w:styleId="267">
    <w:name w:val="样式 正文缩进正文（首行缩进两字）特点ALT+Z表正文正文非缩进四号段1Normal Indent Char2...4"/>
    <w:basedOn w:val="20"/>
    <w:qFormat/>
    <w:uiPriority w:val="0"/>
    <w:pPr>
      <w:tabs>
        <w:tab w:val="left" w:pos="510"/>
        <w:tab w:val="left" w:pos="2520"/>
      </w:tabs>
      <w:spacing w:line="300" w:lineRule="auto"/>
      <w:ind w:left="2520" w:hanging="420"/>
    </w:pPr>
    <w:rPr>
      <w:rFonts w:ascii="Calibri" w:hAnsi="宋体"/>
      <w:kern w:val="0"/>
      <w:sz w:val="24"/>
      <w:szCs w:val="22"/>
    </w:rPr>
  </w:style>
  <w:style w:type="paragraph" w:customStyle="1" w:styleId="268">
    <w:name w:val="纯文本1"/>
    <w:basedOn w:val="1"/>
    <w:qFormat/>
    <w:uiPriority w:val="0"/>
    <w:pPr>
      <w:suppressAutoHyphens/>
    </w:pPr>
    <w:rPr>
      <w:rFonts w:ascii="宋体" w:hAnsi="宋体"/>
      <w:szCs w:val="20"/>
      <w:lang w:eastAsia="ar-SA"/>
    </w:rPr>
  </w:style>
  <w:style w:type="paragraph" w:customStyle="1" w:styleId="269">
    <w:name w:val="目录 1_0"/>
    <w:basedOn w:val="270"/>
    <w:next w:val="270"/>
    <w:qFormat/>
    <w:uiPriority w:val="0"/>
    <w:pPr>
      <w:tabs>
        <w:tab w:val="right" w:leader="dot" w:pos="8493"/>
      </w:tabs>
      <w:adjustRightInd w:val="0"/>
      <w:spacing w:line="360" w:lineRule="auto"/>
      <w:jc w:val="left"/>
    </w:pPr>
    <w:rPr>
      <w:rFonts w:ascii="宋体" w:hAnsi="宋体"/>
      <w:b/>
      <w:caps/>
      <w:kern w:val="0"/>
      <w:sz w:val="24"/>
      <w:szCs w:val="32"/>
    </w:rPr>
  </w:style>
  <w:style w:type="paragraph" w:customStyle="1" w:styleId="270">
    <w:name w:val="正文_0"/>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271">
    <w:name w:val="Char Char Char Char Char Char1 Char"/>
    <w:basedOn w:val="1"/>
    <w:qFormat/>
    <w:uiPriority w:val="0"/>
    <w:pPr>
      <w:widowControl/>
      <w:spacing w:after="160" w:line="240" w:lineRule="exact"/>
      <w:jc w:val="left"/>
    </w:pPr>
    <w:rPr>
      <w:rFonts w:ascii="Verdana" w:hAnsi="Verdana" w:eastAsia="仿宋_GB2312"/>
      <w:kern w:val="0"/>
      <w:sz w:val="24"/>
      <w:szCs w:val="32"/>
      <w:lang w:eastAsia="en-US"/>
    </w:rPr>
  </w:style>
  <w:style w:type="paragraph" w:customStyle="1" w:styleId="272">
    <w:name w:val="封一"/>
    <w:basedOn w:val="181"/>
    <w:next w:val="181"/>
    <w:qFormat/>
    <w:uiPriority w:val="0"/>
    <w:pPr>
      <w:ind w:firstLine="0" w:firstLineChars="0"/>
      <w:jc w:val="center"/>
    </w:pPr>
    <w:rPr>
      <w:rFonts w:eastAsia="黑体"/>
      <w:b/>
      <w:sz w:val="84"/>
      <w:szCs w:val="84"/>
    </w:rPr>
  </w:style>
  <w:style w:type="paragraph" w:customStyle="1" w:styleId="273">
    <w:name w:val="正文 New New New New New New New New New New New New New New New New New New New New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274">
    <w:name w:val="Char1 Char Char Char Char Char Char1"/>
    <w:basedOn w:val="275"/>
    <w:qFormat/>
    <w:uiPriority w:val="0"/>
  </w:style>
  <w:style w:type="paragraph" w:customStyle="1" w:styleId="275">
    <w:name w:val="正文 New"/>
    <w:qFormat/>
    <w:uiPriority w:val="0"/>
    <w:pPr>
      <w:widowControl w:val="0"/>
      <w:jc w:val="both"/>
    </w:pPr>
    <w:rPr>
      <w:rFonts w:ascii="Times New Roman" w:hAnsi="Times New Roman" w:eastAsia="宋体" w:cs="Times New Roman"/>
      <w:kern w:val="2"/>
      <w:sz w:val="30"/>
      <w:szCs w:val="24"/>
      <w:lang w:val="en-US" w:eastAsia="zh-CN" w:bidi="ar-SA"/>
    </w:rPr>
  </w:style>
  <w:style w:type="paragraph" w:customStyle="1" w:styleId="276">
    <w:name w:val="正文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277">
    <w:name w:val="正文文本 21"/>
    <w:basedOn w:val="1"/>
    <w:qFormat/>
    <w:uiPriority w:val="0"/>
    <w:pPr>
      <w:suppressAutoHyphens/>
    </w:pPr>
    <w:rPr>
      <w:rFonts w:ascii="Times New Roman" w:hAnsi="Times New Roman" w:eastAsia="楷体_GB2312"/>
      <w:b/>
      <w:szCs w:val="20"/>
      <w:lang w:eastAsia="ar-SA"/>
    </w:rPr>
  </w:style>
  <w:style w:type="paragraph" w:customStyle="1" w:styleId="278">
    <w:name w:val="msoquote"/>
    <w:basedOn w:val="1"/>
    <w:next w:val="1"/>
    <w:qFormat/>
    <w:uiPriority w:val="0"/>
    <w:pPr>
      <w:widowControl/>
      <w:jc w:val="left"/>
    </w:pPr>
    <w:rPr>
      <w:rFonts w:ascii="Times New Roman" w:hAnsi="Times New Roman"/>
      <w:i/>
      <w:kern w:val="0"/>
      <w:sz w:val="24"/>
    </w:rPr>
  </w:style>
  <w:style w:type="paragraph" w:customStyle="1" w:styleId="279">
    <w:name w:val="_Style 72"/>
    <w:next w:val="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80">
    <w:name w:val="正文 New New New New New New New New New New New New New New New New New New New New New New New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281">
    <w:name w:val="Char5 Char Char"/>
    <w:basedOn w:val="1"/>
    <w:qFormat/>
    <w:uiPriority w:val="0"/>
    <w:pPr>
      <w:ind w:left="567" w:hanging="279"/>
    </w:pPr>
    <w:rPr>
      <w:rFonts w:ascii="Times New Roman" w:hAnsi="Times New Roman"/>
      <w:sz w:val="24"/>
      <w:szCs w:val="24"/>
    </w:rPr>
  </w:style>
  <w:style w:type="paragraph" w:customStyle="1" w:styleId="282">
    <w:name w:val="正文首行缩进 New"/>
    <w:basedOn w:val="283"/>
    <w:qFormat/>
    <w:uiPriority w:val="0"/>
    <w:pPr>
      <w:ind w:firstLine="420" w:firstLineChars="100"/>
    </w:pPr>
  </w:style>
  <w:style w:type="paragraph" w:customStyle="1" w:styleId="283">
    <w:name w:val="正文文本 New"/>
    <w:basedOn w:val="284"/>
    <w:qFormat/>
    <w:uiPriority w:val="0"/>
    <w:pPr>
      <w:spacing w:after="120"/>
    </w:pPr>
    <w:rPr>
      <w:rFonts w:eastAsia="宋体"/>
      <w:kern w:val="2"/>
      <w:sz w:val="30"/>
      <w:szCs w:val="24"/>
    </w:rPr>
  </w:style>
  <w:style w:type="paragraph" w:customStyle="1" w:styleId="284">
    <w:name w:val="正文 New New"/>
    <w:qFormat/>
    <w:uiPriority w:val="0"/>
    <w:pPr>
      <w:widowControl w:val="0"/>
      <w:jc w:val="both"/>
    </w:pPr>
    <w:rPr>
      <w:rFonts w:ascii="Times New Roman" w:hAnsi="Times New Roman" w:eastAsia="楷体_GB2312" w:cs="Times New Roman"/>
      <w:lang w:val="en-US" w:eastAsia="zh-CN" w:bidi="ar-SA"/>
    </w:rPr>
  </w:style>
  <w:style w:type="paragraph" w:customStyle="1" w:styleId="285">
    <w:name w:val="正文文本缩进 21"/>
    <w:basedOn w:val="1"/>
    <w:qFormat/>
    <w:uiPriority w:val="0"/>
    <w:pPr>
      <w:suppressAutoHyphens/>
      <w:spacing w:after="120" w:line="480" w:lineRule="auto"/>
      <w:ind w:left="420"/>
    </w:pPr>
    <w:rPr>
      <w:rFonts w:ascii="Times New Roman" w:hAnsi="Times New Roman"/>
      <w:szCs w:val="20"/>
      <w:lang w:eastAsia="ar-SA"/>
    </w:rPr>
  </w:style>
  <w:style w:type="paragraph" w:customStyle="1" w:styleId="286">
    <w:name w:val="默认段落字体 Para Char"/>
    <w:basedOn w:val="1"/>
    <w:qFormat/>
    <w:uiPriority w:val="0"/>
    <w:pPr>
      <w:spacing w:line="360" w:lineRule="auto"/>
      <w:jc w:val="left"/>
    </w:pPr>
    <w:rPr>
      <w:rFonts w:ascii="Times New Roman" w:hAnsi="Times New Roman" w:eastAsia="仿宋_GB2312"/>
      <w:b/>
      <w:sz w:val="32"/>
      <w:szCs w:val="24"/>
    </w:rPr>
  </w:style>
  <w:style w:type="paragraph" w:customStyle="1" w:styleId="287">
    <w:name w:val="纯文本2"/>
    <w:basedOn w:val="1"/>
    <w:qFormat/>
    <w:uiPriority w:val="0"/>
    <w:rPr>
      <w:rFonts w:ascii="宋体" w:hAnsi="Courier New"/>
      <w:sz w:val="24"/>
      <w:szCs w:val="20"/>
    </w:rPr>
  </w:style>
  <w:style w:type="paragraph" w:customStyle="1" w:styleId="288">
    <w:name w:val="Char4 Char Char Char"/>
    <w:basedOn w:val="1"/>
    <w:qFormat/>
    <w:uiPriority w:val="0"/>
    <w:pPr>
      <w:ind w:left="567" w:hanging="279"/>
    </w:pPr>
    <w:rPr>
      <w:rFonts w:ascii="Times New Roman" w:hAnsi="Times New Roman"/>
      <w:sz w:val="24"/>
      <w:szCs w:val="24"/>
    </w:rPr>
  </w:style>
  <w:style w:type="paragraph" w:customStyle="1" w:styleId="289">
    <w:name w:val="页眉 New"/>
    <w:basedOn w:val="290"/>
    <w:qFormat/>
    <w:uiPriority w:val="0"/>
    <w:pPr>
      <w:pBdr>
        <w:bottom w:val="single" w:color="auto" w:sz="6" w:space="1"/>
      </w:pBdr>
      <w:tabs>
        <w:tab w:val="center" w:pos="4153"/>
        <w:tab w:val="right" w:pos="8306"/>
      </w:tabs>
      <w:snapToGrid w:val="0"/>
      <w:jc w:val="center"/>
    </w:pPr>
    <w:rPr>
      <w:sz w:val="18"/>
    </w:rPr>
  </w:style>
  <w:style w:type="paragraph" w:customStyle="1" w:styleId="290">
    <w:name w:val="正文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91">
    <w:name w:val="页眉 New New"/>
    <w:basedOn w:val="292"/>
    <w:qFormat/>
    <w:uiPriority w:val="0"/>
    <w:pPr>
      <w:pBdr>
        <w:bottom w:val="single" w:color="auto" w:sz="6" w:space="1"/>
      </w:pBdr>
      <w:tabs>
        <w:tab w:val="center" w:pos="4153"/>
        <w:tab w:val="right" w:pos="8306"/>
      </w:tabs>
      <w:snapToGrid w:val="0"/>
      <w:jc w:val="center"/>
    </w:pPr>
    <w:rPr>
      <w:sz w:val="18"/>
    </w:rPr>
  </w:style>
  <w:style w:type="paragraph" w:customStyle="1" w:styleId="292">
    <w:name w:val="正文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93">
    <w:name w:val="表格"/>
    <w:basedOn w:val="1"/>
    <w:qFormat/>
    <w:uiPriority w:val="0"/>
    <w:pPr>
      <w:jc w:val="center"/>
    </w:pPr>
    <w:rPr>
      <w:rFonts w:ascii="华文细黑" w:hAnsi="华文细黑"/>
      <w:kern w:val="0"/>
      <w:szCs w:val="20"/>
    </w:rPr>
  </w:style>
  <w:style w:type="paragraph" w:customStyle="1" w:styleId="294">
    <w:name w:val="Normal_0"/>
    <w:qFormat/>
    <w:uiPriority w:val="0"/>
    <w:rPr>
      <w:rFonts w:ascii="Times New Roman" w:hAnsi="Times New Roman" w:eastAsia="Times New Roman" w:cs="Times New Roman"/>
      <w:sz w:val="24"/>
      <w:szCs w:val="24"/>
      <w:lang w:val="en-US" w:eastAsia="zh-CN" w:bidi="ar-SA"/>
    </w:rPr>
  </w:style>
  <w:style w:type="paragraph" w:customStyle="1" w:styleId="295">
    <w:name w:val="页脚 New New"/>
    <w:basedOn w:val="292"/>
    <w:qFormat/>
    <w:uiPriority w:val="0"/>
    <w:pPr>
      <w:tabs>
        <w:tab w:val="center" w:pos="4153"/>
        <w:tab w:val="right" w:pos="8306"/>
      </w:tabs>
      <w:snapToGrid w:val="0"/>
      <w:jc w:val="left"/>
    </w:pPr>
    <w:rPr>
      <w:sz w:val="18"/>
    </w:rPr>
  </w:style>
  <w:style w:type="paragraph" w:customStyle="1" w:styleId="296">
    <w:name w:val="正文 New New New New New New New New New New New New New"/>
    <w:qFormat/>
    <w:uiPriority w:val="0"/>
    <w:pPr>
      <w:widowControl w:val="0"/>
      <w:jc w:val="both"/>
    </w:pPr>
    <w:rPr>
      <w:rFonts w:ascii="仿宋_GB2312" w:hAnsi="仿宋_GB2312" w:eastAsia="宋体" w:cs="宋体"/>
      <w:snapToGrid w:val="0"/>
      <w:sz w:val="21"/>
      <w:szCs w:val="32"/>
      <w:lang w:val="en-US" w:eastAsia="zh-CN" w:bidi="ar-SA"/>
    </w:rPr>
  </w:style>
  <w:style w:type="paragraph" w:customStyle="1" w:styleId="297">
    <w:name w:val="2"/>
    <w:next w:val="298"/>
    <w:qFormat/>
    <w:uiPriority w:val="0"/>
    <w:pPr>
      <w:widowControl w:val="0"/>
      <w:jc w:val="both"/>
    </w:pPr>
    <w:rPr>
      <w:rFonts w:ascii="仿宋_GB2312" w:hAnsi="Times New Roman" w:eastAsia="宋体" w:cs="Times New Roman"/>
      <w:kern w:val="2"/>
      <w:sz w:val="21"/>
      <w:szCs w:val="32"/>
      <w:lang w:val="en-US" w:eastAsia="zh-CN" w:bidi="ar-SA"/>
    </w:rPr>
  </w:style>
  <w:style w:type="paragraph" w:customStyle="1" w:styleId="298">
    <w:name w:val="访问过的超链接1"/>
    <w:basedOn w:val="1"/>
    <w:qFormat/>
    <w:uiPriority w:val="0"/>
    <w:rPr>
      <w:rFonts w:ascii="仿宋_GB2312" w:hAnsi="Times New Roman"/>
      <w:szCs w:val="32"/>
    </w:rPr>
  </w:style>
  <w:style w:type="paragraph" w:customStyle="1" w:styleId="299">
    <w:name w:val="Address"/>
    <w:basedOn w:val="1"/>
    <w:next w:val="1"/>
    <w:qFormat/>
    <w:uiPriority w:val="0"/>
    <w:pPr>
      <w:widowControl/>
      <w:autoSpaceDE w:val="0"/>
      <w:autoSpaceDN w:val="0"/>
      <w:adjustRightInd w:val="0"/>
      <w:jc w:val="left"/>
    </w:pPr>
    <w:rPr>
      <w:rFonts w:ascii="Times New Roman" w:hAnsi="Times New Roman"/>
      <w:i/>
      <w:kern w:val="0"/>
      <w:sz w:val="24"/>
      <w:szCs w:val="20"/>
    </w:rPr>
  </w:style>
  <w:style w:type="paragraph" w:customStyle="1" w:styleId="300">
    <w:name w:val="文提"/>
    <w:basedOn w:val="181"/>
    <w:qFormat/>
    <w:uiPriority w:val="0"/>
    <w:pPr>
      <w:ind w:firstLine="0" w:firstLineChars="0"/>
    </w:pPr>
    <w:rPr>
      <w:rFonts w:eastAsia="黑体" w:cs="宋体"/>
      <w:b/>
    </w:rPr>
  </w:style>
  <w:style w:type="paragraph" w:customStyle="1" w:styleId="301">
    <w:name w:val="尾注文本 New"/>
    <w:basedOn w:val="302"/>
    <w:qFormat/>
    <w:uiPriority w:val="0"/>
    <w:pPr>
      <w:snapToGrid w:val="0"/>
      <w:jc w:val="left"/>
    </w:pPr>
    <w:rPr>
      <w:rFonts w:ascii="宋体" w:hAnsi="宋体" w:eastAsia="宋体"/>
      <w:szCs w:val="24"/>
    </w:rPr>
  </w:style>
  <w:style w:type="paragraph" w:customStyle="1" w:styleId="302">
    <w:name w:val="正文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303">
    <w:name w:val="正文 New New New New New New New New New New New New New New New New New New New New New New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304">
    <w:name w:val="正文 New New New New New New New New New New New"/>
    <w:qFormat/>
    <w:uiPriority w:val="0"/>
    <w:pPr>
      <w:widowControl w:val="0"/>
      <w:jc w:val="both"/>
    </w:pPr>
    <w:rPr>
      <w:rFonts w:ascii="Times New Roman" w:hAnsi="Times New Roman" w:eastAsia="宋体" w:cs="Times New Roman"/>
      <w:kern w:val="2"/>
      <w:sz w:val="30"/>
      <w:szCs w:val="24"/>
      <w:lang w:val="en-US" w:eastAsia="zh-CN" w:bidi="ar-SA"/>
    </w:rPr>
  </w:style>
  <w:style w:type="paragraph" w:customStyle="1" w:styleId="305">
    <w:name w:val="标题1"/>
    <w:basedOn w:val="1"/>
    <w:next w:val="19"/>
    <w:qFormat/>
    <w:uiPriority w:val="0"/>
    <w:pPr>
      <w:keepNext/>
      <w:suppressAutoHyphens/>
      <w:spacing w:before="240" w:after="120"/>
    </w:pPr>
    <w:rPr>
      <w:rFonts w:ascii="DejaVu Sans" w:hAnsi="DejaVu Sans" w:eastAsia="DejaVu Sans" w:cs="DejaVu Sans"/>
      <w:sz w:val="28"/>
      <w:szCs w:val="28"/>
      <w:lang w:eastAsia="ar-SA"/>
    </w:rPr>
  </w:style>
  <w:style w:type="paragraph" w:customStyle="1" w:styleId="306">
    <w:name w:val="普通(网站)1"/>
    <w:basedOn w:val="1"/>
    <w:qFormat/>
    <w:uiPriority w:val="0"/>
    <w:pPr>
      <w:widowControl/>
      <w:suppressAutoHyphens/>
      <w:spacing w:before="284" w:after="280" w:line="360" w:lineRule="auto"/>
      <w:jc w:val="left"/>
    </w:pPr>
    <w:rPr>
      <w:rFonts w:ascii="宋体" w:hAnsi="宋体"/>
      <w:sz w:val="24"/>
      <w:szCs w:val="20"/>
      <w:lang w:eastAsia="ar-SA"/>
    </w:rPr>
  </w:style>
  <w:style w:type="paragraph" w:customStyle="1" w:styleId="307">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08">
    <w:name w:val="cjk"/>
    <w:basedOn w:val="1"/>
    <w:qFormat/>
    <w:uiPriority w:val="0"/>
    <w:pPr>
      <w:widowControl/>
      <w:spacing w:before="284" w:after="100" w:afterAutospacing="1" w:line="360" w:lineRule="auto"/>
      <w:jc w:val="left"/>
    </w:pPr>
    <w:rPr>
      <w:rFonts w:ascii="宋体" w:hAnsi="宋体"/>
      <w:kern w:val="0"/>
      <w:sz w:val="22"/>
    </w:rPr>
  </w:style>
  <w:style w:type="paragraph" w:customStyle="1" w:styleId="309">
    <w:name w:val="正文文本缩进 New New"/>
    <w:basedOn w:val="1"/>
    <w:qFormat/>
    <w:uiPriority w:val="0"/>
    <w:pPr>
      <w:spacing w:after="120"/>
      <w:ind w:left="420" w:leftChars="200"/>
    </w:pPr>
    <w:rPr>
      <w:rFonts w:ascii="Times New Roman" w:hAnsi="Times New Roman" w:eastAsia="楷体_GB2312"/>
      <w:szCs w:val="20"/>
    </w:rPr>
  </w:style>
  <w:style w:type="paragraph" w:customStyle="1" w:styleId="310">
    <w:name w:val="样式8"/>
    <w:basedOn w:val="1"/>
    <w:qFormat/>
    <w:uiPriority w:val="0"/>
    <w:pPr>
      <w:keepNext/>
      <w:keepLines/>
      <w:widowControl/>
      <w:spacing w:before="260" w:after="260"/>
      <w:jc w:val="center"/>
      <w:outlineLvl w:val="1"/>
    </w:pPr>
    <w:rPr>
      <w:rFonts w:ascii="Arial" w:hAnsi="Arial" w:eastAsia="黑体"/>
      <w:b/>
      <w:bCs/>
      <w:kern w:val="0"/>
      <w:sz w:val="72"/>
      <w:szCs w:val="32"/>
    </w:rPr>
  </w:style>
  <w:style w:type="paragraph" w:customStyle="1" w:styleId="311">
    <w:name w:val="正文 New New New New New New New New New New New New New New New New New New New New New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312">
    <w:name w:val="正文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313">
    <w:name w:val="章节三"/>
    <w:basedOn w:val="181"/>
    <w:next w:val="181"/>
    <w:qFormat/>
    <w:uiPriority w:val="0"/>
    <w:pPr>
      <w:spacing w:beforeLines="50" w:line="240" w:lineRule="auto"/>
      <w:ind w:firstLine="0" w:firstLineChars="0"/>
      <w:jc w:val="left"/>
      <w:outlineLvl w:val="2"/>
    </w:pPr>
    <w:rPr>
      <w:rFonts w:ascii="黑体" w:eastAsia="黑体"/>
      <w:b/>
    </w:rPr>
  </w:style>
  <w:style w:type="paragraph" w:customStyle="1" w:styleId="314">
    <w:name w:val="Char1 Char Char Char Char Char Char11"/>
    <w:basedOn w:val="1"/>
    <w:qFormat/>
    <w:uiPriority w:val="0"/>
    <w:rPr>
      <w:rFonts w:ascii="Times New Roman" w:hAnsi="Times New Roman"/>
      <w:szCs w:val="20"/>
    </w:rPr>
  </w:style>
  <w:style w:type="paragraph" w:customStyle="1" w:styleId="315">
    <w:name w:val="Normal_1"/>
    <w:qFormat/>
    <w:uiPriority w:val="0"/>
    <w:rPr>
      <w:rFonts w:ascii="Times New Roman" w:hAnsi="Times New Roman" w:eastAsia="Times New Roman" w:cs="Times New Roman"/>
      <w:sz w:val="24"/>
      <w:szCs w:val="24"/>
      <w:lang w:val="en-US" w:eastAsia="zh-CN" w:bidi="ar-SA"/>
    </w:rPr>
  </w:style>
  <w:style w:type="paragraph" w:customStyle="1" w:styleId="316">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7">
    <w:name w:val="1"/>
    <w:basedOn w:val="1"/>
    <w:next w:val="1"/>
    <w:qFormat/>
    <w:uiPriority w:val="0"/>
    <w:rPr>
      <w:rFonts w:ascii="Times New Roman" w:hAnsi="Times New Roman"/>
    </w:rPr>
  </w:style>
  <w:style w:type="paragraph" w:customStyle="1" w:styleId="318">
    <w:name w:val="Char5 Char Char Char Char Char Char Char Char Char Char Char Char Char Char Char Char Char Char Char Char1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19">
    <w:name w:val="内容目录 10"/>
    <w:basedOn w:val="320"/>
    <w:qFormat/>
    <w:uiPriority w:val="0"/>
    <w:pPr>
      <w:tabs>
        <w:tab w:val="right" w:leader="dot" w:pos="9637"/>
      </w:tabs>
      <w:ind w:left="2547"/>
    </w:pPr>
  </w:style>
  <w:style w:type="paragraph" w:customStyle="1" w:styleId="320">
    <w:name w:val="目录"/>
    <w:basedOn w:val="1"/>
    <w:qFormat/>
    <w:uiPriority w:val="0"/>
    <w:pPr>
      <w:suppressLineNumbers/>
      <w:suppressAutoHyphens/>
    </w:pPr>
    <w:rPr>
      <w:rFonts w:ascii="Times New Roman" w:hAnsi="Times New Roman"/>
      <w:szCs w:val="20"/>
      <w:lang w:eastAsia="ar-SA"/>
    </w:rPr>
  </w:style>
  <w:style w:type="paragraph" w:customStyle="1" w:styleId="321">
    <w:name w:val="正文_1"/>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322">
    <w:name w:val="msonospacing"/>
    <w:qFormat/>
    <w:uiPriority w:val="0"/>
    <w:rPr>
      <w:rFonts w:ascii="Times New Roman" w:hAnsi="Times New Roman" w:eastAsia="Times New Roman" w:cs="Times New Roman"/>
      <w:kern w:val="2"/>
      <w:sz w:val="22"/>
      <w:lang w:val="en-US" w:eastAsia="zh-CN" w:bidi="ar-SA"/>
    </w:rPr>
  </w:style>
  <w:style w:type="paragraph" w:customStyle="1" w:styleId="323">
    <w:name w:val="Char Char Char1 Char1"/>
    <w:basedOn w:val="1"/>
    <w:qFormat/>
    <w:uiPriority w:val="0"/>
    <w:rPr>
      <w:rFonts w:ascii="宋体" w:hAnsi="Times New Roman"/>
      <w:kern w:val="0"/>
      <w:sz w:val="34"/>
      <w:szCs w:val="20"/>
    </w:rPr>
  </w:style>
  <w:style w:type="paragraph" w:customStyle="1" w:styleId="324">
    <w:name w:val="Normal_3"/>
    <w:qFormat/>
    <w:uiPriority w:val="0"/>
    <w:rPr>
      <w:rFonts w:ascii="Times New Roman" w:hAnsi="Times New Roman" w:eastAsia="Times New Roman" w:cs="Times New Roman"/>
      <w:sz w:val="24"/>
      <w:szCs w:val="24"/>
      <w:lang w:val="en-US" w:eastAsia="zh-CN" w:bidi="ar-SA"/>
    </w:rPr>
  </w:style>
  <w:style w:type="paragraph" w:customStyle="1" w:styleId="325">
    <w:name w:val="样式 标题 1 + 宋体 居中 段前: 48 磅 段后: 12 磅 行距: 1.5 倍行距"/>
    <w:basedOn w:val="3"/>
    <w:qFormat/>
    <w:uiPriority w:val="0"/>
    <w:pPr>
      <w:snapToGrid w:val="0"/>
      <w:spacing w:before="1560" w:after="240"/>
    </w:pPr>
    <w:rPr>
      <w:rFonts w:ascii="宋体" w:hAnsi="宋体"/>
      <w:bCs/>
      <w:kern w:val="2"/>
      <w:sz w:val="36"/>
      <w:szCs w:val="20"/>
    </w:rPr>
  </w:style>
  <w:style w:type="paragraph" w:customStyle="1" w:styleId="326">
    <w:name w:val="表格文字居中"/>
    <w:basedOn w:val="1"/>
    <w:next w:val="1"/>
    <w:qFormat/>
    <w:uiPriority w:val="0"/>
    <w:pPr>
      <w:tabs>
        <w:tab w:val="left" w:pos="720"/>
        <w:tab w:val="left" w:pos="900"/>
      </w:tabs>
      <w:adjustRightInd w:val="0"/>
      <w:snapToGrid w:val="0"/>
      <w:spacing w:beforeLines="20" w:afterLines="20" w:line="360" w:lineRule="auto"/>
      <w:jc w:val="center"/>
    </w:pPr>
    <w:rPr>
      <w:rFonts w:ascii="宋体" w:hAnsi="Arial"/>
      <w:kern w:val="0"/>
      <w:sz w:val="18"/>
      <w:szCs w:val="20"/>
    </w:rPr>
  </w:style>
  <w:style w:type="paragraph" w:customStyle="1" w:styleId="327">
    <w:name w:val="Char2"/>
    <w:basedOn w:val="1"/>
    <w:qFormat/>
    <w:uiPriority w:val="0"/>
    <w:pPr>
      <w:tabs>
        <w:tab w:val="left" w:pos="1500"/>
      </w:tabs>
      <w:ind w:left="567" w:hanging="279"/>
    </w:pPr>
    <w:rPr>
      <w:rFonts w:ascii="Times New Roman" w:hAnsi="Times New Roman"/>
      <w:sz w:val="24"/>
      <w:szCs w:val="24"/>
    </w:rPr>
  </w:style>
  <w:style w:type="paragraph" w:customStyle="1" w:styleId="328">
    <w:name w:val="正文首行缩进1"/>
    <w:basedOn w:val="19"/>
    <w:qFormat/>
    <w:uiPriority w:val="0"/>
    <w:pPr>
      <w:ind w:firstLine="420" w:firstLineChars="100"/>
    </w:pPr>
    <w:rPr>
      <w:rFonts w:ascii="Times New Roman"/>
      <w:kern w:val="0"/>
      <w:sz w:val="30"/>
      <w:szCs w:val="24"/>
    </w:rPr>
  </w:style>
  <w:style w:type="paragraph" w:customStyle="1" w:styleId="329">
    <w:name w:val="样式1"/>
    <w:basedOn w:val="6"/>
    <w:qFormat/>
    <w:uiPriority w:val="0"/>
    <w:pPr>
      <w:keepNext/>
      <w:keepLines/>
      <w:widowControl w:val="0"/>
      <w:spacing w:before="260" w:after="260" w:line="412" w:lineRule="auto"/>
      <w:jc w:val="both"/>
    </w:pPr>
    <w:rPr>
      <w:rFonts w:ascii="Calibri" w:hAnsi="Calibri" w:eastAsia="Arial" w:cs="Times New Roman"/>
      <w:b/>
      <w:kern w:val="2"/>
      <w:sz w:val="32"/>
      <w:szCs w:val="22"/>
    </w:rPr>
  </w:style>
  <w:style w:type="paragraph" w:customStyle="1" w:styleId="330">
    <w:name w:val="正文文本缩进1"/>
    <w:basedOn w:val="1"/>
    <w:qFormat/>
    <w:uiPriority w:val="0"/>
    <w:pPr>
      <w:ind w:firstLine="480"/>
    </w:pPr>
    <w:rPr>
      <w:rFonts w:ascii="Times New Roman" w:hAnsi="Times New Roman"/>
      <w:sz w:val="24"/>
      <w:szCs w:val="20"/>
    </w:rPr>
  </w:style>
  <w:style w:type="paragraph" w:customStyle="1" w:styleId="331">
    <w:name w:val="样式3"/>
    <w:basedOn w:val="6"/>
    <w:qFormat/>
    <w:uiPriority w:val="0"/>
    <w:pPr>
      <w:keepNext/>
      <w:keepLines/>
      <w:widowControl w:val="0"/>
      <w:spacing w:before="260" w:after="260" w:line="412" w:lineRule="auto"/>
      <w:jc w:val="both"/>
    </w:pPr>
    <w:rPr>
      <w:rFonts w:ascii="Calibri" w:hAnsi="Calibri" w:eastAsia="Arial" w:cs="Times New Roman"/>
      <w:b/>
      <w:kern w:val="2"/>
      <w:sz w:val="32"/>
      <w:szCs w:val="22"/>
    </w:rPr>
  </w:style>
  <w:style w:type="paragraph" w:customStyle="1" w:styleId="332">
    <w:name w:val="Char Char Char Char Char Char Char Char Char Char Char Char Char"/>
    <w:basedOn w:val="16"/>
    <w:qFormat/>
    <w:uiPriority w:val="0"/>
    <w:rPr>
      <w:rFonts w:ascii="Tahoma" w:hAnsi="Tahoma"/>
      <w:kern w:val="0"/>
      <w:sz w:val="24"/>
      <w:szCs w:val="24"/>
      <w:shd w:val="clear" w:color="auto" w:fill="000080"/>
    </w:rPr>
  </w:style>
  <w:style w:type="paragraph" w:customStyle="1" w:styleId="33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34">
    <w:name w:val="Char2 Char Char Char"/>
    <w:basedOn w:val="1"/>
    <w:qFormat/>
    <w:uiPriority w:val="0"/>
    <w:pPr>
      <w:tabs>
        <w:tab w:val="left" w:pos="1350"/>
      </w:tabs>
      <w:ind w:left="1350" w:hanging="720"/>
    </w:pPr>
    <w:rPr>
      <w:rFonts w:ascii="Times New Roman" w:hAnsi="Times New Roman"/>
      <w:sz w:val="24"/>
      <w:szCs w:val="24"/>
    </w:rPr>
  </w:style>
  <w:style w:type="paragraph" w:customStyle="1" w:styleId="335">
    <w:name w:val="封二"/>
    <w:basedOn w:val="181"/>
    <w:next w:val="181"/>
    <w:qFormat/>
    <w:uiPriority w:val="0"/>
    <w:pPr>
      <w:ind w:firstLine="0" w:firstLineChars="0"/>
      <w:jc w:val="center"/>
    </w:pPr>
    <w:rPr>
      <w:rFonts w:eastAsia="黑体"/>
      <w:b/>
      <w:sz w:val="36"/>
      <w:szCs w:val="36"/>
    </w:rPr>
  </w:style>
  <w:style w:type="paragraph" w:customStyle="1" w:styleId="336">
    <w:name w:val="正文缩进_0"/>
    <w:basedOn w:val="270"/>
    <w:qFormat/>
    <w:uiPriority w:val="0"/>
    <w:pPr>
      <w:ind w:firstLine="420"/>
    </w:pPr>
  </w:style>
  <w:style w:type="paragraph" w:customStyle="1" w:styleId="337">
    <w:name w:val="样式2"/>
    <w:basedOn w:val="6"/>
    <w:qFormat/>
    <w:uiPriority w:val="0"/>
    <w:pPr>
      <w:keepNext/>
      <w:keepLines/>
      <w:widowControl w:val="0"/>
      <w:spacing w:before="260" w:after="260" w:line="412" w:lineRule="auto"/>
      <w:jc w:val="both"/>
    </w:pPr>
    <w:rPr>
      <w:rFonts w:ascii="Calibri" w:hAnsi="Calibri" w:cs="Times New Roman"/>
      <w:b/>
      <w:kern w:val="2"/>
      <w:sz w:val="32"/>
      <w:szCs w:val="22"/>
    </w:rPr>
  </w:style>
  <w:style w:type="paragraph" w:customStyle="1" w:styleId="338">
    <w:name w:val="标题 3_0"/>
    <w:basedOn w:val="270"/>
    <w:next w:val="336"/>
    <w:qFormat/>
    <w:uiPriority w:val="0"/>
    <w:pPr>
      <w:keepNext/>
      <w:keepLines/>
      <w:spacing w:line="360" w:lineRule="auto"/>
      <w:jc w:val="center"/>
      <w:outlineLvl w:val="2"/>
    </w:pPr>
    <w:rPr>
      <w:rFonts w:ascii="仿宋_GB2312" w:hAnsi="宋体" w:eastAsia="仿宋_GB2312" w:cs="宋体"/>
      <w:b/>
      <w:sz w:val="30"/>
      <w:szCs w:val="30"/>
    </w:rPr>
  </w:style>
  <w:style w:type="paragraph" w:customStyle="1" w:styleId="339">
    <w:name w:val="正文文本缩进 31"/>
    <w:basedOn w:val="1"/>
    <w:qFormat/>
    <w:uiPriority w:val="0"/>
    <w:pPr>
      <w:suppressAutoHyphens/>
      <w:spacing w:after="120"/>
      <w:ind w:left="420"/>
    </w:pPr>
    <w:rPr>
      <w:rFonts w:ascii="Times New Roman" w:hAnsi="Times New Roman"/>
      <w:sz w:val="16"/>
      <w:szCs w:val="20"/>
      <w:lang w:eastAsia="ar-SA"/>
    </w:rPr>
  </w:style>
  <w:style w:type="paragraph" w:customStyle="1" w:styleId="340">
    <w:name w:val="表格文字"/>
    <w:basedOn w:val="1"/>
    <w:qFormat/>
    <w:uiPriority w:val="0"/>
    <w:pPr>
      <w:adjustRightInd w:val="0"/>
      <w:spacing w:line="420" w:lineRule="atLeast"/>
      <w:jc w:val="left"/>
    </w:pPr>
    <w:rPr>
      <w:rFonts w:ascii="Times New Roman" w:hAnsi="Times New Roman"/>
      <w:kern w:val="0"/>
      <w:szCs w:val="20"/>
    </w:rPr>
  </w:style>
  <w:style w:type="paragraph" w:customStyle="1" w:styleId="341">
    <w:name w:val="TOC 标题2"/>
    <w:basedOn w:val="3"/>
    <w:next w:val="1"/>
    <w:qFormat/>
    <w:uiPriority w:val="0"/>
    <w:pPr>
      <w:widowControl/>
      <w:spacing w:before="480" w:after="0" w:line="276" w:lineRule="auto"/>
      <w:jc w:val="left"/>
      <w:outlineLvl w:val="9"/>
    </w:pPr>
    <w:rPr>
      <w:rFonts w:ascii="Cambria" w:hAnsi="Cambria"/>
      <w:b w:val="0"/>
      <w:color w:val="365F91"/>
      <w:kern w:val="0"/>
    </w:rPr>
  </w:style>
  <w:style w:type="paragraph" w:customStyle="1" w:styleId="342">
    <w:name w:val="Char Char Char Char1"/>
    <w:basedOn w:val="1"/>
    <w:qFormat/>
    <w:uiPriority w:val="0"/>
    <w:pPr>
      <w:widowControl/>
      <w:spacing w:after="160" w:line="240" w:lineRule="exact"/>
      <w:jc w:val="left"/>
    </w:pPr>
    <w:rPr>
      <w:rFonts w:ascii="Times New Roman" w:hAnsi="Times New Roman"/>
      <w:szCs w:val="20"/>
    </w:rPr>
  </w:style>
  <w:style w:type="paragraph" w:customStyle="1" w:styleId="343">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44">
    <w:name w:val="正文 New New New New New New New New New New New New New New New New New New New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345">
    <w:name w:val="纯文本 New"/>
    <w:basedOn w:val="284"/>
    <w:qFormat/>
    <w:uiPriority w:val="0"/>
    <w:rPr>
      <w:rFonts w:ascii="宋体" w:hAnsi="Courier New" w:eastAsia="宋体"/>
      <w:kern w:val="2"/>
      <w:sz w:val="24"/>
    </w:rPr>
  </w:style>
  <w:style w:type="paragraph" w:customStyle="1" w:styleId="346">
    <w:name w:val="xl4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347">
    <w:name w:val="正文 New New New New New New New New New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348">
    <w:name w:val="正文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49">
    <w:name w:val="封四"/>
    <w:basedOn w:val="181"/>
    <w:next w:val="181"/>
    <w:qFormat/>
    <w:uiPriority w:val="0"/>
    <w:pPr>
      <w:jc w:val="left"/>
    </w:pPr>
    <w:rPr>
      <w:sz w:val="30"/>
      <w:szCs w:val="30"/>
    </w:rPr>
  </w:style>
  <w:style w:type="paragraph" w:customStyle="1" w:styleId="350">
    <w:name w:val="正文文本缩进 22"/>
    <w:basedOn w:val="1"/>
    <w:qFormat/>
    <w:uiPriority w:val="0"/>
    <w:pPr>
      <w:spacing w:line="420" w:lineRule="exact"/>
      <w:ind w:firstLine="480"/>
    </w:pPr>
    <w:rPr>
      <w:rFonts w:ascii="Times New Roman" w:hAnsi="Times New Roman"/>
      <w:b/>
      <w:sz w:val="24"/>
      <w:szCs w:val="20"/>
    </w:rPr>
  </w:style>
  <w:style w:type="paragraph" w:customStyle="1" w:styleId="351">
    <w:name w:val="页脚 New"/>
    <w:basedOn w:val="290"/>
    <w:qFormat/>
    <w:uiPriority w:val="0"/>
    <w:pPr>
      <w:tabs>
        <w:tab w:val="center" w:pos="4153"/>
        <w:tab w:val="right" w:pos="8306"/>
      </w:tabs>
      <w:snapToGrid w:val="0"/>
      <w:jc w:val="left"/>
    </w:pPr>
    <w:rPr>
      <w:sz w:val="18"/>
    </w:rPr>
  </w:style>
  <w:style w:type="paragraph" w:customStyle="1" w:styleId="352">
    <w:name w:val="msonormalcxspmidd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53">
    <w:name w:val="正文1"/>
    <w:qFormat/>
    <w:uiPriority w:val="0"/>
    <w:rPr>
      <w:rFonts w:ascii="Times New Roman" w:hAnsi="Times New Roman" w:eastAsia="Times New Roman" w:cs="Times New Roman"/>
      <w:sz w:val="24"/>
      <w:szCs w:val="24"/>
      <w:lang w:val="en-US" w:eastAsia="zh-CN" w:bidi="ar-SA"/>
    </w:rPr>
  </w:style>
  <w:style w:type="paragraph" w:customStyle="1" w:styleId="354">
    <w:name w:val="Char14"/>
    <w:basedOn w:val="16"/>
    <w:qFormat/>
    <w:uiPriority w:val="0"/>
    <w:rPr>
      <w:rFonts w:ascii="Tahoma" w:hAnsi="Tahoma"/>
      <w:kern w:val="0"/>
      <w:sz w:val="24"/>
      <w:szCs w:val="24"/>
      <w:shd w:val="clear" w:color="auto" w:fill="000080"/>
    </w:rPr>
  </w:style>
  <w:style w:type="paragraph" w:customStyle="1" w:styleId="355">
    <w:name w:val="正文 New New New New New New New New New New New New New New New New New New New"/>
    <w:qFormat/>
    <w:uiPriority w:val="0"/>
    <w:pPr>
      <w:widowControl w:val="0"/>
      <w:jc w:val="both"/>
    </w:pPr>
    <w:rPr>
      <w:rFonts w:ascii="仿宋_GB2312" w:hAnsi="仿宋_GB2312" w:eastAsia="宋体" w:cs="宋体"/>
      <w:snapToGrid w:val="0"/>
      <w:sz w:val="21"/>
      <w:szCs w:val="32"/>
      <w:lang w:val="en-US" w:eastAsia="zh-CN" w:bidi="ar-SA"/>
    </w:rPr>
  </w:style>
  <w:style w:type="paragraph" w:customStyle="1" w:styleId="356">
    <w:name w:val="Char1 Char Char Char Char Char Char1 Char Char Char"/>
    <w:basedOn w:val="1"/>
    <w:qFormat/>
    <w:uiPriority w:val="0"/>
    <w:rPr>
      <w:rFonts w:ascii="Times New Roman" w:hAnsi="Times New Roman"/>
      <w:sz w:val="30"/>
      <w:szCs w:val="24"/>
    </w:rPr>
  </w:style>
  <w:style w:type="paragraph" w:customStyle="1" w:styleId="357">
    <w:name w:val="列表项目符号 21"/>
    <w:basedOn w:val="358"/>
    <w:qFormat/>
    <w:uiPriority w:val="0"/>
    <w:pPr>
      <w:widowControl/>
      <w:tabs>
        <w:tab w:val="left" w:pos="360"/>
      </w:tabs>
      <w:spacing w:after="220" w:line="220" w:lineRule="atLeast"/>
      <w:ind w:left="360" w:right="720"/>
      <w:jc w:val="left"/>
    </w:pPr>
  </w:style>
  <w:style w:type="paragraph" w:customStyle="1" w:styleId="358">
    <w:name w:val="列表项目符号1"/>
    <w:basedOn w:val="1"/>
    <w:qFormat/>
    <w:uiPriority w:val="0"/>
    <w:pPr>
      <w:tabs>
        <w:tab w:val="left" w:pos="360"/>
      </w:tabs>
      <w:suppressAutoHyphens/>
    </w:pPr>
    <w:rPr>
      <w:rFonts w:ascii="Times New Roman" w:hAnsi="Times New Roman"/>
      <w:szCs w:val="20"/>
      <w:lang w:eastAsia="ar-SA"/>
    </w:rPr>
  </w:style>
  <w:style w:type="paragraph" w:customStyle="1" w:styleId="359">
    <w:name w:val="样式 标题 1 + 黑体 三号 非加粗 居中 段前: 6 磅 段后: 6 磅 行距: 固定值 20 磅"/>
    <w:basedOn w:val="3"/>
    <w:qFormat/>
    <w:uiPriority w:val="0"/>
    <w:pPr>
      <w:spacing w:before="0" w:line="400" w:lineRule="exact"/>
    </w:pPr>
    <w:rPr>
      <w:rFonts w:ascii="黑体" w:hAnsi="黑体" w:eastAsia="黑体"/>
      <w:bCs/>
      <w:sz w:val="32"/>
      <w:szCs w:val="20"/>
    </w:rPr>
  </w:style>
  <w:style w:type="paragraph" w:customStyle="1" w:styleId="360">
    <w:name w:val="Normal_2"/>
    <w:qFormat/>
    <w:uiPriority w:val="0"/>
    <w:rPr>
      <w:rFonts w:ascii="Times New Roman" w:hAnsi="Times New Roman" w:eastAsia="Times New Roman" w:cs="Times New Roman"/>
      <w:sz w:val="24"/>
      <w:szCs w:val="24"/>
      <w:lang w:val="en-US" w:eastAsia="zh-CN" w:bidi="ar-SA"/>
    </w:rPr>
  </w:style>
  <w:style w:type="paragraph" w:customStyle="1" w:styleId="361">
    <w:name w:val="文档结构图1"/>
    <w:basedOn w:val="1"/>
    <w:qFormat/>
    <w:uiPriority w:val="0"/>
    <w:pPr>
      <w:shd w:val="clear" w:color="auto" w:fill="000080"/>
      <w:suppressAutoHyphens/>
    </w:pPr>
    <w:rPr>
      <w:rFonts w:ascii="Times New Roman" w:hAnsi="Times New Roman"/>
      <w:szCs w:val="20"/>
      <w:lang w:eastAsia="ar-SA"/>
    </w:rPr>
  </w:style>
  <w:style w:type="paragraph" w:customStyle="1" w:styleId="362">
    <w:name w:val="方框图"/>
    <w:basedOn w:val="1"/>
    <w:qFormat/>
    <w:uiPriority w:val="0"/>
    <w:pPr>
      <w:jc w:val="center"/>
    </w:pPr>
    <w:rPr>
      <w:rFonts w:ascii="Times New Roman" w:hAnsi="Times New Roman"/>
      <w:bCs/>
      <w:szCs w:val="24"/>
    </w:rPr>
  </w:style>
  <w:style w:type="paragraph" w:customStyle="1" w:styleId="363">
    <w:name w:val="6'"/>
    <w:basedOn w:val="1"/>
    <w:qFormat/>
    <w:uiPriority w:val="0"/>
    <w:pPr>
      <w:autoSpaceDE w:val="0"/>
      <w:autoSpaceDN w:val="0"/>
      <w:adjustRightInd w:val="0"/>
      <w:snapToGrid w:val="0"/>
      <w:spacing w:line="320" w:lineRule="exact"/>
      <w:jc w:val="center"/>
    </w:pPr>
    <w:rPr>
      <w:rFonts w:ascii="Times New Roman" w:hAnsi="Times New Roman"/>
      <w:spacing w:val="20"/>
      <w:kern w:val="28"/>
      <w:szCs w:val="20"/>
    </w:rPr>
  </w:style>
  <w:style w:type="paragraph" w:customStyle="1" w:styleId="364">
    <w:name w:val="样式4"/>
    <w:basedOn w:val="6"/>
    <w:qFormat/>
    <w:uiPriority w:val="0"/>
    <w:pPr>
      <w:keepNext/>
      <w:keepLines/>
      <w:widowControl w:val="0"/>
      <w:spacing w:before="260" w:after="260" w:line="412" w:lineRule="auto"/>
      <w:jc w:val="both"/>
    </w:pPr>
    <w:rPr>
      <w:rFonts w:ascii="Calibri" w:hAnsi="Calibri" w:eastAsia="Arial" w:cs="Times New Roman"/>
      <w:b/>
      <w:kern w:val="2"/>
      <w:sz w:val="32"/>
      <w:szCs w:val="22"/>
    </w:rPr>
  </w:style>
  <w:style w:type="paragraph" w:customStyle="1" w:styleId="365">
    <w:name w:val="Char13 Char Char Char Char Char"/>
    <w:basedOn w:val="1"/>
    <w:qFormat/>
    <w:uiPriority w:val="0"/>
    <w:pPr>
      <w:ind w:left="567" w:hanging="279"/>
    </w:pPr>
    <w:rPr>
      <w:rFonts w:ascii="Times New Roman" w:hAnsi="Times New Roman"/>
      <w:kern w:val="0"/>
      <w:sz w:val="20"/>
      <w:szCs w:val="20"/>
    </w:rPr>
  </w:style>
  <w:style w:type="paragraph" w:customStyle="1" w:styleId="366">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7">
    <w:name w:val="样式 正文缩进正文（首行缩进两字）特点ALT+Z表正文正文非缩进四号段1Normal Indent Char2...1"/>
    <w:basedOn w:val="5"/>
    <w:qFormat/>
    <w:uiPriority w:val="0"/>
    <w:pPr>
      <w:tabs>
        <w:tab w:val="left" w:pos="1260"/>
      </w:tabs>
      <w:spacing w:before="1320" w:after="240" w:line="300" w:lineRule="auto"/>
      <w:ind w:left="1260" w:hanging="420"/>
    </w:pPr>
    <w:rPr>
      <w:rFonts w:hint="eastAsia" w:ascii="黑体" w:hAnsi="黑体" w:eastAsia="黑体"/>
      <w:b w:val="0"/>
      <w:color w:val="auto"/>
      <w:kern w:val="0"/>
      <w:szCs w:val="20"/>
    </w:rPr>
  </w:style>
  <w:style w:type="paragraph" w:customStyle="1" w:styleId="368">
    <w:name w:val="正文 New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369">
    <w:name w:val="标题 2 New"/>
    <w:basedOn w:val="355"/>
    <w:next w:val="355"/>
    <w:qFormat/>
    <w:uiPriority w:val="0"/>
    <w:pPr>
      <w:keepNext/>
      <w:keepLines/>
      <w:spacing w:before="260" w:after="260" w:line="416" w:lineRule="auto"/>
      <w:outlineLvl w:val="1"/>
    </w:pPr>
    <w:rPr>
      <w:rFonts w:ascii="Arial" w:hAnsi="Arial" w:eastAsia="仿宋_GB2312"/>
      <w:b/>
      <w:bCs/>
      <w:sz w:val="32"/>
    </w:rPr>
  </w:style>
  <w:style w:type="paragraph" w:customStyle="1" w:styleId="370">
    <w:name w:val="正文缩进 New"/>
    <w:basedOn w:val="355"/>
    <w:qFormat/>
    <w:uiPriority w:val="0"/>
    <w:pPr>
      <w:ind w:firstLine="420"/>
    </w:pPr>
    <w:rPr>
      <w:rFonts w:ascii="Times New Roman" w:hAnsi="Times New Roman" w:cs="Times New Roman"/>
      <w:snapToGrid/>
      <w:kern w:val="2"/>
      <w:szCs w:val="20"/>
    </w:rPr>
  </w:style>
  <w:style w:type="paragraph" w:customStyle="1" w:styleId="371">
    <w:name w:val="批注文字1"/>
    <w:basedOn w:val="1"/>
    <w:qFormat/>
    <w:uiPriority w:val="0"/>
    <w:pPr>
      <w:suppressAutoHyphens/>
      <w:jc w:val="left"/>
    </w:pPr>
    <w:rPr>
      <w:rFonts w:ascii="Times New Roman" w:hAnsi="Times New Roman"/>
      <w:szCs w:val="20"/>
      <w:lang w:eastAsia="ar-SA"/>
    </w:rPr>
  </w:style>
  <w:style w:type="paragraph" w:customStyle="1" w:styleId="372">
    <w:name w:val="正文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73">
    <w:name w:val="页脚 New New New"/>
    <w:basedOn w:val="372"/>
    <w:qFormat/>
    <w:uiPriority w:val="0"/>
    <w:pPr>
      <w:tabs>
        <w:tab w:val="center" w:pos="4153"/>
        <w:tab w:val="right" w:pos="8306"/>
      </w:tabs>
      <w:snapToGrid w:val="0"/>
      <w:jc w:val="left"/>
    </w:pPr>
    <w:rPr>
      <w:sz w:val="18"/>
      <w:szCs w:val="18"/>
    </w:rPr>
  </w:style>
  <w:style w:type="paragraph" w:customStyle="1" w:styleId="374">
    <w:name w:val="msolistparagraph"/>
    <w:basedOn w:val="1"/>
    <w:qFormat/>
    <w:uiPriority w:val="0"/>
    <w:pPr>
      <w:ind w:firstLine="420" w:firstLineChars="200"/>
    </w:pPr>
    <w:rPr>
      <w:rFonts w:ascii="Times New Roman" w:hAnsi="Times New Roman"/>
    </w:rPr>
  </w:style>
  <w:style w:type="paragraph" w:customStyle="1" w:styleId="375">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76">
    <w:name w:val="普通(网站)2"/>
    <w:basedOn w:val="1"/>
    <w:qFormat/>
    <w:uiPriority w:val="0"/>
    <w:pPr>
      <w:widowControl/>
      <w:spacing w:line="500" w:lineRule="exact"/>
      <w:ind w:firstLine="510"/>
    </w:pPr>
    <w:rPr>
      <w:rFonts w:ascii="仿宋_GB2312" w:hAnsi="宋体" w:eastAsia="仿宋_GB2312"/>
      <w:color w:val="000000"/>
      <w:spacing w:val="-10"/>
      <w:kern w:val="0"/>
      <w:szCs w:val="20"/>
    </w:rPr>
  </w:style>
  <w:style w:type="paragraph" w:customStyle="1" w:styleId="377">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378">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9">
    <w:name w:val="正文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0">
    <w:name w:val="目录文字"/>
    <w:basedOn w:val="1"/>
    <w:qFormat/>
    <w:uiPriority w:val="0"/>
    <w:pPr>
      <w:widowControl/>
      <w:spacing w:line="480" w:lineRule="auto"/>
      <w:jc w:val="left"/>
    </w:pPr>
    <w:rPr>
      <w:rFonts w:ascii="宋体" w:hAnsi="宋体"/>
      <w:kern w:val="0"/>
      <w:sz w:val="24"/>
      <w:szCs w:val="20"/>
    </w:rPr>
  </w:style>
  <w:style w:type="paragraph" w:customStyle="1" w:styleId="381">
    <w:name w:val="标签"/>
    <w:basedOn w:val="1"/>
    <w:qFormat/>
    <w:uiPriority w:val="0"/>
    <w:pPr>
      <w:suppressLineNumbers/>
      <w:suppressAutoHyphens/>
      <w:spacing w:before="120" w:after="120"/>
    </w:pPr>
    <w:rPr>
      <w:rFonts w:ascii="Times New Roman" w:hAnsi="Times New Roman"/>
      <w:i/>
      <w:iCs/>
      <w:sz w:val="24"/>
      <w:szCs w:val="24"/>
      <w:lang w:eastAsia="ar-SA"/>
    </w:rPr>
  </w:style>
  <w:style w:type="paragraph" w:customStyle="1" w:styleId="382">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83">
    <w:name w:val="表格内容"/>
    <w:basedOn w:val="1"/>
    <w:qFormat/>
    <w:uiPriority w:val="0"/>
    <w:pPr>
      <w:suppressLineNumbers/>
      <w:suppressAutoHyphens/>
    </w:pPr>
    <w:rPr>
      <w:rFonts w:ascii="Times New Roman" w:hAnsi="Times New Roman"/>
      <w:szCs w:val="20"/>
      <w:lang w:eastAsia="ar-SA"/>
    </w:rPr>
  </w:style>
  <w:style w:type="paragraph" w:customStyle="1" w:styleId="384">
    <w:name w:val="正文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85">
    <w:name w:val="正题"/>
    <w:basedOn w:val="181"/>
    <w:next w:val="181"/>
    <w:qFormat/>
    <w:uiPriority w:val="0"/>
    <w:pPr>
      <w:ind w:firstLine="0" w:firstLineChars="0"/>
      <w:jc w:val="center"/>
    </w:pPr>
    <w:rPr>
      <w:rFonts w:eastAsia="黑体"/>
      <w:b/>
      <w:sz w:val="36"/>
      <w:szCs w:val="36"/>
    </w:rPr>
  </w:style>
  <w:style w:type="paragraph" w:customStyle="1" w:styleId="386">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387">
    <w:name w:val="样式 标题 3 + (中文) 黑体 小四 非加粗 段前: 7.8 磅 段后: 0 磅 行距: 固定值 20 磅"/>
    <w:basedOn w:val="6"/>
    <w:qFormat/>
    <w:uiPriority w:val="0"/>
    <w:pPr>
      <w:keepNext/>
      <w:keepLines/>
      <w:widowControl w:val="0"/>
      <w:spacing w:beforeLines="50" w:line="400" w:lineRule="exact"/>
      <w:jc w:val="both"/>
    </w:pPr>
    <w:rPr>
      <w:rFonts w:ascii="Calibri" w:hAnsi="Calibri" w:eastAsia="黑体" w:cs="Times New Roman"/>
      <w:bCs/>
      <w:kern w:val="2"/>
      <w:szCs w:val="20"/>
    </w:rPr>
  </w:style>
  <w:style w:type="paragraph" w:customStyle="1" w:styleId="388">
    <w:name w:val="msointensequote"/>
    <w:basedOn w:val="1"/>
    <w:next w:val="1"/>
    <w:qFormat/>
    <w:uiPriority w:val="0"/>
    <w:pPr>
      <w:widowControl/>
      <w:ind w:left="720" w:right="720"/>
      <w:jc w:val="left"/>
    </w:pPr>
    <w:rPr>
      <w:rFonts w:ascii="Times New Roman" w:hAnsi="Times New Roman"/>
      <w:b/>
      <w:i/>
      <w:kern w:val="0"/>
      <w:sz w:val="24"/>
    </w:rPr>
  </w:style>
  <w:style w:type="paragraph" w:customStyle="1" w:styleId="389">
    <w:name w:val="正文文本缩进 32"/>
    <w:basedOn w:val="1"/>
    <w:qFormat/>
    <w:uiPriority w:val="0"/>
    <w:pPr>
      <w:snapToGrid w:val="0"/>
      <w:spacing w:line="360" w:lineRule="auto"/>
      <w:ind w:left="20" w:firstLine="529" w:firstLineChars="189"/>
    </w:pPr>
    <w:rPr>
      <w:rFonts w:ascii="仿宋_GB2312" w:hAnsi="Times New Roman" w:eastAsia="仿宋_GB2312"/>
      <w:sz w:val="28"/>
      <w:szCs w:val="24"/>
    </w:rPr>
  </w:style>
  <w:style w:type="paragraph" w:customStyle="1" w:styleId="390">
    <w:name w:val="样式 标题 2 + Times New Roman 四号 非加粗 段前: 5 磅 段后: 0 磅 行距: 固定值 20..."/>
    <w:basedOn w:val="5"/>
    <w:qFormat/>
    <w:uiPriority w:val="0"/>
    <w:pPr>
      <w:spacing w:before="100" w:after="0" w:line="400" w:lineRule="exact"/>
      <w:jc w:val="both"/>
    </w:pPr>
    <w:rPr>
      <w:rFonts w:hint="eastAsia" w:ascii="Times New Roman" w:hAnsi="Times New Roman" w:eastAsia="黑体" w:cs="宋体"/>
      <w:color w:val="auto"/>
      <w:kern w:val="0"/>
      <w:sz w:val="28"/>
      <w:szCs w:val="20"/>
    </w:rPr>
  </w:style>
  <w:style w:type="paragraph" w:customStyle="1" w:styleId="391">
    <w:name w:val="正文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92">
    <w:name w:val="表格标题"/>
    <w:basedOn w:val="383"/>
    <w:qFormat/>
    <w:uiPriority w:val="0"/>
    <w:pPr>
      <w:jc w:val="center"/>
    </w:pPr>
    <w:rPr>
      <w:b/>
      <w:bCs/>
    </w:rPr>
  </w:style>
  <w:style w:type="paragraph" w:customStyle="1" w:styleId="393">
    <w:name w:val="文二"/>
    <w:basedOn w:val="1"/>
    <w:qFormat/>
    <w:uiPriority w:val="0"/>
    <w:pPr>
      <w:jc w:val="left"/>
    </w:pPr>
    <w:rPr>
      <w:rFonts w:ascii="宋体" w:hAnsi="宋体"/>
      <w:szCs w:val="21"/>
    </w:rPr>
  </w:style>
  <w:style w:type="paragraph" w:customStyle="1" w:styleId="394">
    <w:name w:val="文档结构图2"/>
    <w:basedOn w:val="1"/>
    <w:qFormat/>
    <w:uiPriority w:val="0"/>
    <w:pPr>
      <w:shd w:val="clear" w:color="auto" w:fill="000080"/>
    </w:pPr>
    <w:rPr>
      <w:rFonts w:ascii="Times New Roman" w:hAnsi="Times New Roman"/>
      <w:sz w:val="30"/>
      <w:szCs w:val="24"/>
    </w:rPr>
  </w:style>
  <w:style w:type="paragraph" w:customStyle="1" w:styleId="395">
    <w:name w:val="修订2"/>
    <w:qFormat/>
    <w:uiPriority w:val="0"/>
    <w:rPr>
      <w:rFonts w:ascii="Times New Roman" w:hAnsi="Times New Roman" w:eastAsia="宋体" w:cs="Times New Roman"/>
      <w:kern w:val="2"/>
      <w:sz w:val="21"/>
      <w:lang w:val="en-US" w:eastAsia="zh-CN" w:bidi="ar-SA"/>
    </w:rPr>
  </w:style>
  <w:style w:type="paragraph" w:customStyle="1" w:styleId="396">
    <w:name w:val="正文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97">
    <w:name w:val="msotocheading"/>
    <w:basedOn w:val="3"/>
    <w:next w:val="1"/>
    <w:qFormat/>
    <w:uiPriority w:val="0"/>
    <w:pPr>
      <w:widowControl/>
      <w:spacing w:before="480" w:after="0" w:line="276" w:lineRule="auto"/>
      <w:jc w:val="left"/>
      <w:outlineLvl w:val="9"/>
    </w:pPr>
    <w:rPr>
      <w:rFonts w:ascii="Cambria" w:hAnsi="Cambria"/>
      <w:b w:val="0"/>
      <w:bCs/>
      <w:color w:val="365F91"/>
      <w:kern w:val="0"/>
    </w:rPr>
  </w:style>
  <w:style w:type="paragraph" w:customStyle="1" w:styleId="398">
    <w:name w:val="正文缩进1"/>
    <w:basedOn w:val="1"/>
    <w:qFormat/>
    <w:uiPriority w:val="0"/>
    <w:pPr>
      <w:ind w:firstLine="420" w:firstLineChars="200"/>
    </w:pPr>
    <w:rPr>
      <w:rFonts w:ascii="Times New Roman" w:hAnsi="Times New Roman"/>
      <w:sz w:val="30"/>
      <w:szCs w:val="24"/>
    </w:rPr>
  </w:style>
  <w:style w:type="paragraph" w:customStyle="1" w:styleId="399">
    <w:name w:val="日期1"/>
    <w:basedOn w:val="1"/>
    <w:next w:val="1"/>
    <w:qFormat/>
    <w:uiPriority w:val="0"/>
    <w:pPr>
      <w:suppressAutoHyphens/>
      <w:ind w:left="100"/>
    </w:pPr>
    <w:rPr>
      <w:rFonts w:ascii="Times New Roman" w:hAnsi="Times New Roman"/>
      <w:szCs w:val="20"/>
      <w:lang w:eastAsia="ar-SA"/>
    </w:rPr>
  </w:style>
  <w:style w:type="paragraph" w:customStyle="1" w:styleId="400">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1">
    <w:name w:val="样式 正文缩进正文（首行缩进两字）特点ALT+Z表正文正文非缩进四号段1Normal Indent Char2...2"/>
    <w:basedOn w:val="6"/>
    <w:qFormat/>
    <w:uiPriority w:val="0"/>
    <w:pPr>
      <w:keepNext/>
      <w:keepLines/>
      <w:widowControl w:val="0"/>
      <w:tabs>
        <w:tab w:val="left" w:pos="1680"/>
      </w:tabs>
      <w:spacing w:before="360" w:after="120"/>
      <w:ind w:left="1680" w:hanging="420"/>
      <w:jc w:val="center"/>
    </w:pPr>
    <w:rPr>
      <w:rFonts w:cs="Times New Roman"/>
      <w:b/>
      <w:bCs/>
      <w:sz w:val="28"/>
      <w:szCs w:val="20"/>
    </w:rPr>
  </w:style>
  <w:style w:type="paragraph" w:customStyle="1" w:styleId="402">
    <w:name w:val="正文 New New New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403">
    <w:name w:val="_Style 25"/>
    <w:basedOn w:val="1"/>
    <w:next w:val="1"/>
    <w:qFormat/>
    <w:uiPriority w:val="0"/>
    <w:rPr>
      <w:rFonts w:ascii="Times New Roman" w:hAnsi="Times New Roman"/>
    </w:rPr>
  </w:style>
  <w:style w:type="paragraph" w:customStyle="1" w:styleId="404">
    <w:name w:val="章节二"/>
    <w:basedOn w:val="181"/>
    <w:next w:val="181"/>
    <w:qFormat/>
    <w:uiPriority w:val="0"/>
    <w:pPr>
      <w:spacing w:beforeLines="50" w:line="240" w:lineRule="auto"/>
      <w:ind w:firstLine="0" w:firstLineChars="0"/>
      <w:jc w:val="center"/>
      <w:outlineLvl w:val="1"/>
    </w:pPr>
    <w:rPr>
      <w:rFonts w:eastAsia="黑体"/>
      <w:b/>
      <w:sz w:val="30"/>
      <w:szCs w:val="30"/>
    </w:rPr>
  </w:style>
  <w:style w:type="character" w:customStyle="1" w:styleId="405">
    <w:name w:val="列出段落 Char Char"/>
    <w:qFormat/>
    <w:uiPriority w:val="0"/>
  </w:style>
  <w:style w:type="character" w:customStyle="1" w:styleId="406">
    <w:name w:val="正文文本缩进 Char1"/>
    <w:basedOn w:val="51"/>
    <w:semiHidden/>
    <w:qFormat/>
    <w:uiPriority w:val="99"/>
    <w:rPr>
      <w:rFonts w:ascii="Calibri" w:hAnsi="Calibri" w:eastAsia="宋体" w:cs="Times New Roman"/>
    </w:rPr>
  </w:style>
  <w:style w:type="character" w:customStyle="1" w:styleId="407">
    <w:name w:val="正文文本缩进 3 Char1"/>
    <w:basedOn w:val="51"/>
    <w:semiHidden/>
    <w:qFormat/>
    <w:uiPriority w:val="99"/>
    <w:rPr>
      <w:rFonts w:ascii="Calibri" w:hAnsi="Calibri" w:eastAsia="宋体" w:cs="Times New Roman"/>
      <w:sz w:val="16"/>
      <w:szCs w:val="16"/>
    </w:rPr>
  </w:style>
  <w:style w:type="character" w:customStyle="1" w:styleId="408">
    <w:name w:val="日期 Char1"/>
    <w:basedOn w:val="51"/>
    <w:semiHidden/>
    <w:qFormat/>
    <w:uiPriority w:val="99"/>
    <w:rPr>
      <w:rFonts w:ascii="Calibri" w:hAnsi="Calibri" w:eastAsia="宋体" w:cs="Times New Roman"/>
    </w:rPr>
  </w:style>
  <w:style w:type="character" w:customStyle="1" w:styleId="409">
    <w:name w:val="批注文字 Char1"/>
    <w:basedOn w:val="51"/>
    <w:semiHidden/>
    <w:qFormat/>
    <w:uiPriority w:val="99"/>
    <w:rPr>
      <w:rFonts w:ascii="Calibri" w:hAnsi="Calibri" w:eastAsia="宋体" w:cs="Times New Roman"/>
    </w:rPr>
  </w:style>
  <w:style w:type="character" w:customStyle="1" w:styleId="410">
    <w:name w:val="文档结构图 Char1"/>
    <w:basedOn w:val="51"/>
    <w:semiHidden/>
    <w:qFormat/>
    <w:uiPriority w:val="99"/>
    <w:rPr>
      <w:rFonts w:ascii="宋体" w:hAnsi="Calibri" w:eastAsia="宋体" w:cs="Times New Roman"/>
      <w:sz w:val="18"/>
      <w:szCs w:val="18"/>
    </w:rPr>
  </w:style>
  <w:style w:type="character" w:customStyle="1" w:styleId="411">
    <w:name w:val="尾注文本 Char1"/>
    <w:basedOn w:val="51"/>
    <w:semiHidden/>
    <w:qFormat/>
    <w:uiPriority w:val="99"/>
    <w:rPr>
      <w:rFonts w:ascii="Calibri" w:hAnsi="Calibri" w:eastAsia="宋体" w:cs="Times New Roman"/>
    </w:rPr>
  </w:style>
  <w:style w:type="character" w:customStyle="1" w:styleId="412">
    <w:name w:val="正文首行缩进 Char1"/>
    <w:basedOn w:val="225"/>
    <w:semiHidden/>
    <w:qFormat/>
    <w:uiPriority w:val="99"/>
    <w:rPr>
      <w:rFonts w:hint="eastAsia" w:ascii="Calibri" w:hAnsi="Calibri" w:eastAsia="宋体" w:cs="Times New Roman"/>
      <w:kern w:val="2"/>
      <w:sz w:val="21"/>
      <w:szCs w:val="32"/>
      <w:lang w:val="en-US" w:eastAsia="zh-CN" w:bidi="ar-SA"/>
    </w:rPr>
  </w:style>
  <w:style w:type="character" w:customStyle="1" w:styleId="413">
    <w:name w:val="脚注文本 Char1"/>
    <w:basedOn w:val="51"/>
    <w:semiHidden/>
    <w:qFormat/>
    <w:uiPriority w:val="99"/>
    <w:rPr>
      <w:rFonts w:ascii="Calibri" w:hAnsi="Calibri" w:eastAsia="宋体" w:cs="Times New Roman"/>
      <w:sz w:val="18"/>
      <w:szCs w:val="18"/>
    </w:rPr>
  </w:style>
  <w:style w:type="character" w:customStyle="1" w:styleId="414">
    <w:name w:val="批注框文本 Char1"/>
    <w:basedOn w:val="51"/>
    <w:semiHidden/>
    <w:qFormat/>
    <w:uiPriority w:val="99"/>
    <w:rPr>
      <w:rFonts w:ascii="Calibri" w:hAnsi="Calibri" w:eastAsia="宋体" w:cs="Times New Roman"/>
      <w:sz w:val="18"/>
      <w:szCs w:val="18"/>
    </w:rPr>
  </w:style>
  <w:style w:type="character" w:customStyle="1" w:styleId="415">
    <w:name w:val="批注主题 Char1"/>
    <w:basedOn w:val="409"/>
    <w:semiHidden/>
    <w:qFormat/>
    <w:uiPriority w:val="99"/>
    <w:rPr>
      <w:rFonts w:ascii="Calibri" w:hAnsi="Calibri" w:eastAsia="宋体" w:cs="Times New Roman"/>
      <w:b/>
      <w:bCs/>
    </w:rPr>
  </w:style>
  <w:style w:type="character" w:customStyle="1" w:styleId="416">
    <w:name w:val="正文文本 2 Char1"/>
    <w:basedOn w:val="51"/>
    <w:semiHidden/>
    <w:qFormat/>
    <w:uiPriority w:val="99"/>
    <w:rPr>
      <w:rFonts w:ascii="Calibri" w:hAnsi="Calibri" w:eastAsia="宋体" w:cs="Times New Roman"/>
    </w:rPr>
  </w:style>
  <w:style w:type="character" w:customStyle="1" w:styleId="417">
    <w:name w:val="正文文本缩进 2 Char1"/>
    <w:basedOn w:val="51"/>
    <w:semiHidden/>
    <w:qFormat/>
    <w:uiPriority w:val="99"/>
    <w:rPr>
      <w:rFonts w:ascii="Calibri" w:hAnsi="Calibri" w:eastAsia="宋体" w:cs="Times New Roman"/>
    </w:rPr>
  </w:style>
  <w:style w:type="paragraph" w:customStyle="1" w:styleId="418">
    <w:name w:val="_Style 251"/>
    <w:basedOn w:val="1"/>
    <w:next w:val="1"/>
    <w:qFormat/>
    <w:uiPriority w:val="0"/>
    <w:rPr>
      <w:rFonts w:ascii="Times New Roman" w:hAnsi="Times New Roman"/>
    </w:rPr>
  </w:style>
  <w:style w:type="paragraph" w:customStyle="1" w:styleId="419">
    <w:name w:val="p1"/>
    <w:basedOn w:val="1"/>
    <w:qFormat/>
    <w:uiPriority w:val="0"/>
    <w:pPr>
      <w:spacing w:line="380" w:lineRule="atLeast"/>
      <w:jc w:val="left"/>
    </w:pPr>
    <w:rPr>
      <w:rFonts w:ascii="Helvetica Neue" w:hAnsi="Helvetica Neue" w:eastAsia="Helvetica Neue"/>
      <w:color w:val="000000"/>
      <w:kern w:val="0"/>
      <w:sz w:val="26"/>
      <w:szCs w:val="26"/>
    </w:rPr>
  </w:style>
  <w:style w:type="character" w:customStyle="1" w:styleId="420">
    <w:name w:val="正文文本首行缩进 字符"/>
    <w:qFormat/>
    <w:locked/>
    <w:uiPriority w:val="0"/>
    <w:rPr>
      <w:rFonts w:ascii="Times New Roman" w:hAnsi="Times New Roman" w:eastAsia="宋体" w:cs="Times New Roman"/>
      <w:sz w:val="20"/>
    </w:rPr>
  </w:style>
  <w:style w:type="paragraph" w:customStyle="1" w:styleId="421">
    <w:name w:val="页脚 New New New New New New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22">
    <w:name w:val="页脚 New New New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23">
    <w:name w:val="页脚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24">
    <w:name w:val="页脚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25">
    <w:name w:val="页脚 New New New New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26">
    <w:name w:val="页脚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27">
    <w:name w:val="页脚 New New New New New New New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28">
    <w:name w:val="页脚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29">
    <w:name w:val="页脚 New New New New New New New New New New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30">
    <w:name w:val="页脚 New New New New New New New New New New New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31">
    <w:name w:val="页脚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32">
    <w:name w:val="页脚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33">
    <w:name w:val="页脚 New New New New New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34">
    <w:name w:val="页脚 New New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35">
    <w:name w:val="页脚 New New New New New New New New New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36">
    <w:name w:val="页脚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37">
    <w:name w:val="页脚 New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38">
    <w:name w:val="页脚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39">
    <w:name w:val="页脚 New New New New New New New New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440">
    <w:name w:val="文档结构图3"/>
    <w:basedOn w:val="1"/>
    <w:qFormat/>
    <w:uiPriority w:val="0"/>
    <w:pPr>
      <w:shd w:val="clear" w:color="auto" w:fill="000080"/>
    </w:pPr>
    <w:rPr>
      <w:rFonts w:ascii="Times New Roman" w:hAnsi="Times New Roman"/>
      <w:sz w:val="30"/>
      <w:szCs w:val="24"/>
    </w:rPr>
  </w:style>
  <w:style w:type="paragraph" w:customStyle="1" w:styleId="441">
    <w:name w:val="正文文本缩进 33"/>
    <w:basedOn w:val="1"/>
    <w:qFormat/>
    <w:uiPriority w:val="0"/>
    <w:pPr>
      <w:snapToGrid w:val="0"/>
      <w:spacing w:line="360" w:lineRule="auto"/>
      <w:ind w:left="20" w:firstLine="529" w:firstLineChars="189"/>
    </w:pPr>
    <w:rPr>
      <w:rFonts w:ascii="仿宋_GB2312" w:hAnsi="Times New Roman" w:eastAsia="仿宋_GB2312"/>
      <w:sz w:val="28"/>
      <w:szCs w:val="24"/>
    </w:rPr>
  </w:style>
  <w:style w:type="character" w:customStyle="1" w:styleId="442">
    <w:name w:val="页脚 Char1"/>
    <w:basedOn w:val="51"/>
    <w:semiHidden/>
    <w:qFormat/>
    <w:uiPriority w:val="99"/>
    <w:rPr>
      <w:rFonts w:ascii="Calibri" w:hAnsi="Calibri"/>
      <w:kern w:val="2"/>
      <w:sz w:val="18"/>
      <w:szCs w:val="18"/>
    </w:rPr>
  </w:style>
  <w:style w:type="character" w:customStyle="1" w:styleId="443">
    <w:name w:val="页眉 Char1"/>
    <w:basedOn w:val="51"/>
    <w:semiHidden/>
    <w:qFormat/>
    <w:uiPriority w:val="99"/>
    <w:rPr>
      <w:rFonts w:ascii="Calibri" w:hAnsi="Calibri"/>
      <w:kern w:val="2"/>
      <w:sz w:val="18"/>
      <w:szCs w:val="18"/>
    </w:rPr>
  </w:style>
  <w:style w:type="paragraph" w:customStyle="1" w:styleId="444">
    <w:name w:val="正文2"/>
    <w:qFormat/>
    <w:uiPriority w:val="0"/>
    <w:rPr>
      <w:rFonts w:ascii="Times New Roman" w:hAnsi="Times New Roman" w:eastAsia="Times New Roman" w:cs="Times New Roman"/>
      <w:sz w:val="24"/>
      <w:szCs w:val="24"/>
      <w:lang w:val="en-US" w:eastAsia="zh-CN" w:bidi="ar-SA"/>
    </w:rPr>
  </w:style>
  <w:style w:type="paragraph" w:customStyle="1" w:styleId="445">
    <w:name w:val="正文文本缩进 23"/>
    <w:basedOn w:val="1"/>
    <w:qFormat/>
    <w:uiPriority w:val="0"/>
    <w:pPr>
      <w:spacing w:line="420" w:lineRule="exact"/>
      <w:ind w:firstLine="480"/>
    </w:pPr>
    <w:rPr>
      <w:rFonts w:ascii="Times New Roman" w:hAnsi="Times New Roman"/>
      <w:b/>
      <w:sz w:val="24"/>
      <w:szCs w:val="20"/>
    </w:rPr>
  </w:style>
  <w:style w:type="paragraph" w:customStyle="1" w:styleId="446">
    <w:name w:val="纯文本3"/>
    <w:basedOn w:val="1"/>
    <w:qFormat/>
    <w:uiPriority w:val="0"/>
    <w:rPr>
      <w:rFonts w:ascii="宋体" w:hAnsi="Courier New"/>
      <w:sz w:val="24"/>
      <w:szCs w:val="20"/>
    </w:rPr>
  </w:style>
  <w:style w:type="paragraph" w:customStyle="1" w:styleId="447">
    <w:name w:val="正文首行缩进2"/>
    <w:basedOn w:val="19"/>
    <w:qFormat/>
    <w:uiPriority w:val="0"/>
    <w:pPr>
      <w:ind w:firstLine="420" w:firstLineChars="100"/>
    </w:pPr>
    <w:rPr>
      <w:rFonts w:ascii="Times New Roman"/>
      <w:kern w:val="0"/>
      <w:sz w:val="30"/>
      <w:szCs w:val="24"/>
    </w:rPr>
  </w:style>
  <w:style w:type="paragraph" w:customStyle="1" w:styleId="448">
    <w:name w:val="正文文本缩进2"/>
    <w:basedOn w:val="1"/>
    <w:qFormat/>
    <w:uiPriority w:val="0"/>
    <w:pPr>
      <w:ind w:firstLine="480"/>
    </w:pPr>
    <w:rPr>
      <w:rFonts w:ascii="Times New Roman" w:hAnsi="Times New Roman"/>
      <w:sz w:val="24"/>
      <w:szCs w:val="20"/>
    </w:rPr>
  </w:style>
  <w:style w:type="paragraph" w:customStyle="1" w:styleId="449">
    <w:name w:val="正文缩进2"/>
    <w:basedOn w:val="1"/>
    <w:qFormat/>
    <w:uiPriority w:val="0"/>
    <w:pPr>
      <w:ind w:firstLine="420" w:firstLineChars="200"/>
    </w:pPr>
    <w:rPr>
      <w:rFonts w:ascii="Times New Roman" w:hAnsi="Times New Roman"/>
      <w:sz w:val="30"/>
      <w:szCs w:val="24"/>
    </w:rPr>
  </w:style>
  <w:style w:type="paragraph" w:customStyle="1" w:styleId="450">
    <w:name w:val="表格文字缩进"/>
    <w:basedOn w:val="326"/>
    <w:qFormat/>
    <w:uiPriority w:val="0"/>
    <w:pPr>
      <w:widowControl/>
      <w:tabs>
        <w:tab w:val="clear" w:pos="720"/>
        <w:tab w:val="clear" w:pos="900"/>
      </w:tabs>
      <w:adjustRightInd/>
      <w:snapToGrid/>
      <w:spacing w:beforeLines="0" w:afterLines="0" w:line="240" w:lineRule="atLeast"/>
      <w:ind w:firstLine="360" w:firstLineChars="200"/>
      <w:jc w:val="left"/>
    </w:pPr>
    <w:rPr>
      <w:rFonts w:ascii="Times New Roman" w:hAnsi="Times New Roman" w:cs="宋体"/>
      <w:color w:val="000000"/>
      <w:sz w:val="21"/>
      <w:szCs w:val="18"/>
    </w:rPr>
  </w:style>
  <w:style w:type="paragraph" w:customStyle="1" w:styleId="451">
    <w:name w:val="正文文本3"/>
    <w:basedOn w:val="1"/>
    <w:qFormat/>
    <w:uiPriority w:val="0"/>
    <w:pPr>
      <w:shd w:val="clear" w:color="auto" w:fill="FFFFFF"/>
      <w:spacing w:line="0" w:lineRule="atLeast"/>
      <w:jc w:val="left"/>
    </w:pPr>
    <w:rPr>
      <w:rFonts w:ascii="宋体" w:hAnsi="宋体"/>
      <w:kern w:val="0"/>
      <w:sz w:val="19"/>
      <w:szCs w:val="19"/>
    </w:rPr>
  </w:style>
  <w:style w:type="paragraph" w:customStyle="1" w:styleId="452">
    <w:name w:val="正文缩进3"/>
    <w:basedOn w:val="1"/>
    <w:qFormat/>
    <w:uiPriority w:val="0"/>
    <w:pPr>
      <w:ind w:firstLine="420" w:firstLineChars="200"/>
    </w:pPr>
    <w:rPr>
      <w:rFonts w:ascii="Times New Roman" w:hAnsi="Times New Roman"/>
      <w:sz w:val="30"/>
      <w:szCs w:val="24"/>
    </w:rPr>
  </w:style>
  <w:style w:type="character" w:customStyle="1" w:styleId="453">
    <w:name w:val="页码2"/>
    <w:basedOn w:val="51"/>
    <w:qFormat/>
    <w:uiPriority w:val="0"/>
  </w:style>
  <w:style w:type="paragraph" w:customStyle="1" w:styleId="454">
    <w:name w:val="正文文本缩进3"/>
    <w:basedOn w:val="1"/>
    <w:qFormat/>
    <w:uiPriority w:val="0"/>
    <w:pPr>
      <w:ind w:firstLine="480"/>
    </w:pPr>
    <w:rPr>
      <w:rFonts w:ascii="Times New Roman" w:hAnsi="Times New Roman"/>
      <w:sz w:val="24"/>
      <w:szCs w:val="20"/>
    </w:rPr>
  </w:style>
  <w:style w:type="paragraph" w:customStyle="1" w:styleId="455">
    <w:name w:val="普通(网站)3"/>
    <w:basedOn w:val="1"/>
    <w:qFormat/>
    <w:uiPriority w:val="0"/>
    <w:pPr>
      <w:widowControl/>
      <w:spacing w:line="500" w:lineRule="exact"/>
      <w:ind w:firstLine="510"/>
    </w:pPr>
    <w:rPr>
      <w:rFonts w:ascii="仿宋_GB2312" w:hAnsi="宋体" w:eastAsia="仿宋_GB2312"/>
      <w:color w:val="000000"/>
      <w:spacing w:val="-10"/>
      <w:kern w:val="0"/>
      <w:szCs w:val="20"/>
    </w:rPr>
  </w:style>
  <w:style w:type="paragraph" w:customStyle="1" w:styleId="456">
    <w:name w:val="正文文本缩进 34"/>
    <w:basedOn w:val="1"/>
    <w:qFormat/>
    <w:uiPriority w:val="0"/>
    <w:pPr>
      <w:snapToGrid w:val="0"/>
      <w:spacing w:line="360" w:lineRule="auto"/>
      <w:ind w:left="20" w:firstLine="529" w:firstLineChars="189"/>
    </w:pPr>
    <w:rPr>
      <w:rFonts w:ascii="仿宋_GB2312" w:hAnsi="Times New Roman" w:eastAsia="仿宋_GB2312"/>
      <w:sz w:val="28"/>
      <w:szCs w:val="24"/>
    </w:rPr>
  </w:style>
  <w:style w:type="paragraph" w:customStyle="1" w:styleId="457">
    <w:name w:val="正文文本缩进 24"/>
    <w:basedOn w:val="1"/>
    <w:qFormat/>
    <w:uiPriority w:val="0"/>
    <w:pPr>
      <w:spacing w:line="420" w:lineRule="exact"/>
      <w:ind w:firstLine="480"/>
    </w:pPr>
    <w:rPr>
      <w:rFonts w:ascii="Times New Roman" w:hAnsi="Times New Roman"/>
      <w:b/>
      <w:sz w:val="24"/>
      <w:szCs w:val="20"/>
    </w:rPr>
  </w:style>
  <w:style w:type="paragraph" w:customStyle="1" w:styleId="458">
    <w:name w:val="纯文本4"/>
    <w:basedOn w:val="1"/>
    <w:qFormat/>
    <w:uiPriority w:val="0"/>
    <w:rPr>
      <w:rFonts w:ascii="宋体" w:hAnsi="Courier New"/>
      <w:sz w:val="24"/>
      <w:szCs w:val="20"/>
    </w:rPr>
  </w:style>
  <w:style w:type="paragraph" w:customStyle="1" w:styleId="459">
    <w:name w:val="正文首行缩进3"/>
    <w:basedOn w:val="19"/>
    <w:qFormat/>
    <w:uiPriority w:val="0"/>
    <w:pPr>
      <w:ind w:firstLine="420" w:firstLineChars="100"/>
    </w:pPr>
    <w:rPr>
      <w:rFonts w:ascii="Times New Roman" w:hAnsi="Times New Roman"/>
      <w:sz w:val="30"/>
      <w:szCs w:val="24"/>
    </w:rPr>
  </w:style>
  <w:style w:type="paragraph" w:customStyle="1" w:styleId="460">
    <w:name w:val="文档结构图4"/>
    <w:basedOn w:val="1"/>
    <w:qFormat/>
    <w:uiPriority w:val="0"/>
    <w:pPr>
      <w:shd w:val="clear" w:color="auto" w:fill="000080"/>
    </w:pPr>
    <w:rPr>
      <w:rFonts w:ascii="Times New Roman" w:hAnsi="Times New Roman"/>
      <w:sz w:val="30"/>
      <w:szCs w:val="24"/>
    </w:rPr>
  </w:style>
  <w:style w:type="character" w:styleId="461">
    <w:name w:val="Placeholder Text"/>
    <w:basedOn w:val="51"/>
    <w:semiHidden/>
    <w:qFormat/>
    <w:uiPriority w:val="99"/>
    <w:rPr>
      <w:color w:val="808080"/>
    </w:rPr>
  </w:style>
  <w:style w:type="paragraph" w:customStyle="1" w:styleId="462">
    <w:name w:val="PlainText"/>
    <w:basedOn w:val="1"/>
    <w:qFormat/>
    <w:uiPriority w:val="0"/>
    <w:rPr>
      <w:rFonts w:ascii="宋体" w:hAnsi="Courier New"/>
      <w:kern w:val="0"/>
      <w:sz w:val="20"/>
      <w:szCs w:val="20"/>
    </w:rPr>
  </w:style>
  <w:style w:type="character" w:customStyle="1" w:styleId="463">
    <w:name w:val="NormalCharacter"/>
    <w:qFormat/>
    <w:uiPriority w:val="0"/>
    <w:rPr>
      <w:kern w:val="2"/>
      <w:sz w:val="21"/>
      <w:szCs w:val="22"/>
      <w:lang w:val="en-US" w:eastAsia="zh-CN" w:bidi="ar-SA"/>
    </w:rPr>
  </w:style>
  <w:style w:type="paragraph" w:customStyle="1" w:styleId="464">
    <w:name w:val="_Style 3"/>
    <w:qFormat/>
    <w:uiPriority w:val="1"/>
    <w:pPr>
      <w:widowControl w:val="0"/>
      <w:jc w:val="both"/>
    </w:pPr>
    <w:rPr>
      <w:rFonts w:ascii="Calibri" w:hAnsi="Calibri" w:eastAsia="宋体" w:cs="Times New Roman"/>
      <w:kern w:val="2"/>
      <w:sz w:val="21"/>
      <w:szCs w:val="22"/>
      <w:lang w:val="en-US" w:eastAsia="zh-CN" w:bidi="ar-SA"/>
    </w:rPr>
  </w:style>
  <w:style w:type="character" w:customStyle="1" w:styleId="465">
    <w:name w:val="15"/>
    <w:qFormat/>
    <w:uiPriority w:val="0"/>
    <w:rPr>
      <w:rFonts w:hint="eastAsia" w:ascii="等线" w:hAnsi="等线" w:eastAsia="等线" w:cs="Times New Roman"/>
    </w:rPr>
  </w:style>
  <w:style w:type="character" w:customStyle="1" w:styleId="466">
    <w:name w:val="正文首行缩进 2 字符"/>
    <w:basedOn w:val="105"/>
    <w:link w:val="48"/>
    <w:semiHidden/>
    <w:qFormat/>
    <w:uiPriority w:val="99"/>
    <w:rPr>
      <w:rFonts w:ascii="Calibri" w:hAnsi="Calibri" w:eastAsia="宋体" w:cs="Times New Roman"/>
      <w:sz w:val="28"/>
      <w:szCs w:val="20"/>
    </w:rPr>
  </w:style>
  <w:style w:type="paragraph" w:customStyle="1" w:styleId="467">
    <w:name w:val="修订3"/>
    <w:hidden/>
    <w:semiHidden/>
    <w:qFormat/>
    <w:uiPriority w:val="99"/>
    <w:rPr>
      <w:rFonts w:ascii="Calibri" w:hAnsi="Calibri" w:eastAsia="宋体" w:cs="Times New Roman"/>
      <w:kern w:val="2"/>
      <w:sz w:val="21"/>
      <w:szCs w:val="22"/>
      <w:lang w:val="en-US" w:eastAsia="zh-CN" w:bidi="ar-SA"/>
    </w:rPr>
  </w:style>
  <w:style w:type="paragraph" w:customStyle="1" w:styleId="468">
    <w:name w:val="修订4"/>
    <w:hidden/>
    <w:semiHidden/>
    <w:qFormat/>
    <w:uiPriority w:val="99"/>
    <w:rPr>
      <w:rFonts w:ascii="Calibri" w:hAnsi="Calibri" w:eastAsia="宋体" w:cs="Times New Roman"/>
      <w:kern w:val="2"/>
      <w:sz w:val="21"/>
      <w:szCs w:val="22"/>
      <w:lang w:val="en-US" w:eastAsia="zh-CN" w:bidi="ar-SA"/>
    </w:rPr>
  </w:style>
  <w:style w:type="paragraph" w:customStyle="1" w:styleId="469">
    <w:name w:val="样式 宋体 四号 首行缩进:  2 字符"/>
    <w:basedOn w:val="1"/>
    <w:qFormat/>
    <w:uiPriority w:val="0"/>
    <w:pPr>
      <w:widowControl/>
    </w:pPr>
    <w:rPr>
      <w:rFonts w:ascii="Times New Roman" w:hAnsi="Times New Roman" w:cs="宋体"/>
      <w:color w:val="000000"/>
      <w:kern w:val="0"/>
      <w:szCs w:val="20"/>
    </w:rPr>
  </w:style>
  <w:style w:type="paragraph" w:customStyle="1" w:styleId="470">
    <w:name w:val="修订5"/>
    <w:hidden/>
    <w:semiHidden/>
    <w:qFormat/>
    <w:uiPriority w:val="99"/>
    <w:rPr>
      <w:rFonts w:ascii="Calibri" w:hAnsi="Calibri" w:eastAsia="宋体" w:cs="Times New Roman"/>
      <w:kern w:val="2"/>
      <w:sz w:val="21"/>
      <w:szCs w:val="22"/>
      <w:lang w:val="en-US" w:eastAsia="zh-CN" w:bidi="ar-SA"/>
    </w:rPr>
  </w:style>
  <w:style w:type="table" w:customStyle="1" w:styleId="471">
    <w:name w:val="网格型1"/>
    <w:basedOn w:val="4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8.emf"/><Relationship Id="rId3" Type="http://schemas.openxmlformats.org/officeDocument/2006/relationships/header" Target="header1.xml"/><Relationship Id="rId29" Type="http://schemas.openxmlformats.org/officeDocument/2006/relationships/image" Target="media/image7.emf"/><Relationship Id="rId28" Type="http://schemas.openxmlformats.org/officeDocument/2006/relationships/image" Target="media/image6.emf"/><Relationship Id="rId27" Type="http://schemas.openxmlformats.org/officeDocument/2006/relationships/image" Target="media/image5.emf"/><Relationship Id="rId26" Type="http://schemas.openxmlformats.org/officeDocument/2006/relationships/image" Target="media/image4.png"/><Relationship Id="rId25" Type="http://schemas.openxmlformats.org/officeDocument/2006/relationships/image" Target="media/image3.png"/><Relationship Id="rId24" Type="http://schemas.openxmlformats.org/officeDocument/2006/relationships/image" Target="media/image2.png"/><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180</Pages>
  <Words>121615</Words>
  <Characters>127180</Characters>
  <Lines>1032</Lines>
  <Paragraphs>290</Paragraphs>
  <TotalTime>0</TotalTime>
  <ScaleCrop>false</ScaleCrop>
  <LinksUpToDate>false</LinksUpToDate>
  <CharactersWithSpaces>134277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2022-05-31T08:22:00Z</dcterms:created>
  <dc:creator>Admin</dc:creator>
  <cp:lastModifiedBy>NTKO</cp:lastModifiedBy>
  <cp:lastPrinted>2024-06-28T06:16:00Z</cp:lastPrinted>
  <dcterms:modified xsi:type="dcterms:W3CDTF">2024-07-05T07:34:11Z</dcterms:modified>
  <dc:title>黄埔区科学城连接知识城快速通道（南段）工程施工总承包</dc:title>
  <cp:revision>551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D41EE46606814BC083E67A2E3A1C86E8</vt:lpwstr>
  </property>
</Properties>
</file>