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pPr>
      <w:r>
        <w:br w:type="textWrapping"/>
      </w:r>
      <w:r>
        <w:t xml:space="preserve">  </w:t>
      </w:r>
    </w:p>
    <w:p>
      <w:pPr>
        <w:pStyle w:val="8"/>
        <w:jc w:val="center"/>
        <w:outlineLvl w:val="1"/>
      </w:pPr>
      <w:r>
        <w:rPr>
          <w:b/>
          <w:sz w:val="36"/>
        </w:rPr>
        <w:t>第二章 采购需求</w:t>
      </w:r>
    </w:p>
    <w:p>
      <w:pPr>
        <w:pStyle w:val="8"/>
        <w:outlineLvl w:val="2"/>
      </w:pPr>
      <w:r>
        <w:rPr>
          <w:b/>
          <w:sz w:val="28"/>
        </w:rPr>
        <w:t>一、项目概况：</w:t>
      </w:r>
    </w:p>
    <w:p>
      <w:pPr>
        <w:pStyle w:val="2"/>
        <w:rPr>
          <w:rFonts w:hint="eastAsia"/>
          <w:lang w:val="en-US" w:eastAsia="zh-CN"/>
        </w:rPr>
      </w:pPr>
      <w:r>
        <w:rPr>
          <w:rFonts w:hint="eastAsia"/>
          <w:lang w:val="en-US" w:eastAsia="zh-CN"/>
        </w:rPr>
        <w:t>项目属性：服务类</w:t>
      </w:r>
    </w:p>
    <w:p>
      <w:pPr>
        <w:pStyle w:val="8"/>
        <w:ind w:firstLine="420"/>
        <w:jc w:val="both"/>
        <w:rPr>
          <w:rFonts w:hint="eastAsia" w:eastAsiaTheme="minorEastAsia"/>
          <w:sz w:val="21"/>
          <w:lang w:val="en-US" w:eastAsia="zh-CN"/>
        </w:rPr>
      </w:pPr>
      <w:r>
        <w:rPr>
          <w:rFonts w:hint="eastAsia"/>
          <w:lang w:val="en-US" w:eastAsia="zh-CN"/>
        </w:rPr>
        <w:t xml:space="preserve"> </w:t>
      </w:r>
      <w:r>
        <w:rPr>
          <w:rFonts w:hint="eastAsia"/>
          <w:sz w:val="21"/>
          <w:lang w:val="en-US" w:eastAsia="zh-CN"/>
        </w:rPr>
        <w:t>本项目属于不专门面向中小微企业预留采购份额的项目，原因和情形为：</w:t>
      </w:r>
    </w:p>
    <w:p>
      <w:pPr>
        <w:pStyle w:val="8"/>
        <w:ind w:firstLine="420"/>
        <w:jc w:val="both"/>
        <w:rPr>
          <w:rFonts w:hint="eastAsia"/>
          <w:color w:val="auto"/>
          <w:sz w:val="21"/>
          <w:lang w:val="en-US" w:eastAsia="zh-CN"/>
        </w:rPr>
      </w:pPr>
      <w:r>
        <w:rPr>
          <w:rFonts w:hint="eastAsia"/>
          <w:color w:val="auto"/>
          <w:sz w:val="21"/>
          <w:lang w:val="en-US" w:eastAsia="zh-CN"/>
        </w:rPr>
        <w:t>按照《政府采购促进中小企业发展管理办法》规定预留采购份额无法确保充分供应、充分竞争，或者存在可能影响政府采购目标实现的情形。</w:t>
      </w:r>
    </w:p>
    <w:p>
      <w:pPr>
        <w:pStyle w:val="8"/>
        <w:ind w:firstLine="420"/>
        <w:jc w:val="both"/>
        <w:rPr>
          <w:rFonts w:hint="default" w:eastAsiaTheme="minorEastAsia"/>
          <w:lang w:val="en-US" w:eastAsia="zh-CN"/>
        </w:rPr>
      </w:pPr>
    </w:p>
    <w:p>
      <w:pPr>
        <w:pStyle w:val="8"/>
        <w:jc w:val="both"/>
        <w:rPr>
          <w:rFonts w:hint="default"/>
        </w:rPr>
      </w:pPr>
      <w:r>
        <w:rPr>
          <w:sz w:val="21"/>
        </w:rPr>
        <w:t>（一）项目基本情况</w:t>
      </w:r>
    </w:p>
    <w:p>
      <w:pPr>
        <w:pStyle w:val="8"/>
        <w:keepNext w:val="0"/>
        <w:keepLines w:val="0"/>
        <w:pageBreakBefore w:val="0"/>
        <w:widowControl/>
        <w:kinsoku/>
        <w:wordWrap/>
        <w:overflowPunct/>
        <w:topLinePunct w:val="0"/>
        <w:autoSpaceDE/>
        <w:autoSpaceDN/>
        <w:bidi w:val="0"/>
        <w:adjustRightInd/>
        <w:snapToGrid/>
        <w:spacing w:line="360" w:lineRule="auto"/>
        <w:ind w:firstLine="630" w:firstLineChars="300"/>
        <w:jc w:val="both"/>
        <w:textAlignment w:val="auto"/>
        <w:rPr>
          <w:rFonts w:hint="eastAsia"/>
          <w:color w:val="auto"/>
          <w:sz w:val="21"/>
          <w:lang w:val="en-US" w:eastAsia="zh-CN"/>
        </w:rPr>
      </w:pPr>
      <w:r>
        <w:rPr>
          <w:sz w:val="21"/>
        </w:rPr>
        <w:t>本项目采购金额为</w:t>
      </w:r>
      <w:r>
        <w:rPr>
          <w:rFonts w:hint="eastAsia"/>
          <w:sz w:val="21"/>
          <w:lang w:val="en-US" w:eastAsia="zh-CN"/>
        </w:rPr>
        <w:t>157</w:t>
      </w:r>
      <w:r>
        <w:rPr>
          <w:color w:val="auto"/>
          <w:sz w:val="21"/>
        </w:rPr>
        <w:t>万元</w:t>
      </w:r>
      <w:r>
        <w:rPr>
          <w:rFonts w:hint="eastAsia"/>
          <w:color w:val="auto"/>
          <w:sz w:val="21"/>
          <w:lang w:eastAsia="zh-CN"/>
        </w:rPr>
        <w:t>，</w:t>
      </w:r>
      <w:r>
        <w:rPr>
          <w:rFonts w:hint="eastAsia"/>
          <w:color w:val="auto"/>
          <w:sz w:val="21"/>
          <w:lang w:val="en-US" w:eastAsia="zh-CN"/>
        </w:rPr>
        <w:t>2024年预算约63万元，2025年预算约94万元。</w:t>
      </w:r>
    </w:p>
    <w:p>
      <w:pPr>
        <w:pStyle w:val="8"/>
        <w:keepNext w:val="0"/>
        <w:keepLines w:val="0"/>
        <w:pageBreakBefore w:val="0"/>
        <w:widowControl/>
        <w:kinsoku/>
        <w:wordWrap/>
        <w:overflowPunct/>
        <w:topLinePunct w:val="0"/>
        <w:autoSpaceDE/>
        <w:autoSpaceDN/>
        <w:bidi w:val="0"/>
        <w:adjustRightInd/>
        <w:snapToGrid/>
        <w:spacing w:line="360" w:lineRule="auto"/>
        <w:ind w:firstLine="630" w:firstLineChars="300"/>
        <w:jc w:val="both"/>
        <w:textAlignment w:val="auto"/>
        <w:rPr>
          <w:sz w:val="21"/>
        </w:rPr>
      </w:pPr>
      <w:r>
        <w:rPr>
          <w:color w:val="auto"/>
          <w:sz w:val="21"/>
        </w:rPr>
        <w:t>属跨年度项目，实施周期为2024年</w:t>
      </w:r>
      <w:r>
        <w:rPr>
          <w:rFonts w:hint="eastAsia"/>
          <w:color w:val="auto"/>
          <w:sz w:val="21"/>
          <w:lang w:val="en-US" w:eastAsia="zh-CN"/>
        </w:rPr>
        <w:t>8</w:t>
      </w:r>
      <w:r>
        <w:rPr>
          <w:color w:val="auto"/>
          <w:sz w:val="21"/>
        </w:rPr>
        <w:t>月至2025年</w:t>
      </w:r>
      <w:r>
        <w:rPr>
          <w:rFonts w:hint="eastAsia"/>
          <w:color w:val="auto"/>
          <w:sz w:val="21"/>
          <w:lang w:val="en-US" w:eastAsia="zh-CN"/>
        </w:rPr>
        <w:t>7</w:t>
      </w:r>
      <w:r>
        <w:rPr>
          <w:color w:val="auto"/>
          <w:sz w:val="21"/>
        </w:rPr>
        <w:t>月，</w:t>
      </w:r>
      <w:r>
        <w:rPr>
          <w:rFonts w:hint="eastAsia"/>
          <w:color w:val="auto"/>
          <w:sz w:val="21"/>
          <w:lang w:eastAsia="zh-CN"/>
        </w:rPr>
        <w:t>主要对广州市</w:t>
      </w:r>
      <w:r>
        <w:rPr>
          <w:rFonts w:hint="eastAsia"/>
          <w:sz w:val="21"/>
          <w:lang w:eastAsia="zh-CN"/>
        </w:rPr>
        <w:t>南部片区重点区域一级支流开展水质监测工作，</w:t>
      </w:r>
      <w:r>
        <w:rPr>
          <w:rFonts w:hint="eastAsia"/>
          <w:sz w:val="21"/>
          <w:lang w:val="en-US" w:eastAsia="zh-CN"/>
        </w:rPr>
        <w:t>河道数量：178条(见表1）</w:t>
      </w:r>
      <w:r>
        <w:rPr>
          <w:sz w:val="21"/>
        </w:rPr>
        <w:t>。</w:t>
      </w:r>
    </w:p>
    <w:p>
      <w:pPr>
        <w:pStyle w:val="8"/>
        <w:ind w:firstLine="900" w:firstLineChars="427"/>
        <w:jc w:val="both"/>
        <w:rPr>
          <w:rFonts w:hint="default"/>
        </w:rPr>
      </w:pPr>
      <w:r>
        <w:rPr>
          <w:b/>
          <w:sz w:val="21"/>
        </w:rPr>
        <w:t>表</w:t>
      </w:r>
      <w:r>
        <w:rPr>
          <w:rFonts w:hint="eastAsia"/>
          <w:b/>
          <w:sz w:val="21"/>
          <w:lang w:val="en-US" w:eastAsia="zh-CN"/>
        </w:rPr>
        <w:t>1</w:t>
      </w:r>
      <w:r>
        <w:rPr>
          <w:b/>
          <w:sz w:val="21"/>
        </w:rPr>
        <w:t xml:space="preserve"> 南部片区重点区域一级支流水质监测任务要求</w:t>
      </w:r>
    </w:p>
    <w:tbl>
      <w:tblPr>
        <w:tblStyle w:val="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10"/>
        <w:gridCol w:w="2246"/>
        <w:gridCol w:w="1918"/>
        <w:gridCol w:w="13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序号</w:t>
            </w:r>
          </w:p>
        </w:tc>
        <w:tc>
          <w:tcPr>
            <w:tcW w:w="2246"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ind w:firstLine="480"/>
              <w:jc w:val="both"/>
              <w:rPr>
                <w:rFonts w:hint="default"/>
              </w:rPr>
            </w:pPr>
            <w:r>
              <w:rPr>
                <w:sz w:val="21"/>
              </w:rPr>
              <w:t>流域</w:t>
            </w:r>
          </w:p>
        </w:tc>
        <w:tc>
          <w:tcPr>
            <w:tcW w:w="1918"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名称</w:t>
            </w:r>
          </w:p>
        </w:tc>
        <w:tc>
          <w:tcPr>
            <w:tcW w:w="1382"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行政区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四沙涌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化龙运河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藕塘涌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莲山涌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七沙涌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狮子洋水闸涌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九塞涌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沙陇头涌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石碁低涌涌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旧滘涌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莲湖涌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石岗西涌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雁洲涌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白水律涌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前锋涌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旦岗涌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大塱涌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孖涌涌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市沙三涌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沙湾大巷涌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大口涌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蚬涌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草河涌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蟛蜞南涌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仲元河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南箕涌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南泰涌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29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广纸涌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人纸涌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磨碟沙涌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石磷桥涌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沙湾深涌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下婆涌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万顷沙一涌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39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万顷沙四涌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万顷沙五涌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万顷沙六涌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万顷沙七涌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万顷沙八涌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万顷沙九涌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万顷沙十一涌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49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万顷沙十四涌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万顷沙十五涌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万顷沙十六涌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万顷沙十七涌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万顷沙十八涌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万顷沙十九涌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鸡抱沙一涌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鸡抱沙二涌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鸡抱沙三涌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鸡抱沙四涌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59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鸡抱沙五涌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鸡抱沙六涌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孖沙一涌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孖沙二涌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孖沙三涌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龙穴涌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二坭涌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三坭涌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安顺涌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北斗涌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69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大坳涌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东涌口涌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墩涌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老丫涌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茂丰涌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南边月涌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晒缯涌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西樵涌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虾道涌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八九顷涌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79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保丰围涌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草船涌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大隆涌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二十一围中间排灌河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民建涌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民兴涌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三民副涌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万顷沙沙尾涌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十六顷涌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苏许才涌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89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同安涌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团结涌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万顷沙二十涌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槽船涌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蕉门河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九王庙涌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联和涌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鹿颈涌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南北台涌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南沙南湾涌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99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牛孖涌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沙公堡涌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新海涌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新渔涌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三支香水道</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沙边涌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深沙涌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黄金二涌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菠萝涌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109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南双玉涌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官坦涌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老丫涌支涌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水牛头西涌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大涌涌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广隆涌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黄阁坦尾涌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亭角涌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思贤大围涌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鱼仔涌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119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北濠涌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饺剪涌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东头涌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南便涌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大孖涌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黄埔南涌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海珠区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上滘新涌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厦滘涌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沙溪七标涌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官山涌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129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珠江后航道流域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南步涌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新咀头围涌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南亭西街涌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二沙涌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珠江前航道流域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马庙涌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联围涌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石楼河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裕丰涌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139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天六涌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清流滘涌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瑞盛涌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合兴涌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黄泥沥</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钩镰涌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集兴涌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同乐涌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地玄涌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贵斗涌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149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沙滘涌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两盛涌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沙尾涌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江鸥沥</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江鸥尾涌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江鸥下涌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江鸥上涌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江兴涌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番禺区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榄核河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高沙新涌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159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高沙新涌支涌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高沙涌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上横栏涌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下横栏涌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朗口涌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酬劳涌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江窖涌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飘风涌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大滘涌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中滘涌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169</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骝岗水道</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170</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高沙河</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171</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172</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西围涌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173</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东围尾涌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174</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鬼横涌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175</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新村涌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176</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水牛头涌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177</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工业区涌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1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178</w:t>
            </w:r>
          </w:p>
        </w:tc>
        <w:tc>
          <w:tcPr>
            <w:tcW w:w="2246"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屏山河、沙湾水道流域</w:t>
            </w:r>
          </w:p>
        </w:tc>
        <w:tc>
          <w:tcPr>
            <w:tcW w:w="1918"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南横涌</w:t>
            </w:r>
          </w:p>
        </w:tc>
        <w:tc>
          <w:tcPr>
            <w:tcW w:w="1382"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sz w:val="21"/>
              </w:rPr>
            </w:pPr>
            <w:r>
              <w:rPr>
                <w:sz w:val="21"/>
              </w:rPr>
              <w:t>南沙区</w:t>
            </w:r>
          </w:p>
        </w:tc>
      </w:tr>
    </w:tbl>
    <w:p>
      <w:pPr>
        <w:pStyle w:val="8"/>
        <w:ind w:firstLine="420"/>
        <w:jc w:val="both"/>
        <w:rPr>
          <w:rFonts w:hint="default"/>
          <w:sz w:val="21"/>
        </w:rPr>
      </w:pPr>
    </w:p>
    <w:p>
      <w:pPr>
        <w:pStyle w:val="8"/>
        <w:ind w:firstLine="420"/>
        <w:jc w:val="both"/>
        <w:rPr>
          <w:rFonts w:hint="default"/>
        </w:rPr>
      </w:pPr>
      <w:r>
        <w:rPr>
          <w:sz w:val="21"/>
        </w:rPr>
        <w:t>（二）项目内容</w:t>
      </w:r>
    </w:p>
    <w:p>
      <w:pPr>
        <w:pStyle w:val="8"/>
        <w:ind w:firstLine="420"/>
        <w:jc w:val="both"/>
        <w:rPr>
          <w:rFonts w:hint="default"/>
        </w:rPr>
      </w:pPr>
      <w:r>
        <w:rPr>
          <w:sz w:val="21"/>
        </w:rPr>
        <w:t>对纳入重点区域一级支流范围的支流开展水质监测工作，以助力打好碧水保卫战，持续改善全市水环境质量，及时掌握全市水环境质量变化情况，为广州市水污染防治工作提供技术支撑。</w:t>
      </w:r>
    </w:p>
    <w:p>
      <w:pPr>
        <w:pStyle w:val="8"/>
        <w:outlineLvl w:val="2"/>
        <w:rPr>
          <w:rFonts w:hint="eastAsia"/>
          <w:b/>
          <w:sz w:val="28"/>
          <w:lang w:val="en-US" w:eastAsia="zh-CN"/>
        </w:rPr>
      </w:pPr>
      <w:r>
        <w:rPr>
          <w:rFonts w:hint="eastAsia"/>
          <w:b/>
          <w:sz w:val="28"/>
          <w:lang w:val="en-US" w:eastAsia="zh-CN"/>
        </w:rPr>
        <w:t>二、项目基本参数</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（一）服务内容</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对</w:t>
      </w:r>
      <w:r>
        <w:rPr>
          <w:b/>
          <w:sz w:val="21"/>
        </w:rPr>
        <w:t>南部片区重点区域178条一级支流</w:t>
      </w:r>
      <w:r>
        <w:rPr>
          <w:sz w:val="21"/>
        </w:rPr>
        <w:t>开展水质监测，监测指标为pH值、溶解氧、高锰酸盐指数、化学需氧量、氨氮、总磷（以P计）、总氮、硝酸盐氮、透明度，共9项</w:t>
      </w:r>
      <w:r>
        <w:rPr>
          <w:rFonts w:hint="eastAsia"/>
          <w:sz w:val="21"/>
          <w:lang w:eastAsia="zh-CN"/>
        </w:rPr>
        <w:t>（见表</w:t>
      </w:r>
      <w:r>
        <w:rPr>
          <w:rFonts w:hint="eastAsia"/>
          <w:sz w:val="21"/>
          <w:lang w:val="en-US" w:eastAsia="zh-CN"/>
        </w:rPr>
        <w:t>2</w:t>
      </w:r>
      <w:r>
        <w:rPr>
          <w:rFonts w:hint="eastAsia"/>
          <w:sz w:val="21"/>
          <w:lang w:eastAsia="zh-CN"/>
        </w:rPr>
        <w:t>）</w:t>
      </w:r>
      <w:r>
        <w:rPr>
          <w:sz w:val="21"/>
        </w:rPr>
        <w:t>。</w:t>
      </w:r>
      <w:r>
        <w:rPr>
          <w:b/>
          <w:sz w:val="21"/>
        </w:rPr>
        <w:t>因行政管理部门动态调整需要，最终监测任务要求以采购人下达的为准，原则上总体任务量不超过现有任务量的10%</w:t>
      </w:r>
      <w:r>
        <w:rPr>
          <w:sz w:val="21"/>
        </w:rPr>
        <w:t>。供应商于服务期内，需严格按表2的要求进行监测，同时做好以下工作：</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（1）收集整理断面基础信息，首次监测时应按采购人的要求做好照片、文字等监测点位信息记录；</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（2）严格按相关的规范和标准的要求实施采样和分析测试工作，确保监测成果的准确性、科学性和合理性；</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（3）每月20日前提交当月监测数据电子汇总表，25日前提交当月质量控制工作数据表，30日前提交下月监测计划；</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sz w:val="21"/>
        </w:rPr>
      </w:pPr>
      <w:r>
        <w:rPr>
          <w:sz w:val="21"/>
        </w:rPr>
        <w:t>（4）</w:t>
      </w:r>
      <w:r>
        <w:rPr>
          <w:color w:val="auto"/>
          <w:sz w:val="21"/>
        </w:rPr>
        <w:t>2025年</w:t>
      </w:r>
      <w:r>
        <w:rPr>
          <w:rFonts w:hint="eastAsia"/>
          <w:color w:val="auto"/>
          <w:sz w:val="21"/>
          <w:lang w:val="en-US" w:eastAsia="zh-CN"/>
        </w:rPr>
        <w:t>10</w:t>
      </w:r>
      <w:r>
        <w:rPr>
          <w:color w:val="auto"/>
          <w:sz w:val="21"/>
        </w:rPr>
        <w:t>月30日</w:t>
      </w:r>
      <w:r>
        <w:rPr>
          <w:sz w:val="21"/>
        </w:rPr>
        <w:t>前提交项目总结报告及质控报告。</w:t>
      </w:r>
    </w:p>
    <w:p>
      <w:pPr>
        <w:pStyle w:val="8"/>
        <w:ind w:firstLine="420"/>
        <w:jc w:val="both"/>
        <w:rPr>
          <w:rFonts w:hint="default"/>
          <w:sz w:val="21"/>
        </w:rPr>
      </w:pPr>
    </w:p>
    <w:p>
      <w:pPr>
        <w:pStyle w:val="8"/>
        <w:ind w:firstLine="480"/>
        <w:rPr>
          <w:rFonts w:hint="default"/>
        </w:rPr>
      </w:pPr>
      <w:r>
        <w:rPr>
          <w:rFonts w:hint="eastAsia"/>
          <w:b/>
          <w:sz w:val="21"/>
          <w:lang w:eastAsia="zh-CN"/>
        </w:rPr>
        <w:t>表</w:t>
      </w:r>
      <w:r>
        <w:rPr>
          <w:rFonts w:hint="eastAsia"/>
          <w:b/>
          <w:sz w:val="21"/>
          <w:lang w:val="en-US" w:eastAsia="zh-CN"/>
        </w:rPr>
        <w:t>2</w:t>
      </w:r>
      <w:r>
        <w:rPr>
          <w:b/>
          <w:sz w:val="21"/>
        </w:rPr>
        <w:t xml:space="preserve"> 2024-2025年重点区域一级支流水质监测项目分析方法及检出限</w:t>
      </w:r>
    </w:p>
    <w:tbl>
      <w:tblPr>
        <w:tblStyle w:val="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7"/>
        <w:gridCol w:w="860"/>
        <w:gridCol w:w="1874"/>
        <w:gridCol w:w="1415"/>
        <w:gridCol w:w="15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auto"/>
          <w:tblCellMar>
            <w:top w:w="0" w:type="dxa"/>
            <w:left w:w="108" w:type="dxa"/>
            <w:bottom w:w="0" w:type="dxa"/>
            <w:right w:w="108" w:type="dxa"/>
          </w:tblCellMar>
        </w:tblPrEx>
        <w:tc>
          <w:tcPr>
            <w:tcW w:w="337"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pStyle w:val="8"/>
              <w:ind w:firstLine="0"/>
              <w:jc w:val="left"/>
              <w:rPr>
                <w:rFonts w:hint="default"/>
              </w:rPr>
            </w:pPr>
            <w:r>
              <w:rPr>
                <w:b/>
                <w:sz w:val="21"/>
              </w:rPr>
              <w:t>序号</w:t>
            </w:r>
          </w:p>
        </w:tc>
        <w:tc>
          <w:tcPr>
            <w:tcW w:w="860" w:type="dxa"/>
            <w:tcBorders>
              <w:top w:val="single" w:color="000000" w:sz="4" w:space="0"/>
              <w:left w:val="nil"/>
              <w:bottom w:val="single" w:color="000000" w:sz="4" w:space="0"/>
              <w:right w:val="single" w:color="000000" w:sz="4" w:space="0"/>
            </w:tcBorders>
            <w:shd w:val="clear" w:color="auto" w:fill="auto"/>
            <w:tcMar>
              <w:top w:w="0" w:type="dxa"/>
              <w:left w:w="10" w:type="dxa"/>
              <w:bottom w:w="0" w:type="dxa"/>
              <w:right w:w="10" w:type="dxa"/>
            </w:tcMar>
          </w:tcPr>
          <w:p>
            <w:pPr>
              <w:pStyle w:val="8"/>
              <w:jc w:val="both"/>
              <w:rPr>
                <w:rFonts w:hint="default"/>
              </w:rPr>
            </w:pPr>
            <w:r>
              <w:rPr>
                <w:b/>
                <w:sz w:val="21"/>
              </w:rPr>
              <w:t>监测项目</w:t>
            </w:r>
          </w:p>
        </w:tc>
        <w:tc>
          <w:tcPr>
            <w:tcW w:w="1874" w:type="dxa"/>
            <w:tcBorders>
              <w:top w:val="single" w:color="000000" w:sz="4" w:space="0"/>
              <w:left w:val="nil"/>
              <w:bottom w:val="single" w:color="000000" w:sz="4" w:space="0"/>
              <w:right w:val="single" w:color="000000" w:sz="4" w:space="0"/>
            </w:tcBorders>
            <w:shd w:val="clear" w:color="auto" w:fill="auto"/>
            <w:tcMar>
              <w:top w:w="0" w:type="dxa"/>
              <w:left w:w="10" w:type="dxa"/>
              <w:bottom w:w="0" w:type="dxa"/>
              <w:right w:w="10" w:type="dxa"/>
            </w:tcMar>
          </w:tcPr>
          <w:p>
            <w:pPr>
              <w:pStyle w:val="8"/>
              <w:jc w:val="both"/>
              <w:rPr>
                <w:rFonts w:hint="default"/>
              </w:rPr>
            </w:pPr>
            <w:r>
              <w:rPr>
                <w:b/>
                <w:sz w:val="21"/>
              </w:rPr>
              <w:t>分析方法</w:t>
            </w:r>
          </w:p>
        </w:tc>
        <w:tc>
          <w:tcPr>
            <w:tcW w:w="989" w:type="dxa"/>
            <w:tcBorders>
              <w:top w:val="single" w:color="000000" w:sz="4" w:space="0"/>
              <w:left w:val="nil"/>
              <w:bottom w:val="single" w:color="000000" w:sz="4" w:space="0"/>
              <w:right w:val="single" w:color="000000" w:sz="4" w:space="0"/>
            </w:tcBorders>
            <w:shd w:val="clear" w:color="auto" w:fill="auto"/>
            <w:tcMar>
              <w:top w:w="0" w:type="dxa"/>
              <w:left w:w="10" w:type="dxa"/>
              <w:bottom w:w="0" w:type="dxa"/>
              <w:right w:w="10" w:type="dxa"/>
            </w:tcMar>
          </w:tcPr>
          <w:p>
            <w:pPr>
              <w:pStyle w:val="8"/>
              <w:jc w:val="both"/>
              <w:rPr>
                <w:rFonts w:hint="default"/>
              </w:rPr>
            </w:pPr>
            <w:r>
              <w:rPr>
                <w:b/>
                <w:sz w:val="21"/>
              </w:rPr>
              <w:t>检出限</w:t>
            </w:r>
          </w:p>
        </w:tc>
        <w:tc>
          <w:tcPr>
            <w:tcW w:w="1528" w:type="dxa"/>
            <w:tcBorders>
              <w:top w:val="single" w:color="000000" w:sz="4" w:space="0"/>
              <w:left w:val="nil"/>
              <w:bottom w:val="single" w:color="000000" w:sz="4" w:space="0"/>
              <w:right w:val="single" w:color="000000" w:sz="4" w:space="0"/>
            </w:tcBorders>
            <w:shd w:val="clear" w:color="auto" w:fill="auto"/>
            <w:tcMar>
              <w:top w:w="0" w:type="dxa"/>
              <w:left w:w="10" w:type="dxa"/>
              <w:bottom w:w="0" w:type="dxa"/>
              <w:right w:w="10" w:type="dxa"/>
            </w:tcMar>
          </w:tcPr>
          <w:p>
            <w:pPr>
              <w:pStyle w:val="8"/>
              <w:jc w:val="both"/>
              <w:rPr>
                <w:rFonts w:hint="default"/>
              </w:rPr>
            </w:pPr>
            <w:r>
              <w:rPr>
                <w:b/>
                <w:sz w:val="21"/>
              </w:rPr>
              <w:t>方法来源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auto"/>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1</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color w:val="000000"/>
                <w:sz w:val="21"/>
              </w:rPr>
              <w:t>pH值</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color w:val="000000"/>
                <w:sz w:val="21"/>
              </w:rPr>
              <w:t>玻璃电极法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color w:val="000000"/>
                <w:sz w:val="21"/>
              </w:rPr>
              <w:t>HJ 1147-2020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2</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溶解氧</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电化学探头法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HJ 506-2009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3</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color w:val="000000"/>
                <w:sz w:val="21"/>
              </w:rPr>
              <w:t>高锰酸盐指数</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color w:val="000000"/>
                <w:sz w:val="21"/>
              </w:rPr>
              <w:t>酸性法/碱性法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color w:val="000000"/>
                <w:sz w:val="21"/>
              </w:rPr>
              <w:t>0.5mg/L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color w:val="000000"/>
                <w:sz w:val="21"/>
              </w:rPr>
              <w:t>GB/T 11892-1989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4</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化学需氧量</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重铬酸盐法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4mg/L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HJ 828-2017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auto"/>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5</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氨氮</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纳氏试剂分光光度法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0.025mg/L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HJ 535-2009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6</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总磷（以P计）</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钼酸铵分光光度法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0.01mg/L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GB/T 11893-1989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auto"/>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7</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总氮（以N计）</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碱性过硫酸钾消解—紫外分光光度法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0.05mg/L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HJ 636-2012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7" w:type="dxa"/>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8</w:t>
            </w:r>
          </w:p>
        </w:tc>
        <w:tc>
          <w:tcPr>
            <w:tcW w:w="860"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透明度</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塞氏盘法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《水和废水监测分析方法》（第四版 第三篇 第一章 五，国家环境保护总局，2002年）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7" w:type="dxa"/>
            <w:vMerge w:val="restart"/>
            <w:tcBorders>
              <w:top w:val="nil"/>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left"/>
              <w:rPr>
                <w:rFonts w:hint="default"/>
              </w:rPr>
            </w:pPr>
            <w:r>
              <w:rPr>
                <w:sz w:val="21"/>
              </w:rPr>
              <w:t>9</w:t>
            </w:r>
          </w:p>
        </w:tc>
        <w:tc>
          <w:tcPr>
            <w:tcW w:w="860" w:type="dxa"/>
            <w:vMerge w:val="restart"/>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硝酸盐氮</w:t>
            </w: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离子色谱法</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0.016mg/L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HJ 84-2016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337" w:type="dxa"/>
            <w:vMerge w:val="continue"/>
            <w:tcBorders>
              <w:top w:val="nil"/>
              <w:left w:val="single" w:color="000000" w:sz="4" w:space="0"/>
              <w:bottom w:val="single" w:color="000000" w:sz="4" w:space="0"/>
              <w:right w:val="single" w:color="000000" w:sz="4" w:space="0"/>
            </w:tcBorders>
            <w:shd w:val="clear" w:color="auto" w:fill="auto"/>
            <w:vAlign w:val="top"/>
          </w:tcPr>
          <w:p>
            <w:pPr>
              <w:jc w:val="left"/>
            </w:pPr>
          </w:p>
        </w:tc>
        <w:tc>
          <w:tcPr>
            <w:tcW w:w="860" w:type="dxa"/>
            <w:vMerge w:val="continue"/>
            <w:tcBorders>
              <w:top w:val="nil"/>
              <w:left w:val="nil"/>
              <w:bottom w:val="single" w:color="000000" w:sz="4" w:space="0"/>
              <w:right w:val="single" w:color="000000" w:sz="4" w:space="0"/>
            </w:tcBorders>
            <w:shd w:val="clear" w:color="auto" w:fill="auto"/>
            <w:vAlign w:val="top"/>
          </w:tcPr>
          <w:p>
            <w:pPr>
              <w:jc w:val="both"/>
            </w:pP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紫外分光光度法（硝酸盐）</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0.08mg/L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HJ/T 346-2007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auto"/>
          <w:tblCellMar>
            <w:top w:w="0" w:type="dxa"/>
            <w:left w:w="108" w:type="dxa"/>
            <w:bottom w:w="0" w:type="dxa"/>
            <w:right w:w="108" w:type="dxa"/>
          </w:tblCellMar>
        </w:tblPrEx>
        <w:tc>
          <w:tcPr>
            <w:tcW w:w="337" w:type="dxa"/>
            <w:vMerge w:val="continue"/>
            <w:tcBorders>
              <w:top w:val="nil"/>
              <w:left w:val="single" w:color="000000" w:sz="4" w:space="0"/>
              <w:bottom w:val="single" w:color="000000" w:sz="4" w:space="0"/>
              <w:right w:val="single" w:color="000000" w:sz="4" w:space="0"/>
            </w:tcBorders>
            <w:shd w:val="clear" w:color="auto" w:fill="auto"/>
            <w:vAlign w:val="top"/>
          </w:tcPr>
          <w:p>
            <w:pPr>
              <w:jc w:val="left"/>
            </w:pPr>
          </w:p>
        </w:tc>
        <w:tc>
          <w:tcPr>
            <w:tcW w:w="860" w:type="dxa"/>
            <w:vMerge w:val="continue"/>
            <w:tcBorders>
              <w:top w:val="nil"/>
              <w:left w:val="nil"/>
              <w:bottom w:val="single" w:color="000000" w:sz="4" w:space="0"/>
              <w:right w:val="single" w:color="000000" w:sz="4" w:space="0"/>
            </w:tcBorders>
            <w:shd w:val="clear" w:color="auto" w:fill="auto"/>
            <w:vAlign w:val="top"/>
          </w:tcPr>
          <w:p>
            <w:pPr>
              <w:jc w:val="both"/>
            </w:pPr>
          </w:p>
        </w:tc>
        <w:tc>
          <w:tcPr>
            <w:tcW w:w="1874"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分光光度法（亚硝酸盐）</w:t>
            </w:r>
          </w:p>
        </w:tc>
        <w:tc>
          <w:tcPr>
            <w:tcW w:w="989"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ind w:firstLine="480"/>
              <w:jc w:val="both"/>
              <w:rPr>
                <w:rFonts w:hint="default"/>
              </w:rPr>
            </w:pPr>
            <w:r>
              <w:rPr>
                <w:sz w:val="21"/>
              </w:rPr>
              <w:t>0.003mg/L</w:t>
            </w:r>
          </w:p>
        </w:tc>
        <w:tc>
          <w:tcPr>
            <w:tcW w:w="1528" w:type="dxa"/>
            <w:tcBorders>
              <w:top w:val="nil"/>
              <w:left w:val="nil"/>
              <w:bottom w:val="single" w:color="000000" w:sz="4" w:space="0"/>
              <w:right w:val="single" w:color="000000" w:sz="4" w:space="0"/>
            </w:tcBorders>
            <w:shd w:val="clear" w:color="auto" w:fill="auto"/>
            <w:tcMar>
              <w:top w:w="0" w:type="dxa"/>
              <w:left w:w="10" w:type="dxa"/>
              <w:bottom w:w="0" w:type="dxa"/>
              <w:right w:w="10" w:type="dxa"/>
            </w:tcMar>
            <w:vAlign w:val="top"/>
          </w:tcPr>
          <w:p>
            <w:pPr>
              <w:pStyle w:val="8"/>
              <w:jc w:val="both"/>
              <w:rPr>
                <w:rFonts w:hint="default"/>
              </w:rPr>
            </w:pPr>
            <w:r>
              <w:rPr>
                <w:sz w:val="21"/>
              </w:rPr>
              <w:t>GB/T 7493-1987</w:t>
            </w:r>
          </w:p>
        </w:tc>
      </w:tr>
    </w:tbl>
    <w:p>
      <w:pPr>
        <w:pStyle w:val="8"/>
        <w:ind w:firstLine="480"/>
        <w:rPr>
          <w:rFonts w:hint="default"/>
        </w:rPr>
      </w:pPr>
      <w:r>
        <w:rPr>
          <w:color w:val="000000"/>
          <w:sz w:val="21"/>
        </w:rPr>
        <w:t>备注：以上分析方法对应的标准如有更新，以最新发布的为准。</w:t>
      </w:r>
    </w:p>
    <w:p>
      <w:pPr>
        <w:pStyle w:val="8"/>
        <w:ind w:firstLine="420"/>
        <w:jc w:val="both"/>
        <w:rPr>
          <w:rFonts w:hint="default"/>
        </w:rPr>
      </w:pPr>
    </w:p>
    <w:p>
      <w:pPr>
        <w:pStyle w:val="8"/>
        <w:ind w:firstLine="420"/>
        <w:jc w:val="both"/>
        <w:rPr>
          <w:rFonts w:hint="default"/>
        </w:rPr>
      </w:pPr>
      <w:r>
        <w:rPr>
          <w:sz w:val="21"/>
        </w:rPr>
        <w:t>（二）服务成果</w:t>
      </w:r>
    </w:p>
    <w:p>
      <w:pPr>
        <w:pStyle w:val="8"/>
        <w:ind w:firstLine="420"/>
        <w:jc w:val="both"/>
        <w:rPr>
          <w:rFonts w:hint="default"/>
        </w:rPr>
      </w:pPr>
      <w:r>
        <w:rPr>
          <w:sz w:val="21"/>
        </w:rPr>
        <w:t>供应商提交的成果资料如表3所示。</w:t>
      </w:r>
    </w:p>
    <w:p>
      <w:pPr>
        <w:pStyle w:val="8"/>
        <w:ind w:firstLine="422"/>
        <w:jc w:val="both"/>
        <w:rPr>
          <w:rFonts w:hint="default"/>
        </w:rPr>
      </w:pPr>
      <w:r>
        <w:rPr>
          <w:b/>
          <w:sz w:val="21"/>
        </w:rPr>
        <w:t>表3项目成果提交清单</w:t>
      </w:r>
    </w:p>
    <w:tbl>
      <w:tblPr>
        <w:tblStyle w:val="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2571"/>
        <w:gridCol w:w="903"/>
        <w:gridCol w:w="1974"/>
        <w:gridCol w:w="11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b/>
                <w:sz w:val="21"/>
              </w:rPr>
              <w:t>序号</w:t>
            </w:r>
          </w:p>
        </w:tc>
        <w:tc>
          <w:tcPr>
            <w:tcW w:w="2571"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ind w:firstLine="480"/>
              <w:jc w:val="both"/>
              <w:rPr>
                <w:rFonts w:hint="default"/>
              </w:rPr>
            </w:pPr>
            <w:r>
              <w:rPr>
                <w:b/>
                <w:sz w:val="21"/>
              </w:rPr>
              <w:t>成果资料</w:t>
            </w:r>
          </w:p>
        </w:tc>
        <w:tc>
          <w:tcPr>
            <w:tcW w:w="903"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b/>
                <w:sz w:val="21"/>
              </w:rPr>
              <w:t>数量</w:t>
            </w:r>
          </w:p>
        </w:tc>
        <w:tc>
          <w:tcPr>
            <w:tcW w:w="1974"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b/>
                <w:sz w:val="21"/>
              </w:rPr>
              <w:t>备注</w:t>
            </w:r>
          </w:p>
        </w:tc>
        <w:tc>
          <w:tcPr>
            <w:tcW w:w="1196"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b/>
                <w:sz w:val="21"/>
              </w:rPr>
              <w:t>责任单位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ind w:firstLine="480"/>
              <w:jc w:val="center"/>
              <w:rPr>
                <w:rFonts w:hint="default"/>
              </w:rPr>
            </w:pPr>
            <w:r>
              <w:rPr>
                <w:sz w:val="21"/>
              </w:rPr>
              <w:t>1</w:t>
            </w: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南部片区重点区域一级支流水质监测数据电子汇总表</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ind w:firstLine="0"/>
              <w:jc w:val="center"/>
              <w:rPr>
                <w:rFonts w:hint="default"/>
                <w:color w:val="auto"/>
                <w:sz w:val="21"/>
                <w:lang w:val="en-US" w:eastAsia="zh-CN"/>
              </w:rPr>
            </w:pPr>
          </w:p>
          <w:p>
            <w:pPr>
              <w:pStyle w:val="8"/>
              <w:ind w:firstLine="0"/>
              <w:jc w:val="center"/>
              <w:rPr>
                <w:rFonts w:hint="default" w:eastAsiaTheme="minorEastAsia"/>
                <w:color w:val="auto"/>
                <w:lang w:val="en-US" w:eastAsia="zh-CN"/>
              </w:rPr>
            </w:pPr>
            <w:r>
              <w:rPr>
                <w:rFonts w:hint="eastAsia"/>
                <w:color w:val="auto"/>
                <w:sz w:val="21"/>
                <w:lang w:val="en-US" w:eastAsia="zh-CN"/>
              </w:rPr>
              <w:t>11</w:t>
            </w:r>
          </w:p>
        </w:tc>
        <w:tc>
          <w:tcPr>
            <w:tcW w:w="1974"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每月一份，监测当月20日前</w:t>
            </w:r>
          </w:p>
        </w:tc>
        <w:tc>
          <w:tcPr>
            <w:tcW w:w="1196" w:type="dxa"/>
            <w:vMerge w:val="restart"/>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供应商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797" w:type="dxa"/>
            <w:vMerge w:val="continue"/>
            <w:tcBorders>
              <w:top w:val="nil"/>
              <w:left w:val="single" w:color="000000" w:sz="4" w:space="0"/>
              <w:bottom w:val="single" w:color="000000" w:sz="4" w:space="0"/>
              <w:right w:val="single" w:color="000000" w:sz="4" w:space="0"/>
            </w:tcBorders>
          </w:tcP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南部片区重点区域一级支流水质监测任务质量控制工作数据表</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ind w:firstLine="210" w:firstLineChars="100"/>
              <w:jc w:val="both"/>
              <w:rPr>
                <w:rFonts w:hint="default" w:eastAsiaTheme="minorEastAsia"/>
                <w:color w:val="auto"/>
                <w:lang w:val="en-US" w:eastAsia="zh-CN"/>
              </w:rPr>
            </w:pPr>
            <w:r>
              <w:rPr>
                <w:rFonts w:hint="eastAsia"/>
                <w:color w:val="auto"/>
                <w:sz w:val="21"/>
                <w:lang w:val="en-US" w:eastAsia="zh-CN"/>
              </w:rPr>
              <w:t>11</w:t>
            </w:r>
          </w:p>
        </w:tc>
        <w:tc>
          <w:tcPr>
            <w:tcW w:w="1974"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每月一份，监测当月25日前</w:t>
            </w:r>
          </w:p>
        </w:tc>
        <w:tc>
          <w:tcPr>
            <w:tcW w:w="119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vMerge w:val="continue"/>
            <w:tcBorders>
              <w:top w:val="nil"/>
              <w:left w:val="single" w:color="000000" w:sz="4" w:space="0"/>
              <w:bottom w:val="single" w:color="000000" w:sz="4" w:space="0"/>
              <w:right w:val="single" w:color="000000" w:sz="4" w:space="0"/>
            </w:tcBorders>
          </w:tcP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下月监测计划</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ind w:firstLine="210" w:firstLineChars="100"/>
              <w:jc w:val="both"/>
              <w:rPr>
                <w:rFonts w:hint="default" w:eastAsiaTheme="minorEastAsia"/>
                <w:color w:val="auto"/>
                <w:lang w:val="en-US" w:eastAsia="zh-CN"/>
              </w:rPr>
            </w:pPr>
            <w:r>
              <w:rPr>
                <w:rFonts w:hint="eastAsia"/>
                <w:color w:val="auto"/>
                <w:sz w:val="21"/>
                <w:lang w:val="en-US" w:eastAsia="zh-CN"/>
              </w:rPr>
              <w:t>11</w:t>
            </w:r>
          </w:p>
        </w:tc>
        <w:tc>
          <w:tcPr>
            <w:tcW w:w="1974"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每月一份，监测当月30日前</w:t>
            </w:r>
          </w:p>
        </w:tc>
        <w:tc>
          <w:tcPr>
            <w:tcW w:w="119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vMerge w:val="continue"/>
            <w:tcBorders>
              <w:top w:val="nil"/>
              <w:left w:val="single" w:color="000000" w:sz="4" w:space="0"/>
              <w:bottom w:val="single" w:color="000000" w:sz="4" w:space="0"/>
              <w:right w:val="single" w:color="000000" w:sz="4" w:space="0"/>
            </w:tcBorders>
          </w:tcP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纸质版报告（盖CMA章监测报告1份，质量控制工作数据表1份）</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ind w:firstLine="210" w:firstLineChars="100"/>
              <w:jc w:val="both"/>
              <w:rPr>
                <w:rFonts w:hint="default" w:eastAsiaTheme="minorEastAsia"/>
                <w:color w:val="auto"/>
                <w:lang w:val="en-US" w:eastAsia="zh-CN"/>
              </w:rPr>
            </w:pPr>
            <w:r>
              <w:rPr>
                <w:rFonts w:hint="eastAsia"/>
                <w:color w:val="auto"/>
                <w:sz w:val="21"/>
                <w:lang w:val="en-US" w:eastAsia="zh-CN"/>
              </w:rPr>
              <w:t>22</w:t>
            </w:r>
          </w:p>
        </w:tc>
        <w:tc>
          <w:tcPr>
            <w:tcW w:w="1974"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每月一份，监测当月30日前</w:t>
            </w:r>
          </w:p>
        </w:tc>
        <w:tc>
          <w:tcPr>
            <w:tcW w:w="119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vMerge w:val="continue"/>
            <w:tcBorders>
              <w:top w:val="nil"/>
              <w:left w:val="single" w:color="000000" w:sz="4" w:space="0"/>
              <w:bottom w:val="single" w:color="000000" w:sz="4" w:space="0"/>
              <w:right w:val="single" w:color="000000" w:sz="4" w:space="0"/>
            </w:tcBorders>
          </w:tcP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南部片区重点区域一级支流水质监测任务监测断面基础信息（点位图片、经纬度等）</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ind w:firstLine="480"/>
              <w:jc w:val="center"/>
              <w:rPr>
                <w:rFonts w:hint="default"/>
                <w:color w:val="auto"/>
              </w:rPr>
            </w:pPr>
            <w:r>
              <w:rPr>
                <w:color w:val="auto"/>
                <w:sz w:val="21"/>
              </w:rPr>
              <w:t>1</w:t>
            </w:r>
          </w:p>
        </w:tc>
        <w:tc>
          <w:tcPr>
            <w:tcW w:w="1974"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2024年</w:t>
            </w:r>
            <w:r>
              <w:rPr>
                <w:rFonts w:hint="eastAsia"/>
                <w:color w:val="auto"/>
                <w:sz w:val="21"/>
                <w:lang w:val="en-US" w:eastAsia="zh-CN"/>
              </w:rPr>
              <w:t>8</w:t>
            </w:r>
            <w:r>
              <w:rPr>
                <w:color w:val="auto"/>
                <w:sz w:val="21"/>
              </w:rPr>
              <w:t>月30日前</w:t>
            </w:r>
          </w:p>
        </w:tc>
        <w:tc>
          <w:tcPr>
            <w:tcW w:w="119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vMerge w:val="continue"/>
            <w:tcBorders>
              <w:top w:val="nil"/>
              <w:left w:val="single" w:color="000000" w:sz="4" w:space="0"/>
              <w:bottom w:val="single" w:color="000000" w:sz="4" w:space="0"/>
              <w:right w:val="single" w:color="000000" w:sz="4" w:space="0"/>
            </w:tcBorders>
          </w:tcP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rFonts w:hint="eastAsia"/>
                <w:color w:val="auto"/>
                <w:sz w:val="21"/>
              </w:rPr>
              <w:t>项目验收报告</w:t>
            </w:r>
            <w:r>
              <w:rPr>
                <w:rFonts w:hint="eastAsia"/>
                <w:color w:val="auto"/>
                <w:sz w:val="21"/>
                <w:lang w:val="en-US" w:eastAsia="zh-CN"/>
              </w:rPr>
              <w:t>1份</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ind w:firstLine="480"/>
              <w:jc w:val="center"/>
              <w:rPr>
                <w:rFonts w:hint="default"/>
                <w:color w:val="auto"/>
              </w:rPr>
            </w:pPr>
            <w:r>
              <w:rPr>
                <w:color w:val="auto"/>
                <w:sz w:val="21"/>
              </w:rPr>
              <w:t>2</w:t>
            </w:r>
          </w:p>
        </w:tc>
        <w:tc>
          <w:tcPr>
            <w:tcW w:w="1974"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2025年</w:t>
            </w:r>
            <w:r>
              <w:rPr>
                <w:rFonts w:hint="eastAsia"/>
                <w:color w:val="auto"/>
                <w:sz w:val="21"/>
                <w:lang w:val="en-US" w:eastAsia="zh-CN"/>
              </w:rPr>
              <w:t>7</w:t>
            </w:r>
            <w:r>
              <w:rPr>
                <w:color w:val="auto"/>
                <w:sz w:val="21"/>
              </w:rPr>
              <w:t>月30日前</w:t>
            </w:r>
          </w:p>
        </w:tc>
        <w:tc>
          <w:tcPr>
            <w:tcW w:w="119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ind w:firstLine="480"/>
              <w:jc w:val="center"/>
              <w:rPr>
                <w:rFonts w:hint="default"/>
              </w:rPr>
            </w:pPr>
            <w:r>
              <w:rPr>
                <w:sz w:val="21"/>
              </w:rPr>
              <w:t>2</w:t>
            </w: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color w:val="auto"/>
              </w:rPr>
            </w:pPr>
            <w:r>
              <w:rPr>
                <w:color w:val="auto"/>
                <w:sz w:val="21"/>
              </w:rPr>
              <w:t>质量控制抽查报告</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center"/>
              <w:rPr>
                <w:rFonts w:hint="default"/>
                <w:color w:val="auto"/>
              </w:rPr>
            </w:pPr>
            <w:r>
              <w:rPr>
                <w:color w:val="auto"/>
                <w:sz w:val="21"/>
              </w:rPr>
              <w:t>1</w:t>
            </w:r>
          </w:p>
        </w:tc>
        <w:tc>
          <w:tcPr>
            <w:tcW w:w="1974" w:type="dxa"/>
            <w:vMerge w:val="restart"/>
            <w:tcBorders>
              <w:top w:val="nil"/>
              <w:left w:val="nil"/>
              <w:bottom w:val="single" w:color="000000" w:sz="4" w:space="0"/>
              <w:right w:val="single" w:color="000000" w:sz="4" w:space="0"/>
            </w:tcBorders>
            <w:tcMar>
              <w:top w:w="0" w:type="dxa"/>
              <w:left w:w="105" w:type="dxa"/>
              <w:bottom w:w="0" w:type="dxa"/>
              <w:right w:w="105" w:type="dxa"/>
            </w:tcMar>
          </w:tcPr>
          <w:p>
            <w:pPr>
              <w:pStyle w:val="8"/>
              <w:jc w:val="center"/>
              <w:rPr>
                <w:rFonts w:hint="default"/>
                <w:color w:val="auto"/>
              </w:rPr>
            </w:pPr>
          </w:p>
        </w:tc>
        <w:tc>
          <w:tcPr>
            <w:tcW w:w="1196" w:type="dxa"/>
            <w:vMerge w:val="restart"/>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采购人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97"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8"/>
              <w:ind w:firstLine="480"/>
              <w:jc w:val="center"/>
              <w:rPr>
                <w:rFonts w:hint="default"/>
              </w:rPr>
            </w:pPr>
            <w:r>
              <w:rPr>
                <w:sz w:val="21"/>
              </w:rPr>
              <w:t>3</w:t>
            </w:r>
          </w:p>
        </w:tc>
        <w:tc>
          <w:tcPr>
            <w:tcW w:w="2571"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both"/>
              <w:rPr>
                <w:rFonts w:hint="default"/>
              </w:rPr>
            </w:pPr>
            <w:r>
              <w:rPr>
                <w:sz w:val="21"/>
              </w:rPr>
              <w:t>项目专家验收意见</w:t>
            </w:r>
          </w:p>
        </w:tc>
        <w:tc>
          <w:tcPr>
            <w:tcW w:w="903" w:type="dxa"/>
            <w:tcBorders>
              <w:top w:val="nil"/>
              <w:left w:val="nil"/>
              <w:bottom w:val="single" w:color="000000" w:sz="4" w:space="0"/>
              <w:right w:val="single" w:color="000000" w:sz="4" w:space="0"/>
            </w:tcBorders>
            <w:tcMar>
              <w:top w:w="0" w:type="dxa"/>
              <w:left w:w="105" w:type="dxa"/>
              <w:bottom w:w="0" w:type="dxa"/>
              <w:right w:w="105" w:type="dxa"/>
            </w:tcMar>
          </w:tcPr>
          <w:p>
            <w:pPr>
              <w:pStyle w:val="8"/>
              <w:jc w:val="center"/>
              <w:rPr>
                <w:rFonts w:hint="default"/>
              </w:rPr>
            </w:pPr>
            <w:r>
              <w:rPr>
                <w:sz w:val="21"/>
              </w:rPr>
              <w:t>1</w:t>
            </w:r>
          </w:p>
        </w:tc>
        <w:tc>
          <w:tcPr>
            <w:tcW w:w="1974" w:type="dxa"/>
            <w:vMerge w:val="continue"/>
            <w:tcBorders>
              <w:top w:val="nil"/>
              <w:left w:val="nil"/>
              <w:bottom w:val="single" w:color="000000" w:sz="4" w:space="0"/>
              <w:right w:val="single" w:color="000000" w:sz="4" w:space="0"/>
            </w:tcBorders>
          </w:tcPr>
          <w:p/>
        </w:tc>
        <w:tc>
          <w:tcPr>
            <w:tcW w:w="1196" w:type="dxa"/>
            <w:vMerge w:val="continue"/>
            <w:tcBorders>
              <w:top w:val="nil"/>
              <w:left w:val="nil"/>
              <w:bottom w:val="single" w:color="000000" w:sz="4" w:space="0"/>
              <w:right w:val="single" w:color="000000" w:sz="4" w:space="0"/>
            </w:tcBorders>
          </w:tcPr>
          <w:p/>
        </w:tc>
      </w:tr>
    </w:tbl>
    <w:p>
      <w:pPr>
        <w:pStyle w:val="8"/>
        <w:ind w:firstLine="480"/>
        <w:jc w:val="both"/>
        <w:rPr>
          <w:rFonts w:hint="default"/>
        </w:rPr>
      </w:pPr>
    </w:p>
    <w:p>
      <w:pPr>
        <w:pStyle w:val="8"/>
        <w:ind w:firstLine="420"/>
        <w:jc w:val="both"/>
        <w:rPr>
          <w:rFonts w:hint="default"/>
        </w:rPr>
      </w:pPr>
      <w:r>
        <w:rPr>
          <w:sz w:val="21"/>
        </w:rPr>
        <w:t>（三）技术要求</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1.监测方法要求</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监测点位设置、样品采集、保存与运输按照《国家地表水环境质量监测网作业指导书（试行版）》的要求执行，具体技术要求如下：</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（1）采样要求：按照《地表水和污水监测技术规范》（HJ/ T 91.2-2022）的要求，原则上在每条河道下游涌口设置1个监测点位，具体以采购人结合管理需求动态调整。</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（2）监测频次：每月一次。</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（3）采样时间：原则上为每月1-10日，逢法定假日、极端水文气象条件，监测时间可后延，最迟不超过每月15日。</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（4）分析方法：原则上优先参照附件列出的方法，或者现行有效的国标、行标分析方法，采用的试剂、分析仪器必须能够满足监测工作的需要所示。</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rPr>
      </w:pPr>
      <w:r>
        <w:rPr>
          <w:rFonts w:hint="eastAsia" w:asciiTheme="minorHAnsi" w:hAnsiTheme="minorHAnsi" w:eastAsiaTheme="minorEastAsia" w:cstheme="minorBidi"/>
          <w:sz w:val="21"/>
          <w:lang w:val="en-US" w:eastAsia="zh-Hans" w:bidi="ar-SA"/>
        </w:rPr>
        <w:t>（5）数据报送要求：报送监测数据时，若监测值低于检测限，在检测限后加“L”，检测限应该满足国家地表水I类标准值的1/4，化学需氧量、总磷等检测项目的分析方法检出限须不高于I类水质标准限值（</w:t>
      </w:r>
      <w:r>
        <w:rPr>
          <w:rFonts w:hint="eastAsia" w:asciiTheme="minorHAnsi" w:hAnsiTheme="minorHAnsi" w:eastAsiaTheme="minorEastAsia" w:cstheme="minorBidi"/>
          <w:sz w:val="21"/>
          <w:lang w:val="en-US" w:eastAsia="zh-CN" w:bidi="ar-SA"/>
        </w:rPr>
        <w:t>提供</w:t>
      </w:r>
      <w:r>
        <w:rPr>
          <w:rFonts w:hint="default" w:asciiTheme="minorHAnsi" w:hAnsiTheme="minorHAnsi" w:eastAsiaTheme="minorEastAsia" w:cstheme="minorBidi"/>
          <w:sz w:val="21"/>
          <w:lang w:val="en-US" w:eastAsia="zh-CN" w:bidi="ar-SA"/>
        </w:rPr>
        <w:t>第三方检测机构检测报告扫描件</w:t>
      </w:r>
      <w:r>
        <w:rPr>
          <w:rFonts w:hint="eastAsia" w:asciiTheme="minorHAnsi" w:hAnsiTheme="minorHAnsi" w:eastAsiaTheme="minorEastAsia" w:cstheme="minorBidi"/>
          <w:sz w:val="21"/>
          <w:lang w:val="en-US" w:eastAsia="zh-Hans" w:bidi="ar-SA"/>
        </w:rPr>
        <w:t>），原则上不超过《国家地表水环境质量监测网作业指导书（试行版）》的质量控制要求；未监测则填写“-1”，并写明原因；如监测断面水质异常，及时向采购人反馈，并组织核查。监测数据填报和修约执行《国家地表水环境质量监测数据修约处理规则》（总站水字〔2018〕87号）。</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2.质控要求</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（1）水质监测</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水质监测工作需按照计量认证的有关规定，必须在检测的全过程进行质量控制，以保证检测结果的合理性、科学性和公正性。</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①每批水质样品需各采集现场空白样和现场平行样。现场空白样测定结果应低于相应项目监测方法的检出限；现场平行样的采集应控制采样操作和条件的一致性，其相对偏差应符合相应项目监测方法的精密度要求。</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②实验室内质量控制应包括室内空白、校准曲线及标准点核查、实验室测试的准确度及精密度控制等。每批次样品分析时做2个室内空白样，空白试验结果应符合分析方法要求。同时按照方法要求在测定试样的同时制作校准曲线，其参数应符合标准要求。实验室测试的准确度控制，每批次样品测定1个有证标准物质或具有溯源性的标准物质，测试结果应符合其标准物质证书中相应范围；可行时，每批次样品随机抽取10%以上做加标回收试验，加标回收率应满足相关标准规定的要求。精密度的控制，以每批次样品随机抽取10%样品做室内平行双样测定，平行样相对偏差应满足相关标准规定的要求。</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平行样数据评判采用《水和废水监测分析办法》（第四版）中室间精密度标准。</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③供应商需接受采购人安排的质量考核工作，考核方式包括但不限于现场监测检查、原始记录审核、盲样考核等。</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④采购人根据供应商水质采样工作计划，有权提出对水质采样工作进行监督或根据实际情况对计划进行调整，供应商需配合采购人进行监督和调整工作，发生的费用包含在合同总价中。</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sz w:val="21"/>
        </w:rPr>
      </w:pPr>
      <w:r>
        <w:rPr>
          <w:sz w:val="21"/>
        </w:rPr>
        <w:t>⑤每月编写水质监测质量控制工作报告，且在当月30号之前将当月质量控制工作报告上报至采购人。</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eastAsia" w:eastAsiaTheme="minorEastAsia"/>
          <w:sz w:val="21"/>
          <w:lang w:eastAsia="zh-CN"/>
        </w:rPr>
      </w:pPr>
      <w:r>
        <w:rPr>
          <w:rFonts w:hint="eastAsia" w:ascii="汉仪书宋二S" w:hAnsi="汉仪书宋二S" w:eastAsia="汉仪书宋二S" w:cs="汉仪书宋二S"/>
        </w:rPr>
        <w:t>⑥</w:t>
      </w:r>
      <w:r>
        <w:t>可每日提供采样视频及采样拍照，视频、照片中包含采样时间采样地点的（视频文件需提供开始及结束的时间截图，同时需显示进度条</w:t>
      </w:r>
      <w:r>
        <w:rPr>
          <w:rFonts w:hint="eastAsia"/>
          <w:lang w:eastAsia="zh-CN"/>
        </w:rPr>
        <w:t>。</w:t>
      </w:r>
    </w:p>
    <w:p>
      <w:pPr>
        <w:pStyle w:val="8"/>
        <w:keepNext w:val="0"/>
        <w:keepLines w:val="0"/>
        <w:pageBreakBefore w:val="0"/>
        <w:widowControl/>
        <w:kinsoku/>
        <w:wordWrap/>
        <w:overflowPunct/>
        <w:topLinePunct w:val="0"/>
        <w:autoSpaceDE/>
        <w:autoSpaceDN/>
        <w:bidi w:val="0"/>
        <w:adjustRightInd/>
        <w:snapToGrid/>
        <w:spacing w:line="360" w:lineRule="auto"/>
        <w:ind w:firstLine="210"/>
        <w:jc w:val="both"/>
        <w:textAlignment w:val="auto"/>
        <w:rPr>
          <w:rFonts w:hint="default"/>
        </w:rPr>
      </w:pPr>
      <w:r>
        <w:rPr>
          <w:sz w:val="21"/>
        </w:rPr>
        <w:t>（2）资料成果</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相关资料整理要符合资料档案管理规范要求，各种资料要分类归档，监测过程的记录是反映项目实施事实，不允许任意篡改或修正，维护档案资料的真实性，保持档案资料的原貌。</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sz w:val="21"/>
        </w:rPr>
      </w:pPr>
      <w:r>
        <w:rPr>
          <w:sz w:val="21"/>
        </w:rPr>
        <w:t>每期提供监测成果时，应提供相应现场采样摄录资料，摄录要求参考《污染源污水监测现场质里控制技术规范》(DB4401</w:t>
      </w:r>
      <w:r>
        <w:rPr>
          <w:rFonts w:hint="eastAsia"/>
          <w:sz w:val="21"/>
          <w:lang w:val="en-US" w:eastAsia="zh-CN"/>
        </w:rPr>
        <w:t>/T</w:t>
      </w:r>
      <w:r>
        <w:rPr>
          <w:sz w:val="21"/>
        </w:rPr>
        <w:t xml:space="preserve"> 243</w:t>
      </w:r>
      <w:r>
        <w:rPr>
          <w:rFonts w:hint="eastAsia"/>
          <w:sz w:val="21"/>
          <w:lang w:val="en-US" w:eastAsia="zh-CN"/>
        </w:rPr>
        <w:t>-</w:t>
      </w:r>
      <w:r>
        <w:rPr>
          <w:sz w:val="21"/>
        </w:rPr>
        <w:t>2024) 要求执行。</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rPr>
      </w:pPr>
      <w:r>
        <w:rPr>
          <w:sz w:val="21"/>
        </w:rPr>
        <w:t>（四）服务团队要求</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pPr>
      <w:r>
        <w:rPr>
          <w:sz w:val="21"/>
        </w:rPr>
        <w:t>（1）在合同执行期内，供应商需组建固定的服务团队</w:t>
      </w:r>
      <w:r>
        <w:rPr>
          <w:rFonts w:hint="eastAsia"/>
          <w:sz w:val="21"/>
          <w:lang w:val="en-US" w:eastAsia="zh-CN"/>
        </w:rPr>
        <w:t>不少于5人</w:t>
      </w:r>
      <w:r>
        <w:rPr>
          <w:sz w:val="21"/>
        </w:rPr>
        <w:t>，明确项目负责人和成员。</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default" w:eastAsiaTheme="minorEastAsia"/>
          <w:lang w:val="en-US" w:eastAsia="zh-CN"/>
        </w:rPr>
      </w:pPr>
      <w:r>
        <w:rPr>
          <w:rFonts w:hint="eastAsia"/>
          <w:lang w:eastAsia="zh-CN"/>
        </w:rPr>
        <w:t>（</w:t>
      </w:r>
      <w:r>
        <w:rPr>
          <w:rFonts w:hint="eastAsia"/>
          <w:lang w:val="en-US" w:eastAsia="zh-CN"/>
        </w:rPr>
        <w:t>2）项目负责人：具有环境类或质量类相关专业高级工程师或以上职称。</w:t>
      </w:r>
    </w:p>
    <w:p>
      <w:pPr>
        <w:pStyle w:val="2"/>
        <w:ind w:firstLine="420" w:firstLineChars="200"/>
        <w:rPr>
          <w:rFonts w:hint="default"/>
        </w:rPr>
      </w:pPr>
      <w:r>
        <w:rPr>
          <w:sz w:val="21"/>
        </w:rPr>
        <w:t>（</w:t>
      </w:r>
      <w:r>
        <w:rPr>
          <w:rFonts w:hint="eastAsia"/>
          <w:sz w:val="21"/>
          <w:lang w:val="en-US" w:eastAsia="zh-CN"/>
        </w:rPr>
        <w:t>3</w:t>
      </w:r>
      <w:r>
        <w:rPr>
          <w:sz w:val="21"/>
        </w:rPr>
        <w:t>）服务团队人员应</w:t>
      </w:r>
      <w:r>
        <w:rPr>
          <w:rFonts w:hint="eastAsia"/>
          <w:lang w:val="en-US" w:eastAsia="zh-CN"/>
        </w:rPr>
        <w:t>具备环境类或质量类相关专业高级或以上职称</w:t>
      </w:r>
      <w:r>
        <w:rPr>
          <w:sz w:val="21"/>
        </w:rPr>
        <w:t>，熟悉环保法律法规、环境监测技术规范和标准。</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sz w:val="21"/>
        </w:rPr>
      </w:pPr>
      <w:r>
        <w:rPr>
          <w:sz w:val="21"/>
        </w:rPr>
        <w:t>（</w:t>
      </w:r>
      <w:r>
        <w:rPr>
          <w:rFonts w:hint="eastAsia"/>
          <w:sz w:val="21"/>
          <w:lang w:val="en-US" w:eastAsia="zh-CN"/>
        </w:rPr>
        <w:t>4</w:t>
      </w:r>
      <w:r>
        <w:rPr>
          <w:sz w:val="21"/>
        </w:rPr>
        <w:t>）根据工作需要，采购人可要求供应商安排服务团队人员在采购人指定地点开展相关工作，包括数据收集、数据分析、资料整理等。</w:t>
      </w:r>
    </w:p>
    <w:p>
      <w:pPr>
        <w:pStyle w:val="8"/>
        <w:keepNext w:val="0"/>
        <w:keepLines w:val="0"/>
        <w:pageBreakBefore w:val="0"/>
        <w:widowControl/>
        <w:kinsoku/>
        <w:wordWrap/>
        <w:overflowPunct/>
        <w:topLinePunct w:val="0"/>
        <w:autoSpaceDE/>
        <w:autoSpaceDN/>
        <w:bidi w:val="0"/>
        <w:adjustRightInd/>
        <w:snapToGrid/>
        <w:spacing w:line="360" w:lineRule="auto"/>
        <w:ind w:firstLine="420"/>
        <w:jc w:val="both"/>
        <w:textAlignment w:val="auto"/>
        <w:rPr>
          <w:rFonts w:hint="eastAsia"/>
          <w:sz w:val="21"/>
          <w:lang w:eastAsia="zh-CN"/>
        </w:rPr>
      </w:pPr>
      <w:r>
        <w:rPr>
          <w:rFonts w:hint="eastAsia"/>
          <w:sz w:val="21"/>
          <w:lang w:eastAsia="zh-CN"/>
        </w:rPr>
        <w:t>（５）拟投入本项目负责人负责过地表水水质监测项目。</w:t>
      </w:r>
    </w:p>
    <w:p>
      <w:pPr>
        <w:pStyle w:val="8"/>
        <w:numPr>
          <w:ilvl w:val="-1"/>
          <w:numId w:val="0"/>
        </w:numPr>
        <w:spacing w:line="360" w:lineRule="auto"/>
        <w:ind w:firstLine="420"/>
        <w:jc w:val="left"/>
        <w:rPr>
          <w:rFonts w:hint="eastAsia" w:eastAsiaTheme="minorEastAsia"/>
          <w:sz w:val="21"/>
          <w:lang w:val="en-US" w:eastAsia="zh-CN"/>
        </w:rPr>
      </w:pPr>
      <w:r>
        <w:rPr>
          <w:rFonts w:hint="eastAsia"/>
          <w:sz w:val="21"/>
          <w:lang w:eastAsia="zh-CN"/>
        </w:rPr>
        <w:t>（五）应急响应能力供应商在项目服务期间，需每天</w:t>
      </w:r>
      <w:r>
        <w:rPr>
          <w:sz w:val="21"/>
        </w:rPr>
        <w:t>提供专人专线24小时及时响应采购人应急需求</w:t>
      </w:r>
      <w:r>
        <w:rPr>
          <w:rFonts w:hint="eastAsia"/>
          <w:sz w:val="21"/>
          <w:lang w:eastAsia="zh-CN"/>
        </w:rPr>
        <w:t>，</w:t>
      </w:r>
      <w:r>
        <w:t>在收到采购人作业通知后可在1个小时内响应，并</w:t>
      </w:r>
      <w:r>
        <w:rPr>
          <w:rFonts w:hint="eastAsia"/>
          <w:lang w:val="en-US" w:eastAsia="zh-CN"/>
        </w:rPr>
        <w:t>到场</w:t>
      </w:r>
      <w:r>
        <w:t>开始进行监测工作，</w:t>
      </w:r>
      <w:r>
        <w:rPr>
          <w:sz w:val="21"/>
        </w:rPr>
        <w:t>同时</w:t>
      </w:r>
      <w:r>
        <w:rPr>
          <w:rFonts w:hint="eastAsia"/>
          <w:sz w:val="21"/>
          <w:lang w:val="en-US" w:eastAsia="zh-CN"/>
        </w:rPr>
        <w:t>能保证同时</w:t>
      </w:r>
      <w:r>
        <w:rPr>
          <w:sz w:val="21"/>
        </w:rPr>
        <w:t>提供至少5辆监测车以确保监测工作</w:t>
      </w:r>
      <w:r>
        <w:rPr>
          <w:rFonts w:hint="eastAsia"/>
          <w:sz w:val="21"/>
          <w:lang w:eastAsia="zh-CN"/>
        </w:rPr>
        <w:t>。</w:t>
      </w:r>
    </w:p>
    <w:p>
      <w:pPr>
        <w:pStyle w:val="8"/>
        <w:numPr>
          <w:ilvl w:val="0"/>
          <w:numId w:val="1"/>
        </w:numPr>
        <w:outlineLvl w:val="2"/>
        <w:rPr>
          <w:rFonts w:hint="default"/>
          <w:b/>
          <w:sz w:val="28"/>
          <w:lang w:val="en-US" w:eastAsia="zh-CN"/>
        </w:rPr>
      </w:pPr>
      <w:r>
        <w:rPr>
          <w:rFonts w:hint="eastAsia"/>
          <w:b/>
          <w:sz w:val="28"/>
          <w:lang w:val="en-US" w:eastAsia="zh-CN"/>
        </w:rPr>
        <w:t>其他商务要求</w:t>
      </w:r>
    </w:p>
    <w:p>
      <w:pPr>
        <w:pStyle w:val="8"/>
        <w:numPr>
          <w:ilvl w:val="-1"/>
          <w:numId w:val="0"/>
        </w:numPr>
        <w:spacing w:line="360" w:lineRule="auto"/>
        <w:ind w:firstLine="420"/>
        <w:jc w:val="both"/>
        <w:outlineLvl w:val="9"/>
        <w:rPr>
          <w:rFonts w:hint="eastAsia" w:asciiTheme="minorHAnsi" w:hAnsiTheme="minorHAnsi" w:eastAsiaTheme="minorEastAsia" w:cstheme="minorBidi"/>
          <w:b w:val="0"/>
          <w:bCs w:val="0"/>
          <w:sz w:val="21"/>
          <w:szCs w:val="20"/>
          <w:lang w:val="en-US" w:eastAsia="zh-CN"/>
        </w:rPr>
      </w:pPr>
      <w:r>
        <w:rPr>
          <w:rFonts w:hint="eastAsia" w:cstheme="minorBidi"/>
          <w:b w:val="0"/>
          <w:bCs w:val="0"/>
          <w:sz w:val="21"/>
          <w:szCs w:val="20"/>
          <w:lang w:val="en-US" w:eastAsia="zh-CN"/>
        </w:rPr>
        <w:t>1、</w:t>
      </w:r>
      <w:r>
        <w:rPr>
          <w:rFonts w:hint="eastAsia" w:asciiTheme="minorHAnsi" w:hAnsiTheme="minorHAnsi" w:eastAsiaTheme="minorEastAsia" w:cstheme="minorBidi"/>
          <w:b w:val="0"/>
          <w:bCs w:val="0"/>
          <w:sz w:val="21"/>
          <w:szCs w:val="20"/>
          <w:lang w:val="en-US" w:eastAsia="zh-CN"/>
        </w:rPr>
        <w:t>保密要求：供应商应承担监测数据的保密责任，保密期限永久。供应商除按照采购人的要求进行报告和传输有关的监测数据外，不得向第三方传递其它任何监测数据。未经采购人同意，供应商不得利用本项目的所有资料对外开展技术交流、业务联系、数据交换等。</w:t>
      </w:r>
    </w:p>
    <w:p>
      <w:pPr>
        <w:pStyle w:val="8"/>
        <w:numPr>
          <w:ilvl w:val="-1"/>
          <w:numId w:val="0"/>
        </w:numPr>
        <w:spacing w:line="360" w:lineRule="auto"/>
        <w:ind w:firstLine="420"/>
        <w:jc w:val="both"/>
        <w:outlineLvl w:val="9"/>
        <w:rPr>
          <w:rFonts w:hint="eastAsia" w:asciiTheme="minorHAnsi" w:hAnsiTheme="minorHAnsi" w:eastAsiaTheme="minorEastAsia" w:cstheme="minorBidi"/>
          <w:b w:val="0"/>
          <w:bCs w:val="0"/>
          <w:sz w:val="21"/>
          <w:szCs w:val="20"/>
          <w:lang w:val="en-US" w:eastAsia="zh-CN"/>
        </w:rPr>
      </w:pPr>
      <w:r>
        <w:rPr>
          <w:rFonts w:hint="eastAsia" w:cstheme="minorBidi"/>
          <w:b w:val="0"/>
          <w:bCs w:val="0"/>
          <w:sz w:val="21"/>
          <w:szCs w:val="20"/>
          <w:lang w:val="en-US" w:eastAsia="zh-CN"/>
        </w:rPr>
        <w:t>2、</w:t>
      </w:r>
      <w:r>
        <w:rPr>
          <w:rFonts w:hint="eastAsia" w:asciiTheme="minorHAnsi" w:hAnsiTheme="minorHAnsi" w:eastAsiaTheme="minorEastAsia" w:cstheme="minorBidi"/>
          <w:b w:val="0"/>
          <w:bCs w:val="0"/>
          <w:sz w:val="21"/>
          <w:szCs w:val="20"/>
          <w:lang w:val="en-US" w:eastAsia="zh-CN"/>
        </w:rPr>
        <w:t>知识产权归属：项目相关的成果、资料的知识产权归采购人所有，未经采购人书面同意，供应商不得以任何方式使用服务成果，亦不得以任何方式转让或者许可第三方使用服务成果。</w:t>
      </w:r>
    </w:p>
    <w:p>
      <w:pPr>
        <w:pStyle w:val="8"/>
        <w:rPr>
          <w:rFonts w:hint="eastAsia"/>
          <w:lang w:val="en-US" w:eastAsia="zh-Hans"/>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书宋二S">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835B05"/>
    <w:multiLevelType w:val="singleLevel"/>
    <w:tmpl w:val="2D835B0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ZDUyOGY5MzUyOTg0NzNlOWRkZWNlZjA3OWIyZjQifQ=="/>
  </w:docVars>
  <w:rsids>
    <w:rsidRoot w:val="53B52B8D"/>
    <w:rsid w:val="075229E7"/>
    <w:rsid w:val="08E12275"/>
    <w:rsid w:val="0CF23C6F"/>
    <w:rsid w:val="0DC14423"/>
    <w:rsid w:val="0EE20AF5"/>
    <w:rsid w:val="0F64775C"/>
    <w:rsid w:val="10CD30DE"/>
    <w:rsid w:val="10E17D37"/>
    <w:rsid w:val="11AE1162"/>
    <w:rsid w:val="177F50ED"/>
    <w:rsid w:val="17F9344A"/>
    <w:rsid w:val="18A40BC9"/>
    <w:rsid w:val="192D050B"/>
    <w:rsid w:val="197E2FE1"/>
    <w:rsid w:val="19B74E75"/>
    <w:rsid w:val="19E03E83"/>
    <w:rsid w:val="1BEA723A"/>
    <w:rsid w:val="1C16002F"/>
    <w:rsid w:val="1DCB126B"/>
    <w:rsid w:val="1FB31E59"/>
    <w:rsid w:val="203C3DDD"/>
    <w:rsid w:val="22282F19"/>
    <w:rsid w:val="22370D00"/>
    <w:rsid w:val="235558E1"/>
    <w:rsid w:val="236773C3"/>
    <w:rsid w:val="238910E7"/>
    <w:rsid w:val="24131A76"/>
    <w:rsid w:val="243A0633"/>
    <w:rsid w:val="24EC4023"/>
    <w:rsid w:val="257F27A2"/>
    <w:rsid w:val="2AAB45F8"/>
    <w:rsid w:val="2B3E7036"/>
    <w:rsid w:val="2B7F4408"/>
    <w:rsid w:val="2C736DD8"/>
    <w:rsid w:val="30F2476F"/>
    <w:rsid w:val="30F62E58"/>
    <w:rsid w:val="323D7C6C"/>
    <w:rsid w:val="33EA3E24"/>
    <w:rsid w:val="34DD5737"/>
    <w:rsid w:val="39932868"/>
    <w:rsid w:val="3CB43221"/>
    <w:rsid w:val="3CE8111C"/>
    <w:rsid w:val="3FDFFE49"/>
    <w:rsid w:val="3FFF7EB5"/>
    <w:rsid w:val="401F4E55"/>
    <w:rsid w:val="40BB2DD0"/>
    <w:rsid w:val="41004C87"/>
    <w:rsid w:val="42F51E9D"/>
    <w:rsid w:val="43471591"/>
    <w:rsid w:val="43BD0C0D"/>
    <w:rsid w:val="45312D15"/>
    <w:rsid w:val="486A3B9C"/>
    <w:rsid w:val="490270C2"/>
    <w:rsid w:val="493E459E"/>
    <w:rsid w:val="495518E8"/>
    <w:rsid w:val="4A2F038B"/>
    <w:rsid w:val="4BE469AE"/>
    <w:rsid w:val="4E6C395B"/>
    <w:rsid w:val="4E7E741D"/>
    <w:rsid w:val="4F9667B6"/>
    <w:rsid w:val="50D94BAC"/>
    <w:rsid w:val="537E1A3B"/>
    <w:rsid w:val="53B52B8D"/>
    <w:rsid w:val="54C0055D"/>
    <w:rsid w:val="56C34F25"/>
    <w:rsid w:val="577D0987"/>
    <w:rsid w:val="578F2469"/>
    <w:rsid w:val="59C208D3"/>
    <w:rsid w:val="5D1F428F"/>
    <w:rsid w:val="5EA507C4"/>
    <w:rsid w:val="61EC62AE"/>
    <w:rsid w:val="62C62CF6"/>
    <w:rsid w:val="62E424E6"/>
    <w:rsid w:val="64C25C2B"/>
    <w:rsid w:val="669373A8"/>
    <w:rsid w:val="675039C2"/>
    <w:rsid w:val="68030A35"/>
    <w:rsid w:val="6A1E7851"/>
    <w:rsid w:val="6B156E3D"/>
    <w:rsid w:val="6B797260"/>
    <w:rsid w:val="6BC77FCB"/>
    <w:rsid w:val="6E361438"/>
    <w:rsid w:val="6F0065A5"/>
    <w:rsid w:val="6F76E5AA"/>
    <w:rsid w:val="705D2CAC"/>
    <w:rsid w:val="706109EE"/>
    <w:rsid w:val="717C3606"/>
    <w:rsid w:val="72565C05"/>
    <w:rsid w:val="74980757"/>
    <w:rsid w:val="75A042D5"/>
    <w:rsid w:val="763C3364"/>
    <w:rsid w:val="77F79321"/>
    <w:rsid w:val="78FB7506"/>
    <w:rsid w:val="79246398"/>
    <w:rsid w:val="793F3897"/>
    <w:rsid w:val="797E6677"/>
    <w:rsid w:val="7A016D9E"/>
    <w:rsid w:val="7A066163"/>
    <w:rsid w:val="7B024B7C"/>
    <w:rsid w:val="7DEFB4A7"/>
    <w:rsid w:val="7E167FF2"/>
    <w:rsid w:val="7E292513"/>
    <w:rsid w:val="9FDF2D55"/>
    <w:rsid w:val="BBBF7779"/>
    <w:rsid w:val="E25E6A67"/>
    <w:rsid w:val="EBDB811F"/>
    <w:rsid w:val="EFB7615D"/>
    <w:rsid w:val="F7BF40A3"/>
    <w:rsid w:val="FC7F3662"/>
    <w:rsid w:val="FD7D72AE"/>
    <w:rsid w:val="FFE4A78B"/>
    <w:rsid w:val="FFFF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Pages>
  <Words>50230</Words>
  <Characters>54200</Characters>
  <Lines>0</Lines>
  <Paragraphs>0</Paragraphs>
  <TotalTime>5</TotalTime>
  <ScaleCrop>false</ScaleCrop>
  <LinksUpToDate>false</LinksUpToDate>
  <CharactersWithSpaces>54908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2022-04-11T03:57:00Z</dcterms:created>
  <dc:creator>五块钱</dc:creator>
  <cp:lastModifiedBy>李静春</cp:lastModifiedBy>
  <cp:lastPrinted>2024-07-02T02:34:00Z</cp:lastPrinted>
  <dcterms:modified xsi:type="dcterms:W3CDTF">2024-07-02T06:48:53Z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AA1E78B5A850440588F5088E18EE4709_12</vt:lpwstr>
  </property>
</Properties>
</file>