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560" w:beforeLines="500" w:line="480" w:lineRule="auto"/>
        <w:ind w:right="102"/>
        <w:jc w:val="center"/>
        <w:rPr>
          <w:rFonts w:hint="eastAsia" w:ascii="黑体" w:hAnsi="黑体" w:eastAsia="黑体" w:cs="黑体"/>
          <w:color w:val="auto"/>
          <w:sz w:val="52"/>
          <w:szCs w:val="52"/>
          <w:highlight w:val="none"/>
          <w:u w:val="single"/>
          <w:lang w:eastAsia="zh-CN"/>
        </w:rPr>
      </w:pPr>
      <w:r>
        <w:rPr>
          <w:rFonts w:hint="eastAsia" w:ascii="黑体" w:hAnsi="黑体" w:eastAsia="黑体" w:cs="黑体"/>
          <w:color w:val="auto"/>
          <w:sz w:val="52"/>
          <w:szCs w:val="52"/>
          <w:highlight w:val="none"/>
          <w:u w:val="single"/>
          <w:lang w:eastAsia="zh-CN"/>
        </w:rPr>
        <w:t>广东省巨灾防范工程-新丰江地震监测中心站改造单项工程</w:t>
      </w:r>
    </w:p>
    <w:p>
      <w:pPr>
        <w:spacing w:before="2496" w:beforeLines="800" w:line="360" w:lineRule="auto"/>
        <w:jc w:val="center"/>
        <w:rPr>
          <w:rFonts w:ascii="宋体" w:hAnsi="宋体" w:cs="宋体"/>
          <w:color w:val="auto"/>
          <w:spacing w:val="26"/>
          <w:sz w:val="110"/>
          <w:szCs w:val="110"/>
          <w:highlight w:val="none"/>
        </w:rPr>
      </w:pPr>
      <w:r>
        <w:rPr>
          <w:rFonts w:hint="eastAsia" w:ascii="宋体" w:hAnsi="宋体" w:cs="宋体"/>
          <w:color w:val="auto"/>
          <w:spacing w:val="26"/>
          <w:sz w:val="110"/>
          <w:szCs w:val="110"/>
          <w:highlight w:val="none"/>
        </w:rPr>
        <w:t>招标文件</w:t>
      </w:r>
    </w:p>
    <w:p>
      <w:pPr>
        <w:spacing w:before="2496" w:beforeLines="800" w:line="360" w:lineRule="auto"/>
        <w:ind w:firstLine="592" w:firstLineChars="200"/>
        <w:jc w:val="left"/>
        <w:rPr>
          <w:rFonts w:hint="eastAsia" w:ascii="宋体" w:hAnsi="宋体" w:eastAsia="宋体" w:cs="宋体"/>
          <w:color w:val="auto"/>
          <w:sz w:val="30"/>
          <w:szCs w:val="30"/>
          <w:highlight w:val="none"/>
          <w:u w:val="single"/>
          <w:lang w:eastAsia="zh-CN"/>
        </w:rPr>
      </w:pPr>
      <w:r>
        <w:rPr>
          <w:rFonts w:hint="eastAsia" w:ascii="宋体" w:hAnsi="宋体" w:cs="宋体"/>
          <w:color w:val="auto"/>
          <w:spacing w:val="-2"/>
          <w:sz w:val="30"/>
          <w:szCs w:val="30"/>
          <w:highlight w:val="none"/>
        </w:rPr>
        <w:t>招  标 单 位</w:t>
      </w:r>
      <w:r>
        <w:rPr>
          <w:rFonts w:hint="eastAsia" w:ascii="宋体" w:hAnsi="宋体" w:cs="宋体"/>
          <w:color w:val="auto"/>
          <w:sz w:val="30"/>
          <w:szCs w:val="30"/>
          <w:highlight w:val="none"/>
        </w:rPr>
        <w:t>：</w:t>
      </w:r>
      <w:r>
        <w:rPr>
          <w:rFonts w:hint="eastAsia" w:ascii="宋体" w:hAnsi="宋体" w:cs="宋体"/>
          <w:color w:val="auto"/>
          <w:sz w:val="30"/>
          <w:szCs w:val="30"/>
          <w:highlight w:val="none"/>
          <w:u w:val="single"/>
          <w:lang w:eastAsia="zh-CN"/>
        </w:rPr>
        <w:t>广东省地震局</w:t>
      </w:r>
    </w:p>
    <w:p>
      <w:pPr>
        <w:spacing w:line="360" w:lineRule="auto"/>
        <w:ind w:firstLine="600" w:firstLineChars="200"/>
        <w:jc w:val="left"/>
        <w:rPr>
          <w:rFonts w:hint="eastAsia" w:ascii="宋体" w:hAnsi="宋体" w:eastAsia="宋体" w:cs="宋体"/>
          <w:color w:val="auto"/>
          <w:sz w:val="30"/>
          <w:szCs w:val="30"/>
          <w:highlight w:val="none"/>
          <w:u w:val="single"/>
          <w:lang w:eastAsia="zh-CN"/>
        </w:rPr>
      </w:pPr>
      <w:r>
        <w:rPr>
          <w:rFonts w:hint="eastAsia" w:ascii="宋体" w:hAnsi="宋体" w:cs="宋体"/>
          <w:color w:val="auto"/>
          <w:sz w:val="30"/>
          <w:szCs w:val="30"/>
          <w:highlight w:val="none"/>
        </w:rPr>
        <w:t>招标代理单位：</w:t>
      </w:r>
      <w:r>
        <w:rPr>
          <w:rFonts w:hint="eastAsia" w:ascii="宋体" w:hAnsi="宋体" w:cs="宋体"/>
          <w:color w:val="auto"/>
          <w:sz w:val="30"/>
          <w:szCs w:val="30"/>
          <w:highlight w:val="none"/>
          <w:u w:val="single"/>
          <w:lang w:eastAsia="zh-CN"/>
        </w:rPr>
        <w:t>广东省机电设备招标有限公司</w:t>
      </w:r>
    </w:p>
    <w:p>
      <w:pPr>
        <w:spacing w:line="360" w:lineRule="auto"/>
        <w:ind w:firstLine="600" w:firstLineChars="200"/>
        <w:rPr>
          <w:rFonts w:ascii="宋体" w:hAnsi="宋体" w:cs="宋体"/>
          <w:color w:val="auto"/>
          <w:sz w:val="30"/>
          <w:szCs w:val="30"/>
          <w:highlight w:val="none"/>
        </w:rPr>
      </w:pPr>
      <w:r>
        <w:rPr>
          <w:rFonts w:hint="eastAsia" w:ascii="宋体" w:hAnsi="宋体" w:cs="宋体"/>
          <w:color w:val="auto"/>
          <w:sz w:val="30"/>
          <w:szCs w:val="30"/>
          <w:highlight w:val="none"/>
        </w:rPr>
        <w:t>日        期：</w:t>
      </w:r>
      <w:r>
        <w:rPr>
          <w:rFonts w:hint="eastAsia" w:ascii="宋体" w:hAnsi="宋体" w:cs="宋体"/>
          <w:color w:val="auto"/>
          <w:sz w:val="30"/>
          <w:szCs w:val="30"/>
          <w:highlight w:val="none"/>
          <w:u w:val="single"/>
        </w:rPr>
        <w:t>202</w:t>
      </w:r>
      <w:r>
        <w:rPr>
          <w:rFonts w:hint="eastAsia" w:ascii="宋体" w:hAnsi="宋体" w:cs="宋体"/>
          <w:color w:val="auto"/>
          <w:sz w:val="30"/>
          <w:szCs w:val="30"/>
          <w:highlight w:val="none"/>
          <w:u w:val="single"/>
          <w:lang w:val="en-US" w:eastAsia="zh-CN"/>
        </w:rPr>
        <w:t>4</w:t>
      </w:r>
      <w:r>
        <w:rPr>
          <w:rFonts w:hint="eastAsia" w:ascii="宋体" w:hAnsi="宋体" w:cs="宋体"/>
          <w:color w:val="auto"/>
          <w:sz w:val="30"/>
          <w:szCs w:val="30"/>
          <w:highlight w:val="none"/>
        </w:rPr>
        <w:t>年</w:t>
      </w:r>
      <w:r>
        <w:rPr>
          <w:rFonts w:hint="eastAsia" w:ascii="宋体" w:hAnsi="宋体" w:cs="宋体"/>
          <w:color w:val="auto"/>
          <w:sz w:val="30"/>
          <w:szCs w:val="30"/>
          <w:highlight w:val="none"/>
          <w:u w:val="single"/>
          <w:lang w:val="en-US" w:eastAsia="zh-CN"/>
        </w:rPr>
        <w:t>7</w:t>
      </w:r>
      <w:r>
        <w:rPr>
          <w:rFonts w:hint="eastAsia" w:ascii="宋体" w:hAnsi="宋体" w:cs="宋体"/>
          <w:color w:val="auto"/>
          <w:sz w:val="30"/>
          <w:szCs w:val="30"/>
          <w:highlight w:val="none"/>
        </w:rPr>
        <w:t>月</w:t>
      </w:r>
    </w:p>
    <w:p>
      <w:pPr>
        <w:spacing w:line="360" w:lineRule="auto"/>
        <w:ind w:firstLine="945"/>
        <w:rPr>
          <w:rFonts w:ascii="黑体" w:hAnsi="黑体" w:eastAsia="黑体" w:cs="黑体"/>
          <w:color w:val="auto"/>
          <w:sz w:val="32"/>
          <w:highlight w:val="none"/>
        </w:rPr>
      </w:pPr>
    </w:p>
    <w:p>
      <w:pPr>
        <w:jc w:val="center"/>
        <w:rPr>
          <w:rFonts w:ascii="宋体" w:hAnsi="宋体"/>
          <w:b/>
          <w:caps/>
          <w:color w:val="auto"/>
          <w:kern w:val="0"/>
          <w:highlight w:val="none"/>
        </w:rPr>
      </w:pPr>
      <w:r>
        <w:rPr>
          <w:rStyle w:val="24"/>
          <w:b/>
          <w:bCs/>
          <w:color w:val="auto"/>
          <w:highlight w:val="none"/>
        </w:rPr>
        <w:br w:type="page"/>
      </w:r>
      <w:r>
        <w:rPr>
          <w:rStyle w:val="24"/>
          <w:rFonts w:hint="eastAsia"/>
          <w:b/>
          <w:bCs/>
          <w:color w:val="auto"/>
          <w:sz w:val="28"/>
          <w:szCs w:val="28"/>
          <w:highlight w:val="none"/>
          <w:u w:val="none"/>
        </w:rPr>
        <w:t>目  录</w:t>
      </w:r>
    </w:p>
    <w:p>
      <w:pPr>
        <w:pStyle w:val="16"/>
        <w:rPr>
          <w:rFonts w:ascii="等线" w:hAnsi="等线" w:eastAsia="等线"/>
          <w:caps w:val="0"/>
          <w:color w:val="auto"/>
          <w:kern w:val="2"/>
          <w:sz w:val="21"/>
          <w:szCs w:val="22"/>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"_Toc21525489" </w:instrText>
      </w:r>
      <w:r>
        <w:rPr>
          <w:color w:val="auto"/>
          <w:highlight w:val="none"/>
        </w:rPr>
        <w:fldChar w:fldCharType="separate"/>
      </w:r>
      <w:r>
        <w:rPr>
          <w:rStyle w:val="24"/>
          <w:color w:val="auto"/>
          <w:highlight w:val="none"/>
        </w:rPr>
        <w:t>第一章  投标须知</w:t>
      </w:r>
      <w:r>
        <w:rPr>
          <w:color w:val="auto"/>
          <w:highlight w:val="none"/>
        </w:rPr>
        <w:tab/>
      </w:r>
      <w:r>
        <w:rPr>
          <w:color w:val="auto"/>
          <w:highlight w:val="none"/>
        </w:rPr>
        <w:fldChar w:fldCharType="begin"/>
      </w:r>
      <w:r>
        <w:rPr>
          <w:color w:val="auto"/>
          <w:highlight w:val="none"/>
        </w:rPr>
        <w:instrText xml:space="preserve"> PAGEREF _Toc21525489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7"/>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"_Toc21525490" </w:instrText>
      </w:r>
      <w:r>
        <w:rPr>
          <w:color w:val="auto"/>
          <w:highlight w:val="none"/>
        </w:rPr>
        <w:fldChar w:fldCharType="separate"/>
      </w:r>
      <w:r>
        <w:rPr>
          <w:rStyle w:val="24"/>
          <w:color w:val="auto"/>
          <w:highlight w:val="none"/>
        </w:rPr>
        <w:t>一、投标须知前附表</w:t>
      </w:r>
      <w:r>
        <w:rPr>
          <w:color w:val="auto"/>
          <w:highlight w:val="none"/>
        </w:rPr>
        <w:tab/>
      </w:r>
      <w:r>
        <w:rPr>
          <w:color w:val="auto"/>
          <w:highlight w:val="none"/>
        </w:rPr>
        <w:fldChar w:fldCharType="begin"/>
      </w:r>
      <w:r>
        <w:rPr>
          <w:color w:val="auto"/>
          <w:highlight w:val="none"/>
        </w:rPr>
        <w:instrText xml:space="preserve"> PAGEREF _Toc21525490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7"/>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"_Toc21525491" </w:instrText>
      </w:r>
      <w:r>
        <w:rPr>
          <w:color w:val="auto"/>
          <w:highlight w:val="none"/>
        </w:rPr>
        <w:fldChar w:fldCharType="separate"/>
      </w:r>
      <w:r>
        <w:rPr>
          <w:rStyle w:val="24"/>
          <w:color w:val="auto"/>
          <w:highlight w:val="none"/>
        </w:rPr>
        <w:t>二、投标须知修改表</w:t>
      </w:r>
      <w:r>
        <w:rPr>
          <w:color w:val="auto"/>
          <w:highlight w:val="none"/>
        </w:rPr>
        <w:tab/>
      </w:r>
      <w:r>
        <w:rPr>
          <w:color w:val="auto"/>
          <w:highlight w:val="none"/>
        </w:rPr>
        <w:fldChar w:fldCharType="begin"/>
      </w:r>
      <w:r>
        <w:rPr>
          <w:color w:val="auto"/>
          <w:highlight w:val="none"/>
        </w:rPr>
        <w:instrText xml:space="preserve"> PAGEREF _Toc21525491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7"/>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"_Toc21525492" </w:instrText>
      </w:r>
      <w:r>
        <w:rPr>
          <w:color w:val="auto"/>
          <w:highlight w:val="none"/>
        </w:rPr>
        <w:fldChar w:fldCharType="separate"/>
      </w:r>
      <w:r>
        <w:rPr>
          <w:rStyle w:val="24"/>
          <w:color w:val="auto"/>
          <w:highlight w:val="none"/>
        </w:rPr>
        <w:t>三、投标须知通用条款</w:t>
      </w:r>
      <w:r>
        <w:rPr>
          <w:color w:val="auto"/>
          <w:highlight w:val="none"/>
        </w:rPr>
        <w:tab/>
      </w:r>
      <w:r>
        <w:rPr>
          <w:color w:val="auto"/>
          <w:highlight w:val="none"/>
        </w:rPr>
        <w:fldChar w:fldCharType="begin"/>
      </w:r>
      <w:r>
        <w:rPr>
          <w:color w:val="auto"/>
          <w:highlight w:val="none"/>
        </w:rPr>
        <w:instrText xml:space="preserve"> PAGEREF _Toc21525492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1"/>
        <w:tabs>
          <w:tab w:val="right" w:leader="dot" w:pos="9060"/>
        </w:tabs>
        <w:ind w:left="840"/>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"_Toc21525493" </w:instrText>
      </w:r>
      <w:r>
        <w:rPr>
          <w:color w:val="auto"/>
          <w:highlight w:val="none"/>
        </w:rPr>
        <w:fldChar w:fldCharType="separate"/>
      </w:r>
      <w:r>
        <w:rPr>
          <w:rStyle w:val="24"/>
          <w:color w:val="auto"/>
          <w:highlight w:val="none"/>
        </w:rPr>
        <w:t>（一）总则</w:t>
      </w:r>
      <w:r>
        <w:rPr>
          <w:color w:val="auto"/>
          <w:highlight w:val="none"/>
        </w:rPr>
        <w:tab/>
      </w:r>
      <w:r>
        <w:rPr>
          <w:color w:val="auto"/>
          <w:highlight w:val="none"/>
        </w:rPr>
        <w:fldChar w:fldCharType="begin"/>
      </w:r>
      <w:r>
        <w:rPr>
          <w:color w:val="auto"/>
          <w:highlight w:val="none"/>
        </w:rPr>
        <w:instrText xml:space="preserve"> PAGEREF _Toc21525493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1"/>
        <w:tabs>
          <w:tab w:val="right" w:leader="dot" w:pos="9060"/>
        </w:tabs>
        <w:ind w:left="840"/>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"_Toc21525494" </w:instrText>
      </w:r>
      <w:r>
        <w:rPr>
          <w:color w:val="auto"/>
          <w:highlight w:val="none"/>
        </w:rPr>
        <w:fldChar w:fldCharType="separate"/>
      </w:r>
      <w:r>
        <w:rPr>
          <w:rStyle w:val="24"/>
          <w:color w:val="auto"/>
          <w:highlight w:val="none"/>
        </w:rPr>
        <w:t>（二）招标文件</w:t>
      </w:r>
      <w:r>
        <w:rPr>
          <w:color w:val="auto"/>
          <w:highlight w:val="none"/>
        </w:rPr>
        <w:tab/>
      </w:r>
      <w:r>
        <w:rPr>
          <w:color w:val="auto"/>
          <w:highlight w:val="none"/>
        </w:rPr>
        <w:fldChar w:fldCharType="begin"/>
      </w:r>
      <w:r>
        <w:rPr>
          <w:color w:val="auto"/>
          <w:highlight w:val="none"/>
        </w:rPr>
        <w:instrText xml:space="preserve"> PAGEREF _Toc21525494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1"/>
        <w:tabs>
          <w:tab w:val="right" w:leader="dot" w:pos="9060"/>
        </w:tabs>
        <w:ind w:left="840"/>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"_Toc21525495" </w:instrText>
      </w:r>
      <w:r>
        <w:rPr>
          <w:color w:val="auto"/>
          <w:highlight w:val="none"/>
        </w:rPr>
        <w:fldChar w:fldCharType="separate"/>
      </w:r>
      <w:r>
        <w:rPr>
          <w:rStyle w:val="24"/>
          <w:color w:val="auto"/>
          <w:highlight w:val="none"/>
        </w:rPr>
        <w:t>（三）投标文件的编制</w:t>
      </w:r>
      <w:r>
        <w:rPr>
          <w:color w:val="auto"/>
          <w:highlight w:val="none"/>
        </w:rPr>
        <w:tab/>
      </w:r>
      <w:r>
        <w:rPr>
          <w:color w:val="auto"/>
          <w:highlight w:val="none"/>
        </w:rPr>
        <w:fldChar w:fldCharType="begin"/>
      </w:r>
      <w:r>
        <w:rPr>
          <w:color w:val="auto"/>
          <w:highlight w:val="none"/>
        </w:rPr>
        <w:instrText xml:space="preserve"> PAGEREF _Toc21525495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1"/>
        <w:tabs>
          <w:tab w:val="right" w:leader="dot" w:pos="9060"/>
        </w:tabs>
        <w:ind w:left="840"/>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"_Toc21525496" </w:instrText>
      </w:r>
      <w:r>
        <w:rPr>
          <w:color w:val="auto"/>
          <w:highlight w:val="none"/>
        </w:rPr>
        <w:fldChar w:fldCharType="separate"/>
      </w:r>
      <w:r>
        <w:rPr>
          <w:rStyle w:val="24"/>
          <w:color w:val="auto"/>
          <w:highlight w:val="none"/>
        </w:rPr>
        <w:t>（四）投标文件的提交</w:t>
      </w:r>
      <w:r>
        <w:rPr>
          <w:color w:val="auto"/>
          <w:highlight w:val="none"/>
        </w:rPr>
        <w:tab/>
      </w:r>
      <w:r>
        <w:rPr>
          <w:color w:val="auto"/>
          <w:highlight w:val="none"/>
        </w:rPr>
        <w:fldChar w:fldCharType="begin"/>
      </w:r>
      <w:r>
        <w:rPr>
          <w:color w:val="auto"/>
          <w:highlight w:val="none"/>
        </w:rPr>
        <w:instrText xml:space="preserve"> PAGEREF _Toc21525496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1"/>
        <w:tabs>
          <w:tab w:val="right" w:leader="dot" w:pos="9060"/>
        </w:tabs>
        <w:ind w:left="840"/>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"_Toc21525497" </w:instrText>
      </w:r>
      <w:r>
        <w:rPr>
          <w:color w:val="auto"/>
          <w:highlight w:val="none"/>
        </w:rPr>
        <w:fldChar w:fldCharType="separate"/>
      </w:r>
      <w:r>
        <w:rPr>
          <w:rStyle w:val="24"/>
          <w:color w:val="auto"/>
          <w:highlight w:val="none"/>
        </w:rPr>
        <w:t>（五）开标、评标、定标及合同签定</w:t>
      </w:r>
      <w:r>
        <w:rPr>
          <w:color w:val="auto"/>
          <w:highlight w:val="none"/>
        </w:rPr>
        <w:tab/>
      </w:r>
      <w:r>
        <w:rPr>
          <w:color w:val="auto"/>
          <w:highlight w:val="none"/>
        </w:rPr>
        <w:fldChar w:fldCharType="begin"/>
      </w:r>
      <w:r>
        <w:rPr>
          <w:color w:val="auto"/>
          <w:highlight w:val="none"/>
        </w:rPr>
        <w:instrText xml:space="preserve"> PAGEREF _Toc21525497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6"/>
        <w:rPr>
          <w:rFonts w:ascii="等线" w:hAnsi="等线" w:eastAsia="等线"/>
          <w:caps w:val="0"/>
          <w:color w:val="auto"/>
          <w:kern w:val="2"/>
          <w:sz w:val="21"/>
          <w:szCs w:val="22"/>
          <w:highlight w:val="none"/>
        </w:rPr>
      </w:pPr>
      <w:r>
        <w:rPr>
          <w:color w:val="auto"/>
          <w:highlight w:val="none"/>
        </w:rPr>
        <w:fldChar w:fldCharType="begin"/>
      </w:r>
      <w:r>
        <w:rPr>
          <w:color w:val="auto"/>
          <w:highlight w:val="none"/>
        </w:rPr>
        <w:instrText xml:space="preserve"> HYPERLINK \l "_Toc21525498" </w:instrText>
      </w:r>
      <w:r>
        <w:rPr>
          <w:color w:val="auto"/>
          <w:highlight w:val="none"/>
        </w:rPr>
        <w:fldChar w:fldCharType="separate"/>
      </w:r>
      <w:r>
        <w:rPr>
          <w:rStyle w:val="24"/>
          <w:color w:val="auto"/>
          <w:highlight w:val="none"/>
        </w:rPr>
        <w:t>第二章  开标、评标及定标办法</w:t>
      </w:r>
      <w:r>
        <w:rPr>
          <w:color w:val="auto"/>
          <w:highlight w:val="none"/>
        </w:rPr>
        <w:tab/>
      </w:r>
      <w:r>
        <w:rPr>
          <w:color w:val="auto"/>
          <w:highlight w:val="none"/>
        </w:rPr>
        <w:fldChar w:fldCharType="begin"/>
      </w:r>
      <w:r>
        <w:rPr>
          <w:color w:val="auto"/>
          <w:highlight w:val="none"/>
        </w:rPr>
        <w:instrText xml:space="preserve"> PAGEREF _Toc21525498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7"/>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"_Toc21525499" </w:instrText>
      </w:r>
      <w:r>
        <w:rPr>
          <w:color w:val="auto"/>
          <w:highlight w:val="none"/>
        </w:rPr>
        <w:fldChar w:fldCharType="separate"/>
      </w:r>
      <w:r>
        <w:rPr>
          <w:rStyle w:val="24"/>
          <w:color w:val="auto"/>
          <w:highlight w:val="none"/>
        </w:rPr>
        <w:t>一、开标、评标及定标办法修改表</w:t>
      </w:r>
      <w:r>
        <w:rPr>
          <w:color w:val="auto"/>
          <w:highlight w:val="none"/>
        </w:rPr>
        <w:tab/>
      </w:r>
      <w:r>
        <w:rPr>
          <w:color w:val="auto"/>
          <w:highlight w:val="none"/>
        </w:rPr>
        <w:fldChar w:fldCharType="begin"/>
      </w:r>
      <w:r>
        <w:rPr>
          <w:color w:val="auto"/>
          <w:highlight w:val="none"/>
        </w:rPr>
        <w:instrText xml:space="preserve"> PAGEREF _Toc21525499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7"/>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"_Toc21525500" </w:instrText>
      </w:r>
      <w:r>
        <w:rPr>
          <w:color w:val="auto"/>
          <w:highlight w:val="none"/>
        </w:rPr>
        <w:fldChar w:fldCharType="separate"/>
      </w:r>
      <w:r>
        <w:rPr>
          <w:rStyle w:val="24"/>
          <w:color w:val="auto"/>
          <w:highlight w:val="none"/>
        </w:rPr>
        <w:t>二、开标、评标及定标办法通用条款</w:t>
      </w:r>
      <w:r>
        <w:rPr>
          <w:color w:val="auto"/>
          <w:highlight w:val="none"/>
        </w:rPr>
        <w:tab/>
      </w:r>
      <w:r>
        <w:rPr>
          <w:color w:val="auto"/>
          <w:highlight w:val="none"/>
        </w:rPr>
        <w:fldChar w:fldCharType="begin"/>
      </w:r>
      <w:r>
        <w:rPr>
          <w:color w:val="auto"/>
          <w:highlight w:val="none"/>
        </w:rPr>
        <w:instrText xml:space="preserve"> PAGEREF _Toc21525500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11"/>
        <w:tabs>
          <w:tab w:val="right" w:leader="dot" w:pos="9060"/>
        </w:tabs>
        <w:ind w:left="840"/>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"_Toc21525501" </w:instrText>
      </w:r>
      <w:r>
        <w:rPr>
          <w:color w:val="auto"/>
          <w:highlight w:val="none"/>
        </w:rPr>
        <w:fldChar w:fldCharType="separate"/>
      </w:r>
      <w:r>
        <w:rPr>
          <w:rStyle w:val="24"/>
          <w:color w:val="auto"/>
          <w:highlight w:val="none"/>
        </w:rPr>
        <w:t>（一）总则</w:t>
      </w:r>
      <w:r>
        <w:rPr>
          <w:color w:val="auto"/>
          <w:highlight w:val="none"/>
        </w:rPr>
        <w:tab/>
      </w:r>
      <w:r>
        <w:rPr>
          <w:color w:val="auto"/>
          <w:highlight w:val="none"/>
        </w:rPr>
        <w:fldChar w:fldCharType="begin"/>
      </w:r>
      <w:r>
        <w:rPr>
          <w:color w:val="auto"/>
          <w:highlight w:val="none"/>
        </w:rPr>
        <w:instrText xml:space="preserve"> PAGEREF _Toc21525501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11"/>
        <w:tabs>
          <w:tab w:val="right" w:leader="dot" w:pos="9060"/>
        </w:tabs>
        <w:ind w:left="840"/>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"_Toc21525502" </w:instrText>
      </w:r>
      <w:r>
        <w:rPr>
          <w:color w:val="auto"/>
          <w:highlight w:val="none"/>
        </w:rPr>
        <w:fldChar w:fldCharType="separate"/>
      </w:r>
      <w:r>
        <w:rPr>
          <w:rStyle w:val="24"/>
          <w:color w:val="auto"/>
          <w:highlight w:val="none"/>
        </w:rPr>
        <w:t>（二）开标评标办法程序和细则</w:t>
      </w:r>
      <w:r>
        <w:rPr>
          <w:color w:val="auto"/>
          <w:highlight w:val="none"/>
        </w:rPr>
        <w:tab/>
      </w:r>
      <w:r>
        <w:rPr>
          <w:color w:val="auto"/>
          <w:highlight w:val="none"/>
        </w:rPr>
        <w:fldChar w:fldCharType="begin"/>
      </w:r>
      <w:r>
        <w:rPr>
          <w:color w:val="auto"/>
          <w:highlight w:val="none"/>
        </w:rPr>
        <w:instrText xml:space="preserve"> PAGEREF _Toc21525502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11"/>
        <w:tabs>
          <w:tab w:val="right" w:leader="dot" w:pos="9060"/>
        </w:tabs>
        <w:ind w:left="840"/>
        <w:rPr>
          <w:rFonts w:ascii="等线" w:hAnsi="等线" w:eastAsia="等线"/>
          <w:color w:val="auto"/>
          <w:sz w:val="21"/>
          <w:szCs w:val="22"/>
          <w:highlight w:val="none"/>
        </w:rPr>
      </w:pPr>
      <w:r>
        <w:rPr>
          <w:color w:val="auto"/>
          <w:highlight w:val="none"/>
        </w:rPr>
        <w:fldChar w:fldCharType="begin"/>
      </w:r>
      <w:r>
        <w:rPr>
          <w:color w:val="auto"/>
          <w:highlight w:val="none"/>
        </w:rPr>
        <w:instrText xml:space="preserve"> HYPERLINK \l "_Toc21525509" </w:instrText>
      </w:r>
      <w:r>
        <w:rPr>
          <w:color w:val="auto"/>
          <w:highlight w:val="none"/>
        </w:rPr>
        <w:fldChar w:fldCharType="separate"/>
      </w:r>
      <w:r>
        <w:rPr>
          <w:rStyle w:val="24"/>
          <w:color w:val="auto"/>
          <w:highlight w:val="none"/>
        </w:rPr>
        <w:t>可选办法七（适合综合评分法四，技术标与经济标同时开启）</w:t>
      </w:r>
      <w:r>
        <w:rPr>
          <w:color w:val="auto"/>
          <w:highlight w:val="none"/>
        </w:rPr>
        <w:tab/>
      </w:r>
      <w:r>
        <w:rPr>
          <w:color w:val="auto"/>
          <w:highlight w:val="none"/>
        </w:rPr>
        <w:fldChar w:fldCharType="begin"/>
      </w:r>
      <w:r>
        <w:rPr>
          <w:color w:val="auto"/>
          <w:highlight w:val="none"/>
        </w:rPr>
        <w:instrText xml:space="preserve"> PAGEREF _Toc21525509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6"/>
        <w:rPr>
          <w:rFonts w:ascii="等线" w:hAnsi="等线" w:eastAsia="等线"/>
          <w:caps w:val="0"/>
          <w:color w:val="auto"/>
          <w:kern w:val="2"/>
          <w:sz w:val="21"/>
          <w:szCs w:val="22"/>
          <w:highlight w:val="none"/>
        </w:rPr>
      </w:pPr>
      <w:r>
        <w:rPr>
          <w:color w:val="auto"/>
          <w:highlight w:val="none"/>
        </w:rPr>
        <w:fldChar w:fldCharType="begin"/>
      </w:r>
      <w:r>
        <w:rPr>
          <w:color w:val="auto"/>
          <w:highlight w:val="none"/>
        </w:rPr>
        <w:instrText xml:space="preserve"> HYPERLINK \l "_Toc21525511" </w:instrText>
      </w:r>
      <w:r>
        <w:rPr>
          <w:color w:val="auto"/>
          <w:highlight w:val="none"/>
        </w:rPr>
        <w:fldChar w:fldCharType="separate"/>
      </w:r>
      <w:r>
        <w:rPr>
          <w:rStyle w:val="24"/>
          <w:color w:val="auto"/>
          <w:highlight w:val="none"/>
        </w:rPr>
        <w:t>第三章  合同条款</w:t>
      </w:r>
      <w:r>
        <w:rPr>
          <w:color w:val="auto"/>
          <w:highlight w:val="none"/>
        </w:rPr>
        <w:tab/>
      </w:r>
      <w:r>
        <w:rPr>
          <w:color w:val="auto"/>
          <w:highlight w:val="none"/>
        </w:rPr>
        <w:fldChar w:fldCharType="begin"/>
      </w:r>
      <w:r>
        <w:rPr>
          <w:color w:val="auto"/>
          <w:highlight w:val="none"/>
        </w:rPr>
        <w:instrText xml:space="preserve"> PAGEREF _Toc21525511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16"/>
        <w:rPr>
          <w:rFonts w:ascii="等线" w:hAnsi="等线" w:eastAsia="等线"/>
          <w:caps w:val="0"/>
          <w:color w:val="auto"/>
          <w:kern w:val="2"/>
          <w:sz w:val="21"/>
          <w:szCs w:val="22"/>
          <w:highlight w:val="none"/>
        </w:rPr>
      </w:pPr>
      <w:r>
        <w:rPr>
          <w:color w:val="auto"/>
          <w:highlight w:val="none"/>
        </w:rPr>
        <w:fldChar w:fldCharType="begin"/>
      </w:r>
      <w:r>
        <w:rPr>
          <w:color w:val="auto"/>
          <w:highlight w:val="none"/>
        </w:rPr>
        <w:instrText xml:space="preserve"> HYPERLINK \l "_Toc21525512" </w:instrText>
      </w:r>
      <w:r>
        <w:rPr>
          <w:color w:val="auto"/>
          <w:highlight w:val="none"/>
        </w:rPr>
        <w:fldChar w:fldCharType="separate"/>
      </w:r>
      <w:r>
        <w:rPr>
          <w:rStyle w:val="24"/>
          <w:color w:val="auto"/>
          <w:highlight w:val="none"/>
        </w:rPr>
        <w:t>第四章  投标文件格式</w:t>
      </w:r>
      <w:r>
        <w:rPr>
          <w:color w:val="auto"/>
          <w:highlight w:val="none"/>
        </w:rPr>
        <w:tab/>
      </w:r>
      <w:r>
        <w:rPr>
          <w:color w:val="auto"/>
          <w:highlight w:val="none"/>
        </w:rPr>
        <w:fldChar w:fldCharType="begin"/>
      </w:r>
      <w:r>
        <w:rPr>
          <w:color w:val="auto"/>
          <w:highlight w:val="none"/>
        </w:rPr>
        <w:instrText xml:space="preserve"> PAGEREF _Toc21525512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16"/>
        <w:rPr>
          <w:rFonts w:ascii="等线" w:hAnsi="等线" w:eastAsia="等线"/>
          <w:caps w:val="0"/>
          <w:color w:val="auto"/>
          <w:kern w:val="2"/>
          <w:sz w:val="21"/>
          <w:szCs w:val="22"/>
          <w:highlight w:val="none"/>
        </w:rPr>
      </w:pPr>
      <w:r>
        <w:rPr>
          <w:color w:val="auto"/>
          <w:highlight w:val="none"/>
        </w:rPr>
        <w:fldChar w:fldCharType="begin"/>
      </w:r>
      <w:r>
        <w:rPr>
          <w:color w:val="auto"/>
          <w:highlight w:val="none"/>
        </w:rPr>
        <w:instrText xml:space="preserve"> HYPERLINK \l "_Toc21525513" </w:instrText>
      </w:r>
      <w:r>
        <w:rPr>
          <w:color w:val="auto"/>
          <w:highlight w:val="none"/>
        </w:rPr>
        <w:fldChar w:fldCharType="separate"/>
      </w:r>
      <w:r>
        <w:rPr>
          <w:rStyle w:val="24"/>
          <w:color w:val="auto"/>
          <w:highlight w:val="none"/>
        </w:rPr>
        <w:t>第五章  技术条件（工程建设标准）</w:t>
      </w:r>
      <w:r>
        <w:rPr>
          <w:color w:val="auto"/>
          <w:highlight w:val="none"/>
        </w:rPr>
        <w:tab/>
      </w:r>
      <w:r>
        <w:rPr>
          <w:color w:val="auto"/>
          <w:highlight w:val="none"/>
        </w:rPr>
        <w:fldChar w:fldCharType="begin"/>
      </w:r>
      <w:r>
        <w:rPr>
          <w:color w:val="auto"/>
          <w:highlight w:val="none"/>
        </w:rPr>
        <w:instrText xml:space="preserve"> PAGEREF _Toc21525513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16"/>
        <w:rPr>
          <w:rFonts w:ascii="等线" w:hAnsi="等线" w:eastAsia="等线"/>
          <w:caps w:val="0"/>
          <w:color w:val="auto"/>
          <w:kern w:val="2"/>
          <w:sz w:val="21"/>
          <w:szCs w:val="22"/>
          <w:highlight w:val="none"/>
        </w:rPr>
      </w:pPr>
      <w:r>
        <w:rPr>
          <w:color w:val="auto"/>
          <w:highlight w:val="none"/>
        </w:rPr>
        <w:fldChar w:fldCharType="begin"/>
      </w:r>
      <w:r>
        <w:rPr>
          <w:color w:val="auto"/>
          <w:highlight w:val="none"/>
        </w:rPr>
        <w:instrText xml:space="preserve"> HYPERLINK \l "_Toc21525514" </w:instrText>
      </w:r>
      <w:r>
        <w:rPr>
          <w:color w:val="auto"/>
          <w:highlight w:val="none"/>
        </w:rPr>
        <w:fldChar w:fldCharType="separate"/>
      </w:r>
      <w:r>
        <w:rPr>
          <w:rStyle w:val="24"/>
          <w:color w:val="auto"/>
          <w:highlight w:val="none"/>
        </w:rPr>
        <w:t>第六章  图纸及勘察资料</w:t>
      </w:r>
      <w:r>
        <w:rPr>
          <w:color w:val="auto"/>
          <w:highlight w:val="none"/>
        </w:rPr>
        <w:tab/>
      </w:r>
      <w:r>
        <w:rPr>
          <w:color w:val="auto"/>
          <w:highlight w:val="none"/>
        </w:rPr>
        <w:fldChar w:fldCharType="begin"/>
      </w:r>
      <w:r>
        <w:rPr>
          <w:color w:val="auto"/>
          <w:highlight w:val="none"/>
        </w:rPr>
        <w:instrText xml:space="preserve"> PAGEREF _Toc21525514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16"/>
        <w:rPr>
          <w:rFonts w:ascii="等线" w:hAnsi="等线" w:eastAsia="等线"/>
          <w:caps w:val="0"/>
          <w:color w:val="auto"/>
          <w:kern w:val="2"/>
          <w:sz w:val="21"/>
          <w:szCs w:val="22"/>
          <w:highlight w:val="none"/>
        </w:rPr>
      </w:pPr>
      <w:r>
        <w:rPr>
          <w:color w:val="auto"/>
          <w:highlight w:val="none"/>
        </w:rPr>
        <w:fldChar w:fldCharType="begin"/>
      </w:r>
      <w:r>
        <w:rPr>
          <w:color w:val="auto"/>
          <w:highlight w:val="none"/>
        </w:rPr>
        <w:instrText xml:space="preserve"> HYPERLINK \l "_Toc21525515" </w:instrText>
      </w:r>
      <w:r>
        <w:rPr>
          <w:color w:val="auto"/>
          <w:highlight w:val="none"/>
        </w:rPr>
        <w:fldChar w:fldCharType="separate"/>
      </w:r>
      <w:r>
        <w:rPr>
          <w:rStyle w:val="24"/>
          <w:color w:val="auto"/>
          <w:highlight w:val="none"/>
        </w:rPr>
        <w:t>第七章  工程量清单</w:t>
      </w:r>
      <w:r>
        <w:rPr>
          <w:color w:val="auto"/>
          <w:highlight w:val="none"/>
        </w:rPr>
        <w:tab/>
      </w:r>
      <w:r>
        <w:rPr>
          <w:color w:val="auto"/>
          <w:highlight w:val="none"/>
        </w:rPr>
        <w:fldChar w:fldCharType="begin"/>
      </w:r>
      <w:r>
        <w:rPr>
          <w:color w:val="auto"/>
          <w:highlight w:val="none"/>
        </w:rPr>
        <w:instrText xml:space="preserve"> PAGEREF _Toc21525515 \h </w:instrText>
      </w:r>
      <w:r>
        <w:rPr>
          <w:color w:val="auto"/>
          <w:highlight w:val="none"/>
        </w:rPr>
        <w:fldChar w:fldCharType="separate"/>
      </w:r>
      <w:r>
        <w:rPr>
          <w:color w:val="auto"/>
          <w:highlight w:val="none"/>
        </w:rPr>
        <w:t>82</w:t>
      </w:r>
      <w:r>
        <w:rPr>
          <w:color w:val="auto"/>
          <w:highlight w:val="none"/>
        </w:rPr>
        <w:fldChar w:fldCharType="end"/>
      </w:r>
      <w:r>
        <w:rPr>
          <w:color w:val="auto"/>
          <w:highlight w:val="none"/>
        </w:rPr>
        <w:fldChar w:fldCharType="end"/>
      </w:r>
    </w:p>
    <w:p>
      <w:pPr>
        <w:pStyle w:val="16"/>
        <w:rPr>
          <w:rFonts w:ascii="等线" w:hAnsi="等线" w:eastAsia="等线"/>
          <w:caps w:val="0"/>
          <w:color w:val="auto"/>
          <w:kern w:val="2"/>
          <w:sz w:val="21"/>
          <w:szCs w:val="22"/>
          <w:highlight w:val="none"/>
        </w:rPr>
      </w:pPr>
      <w:r>
        <w:rPr>
          <w:color w:val="auto"/>
          <w:highlight w:val="none"/>
        </w:rPr>
        <w:fldChar w:fldCharType="begin"/>
      </w:r>
      <w:r>
        <w:rPr>
          <w:color w:val="auto"/>
          <w:highlight w:val="none"/>
        </w:rPr>
        <w:instrText xml:space="preserve"> HYPERLINK \l "_Toc21525516" </w:instrText>
      </w:r>
      <w:r>
        <w:rPr>
          <w:color w:val="auto"/>
          <w:highlight w:val="none"/>
        </w:rPr>
        <w:fldChar w:fldCharType="separate"/>
      </w:r>
      <w:r>
        <w:rPr>
          <w:rStyle w:val="24"/>
          <w:color w:val="auto"/>
          <w:highlight w:val="none"/>
        </w:rPr>
        <w:t>第八章  最高投标限价</w:t>
      </w:r>
      <w:r>
        <w:rPr>
          <w:color w:val="auto"/>
          <w:highlight w:val="none"/>
        </w:rPr>
        <w:tab/>
      </w:r>
      <w:r>
        <w:rPr>
          <w:color w:val="auto"/>
          <w:highlight w:val="none"/>
        </w:rPr>
        <w:fldChar w:fldCharType="begin"/>
      </w:r>
      <w:r>
        <w:rPr>
          <w:color w:val="auto"/>
          <w:highlight w:val="none"/>
        </w:rPr>
        <w:instrText xml:space="preserve"> PAGEREF _Toc21525516 \h </w:instrText>
      </w:r>
      <w:r>
        <w:rPr>
          <w:color w:val="auto"/>
          <w:highlight w:val="none"/>
        </w:rPr>
        <w:fldChar w:fldCharType="separate"/>
      </w:r>
      <w:r>
        <w:rPr>
          <w:color w:val="auto"/>
          <w:highlight w:val="none"/>
        </w:rPr>
        <w:t>83</w:t>
      </w:r>
      <w:r>
        <w:rPr>
          <w:color w:val="auto"/>
          <w:highlight w:val="none"/>
        </w:rPr>
        <w:fldChar w:fldCharType="end"/>
      </w:r>
      <w:r>
        <w:rPr>
          <w:color w:val="auto"/>
          <w:highlight w:val="none"/>
        </w:rPr>
        <w:fldChar w:fldCharType="end"/>
      </w:r>
    </w:p>
    <w:p>
      <w:pPr>
        <w:pStyle w:val="5"/>
        <w:rPr>
          <w:color w:val="auto"/>
          <w:highlight w:val="none"/>
        </w:rPr>
        <w:sectPr>
          <w:headerReference r:id="rId5" w:type="first"/>
          <w:headerReference r:id="rId3" w:type="default"/>
          <w:footerReference r:id="rId6" w:type="default"/>
          <w:headerReference r:id="rId4" w:type="even"/>
          <w:footerReference r:id="rId7" w:type="even"/>
          <w:endnotePr>
            <w:numFmt w:val="decimal"/>
          </w:endnotePr>
          <w:pgSz w:w="11906" w:h="16838"/>
          <w:pgMar w:top="1417" w:right="1417" w:bottom="1417" w:left="1417" w:header="851" w:footer="907" w:gutter="0"/>
          <w:pgNumType w:start="1"/>
          <w:cols w:space="720" w:num="1"/>
          <w:titlePg/>
          <w:docGrid w:type="lines" w:linePitch="312" w:charSpace="0"/>
        </w:sectPr>
      </w:pPr>
      <w:r>
        <w:rPr>
          <w:color w:val="auto"/>
          <w:highlight w:val="none"/>
        </w:rPr>
        <w:fldChar w:fldCharType="end"/>
      </w:r>
      <w:bookmarkStart w:id="0" w:name="_Toc2272545"/>
      <w:bookmarkStart w:id="1" w:name="_Toc21525489"/>
    </w:p>
    <w:p>
      <w:pPr>
        <w:pStyle w:val="6"/>
        <w:ind w:left="0"/>
        <w:rPr>
          <w:rFonts w:hint="eastAsia" w:ascii="黑体" w:hAnsi="黑体" w:eastAsia="黑体" w:cs="黑体"/>
          <w:color w:val="auto"/>
          <w:sz w:val="30"/>
          <w:szCs w:val="30"/>
          <w:highlight w:val="none"/>
        </w:rPr>
      </w:pPr>
      <w:r>
        <w:rPr>
          <w:rFonts w:hint="eastAsia" w:ascii="黑体" w:hAnsi="黑体" w:eastAsia="黑体" w:cs="黑体"/>
          <w:color w:val="auto"/>
          <w:sz w:val="30"/>
          <w:szCs w:val="30"/>
          <w:highlight w:val="none"/>
        </w:rPr>
        <w:t>第一章  投标须知</w:t>
      </w:r>
      <w:bookmarkEnd w:id="0"/>
      <w:bookmarkEnd w:id="1"/>
    </w:p>
    <w:p>
      <w:pPr>
        <w:pStyle w:val="6"/>
        <w:ind w:left="0"/>
        <w:rPr>
          <w:rFonts w:ascii="黑体" w:hAnsi="黑体" w:eastAsia="黑体" w:cs="黑体"/>
          <w:color w:val="auto"/>
          <w:sz w:val="30"/>
          <w:szCs w:val="30"/>
          <w:highlight w:val="none"/>
        </w:rPr>
      </w:pPr>
      <w:bookmarkStart w:id="2" w:name="_Toc2272546"/>
      <w:bookmarkStart w:id="3" w:name="_Toc21525490"/>
      <w:r>
        <w:rPr>
          <w:rFonts w:hint="eastAsia" w:ascii="黑体" w:hAnsi="黑体" w:eastAsia="黑体" w:cs="黑体"/>
          <w:color w:val="auto"/>
          <w:sz w:val="30"/>
          <w:szCs w:val="30"/>
          <w:highlight w:val="none"/>
        </w:rPr>
        <w:t>一、投标须知前附表</w:t>
      </w:r>
      <w:bookmarkEnd w:id="2"/>
      <w:bookmarkEnd w:id="3"/>
    </w:p>
    <w:p>
      <w:pPr>
        <w:pStyle w:val="9"/>
        <w:spacing w:line="360" w:lineRule="auto"/>
        <w:ind w:firstLine="0"/>
        <w:rPr>
          <w:rFonts w:ascii="宋体" w:hAnsi="宋体"/>
          <w:b/>
          <w:color w:val="auto"/>
          <w:sz w:val="24"/>
          <w:szCs w:val="24"/>
          <w:highlight w:val="none"/>
        </w:rPr>
      </w:pPr>
      <w:r>
        <w:rPr>
          <w:rFonts w:hint="eastAsia" w:ascii="宋体" w:hAnsi="宋体"/>
          <w:b/>
          <w:color w:val="auto"/>
          <w:sz w:val="24"/>
          <w:szCs w:val="24"/>
          <w:highlight w:val="none"/>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21"/>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11"/>
        <w:gridCol w:w="1946"/>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blHeader/>
        </w:trPr>
        <w:tc>
          <w:tcPr>
            <w:tcW w:w="636" w:type="dxa"/>
            <w:tcBorders>
              <w:top w:val="doub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项目</w:t>
            </w:r>
          </w:p>
        </w:tc>
        <w:tc>
          <w:tcPr>
            <w:tcW w:w="911" w:type="dxa"/>
            <w:tcBorders>
              <w:top w:val="doub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条款号</w:t>
            </w:r>
          </w:p>
        </w:tc>
        <w:tc>
          <w:tcPr>
            <w:tcW w:w="1946" w:type="dxa"/>
            <w:tcBorders>
              <w:top w:val="doub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58"/>
              <w:rPr>
                <w:rFonts w:hint="default" w:ascii="宋体" w:hAnsi="宋体"/>
                <w:color w:val="auto"/>
                <w:szCs w:val="21"/>
                <w:highlight w:val="none"/>
              </w:rPr>
            </w:pPr>
            <w:r>
              <w:rPr>
                <w:rFonts w:hint="eastAsia" w:ascii="宋体" w:hAnsi="宋体"/>
                <w:color w:val="auto"/>
                <w:szCs w:val="21"/>
                <w:highlight w:val="none"/>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pStyle w:val="13"/>
              <w:keepNext w:val="0"/>
              <w:keepLines w:val="0"/>
              <w:suppressLineNumbers w:val="0"/>
              <w:spacing w:before="0" w:beforeAutospacing="0" w:after="0" w:afterAutospacing="0"/>
              <w:ind w:left="0" w:right="0" w:firstLine="458"/>
              <w:jc w:val="center"/>
              <w:rPr>
                <w:rFonts w:hint="default" w:ascii="宋体" w:hAnsi="宋体"/>
                <w:color w:val="auto"/>
                <w:kern w:val="2"/>
                <w:sz w:val="21"/>
                <w:szCs w:val="21"/>
                <w:highlight w:val="none"/>
              </w:rPr>
            </w:pPr>
            <w:r>
              <w:rPr>
                <w:rFonts w:hint="eastAsia" w:ascii="宋体" w:hAnsi="宋体"/>
                <w:color w:val="auto"/>
                <w:kern w:val="2"/>
                <w:sz w:val="21"/>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招标人（即发包人）：</w:t>
            </w:r>
            <w:r>
              <w:rPr>
                <w:rFonts w:hint="eastAsia" w:ascii="宋体" w:hAnsi="宋体" w:cs="宋体"/>
                <w:color w:val="auto"/>
                <w:szCs w:val="21"/>
                <w:highlight w:val="none"/>
                <w:u w:val="single"/>
                <w:lang w:eastAsia="zh-CN"/>
              </w:rPr>
              <w:t>广东省地震局</w:t>
            </w:r>
          </w:p>
          <w:p>
            <w:pPr>
              <w:keepNext w:val="0"/>
              <w:keepLines w:val="0"/>
              <w:suppressLineNumbers w:val="0"/>
              <w:spacing w:before="0" w:beforeAutospacing="0" w:after="0" w:afterAutospacing="0" w:line="276" w:lineRule="auto"/>
              <w:ind w:left="0" w:right="0"/>
              <w:rPr>
                <w:rFonts w:hint="default" w:ascii="宋体" w:hAnsi="宋体" w:cs="宋体"/>
                <w:color w:val="auto"/>
                <w:szCs w:val="21"/>
                <w:highlight w:val="none"/>
              </w:rPr>
            </w:pPr>
            <w:r>
              <w:rPr>
                <w:rFonts w:hint="eastAsia" w:ascii="宋体" w:hAnsi="宋体" w:cs="宋体"/>
                <w:color w:val="auto"/>
                <w:szCs w:val="21"/>
                <w:highlight w:val="none"/>
              </w:rPr>
              <w:t>项目建设管理单位：</w:t>
            </w:r>
            <w:r>
              <w:rPr>
                <w:rFonts w:hint="eastAsia" w:ascii="宋体" w:hAnsi="宋体" w:cs="宋体"/>
                <w:color w:val="auto"/>
                <w:szCs w:val="21"/>
                <w:highlight w:val="none"/>
                <w:u w:val="single"/>
              </w:rPr>
              <w:t xml:space="preserve"> / </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招标代理：</w:t>
            </w:r>
            <w:r>
              <w:rPr>
                <w:rFonts w:hint="eastAsia" w:ascii="宋体" w:hAnsi="宋体" w:cs="宋体"/>
                <w:color w:val="auto"/>
                <w:szCs w:val="21"/>
                <w:highlight w:val="none"/>
                <w:u w:val="single"/>
                <w:lang w:eastAsia="zh-CN"/>
              </w:rPr>
              <w:t>广东省机电设备招标有限公司</w:t>
            </w:r>
          </w:p>
          <w:p>
            <w:pPr>
              <w:keepNext w:val="0"/>
              <w:keepLines w:val="0"/>
              <w:suppressLineNumbers w:val="0"/>
              <w:spacing w:before="0" w:beforeAutospacing="0" w:after="0" w:afterAutospacing="0" w:line="276" w:lineRule="auto"/>
              <w:ind w:left="0" w:right="0"/>
              <w:rPr>
                <w:rFonts w:hint="default" w:ascii="宋体" w:hAnsi="宋体" w:cs="宋体"/>
                <w:color w:val="auto"/>
                <w:szCs w:val="21"/>
                <w:highlight w:val="none"/>
              </w:rPr>
            </w:pPr>
            <w:r>
              <w:rPr>
                <w:rFonts w:hint="eastAsia" w:ascii="宋体" w:hAnsi="宋体" w:cs="宋体"/>
                <w:color w:val="auto"/>
                <w:szCs w:val="21"/>
                <w:highlight w:val="none"/>
              </w:rPr>
              <w:t>设计单位：</w:t>
            </w:r>
            <w:r>
              <w:rPr>
                <w:rFonts w:hint="eastAsia" w:ascii="宋体" w:hAnsi="宋体" w:cs="宋体"/>
                <w:color w:val="auto"/>
                <w:szCs w:val="21"/>
                <w:highlight w:val="none"/>
                <w:u w:val="single"/>
                <w:lang w:val="en-US" w:eastAsia="zh-CN"/>
              </w:rPr>
              <w:t>珑图设计（集团）有限公司</w:t>
            </w:r>
          </w:p>
          <w:p>
            <w:pPr>
              <w:keepNext w:val="0"/>
              <w:keepLines w:val="0"/>
              <w:suppressLineNumbers w:val="0"/>
              <w:spacing w:before="0" w:beforeAutospacing="0" w:after="0" w:afterAutospacing="0" w:line="276" w:lineRule="auto"/>
              <w:ind w:left="0" w:right="0"/>
              <w:rPr>
                <w:rFonts w:hint="default" w:ascii="宋体" w:hAnsi="宋体" w:cs="宋体"/>
                <w:color w:val="auto"/>
                <w:szCs w:val="21"/>
                <w:highlight w:val="none"/>
                <w:u w:val="single"/>
              </w:rPr>
            </w:pPr>
            <w:r>
              <w:rPr>
                <w:rFonts w:hint="eastAsia" w:ascii="宋体" w:hAnsi="宋体" w:cs="宋体"/>
                <w:color w:val="auto"/>
                <w:szCs w:val="21"/>
                <w:highlight w:val="none"/>
              </w:rPr>
              <w:t>监理单位：</w:t>
            </w:r>
            <w:r>
              <w:rPr>
                <w:rFonts w:hint="eastAsia" w:ascii="宋体" w:hAnsi="宋体" w:cs="宋体"/>
                <w:color w:val="auto"/>
                <w:szCs w:val="21"/>
                <w:highlight w:val="none"/>
                <w:u w:val="single"/>
              </w:rPr>
              <w:t>中达安股份有限公司，成致项目管理有限公司</w:t>
            </w:r>
          </w:p>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检测机构：</w:t>
            </w:r>
            <w:r>
              <w:rPr>
                <w:rFonts w:hint="default"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2.2</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lang w:eastAsia="zh-CN"/>
              </w:rPr>
              <w:t>广东省巨灾防范工程-新丰江地震监测中心站改造单项工程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3</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2.2</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u w:val="single"/>
              </w:rPr>
            </w:pPr>
            <w:r>
              <w:rPr>
                <w:rFonts w:hint="eastAsia" w:ascii="宋体" w:hAnsi="宋体" w:cs="宋体"/>
                <w:color w:val="auto"/>
                <w:kern w:val="0"/>
                <w:szCs w:val="21"/>
                <w:highlight w:val="none"/>
                <w:u w:val="single"/>
                <w:lang w:val="zh-CN"/>
              </w:rPr>
              <w:t>详见本工程招标公告。</w:t>
            </w:r>
            <w:r>
              <w:rPr>
                <w:rFonts w:hint="eastAsia" w:ascii="宋体" w:hAnsi="宋体" w:cs="宋体"/>
                <w:color w:val="auto"/>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4</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2.2</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napToGrid w:val="0"/>
              <w:spacing w:before="0" w:beforeAutospacing="0" w:after="0" w:afterAutospacing="0"/>
              <w:ind w:left="0" w:right="0"/>
              <w:rPr>
                <w:rFonts w:hint="default" w:ascii="宋体" w:hAnsi="宋体"/>
                <w:color w:val="auto"/>
                <w:szCs w:val="21"/>
                <w:highlight w:val="none"/>
                <w:u w:val="single"/>
              </w:rPr>
            </w:pPr>
            <w:r>
              <w:rPr>
                <w:rFonts w:hint="eastAsia" w:ascii="宋体" w:hAnsi="宋体" w:cs="宋体"/>
                <w:color w:val="auto"/>
                <w:kern w:val="0"/>
                <w:szCs w:val="21"/>
                <w:highlight w:val="none"/>
                <w:u w:val="single"/>
                <w:lang w:val="zh-CN"/>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5</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2.2</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kern w:val="0"/>
                <w:szCs w:val="21"/>
                <w:highlight w:val="none"/>
                <w:u w:val="single"/>
                <w:lang w:val="zh-CN"/>
              </w:rPr>
              <w:t>本工程采用总价包干方式，按照合同约定的招标工程量和图纸内容要求完成工程。包设备、包工、包料、包质量、包工期、包安全、包敷设、包文明施工、包淤泥排放、包保险、包环境卫生、包验收合格、包保修、包损坏赔偿等总价包干的形式承包本项目（注：项目措施费包干，投标清单外新增工程量按项目所在地最新季度信息价执行计价），最终结算以工程竣工结算审定金额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6</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2.2</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质量标准</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u w:val="single"/>
              </w:rPr>
            </w:pPr>
            <w:r>
              <w:rPr>
                <w:rFonts w:hint="eastAsia" w:ascii="宋体" w:hAnsi="宋体" w:cs="宋体"/>
                <w:color w:val="auto"/>
                <w:szCs w:val="21"/>
                <w:highlight w:val="none"/>
                <w:u w:val="single"/>
                <w:lang w:val="en-US" w:eastAsia="zh-CN"/>
              </w:rPr>
              <w:t>合格，</w:t>
            </w:r>
            <w:r>
              <w:rPr>
                <w:rFonts w:hint="eastAsia" w:ascii="宋体" w:hAnsi="宋体" w:cs="宋体"/>
                <w:color w:val="auto"/>
                <w:szCs w:val="21"/>
                <w:highlight w:val="none"/>
                <w:u w:val="single"/>
              </w:rPr>
              <w:t>符合国家和行业现行质量验收标准，一次性验收合格。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7</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2.2</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u w:val="single"/>
              </w:rPr>
            </w:pPr>
            <w:r>
              <w:rPr>
                <w:rFonts w:hint="eastAsia" w:ascii="宋体" w:hAnsi="宋体" w:cs="宋体"/>
                <w:color w:val="auto"/>
                <w:kern w:val="0"/>
                <w:szCs w:val="21"/>
                <w:highlight w:val="none"/>
                <w:u w:val="single"/>
                <w:lang w:val="zh-CN"/>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8</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2.2</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highlight w:val="none"/>
                <w:lang w:val="en-US" w:eastAsia="zh-CN"/>
              </w:rPr>
              <w:t>计划工期</w:t>
            </w:r>
            <w:r>
              <w:rPr>
                <w:rFonts w:hint="eastAsia" w:ascii="宋体" w:hAnsi="宋体" w:cs="宋体"/>
                <w:color w:val="auto"/>
                <w:highlight w:val="none"/>
              </w:rPr>
              <w:t>：</w:t>
            </w:r>
            <w:r>
              <w:rPr>
                <w:rFonts w:hint="eastAsia" w:ascii="宋体" w:hAnsi="宋体" w:cs="宋体"/>
                <w:color w:val="auto"/>
                <w:highlight w:val="none"/>
                <w:lang w:val="en-US" w:eastAsia="zh-CN"/>
              </w:rPr>
              <w:t>自合同签订之日起90个自然天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9</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3.1</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kern w:val="0"/>
                <w:szCs w:val="21"/>
                <w:highlight w:val="none"/>
                <w:u w:val="single"/>
                <w:lang w:val="zh-CN"/>
              </w:rPr>
            </w:pPr>
            <w:r>
              <w:rPr>
                <w:rFonts w:hint="eastAsia" w:ascii="宋体" w:hAnsi="宋体" w:cs="宋体"/>
                <w:color w:val="auto"/>
                <w:kern w:val="0"/>
                <w:szCs w:val="21"/>
                <w:highlight w:val="none"/>
                <w:u w:val="single"/>
                <w:lang w:eastAsia="zh-CN"/>
              </w:rPr>
              <w:t>财政资金</w:t>
            </w:r>
            <w:r>
              <w:rPr>
                <w:rFonts w:hint="eastAsia" w:ascii="宋体" w:hAnsi="宋体" w:cs="宋体"/>
                <w:color w:val="auto"/>
                <w:kern w:val="0"/>
                <w:szCs w:val="21"/>
                <w:highlight w:val="none"/>
                <w:u w:val="singl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10</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4.1</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11</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58"/>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12</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13.1</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工程量清单计价。</w:t>
            </w:r>
            <w:r>
              <w:rPr>
                <w:rFonts w:hint="eastAsia" w:ascii="宋体" w:hAnsi="宋体" w:cs="宋体"/>
                <w:color w:val="auto"/>
                <w:kern w:val="0"/>
                <w:szCs w:val="21"/>
                <w:highlight w:val="none"/>
                <w:u w:val="single"/>
                <w:lang w:val="zh-CN"/>
              </w:rPr>
              <w:t>按国家、省、</w:t>
            </w:r>
            <w:r>
              <w:rPr>
                <w:rFonts w:hint="eastAsia" w:ascii="宋体" w:hAnsi="宋体" w:cs="宋体"/>
                <w:color w:val="auto"/>
                <w:kern w:val="0"/>
                <w:szCs w:val="21"/>
                <w:highlight w:val="none"/>
                <w:u w:val="single"/>
                <w:lang w:val="en-US" w:eastAsia="zh-CN"/>
              </w:rPr>
              <w:t>河源市</w:t>
            </w:r>
            <w:r>
              <w:rPr>
                <w:rFonts w:hint="eastAsia" w:ascii="宋体" w:hAnsi="宋体" w:cs="宋体"/>
                <w:color w:val="auto"/>
                <w:kern w:val="0"/>
                <w:szCs w:val="21"/>
                <w:highlight w:val="none"/>
                <w:u w:val="single"/>
                <w:lang w:val="zh-CN"/>
              </w:rPr>
              <w:t>有关计价规范执行</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13</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15.1</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u w:val="single"/>
              </w:rPr>
            </w:pPr>
            <w:r>
              <w:rPr>
                <w:rFonts w:hint="default" w:ascii="宋体" w:hAnsi="宋体"/>
                <w:color w:val="auto"/>
                <w:szCs w:val="21"/>
                <w:highlight w:val="none"/>
                <w:u w:val="single"/>
              </w:rPr>
              <w:t xml:space="preserve"> </w:t>
            </w:r>
            <w:r>
              <w:rPr>
                <w:rFonts w:hint="eastAsia" w:ascii="宋体" w:hAnsi="宋体"/>
                <w:color w:val="auto"/>
                <w:szCs w:val="21"/>
                <w:highlight w:val="none"/>
                <w:u w:val="single"/>
              </w:rPr>
              <w:t>90</w:t>
            </w:r>
            <w:r>
              <w:rPr>
                <w:rFonts w:hint="default" w:ascii="宋体" w:hAnsi="宋体"/>
                <w:color w:val="auto"/>
                <w:szCs w:val="21"/>
                <w:highlight w:val="none"/>
                <w:u w:val="single"/>
              </w:rPr>
              <w:t xml:space="preserve"> </w:t>
            </w:r>
            <w:r>
              <w:rPr>
                <w:rFonts w:hint="eastAsia" w:ascii="宋体" w:hAnsi="宋体"/>
                <w:color w:val="auto"/>
                <w:szCs w:val="21"/>
                <w:highlight w:val="none"/>
              </w:rPr>
              <w:t>日历天。（从投标截止之日计起）</w:t>
            </w:r>
            <w:r>
              <w:rPr>
                <w:rFonts w:hint="eastAsia" w:ascii="宋体" w:hAnsi="宋体" w:cs="宋体"/>
                <w:color w:val="auto"/>
                <w:szCs w:val="21"/>
                <w:highlight w:val="none"/>
                <w:u w:val="single"/>
              </w:rPr>
              <w:t>如投标有效期内发生异议或投诉的，则投标有效期自动延长至异议或投诉处理结束后90日历天。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14</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16.1</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pPr>
              <w:pStyle w:val="10"/>
              <w:keepNext w:val="0"/>
              <w:keepLines w:val="0"/>
              <w:suppressLineNumbers w:val="0"/>
              <w:spacing w:before="0" w:beforeAutospacing="0" w:afterAutospacing="0"/>
              <w:ind w:left="0" w:right="0"/>
              <w:rPr>
                <w:rFonts w:hint="default" w:ascii="宋体" w:hAnsi="宋体"/>
                <w:color w:val="auto"/>
                <w:sz w:val="21"/>
                <w:szCs w:val="21"/>
                <w:highlight w:val="none"/>
              </w:rPr>
            </w:pPr>
            <w:r>
              <w:rPr>
                <w:rFonts w:hint="eastAsia" w:ascii="宋体" w:hAnsi="宋体"/>
                <w:color w:val="auto"/>
                <w:sz w:val="21"/>
                <w:szCs w:val="21"/>
                <w:highlight w:val="none"/>
              </w:rPr>
              <w:t>是否要求投标人递交投标保证金：</w:t>
            </w:r>
          </w:p>
          <w:p>
            <w:pPr>
              <w:pStyle w:val="10"/>
              <w:keepNext w:val="0"/>
              <w:keepLines w:val="0"/>
              <w:suppressLineNumbers w:val="0"/>
              <w:spacing w:before="0" w:beforeAutospacing="0" w:afterAutospacing="0"/>
              <w:ind w:left="0" w:right="0"/>
              <w:rPr>
                <w:rFonts w:hint="default" w:ascii="宋体" w:hAnsi="宋体"/>
                <w:color w:val="auto"/>
                <w:sz w:val="21"/>
                <w:szCs w:val="21"/>
                <w:highlight w:val="none"/>
              </w:rPr>
            </w:pPr>
            <w:r>
              <w:rPr>
                <w:rFonts w:hint="eastAsia" w:ascii="宋体" w:hAnsi="宋体"/>
                <w:color w:val="auto"/>
                <w:sz w:val="21"/>
                <w:szCs w:val="21"/>
                <w:highlight w:val="none"/>
              </w:rPr>
              <w:t>■不要求递交投标保证金。</w:t>
            </w:r>
          </w:p>
          <w:p>
            <w:pPr>
              <w:keepNext w:val="0"/>
              <w:keepLines w:val="0"/>
              <w:suppressLineNumbers w:val="0"/>
              <w:snapToGrid w:val="0"/>
              <w:spacing w:before="0" w:beforeAutospacing="0" w:after="0" w:afterAutospacing="0"/>
              <w:ind w:left="0" w:right="0"/>
              <w:rPr>
                <w:rFonts w:hint="default"/>
                <w:color w:val="auto"/>
                <w:highlight w:val="none"/>
              </w:rPr>
            </w:pPr>
            <w:r>
              <w:rPr>
                <w:rFonts w:hint="eastAsia" w:ascii="宋体" w:hAnsi="宋体"/>
                <w:color w:val="auto"/>
                <w:szCs w:val="21"/>
                <w:highlight w:val="none"/>
              </w:rPr>
              <w:t>□要求递交投标保证金。投标保证金的金额：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万元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15</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5</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自招标公告发布之日起具备现场踏勘条件；</w:t>
            </w:r>
          </w:p>
          <w:p>
            <w:pPr>
              <w:keepNext w:val="0"/>
              <w:keepLines w:val="0"/>
              <w:suppressLineNumbers w:val="0"/>
              <w:spacing w:before="0" w:beforeAutospacing="0" w:after="0" w:afterAutospacing="0"/>
              <w:ind w:left="0" w:right="0"/>
              <w:jc w:val="left"/>
              <w:rPr>
                <w:rFonts w:hint="default" w:ascii="宋体" w:hAnsi="宋体"/>
                <w:color w:val="auto"/>
                <w:szCs w:val="21"/>
                <w:highlight w:val="none"/>
              </w:rPr>
            </w:pPr>
            <w:r>
              <w:rPr>
                <w:rFonts w:hint="eastAsia" w:ascii="宋体" w:hAnsi="宋体" w:cs="宋体"/>
                <w:color w:val="auto"/>
                <w:szCs w:val="21"/>
                <w:highlight w:val="none"/>
              </w:rPr>
              <w:t>方式：</w:t>
            </w:r>
            <w:r>
              <w:rPr>
                <w:rFonts w:hint="eastAsia" w:ascii="宋体" w:hAnsi="宋体" w:cs="宋体"/>
                <w:color w:val="auto"/>
                <w:szCs w:val="21"/>
                <w:highlight w:val="none"/>
                <w:u w:val="single"/>
              </w:rPr>
              <w:t>招标人不集中组织，由投标人自行踏勘；投标人不进行踏勘的，视为已熟知现场条件，自行承担相关风险。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16</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8</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宋体"/>
                <w:color w:val="auto"/>
                <w:szCs w:val="21"/>
                <w:highlight w:val="none"/>
              </w:rPr>
            </w:pPr>
            <w:r>
              <w:rPr>
                <w:rFonts w:hint="eastAsia" w:ascii="宋体" w:hAnsi="宋体" w:cs="宋体"/>
                <w:color w:val="auto"/>
                <w:szCs w:val="21"/>
                <w:highlight w:val="none"/>
              </w:rPr>
              <w:t>疑问提交时间：</w:t>
            </w:r>
            <w:r>
              <w:rPr>
                <w:rFonts w:hint="eastAsia" w:ascii="宋体" w:hAnsi="宋体" w:cs="宋体"/>
                <w:color w:val="auto"/>
                <w:szCs w:val="21"/>
                <w:highlight w:val="none"/>
                <w:u w:val="single"/>
              </w:rPr>
              <w:t>投标人在递交投标文件截止时间18天前提出</w:t>
            </w:r>
            <w:r>
              <w:rPr>
                <w:rFonts w:hint="eastAsia" w:ascii="宋体" w:hAnsi="宋体" w:cs="宋体"/>
                <w:color w:val="auto"/>
                <w:szCs w:val="21"/>
                <w:highlight w:val="none"/>
              </w:rPr>
              <w:t>；</w:t>
            </w:r>
          </w:p>
          <w:p>
            <w:pPr>
              <w:keepNext w:val="0"/>
              <w:keepLines w:val="0"/>
              <w:suppressLineNumbers w:val="0"/>
              <w:spacing w:before="0" w:beforeAutospacing="0" w:after="0" w:afterAutospacing="0" w:line="400" w:lineRule="exact"/>
              <w:ind w:left="0" w:right="0"/>
              <w:rPr>
                <w:rFonts w:hint="default" w:ascii="宋体" w:hAnsi="宋体" w:cs="宋体"/>
                <w:color w:val="auto"/>
                <w:szCs w:val="21"/>
                <w:highlight w:val="none"/>
                <w:u w:val="single"/>
              </w:rPr>
            </w:pPr>
            <w:r>
              <w:rPr>
                <w:rFonts w:hint="eastAsia" w:ascii="宋体" w:hAnsi="宋体" w:cs="宋体"/>
                <w:color w:val="auto"/>
                <w:szCs w:val="21"/>
                <w:highlight w:val="none"/>
              </w:rPr>
              <w:t>形式：投标人的疑问通过广州交易集团有限公司（广州公共资源交易中心）交易平台提交。</w:t>
            </w:r>
            <w:r>
              <w:rPr>
                <w:rFonts w:hint="eastAsia" w:ascii="宋体" w:hAnsi="宋体" w:cs="宋体"/>
                <w:color w:val="auto"/>
                <w:szCs w:val="21"/>
                <w:highlight w:val="none"/>
                <w:u w:val="single"/>
              </w:rPr>
              <w:t>招标答疑采用网上答疑方式进行。投标人若对招标文件（包括施工图纸、清单、招标控制价）有疑问的，可在规定的时间内通过广州公共资源交易中心网进入提问区域将问题提交给招标人或招标代理人，提交问题时一律不得署名。</w:t>
            </w:r>
          </w:p>
          <w:p>
            <w:pPr>
              <w:keepNext w:val="0"/>
              <w:keepLines w:val="0"/>
              <w:suppressLineNumbers w:val="0"/>
              <w:spacing w:before="0" w:beforeAutospacing="0" w:after="0" w:afterAutospacing="0" w:line="400" w:lineRule="exact"/>
              <w:ind w:left="0" w:right="0"/>
              <w:rPr>
                <w:rFonts w:hint="default" w:ascii="宋体" w:hAnsi="宋体" w:cs="宋体"/>
                <w:color w:val="auto"/>
                <w:szCs w:val="21"/>
                <w:highlight w:val="none"/>
                <w:u w:val="single"/>
              </w:rPr>
            </w:pPr>
            <w:r>
              <w:rPr>
                <w:rFonts w:hint="eastAsia" w:ascii="宋体" w:hAnsi="宋体" w:cs="宋体"/>
                <w:color w:val="auto"/>
                <w:szCs w:val="21"/>
                <w:highlight w:val="none"/>
                <w:u w:val="single"/>
              </w:rPr>
              <w:t>网上答疑的操作指南为：登陆广州公共资源交易中心网站→登录“投标人系统”→招标答疑提问→通过项目编号或名称找到所需的项目→在上述的答疑时间内点击“答疑提问或回复情况”→提出问题以及查看所有的问题。</w:t>
            </w:r>
          </w:p>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具体要求：按照交易平台关于全流程电子化项目的相关指南进行操作，详见：</w:t>
            </w:r>
            <w:r>
              <w:rPr>
                <w:rFonts w:hint="eastAsia" w:ascii="宋体" w:hAnsi="宋体"/>
                <w:color w:val="auto"/>
                <w:szCs w:val="21"/>
                <w:highlight w:val="none"/>
                <w:u w:val="single"/>
              </w:rPr>
              <w:t>广州公共资源交易中心网站。</w:t>
            </w:r>
            <w:r>
              <w:rPr>
                <w:rFonts w:hint="eastAsia" w:ascii="宋体" w:hAnsi="宋体" w:cs="宋体"/>
                <w:color w:val="auto"/>
                <w:szCs w:val="21"/>
                <w:highlight w:val="none"/>
              </w:rPr>
              <w:t>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w:t>
            </w:r>
            <w:r>
              <w:rPr>
                <w:rFonts w:hint="eastAsia" w:ascii="宋体" w:hAnsi="宋体"/>
                <w:color w:val="auto"/>
                <w:szCs w:val="21"/>
                <w:highlight w:val="none"/>
              </w:rPr>
              <w:t>7</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20</w:t>
            </w:r>
            <w:r>
              <w:rPr>
                <w:rFonts w:hint="default" w:ascii="宋体" w:hAnsi="宋体"/>
                <w:color w:val="auto"/>
                <w:szCs w:val="21"/>
                <w:highlight w:val="none"/>
              </w:rPr>
              <w:t>.1</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strike/>
                <w:color w:val="auto"/>
                <w:szCs w:val="21"/>
                <w:highlight w:val="none"/>
              </w:rPr>
            </w:pPr>
            <w:r>
              <w:rPr>
                <w:rFonts w:hint="eastAsia" w:ascii="宋体" w:hAnsi="宋体" w:cs="宋体"/>
                <w:color w:val="auto"/>
                <w:szCs w:val="21"/>
                <w:highlight w:val="none"/>
                <w:u w:val="single"/>
              </w:rPr>
              <w:t>时间</w:t>
            </w:r>
            <w:r>
              <w:rPr>
                <w:rFonts w:hint="default" w:ascii="宋体" w:hAnsi="宋体" w:cs="宋体"/>
                <w:color w:val="auto"/>
                <w:szCs w:val="21"/>
                <w:highlight w:val="none"/>
                <w:u w:val="single"/>
              </w:rPr>
              <w:t>留意广州公共资源交易中心公布的日程安排，投标人可登录广州公共资源交易中心网站首页，点击“交易业务-建设工程”专栏中的“项目查询（日程安排、答疑纪要）”，输入项目编号或项目名称查询最新信息</w:t>
            </w:r>
            <w:r>
              <w:rPr>
                <w:rFonts w:hint="eastAsia" w:ascii="宋体" w:hAnsi="宋体" w:cs="宋体"/>
                <w:color w:val="auto"/>
                <w:szCs w:val="21"/>
                <w:highlight w:val="none"/>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18</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20.1</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Cs w:val="21"/>
                <w:highlight w:val="none"/>
              </w:rPr>
            </w:pPr>
            <w:r>
              <w:rPr>
                <w:rFonts w:hint="eastAsia" w:ascii="宋体" w:hAnsi="宋体" w:cs="宋体"/>
                <w:color w:val="auto"/>
                <w:szCs w:val="21"/>
                <w:highlight w:val="none"/>
              </w:rPr>
              <w:t>（技术标和经济标同时开标）</w:t>
            </w:r>
          </w:p>
          <w:p>
            <w:pPr>
              <w:keepNext w:val="0"/>
              <w:keepLines w:val="0"/>
              <w:numPr>
                <w:ilvl w:val="0"/>
                <w:numId w:val="2"/>
              </w:numPr>
              <w:suppressLineNumbers w:val="0"/>
              <w:spacing w:before="0" w:beforeAutospacing="0" w:after="0" w:afterAutospacing="0"/>
              <w:ind w:left="0" w:right="0"/>
              <w:rPr>
                <w:rFonts w:hint="default" w:ascii="宋体" w:hAnsi="宋体" w:cs="宋体"/>
                <w:color w:val="auto"/>
                <w:szCs w:val="21"/>
                <w:highlight w:val="none"/>
                <w:u w:val="single"/>
              </w:rPr>
            </w:pPr>
            <w:r>
              <w:rPr>
                <w:rFonts w:hint="eastAsia" w:ascii="宋体" w:hAnsi="宋体" w:cs="宋体"/>
                <w:color w:val="auto"/>
                <w:szCs w:val="21"/>
                <w:highlight w:val="none"/>
              </w:rPr>
              <w:t>开标开始时间：</w:t>
            </w:r>
            <w:r>
              <w:rPr>
                <w:rFonts w:hint="eastAsia" w:ascii="宋体" w:hAnsi="宋体" w:cs="宋体"/>
                <w:color w:val="auto"/>
                <w:szCs w:val="21"/>
                <w:highlight w:val="none"/>
                <w:u w:val="single"/>
              </w:rPr>
              <w:t>具体日程安排可在广州公共资源交易中心网站(http://www.gzggzy.cn)进行查询</w:t>
            </w:r>
            <w:r>
              <w:rPr>
                <w:rFonts w:hint="eastAsia" w:ascii="宋体" w:hAnsi="宋体" w:cs="宋体"/>
                <w:color w:val="auto"/>
                <w:szCs w:val="21"/>
                <w:highlight w:val="none"/>
              </w:rPr>
              <w:t>（与投标截止时间为同一时间），地点：</w:t>
            </w:r>
            <w:r>
              <w:rPr>
                <w:rFonts w:hint="eastAsia" w:ascii="宋体" w:hAnsi="宋体" w:cs="宋体"/>
                <w:color w:val="auto"/>
                <w:szCs w:val="21"/>
                <w:highlight w:val="none"/>
                <w:u w:val="single"/>
              </w:rPr>
              <w:t>具体安排可在广州公共资源交易中心网站(http://www.gzggzy.cn)进行查询。</w:t>
            </w:r>
            <w:r>
              <w:rPr>
                <w:rFonts w:hint="eastAsia" w:ascii="宋体" w:hAnsi="宋体" w:cs="宋体"/>
                <w:color w:val="auto"/>
                <w:szCs w:val="21"/>
                <w:highlight w:val="none"/>
              </w:rPr>
              <w:t>投标人也可选择参加在线开标，具体按照交易平台相关指南进行操作。</w:t>
            </w:r>
            <w:r>
              <w:rPr>
                <w:rFonts w:hint="eastAsia" w:ascii="宋体" w:hAnsi="宋体" w:cs="宋体"/>
                <w:color w:val="auto"/>
                <w:szCs w:val="21"/>
                <w:highlight w:val="none"/>
                <w:u w:val="single"/>
              </w:rPr>
              <w:t>详见：</w:t>
            </w:r>
            <w:r>
              <w:rPr>
                <w:rFonts w:hint="eastAsia"/>
                <w:color w:val="auto"/>
                <w:highlight w:val="none"/>
                <w:u w:val="single"/>
              </w:rPr>
              <w:t>广州公共资源交易中心网站</w:t>
            </w:r>
            <w:r>
              <w:rPr>
                <w:rFonts w:hint="eastAsia" w:ascii="宋体" w:hAnsi="宋体" w:cs="宋体"/>
                <w:color w:val="auto"/>
                <w:szCs w:val="21"/>
                <w:highlight w:val="none"/>
                <w:u w:val="single"/>
              </w:rPr>
              <w:t>。</w:t>
            </w:r>
          </w:p>
          <w:p>
            <w:pPr>
              <w:keepNext w:val="0"/>
              <w:keepLines w:val="0"/>
              <w:suppressLineNumbers w:val="0"/>
              <w:spacing w:before="0" w:beforeAutospacing="0" w:after="0" w:afterAutospacing="0"/>
              <w:ind w:left="0" w:right="0"/>
              <w:rPr>
                <w:rFonts w:hint="default" w:ascii="宋体" w:hAnsi="宋体" w:cs="宋体"/>
                <w:color w:val="auto"/>
                <w:szCs w:val="21"/>
                <w:highlight w:val="none"/>
                <w:u w:val="single"/>
              </w:rPr>
            </w:pPr>
            <w:r>
              <w:rPr>
                <w:rFonts w:hint="eastAsia" w:ascii="宋体" w:hAnsi="宋体" w:cs="宋体"/>
                <w:color w:val="auto"/>
                <w:szCs w:val="21"/>
                <w:highlight w:val="none"/>
                <w:lang w:bidi="ar"/>
              </w:rPr>
              <w:t>注：投标文件解密问题。投标人只用执行一次解密，招标人执行解密次数根据招标文件开标次数确定。</w:t>
            </w:r>
          </w:p>
          <w:p>
            <w:pPr>
              <w:keepNext w:val="0"/>
              <w:keepLines w:val="0"/>
              <w:suppressLineNumbers w:val="0"/>
              <w:spacing w:before="0" w:beforeAutospacing="0" w:after="0" w:afterAutospacing="0"/>
              <w:ind w:left="0" w:right="0"/>
              <w:rPr>
                <w:rFonts w:hint="default" w:ascii="宋体" w:hAnsi="宋体" w:cs="宋体"/>
                <w:color w:val="auto"/>
                <w:highlight w:val="none"/>
              </w:rPr>
            </w:pPr>
            <w:r>
              <w:rPr>
                <w:rFonts w:hint="eastAsia" w:ascii="宋体" w:hAnsi="宋体" w:cs="宋体"/>
                <w:color w:val="auto"/>
                <w:szCs w:val="21"/>
                <w:highlight w:val="none"/>
              </w:rPr>
              <w:t>2、递交投标文件备用光盘时间：</w:t>
            </w:r>
            <w:r>
              <w:rPr>
                <w:rFonts w:hint="eastAsia" w:ascii="宋体" w:hAnsi="宋体" w:cs="宋体"/>
                <w:color w:val="auto"/>
                <w:szCs w:val="21"/>
                <w:highlight w:val="none"/>
                <w:u w:val="single"/>
              </w:rPr>
              <w:t>具体日程安排可在广州公共资源交易中心网站(http://www.gzggzy.cn)进行查询</w:t>
            </w:r>
            <w:r>
              <w:rPr>
                <w:rFonts w:hint="eastAsia" w:ascii="宋体" w:hAnsi="宋体" w:cs="宋体"/>
                <w:color w:val="auto"/>
                <w:szCs w:val="21"/>
                <w:highlight w:val="none"/>
              </w:rPr>
              <w:t>；递交地点：</w:t>
            </w:r>
            <w:r>
              <w:rPr>
                <w:rFonts w:hint="eastAsia" w:ascii="宋体" w:hAnsi="宋体" w:cs="宋体"/>
                <w:color w:val="auto"/>
                <w:szCs w:val="21"/>
                <w:highlight w:val="none"/>
                <w:u w:val="single"/>
              </w:rPr>
              <w:t>具体安排可在广州公共资源交易中心网站(http://www.gzggzy.cn)进行查询</w:t>
            </w:r>
            <w:r>
              <w:rPr>
                <w:rFonts w:hint="eastAsia" w:ascii="宋体" w:hAnsi="宋体" w:cs="宋体"/>
                <w:color w:val="auto"/>
                <w:highlight w:val="none"/>
              </w:rPr>
              <w:t>。</w:t>
            </w:r>
            <w:r>
              <w:rPr>
                <w:rFonts w:hint="eastAsia" w:ascii="宋体" w:hAnsi="宋体" w:cs="宋体"/>
                <w:color w:val="auto"/>
                <w:szCs w:val="21"/>
                <w:highlight w:val="none"/>
              </w:rPr>
              <w:t>投标人也可选择参加在线开标，具体按照交易平台相关指南进行操作。详见：广州交易集团有限公司（广州公共资源交易中心）网站最新指引。</w:t>
            </w:r>
          </w:p>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highlight w:val="none"/>
              </w:rPr>
              <w:t>上述时间及地点是否有改变，请密切留意补充公告和招标答疑纪要的相关信息。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19</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26</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开标评标办法</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s="宋体"/>
                <w:color w:val="auto"/>
                <w:szCs w:val="21"/>
                <w:highlight w:val="none"/>
                <w:u w:val="single"/>
              </w:rPr>
            </w:pPr>
            <w:r>
              <w:rPr>
                <w:rFonts w:hint="eastAsia" w:ascii="宋体" w:hAnsi="宋体" w:cs="宋体"/>
                <w:color w:val="auto"/>
                <w:szCs w:val="21"/>
                <w:highlight w:val="none"/>
              </w:rPr>
              <w:t>方式一：</w:t>
            </w:r>
            <w:r>
              <w:rPr>
                <w:rFonts w:hint="eastAsia" w:ascii="宋体" w:hAnsi="宋体" w:cs="宋体"/>
                <w:color w:val="auto"/>
                <w:szCs w:val="21"/>
                <w:highlight w:val="none"/>
                <w:u w:val="single"/>
              </w:rPr>
              <w:t xml:space="preserve">选取方法七（适合综合评分办法四，技术标与经济标同时开启）； </w:t>
            </w:r>
          </w:p>
          <w:p>
            <w:pPr>
              <w:pStyle w:val="20"/>
              <w:keepNext w:val="0"/>
              <w:keepLines w:val="0"/>
              <w:suppressLineNumbers w:val="0"/>
              <w:spacing w:before="0" w:beforeAutospacing="0" w:afterAutospacing="0" w:line="380" w:lineRule="exact"/>
              <w:ind w:left="0" w:right="0"/>
              <w:rPr>
                <w:rFonts w:hint="default" w:ascii="宋体" w:hAnsi="宋体" w:cs="宋体"/>
                <w:color w:val="auto"/>
                <w:kern w:val="2"/>
                <w:sz w:val="21"/>
                <w:szCs w:val="21"/>
                <w:highlight w:val="none"/>
                <w:u w:val="single"/>
              </w:rPr>
            </w:pPr>
            <w:r>
              <w:rPr>
                <w:rFonts w:hint="eastAsia" w:ascii="宋体" w:hAnsi="宋体" w:cs="宋体"/>
                <w:color w:val="auto"/>
                <w:kern w:val="2"/>
                <w:sz w:val="21"/>
                <w:szCs w:val="21"/>
                <w:highlight w:val="none"/>
                <w:u w:val="single"/>
              </w:rPr>
              <w:t>投标人总得分=技术得分（满分</w:t>
            </w:r>
            <w:r>
              <w:rPr>
                <w:rFonts w:hint="eastAsia" w:ascii="宋体" w:hAnsi="宋体" w:cs="宋体"/>
                <w:color w:val="auto"/>
                <w:kern w:val="2"/>
                <w:sz w:val="21"/>
                <w:szCs w:val="21"/>
                <w:highlight w:val="none"/>
                <w:u w:val="single"/>
                <w:lang w:val="en-US" w:eastAsia="zh-CN"/>
              </w:rPr>
              <w:t>10</w:t>
            </w:r>
            <w:r>
              <w:rPr>
                <w:rFonts w:hint="eastAsia" w:ascii="宋体" w:hAnsi="宋体" w:cs="宋体"/>
                <w:color w:val="auto"/>
                <w:kern w:val="2"/>
                <w:sz w:val="21"/>
                <w:szCs w:val="21"/>
                <w:highlight w:val="none"/>
                <w:u w:val="single"/>
              </w:rPr>
              <w:t>0分）×</w:t>
            </w:r>
            <w:r>
              <w:rPr>
                <w:rFonts w:hint="eastAsia" w:ascii="宋体" w:hAnsi="宋体" w:cs="宋体"/>
                <w:color w:val="auto"/>
                <w:kern w:val="2"/>
                <w:sz w:val="21"/>
                <w:szCs w:val="21"/>
                <w:highlight w:val="none"/>
                <w:u w:val="single"/>
                <w:lang w:val="en-US" w:eastAsia="zh-CN"/>
              </w:rPr>
              <w:t>技术</w:t>
            </w:r>
            <w:r>
              <w:rPr>
                <w:rFonts w:hint="eastAsia" w:ascii="宋体" w:hAnsi="宋体" w:cs="宋体"/>
                <w:color w:val="auto"/>
                <w:kern w:val="2"/>
                <w:sz w:val="21"/>
                <w:szCs w:val="21"/>
                <w:highlight w:val="none"/>
                <w:u w:val="single"/>
              </w:rPr>
              <w:t>得分权重(</w:t>
            </w:r>
            <w:r>
              <w:rPr>
                <w:rFonts w:hint="eastAsia" w:ascii="宋体" w:hAnsi="宋体" w:cs="宋体"/>
                <w:color w:val="auto"/>
                <w:kern w:val="2"/>
                <w:sz w:val="21"/>
                <w:szCs w:val="21"/>
                <w:highlight w:val="none"/>
                <w:u w:val="single"/>
                <w:lang w:val="en-US" w:eastAsia="zh-CN"/>
              </w:rPr>
              <w:t>7</w:t>
            </w:r>
            <w:r>
              <w:rPr>
                <w:rFonts w:hint="eastAsia" w:ascii="宋体" w:hAnsi="宋体" w:cs="宋体"/>
                <w:color w:val="auto"/>
                <w:kern w:val="2"/>
                <w:sz w:val="21"/>
                <w:szCs w:val="21"/>
                <w:highlight w:val="none"/>
                <w:u w:val="single"/>
              </w:rPr>
              <w:t>0%)＋经济得分（满分100分）×经济得分权重(</w:t>
            </w:r>
            <w:r>
              <w:rPr>
                <w:rFonts w:hint="eastAsia" w:ascii="宋体" w:hAnsi="宋体" w:cs="宋体"/>
                <w:color w:val="auto"/>
                <w:kern w:val="2"/>
                <w:sz w:val="21"/>
                <w:szCs w:val="21"/>
                <w:highlight w:val="none"/>
                <w:u w:val="single"/>
                <w:lang w:val="en-US" w:eastAsia="zh-CN"/>
              </w:rPr>
              <w:t>3</w:t>
            </w:r>
            <w:r>
              <w:rPr>
                <w:rFonts w:hint="eastAsia" w:ascii="宋体" w:hAnsi="宋体" w:cs="宋体"/>
                <w:color w:val="auto"/>
                <w:kern w:val="2"/>
                <w:sz w:val="21"/>
                <w:szCs w:val="21"/>
                <w:highlight w:val="none"/>
                <w:u w:val="single"/>
              </w:rPr>
              <w:t>0%)</w:t>
            </w:r>
          </w:p>
          <w:p>
            <w:pPr>
              <w:pStyle w:val="10"/>
              <w:keepNext w:val="0"/>
              <w:keepLines w:val="0"/>
              <w:suppressLineNumbers w:val="0"/>
              <w:spacing w:before="0" w:beforeAutospacing="0" w:afterAutospacing="0"/>
              <w:ind w:left="0" w:right="0"/>
              <w:textAlignment w:val="baseline"/>
              <w:rPr>
                <w:rFonts w:hint="default" w:ascii="宋体" w:hAnsi="宋体"/>
                <w:color w:val="auto"/>
                <w:kern w:val="2"/>
                <w:sz w:val="21"/>
                <w:szCs w:val="21"/>
                <w:highlight w:val="none"/>
              </w:rPr>
            </w:pPr>
            <w:r>
              <w:rPr>
                <w:rFonts w:hint="eastAsia" w:ascii="宋体" w:hAnsi="宋体" w:cs="宋体"/>
                <w:color w:val="auto"/>
                <w:sz w:val="21"/>
                <w:szCs w:val="21"/>
                <w:highlight w:val="none"/>
                <w:u w:val="single"/>
              </w:rPr>
              <w:t>总得分相同的投标文件，以技术分较高的排前；技术分均相同的投标文件，以投标报价较低的排前；如仍存在相同情况，则对具有相同情况的投标人，由评标委员会采用以差额选举的记名投票方式决定先后顺序，确定投标人的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w:t>
            </w:r>
            <w:r>
              <w:rPr>
                <w:rFonts w:hint="eastAsia" w:ascii="宋体" w:hAnsi="宋体"/>
                <w:color w:val="auto"/>
                <w:szCs w:val="21"/>
                <w:highlight w:val="none"/>
              </w:rPr>
              <w:t>0</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29.1</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olor w:val="auto"/>
                <w:highlight w:val="none"/>
                <w:u w:val="single"/>
                <w:lang w:eastAsia="zh-CN"/>
              </w:rPr>
            </w:pPr>
            <w:r>
              <w:rPr>
                <w:rFonts w:hint="eastAsia" w:ascii="宋体" w:hAnsi="宋体"/>
                <w:color w:val="auto"/>
                <w:highlight w:val="none"/>
                <w:u w:val="single"/>
              </w:rPr>
              <w:t>方式一：中标人提供的履约保证金为中标价款的10%。</w:t>
            </w:r>
          </w:p>
          <w:p>
            <w:pPr>
              <w:keepNext w:val="0"/>
              <w:keepLines w:val="0"/>
              <w:suppressLineNumbers w:val="0"/>
              <w:spacing w:before="0" w:beforeAutospacing="0" w:after="0" w:afterAutospacing="0"/>
              <w:ind w:left="0" w:right="0"/>
              <w:rPr>
                <w:rFonts w:hint="default" w:ascii="宋体" w:hAnsi="宋体"/>
                <w:color w:val="auto"/>
                <w:highlight w:val="none"/>
              </w:rPr>
            </w:pPr>
            <w:r>
              <w:rPr>
                <w:rFonts w:hint="eastAsia" w:ascii="宋体" w:hAnsi="宋体"/>
                <w:color w:val="auto"/>
                <w:highlight w:val="none"/>
                <w:u w:val="single"/>
              </w:rPr>
              <w:t>中标人的履约担保可采用以现金、银行保函、保证保险、专业担保公司担保等的形式提供。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w:t>
            </w:r>
            <w:r>
              <w:rPr>
                <w:rFonts w:hint="eastAsia" w:ascii="宋体" w:hAnsi="宋体"/>
                <w:color w:val="auto"/>
                <w:szCs w:val="21"/>
                <w:highlight w:val="none"/>
              </w:rPr>
              <w:t>1</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本项目最高投标限价为人民币</w:t>
            </w:r>
            <w:r>
              <w:rPr>
                <w:rFonts w:hint="eastAsia" w:ascii="宋体" w:hAnsi="宋体" w:cs="宋体"/>
                <w:color w:val="auto"/>
                <w:szCs w:val="21"/>
                <w:highlight w:val="none"/>
                <w:u w:val="single"/>
                <w:lang w:eastAsia="zh-CN"/>
              </w:rPr>
              <w:t>1422642.21</w:t>
            </w:r>
            <w:r>
              <w:rPr>
                <w:rFonts w:hint="eastAsia" w:ascii="宋体" w:hAnsi="宋体" w:cs="宋体"/>
                <w:color w:val="auto"/>
                <w:szCs w:val="21"/>
                <w:highlight w:val="none"/>
              </w:rPr>
              <w:t>元。</w:t>
            </w:r>
            <w:r>
              <w:rPr>
                <w:rFonts w:hint="default" w:ascii="宋体" w:hAnsi="宋体" w:cs="宋体"/>
                <w:color w:val="auto"/>
                <w:szCs w:val="21"/>
                <w:highlight w:val="none"/>
                <w:u w:val="single"/>
              </w:rPr>
              <w:t>投标报价高于招标控制价的投标文件将不通过经济标有效性审查。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w:t>
            </w:r>
            <w:r>
              <w:rPr>
                <w:rFonts w:hint="eastAsia" w:ascii="宋体" w:hAnsi="宋体"/>
                <w:color w:val="auto"/>
                <w:szCs w:val="21"/>
                <w:highlight w:val="none"/>
              </w:rPr>
              <w:t>2</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Cs w:val="21"/>
                <w:highlight w:val="none"/>
                <w:u w:val="single"/>
              </w:rPr>
            </w:pPr>
            <w:r>
              <w:rPr>
                <w:rFonts w:hint="eastAsia" w:ascii="宋体" w:hAnsi="宋体" w:cs="宋体"/>
                <w:color w:val="auto"/>
                <w:highlight w:val="none"/>
                <w:u w:val="single"/>
              </w:rPr>
              <w:t>本项目绿色施工安全防护措施费</w:t>
            </w:r>
            <w:r>
              <w:rPr>
                <w:rFonts w:hint="eastAsia" w:ascii="宋体" w:hAnsi="宋体" w:cs="宋体"/>
                <w:color w:val="auto"/>
                <w:szCs w:val="21"/>
                <w:highlight w:val="none"/>
                <w:u w:val="single"/>
              </w:rPr>
              <w:t>为</w:t>
            </w:r>
            <w:r>
              <w:rPr>
                <w:rFonts w:hint="eastAsia" w:ascii="宋体" w:hAnsi="宋体" w:cs="宋体"/>
                <w:color w:val="auto"/>
                <w:szCs w:val="21"/>
                <w:highlight w:val="none"/>
                <w:u w:val="single"/>
                <w:lang w:eastAsia="zh-CN"/>
              </w:rPr>
              <w:t>120487.84</w:t>
            </w:r>
            <w:r>
              <w:rPr>
                <w:rFonts w:hint="eastAsia" w:ascii="宋体" w:hAnsi="宋体" w:cs="宋体"/>
                <w:color w:val="auto"/>
                <w:szCs w:val="21"/>
                <w:highlight w:val="none"/>
                <w:u w:val="single"/>
              </w:rPr>
              <w:t>元，暂列金额</w:t>
            </w:r>
          </w:p>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u w:val="single"/>
              </w:rPr>
              <w:t>为</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single"/>
              </w:rPr>
              <w:t>元，暂估价为0元。</w:t>
            </w:r>
            <w:r>
              <w:rPr>
                <w:rFonts w:hint="eastAsia" w:ascii="宋体" w:hAnsi="宋体" w:cs="宋体"/>
                <w:color w:val="auto"/>
                <w:highlight w:val="none"/>
                <w:u w:val="single"/>
              </w:rPr>
              <w:t>（未按招标文件规定的金额填写的，由评标委员会按照招标文件规定的金额进行修正）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23</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suppressLineNumbers w:val="0"/>
              <w:spacing w:before="0" w:beforeAutospacing="0" w:after="0" w:afterAutospacing="0"/>
              <w:ind w:left="0" w:right="0" w:firstLine="0"/>
              <w:rPr>
                <w:rFonts w:hint="default" w:ascii="宋体" w:hAnsi="宋体"/>
                <w:color w:val="auto"/>
                <w:kern w:val="2"/>
                <w:sz w:val="21"/>
                <w:szCs w:val="21"/>
                <w:highlight w:val="none"/>
              </w:rPr>
            </w:pPr>
            <w:r>
              <w:rPr>
                <w:rFonts w:hint="eastAsia" w:ascii="宋体" w:hAnsi="宋体"/>
                <w:color w:val="auto"/>
                <w:kern w:val="2"/>
                <w:sz w:val="21"/>
                <w:szCs w:val="21"/>
                <w:highlight w:val="none"/>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default" w:ascii="宋体" w:hAnsi="宋体"/>
                <w:color w:val="auto"/>
                <w:szCs w:val="21"/>
                <w:highlight w:val="none"/>
              </w:rPr>
              <w:t>2</w:t>
            </w:r>
            <w:r>
              <w:rPr>
                <w:rFonts w:hint="eastAsia" w:ascii="宋体" w:hAnsi="宋体"/>
                <w:color w:val="auto"/>
                <w:szCs w:val="21"/>
                <w:highlight w:val="none"/>
              </w:rPr>
              <w:t>4</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strike/>
                <w:color w:val="auto"/>
                <w:szCs w:val="21"/>
                <w:highlight w:val="none"/>
              </w:rPr>
              <w:t>计算评标参考价的等分点值</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strike/>
                <w:color w:val="auto"/>
                <w:szCs w:val="21"/>
                <w:highlight w:val="none"/>
              </w:rPr>
              <w:t>计算评标参考价的等分点值X在开标前从[0,100]的整数中通过摇珠机随机抽取。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olor w:val="auto"/>
                <w:szCs w:val="21"/>
                <w:highlight w:val="none"/>
              </w:rPr>
              <w:t>25</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firstLine="458"/>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s="宋体"/>
                <w:strike/>
                <w:color w:val="auto"/>
                <w:szCs w:val="21"/>
                <w:highlight w:val="none"/>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s="宋体"/>
                <w:strike/>
                <w:color w:val="auto"/>
                <w:szCs w:val="21"/>
                <w:highlight w:val="none"/>
              </w:rPr>
            </w:pPr>
            <w:r>
              <w:rPr>
                <w:rFonts w:hint="eastAsia" w:ascii="宋体" w:hAnsi="宋体" w:cs="宋体"/>
                <w:strike/>
                <w:color w:val="auto"/>
                <w:szCs w:val="21"/>
                <w:highlight w:val="none"/>
              </w:rPr>
              <w:fldChar w:fldCharType="begin"/>
            </w:r>
            <w:r>
              <w:rPr>
                <w:rFonts w:hint="eastAsia" w:ascii="宋体" w:hAnsi="宋体" w:cs="宋体"/>
                <w:strike/>
                <w:color w:val="auto"/>
                <w:szCs w:val="21"/>
                <w:highlight w:val="none"/>
              </w:rPr>
              <w:instrText xml:space="preserve"> = 1 \* GB3 </w:instrText>
            </w:r>
            <w:r>
              <w:rPr>
                <w:rFonts w:hint="eastAsia" w:ascii="宋体" w:hAnsi="宋体" w:cs="宋体"/>
                <w:strike/>
                <w:color w:val="auto"/>
                <w:szCs w:val="21"/>
                <w:highlight w:val="none"/>
              </w:rPr>
              <w:fldChar w:fldCharType="separate"/>
            </w:r>
            <w:r>
              <w:rPr>
                <w:rFonts w:hint="eastAsia" w:ascii="宋体" w:hAnsi="宋体" w:cs="宋体"/>
                <w:strike/>
                <w:color w:val="auto"/>
                <w:szCs w:val="21"/>
                <w:highlight w:val="none"/>
              </w:rPr>
              <w:t>①</w:t>
            </w:r>
            <w:r>
              <w:rPr>
                <w:rFonts w:hint="eastAsia" w:ascii="宋体" w:hAnsi="宋体" w:cs="宋体"/>
                <w:strike/>
                <w:color w:val="auto"/>
                <w:szCs w:val="21"/>
                <w:highlight w:val="none"/>
              </w:rPr>
              <w:fldChar w:fldCharType="end"/>
            </w:r>
            <w:r>
              <w:rPr>
                <w:rFonts w:hint="eastAsia" w:ascii="宋体" w:hAnsi="宋体" w:cs="宋体"/>
                <w:strike/>
                <w:color w:val="auto"/>
                <w:szCs w:val="21"/>
                <w:highlight w:val="none"/>
              </w:rPr>
              <w:t>通过技术有效性审查的投标人均进入第二阶段（适用于通过技术有效性审查家数在[3,]中的）。</w:t>
            </w:r>
          </w:p>
          <w:p>
            <w:pPr>
              <w:keepNext w:val="0"/>
              <w:keepLines w:val="0"/>
              <w:suppressLineNumbers w:val="0"/>
              <w:spacing w:before="0" w:beforeAutospacing="0" w:after="0" w:afterAutospacing="0" w:line="380" w:lineRule="exact"/>
              <w:ind w:left="0" w:right="0"/>
              <w:rPr>
                <w:rFonts w:hint="default" w:ascii="宋体" w:hAnsi="宋体" w:cs="宋体"/>
                <w:strike/>
                <w:color w:val="auto"/>
                <w:szCs w:val="21"/>
                <w:highlight w:val="none"/>
              </w:rPr>
            </w:pPr>
            <w:r>
              <w:rPr>
                <w:rFonts w:hint="eastAsia" w:ascii="宋体" w:hAnsi="宋体" w:cs="宋体"/>
                <w:strike/>
                <w:color w:val="auto"/>
                <w:szCs w:val="21"/>
                <w:highlight w:val="none"/>
              </w:rPr>
              <w:fldChar w:fldCharType="begin"/>
            </w:r>
            <w:r>
              <w:rPr>
                <w:rFonts w:hint="eastAsia" w:ascii="宋体" w:hAnsi="宋体" w:cs="宋体"/>
                <w:strike/>
                <w:color w:val="auto"/>
                <w:szCs w:val="21"/>
                <w:highlight w:val="none"/>
              </w:rPr>
              <w:instrText xml:space="preserve"> = 2 \* GB3 </w:instrText>
            </w:r>
            <w:r>
              <w:rPr>
                <w:rFonts w:hint="eastAsia" w:ascii="宋体" w:hAnsi="宋体" w:cs="宋体"/>
                <w:strike/>
                <w:color w:val="auto"/>
                <w:szCs w:val="21"/>
                <w:highlight w:val="none"/>
              </w:rPr>
              <w:fldChar w:fldCharType="separate"/>
            </w:r>
            <w:r>
              <w:rPr>
                <w:rFonts w:hint="eastAsia" w:ascii="宋体" w:hAnsi="宋体" w:cs="宋体"/>
                <w:strike/>
                <w:color w:val="auto"/>
                <w:szCs w:val="21"/>
                <w:highlight w:val="none"/>
              </w:rPr>
              <w:t>②</w:t>
            </w:r>
            <w:r>
              <w:rPr>
                <w:rFonts w:hint="eastAsia" w:ascii="宋体" w:hAnsi="宋体" w:cs="宋体"/>
                <w:strike/>
                <w:color w:val="auto"/>
                <w:szCs w:val="21"/>
                <w:highlight w:val="none"/>
              </w:rPr>
              <w:fldChar w:fldCharType="end"/>
            </w:r>
            <w:r>
              <w:rPr>
                <w:rFonts w:hint="eastAsia" w:ascii="宋体" w:hAnsi="宋体" w:cs="宋体"/>
                <w:strike/>
                <w:color w:val="auto"/>
                <w:szCs w:val="21"/>
                <w:highlight w:val="none"/>
              </w:rPr>
              <w:t>将第一阶段得分由高至低排序，前名投标人进入第二阶段评审（适用于通过技术有效性审查家数大于家的，招标人可根据工程具体情况，确定不少于家进入第二阶段）。</w:t>
            </w:r>
          </w:p>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s="宋体"/>
                <w:strike/>
                <w:color w:val="auto"/>
                <w:szCs w:val="21"/>
                <w:highlight w:val="none"/>
              </w:rPr>
              <w:t>注：本款适用于选择评标办法一至评标办法六。进入第二阶段的投标人家数应符合行政监管部门的要求。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26</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工程成本警戒价为</w:t>
            </w:r>
            <w:r>
              <w:rPr>
                <w:rFonts w:hint="eastAsia" w:ascii="宋体" w:hAnsi="宋体"/>
                <w:color w:val="auto"/>
                <w:szCs w:val="21"/>
                <w:highlight w:val="none"/>
                <w:u w:val="single"/>
                <w:lang w:val="en-US" w:eastAsia="zh-CN"/>
              </w:rPr>
              <w:t>1282881.48</w:t>
            </w:r>
            <w:r>
              <w:rPr>
                <w:rFonts w:hint="eastAsia" w:ascii="宋体" w:hAnsi="宋体"/>
                <w:color w:val="auto"/>
                <w:szCs w:val="21"/>
                <w:highlight w:val="none"/>
              </w:rPr>
              <w:t>元</w:t>
            </w:r>
            <w:r>
              <w:rPr>
                <w:rFonts w:hint="eastAsia" w:ascii="宋体" w:hAnsi="宋体" w:cs="宋体"/>
                <w:color w:val="auto"/>
                <w:szCs w:val="21"/>
                <w:highlight w:val="none"/>
                <w:u w:val="single"/>
              </w:rPr>
              <w:t>(按招标控制价的9</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single"/>
              </w:rPr>
              <w:t>%设置）</w:t>
            </w:r>
            <w:r>
              <w:rPr>
                <w:rFonts w:hint="eastAsia" w:ascii="宋体" w:hAnsi="宋体"/>
                <w:color w:val="auto"/>
                <w:szCs w:val="21"/>
                <w:highlight w:val="none"/>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工程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keepNext w:val="0"/>
              <w:keepLines w:val="0"/>
              <w:suppressLineNumbers w:val="0"/>
              <w:spacing w:before="0" w:beforeAutospacing="0" w:after="0" w:afterAutospacing="0"/>
              <w:ind w:left="0" w:right="0"/>
              <w:rPr>
                <w:rFonts w:hint="default" w:ascii="宋体" w:hAnsi="宋体"/>
                <w:color w:val="auto"/>
                <w:szCs w:val="21"/>
                <w:highlight w:val="none"/>
                <w:u w:val="single"/>
              </w:rPr>
            </w:pPr>
            <w:r>
              <w:rPr>
                <w:rFonts w:hint="eastAsia" w:ascii="宋体" w:hAnsi="宋体"/>
                <w:color w:val="auto"/>
                <w:szCs w:val="21"/>
                <w:highlight w:val="none"/>
              </w:rPr>
              <w:t>注：为充分体现招标人意愿及落实项目招标人负责制，工程成本警戒价由招标人决定。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olor w:val="auto"/>
                <w:szCs w:val="21"/>
                <w:highlight w:val="none"/>
              </w:rPr>
              <w:t>27</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s="宋体"/>
                <w:strike/>
                <w:color w:val="auto"/>
                <w:szCs w:val="21"/>
                <w:highlight w:val="none"/>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s="宋体"/>
                <w:bCs/>
                <w:strike/>
                <w:color w:val="auto"/>
                <w:szCs w:val="21"/>
                <w:highlight w:val="none"/>
              </w:rPr>
            </w:pPr>
            <w:r>
              <w:rPr>
                <w:rFonts w:hint="eastAsia" w:ascii="宋体" w:hAnsi="宋体" w:cs="宋体"/>
                <w:bCs/>
                <w:strike/>
                <w:color w:val="auto"/>
                <w:szCs w:val="21"/>
                <w:highlight w:val="none"/>
              </w:rPr>
              <w:t>技术分权重为    %，综合诚信评价分数权重为    %。</w:t>
            </w:r>
          </w:p>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s="宋体"/>
                <w:bCs/>
                <w:strike/>
                <w:color w:val="auto"/>
                <w:szCs w:val="21"/>
                <w:highlight w:val="none"/>
              </w:rPr>
              <w:t>注：综合诚信评价得分权重按《关于诚信综合评价在招标投标环节中应用的指引》（招标投标指引2020年第6期）规定执行，招标人可在[0,20%]选择。技术分权重=100%-综合诚信评价得分权重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28</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olor w:val="auto"/>
                <w:szCs w:val="21"/>
                <w:highlight w:val="none"/>
              </w:rPr>
              <w:t>29</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olor w:val="auto"/>
                <w:szCs w:val="21"/>
                <w:highlight w:val="none"/>
              </w:rPr>
              <w:t>企业综合诚信评价分数</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s="宋体"/>
                <w:color w:val="auto"/>
                <w:szCs w:val="21"/>
                <w:highlight w:val="none"/>
                <w:u w:val="single"/>
              </w:rPr>
              <w:t>本项目不采用企业综合诚信分。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olor w:val="auto"/>
                <w:szCs w:val="21"/>
                <w:highlight w:val="none"/>
              </w:rPr>
              <w:t>30</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firstLine="458"/>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firstLine="458"/>
              <w:rPr>
                <w:rFonts w:hint="default" w:ascii="宋体" w:hAnsi="宋体"/>
                <w:color w:val="auto"/>
                <w:szCs w:val="21"/>
                <w:highlight w:val="none"/>
              </w:rPr>
            </w:pPr>
            <w:r>
              <w:rPr>
                <w:rFonts w:hint="eastAsia" w:ascii="宋体" w:hAnsi="宋体" w:cs="宋体"/>
                <w:strike/>
                <w:color w:val="auto"/>
                <w:szCs w:val="21"/>
                <w:highlight w:val="none"/>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s="宋体"/>
                <w:strike/>
                <w:color w:val="auto"/>
                <w:szCs w:val="21"/>
                <w:highlight w:val="none"/>
              </w:rPr>
            </w:pPr>
            <w:r>
              <w:rPr>
                <w:rFonts w:hint="eastAsia" w:ascii="宋体" w:hAnsi="宋体" w:cs="宋体"/>
                <w:strike/>
                <w:color w:val="auto"/>
                <w:szCs w:val="21"/>
                <w:highlight w:val="none"/>
              </w:rPr>
              <w:t>选取方法</w:t>
            </w:r>
          </w:p>
          <w:p>
            <w:pPr>
              <w:keepNext w:val="0"/>
              <w:keepLines w:val="0"/>
              <w:suppressLineNumbers w:val="0"/>
              <w:spacing w:before="0" w:beforeAutospacing="0" w:after="0" w:afterAutospacing="0" w:line="380" w:lineRule="exact"/>
              <w:ind w:left="0" w:right="0"/>
              <w:rPr>
                <w:rFonts w:hint="default" w:ascii="宋体" w:hAnsi="宋体" w:cs="宋体"/>
                <w:strike/>
                <w:color w:val="auto"/>
                <w:szCs w:val="21"/>
                <w:highlight w:val="none"/>
              </w:rPr>
            </w:pPr>
            <w:r>
              <w:rPr>
                <w:rFonts w:hint="eastAsia" w:ascii="宋体" w:hAnsi="宋体" w:cs="宋体"/>
                <w:strike/>
                <w:color w:val="auto"/>
                <w:szCs w:val="21"/>
                <w:highlight w:val="none"/>
              </w:rPr>
              <w:t xml:space="preserve">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 </w:t>
            </w:r>
          </w:p>
          <w:p>
            <w:pPr>
              <w:keepNext w:val="0"/>
              <w:keepLines w:val="0"/>
              <w:suppressLineNumbers w:val="0"/>
              <w:spacing w:before="0" w:beforeAutospacing="0" w:after="0" w:afterAutospacing="0" w:line="380" w:lineRule="exact"/>
              <w:ind w:left="0" w:right="0"/>
              <w:rPr>
                <w:rFonts w:hint="default" w:ascii="宋体" w:hAnsi="宋体" w:cs="宋体"/>
                <w:strike/>
                <w:color w:val="auto"/>
                <w:szCs w:val="21"/>
                <w:highlight w:val="none"/>
              </w:rPr>
            </w:pPr>
            <w:r>
              <w:rPr>
                <w:rFonts w:hint="eastAsia" w:ascii="宋体" w:hAnsi="宋体" w:cs="宋体"/>
                <w:strike/>
                <w:color w:val="auto"/>
                <w:szCs w:val="21"/>
                <w:highlight w:val="none"/>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pPr>
              <w:keepNext w:val="0"/>
              <w:keepLines w:val="0"/>
              <w:suppressLineNumbers w:val="0"/>
              <w:spacing w:before="0" w:beforeAutospacing="0" w:after="0" w:afterAutospacing="0" w:line="380" w:lineRule="exact"/>
              <w:ind w:left="0" w:right="0"/>
              <w:rPr>
                <w:rFonts w:hint="default" w:ascii="宋体" w:hAnsi="宋体" w:cs="宋体"/>
                <w:color w:val="auto"/>
                <w:szCs w:val="21"/>
                <w:highlight w:val="none"/>
                <w:u w:val="single"/>
              </w:rPr>
            </w:pPr>
            <w:r>
              <w:rPr>
                <w:rFonts w:hint="eastAsia" w:ascii="宋体" w:hAnsi="宋体" w:cs="宋体"/>
                <w:strike/>
                <w:color w:val="auto"/>
                <w:szCs w:val="21"/>
                <w:highlight w:val="none"/>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olor w:val="auto"/>
                <w:szCs w:val="21"/>
                <w:highlight w:val="none"/>
              </w:rPr>
              <w:t>31</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firstLine="458"/>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s="宋体"/>
                <w:strike/>
                <w:color w:val="auto"/>
                <w:szCs w:val="21"/>
                <w:highlight w:val="none"/>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s="宋体"/>
                <w:strike/>
                <w:color w:val="auto"/>
                <w:szCs w:val="21"/>
                <w:highlight w:val="none"/>
              </w:rPr>
            </w:pPr>
            <w:r>
              <w:rPr>
                <w:rFonts w:hint="eastAsia" w:ascii="宋体" w:hAnsi="宋体" w:cs="宋体"/>
                <w:strike/>
                <w:color w:val="auto"/>
                <w:szCs w:val="21"/>
                <w:highlight w:val="none"/>
              </w:rPr>
              <w:t>选取方法</w:t>
            </w:r>
          </w:p>
          <w:p>
            <w:pPr>
              <w:keepNext w:val="0"/>
              <w:keepLines w:val="0"/>
              <w:suppressLineNumbers w:val="0"/>
              <w:spacing w:before="0" w:beforeAutospacing="0" w:after="0" w:afterAutospacing="0" w:line="380" w:lineRule="exact"/>
              <w:ind w:left="0" w:right="0"/>
              <w:rPr>
                <w:rFonts w:hint="default" w:ascii="宋体" w:hAnsi="宋体" w:cs="宋体"/>
                <w:strike/>
                <w:color w:val="auto"/>
                <w:szCs w:val="21"/>
                <w:highlight w:val="none"/>
              </w:rPr>
            </w:pPr>
            <w:r>
              <w:rPr>
                <w:rFonts w:hint="eastAsia" w:ascii="宋体" w:hAnsi="宋体" w:cs="宋体"/>
                <w:strike/>
                <w:color w:val="auto"/>
                <w:szCs w:val="21"/>
                <w:highlight w:val="none"/>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pPr>
              <w:keepNext w:val="0"/>
              <w:keepLines w:val="0"/>
              <w:suppressLineNumbers w:val="0"/>
              <w:spacing w:before="0" w:beforeAutospacing="0" w:after="0" w:afterAutospacing="0" w:line="380" w:lineRule="exact"/>
              <w:ind w:left="0" w:right="0"/>
              <w:rPr>
                <w:rFonts w:hint="default" w:ascii="宋体" w:hAnsi="宋体" w:cs="宋体"/>
                <w:strike/>
                <w:color w:val="auto"/>
                <w:szCs w:val="21"/>
                <w:highlight w:val="none"/>
              </w:rPr>
            </w:pPr>
            <w:r>
              <w:rPr>
                <w:rFonts w:hint="eastAsia" w:ascii="宋体" w:hAnsi="宋体" w:cs="宋体"/>
                <w:strike/>
                <w:color w:val="auto"/>
                <w:szCs w:val="21"/>
                <w:highlight w:val="none"/>
              </w:rPr>
              <w:t>方法二：经济分相同的投标文件，由评标委员会采用随机方式，确定投标人的排序。</w:t>
            </w:r>
          </w:p>
          <w:p>
            <w:pPr>
              <w:keepNext w:val="0"/>
              <w:keepLines w:val="0"/>
              <w:suppressLineNumbers w:val="0"/>
              <w:spacing w:before="0" w:beforeAutospacing="0" w:after="0" w:afterAutospacing="0" w:line="380" w:lineRule="exact"/>
              <w:ind w:left="0" w:right="0" w:firstLine="210" w:firstLineChars="100"/>
              <w:rPr>
                <w:rFonts w:hint="default" w:ascii="宋体" w:hAnsi="宋体" w:cs="宋体"/>
                <w:color w:val="auto"/>
                <w:szCs w:val="21"/>
                <w:highlight w:val="none"/>
                <w:u w:val="single"/>
              </w:rPr>
            </w:pPr>
            <w:r>
              <w:rPr>
                <w:rFonts w:hint="eastAsia" w:ascii="宋体" w:hAnsi="宋体" w:cs="宋体"/>
                <w:strike/>
                <w:color w:val="auto"/>
                <w:szCs w:val="21"/>
                <w:highlight w:val="none"/>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olor w:val="auto"/>
                <w:szCs w:val="21"/>
                <w:highlight w:val="none"/>
              </w:rPr>
              <w:t>32</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firstLine="458"/>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olor w:val="auto"/>
                <w:szCs w:val="21"/>
                <w:highlight w:val="none"/>
              </w:rPr>
            </w:pPr>
            <w:r>
              <w:rPr>
                <w:rFonts w:hint="eastAsia" w:ascii="宋体" w:hAnsi="宋体" w:cs="宋体"/>
                <w:strike/>
                <w:color w:val="auto"/>
                <w:szCs w:val="21"/>
                <w:highlight w:val="none"/>
              </w:rPr>
              <w:t>第二阶段投标人名次的排序方法（适用于办法五、办法六）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380" w:lineRule="exact"/>
              <w:ind w:left="0" w:right="0"/>
              <w:rPr>
                <w:rFonts w:hint="default" w:ascii="宋体" w:hAnsi="宋体" w:cs="宋体"/>
                <w:strike/>
                <w:color w:val="auto"/>
                <w:szCs w:val="21"/>
                <w:highlight w:val="none"/>
              </w:rPr>
            </w:pPr>
            <w:r>
              <w:rPr>
                <w:rFonts w:hint="eastAsia" w:ascii="宋体" w:hAnsi="宋体" w:cs="宋体"/>
                <w:strike/>
                <w:color w:val="auto"/>
                <w:szCs w:val="21"/>
                <w:highlight w:val="none"/>
              </w:rPr>
              <w:t>选取方法</w:t>
            </w:r>
          </w:p>
          <w:p>
            <w:pPr>
              <w:keepNext w:val="0"/>
              <w:keepLines w:val="0"/>
              <w:suppressLineNumbers w:val="0"/>
              <w:spacing w:before="0" w:beforeAutospacing="0" w:after="0" w:afterAutospacing="0" w:line="380" w:lineRule="exact"/>
              <w:ind w:left="0" w:right="0"/>
              <w:rPr>
                <w:rFonts w:hint="default" w:ascii="宋体" w:hAnsi="宋体" w:cs="宋体"/>
                <w:strike/>
                <w:color w:val="auto"/>
                <w:szCs w:val="21"/>
                <w:highlight w:val="none"/>
              </w:rPr>
            </w:pPr>
            <w:r>
              <w:rPr>
                <w:rFonts w:hint="eastAsia" w:ascii="宋体" w:hAnsi="宋体" w:cs="宋体"/>
                <w:strike/>
                <w:color w:val="auto"/>
                <w:szCs w:val="21"/>
                <w:highlight w:val="none"/>
              </w:rPr>
              <w:t>方法一：评标委员会按照“总分=的公式，计算各有效投标文件的总分，并按照总分从高到低排序。总得分相同的投标文件，以报价较低的排前；总得分与报价均相同的投标文件，以较高的排前；总得分、报价与均相同的投标文件，以诚信综合评价分数高的排前；如仍存在相同情况，则对具有相同情况的投标人，由评标委员会采用随机方式，确定投标人的排序。</w:t>
            </w:r>
          </w:p>
          <w:p>
            <w:pPr>
              <w:keepNext w:val="0"/>
              <w:keepLines w:val="0"/>
              <w:suppressLineNumbers w:val="0"/>
              <w:spacing w:before="0" w:beforeAutospacing="0" w:after="0" w:afterAutospacing="0" w:line="380" w:lineRule="exact"/>
              <w:ind w:left="0" w:right="0"/>
              <w:rPr>
                <w:rFonts w:hint="default" w:ascii="宋体" w:hAnsi="宋体" w:cs="宋体"/>
                <w:color w:val="auto"/>
                <w:szCs w:val="21"/>
                <w:highlight w:val="none"/>
                <w:u w:val="single"/>
              </w:rPr>
            </w:pPr>
            <w:r>
              <w:rPr>
                <w:rFonts w:hint="eastAsia" w:ascii="宋体" w:hAnsi="宋体" w:cs="宋体"/>
                <w:strike/>
                <w:color w:val="auto"/>
                <w:szCs w:val="21"/>
                <w:highlight w:val="none"/>
              </w:rPr>
              <w:t xml:space="preserve">方法二：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33</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13.4</w:t>
            </w:r>
            <w:r>
              <w:rPr>
                <w:rFonts w:hint="eastAsia" w:ascii="宋体" w:hAnsi="宋体"/>
                <w:color w:val="auto"/>
                <w:szCs w:val="21"/>
                <w:highlight w:val="none"/>
              </w:rPr>
              <w:t>、</w:t>
            </w:r>
            <w:r>
              <w:rPr>
                <w:rFonts w:hint="default" w:ascii="宋体" w:hAnsi="宋体"/>
                <w:color w:val="auto"/>
                <w:szCs w:val="21"/>
                <w:highlight w:val="none"/>
              </w:rPr>
              <w:t>13.5.2</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u w:val="single"/>
              </w:rPr>
            </w:pPr>
            <w:r>
              <w:rPr>
                <w:rFonts w:hint="eastAsia" w:ascii="宋体" w:hAnsi="宋体" w:cs="宋体"/>
                <w:bCs/>
                <w:color w:val="auto"/>
                <w:szCs w:val="21"/>
                <w:highlight w:val="none"/>
                <w:u w:val="single"/>
              </w:rPr>
              <w:t>按招标文件及合同条款相关约定调整。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3</w:t>
            </w:r>
            <w:r>
              <w:rPr>
                <w:rFonts w:hint="eastAsia" w:ascii="宋体" w:hAnsi="宋体"/>
                <w:color w:val="auto"/>
                <w:szCs w:val="21"/>
                <w:highlight w:val="none"/>
              </w:rPr>
              <w:t>4</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kern w:val="0"/>
                <w:szCs w:val="21"/>
                <w:highlight w:val="none"/>
                <w:lang w:val="zh-CN"/>
              </w:rPr>
              <w:t>建设工程质量检测单位</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kern w:val="0"/>
                <w:szCs w:val="21"/>
                <w:highlight w:val="none"/>
                <w:lang w:val="zh-CN"/>
              </w:rPr>
            </w:pPr>
            <w:r>
              <w:rPr>
                <w:rFonts w:hint="eastAsia" w:ascii="宋体" w:hAnsi="宋体"/>
                <w:color w:val="auto"/>
                <w:kern w:val="0"/>
                <w:szCs w:val="21"/>
                <w:highlight w:val="none"/>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35</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kern w:val="0"/>
                <w:szCs w:val="21"/>
                <w:highlight w:val="none"/>
                <w:lang w:val="zh-CN"/>
              </w:rPr>
            </w:pPr>
            <w:r>
              <w:rPr>
                <w:rFonts w:hint="eastAsia" w:ascii="宋体" w:hAnsi="宋体"/>
                <w:color w:val="auto"/>
                <w:kern w:val="0"/>
                <w:szCs w:val="21"/>
                <w:highlight w:val="none"/>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kern w:val="0"/>
                <w:szCs w:val="21"/>
                <w:highlight w:val="none"/>
                <w:shd w:val="clear" w:color="auto" w:fill="FFFFFF"/>
                <w:lang w:val="zh-CN"/>
              </w:rPr>
            </w:pPr>
            <w:r>
              <w:rPr>
                <w:rFonts w:hint="eastAsia" w:ascii="宋体" w:hAnsi="宋体" w:cs="宋体"/>
                <w:color w:val="auto"/>
                <w:szCs w:val="21"/>
                <w:highlight w:val="none"/>
                <w:lang w:val="zh-CN"/>
              </w:rPr>
              <w:t>■</w:t>
            </w:r>
            <w:r>
              <w:rPr>
                <w:rFonts w:hint="eastAsia" w:ascii="宋体" w:hAnsi="宋体" w:cs="宋体"/>
                <w:color w:val="auto"/>
                <w:kern w:val="0"/>
                <w:szCs w:val="21"/>
                <w:highlight w:val="none"/>
                <w:shd w:val="clear" w:color="auto" w:fill="FFFFFF"/>
                <w:lang w:val="zh-CN"/>
              </w:rPr>
              <w:t>不允许；</w:t>
            </w:r>
          </w:p>
          <w:p>
            <w:pPr>
              <w:keepNext w:val="0"/>
              <w:keepLines w:val="0"/>
              <w:suppressLineNumbers w:val="0"/>
              <w:spacing w:before="0" w:beforeAutospacing="0" w:after="0" w:afterAutospacing="0"/>
              <w:ind w:left="0" w:right="0"/>
              <w:rPr>
                <w:rFonts w:hint="default" w:ascii="宋体" w:hAnsi="宋体" w:eastAsia="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zh-CN"/>
              </w:rPr>
              <w:t>□允许：分包内容要要求：</w:t>
            </w:r>
            <w:r>
              <w:rPr>
                <w:rFonts w:hint="eastAsia" w:ascii="宋体" w:hAnsi="宋体" w:cs="宋体"/>
                <w:color w:val="auto"/>
                <w:kern w:val="0"/>
                <w:szCs w:val="21"/>
                <w:highlight w:val="none"/>
                <w:shd w:val="clear" w:color="auto" w:fill="FFFFFF"/>
                <w:lang w:val="en-US" w:eastAsia="zh-CN"/>
              </w:rPr>
              <w:t>/</w:t>
            </w:r>
          </w:p>
          <w:p>
            <w:pPr>
              <w:keepNext w:val="0"/>
              <w:keepLines w:val="0"/>
              <w:suppressLineNumbers w:val="0"/>
              <w:spacing w:before="0" w:beforeAutospacing="0" w:after="0" w:afterAutospacing="0"/>
              <w:ind w:left="0" w:right="0"/>
              <w:rPr>
                <w:rFonts w:hint="default"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lang w:val="zh-CN"/>
              </w:rPr>
              <w:t xml:space="preserve">        分包金额要求：</w:t>
            </w:r>
            <w:r>
              <w:rPr>
                <w:rFonts w:hint="eastAsia" w:ascii="宋体" w:hAnsi="宋体" w:cs="宋体"/>
                <w:color w:val="auto"/>
                <w:kern w:val="0"/>
                <w:szCs w:val="21"/>
                <w:highlight w:val="none"/>
                <w:shd w:val="clear" w:color="auto" w:fill="FFFFFF"/>
              </w:rPr>
              <w:t>/</w:t>
            </w:r>
          </w:p>
          <w:p>
            <w:pPr>
              <w:keepNext w:val="0"/>
              <w:keepLines w:val="0"/>
              <w:suppressLineNumbers w:val="0"/>
              <w:spacing w:before="0" w:beforeAutospacing="0" w:after="0" w:afterAutospacing="0"/>
              <w:ind w:left="0" w:right="0"/>
              <w:rPr>
                <w:rFonts w:hint="default"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lang w:val="zh-CN"/>
              </w:rPr>
              <w:t xml:space="preserve">        对分包人的资质要求：</w:t>
            </w:r>
            <w:r>
              <w:rPr>
                <w:rFonts w:hint="eastAsia" w:ascii="宋体" w:hAnsi="宋体" w:cs="宋体"/>
                <w:color w:val="auto"/>
                <w:kern w:val="0"/>
                <w:szCs w:val="21"/>
                <w:highlight w:val="none"/>
                <w:shd w:val="clear" w:color="auto" w:fill="FFFFFF"/>
              </w:rPr>
              <w:t>/</w:t>
            </w:r>
          </w:p>
          <w:p>
            <w:pPr>
              <w:keepNext w:val="0"/>
              <w:keepLines w:val="0"/>
              <w:suppressLineNumbers w:val="0"/>
              <w:spacing w:before="0" w:beforeAutospacing="0" w:after="0" w:afterAutospacing="0"/>
              <w:ind w:left="0" w:right="0"/>
              <w:rPr>
                <w:rFonts w:hint="default" w:ascii="宋体" w:hAnsi="宋体"/>
                <w:color w:val="auto"/>
                <w:kern w:val="0"/>
                <w:szCs w:val="21"/>
                <w:highlight w:val="none"/>
              </w:rPr>
            </w:pPr>
            <w:r>
              <w:rPr>
                <w:rFonts w:hint="eastAsia" w:ascii="宋体" w:hAnsi="宋体" w:cs="宋体"/>
                <w:color w:val="auto"/>
                <w:kern w:val="0"/>
                <w:szCs w:val="21"/>
                <w:highlight w:val="none"/>
                <w:shd w:val="clear" w:color="auto" w:fill="FFFFFF"/>
                <w:lang w:val="zh-CN"/>
              </w:rPr>
              <w:t xml:space="preserve">        对分包人的其他要求：</w:t>
            </w:r>
            <w:r>
              <w:rPr>
                <w:rFonts w:hint="eastAsia" w:ascii="宋体" w:hAnsi="宋体" w:cs="宋体"/>
                <w:color w:val="auto"/>
                <w:kern w:val="0"/>
                <w:szCs w:val="21"/>
                <w:highlight w:val="none"/>
                <w:shd w:val="clear" w:color="auto" w:fill="FFFFFF"/>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36</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r>
              <w:rPr>
                <w:rFonts w:hint="eastAsia" w:ascii="宋体" w:hAnsi="宋体"/>
                <w:color w:val="auto"/>
                <w:highlight w:val="none"/>
              </w:rPr>
              <w:t>电子招标投标解密失败及突发情况的补救</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line="280" w:lineRule="exact"/>
              <w:ind w:left="0" w:right="0"/>
              <w:rPr>
                <w:rFonts w:hint="default" w:ascii="宋体" w:hAnsi="宋体" w:cs="Courier New"/>
                <w:color w:val="auto"/>
                <w:szCs w:val="21"/>
                <w:highlight w:val="none"/>
              </w:rPr>
            </w:pPr>
            <w:r>
              <w:rPr>
                <w:rFonts w:hint="eastAsia" w:ascii="宋体" w:hAnsi="宋体" w:cs="Courier New"/>
                <w:color w:val="auto"/>
                <w:szCs w:val="21"/>
                <w:highlight w:val="none"/>
              </w:rPr>
              <w:t>1、按照交易平台关于全流程电子化项目的相关指南进行操作。详见：</w:t>
            </w:r>
            <w:r>
              <w:rPr>
                <w:rFonts w:hint="eastAsia" w:ascii="宋体" w:hAnsi="宋体" w:cs="宋体"/>
                <w:color w:val="auto"/>
                <w:szCs w:val="21"/>
                <w:highlight w:val="none"/>
                <w:u w:val="single"/>
              </w:rPr>
              <w:t>广州公共资源交易中心网站</w:t>
            </w:r>
            <w:r>
              <w:rPr>
                <w:rFonts w:hint="eastAsia" w:ascii="宋体" w:hAnsi="宋体" w:cs="Courier New"/>
                <w:color w:val="auto"/>
                <w:szCs w:val="21"/>
                <w:highlight w:val="none"/>
              </w:rPr>
              <w:t>。</w:t>
            </w:r>
          </w:p>
          <w:p>
            <w:pPr>
              <w:keepNext w:val="0"/>
              <w:keepLines w:val="0"/>
              <w:suppressLineNumbers w:val="0"/>
              <w:spacing w:before="0" w:beforeAutospacing="0" w:after="0" w:afterAutospacing="0" w:line="280" w:lineRule="exact"/>
              <w:ind w:left="0" w:right="0"/>
              <w:rPr>
                <w:rFonts w:hint="default" w:ascii="宋体" w:hAnsi="宋体" w:cs="Courier New"/>
                <w:color w:val="auto"/>
                <w:szCs w:val="21"/>
                <w:highlight w:val="none"/>
              </w:rPr>
            </w:pPr>
            <w:r>
              <w:rPr>
                <w:rFonts w:hint="eastAsia" w:ascii="宋体" w:hAnsi="宋体" w:cs="Courier New"/>
                <w:color w:val="auto"/>
                <w:szCs w:val="21"/>
                <w:highlight w:val="none"/>
              </w:rPr>
              <w:t>2、提交投标文件光盘备用</w:t>
            </w:r>
          </w:p>
          <w:p>
            <w:pPr>
              <w:keepNext w:val="0"/>
              <w:keepLines w:val="0"/>
              <w:suppressLineNumbers w:val="0"/>
              <w:spacing w:before="0" w:beforeAutospacing="0" w:after="0" w:afterAutospacing="0" w:line="280" w:lineRule="exact"/>
              <w:ind w:left="0" w:right="0"/>
              <w:rPr>
                <w:rFonts w:hint="default" w:ascii="宋体" w:hAnsi="宋体" w:cs="Courier New"/>
                <w:color w:val="auto"/>
                <w:szCs w:val="21"/>
                <w:highlight w:val="none"/>
              </w:rPr>
            </w:pPr>
            <w:r>
              <w:rPr>
                <w:rFonts w:hint="eastAsia" w:ascii="宋体" w:hAnsi="宋体" w:cs="Courier New"/>
                <w:color w:val="auto"/>
                <w:szCs w:val="21"/>
                <w:highlight w:val="none"/>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keepNext w:val="0"/>
              <w:keepLines w:val="0"/>
              <w:suppressLineNumbers w:val="0"/>
              <w:spacing w:before="0" w:beforeAutospacing="0" w:after="0" w:afterAutospacing="0" w:line="280" w:lineRule="exact"/>
              <w:ind w:left="0" w:right="0"/>
              <w:rPr>
                <w:rFonts w:hint="default" w:ascii="宋体" w:hAnsi="宋体" w:cs="Courier New"/>
                <w:color w:val="auto"/>
                <w:szCs w:val="21"/>
                <w:highlight w:val="none"/>
              </w:rPr>
            </w:pPr>
            <w:r>
              <w:rPr>
                <w:rFonts w:hint="eastAsia" w:ascii="宋体" w:hAnsi="宋体" w:cs="Courier New"/>
                <w:color w:val="auto"/>
                <w:szCs w:val="21"/>
                <w:highlight w:val="none"/>
              </w:rPr>
              <w:t>3、补救方案</w:t>
            </w:r>
          </w:p>
          <w:p>
            <w:pPr>
              <w:keepNext w:val="0"/>
              <w:keepLines w:val="0"/>
              <w:suppressLineNumbers w:val="0"/>
              <w:spacing w:before="0" w:beforeAutospacing="0" w:after="0" w:afterAutospacing="0" w:line="280" w:lineRule="exact"/>
              <w:ind w:left="0" w:right="0"/>
              <w:rPr>
                <w:rFonts w:hint="default" w:ascii="宋体" w:hAnsi="宋体" w:cs="Courier New"/>
                <w:color w:val="auto"/>
                <w:szCs w:val="21"/>
                <w:highlight w:val="none"/>
              </w:rPr>
            </w:pPr>
            <w:r>
              <w:rPr>
                <w:rFonts w:hint="eastAsia" w:ascii="宋体" w:hAnsi="宋体" w:cs="Courier New"/>
                <w:color w:val="auto"/>
                <w:szCs w:val="21"/>
                <w:highlight w:val="none"/>
              </w:rPr>
              <w:t>（1）投标文件解密失败的补救方案：</w:t>
            </w:r>
          </w:p>
          <w:p>
            <w:pPr>
              <w:keepNext w:val="0"/>
              <w:keepLines w:val="0"/>
              <w:suppressLineNumbers w:val="0"/>
              <w:spacing w:before="0" w:beforeAutospacing="0" w:after="0" w:afterAutospacing="0" w:line="280" w:lineRule="exact"/>
              <w:ind w:left="0" w:right="0"/>
              <w:rPr>
                <w:rFonts w:hint="default" w:ascii="宋体" w:hAnsi="宋体" w:cs="Courier New"/>
                <w:color w:val="auto"/>
                <w:szCs w:val="21"/>
                <w:highlight w:val="none"/>
              </w:rPr>
            </w:pPr>
            <w:r>
              <w:rPr>
                <w:rFonts w:hint="eastAsia" w:ascii="宋体" w:hAnsi="宋体" w:cs="Courier New"/>
                <w:color w:val="auto"/>
                <w:szCs w:val="21"/>
                <w:highlight w:val="none"/>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keepNext w:val="0"/>
              <w:keepLines w:val="0"/>
              <w:suppressLineNumbers w:val="0"/>
              <w:spacing w:before="0" w:beforeAutospacing="0" w:after="0" w:afterAutospacing="0" w:line="280" w:lineRule="exact"/>
              <w:ind w:left="0" w:right="0"/>
              <w:rPr>
                <w:rFonts w:hint="default" w:ascii="宋体" w:hAnsi="宋体" w:cs="Courier New"/>
                <w:color w:val="auto"/>
                <w:szCs w:val="21"/>
                <w:highlight w:val="none"/>
              </w:rPr>
            </w:pPr>
            <w:r>
              <w:rPr>
                <w:rFonts w:hint="eastAsia" w:ascii="宋体" w:hAnsi="宋体" w:cs="Courier New"/>
                <w:color w:val="auto"/>
                <w:szCs w:val="21"/>
                <w:highlight w:val="none"/>
              </w:rPr>
              <w:t>（2）评标时突发情况的补救方案</w:t>
            </w:r>
          </w:p>
          <w:p>
            <w:pPr>
              <w:keepNext w:val="0"/>
              <w:keepLines w:val="0"/>
              <w:suppressLineNumbers w:val="0"/>
              <w:spacing w:before="0" w:beforeAutospacing="0" w:after="0" w:afterAutospacing="0" w:line="280" w:lineRule="exact"/>
              <w:ind w:left="0" w:right="0"/>
              <w:rPr>
                <w:rFonts w:hint="default" w:ascii="宋体" w:hAnsi="宋体" w:cs="Courier New"/>
                <w:color w:val="auto"/>
                <w:szCs w:val="21"/>
                <w:highlight w:val="none"/>
              </w:rPr>
            </w:pPr>
            <w:r>
              <w:rPr>
                <w:rFonts w:hint="eastAsia" w:ascii="宋体" w:hAnsi="宋体" w:cs="Courier New"/>
                <w:color w:val="auto"/>
                <w:szCs w:val="21"/>
                <w:highlight w:val="none"/>
              </w:rPr>
              <w:t>若遇不可抗力发生（指网络瘫痪、服务器损坏、交易系统故障短期无法恢复等因素），由评标委员会开启投标人递交的全部投标文件光盘，并按光盘内容进行评审。</w:t>
            </w:r>
          </w:p>
          <w:p>
            <w:pPr>
              <w:keepNext w:val="0"/>
              <w:keepLines w:val="0"/>
              <w:suppressLineNumbers w:val="0"/>
              <w:spacing w:before="0" w:beforeAutospacing="0" w:after="0" w:afterAutospacing="0" w:line="280" w:lineRule="exact"/>
              <w:ind w:left="0" w:right="0"/>
              <w:rPr>
                <w:rFonts w:hint="default" w:ascii="宋体" w:hAnsi="宋体" w:cs="Courier New"/>
                <w:color w:val="auto"/>
                <w:szCs w:val="21"/>
                <w:highlight w:val="none"/>
              </w:rPr>
            </w:pPr>
            <w:r>
              <w:rPr>
                <w:rFonts w:hint="eastAsia" w:ascii="宋体" w:hAnsi="宋体" w:cs="Courier New"/>
                <w:color w:val="auto"/>
                <w:szCs w:val="21"/>
                <w:highlight w:val="none"/>
              </w:rPr>
              <w:t>（3）除发生上述情况外，开标评标均以投标人通过</w:t>
            </w:r>
            <w:r>
              <w:rPr>
                <w:rFonts w:hint="eastAsia" w:ascii="宋体" w:hAnsi="宋体" w:cs="宋体"/>
                <w:color w:val="auto"/>
                <w:szCs w:val="21"/>
                <w:highlight w:val="none"/>
                <w:u w:val="single"/>
              </w:rPr>
              <w:t>广州交易集团有限公司（广州公共资源交易中心）</w:t>
            </w:r>
            <w:r>
              <w:rPr>
                <w:rFonts w:hint="eastAsia" w:ascii="宋体" w:hAnsi="宋体" w:cs="Courier New"/>
                <w:color w:val="auto"/>
                <w:szCs w:val="21"/>
                <w:highlight w:val="none"/>
              </w:rPr>
              <w:t>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37</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r>
              <w:rPr>
                <w:rStyle w:val="27"/>
                <w:rFonts w:hint="eastAsia" w:ascii="宋体" w:hAnsi="宋体" w:cs="宋体"/>
                <w:color w:val="auto"/>
                <w:kern w:val="0"/>
                <w:szCs w:val="21"/>
                <w:highlight w:val="none"/>
                <w:lang w:val="zh-CN"/>
              </w:rPr>
              <w:t>施工实名制</w:t>
            </w:r>
          </w:p>
        </w:tc>
        <w:tc>
          <w:tcPr>
            <w:tcW w:w="5857" w:type="dxa"/>
            <w:tcBorders>
              <w:top w:val="single" w:color="auto" w:sz="4" w:space="0"/>
              <w:left w:val="single" w:color="auto" w:sz="4" w:space="0"/>
              <w:bottom w:val="single" w:color="auto" w:sz="4" w:space="0"/>
              <w:right w:val="double" w:color="auto" w:sz="4" w:space="0"/>
            </w:tcBorders>
            <w:vAlign w:val="center"/>
          </w:tcPr>
          <w:p>
            <w:pPr>
              <w:pStyle w:val="28"/>
              <w:keepNext w:val="0"/>
              <w:keepLines w:val="0"/>
              <w:suppressLineNumbers w:val="0"/>
              <w:topLinePunct/>
              <w:spacing w:before="0" w:beforeAutospacing="0" w:after="0" w:afterAutospacing="0"/>
              <w:ind w:left="0" w:right="0"/>
              <w:rPr>
                <w:rFonts w:hint="default" w:ascii="宋体" w:hAnsi="宋体" w:cs="Courier New"/>
                <w:color w:val="auto"/>
                <w:szCs w:val="21"/>
                <w:highlight w:val="none"/>
              </w:rPr>
            </w:pPr>
            <w:r>
              <w:rPr>
                <w:rStyle w:val="27"/>
                <w:rFonts w:hint="eastAsia" w:ascii="宋体" w:hAnsi="宋体" w:cs="宋体"/>
                <w:color w:val="auto"/>
                <w:sz w:val="21"/>
                <w:szCs w:val="21"/>
                <w:highlight w:val="none"/>
              </w:rPr>
              <w:t>本工程按</w:t>
            </w:r>
            <w:r>
              <w:rPr>
                <w:rStyle w:val="27"/>
                <w:rFonts w:hint="eastAsia" w:ascii="宋体" w:hAnsi="宋体" w:cs="宋体"/>
                <w:color w:val="auto"/>
                <w:sz w:val="21"/>
                <w:szCs w:val="21"/>
                <w:highlight w:val="none"/>
                <w:lang w:val="en-US" w:eastAsia="zh-CN"/>
              </w:rPr>
              <w:t>当地有关</w:t>
            </w:r>
            <w:r>
              <w:rPr>
                <w:rStyle w:val="27"/>
                <w:rFonts w:hint="eastAsia" w:ascii="宋体" w:hAnsi="宋体" w:cs="宋体"/>
                <w:color w:val="auto"/>
                <w:sz w:val="21"/>
                <w:szCs w:val="21"/>
                <w:highlight w:val="none"/>
              </w:rPr>
              <w:t>规定，实施建筑施工实名制。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38</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r>
              <w:rPr>
                <w:rFonts w:hint="eastAsia" w:ascii="宋体" w:hAnsi="宋体" w:cs="宋体"/>
                <w:color w:val="auto"/>
                <w:szCs w:val="21"/>
                <w:highlight w:val="none"/>
              </w:rPr>
              <w:t>工人工资分账管理</w:t>
            </w:r>
          </w:p>
        </w:tc>
        <w:tc>
          <w:tcPr>
            <w:tcW w:w="5857" w:type="dxa"/>
            <w:tcBorders>
              <w:top w:val="single" w:color="auto" w:sz="4" w:space="0"/>
              <w:left w:val="single" w:color="auto" w:sz="4" w:space="0"/>
              <w:bottom w:val="single" w:color="auto" w:sz="4" w:space="0"/>
              <w:right w:val="double" w:color="auto" w:sz="4" w:space="0"/>
            </w:tcBorders>
            <w:vAlign w:val="center"/>
          </w:tcPr>
          <w:p>
            <w:pPr>
              <w:pStyle w:val="28"/>
              <w:keepNext w:val="0"/>
              <w:keepLines w:val="0"/>
              <w:suppressLineNumbers w:val="0"/>
              <w:topLinePunct/>
              <w:spacing w:before="0" w:beforeAutospacing="0" w:after="0" w:afterAutospacing="0"/>
              <w:ind w:left="0" w:right="0"/>
              <w:rPr>
                <w:rFonts w:hint="default" w:ascii="宋体" w:hAnsi="宋体" w:cs="Courier New"/>
                <w:color w:val="auto"/>
                <w:szCs w:val="21"/>
                <w:highlight w:val="none"/>
              </w:rPr>
            </w:pPr>
            <w:r>
              <w:rPr>
                <w:rFonts w:hint="eastAsia" w:ascii="宋体" w:hAnsi="宋体" w:cs="宋体"/>
                <w:color w:val="auto"/>
                <w:sz w:val="21"/>
                <w:szCs w:val="21"/>
                <w:highlight w:val="none"/>
              </w:rPr>
              <w:t>按相关法律法规要求执行。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39</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r>
              <w:rPr>
                <w:rFonts w:hint="eastAsia" w:ascii="宋体" w:hAnsi="宋体" w:cs="宋体"/>
                <w:color w:val="auto"/>
                <w:szCs w:val="21"/>
                <w:highlight w:val="none"/>
              </w:rPr>
              <w:t>中标公示后投标单位提交投标文件的要求</w:t>
            </w:r>
          </w:p>
        </w:tc>
        <w:tc>
          <w:tcPr>
            <w:tcW w:w="5857" w:type="dxa"/>
            <w:tcBorders>
              <w:top w:val="single" w:color="auto" w:sz="4" w:space="0"/>
              <w:left w:val="single" w:color="auto" w:sz="4" w:space="0"/>
              <w:bottom w:val="single" w:color="auto" w:sz="4" w:space="0"/>
              <w:right w:val="double" w:color="auto" w:sz="4" w:space="0"/>
            </w:tcBorders>
            <w:vAlign w:val="center"/>
          </w:tcPr>
          <w:p>
            <w:pPr>
              <w:pStyle w:val="28"/>
              <w:keepNext w:val="0"/>
              <w:keepLines w:val="0"/>
              <w:suppressLineNumbers w:val="0"/>
              <w:topLinePunct/>
              <w:spacing w:before="0" w:beforeAutospacing="0" w:after="0" w:afterAutospacing="0"/>
              <w:ind w:left="0" w:right="0"/>
              <w:rPr>
                <w:rFonts w:hint="default" w:ascii="宋体" w:hAnsi="宋体" w:cs="Courier New"/>
                <w:color w:val="auto"/>
                <w:szCs w:val="21"/>
                <w:highlight w:val="none"/>
              </w:rPr>
            </w:pPr>
            <w:r>
              <w:rPr>
                <w:rFonts w:hint="eastAsia" w:ascii="宋体" w:hAnsi="宋体" w:cs="宋体"/>
                <w:color w:val="auto"/>
                <w:sz w:val="21"/>
                <w:szCs w:val="21"/>
                <w:highlight w:val="none"/>
              </w:rPr>
              <w:t>中标单位在中标公示结束后三个工作日内向招标人分别提交1套纸质版及电子版投标文件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Cs w:val="21"/>
                <w:highlight w:val="none"/>
              </w:rPr>
            </w:pPr>
            <w:r>
              <w:rPr>
                <w:rFonts w:hint="eastAsia" w:ascii="宋体" w:hAnsi="宋体" w:cs="宋体"/>
                <w:color w:val="auto"/>
                <w:szCs w:val="21"/>
                <w:highlight w:val="none"/>
              </w:rPr>
              <w:t>40</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u w:val="single"/>
              </w:rPr>
              <w:t>招标人拒绝接收投标文件备用光盘的情况</w:t>
            </w:r>
          </w:p>
        </w:tc>
        <w:tc>
          <w:tcPr>
            <w:tcW w:w="5857" w:type="dxa"/>
            <w:tcBorders>
              <w:top w:val="single" w:color="auto" w:sz="4" w:space="0"/>
              <w:left w:val="single" w:color="auto" w:sz="4" w:space="0"/>
              <w:bottom w:val="single" w:color="auto" w:sz="4"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Cs w:val="21"/>
                <w:highlight w:val="none"/>
                <w:u w:val="single"/>
              </w:rPr>
            </w:pPr>
            <w:r>
              <w:rPr>
                <w:rFonts w:hint="eastAsia" w:ascii="宋体" w:hAnsi="宋体" w:cs="宋体"/>
                <w:color w:val="auto"/>
                <w:szCs w:val="21"/>
                <w:highlight w:val="none"/>
                <w:u w:val="single"/>
              </w:rPr>
              <w:t>1、在投标截止期后逾期或未在指定地点递交投标文件备用光盘的；</w:t>
            </w:r>
          </w:p>
          <w:p>
            <w:pPr>
              <w:keepNext w:val="0"/>
              <w:keepLines w:val="0"/>
              <w:suppressLineNumbers w:val="0"/>
              <w:spacing w:before="0" w:beforeAutospacing="0" w:after="0" w:afterAutospacing="0"/>
              <w:ind w:left="0" w:right="0"/>
              <w:rPr>
                <w:rFonts w:hint="default" w:ascii="宋体" w:hAnsi="宋体" w:cs="宋体"/>
                <w:color w:val="auto"/>
                <w:szCs w:val="21"/>
                <w:highlight w:val="none"/>
                <w:u w:val="single"/>
              </w:rPr>
            </w:pPr>
            <w:r>
              <w:rPr>
                <w:rFonts w:hint="eastAsia" w:ascii="宋体" w:hAnsi="宋体" w:cs="宋体"/>
                <w:color w:val="auto"/>
                <w:szCs w:val="21"/>
                <w:highlight w:val="none"/>
                <w:u w:val="single"/>
              </w:rPr>
              <w:t>2、投标文件备用光盘未按招标文件要求密封或未在密封处盖章的；</w:t>
            </w:r>
          </w:p>
          <w:p>
            <w:pPr>
              <w:pStyle w:val="28"/>
              <w:keepNext w:val="0"/>
              <w:keepLines w:val="0"/>
              <w:suppressLineNumbers w:val="0"/>
              <w:topLinePunct/>
              <w:spacing w:before="0" w:beforeAutospacing="0" w:after="0" w:afterAutospacing="0"/>
              <w:ind w:left="0" w:right="0"/>
              <w:rPr>
                <w:rFonts w:hint="default" w:ascii="宋体" w:hAnsi="宋体" w:cs="宋体"/>
                <w:color w:val="auto"/>
                <w:sz w:val="21"/>
                <w:szCs w:val="21"/>
                <w:highlight w:val="none"/>
              </w:rPr>
            </w:pPr>
            <w:r>
              <w:rPr>
                <w:rFonts w:hint="eastAsia" w:ascii="宋体" w:hAnsi="宋体" w:cs="宋体"/>
                <w:color w:val="auto"/>
                <w:sz w:val="21"/>
                <w:szCs w:val="21"/>
                <w:highlight w:val="none"/>
                <w:u w:val="single"/>
              </w:rPr>
              <w:t>3、投标人代表未凭法定代表人证明书（原件）、授权委托书原件（仅限于非法定代表人）、本人身份证原件递交投标文件备用光盘的。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Cs w:val="21"/>
                <w:highlight w:val="none"/>
              </w:rPr>
            </w:pPr>
            <w:r>
              <w:rPr>
                <w:rFonts w:hint="eastAsia" w:ascii="宋体" w:hAnsi="宋体" w:cs="宋体"/>
                <w:color w:val="auto"/>
                <w:szCs w:val="21"/>
                <w:highlight w:val="none"/>
              </w:rPr>
              <w:t>41</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u w:val="single"/>
              </w:rPr>
              <w:t>安全生产责任保险</w:t>
            </w:r>
          </w:p>
        </w:tc>
        <w:tc>
          <w:tcPr>
            <w:tcW w:w="5857" w:type="dxa"/>
            <w:tcBorders>
              <w:top w:val="single" w:color="auto" w:sz="4" w:space="0"/>
              <w:left w:val="single" w:color="auto" w:sz="4" w:space="0"/>
              <w:bottom w:val="single" w:color="auto" w:sz="4" w:space="0"/>
              <w:right w:val="double" w:color="auto" w:sz="4" w:space="0"/>
            </w:tcBorders>
            <w:vAlign w:val="center"/>
          </w:tcPr>
          <w:p>
            <w:pPr>
              <w:pStyle w:val="28"/>
              <w:keepNext w:val="0"/>
              <w:keepLines w:val="0"/>
              <w:suppressLineNumbers w:val="0"/>
              <w:topLinePunct/>
              <w:spacing w:before="0" w:beforeAutospacing="0" w:after="0" w:afterAutospacing="0"/>
              <w:ind w:left="0" w:right="0"/>
              <w:rPr>
                <w:rFonts w:hint="default" w:ascii="宋体" w:hAnsi="宋体" w:cs="宋体"/>
                <w:color w:val="auto"/>
                <w:sz w:val="21"/>
                <w:szCs w:val="21"/>
                <w:highlight w:val="none"/>
              </w:rPr>
            </w:pPr>
            <w:r>
              <w:rPr>
                <w:rFonts w:hint="eastAsia" w:ascii="宋体" w:hAnsi="宋体" w:cs="宋体"/>
                <w:color w:val="auto"/>
                <w:sz w:val="21"/>
                <w:szCs w:val="21"/>
                <w:highlight w:val="none"/>
                <w:u w:val="single"/>
              </w:rPr>
              <w:t>开工前中标人应当投保安全生产责任保险，且该保险保障场所应包含中标项目。投标人的投标报价视为包含该项目费用。中标人未按规定购买安全生产责任保险，招标人可视严重程度拒绝该单位一定时期内参与后续工程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Cs w:val="21"/>
                <w:highlight w:val="none"/>
              </w:rPr>
            </w:pPr>
            <w:r>
              <w:rPr>
                <w:rFonts w:hint="eastAsia" w:ascii="宋体" w:hAnsi="宋体" w:cs="宋体"/>
                <w:color w:val="auto"/>
                <w:szCs w:val="21"/>
                <w:highlight w:val="none"/>
              </w:rPr>
              <w:t>42</w:t>
            </w:r>
          </w:p>
        </w:tc>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u w:val="single"/>
              </w:rPr>
              <w:t>贯彻绿色发展理念</w:t>
            </w:r>
          </w:p>
        </w:tc>
        <w:tc>
          <w:tcPr>
            <w:tcW w:w="5857" w:type="dxa"/>
            <w:tcBorders>
              <w:top w:val="single" w:color="auto" w:sz="4" w:space="0"/>
              <w:left w:val="single" w:color="auto" w:sz="4" w:space="0"/>
              <w:bottom w:val="single" w:color="auto" w:sz="4" w:space="0"/>
              <w:right w:val="double" w:color="auto" w:sz="4" w:space="0"/>
            </w:tcBorders>
            <w:vAlign w:val="center"/>
          </w:tcPr>
          <w:p>
            <w:pPr>
              <w:pStyle w:val="28"/>
              <w:keepNext w:val="0"/>
              <w:keepLines w:val="0"/>
              <w:suppressLineNumbers w:val="0"/>
              <w:topLinePunct/>
              <w:spacing w:before="0" w:beforeAutospacing="0" w:after="0" w:afterAutospacing="0"/>
              <w:ind w:left="0" w:right="0"/>
              <w:rPr>
                <w:rFonts w:hint="default" w:ascii="宋体" w:hAnsi="宋体" w:cs="宋体"/>
                <w:color w:val="auto"/>
                <w:sz w:val="21"/>
                <w:szCs w:val="21"/>
                <w:highlight w:val="none"/>
              </w:rPr>
            </w:pPr>
            <w:r>
              <w:rPr>
                <w:rFonts w:hint="eastAsia" w:ascii="宋体" w:hAnsi="宋体" w:cs="宋体"/>
                <w:color w:val="auto"/>
                <w:sz w:val="21"/>
                <w:szCs w:val="21"/>
                <w:highlight w:val="none"/>
                <w:u w:val="single"/>
              </w:rPr>
              <w:t>为贯彻绿色发展理念，本项目鼓励投标人积极使用新能源建筑垃圾自卸车（渣土车）等新能源工程车及其他节能环保施工设备。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Cs w:val="21"/>
                <w:highlight w:val="none"/>
                <w:lang w:val="en-US" w:eastAsia="zh-CN"/>
              </w:rPr>
            </w:pPr>
            <w:bookmarkStart w:id="4" w:name="_Toc21525491"/>
            <w:bookmarkStart w:id="5" w:name="_Toc2272547"/>
            <w:r>
              <w:rPr>
                <w:rFonts w:hint="eastAsia" w:ascii="宋体" w:hAnsi="宋体" w:cs="宋体"/>
                <w:color w:val="auto"/>
                <w:szCs w:val="21"/>
                <w:highlight w:val="none"/>
                <w:lang w:val="en-US" w:eastAsia="zh-CN"/>
              </w:rPr>
              <w:t>43</w:t>
            </w:r>
          </w:p>
        </w:tc>
        <w:tc>
          <w:tcPr>
            <w:tcW w:w="911" w:type="dxa"/>
            <w:tcBorders>
              <w:top w:val="single" w:color="auto" w:sz="4" w:space="0"/>
              <w:left w:val="sing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p>
        </w:tc>
        <w:tc>
          <w:tcPr>
            <w:tcW w:w="1946" w:type="dxa"/>
            <w:tcBorders>
              <w:top w:val="single" w:color="auto" w:sz="4" w:space="0"/>
              <w:left w:val="sing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b w:val="0"/>
                <w:bCs/>
                <w:color w:val="auto"/>
                <w:sz w:val="21"/>
                <w:szCs w:val="21"/>
                <w:highlight w:val="none"/>
                <w:u w:val="single"/>
              </w:rPr>
            </w:pPr>
            <w:r>
              <w:rPr>
                <w:rFonts w:hint="eastAsia" w:ascii="宋体" w:hAnsi="宋体" w:cs="宋体"/>
                <w:b w:val="0"/>
                <w:bCs/>
                <w:color w:val="auto"/>
                <w:sz w:val="21"/>
                <w:szCs w:val="21"/>
                <w:highlight w:val="none"/>
                <w:u w:val="single"/>
              </w:rPr>
              <w:t>交易服务费</w:t>
            </w:r>
          </w:p>
        </w:tc>
        <w:tc>
          <w:tcPr>
            <w:tcW w:w="5857" w:type="dxa"/>
            <w:tcBorders>
              <w:top w:val="single" w:color="auto" w:sz="4" w:space="0"/>
              <w:left w:val="single" w:color="auto" w:sz="4" w:space="0"/>
              <w:bottom w:val="double" w:color="auto" w:sz="4" w:space="0"/>
              <w:right w:val="doub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cs="宋体"/>
                <w:b w:val="0"/>
                <w:bCs/>
                <w:color w:val="auto"/>
                <w:sz w:val="21"/>
                <w:szCs w:val="21"/>
                <w:highlight w:val="none"/>
                <w:u w:val="single"/>
              </w:rPr>
            </w:pPr>
            <w:r>
              <w:rPr>
                <w:rFonts w:hint="eastAsia" w:ascii="宋体" w:hAnsi="宋体" w:cs="宋体"/>
                <w:b w:val="0"/>
                <w:bCs/>
                <w:color w:val="auto"/>
                <w:sz w:val="21"/>
                <w:szCs w:val="21"/>
                <w:highlight w:val="none"/>
                <w:u w:val="single"/>
              </w:rPr>
              <w:t>中标人应向广州公共资源交易中心交纳公共资源交易服务费，交易服务费的缴纳按广州公共资源交易中心关于公共资源交易服务费标准相关规定执行，其费用包含在中标人投标报价中，招标人不另行支付。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636" w:type="dxa"/>
            <w:tcBorders>
              <w:top w:val="single" w:color="auto" w:sz="4" w:space="0"/>
              <w:left w:val="doub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44</w:t>
            </w:r>
          </w:p>
        </w:tc>
        <w:tc>
          <w:tcPr>
            <w:tcW w:w="911" w:type="dxa"/>
            <w:tcBorders>
              <w:top w:val="single" w:color="auto" w:sz="4" w:space="0"/>
              <w:left w:val="sing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highlight w:val="none"/>
              </w:rPr>
            </w:pPr>
          </w:p>
        </w:tc>
        <w:tc>
          <w:tcPr>
            <w:tcW w:w="1946" w:type="dxa"/>
            <w:tcBorders>
              <w:top w:val="single" w:color="auto" w:sz="4" w:space="0"/>
              <w:left w:val="single" w:color="auto" w:sz="4" w:space="0"/>
              <w:bottom w:val="doub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b w:val="0"/>
                <w:bCs/>
                <w:color w:val="auto"/>
                <w:sz w:val="21"/>
                <w:szCs w:val="21"/>
                <w:highlight w:val="none"/>
                <w:u w:val="single"/>
              </w:rPr>
            </w:pPr>
            <w:r>
              <w:rPr>
                <w:rFonts w:hint="eastAsia" w:ascii="宋体" w:hAnsi="宋体" w:cs="宋体"/>
                <w:b w:val="0"/>
                <w:bCs/>
                <w:color w:val="auto"/>
                <w:sz w:val="21"/>
                <w:szCs w:val="21"/>
                <w:highlight w:val="none"/>
                <w:u w:val="single"/>
              </w:rPr>
              <w:t>招标代理服务费</w:t>
            </w:r>
          </w:p>
        </w:tc>
        <w:tc>
          <w:tcPr>
            <w:tcW w:w="5857" w:type="dxa"/>
            <w:tcBorders>
              <w:top w:val="single" w:color="auto" w:sz="4" w:space="0"/>
              <w:left w:val="single" w:color="auto" w:sz="4" w:space="0"/>
              <w:bottom w:val="double" w:color="auto" w:sz="4" w:space="0"/>
              <w:right w:val="doub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cs="宋体"/>
                <w:b w:val="0"/>
                <w:bCs/>
                <w:color w:val="auto"/>
                <w:sz w:val="21"/>
                <w:szCs w:val="21"/>
                <w:highlight w:val="none"/>
                <w:u w:val="single"/>
              </w:rPr>
            </w:pPr>
            <w:r>
              <w:rPr>
                <w:rFonts w:hint="eastAsia" w:ascii="宋体" w:hAnsi="宋体" w:cs="宋体"/>
                <w:b w:val="0"/>
                <w:bCs/>
                <w:color w:val="auto"/>
                <w:sz w:val="21"/>
                <w:szCs w:val="21"/>
                <w:highlight w:val="none"/>
                <w:u w:val="single"/>
              </w:rPr>
              <w:t>本项目的招标代理费参考《招标代理服务收费管理暂行办法》(计价格[2002]1980号)、国家发改委发布的《国家发展改革委办公厅关于招标代理服务收费有关问题的通知》（发改办价格[2003]857号）和《国家发展改革委关于降低部分建设项目收费标准规范收费行为等有关问题的通知》（发改价格〔2011〕534号）的相关规定，中标金额作为计费基数采用按工程类标准计算招标代理服务费向中标人收取。</w:t>
            </w:r>
          </w:p>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cs="宋体"/>
                <w:b w:val="0"/>
                <w:bCs/>
                <w:color w:val="auto"/>
                <w:sz w:val="21"/>
                <w:szCs w:val="21"/>
                <w:highlight w:val="none"/>
                <w:u w:val="single"/>
              </w:rPr>
            </w:pPr>
            <w:r>
              <w:rPr>
                <w:rFonts w:hint="eastAsia" w:ascii="宋体" w:hAnsi="宋体" w:cs="宋体"/>
                <w:b w:val="0"/>
                <w:bCs/>
                <w:color w:val="auto"/>
                <w:sz w:val="21"/>
                <w:szCs w:val="21"/>
                <w:highlight w:val="none"/>
                <w:u w:val="single"/>
              </w:rPr>
              <w:t>中标人在领取中标通知书前一次性以银行汇款或现金的形式支付，招标代理向中标人开具发票。</w:t>
            </w:r>
          </w:p>
        </w:tc>
      </w:tr>
    </w:tbl>
    <w:p>
      <w:pPr>
        <w:pStyle w:val="28"/>
        <w:topLinePunct/>
        <w:rPr>
          <w:rFonts w:ascii="宋体" w:hAnsi="宋体" w:cs="宋体"/>
          <w:strike/>
          <w:color w:val="auto"/>
          <w:sz w:val="21"/>
          <w:szCs w:val="21"/>
          <w:highlight w:val="none"/>
        </w:rPr>
      </w:pPr>
      <w:r>
        <w:rPr>
          <w:rFonts w:hint="eastAsia" w:ascii="宋体" w:hAnsi="宋体" w:cs="宋体"/>
          <w:strike/>
          <w:color w:val="auto"/>
          <w:sz w:val="21"/>
          <w:szCs w:val="21"/>
          <w:highlight w:val="none"/>
        </w:rPr>
        <w:t>注：企业综合诚信评价得分即企业综合诚信评价60日诚信分，以下同。</w:t>
      </w:r>
    </w:p>
    <w:p>
      <w:pPr>
        <w:rPr>
          <w:color w:val="auto"/>
          <w:highlight w:val="none"/>
        </w:rPr>
      </w:pPr>
    </w:p>
    <w:p>
      <w:pPr>
        <w:rPr>
          <w:color w:val="auto"/>
          <w:highlight w:val="none"/>
        </w:rPr>
        <w:sectPr>
          <w:footerReference r:id="rId9" w:type="first"/>
          <w:footerReference r:id="rId8" w:type="default"/>
          <w:endnotePr>
            <w:numFmt w:val="decimal"/>
          </w:endnotePr>
          <w:pgSz w:w="11906" w:h="16838"/>
          <w:pgMar w:top="1417" w:right="1417" w:bottom="1417" w:left="1417" w:header="851" w:footer="907" w:gutter="0"/>
          <w:pgNumType w:start="1"/>
          <w:cols w:space="720" w:num="1"/>
          <w:titlePg/>
          <w:docGrid w:type="lines" w:linePitch="312" w:charSpace="0"/>
        </w:sectPr>
      </w:pPr>
    </w:p>
    <w:p>
      <w:pPr>
        <w:pStyle w:val="6"/>
        <w:ind w:left="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二、投标须知修改表</w:t>
      </w:r>
      <w:bookmarkEnd w:id="4"/>
      <w:bookmarkEnd w:id="5"/>
    </w:p>
    <w:p>
      <w:pPr>
        <w:pStyle w:val="20"/>
        <w:pBdr>
          <w:bottom w:val="single" w:color="auto" w:sz="4" w:space="0"/>
        </w:pBdr>
        <w:spacing w:line="360" w:lineRule="auto"/>
        <w:rPr>
          <w:rFonts w:ascii="宋体" w:hAnsi="宋体"/>
          <w:b/>
          <w:color w:val="auto"/>
          <w:szCs w:val="21"/>
          <w:highlight w:val="none"/>
        </w:rPr>
      </w:pPr>
      <w:r>
        <w:rPr>
          <w:rFonts w:hint="eastAsia" w:ascii="宋体" w:hAnsi="宋体"/>
          <w:b/>
          <w:color w:val="auto"/>
          <w:szCs w:val="21"/>
          <w:highlight w:val="none"/>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color w:val="auto"/>
          <w:highlight w:val="none"/>
        </w:rPr>
        <w:fldChar w:fldCharType="begin"/>
      </w:r>
      <w:r>
        <w:rPr>
          <w:color w:val="auto"/>
          <w:highlight w:val="none"/>
        </w:rPr>
        <w:instrText xml:space="preserve"> HYPERLINK "http://zfcj.gz.gov.cn/）下载查阅。" </w:instrText>
      </w:r>
      <w:r>
        <w:rPr>
          <w:color w:val="auto"/>
          <w:highlight w:val="none"/>
        </w:rPr>
        <w:fldChar w:fldCharType="separate"/>
      </w:r>
      <w:r>
        <w:rPr>
          <w:rFonts w:hint="eastAsia" w:ascii="宋体" w:hAnsi="宋体"/>
          <w:b/>
          <w:color w:val="auto"/>
          <w:szCs w:val="21"/>
          <w:highlight w:val="none"/>
        </w:rPr>
        <w:t>http://zfcj.gz.gov.cn/）下载查阅。</w:t>
      </w:r>
      <w:r>
        <w:rPr>
          <w:rFonts w:hint="eastAsia" w:ascii="宋体" w:hAnsi="宋体"/>
          <w:b/>
          <w:color w:val="auto"/>
          <w:szCs w:val="21"/>
          <w:highlight w:val="none"/>
        </w:rPr>
        <w:fldChar w:fldCharType="end"/>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条款号：2.5             修改类型：增加</w:t>
      </w:r>
    </w:p>
    <w:p>
      <w:pPr>
        <w:pBdr>
          <w:bottom w:val="single" w:color="auto" w:sz="6" w:space="1"/>
        </w:pBdr>
        <w:spacing w:line="360" w:lineRule="auto"/>
        <w:ind w:firstLine="422" w:firstLineChars="200"/>
        <w:rPr>
          <w:b/>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2.5根据《建设工程质量检测管理办法》（建设部令第141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条款号：5.1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6" w:space="1"/>
        </w:pBdr>
        <w:spacing w:line="360" w:lineRule="auto"/>
        <w:ind w:firstLine="472" w:firstLineChars="224"/>
        <w:rPr>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cs="宋体"/>
          <w:color w:val="auto"/>
          <w:szCs w:val="21"/>
          <w:highlight w:val="none"/>
          <w:u w:val="single"/>
        </w:rPr>
        <w:t>投标人不进行踏勘的，视为已熟知现场条件，自行承担相关风险。</w:t>
      </w:r>
      <w:r>
        <w:rPr>
          <w:rFonts w:hint="eastAsia" w:ascii="宋体" w:hAnsi="宋体" w:cs="宋体"/>
          <w:color w:val="auto"/>
          <w:szCs w:val="21"/>
          <w:highlight w:val="none"/>
        </w:rPr>
        <w:t>一旦中标，这种考察即被认为其结果已在中标文件中得到充分反映。</w:t>
      </w:r>
      <w:r>
        <w:rPr>
          <w:rFonts w:hint="eastAsia" w:ascii="宋体" w:hAnsi="宋体" w:cs="宋体"/>
          <w:color w:val="auto"/>
          <w:szCs w:val="21"/>
          <w:highlight w:val="none"/>
          <w:u w:val="single"/>
        </w:rPr>
        <w:t>招标人不受理因投标人缺乏对现场条件的了解或掌握而提出的任何索赔。</w:t>
      </w:r>
      <w:r>
        <w:rPr>
          <w:rFonts w:hint="eastAsia" w:ascii="宋体" w:hAnsi="宋体" w:cs="宋体"/>
          <w:color w:val="auto"/>
          <w:szCs w:val="21"/>
          <w:highlight w:val="none"/>
        </w:rPr>
        <w:t>考察现场的费用由投标人自己承担</w:t>
      </w:r>
      <w:r>
        <w:rPr>
          <w:rFonts w:hint="eastAsia"/>
          <w:b/>
          <w:color w:val="auto"/>
          <w:szCs w:val="21"/>
          <w:highlight w:val="none"/>
        </w:rPr>
        <w:t>。</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条款号：8.1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8.1 投标人若对招标文件（包括招标图纸）中有疑问，可以书面形式通过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交易平台提交给招标人或招标代理人，提交形式见本须知前附表第16项。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8.1</w:t>
      </w:r>
      <w:r>
        <w:rPr>
          <w:rFonts w:hint="eastAsia" w:ascii="宋体" w:hAnsi="宋体" w:cs="宋体"/>
          <w:color w:val="auto"/>
          <w:szCs w:val="21"/>
          <w:highlight w:val="none"/>
          <w:u w:val="single"/>
        </w:rPr>
        <w:t>招标答疑采用网上答疑方式进行。投标人若对招标文件（包括招标图纸、工程量清单、招标控制价、合同条款）有疑问的，可在规定的时间内通过广州公共资源交易中心网站凭密码进入提问区域将问题提交给招标人或招标代理人，提交问题时一律不得署名。网上答疑的操作指南为：登陆广州公共资源交易中心网站（http://www.gzggzy.cn）→进入“我是投标人”→进入“新建设工程交易平台”→进入“我的投标”→通过项目编号或项目名称找到所需的项目→在上述的答疑时间内点击“答疑提问”→“新建问题”→无记名或匿名提出问题。</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条款号：8.2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8.2招标答疑会会议纪要将在提交投标文件截止时间15日前在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 “项目答疑纪要”专区公开发布。答疑纪要一经在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交易平台发布，视作已发放给所有投标人。</w:t>
      </w:r>
    </w:p>
    <w:p>
      <w:pPr>
        <w:pBdr>
          <w:top w:val="none" w:color="auto" w:sz="0" w:space="1"/>
          <w:left w:val="none" w:color="auto" w:sz="0" w:space="4"/>
          <w:bottom w:val="single" w:color="auto" w:sz="4" w:space="1"/>
          <w:right w:val="none" w:color="auto" w:sz="0" w:space="4"/>
        </w:pBdr>
        <w:spacing w:line="360" w:lineRule="auto"/>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8.2招标答疑会会议纪要将在提交投标文件截止时间15日前</w:t>
      </w:r>
      <w:r>
        <w:rPr>
          <w:rFonts w:hint="eastAsia" w:ascii="宋体" w:hAnsi="宋体" w:cs="宋体"/>
          <w:color w:val="auto"/>
          <w:szCs w:val="21"/>
          <w:highlight w:val="none"/>
          <w:u w:val="single"/>
        </w:rPr>
        <w:t>在广州公共资源交易中心网站“答疑纪要”专区公开发布。答疑纪要一经在广州公共资源交易中心网站发布，视作已发放给所有投标人。</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u w:val="single"/>
        </w:rPr>
      </w:pPr>
      <w:r>
        <w:rPr>
          <w:rFonts w:hint="eastAsia" w:ascii="宋体" w:hAnsi="宋体" w:cs="宋体"/>
          <w:b/>
          <w:bCs/>
          <w:color w:val="auto"/>
          <w:szCs w:val="21"/>
          <w:highlight w:val="none"/>
        </w:rPr>
        <w:t>条款号：8.3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原文</w:t>
      </w:r>
      <w:r>
        <w:rPr>
          <w:rFonts w:hint="eastAsia" w:ascii="宋体" w:hAnsi="宋体" w:cs="宋体"/>
          <w:color w:val="auto"/>
          <w:szCs w:val="21"/>
          <w:highlight w:val="none"/>
        </w:rPr>
        <w:t>：8.3答疑会会议纪要为招标文件的一部分。</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u w:val="single"/>
        </w:rPr>
      </w:pPr>
      <w:r>
        <w:rPr>
          <w:rFonts w:hint="eastAsia" w:ascii="宋体" w:hAnsi="宋体" w:cs="宋体"/>
          <w:b/>
          <w:bCs/>
          <w:color w:val="auto"/>
          <w:szCs w:val="21"/>
          <w:highlight w:val="none"/>
          <w:u w:val="single"/>
        </w:rPr>
        <w:t>现文：</w:t>
      </w:r>
      <w:r>
        <w:rPr>
          <w:rFonts w:hint="eastAsia" w:ascii="宋体" w:hAnsi="宋体" w:cs="宋体"/>
          <w:color w:val="auto"/>
          <w:szCs w:val="21"/>
          <w:highlight w:val="none"/>
          <w:u w:val="single"/>
        </w:rPr>
        <w:t>8.3答疑纪要为招标文件的一部分。</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lang w:bidi="ar"/>
        </w:rPr>
        <w:t>条款号：</w:t>
      </w:r>
      <w:r>
        <w:rPr>
          <w:rFonts w:hint="eastAsia" w:ascii="宋体" w:hAnsi="宋体" w:cs="宋体"/>
          <w:b/>
          <w:bCs/>
          <w:color w:val="auto"/>
          <w:szCs w:val="21"/>
          <w:highlight w:val="none"/>
          <w:lang w:bidi="ar"/>
        </w:rPr>
        <w:t xml:space="preserve">8.4 </w:t>
      </w:r>
      <w:r>
        <w:rPr>
          <w:rFonts w:hint="eastAsia" w:ascii="宋体" w:hAnsi="宋体" w:cs="宋体"/>
          <w:b/>
          <w:color w:val="auto"/>
          <w:szCs w:val="21"/>
          <w:highlight w:val="none"/>
          <w:lang w:bidi="ar"/>
        </w:rPr>
        <w:t xml:space="preserve">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lang w:bidi="ar"/>
        </w:rPr>
        <w:t>原文：</w:t>
      </w:r>
      <w:r>
        <w:rPr>
          <w:rFonts w:hint="eastAsia" w:ascii="宋体" w:hAnsi="宋体" w:cs="宋体"/>
          <w:color w:val="auto"/>
          <w:szCs w:val="21"/>
          <w:highlight w:val="none"/>
          <w:lang w:bidi="ar"/>
        </w:rPr>
        <w:t>8.4若招标答疑会会议纪要与招标文件有矛盾，以答疑会议纪要最后发出的书面形式的文件为准。</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lang w:bidi="ar"/>
        </w:rPr>
        <w:t>现文：</w:t>
      </w:r>
      <w:r>
        <w:rPr>
          <w:rFonts w:hint="eastAsia" w:ascii="宋体" w:hAnsi="宋体" w:cs="宋体"/>
          <w:color w:val="auto"/>
          <w:szCs w:val="21"/>
          <w:highlight w:val="none"/>
          <w:lang w:bidi="ar"/>
        </w:rPr>
        <w:t>8.4若</w:t>
      </w:r>
      <w:r>
        <w:rPr>
          <w:rFonts w:hint="eastAsia" w:ascii="宋体" w:hAnsi="宋体" w:cs="宋体"/>
          <w:color w:val="auto"/>
          <w:szCs w:val="21"/>
          <w:highlight w:val="none"/>
          <w:u w:val="single"/>
          <w:lang w:bidi="ar"/>
        </w:rPr>
        <w:t>招标答疑纪要</w:t>
      </w:r>
      <w:r>
        <w:rPr>
          <w:rFonts w:hint="eastAsia" w:ascii="宋体" w:hAnsi="宋体" w:cs="宋体"/>
          <w:color w:val="auto"/>
          <w:szCs w:val="21"/>
          <w:highlight w:val="none"/>
          <w:lang w:bidi="ar"/>
        </w:rPr>
        <w:t>与招标文件有矛盾时，以</w:t>
      </w:r>
      <w:r>
        <w:rPr>
          <w:rFonts w:hint="eastAsia" w:ascii="宋体" w:hAnsi="宋体" w:cs="宋体"/>
          <w:color w:val="auto"/>
          <w:szCs w:val="21"/>
          <w:highlight w:val="none"/>
          <w:u w:val="single"/>
          <w:lang w:bidi="ar"/>
        </w:rPr>
        <w:t>广州公共资源交易中心交易平台</w:t>
      </w:r>
      <w:r>
        <w:rPr>
          <w:rFonts w:hint="eastAsia" w:ascii="宋体" w:hAnsi="宋体" w:cs="宋体"/>
          <w:color w:val="auto"/>
          <w:szCs w:val="21"/>
          <w:highlight w:val="none"/>
          <w:lang w:bidi="ar"/>
        </w:rPr>
        <w:t>最后发布的答疑纪要为准。</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条款号：9.2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9.2招标文件的澄清或修改将在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交易平台“项目答疑纪要”专区公开发布。答疑纪要一经在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交易平台发布，视作已发放给所有投标人，以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交易平台上网发布时间作为送达时间。</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9.2招标文件的澄清或修改将在</w:t>
      </w:r>
      <w:r>
        <w:rPr>
          <w:rFonts w:hint="eastAsia" w:ascii="宋体" w:hAnsi="宋体" w:cs="宋体"/>
          <w:color w:val="auto"/>
          <w:szCs w:val="21"/>
          <w:highlight w:val="none"/>
          <w:u w:val="single"/>
        </w:rPr>
        <w:t>广州公共资源交易中心网站“答疑纪要”</w:t>
      </w:r>
      <w:r>
        <w:rPr>
          <w:rFonts w:hint="eastAsia" w:ascii="宋体" w:hAnsi="宋体" w:cs="宋体"/>
          <w:color w:val="auto"/>
          <w:szCs w:val="21"/>
          <w:highlight w:val="none"/>
        </w:rPr>
        <w:t>专区公开发布。答疑纪要一经在</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rPr>
        <w:t>发布，视作已发放给所有投标人，以</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rPr>
        <w:t>发布时间作为送达时间。</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条款号：9.4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9.4招标文件的澄清或修改均以书面形式明确的内容为准。当招标文件的澄清、修改、补充等在同一内容的表述不一致时，以最后发出的书面形式的文件为准。</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9.4</w:t>
      </w:r>
      <w:r>
        <w:rPr>
          <w:rFonts w:hint="eastAsia" w:ascii="宋体" w:hAnsi="宋体" w:cs="宋体"/>
          <w:color w:val="auto"/>
          <w:szCs w:val="21"/>
          <w:highlight w:val="none"/>
          <w:lang w:bidi="ar"/>
        </w:rPr>
        <w:t>招标文件的澄清或修改</w:t>
      </w:r>
      <w:r>
        <w:rPr>
          <w:rFonts w:hint="eastAsia" w:ascii="宋体" w:hAnsi="宋体" w:cs="宋体"/>
          <w:color w:val="auto"/>
          <w:szCs w:val="21"/>
          <w:highlight w:val="none"/>
          <w:u w:val="single"/>
          <w:lang w:bidi="ar"/>
        </w:rPr>
        <w:t>在广州公共资源交易中心网站“答疑纪要”专区公开发布</w:t>
      </w:r>
      <w:r>
        <w:rPr>
          <w:rFonts w:hint="eastAsia" w:ascii="宋体" w:hAnsi="宋体" w:cs="宋体"/>
          <w:color w:val="auto"/>
          <w:szCs w:val="21"/>
          <w:highlight w:val="none"/>
          <w:lang w:bidi="ar"/>
        </w:rPr>
        <w:t>。当招标文件的澄清、修改、补充等在同一内容的表述不一致时，以</w:t>
      </w:r>
      <w:r>
        <w:rPr>
          <w:rFonts w:hint="eastAsia" w:ascii="宋体" w:hAnsi="宋体" w:cs="宋体"/>
          <w:color w:val="auto"/>
          <w:szCs w:val="21"/>
          <w:highlight w:val="none"/>
          <w:u w:val="single"/>
          <w:lang w:bidi="ar"/>
        </w:rPr>
        <w:t>广州公共资源交易中心交易平台</w:t>
      </w:r>
      <w:r>
        <w:rPr>
          <w:rFonts w:hint="eastAsia" w:ascii="宋体" w:hAnsi="宋体" w:cs="宋体"/>
          <w:color w:val="auto"/>
          <w:szCs w:val="21"/>
          <w:highlight w:val="none"/>
          <w:lang w:bidi="ar"/>
        </w:rPr>
        <w:t>最后发布的内容为准</w:t>
      </w:r>
      <w:r>
        <w:rPr>
          <w:rFonts w:hint="eastAsia" w:ascii="宋体" w:hAnsi="宋体" w:cs="宋体"/>
          <w:color w:val="auto"/>
          <w:szCs w:val="21"/>
          <w:highlight w:val="none"/>
        </w:rPr>
        <w:t>。</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 11.2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bCs/>
          <w:color w:val="auto"/>
          <w:szCs w:val="21"/>
          <w:highlight w:val="none"/>
        </w:rPr>
      </w:pPr>
      <w:r>
        <w:rPr>
          <w:rFonts w:hint="eastAsia" w:ascii="宋体" w:hAnsi="宋体" w:cs="宋体"/>
          <w:b/>
          <w:color w:val="auto"/>
          <w:szCs w:val="21"/>
          <w:highlight w:val="none"/>
        </w:rPr>
        <w:t>原文：</w:t>
      </w:r>
      <w:r>
        <w:rPr>
          <w:rFonts w:ascii="宋体" w:hAnsi="宋体"/>
          <w:bCs/>
          <w:color w:val="auto"/>
          <w:szCs w:val="21"/>
          <w:highlight w:val="none"/>
        </w:rPr>
        <w:t>11.2</w:t>
      </w:r>
      <w:r>
        <w:rPr>
          <w:rFonts w:hint="eastAsia" w:ascii="宋体" w:hAnsi="宋体"/>
          <w:bCs/>
          <w:color w:val="auto"/>
          <w:szCs w:val="21"/>
          <w:highlight w:val="none"/>
        </w:rPr>
        <w:t>投标文件技术标部分主要包括下列内容</w:t>
      </w:r>
      <w:r>
        <w:rPr>
          <w:rFonts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11.2.1 技术投标文件</w:t>
      </w:r>
      <w:r>
        <w:rPr>
          <w:rFonts w:ascii="宋体" w:hAnsi="宋体"/>
          <w:color w:val="auto"/>
          <w:szCs w:val="21"/>
          <w:highlight w:val="none"/>
        </w:rPr>
        <w:t>(</w:t>
      </w:r>
      <w:r>
        <w:rPr>
          <w:rFonts w:hint="eastAsia" w:ascii="宋体" w:hAnsi="宋体"/>
          <w:color w:val="auto"/>
          <w:szCs w:val="21"/>
          <w:highlight w:val="none"/>
        </w:rPr>
        <w:t>按招标文件的要求填写</w:t>
      </w:r>
      <w:r>
        <w:rPr>
          <w:rFonts w:ascii="宋体" w:hAnsi="宋体"/>
          <w:color w:val="auto"/>
          <w:szCs w:val="21"/>
          <w:highlight w:val="none"/>
        </w:rPr>
        <w:t>)</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11.2.2 资格审查文件：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 xml:space="preserve">（1）投标人声明；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（2）法定代表人证明书、法定代表人签字或盖章的本投标文件授权委托证明书；</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（3）企业营业执照（取自平台内上传件）；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（4）企业资质证书（取自平台内上传件）；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（5）建筑施工企业安全生产许可证（取自平台内上传件）；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（6）项目负责人（按网上投标登记时选择拟投标的项目负责人）</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（7）专职安全员（按网上投标登记时选择拟投标的专职安全员）</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（8）拟委托技术负责人的相关证书、资料（具体要求由招标人明确）</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 xml:space="preserve">（9）拟委派项目负责人的建造师注册证书或小型项目负责人相关证明（取自平台内上传件）；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（10）项目负责人安全培训考核合格证明或在有效期内的安全考核合格证书（B类）或建筑施工企业项目负责人安全生产考核合格证书（取自平台内上传件）；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（12）用于资格审查的业绩（设置业绩要求时选择此项，投标人</w:t>
      </w:r>
      <w:r>
        <w:rPr>
          <w:rFonts w:hint="eastAsia" w:ascii="宋体" w:hAnsi="宋体"/>
          <w:color w:val="auto"/>
          <w:szCs w:val="21"/>
          <w:highlight w:val="none"/>
        </w:rPr>
        <w:t>须提供类似工程业绩的项目名称及项目编号，具体格式由招标人自定</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（14）列明主办单位的联合体工作协议（采用联合体投标时需递交，投标人拟任本工程项目负责人应为联合体主办方信用档案中的在册人员，</w:t>
      </w:r>
      <w:r>
        <w:rPr>
          <w:rFonts w:hint="eastAsia" w:ascii="宋体" w:hAnsi="宋体"/>
          <w:color w:val="auto"/>
          <w:szCs w:val="21"/>
          <w:highlight w:val="none"/>
        </w:rPr>
        <w:t>联合体工作协议应明确约定各方拟承担的工作和责任</w:t>
      </w:r>
      <w:r>
        <w:rPr>
          <w:rFonts w:hint="eastAsia" w:ascii="宋体" w:hAnsi="宋体"/>
          <w:bCs/>
          <w:color w:val="auto"/>
          <w:szCs w:val="21"/>
          <w:highlight w:val="none"/>
        </w:rPr>
        <w:t xml:space="preserve">）；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（15）</w:t>
      </w:r>
      <w:r>
        <w:rPr>
          <w:rFonts w:hint="eastAsia" w:ascii="宋体" w:hAnsi="宋体"/>
          <w:color w:val="auto"/>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11.2.3</w:t>
      </w:r>
      <w:r>
        <w:rPr>
          <w:rFonts w:hint="eastAsia" w:ascii="宋体" w:hAnsi="宋体"/>
          <w:color w:val="auto"/>
          <w:szCs w:val="21"/>
          <w:highlight w:val="none"/>
        </w:rPr>
        <w:t>项目管理机构配备。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）投标人应列出该项目工程的施工组织机构构成和画出机构框架图及其负责人；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）投标人应详细列出该施工组织机构中主要成员的名单、简历资料、职务职称和在本项目中拟担任的职务等资料，并附上有关证明材料扫描件；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）其他辅助说明资料。</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11.2.4</w:t>
      </w:r>
      <w:r>
        <w:rPr>
          <w:rFonts w:hint="eastAsia" w:ascii="宋体" w:hAnsi="宋体"/>
          <w:color w:val="auto"/>
          <w:szCs w:val="21"/>
          <w:highlight w:val="none"/>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20" w:firstLineChars="200"/>
        <w:rPr>
          <w:rFonts w:ascii="宋体" w:hAnsi="宋体"/>
          <w:color w:val="auto"/>
          <w:szCs w:val="21"/>
          <w:highlight w:val="none"/>
        </w:rPr>
      </w:pPr>
      <w:r>
        <w:rPr>
          <w:rFonts w:ascii="宋体" w:hAnsi="宋体"/>
          <w:color w:val="auto"/>
          <w:szCs w:val="21"/>
          <w:highlight w:val="none"/>
        </w:rPr>
        <w:t>11.2.5</w:t>
      </w:r>
      <w:r>
        <w:rPr>
          <w:rFonts w:hint="eastAsia" w:ascii="宋体" w:hAnsi="宋体"/>
          <w:color w:val="auto"/>
          <w:szCs w:val="21"/>
          <w:highlight w:val="none"/>
        </w:rPr>
        <w:t>施工组织设计或施工方案。</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olor w:val="auto"/>
          <w:szCs w:val="20"/>
          <w:highlight w:val="none"/>
        </w:rPr>
      </w:pPr>
      <w:r>
        <w:rPr>
          <w:rFonts w:ascii="宋体" w:hAnsi="宋体"/>
          <w:color w:val="auto"/>
          <w:szCs w:val="21"/>
          <w:highlight w:val="none"/>
        </w:rPr>
        <w:t>11.2.</w:t>
      </w:r>
      <w:r>
        <w:rPr>
          <w:rFonts w:hint="eastAsia" w:ascii="宋体" w:hAnsi="宋体"/>
          <w:color w:val="auto"/>
          <w:szCs w:val="21"/>
          <w:highlight w:val="none"/>
        </w:rPr>
        <w:t>6按照</w:t>
      </w:r>
      <w:r>
        <w:rPr>
          <w:rFonts w:hint="eastAsia" w:ascii="宋体" w:hAnsi="宋体"/>
          <w:bCs/>
          <w:color w:val="auto"/>
          <w:szCs w:val="21"/>
          <w:highlight w:val="none"/>
        </w:rPr>
        <w:t>招标文件要求</w:t>
      </w:r>
      <w:r>
        <w:rPr>
          <w:rFonts w:hint="eastAsia" w:ascii="宋体" w:hAnsi="宋体"/>
          <w:color w:val="auto"/>
          <w:szCs w:val="21"/>
          <w:highlight w:val="none"/>
        </w:rPr>
        <w:t>填写的《参与编制技术标投标文件人员名单》。</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11.2投标文件技术标部分主要包括下列内容:</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11.2.1 </w:t>
      </w:r>
      <w:r>
        <w:rPr>
          <w:rFonts w:hint="eastAsia" w:ascii="宋体" w:hAnsi="宋体" w:cs="宋体"/>
          <w:bCs/>
          <w:color w:val="auto"/>
          <w:szCs w:val="21"/>
          <w:highlight w:val="none"/>
          <w:u w:val="single"/>
        </w:rPr>
        <w:t>广州建设工程施工招标投标书</w:t>
      </w:r>
      <w:r>
        <w:rPr>
          <w:rFonts w:hint="eastAsia" w:ascii="宋体" w:hAnsi="宋体" w:cs="宋体"/>
          <w:bCs/>
          <w:color w:val="auto"/>
          <w:szCs w:val="21"/>
          <w:highlight w:val="none"/>
        </w:rPr>
        <w:t>(按招标文件</w:t>
      </w:r>
      <w:r>
        <w:rPr>
          <w:rFonts w:hint="eastAsia" w:ascii="宋体" w:hAnsi="宋体" w:cs="宋体"/>
          <w:bCs/>
          <w:color w:val="auto"/>
          <w:szCs w:val="21"/>
          <w:highlight w:val="none"/>
          <w:u w:val="single"/>
        </w:rPr>
        <w:t>第四章附件一</w:t>
      </w:r>
      <w:r>
        <w:rPr>
          <w:rFonts w:hint="eastAsia" w:ascii="宋体" w:hAnsi="宋体" w:cs="宋体"/>
          <w:bCs/>
          <w:color w:val="auto"/>
          <w:szCs w:val="21"/>
          <w:highlight w:val="none"/>
        </w:rPr>
        <w:t>的要求填写)；</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11.2.2 资格审查文件：</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w:t>
      </w:r>
      <w:r>
        <w:rPr>
          <w:rFonts w:hint="eastAsia" w:ascii="宋体" w:hAnsi="宋体" w:cs="宋体"/>
          <w:bCs/>
          <w:color w:val="auto"/>
          <w:szCs w:val="21"/>
          <w:highlight w:val="none"/>
          <w:u w:val="single"/>
        </w:rPr>
        <w:t>投标人声明</w:t>
      </w:r>
      <w:r>
        <w:rPr>
          <w:rFonts w:hint="eastAsia" w:ascii="宋体" w:hAnsi="宋体" w:cs="宋体"/>
          <w:bCs/>
          <w:color w:val="auto"/>
          <w:szCs w:val="21"/>
          <w:highlight w:val="none"/>
          <w:u w:val="single"/>
          <w:lang w:bidi="ar"/>
        </w:rPr>
        <w:t>（</w:t>
      </w:r>
      <w:r>
        <w:rPr>
          <w:rFonts w:hint="eastAsia" w:ascii="宋体" w:hAnsi="宋体" w:cs="宋体"/>
          <w:color w:val="auto"/>
          <w:szCs w:val="21"/>
          <w:highlight w:val="none"/>
          <w:u w:val="single"/>
        </w:rPr>
        <w:t>详见招标公告附件一格式</w:t>
      </w:r>
      <w:r>
        <w:rPr>
          <w:rFonts w:hint="eastAsia" w:ascii="宋体" w:hAnsi="宋体" w:cs="宋体"/>
          <w:bCs/>
          <w:color w:val="auto"/>
          <w:szCs w:val="21"/>
          <w:highlight w:val="none"/>
          <w:u w:val="single"/>
          <w:lang w:bidi="ar"/>
        </w:rPr>
        <w:t>）、联合体投标协议（如有，</w:t>
      </w:r>
      <w:r>
        <w:rPr>
          <w:rFonts w:hint="eastAsia" w:ascii="宋体" w:hAnsi="宋体" w:cs="宋体"/>
          <w:color w:val="auto"/>
          <w:szCs w:val="21"/>
          <w:highlight w:val="none"/>
          <w:u w:val="single"/>
        </w:rPr>
        <w:t>详见招标公告附件二格式</w:t>
      </w:r>
      <w:r>
        <w:rPr>
          <w:rFonts w:hint="eastAsia" w:ascii="宋体" w:hAnsi="宋体" w:cs="宋体"/>
          <w:bCs/>
          <w:color w:val="auto"/>
          <w:szCs w:val="21"/>
          <w:highlight w:val="none"/>
          <w:u w:val="single"/>
          <w:lang w:bidi="ar"/>
        </w:rPr>
        <w:t>）</w:t>
      </w:r>
      <w:r>
        <w:rPr>
          <w:rFonts w:hint="eastAsia" w:ascii="宋体" w:hAnsi="宋体" w:cs="宋体"/>
          <w:bCs/>
          <w:color w:val="auto"/>
          <w:szCs w:val="21"/>
          <w:highlight w:val="none"/>
        </w:rPr>
        <w:t>；</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（2）法定代表人证明书、法定代表人签字或盖章的本投标文件授权委托证明书；</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（3）企业营业执照；</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（4）企业资质证书；</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（5）建筑施工企业安全生产许可证；</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（6）项目负责人（按网上投标登记时选择拟投标的项目负责人）；</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（7）专职安全员（按网上投标登记时选择拟投标的专职安全员）；</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u w:val="single"/>
        </w:rPr>
      </w:pPr>
      <w:r>
        <w:rPr>
          <w:rFonts w:hint="eastAsia" w:ascii="宋体" w:hAnsi="宋体" w:cs="宋体"/>
          <w:bCs/>
          <w:color w:val="auto"/>
          <w:szCs w:val="21"/>
          <w:highlight w:val="none"/>
          <w:u w:val="single"/>
        </w:rPr>
        <w:t>（8）拟委派技术负责人的职称证书</w:t>
      </w:r>
      <w:r>
        <w:rPr>
          <w:rFonts w:hint="eastAsia" w:ascii="宋体" w:hAnsi="宋体" w:cs="宋体"/>
          <w:bCs/>
          <w:color w:val="auto"/>
          <w:szCs w:val="21"/>
          <w:highlight w:val="none"/>
          <w:u w:val="single"/>
          <w:lang w:bidi="ar"/>
        </w:rPr>
        <w:t>（</w:t>
      </w:r>
      <w:r>
        <w:rPr>
          <w:rFonts w:hint="eastAsia" w:ascii="宋体" w:hAnsi="宋体" w:cs="宋体"/>
          <w:color w:val="auto"/>
          <w:szCs w:val="21"/>
          <w:highlight w:val="none"/>
          <w:u w:val="single"/>
        </w:rPr>
        <w:t>具体要求详见招标公告</w:t>
      </w:r>
      <w:r>
        <w:rPr>
          <w:rFonts w:hint="eastAsia" w:ascii="宋体" w:hAnsi="宋体" w:cs="宋体"/>
          <w:bCs/>
          <w:color w:val="auto"/>
          <w:szCs w:val="21"/>
          <w:highlight w:val="none"/>
          <w:u w:val="single"/>
          <w:lang w:bidi="ar"/>
        </w:rPr>
        <w:t>）</w:t>
      </w:r>
      <w:r>
        <w:rPr>
          <w:rFonts w:hint="eastAsia" w:ascii="宋体" w:hAnsi="宋体" w:cs="宋体"/>
          <w:bCs/>
          <w:color w:val="auto"/>
          <w:szCs w:val="21"/>
          <w:highlight w:val="none"/>
          <w:u w:val="single"/>
        </w:rPr>
        <w:t>；</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u w:val="single"/>
        </w:rPr>
        <w:t>（9）拟委派项目负责人的建造师注册证书；</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u w:val="single"/>
        </w:rPr>
      </w:pPr>
      <w:r>
        <w:rPr>
          <w:rFonts w:hint="eastAsia" w:ascii="宋体" w:hAnsi="宋体" w:cs="宋体"/>
          <w:bCs/>
          <w:color w:val="auto"/>
          <w:szCs w:val="21"/>
          <w:highlight w:val="none"/>
          <w:u w:val="single"/>
        </w:rPr>
        <w:t>（10）项目负责人持有安全生产考核合格证（B类）或建筑施工企业项目负责人安全生产考核合格证书；</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u w:val="single"/>
        </w:rPr>
      </w:pPr>
      <w:r>
        <w:rPr>
          <w:rFonts w:hint="eastAsia" w:ascii="宋体" w:hAnsi="宋体" w:cs="宋体"/>
          <w:bCs/>
          <w:color w:val="auto"/>
          <w:szCs w:val="21"/>
          <w:highlight w:val="none"/>
          <w:u w:val="single"/>
        </w:rPr>
        <w:t>（11）专职安全员须具有安全生产考核合格证（C类）或建筑施工企业专职安全生产管理人员安全生产考核合格证（C3类）；</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11.2.3</w:t>
      </w:r>
      <w:r>
        <w:rPr>
          <w:rFonts w:hint="eastAsia" w:ascii="宋体" w:hAnsi="宋体" w:cs="宋体"/>
          <w:color w:val="auto"/>
          <w:szCs w:val="21"/>
          <w:highlight w:val="none"/>
          <w:u w:val="single"/>
        </w:rPr>
        <w:t>按照招标文件要求填写的《参与编制技术标投标文件人员名单》</w:t>
      </w:r>
      <w:r>
        <w:rPr>
          <w:rFonts w:hint="eastAsia" w:ascii="宋体" w:hAnsi="宋体" w:cs="宋体"/>
          <w:bCs/>
          <w:color w:val="auto"/>
          <w:szCs w:val="21"/>
          <w:highlight w:val="none"/>
          <w:u w:val="single"/>
        </w:rPr>
        <w:t>(按招标文件第四章附件二的要求填写)</w:t>
      </w:r>
      <w:r>
        <w:rPr>
          <w:rFonts w:hint="eastAsia" w:ascii="宋体" w:hAnsi="宋体" w:cs="宋体"/>
          <w:color w:val="auto"/>
          <w:szCs w:val="21"/>
          <w:highlight w:val="none"/>
          <w:u w:val="single"/>
        </w:rPr>
        <w:t>；</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11.2.4</w:t>
      </w:r>
      <w:r>
        <w:rPr>
          <w:rFonts w:hint="eastAsia" w:ascii="宋体" w:hAnsi="宋体" w:cs="宋体"/>
          <w:bCs/>
          <w:color w:val="auto"/>
          <w:szCs w:val="21"/>
          <w:highlight w:val="none"/>
          <w:u w:val="single"/>
        </w:rPr>
        <w:t>施工项目管理团队人员信息表（按招标文件第四章附件的要求填写）；</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u w:val="single"/>
        </w:rPr>
      </w:pPr>
      <w:r>
        <w:rPr>
          <w:rFonts w:hint="eastAsia" w:ascii="宋体" w:hAnsi="宋体" w:cs="宋体"/>
          <w:bCs/>
          <w:color w:val="auto"/>
          <w:szCs w:val="21"/>
          <w:highlight w:val="none"/>
        </w:rPr>
        <w:t>11.2.5</w:t>
      </w:r>
      <w:r>
        <w:rPr>
          <w:rFonts w:hint="eastAsia" w:ascii="宋体" w:hAnsi="宋体" w:cs="宋体"/>
          <w:bCs/>
          <w:color w:val="auto"/>
          <w:szCs w:val="21"/>
          <w:highlight w:val="none"/>
          <w:u w:val="single"/>
        </w:rPr>
        <w:t>按照招标文件《技术标详细审查评分表》提供的证明材料（如有）；</w:t>
      </w:r>
    </w:p>
    <w:p>
      <w:pPr>
        <w:pStyle w:val="12"/>
        <w:ind w:firstLine="420" w:firstLineChars="200"/>
        <w:rPr>
          <w:rFonts w:hAnsi="宋体" w:cs="宋体"/>
          <w:bCs/>
          <w:color w:val="auto"/>
          <w:kern w:val="2"/>
          <w:sz w:val="21"/>
          <w:szCs w:val="21"/>
          <w:highlight w:val="none"/>
          <w:u w:val="single"/>
        </w:rPr>
      </w:pPr>
      <w:r>
        <w:rPr>
          <w:rFonts w:hint="eastAsia" w:hAnsi="宋体" w:cs="宋体"/>
          <w:bCs/>
          <w:color w:val="auto"/>
          <w:kern w:val="2"/>
          <w:sz w:val="21"/>
          <w:szCs w:val="21"/>
          <w:highlight w:val="none"/>
        </w:rPr>
        <w:t>11.2.6</w:t>
      </w:r>
      <w:r>
        <w:rPr>
          <w:rFonts w:hint="eastAsia" w:hAnsi="宋体" w:cs="宋体"/>
          <w:bCs/>
          <w:color w:val="auto"/>
          <w:kern w:val="2"/>
          <w:sz w:val="21"/>
          <w:szCs w:val="21"/>
          <w:highlight w:val="none"/>
          <w:u w:val="single"/>
        </w:rPr>
        <w:t>《危险性较大的分部分项工程安全管理措施》（格式见第四章）。</w:t>
      </w:r>
    </w:p>
    <w:p>
      <w:pPr>
        <w:pBdr>
          <w:top w:val="none" w:color="auto" w:sz="0" w:space="1"/>
          <w:left w:val="none" w:color="auto" w:sz="0" w:space="4"/>
          <w:bottom w:val="single" w:color="auto" w:sz="4" w:space="1"/>
          <w:right w:val="none" w:color="auto" w:sz="0" w:space="4"/>
        </w:pBdr>
        <w:spacing w:line="360" w:lineRule="auto"/>
        <w:ind w:firstLine="420" w:firstLineChars="200"/>
        <w:rPr>
          <w:color w:val="auto"/>
          <w:highlight w:val="none"/>
        </w:rPr>
      </w:pPr>
      <w:r>
        <w:rPr>
          <w:rFonts w:hint="eastAsia" w:ascii="宋体" w:hAnsi="宋体" w:cs="宋体"/>
          <w:bCs/>
          <w:color w:val="auto"/>
          <w:szCs w:val="21"/>
          <w:highlight w:val="none"/>
        </w:rPr>
        <w:t>11.2.7其他投标人认为应该提供的资料。</w:t>
      </w:r>
    </w:p>
    <w:p>
      <w:pPr>
        <w:spacing w:line="360" w:lineRule="auto"/>
        <w:ind w:firstLine="422" w:firstLineChars="200"/>
        <w:rPr>
          <w:b/>
          <w:color w:val="auto"/>
          <w:szCs w:val="21"/>
          <w:highlight w:val="none"/>
        </w:rPr>
      </w:pPr>
      <w:r>
        <w:rPr>
          <w:rFonts w:hint="eastAsia"/>
          <w:b/>
          <w:color w:val="auto"/>
          <w:szCs w:val="21"/>
          <w:highlight w:val="none"/>
        </w:rPr>
        <w:t>条款号：</w:t>
      </w:r>
      <w:r>
        <w:rPr>
          <w:rFonts w:hint="eastAsia" w:ascii="宋体" w:hAnsi="宋体" w:cs="宋体"/>
          <w:b/>
          <w:color w:val="auto"/>
          <w:szCs w:val="21"/>
          <w:highlight w:val="none"/>
        </w:rPr>
        <w:t>11.3</w:t>
      </w:r>
      <w:r>
        <w:rPr>
          <w:rFonts w:hint="eastAsia"/>
          <w:b/>
          <w:color w:val="auto"/>
          <w:szCs w:val="21"/>
          <w:highlight w:val="none"/>
        </w:rPr>
        <w:t>修改类型：修改</w:t>
      </w:r>
    </w:p>
    <w:p>
      <w:pPr>
        <w:spacing w:line="360" w:lineRule="auto"/>
        <w:ind w:firstLine="422" w:firstLineChars="200"/>
        <w:rPr>
          <w:color w:val="auto"/>
          <w:szCs w:val="21"/>
          <w:highlight w:val="none"/>
        </w:rPr>
      </w:pPr>
      <w:r>
        <w:rPr>
          <w:rFonts w:hint="eastAsia"/>
          <w:b/>
          <w:color w:val="auto"/>
          <w:szCs w:val="21"/>
          <w:highlight w:val="none"/>
        </w:rPr>
        <w:t>原文：</w:t>
      </w:r>
      <w:r>
        <w:rPr>
          <w:rFonts w:hint="eastAsia" w:ascii="宋体" w:hAnsi="宋体" w:cs="宋体"/>
          <w:bCs/>
          <w:color w:val="auto"/>
          <w:szCs w:val="21"/>
          <w:highlight w:val="none"/>
        </w:rPr>
        <w:t xml:space="preserve">11.3 </w:t>
      </w:r>
      <w:r>
        <w:rPr>
          <w:rFonts w:hint="eastAsia"/>
          <w:color w:val="auto"/>
          <w:szCs w:val="21"/>
          <w:highlight w:val="none"/>
        </w:rPr>
        <w:t>经济部分投标文件主要包括下列内容：</w:t>
      </w:r>
    </w:p>
    <w:p>
      <w:pPr>
        <w:spacing w:line="360" w:lineRule="auto"/>
        <w:ind w:firstLine="420" w:firstLineChars="200"/>
        <w:rPr>
          <w:color w:val="auto"/>
          <w:szCs w:val="21"/>
          <w:highlight w:val="none"/>
        </w:rPr>
      </w:pPr>
      <w:r>
        <w:rPr>
          <w:rFonts w:hint="eastAsia" w:ascii="宋体" w:hAnsi="宋体" w:cs="宋体"/>
          <w:bCs/>
          <w:color w:val="auto"/>
          <w:szCs w:val="21"/>
          <w:highlight w:val="none"/>
        </w:rPr>
        <w:t xml:space="preserve">11.3.1 </w:t>
      </w:r>
      <w:r>
        <w:rPr>
          <w:rFonts w:hint="eastAsia"/>
          <w:color w:val="auto"/>
          <w:szCs w:val="21"/>
          <w:highlight w:val="none"/>
        </w:rPr>
        <w:t>经济投标文件（按招标文件的要求填写）。</w:t>
      </w:r>
    </w:p>
    <w:p>
      <w:pPr>
        <w:spacing w:line="360" w:lineRule="auto"/>
        <w:ind w:firstLine="420" w:firstLineChars="200"/>
        <w:rPr>
          <w:color w:val="auto"/>
          <w:szCs w:val="21"/>
          <w:highlight w:val="none"/>
        </w:rPr>
      </w:pPr>
      <w:r>
        <w:rPr>
          <w:rFonts w:hint="eastAsia" w:ascii="宋体" w:hAnsi="宋体" w:cs="宋体"/>
          <w:bCs/>
          <w:color w:val="auto"/>
          <w:szCs w:val="21"/>
          <w:highlight w:val="none"/>
        </w:rPr>
        <w:t>11.3.2</w:t>
      </w:r>
      <w:r>
        <w:rPr>
          <w:rFonts w:hint="eastAsia"/>
          <w:color w:val="auto"/>
          <w:szCs w:val="21"/>
          <w:highlight w:val="none"/>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（1）投标总价封面、扉页；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（2）总说明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（3）工程项目投标报价汇总表；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（4）单项工程投标报价汇总表；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（5）单位工程投标报价汇总表；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（6）分部分项工程清单与计价表；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（7）单价措施项目清单与计价表；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（8）总价措施项目清单与计价表；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（9）综合单价分析表；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（10）其他项目清单与计价汇总表；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（11）暂列金额明细表；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（12）材料（工程设备）暂估价明细表；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（13）专业工程暂估价明细表；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（14）计日工表；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（15）总承包服务计价表；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（16）规费和税金项目计价表；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（17）人工、主要材料和设备一览表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11.3.3按照招标文件要求填写的《参与编制经济标投标文件人员名单》。</w:t>
      </w:r>
    </w:p>
    <w:p>
      <w:pPr>
        <w:spacing w:line="360" w:lineRule="auto"/>
        <w:ind w:firstLine="420" w:firstLineChars="200"/>
        <w:rPr>
          <w:color w:val="auto"/>
          <w:szCs w:val="21"/>
          <w:highlight w:val="none"/>
        </w:rPr>
      </w:pPr>
      <w:r>
        <w:rPr>
          <w:rFonts w:hint="eastAsia" w:ascii="宋体" w:hAnsi="宋体" w:cs="宋体"/>
          <w:color w:val="auto"/>
          <w:szCs w:val="21"/>
          <w:highlight w:val="none"/>
        </w:rPr>
        <w:t>11.3.4若投标</w:t>
      </w:r>
      <w:r>
        <w:rPr>
          <w:rFonts w:hint="eastAsia"/>
          <w:color w:val="auto"/>
          <w:szCs w:val="21"/>
          <w:highlight w:val="none"/>
        </w:rPr>
        <w:t>人的投标报价低于工程成本警戒价的，投标人还须提供详细的施工组织设计、单价、措施性费用、单价分析表、主要材料价格表、投标人成本分析供评标委员会评审。</w:t>
      </w:r>
    </w:p>
    <w:p>
      <w:pPr>
        <w:spacing w:line="360" w:lineRule="auto"/>
        <w:ind w:firstLine="422" w:firstLineChars="200"/>
        <w:rPr>
          <w:rFonts w:ascii="宋体" w:hAnsi="宋体" w:cs="宋体"/>
          <w:color w:val="auto"/>
          <w:szCs w:val="21"/>
          <w:highlight w:val="none"/>
        </w:rPr>
      </w:pPr>
      <w:r>
        <w:rPr>
          <w:rFonts w:hint="eastAsia"/>
          <w:b/>
          <w:color w:val="auto"/>
          <w:szCs w:val="21"/>
          <w:highlight w:val="none"/>
        </w:rPr>
        <w:t>现文：</w:t>
      </w:r>
      <w:r>
        <w:rPr>
          <w:rFonts w:hint="eastAsia" w:ascii="宋体" w:hAnsi="宋体" w:cs="宋体"/>
          <w:color w:val="auto"/>
          <w:szCs w:val="21"/>
          <w:highlight w:val="none"/>
          <w:u w:val="single"/>
        </w:rPr>
        <w:t>11.3 经济标投标文件主要包括下列内容：</w:t>
      </w:r>
    </w:p>
    <w:p>
      <w:pPr>
        <w:pBdr>
          <w:bottom w:val="single" w:color="auto" w:sz="4" w:space="1"/>
        </w:pBdr>
        <w:spacing w:line="360" w:lineRule="auto"/>
        <w:ind w:firstLine="420" w:firstLineChars="200"/>
        <w:rPr>
          <w:color w:val="auto"/>
          <w:szCs w:val="21"/>
          <w:highlight w:val="none"/>
          <w:u w:val="single"/>
        </w:rPr>
      </w:pPr>
      <w:r>
        <w:rPr>
          <w:rFonts w:hint="eastAsia" w:ascii="宋体" w:hAnsi="宋体" w:cs="宋体"/>
          <w:color w:val="auto"/>
          <w:szCs w:val="21"/>
          <w:highlight w:val="none"/>
          <w:u w:val="single"/>
        </w:rPr>
        <w:t>11.3.1</w:t>
      </w:r>
      <w:bookmarkStart w:id="6" w:name="_Hlk60754295"/>
      <w:r>
        <w:rPr>
          <w:rFonts w:hint="eastAsia"/>
          <w:color w:val="auto"/>
          <w:szCs w:val="21"/>
          <w:highlight w:val="none"/>
          <w:u w:val="single"/>
        </w:rPr>
        <w:t>经济标投标文件封面</w:t>
      </w:r>
      <w:bookmarkEnd w:id="6"/>
      <w:r>
        <w:rPr>
          <w:rFonts w:hint="eastAsia"/>
          <w:color w:val="auto"/>
          <w:szCs w:val="21"/>
          <w:highlight w:val="none"/>
          <w:u w:val="single"/>
        </w:rPr>
        <w:t>。</w:t>
      </w:r>
    </w:p>
    <w:p>
      <w:pPr>
        <w:pBdr>
          <w:bottom w:val="single" w:color="auto" w:sz="4" w:space="1"/>
        </w:pBdr>
        <w:spacing w:line="360" w:lineRule="auto"/>
        <w:ind w:firstLine="420" w:firstLineChars="200"/>
        <w:rPr>
          <w:color w:val="auto"/>
          <w:szCs w:val="21"/>
          <w:highlight w:val="none"/>
          <w:u w:val="single"/>
        </w:rPr>
      </w:pPr>
      <w:r>
        <w:rPr>
          <w:rFonts w:hint="eastAsia" w:ascii="宋体" w:hAnsi="宋体" w:cs="宋体"/>
          <w:color w:val="auto"/>
          <w:szCs w:val="21"/>
          <w:highlight w:val="none"/>
        </w:rPr>
        <w:t>11.3.2投标总价。投标人必须按招标工程量清单填报价格，工程量清单的组成、格式、项目编</w:t>
      </w:r>
      <w:r>
        <w:rPr>
          <w:rFonts w:hint="eastAsia"/>
          <w:color w:val="auto"/>
          <w:szCs w:val="21"/>
          <w:highlight w:val="none"/>
        </w:rPr>
        <w:t>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color w:val="auto"/>
          <w:szCs w:val="21"/>
          <w:highlight w:val="none"/>
          <w:u w:val="single"/>
        </w:rPr>
        <w:t>（具体内容详见第七章工程量清单）</w:t>
      </w:r>
    </w:p>
    <w:p>
      <w:pPr>
        <w:pBdr>
          <w:bottom w:val="single" w:color="auto" w:sz="4" w:space="1"/>
        </w:pBdr>
        <w:spacing w:line="360" w:lineRule="auto"/>
        <w:ind w:firstLine="420" w:firstLineChars="200"/>
        <w:rPr>
          <w:color w:val="auto"/>
          <w:szCs w:val="21"/>
          <w:highlight w:val="none"/>
        </w:rPr>
      </w:pPr>
      <w:r>
        <w:rPr>
          <w:rFonts w:hint="eastAsia" w:ascii="宋体" w:hAnsi="宋体" w:cs="宋体"/>
          <w:color w:val="auto"/>
          <w:szCs w:val="21"/>
          <w:highlight w:val="none"/>
        </w:rPr>
        <w:t>11.3.3</w:t>
      </w:r>
      <w:r>
        <w:rPr>
          <w:rFonts w:hint="eastAsia"/>
          <w:color w:val="auto"/>
          <w:szCs w:val="21"/>
          <w:highlight w:val="none"/>
        </w:rPr>
        <w:t>按照招标文件要求填写的《参与编制经济标投标文件人员名单》。</w:t>
      </w:r>
    </w:p>
    <w:p>
      <w:pPr>
        <w:pBdr>
          <w:bottom w:val="single" w:color="auto" w:sz="4" w:space="1"/>
        </w:pBdr>
        <w:spacing w:line="360" w:lineRule="auto"/>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u w:val="single"/>
        </w:rPr>
        <w:t>1</w:t>
      </w:r>
      <w:r>
        <w:rPr>
          <w:rFonts w:ascii="宋体" w:hAnsi="宋体" w:cs="宋体"/>
          <w:color w:val="auto"/>
          <w:szCs w:val="21"/>
          <w:highlight w:val="none"/>
          <w:u w:val="single"/>
        </w:rPr>
        <w:t xml:space="preserve">1.3.4 </w:t>
      </w:r>
      <w:r>
        <w:rPr>
          <w:rFonts w:hint="eastAsia" w:ascii="宋体" w:hAnsi="宋体" w:cs="宋体"/>
          <w:color w:val="auto"/>
          <w:szCs w:val="21"/>
          <w:highlight w:val="none"/>
          <w:u w:val="single"/>
        </w:rPr>
        <w:t>对投标文件编制的承诺</w:t>
      </w:r>
      <w:r>
        <w:rPr>
          <w:rFonts w:hint="eastAsia" w:ascii="宋体" w:hAnsi="宋体" w:cs="宋体"/>
          <w:bCs/>
          <w:color w:val="auto"/>
          <w:szCs w:val="21"/>
          <w:highlight w:val="none"/>
          <w:u w:val="single"/>
        </w:rPr>
        <w:t>(格式按招标文件要求)。</w:t>
      </w:r>
    </w:p>
    <w:p>
      <w:pPr>
        <w:pBdr>
          <w:bottom w:val="single" w:color="auto" w:sz="4"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11.3.</w:t>
      </w:r>
      <w:r>
        <w:rPr>
          <w:rFonts w:ascii="宋体" w:hAnsi="宋体" w:cs="宋体"/>
          <w:color w:val="auto"/>
          <w:szCs w:val="21"/>
          <w:highlight w:val="none"/>
          <w:u w:val="single"/>
        </w:rPr>
        <w:t>5</w:t>
      </w:r>
      <w:r>
        <w:rPr>
          <w:rFonts w:hint="eastAsia"/>
          <w:color w:val="auto"/>
          <w:szCs w:val="21"/>
          <w:highlight w:val="none"/>
          <w:u w:val="single"/>
        </w:rPr>
        <w:t>若投标人的投标报价低于工程成本警戒价的，投标人还须提供详细的施工组织设计、单价、措施性费用、单价分析表、主要材料价格表、投标人成本分析供评标委员会评审。</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b/>
          <w:color w:val="auto"/>
          <w:kern w:val="0"/>
          <w:szCs w:val="21"/>
          <w:highlight w:val="none"/>
        </w:rPr>
        <w:t xml:space="preserve">12.2、12.3  </w:t>
      </w:r>
      <w:r>
        <w:rPr>
          <w:rFonts w:hint="eastAsia" w:ascii="宋体" w:hAnsi="宋体" w:cs="宋体"/>
          <w:b/>
          <w:color w:val="auto"/>
          <w:szCs w:val="21"/>
          <w:highlight w:val="none"/>
        </w:rPr>
        <w:t xml:space="preserve">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12.3 </w:t>
      </w:r>
      <w:r>
        <w:rPr>
          <w:rFonts w:hint="eastAsia" w:ascii="宋体" w:hAnsi="宋体" w:cs="宋体"/>
          <w:bCs/>
          <w:color w:val="auto"/>
          <w:szCs w:val="21"/>
          <w:highlight w:val="none"/>
        </w:rPr>
        <w:t>投标文件应按</w:t>
      </w:r>
      <w:r>
        <w:rPr>
          <w:rFonts w:hint="eastAsia" w:ascii="宋体" w:hAnsi="宋体" w:cs="宋体"/>
          <w:color w:val="auto"/>
          <w:szCs w:val="21"/>
          <w:highlight w:val="none"/>
        </w:rPr>
        <w:t>照交易平台关于全流程电子化项目的相关指南进行编制，详见：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Bdr>
          <w:top w:val="none" w:color="auto" w:sz="0" w:space="1"/>
          <w:left w:val="none" w:color="auto" w:sz="0" w:space="4"/>
          <w:bottom w:val="none" w:color="auto" w:sz="0" w:space="1"/>
          <w:right w:val="none" w:color="auto" w:sz="0" w:space="4"/>
        </w:pBdr>
        <w:spacing w:line="360" w:lineRule="auto"/>
        <w:rPr>
          <w:rFonts w:ascii="宋体" w:hAnsi="宋体" w:cs="宋体"/>
          <w:bCs/>
          <w:color w:val="auto"/>
          <w:szCs w:val="21"/>
          <w:highlight w:val="none"/>
          <w:u w:val="single"/>
        </w:rPr>
      </w:pPr>
      <w:r>
        <w:rPr>
          <w:rFonts w:hint="eastAsia" w:ascii="宋体" w:hAnsi="宋体" w:cs="宋体"/>
          <w:color w:val="auto"/>
          <w:szCs w:val="21"/>
          <w:highlight w:val="none"/>
        </w:rPr>
        <w:t>如不按上述要求编制引起系统无法检索、读取相关信息的，其后果由投标人承担。</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rPr>
        <w:t>。</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12.3 </w:t>
      </w:r>
      <w:r>
        <w:rPr>
          <w:rFonts w:hint="eastAsia" w:ascii="宋体" w:hAnsi="宋体" w:cs="宋体"/>
          <w:bCs/>
          <w:color w:val="auto"/>
          <w:szCs w:val="21"/>
          <w:highlight w:val="none"/>
        </w:rPr>
        <w:t>投标文件应按</w:t>
      </w:r>
      <w:r>
        <w:rPr>
          <w:rFonts w:hint="eastAsia" w:ascii="宋体" w:hAnsi="宋体" w:cs="宋体"/>
          <w:color w:val="auto"/>
          <w:szCs w:val="21"/>
          <w:highlight w:val="none"/>
        </w:rPr>
        <w:t>照交易平台关于全流程电子化项目的相关指南进行编制，详见：</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rPr>
        <w:t>。如不按上述要求编制引起系统无法检索、读取相关信息的，其后果由投标人承担。</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条款号：13.1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13.1本工程的投标报价采用投标须知前附表第12项所规定的方式。投标报价（含单价及总价）精确到“分”。</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本工程的投标报价采用投标须知前附表第12项所规定的方式。投标报价（含单价及总价）精确到“分”</w:t>
      </w:r>
      <w:r>
        <w:rPr>
          <w:rFonts w:hint="eastAsia" w:ascii="宋体" w:hAnsi="宋体" w:cs="宋体"/>
          <w:color w:val="auto"/>
          <w:szCs w:val="21"/>
          <w:highlight w:val="none"/>
          <w:u w:val="single"/>
        </w:rPr>
        <w:t>，投标文件中的大写金额和小写金额不一致的，以大写金额为准。</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条款号：13.4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top w:val="none" w:color="auto" w:sz="0" w:space="1"/>
          <w:left w:val="none" w:color="auto" w:sz="0" w:space="4"/>
          <w:bottom w:val="single" w:color="auto" w:sz="4" w:space="1"/>
          <w:right w:val="none" w:color="auto" w:sz="0" w:space="4"/>
        </w:pBdr>
        <w:spacing w:line="360" w:lineRule="auto"/>
        <w:ind w:firstLine="422" w:firstLineChars="200"/>
        <w:rPr>
          <w:color w:val="auto"/>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13.4</w:t>
      </w:r>
      <w:r>
        <w:rPr>
          <w:rFonts w:hint="eastAsia" w:ascii="宋体" w:hAnsi="宋体" w:cs="宋体"/>
          <w:color w:val="auto"/>
          <w:szCs w:val="21"/>
          <w:highlight w:val="none"/>
        </w:rPr>
        <w:t>投标人一旦中标，投标人对招标人提供的招标工程量清单中列出的工程项目所报出的综合单价</w:t>
      </w:r>
      <w:r>
        <w:rPr>
          <w:rFonts w:hint="eastAsia" w:ascii="宋体" w:hAnsi="宋体" w:cs="宋体"/>
          <w:color w:val="auto"/>
          <w:szCs w:val="21"/>
          <w:highlight w:val="none"/>
          <w:u w:val="single"/>
        </w:rPr>
        <w:t>和措施项目费（措施项目费必须单列，没有单独列出的，视为已经包含在投标报价中），在工程结算时，按招标文件第三章合同条款相关约定调整。</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条款号：13.5                        修改类型：修改</w:t>
      </w:r>
    </w:p>
    <w:p>
      <w:pPr>
        <w:pBdr>
          <w:bottom w:val="single" w:color="auto" w:sz="6" w:space="1"/>
        </w:pBd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Bdr>
          <w:bottom w:val="single" w:color="auto" w:sz="6" w:space="1"/>
        </w:pBdr>
        <w:spacing w:line="36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13.5.1中标的投标文件工程量清单中已有相同项目的适用综合单价，则沿用；</w:t>
      </w:r>
    </w:p>
    <w:p>
      <w:pPr>
        <w:pBdr>
          <w:bottom w:val="single" w:color="auto" w:sz="6" w:space="1"/>
        </w:pBdr>
        <w:spacing w:line="36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Bdr>
          <w:bottom w:val="single" w:color="auto" w:sz="6" w:space="1"/>
        </w:pBdr>
        <w:spacing w:line="36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13.5.3 中标的投标文件工程量清单中没有相同项目或类似项目的，如可套取相关定额，则以相关定额为基数下浮计算单价,下浮率为中标价相对于最高投标限价的下浮率（下浮率=(最高投标限价-中标价)/最高投标限价）。</w:t>
      </w:r>
    </w:p>
    <w:p>
      <w:pPr>
        <w:pBdr>
          <w:bottom w:val="single" w:color="auto" w:sz="6" w:space="1"/>
        </w:pBdr>
        <w:spacing w:line="360" w:lineRule="auto"/>
        <w:ind w:firstLine="470" w:firstLineChars="224"/>
        <w:rPr>
          <w:rFonts w:ascii="宋体" w:hAnsi="宋体" w:cs="宋体"/>
          <w:color w:val="auto"/>
          <w:szCs w:val="21"/>
          <w:highlight w:val="none"/>
          <w:u w:val="single"/>
        </w:rPr>
      </w:pPr>
      <w:r>
        <w:rPr>
          <w:rFonts w:hint="eastAsia" w:ascii="宋体" w:hAnsi="宋体" w:cs="宋体"/>
          <w:color w:val="auto"/>
          <w:szCs w:val="21"/>
          <w:highlight w:val="none"/>
        </w:rPr>
        <w:t>13.5.4 如相关定额没有相应子目的，其计价方式由招标人在本招标文件第三章中另行规定。未规定的，中标后双方协商约定。</w:t>
      </w:r>
    </w:p>
    <w:p>
      <w:pPr>
        <w:pBdr>
          <w:bottom w:val="single" w:color="auto" w:sz="6" w:space="1"/>
        </w:pBd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13.5</w:t>
      </w:r>
      <w:r>
        <w:rPr>
          <w:rFonts w:hint="eastAsia" w:ascii="宋体" w:hAnsi="宋体" w:cs="宋体"/>
          <w:color w:val="auto"/>
          <w:szCs w:val="21"/>
          <w:highlight w:val="none"/>
          <w:u w:val="single"/>
        </w:rPr>
        <w:t>具体详见本项目施工合同要求。</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条款号：13.6.2                      修改类型：修改</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Bdr>
          <w:bottom w:val="single" w:color="auto" w:sz="6" w:space="1"/>
        </w:pBdr>
        <w:spacing w:line="360" w:lineRule="auto"/>
        <w:ind w:firstLine="527" w:firstLineChars="250"/>
        <w:rPr>
          <w:rFonts w:ascii="宋体" w:hAnsi="宋体" w:cs="宋体"/>
          <w:color w:val="auto"/>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13.6.2在工程实施中，暂列金额、暂估价所包含的工作范围和图纸、标准深化固定后，按照工程专业、设备、材料类别等分类汇总的金额，达到法定招标范围标准的</w:t>
      </w:r>
      <w:r>
        <w:rPr>
          <w:rFonts w:hint="eastAsia" w:ascii="宋体" w:hAnsi="宋体" w:cs="宋体"/>
          <w:color w:val="auto"/>
          <w:szCs w:val="21"/>
          <w:highlight w:val="none"/>
          <w:u w:val="single"/>
        </w:rPr>
        <w:t>应由招标人招标确定承包人和承包价格。</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条款号：13.6.4                      修改类型：修改</w:t>
      </w:r>
    </w:p>
    <w:p>
      <w:pP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13.6.4在工程实施中，暂列金额、暂估价所包含的工作范围和图纸、标准深化固定后，按照工程专业、设备、材料类别等分类汇总的金额，未达到法定招标范围标准也不适用政府采购规定，</w:t>
      </w:r>
      <w:r>
        <w:rPr>
          <w:rFonts w:hint="eastAsia" w:ascii="宋体" w:hAnsi="宋体" w:cs="宋体"/>
          <w:color w:val="auto"/>
          <w:szCs w:val="21"/>
          <w:highlight w:val="none"/>
          <w:u w:val="single"/>
        </w:rPr>
        <w:t>经发包人书面同意，</w:t>
      </w:r>
      <w:r>
        <w:rPr>
          <w:rFonts w:hint="eastAsia" w:ascii="宋体" w:hAnsi="宋体" w:cs="宋体"/>
          <w:color w:val="auto"/>
          <w:szCs w:val="21"/>
          <w:highlight w:val="none"/>
        </w:rPr>
        <w:t>承包人有法定的承包资格的，由承包人承包，承包人无法定的承包资格但有法定的分包权的，由承包人分包，招标人同承包人结算的价格按本投标须知13.5款规定确定。</w:t>
      </w:r>
    </w:p>
    <w:p>
      <w:pPr>
        <w:pStyle w:val="20"/>
        <w:pBdr>
          <w:bottom w:val="single" w:color="auto" w:sz="6" w:space="1"/>
        </w:pBdr>
        <w:spacing w:after="0" w:line="440" w:lineRule="exact"/>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现文：</w:t>
      </w:r>
      <w:r>
        <w:rPr>
          <w:rFonts w:hint="eastAsia" w:ascii="宋体" w:hAnsi="宋体" w:cs="宋体"/>
          <w:color w:val="auto"/>
          <w:sz w:val="21"/>
          <w:szCs w:val="21"/>
          <w:highlight w:val="none"/>
        </w:rPr>
        <w:t>13.6.4在工程实施中，暂列金额、暂估价所包含的工作范围和图纸、标准深化固定后，按照工程专业、设备、材料类别等分类汇总的金额，未达到法定招标范围标准也不适用政府采购规定，</w:t>
      </w:r>
      <w:r>
        <w:rPr>
          <w:rFonts w:hint="eastAsia" w:ascii="宋体" w:hAnsi="宋体" w:cs="宋体"/>
          <w:color w:val="auto"/>
          <w:sz w:val="21"/>
          <w:szCs w:val="21"/>
          <w:highlight w:val="none"/>
          <w:u w:val="single"/>
        </w:rPr>
        <w:t>经发包人同意，</w:t>
      </w:r>
      <w:r>
        <w:rPr>
          <w:rFonts w:hint="eastAsia" w:ascii="宋体" w:hAnsi="宋体" w:cs="宋体"/>
          <w:color w:val="auto"/>
          <w:sz w:val="21"/>
          <w:szCs w:val="21"/>
          <w:highlight w:val="none"/>
        </w:rPr>
        <w:t>承包人有法定的承包资格的，由承包人承包，承包人无法定的承包资格但有法</w:t>
      </w:r>
    </w:p>
    <w:p>
      <w:pPr>
        <w:pBdr>
          <w:bottom w:val="single" w:color="auto" w:sz="6" w:space="1"/>
        </w:pBdr>
        <w:spacing w:line="440" w:lineRule="exact"/>
        <w:rPr>
          <w:rFonts w:ascii="宋体" w:hAnsi="宋体" w:cs="宋体"/>
          <w:color w:val="auto"/>
          <w:highlight w:val="none"/>
        </w:rPr>
      </w:pPr>
      <w:r>
        <w:rPr>
          <w:rFonts w:hint="eastAsia" w:ascii="宋体" w:hAnsi="宋体" w:cs="宋体"/>
          <w:color w:val="auto"/>
          <w:szCs w:val="21"/>
          <w:highlight w:val="none"/>
        </w:rPr>
        <w:t>定的分包权的，由承包人分包，招标人同承包人结算的价格按本投标须知13.5款规定确定。</w:t>
      </w:r>
    </w:p>
    <w:p>
      <w:pPr>
        <w:spacing w:line="360" w:lineRule="auto"/>
        <w:ind w:firstLine="472" w:firstLineChars="224"/>
        <w:rPr>
          <w:rFonts w:ascii="宋体" w:hAnsi="宋体"/>
          <w:b/>
          <w:color w:val="auto"/>
          <w:szCs w:val="21"/>
          <w:highlight w:val="none"/>
        </w:rPr>
      </w:pPr>
      <w:r>
        <w:rPr>
          <w:rFonts w:ascii="宋体" w:hAnsi="宋体"/>
          <w:b/>
          <w:color w:val="auto"/>
          <w:szCs w:val="21"/>
          <w:highlight w:val="none"/>
        </w:rPr>
        <w:t>条款号：16.</w:t>
      </w:r>
      <w:r>
        <w:rPr>
          <w:rFonts w:hint="eastAsia" w:ascii="宋体" w:hAnsi="宋体"/>
          <w:b/>
          <w:color w:val="auto"/>
          <w:szCs w:val="21"/>
          <w:highlight w:val="none"/>
        </w:rPr>
        <w:t>4</w:t>
      </w:r>
      <w:r>
        <w:rPr>
          <w:rFonts w:ascii="宋体" w:hAnsi="宋体"/>
          <w:b/>
          <w:color w:val="auto"/>
          <w:szCs w:val="21"/>
          <w:highlight w:val="none"/>
        </w:rPr>
        <w:t xml:space="preserve">             修改类型：修改</w:t>
      </w:r>
    </w:p>
    <w:p>
      <w:pPr>
        <w:spacing w:line="360" w:lineRule="auto"/>
        <w:ind w:firstLine="472" w:firstLineChars="224"/>
        <w:rPr>
          <w:rFonts w:ascii="宋体" w:hAnsi="宋体"/>
          <w:b/>
          <w:color w:val="auto"/>
          <w:szCs w:val="21"/>
          <w:highlight w:val="none"/>
        </w:rPr>
      </w:pPr>
      <w:r>
        <w:rPr>
          <w:rFonts w:ascii="宋体" w:hAnsi="宋体"/>
          <w:b/>
          <w:color w:val="auto"/>
          <w:szCs w:val="21"/>
          <w:highlight w:val="none"/>
        </w:rPr>
        <w:t>原文：</w:t>
      </w:r>
      <w:r>
        <w:rPr>
          <w:rFonts w:hint="eastAsia" w:ascii="宋体" w:hAnsi="宋体"/>
          <w:color w:val="auto"/>
          <w:szCs w:val="21"/>
          <w:highlight w:val="none"/>
        </w:rPr>
        <w:t>16.4</w:t>
      </w:r>
      <w:r>
        <w:rPr>
          <w:rFonts w:ascii="宋体" w:hAnsi="宋体"/>
          <w:color w:val="auto"/>
          <w:szCs w:val="21"/>
          <w:highlight w:val="none"/>
        </w:rPr>
        <w:t>开标时投标人没有按要求提供投标保证金的，其投标文件将被否决。</w:t>
      </w:r>
    </w:p>
    <w:p>
      <w:pPr>
        <w:pBdr>
          <w:bottom w:val="single" w:color="000000" w:sz="6" w:space="1"/>
        </w:pBdr>
        <w:spacing w:line="360" w:lineRule="auto"/>
        <w:ind w:firstLine="527" w:firstLineChars="250"/>
        <w:rPr>
          <w:rFonts w:hint="eastAsia" w:ascii="宋体" w:hAnsi="宋体" w:eastAsia="宋体"/>
          <w:bCs/>
          <w:color w:val="auto"/>
          <w:szCs w:val="21"/>
          <w:highlight w:val="none"/>
          <w:lang w:val="en-US" w:eastAsia="zh-CN"/>
        </w:rPr>
      </w:pPr>
      <w:r>
        <w:rPr>
          <w:rFonts w:ascii="宋体" w:hAnsi="宋体"/>
          <w:b/>
          <w:color w:val="auto"/>
          <w:szCs w:val="21"/>
          <w:highlight w:val="none"/>
        </w:rPr>
        <w:t>现文：</w:t>
      </w:r>
      <w:r>
        <w:rPr>
          <w:rFonts w:hint="eastAsia" w:ascii="宋体" w:hAnsi="宋体"/>
          <w:b/>
          <w:color w:val="auto"/>
          <w:szCs w:val="21"/>
          <w:highlight w:val="none"/>
          <w:lang w:val="en-US" w:eastAsia="zh-CN"/>
        </w:rPr>
        <w:t>删除。</w:t>
      </w:r>
    </w:p>
    <w:p>
      <w:pPr>
        <w:spacing w:line="360" w:lineRule="auto"/>
        <w:ind w:firstLine="472" w:firstLineChars="224"/>
        <w:rPr>
          <w:rFonts w:ascii="宋体" w:hAnsi="宋体"/>
          <w:b/>
          <w:color w:val="auto"/>
          <w:szCs w:val="21"/>
          <w:highlight w:val="none"/>
        </w:rPr>
      </w:pPr>
      <w:r>
        <w:rPr>
          <w:rFonts w:ascii="宋体" w:hAnsi="宋体"/>
          <w:b/>
          <w:color w:val="auto"/>
          <w:szCs w:val="21"/>
          <w:highlight w:val="none"/>
        </w:rPr>
        <w:t>条款号：16.</w:t>
      </w:r>
      <w:r>
        <w:rPr>
          <w:rFonts w:hint="eastAsia" w:ascii="宋体" w:hAnsi="宋体"/>
          <w:b/>
          <w:color w:val="auto"/>
          <w:szCs w:val="21"/>
          <w:highlight w:val="none"/>
        </w:rPr>
        <w:t>5</w:t>
      </w:r>
      <w:r>
        <w:rPr>
          <w:rFonts w:ascii="宋体" w:hAnsi="宋体"/>
          <w:b/>
          <w:color w:val="auto"/>
          <w:szCs w:val="21"/>
          <w:highlight w:val="none"/>
        </w:rPr>
        <w:t xml:space="preserve">             修改类型：修改</w:t>
      </w:r>
    </w:p>
    <w:p>
      <w:pPr>
        <w:spacing w:line="360" w:lineRule="auto"/>
        <w:ind w:firstLine="472" w:firstLineChars="224"/>
        <w:rPr>
          <w:rFonts w:ascii="宋体" w:hAnsi="宋体"/>
          <w:color w:val="auto"/>
          <w:szCs w:val="21"/>
          <w:highlight w:val="none"/>
        </w:rPr>
      </w:pPr>
      <w:r>
        <w:rPr>
          <w:rFonts w:ascii="宋体" w:hAnsi="宋体"/>
          <w:b/>
          <w:color w:val="auto"/>
          <w:szCs w:val="21"/>
          <w:highlight w:val="none"/>
        </w:rPr>
        <w:t>原文：</w:t>
      </w:r>
      <w:r>
        <w:rPr>
          <w:rFonts w:ascii="宋体" w:hAnsi="宋体"/>
          <w:color w:val="auto"/>
          <w:szCs w:val="21"/>
          <w:highlight w:val="none"/>
        </w:rPr>
        <w:t>16.5中标候选人以外的投标人的投标保证金将尽快退还，最迟不超过中标通知书发出之日起五日内。</w:t>
      </w:r>
    </w:p>
    <w:p>
      <w:pPr>
        <w:spacing w:line="360" w:lineRule="auto"/>
        <w:ind w:firstLine="422" w:firstLineChars="200"/>
        <w:rPr>
          <w:rFonts w:ascii="宋体" w:hAnsi="宋体" w:cs="宋体"/>
          <w:color w:val="auto"/>
          <w:szCs w:val="21"/>
          <w:highlight w:val="none"/>
        </w:rPr>
      </w:pPr>
      <w:r>
        <w:rPr>
          <w:rFonts w:ascii="宋体" w:hAnsi="宋体"/>
          <w:b/>
          <w:color w:val="auto"/>
          <w:szCs w:val="21"/>
          <w:highlight w:val="none"/>
        </w:rPr>
        <w:t>现文：</w:t>
      </w:r>
      <w:r>
        <w:rPr>
          <w:rFonts w:hint="eastAsia" w:ascii="宋体" w:hAnsi="宋体" w:cs="宋体"/>
          <w:color w:val="auto"/>
          <w:szCs w:val="21"/>
          <w:highlight w:val="none"/>
        </w:rPr>
        <w:t>16.5投标人如存在下列情况之一的，将被拒绝在</w:t>
      </w:r>
      <w:r>
        <w:rPr>
          <w:rFonts w:hint="eastAsia" w:ascii="宋体" w:hAnsi="宋体" w:cs="宋体"/>
          <w:color w:val="auto"/>
          <w:szCs w:val="21"/>
          <w:highlight w:val="none"/>
          <w:u w:val="single"/>
        </w:rPr>
        <w:t>一年内</w:t>
      </w:r>
      <w:r>
        <w:rPr>
          <w:rFonts w:hint="eastAsia" w:ascii="宋体" w:hAnsi="宋体" w:cs="宋体"/>
          <w:color w:val="auto"/>
          <w:szCs w:val="21"/>
          <w:highlight w:val="none"/>
        </w:rPr>
        <w:t>参与招标人后续工程投标；</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16.5.1投标人存在16.4条款所列情形且投标人提交的保函、担保或保证保险无法兑付的；</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color w:val="auto"/>
          <w:highlight w:val="none"/>
        </w:rPr>
      </w:pPr>
      <w:r>
        <w:rPr>
          <w:rFonts w:hint="eastAsia" w:ascii="宋体" w:hAnsi="宋体" w:cs="宋体"/>
          <w:color w:val="auto"/>
          <w:szCs w:val="21"/>
          <w:highlight w:val="none"/>
        </w:rPr>
        <w:t>16.5.3按招标文件要求免于提供投标保证金的投标人存在16.4条款所列情形，且未按招标人要求补交投标保证金的。</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条款号：17.1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rPr>
        <w:t>。</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条款号：18、19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原文：</w:t>
      </w:r>
      <w:r>
        <w:rPr>
          <w:rFonts w:hint="eastAsia" w:ascii="宋体" w:hAnsi="宋体" w:cs="宋体"/>
          <w:b/>
          <w:bCs/>
          <w:color w:val="auto"/>
          <w:szCs w:val="21"/>
          <w:highlight w:val="none"/>
        </w:rPr>
        <w:t>18．</w:t>
      </w:r>
      <w:r>
        <w:rPr>
          <w:rFonts w:hint="eastAsia" w:ascii="宋体" w:hAnsi="宋体" w:cs="宋体"/>
          <w:b/>
          <w:color w:val="auto"/>
          <w:szCs w:val="21"/>
          <w:highlight w:val="none"/>
        </w:rPr>
        <w:t>投标文件的密封和标记</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18.1递交的电子投标文件（不含备用光盘）必须进行加密。按照交易平台关于</w:t>
      </w:r>
      <w:r>
        <w:rPr>
          <w:rFonts w:hint="eastAsia" w:ascii="宋体" w:hAnsi="宋体" w:cs="宋体"/>
          <w:color w:val="auto"/>
          <w:szCs w:val="21"/>
          <w:highlight w:val="none"/>
        </w:rPr>
        <w:t>全流程电子化项目的相关指南进行操作。详见：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18.2 未按要求加密的投标文件，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19．投标文件的递交和接收</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19.1投标人通过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交易平台递交电子投标文件。</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19.2投标人完成电子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交易平台即时向投标人发出递交回执通知。递交时间以递交回执通知载明的传输完成时间为准。</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bCs/>
          <w:color w:val="auto"/>
          <w:szCs w:val="21"/>
          <w:highlight w:val="none"/>
        </w:rPr>
        <w:t>19.3逾期送达的电子投标文件，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交易平台将予以拒收。</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19.4 投标截止前，招标人拒绝接收符合条件的投标文件，投标人可向招标投标监督机构投诉。</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19.5如技术标和经济标先后分别开启，</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交易平台将按招标文件规定的时间分别开启技术标和经济标。</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19.6在规定的时间内，项目负责人须到自助签到。按照交易平台有关项目负责人自助签到流程进行操作。项目负责人凡未凭身份证按时到达指定地点签到的，该投标文件将不能参与资格审查和评标（选择性条款）。</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现文：</w:t>
      </w:r>
      <w:r>
        <w:rPr>
          <w:rFonts w:hint="eastAsia" w:ascii="宋体" w:hAnsi="宋体" w:cs="宋体"/>
          <w:b/>
          <w:bCs/>
          <w:color w:val="auto"/>
          <w:szCs w:val="21"/>
          <w:highlight w:val="none"/>
        </w:rPr>
        <w:t>18．</w:t>
      </w:r>
      <w:r>
        <w:rPr>
          <w:rFonts w:hint="eastAsia" w:ascii="宋体" w:hAnsi="宋体" w:cs="宋体"/>
          <w:b/>
          <w:color w:val="auto"/>
          <w:szCs w:val="21"/>
          <w:highlight w:val="none"/>
        </w:rPr>
        <w:t>投标文件的密封和标记</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18.1 递交的电子投标文件（不含备用光盘）必须进行加密。按照交易平台关于</w:t>
      </w:r>
      <w:r>
        <w:rPr>
          <w:rFonts w:hint="eastAsia" w:ascii="宋体" w:hAnsi="宋体" w:cs="宋体"/>
          <w:color w:val="auto"/>
          <w:szCs w:val="21"/>
          <w:highlight w:val="none"/>
        </w:rPr>
        <w:t>全流程电子化项目的相关指南进行操作。详见：</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rPr>
        <w:t>。</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18.2 未按要求加密的投标文件，</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19．投标文件的递交和接收</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19.1投标人通过</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交易平台递交电子投标文件。</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19.2投标人完成电子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交易平台即时向投标人发出递交回执通知。递交时间以递交回执通知载明的传输完成时间为准。</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bCs/>
          <w:color w:val="auto"/>
          <w:szCs w:val="21"/>
          <w:highlight w:val="none"/>
        </w:rPr>
        <w:t>19.3逾期送达的电子投标文件，</w:t>
      </w:r>
      <w:r>
        <w:rPr>
          <w:rFonts w:hint="eastAsia" w:ascii="宋体" w:hAnsi="宋体" w:cs="宋体"/>
          <w:color w:val="auto"/>
          <w:szCs w:val="21"/>
          <w:highlight w:val="none"/>
          <w:u w:val="single"/>
        </w:rPr>
        <w:t xml:space="preserve">广州公共资源交易中心 </w:t>
      </w:r>
      <w:r>
        <w:rPr>
          <w:rFonts w:hint="eastAsia" w:ascii="宋体" w:hAnsi="宋体" w:cs="宋体"/>
          <w:color w:val="auto"/>
          <w:szCs w:val="21"/>
          <w:highlight w:val="none"/>
        </w:rPr>
        <w:t>交易平台将予以拒收。</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19.4 投标截止前，招标人拒绝接收符合条件的投标文件，投标人可向招标投标监督机构投诉。</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19.5如技术标和经济标先后分别开启，</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交易平台将按招标文件规定的时间分别开启技术标和经济标。</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strike/>
          <w:color w:val="auto"/>
          <w:szCs w:val="21"/>
          <w:highlight w:val="none"/>
        </w:rPr>
      </w:pPr>
      <w:r>
        <w:rPr>
          <w:rFonts w:hint="eastAsia" w:ascii="宋体" w:hAnsi="宋体" w:cs="宋体"/>
          <w:strike/>
          <w:color w:val="auto"/>
          <w:szCs w:val="21"/>
          <w:highlight w:val="none"/>
        </w:rPr>
        <w:t>19.6</w:t>
      </w:r>
      <w:r>
        <w:rPr>
          <w:rFonts w:hint="eastAsia" w:ascii="宋体" w:hAnsi="宋体" w:cs="宋体"/>
          <w:strike/>
          <w:color w:val="auto"/>
          <w:szCs w:val="21"/>
          <w:highlight w:val="none"/>
          <w:u w:val="single"/>
        </w:rPr>
        <w:t>在规定的时间内，项目负责人须到自助签到。按照交易平台有关项目负责人自助签到流程进行操作。项目负责人凡未凭身份证按时到达指定地点自助签到且没有进行应急人工签到的，该投标文件将不能参与资格审查和评标</w:t>
      </w:r>
      <w:r>
        <w:rPr>
          <w:rFonts w:hint="eastAsia" w:ascii="宋体" w:hAnsi="宋体" w:cs="宋体"/>
          <w:strike/>
          <w:color w:val="auto"/>
          <w:szCs w:val="21"/>
          <w:highlight w:val="none"/>
        </w:rPr>
        <w:t>。</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条款号：21.1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21.1 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交易平台将予以拒收。</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21.1 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交易平台将予以拒收。</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b/>
          <w:bCs/>
          <w:color w:val="auto"/>
          <w:szCs w:val="21"/>
          <w:highlight w:val="none"/>
        </w:rPr>
        <w:t>26</w:t>
      </w:r>
      <w:r>
        <w:rPr>
          <w:rFonts w:hint="eastAsia" w:ascii="宋体" w:hAnsi="宋体" w:cs="宋体"/>
          <w:b/>
          <w:color w:val="auto"/>
          <w:szCs w:val="21"/>
          <w:highlight w:val="none"/>
        </w:rPr>
        <w:t xml:space="preserve">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原文：</w:t>
      </w:r>
      <w:r>
        <w:rPr>
          <w:rFonts w:hint="eastAsia" w:ascii="宋体" w:hAnsi="宋体" w:cs="宋体"/>
          <w:b/>
          <w:bCs/>
          <w:color w:val="auto"/>
          <w:szCs w:val="21"/>
          <w:highlight w:val="none"/>
        </w:rPr>
        <w:t>26投标文件的评审、比较和否决</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详见招标文件第二章开标、评标及定标办法。</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现文：</w:t>
      </w:r>
      <w:r>
        <w:rPr>
          <w:rFonts w:hint="eastAsia" w:ascii="宋体" w:hAnsi="宋体" w:cs="宋体"/>
          <w:b/>
          <w:bCs/>
          <w:color w:val="auto"/>
          <w:szCs w:val="21"/>
          <w:highlight w:val="none"/>
        </w:rPr>
        <w:t>26投标文件的评审、比较和否决</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详见招标文件第二章开标、评标及定标办法。</w:t>
      </w:r>
      <w:r>
        <w:rPr>
          <w:rFonts w:hint="eastAsia" w:ascii="宋体" w:hAnsi="宋体" w:cs="宋体"/>
          <w:color w:val="auto"/>
          <w:szCs w:val="21"/>
          <w:highlight w:val="none"/>
          <w:u w:val="single"/>
        </w:rPr>
        <w:t>经评标委员会评审，满足资格审查合格条件的投标人不足 3 名，或通过技术、经济标有效性审查的投标单位不足3名时，招标人将依法重新招标。</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条款号：27.1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27.1招标人将在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交易平台、广东省招标投标监管网和中国招标投标公共服务平台公示中标候选人，公示期为三天。</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27.1招标人将在</w:t>
      </w:r>
      <w:r>
        <w:rPr>
          <w:rFonts w:hint="eastAsia" w:ascii="宋体" w:hAnsi="宋体" w:cs="宋体"/>
          <w:color w:val="auto"/>
          <w:szCs w:val="21"/>
          <w:highlight w:val="none"/>
          <w:u w:val="single"/>
        </w:rPr>
        <w:t>广州公共资源交易中心交易平台、广东省招标投标监管网和中国招标投标公共服务平台</w:t>
      </w:r>
      <w:r>
        <w:rPr>
          <w:rFonts w:hint="eastAsia" w:ascii="宋体" w:hAnsi="宋体" w:cs="宋体"/>
          <w:color w:val="auto"/>
          <w:szCs w:val="21"/>
          <w:highlight w:val="none"/>
        </w:rPr>
        <w:t>公示中标候选人，公示期为三天。</w:t>
      </w:r>
      <w:r>
        <w:rPr>
          <w:rFonts w:hint="eastAsia" w:ascii="宋体" w:hAnsi="宋体" w:cs="宋体"/>
          <w:color w:val="auto"/>
          <w:kern w:val="0"/>
          <w:szCs w:val="21"/>
          <w:highlight w:val="none"/>
          <w:u w:val="singl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条款号：27.4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27.4在产生中标候选人后，招标人将中标候选人的投标文件商务部分文件的所有内容（包括报价清单、人员、业绩、奖项等资料）在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交易平台和广东省招标投标监管网公开。</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27.4在产生中标候选人后，招标人将中标候选人的投标文件商务部分文件的所有内容（包括人员、业绩、奖项等资料）在</w:t>
      </w:r>
      <w:r>
        <w:rPr>
          <w:rFonts w:hint="eastAsia" w:ascii="宋体" w:hAnsi="宋体" w:cs="宋体"/>
          <w:color w:val="auto"/>
          <w:kern w:val="0"/>
          <w:szCs w:val="21"/>
          <w:highlight w:val="none"/>
          <w:u w:val="single"/>
        </w:rPr>
        <w:t>广州公共资源交易中心网站</w:t>
      </w:r>
      <w:r>
        <w:rPr>
          <w:rFonts w:hint="eastAsia" w:ascii="宋体" w:hAnsi="宋体" w:cs="宋体"/>
          <w:color w:val="auto"/>
          <w:szCs w:val="21"/>
          <w:highlight w:val="none"/>
        </w:rPr>
        <w:t>和广东省招标投标监管网公开。</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条款号：29.1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29.1在收到中标通知书后的15日内，中标人应按本须知前附表第20项的规定向招标人提交履约担保。</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29.1在合同生效之日起的30日内</w:t>
      </w:r>
      <w:r>
        <w:rPr>
          <w:rFonts w:hint="eastAsia" w:ascii="宋体" w:hAnsi="宋体" w:cs="宋体"/>
          <w:color w:val="auto"/>
          <w:szCs w:val="21"/>
          <w:highlight w:val="none"/>
        </w:rPr>
        <w:t>，中标人应按本须知前附表第20项的规定向招标人提交履约担保。</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条款号：29.2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kern w:val="0"/>
          <w:szCs w:val="21"/>
          <w:highlight w:val="none"/>
          <w:u w:val="single"/>
        </w:rPr>
        <w:t>29.2合同生效之日起30日后，</w:t>
      </w:r>
      <w:r>
        <w:rPr>
          <w:rFonts w:hint="eastAsia" w:ascii="宋体" w:hAnsi="宋体" w:cs="宋体"/>
          <w:color w:val="auto"/>
          <w:kern w:val="0"/>
          <w:szCs w:val="21"/>
          <w:highlight w:val="none"/>
        </w:rPr>
        <w:t>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黄埔区人民法院起诉</w:t>
      </w:r>
      <w:r>
        <w:rPr>
          <w:rFonts w:hint="eastAsia" w:ascii="宋体" w:hAnsi="宋体" w:cs="宋体"/>
          <w:color w:val="auto"/>
          <w:szCs w:val="21"/>
          <w:highlight w:val="none"/>
        </w:rPr>
        <w:t>。</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条款号：30.1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30.1在合同双方全权代表在合同协议书上签字，并分别加盖双方单位的公章后，合同正式生效。</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30.1</w:t>
      </w:r>
      <w:r>
        <w:rPr>
          <w:rFonts w:hint="eastAsia" w:ascii="宋体" w:hAnsi="宋体" w:cs="宋体"/>
          <w:bCs/>
          <w:color w:val="auto"/>
          <w:szCs w:val="21"/>
          <w:highlight w:val="none"/>
          <w:u w:val="single"/>
        </w:rPr>
        <w:t>合同</w:t>
      </w:r>
      <w:r>
        <w:rPr>
          <w:rFonts w:hint="eastAsia" w:ascii="宋体" w:hAnsi="宋体" w:cs="宋体"/>
          <w:color w:val="auto"/>
          <w:szCs w:val="21"/>
          <w:highlight w:val="none"/>
          <w:u w:val="single"/>
        </w:rPr>
        <w:t>自发包人、承包人双方法定代表人或授权代表签字并加盖单位公章且在承包人提交履约担保后之日起生效。</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条款号：31           修改类型：增加</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原文：31．其它费用</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现文：31．其它费用</w:t>
      </w:r>
    </w:p>
    <w:p>
      <w:pPr>
        <w:pBdr>
          <w:top w:val="none" w:color="auto" w:sz="0" w:space="1"/>
          <w:left w:val="none" w:color="auto" w:sz="0" w:space="4"/>
          <w:bottom w:val="single" w:color="auto" w:sz="4" w:space="1"/>
          <w:right w:val="none" w:color="auto" w:sz="0" w:space="4"/>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按广州市政府相关文件的规定，向广州公共资源交易中心交纳交易服务费。</w:t>
      </w:r>
    </w:p>
    <w:p>
      <w:pPr>
        <w:spacing w:line="440" w:lineRule="exact"/>
        <w:ind w:firstLine="413" w:firstLineChars="196"/>
        <w:rPr>
          <w:rFonts w:ascii="宋体" w:hAnsi="宋体" w:cs="宋体"/>
          <w:b/>
          <w:color w:val="auto"/>
          <w:szCs w:val="21"/>
          <w:highlight w:val="none"/>
        </w:rPr>
      </w:pPr>
      <w:r>
        <w:rPr>
          <w:rFonts w:hint="eastAsia" w:ascii="宋体" w:hAnsi="宋体" w:cs="宋体"/>
          <w:b/>
          <w:color w:val="auto"/>
          <w:szCs w:val="21"/>
          <w:highlight w:val="none"/>
        </w:rPr>
        <w:t>条款号：32</w:t>
      </w:r>
      <w:r>
        <w:rPr>
          <w:rFonts w:ascii="宋体" w:hAnsi="宋体" w:cs="宋体"/>
          <w:b/>
          <w:color w:val="auto"/>
          <w:szCs w:val="21"/>
          <w:highlight w:val="none"/>
        </w:rPr>
        <w:t>.</w:t>
      </w:r>
      <w:r>
        <w:rPr>
          <w:rFonts w:hint="eastAsia" w:ascii="宋体" w:hAnsi="宋体" w:cs="宋体"/>
          <w:b/>
          <w:color w:val="auto"/>
          <w:szCs w:val="21"/>
          <w:highlight w:val="none"/>
        </w:rPr>
        <w:t>3         修改类型：修改</w:t>
      </w:r>
    </w:p>
    <w:p>
      <w:pPr>
        <w:pBdr>
          <w:bottom w:val="single" w:color="auto" w:sz="6" w:space="1"/>
        </w:pBdr>
        <w:spacing w:line="440" w:lineRule="exact"/>
        <w:ind w:firstLine="413" w:firstLineChars="196"/>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32.3</w:t>
      </w:r>
      <w:r>
        <w:rPr>
          <w:rFonts w:hint="eastAsia"/>
          <w:color w:val="auto"/>
          <w:highlight w:val="none"/>
        </w:rPr>
        <w:t>投标人如在本项目中存在串通投标、弄虚作假、行贿情形的，中标无效，行政监督部门将对其违法行为进行政处罚并通报。该投标人将被招标人列入黑名单并限制其参与招标人后续项目的投标。</w:t>
      </w:r>
    </w:p>
    <w:p>
      <w:pPr>
        <w:pBdr>
          <w:bottom w:val="single" w:color="auto" w:sz="6" w:space="1"/>
        </w:pBdr>
        <w:spacing w:line="440" w:lineRule="exact"/>
        <w:ind w:firstLine="413" w:firstLineChars="196"/>
        <w:rPr>
          <w:rFonts w:ascii="宋体" w:hAnsi="宋体" w:cs="宋体"/>
          <w:color w:val="auto"/>
          <w:szCs w:val="21"/>
          <w:highlight w:val="none"/>
        </w:rPr>
      </w:pPr>
      <w:r>
        <w:rPr>
          <w:rFonts w:hint="eastAsia" w:ascii="宋体" w:hAnsi="宋体" w:cs="宋体"/>
          <w:b/>
          <w:bCs/>
          <w:color w:val="auto"/>
          <w:szCs w:val="21"/>
          <w:highlight w:val="none"/>
        </w:rPr>
        <w:t>现文：</w:t>
      </w:r>
      <w:r>
        <w:rPr>
          <w:rFonts w:hint="eastAsia" w:ascii="宋体" w:hAnsi="宋体" w:cs="宋体"/>
          <w:bCs/>
          <w:color w:val="auto"/>
          <w:kern w:val="0"/>
          <w:szCs w:val="21"/>
          <w:highlight w:val="none"/>
        </w:rPr>
        <w:t>32.3投标人如在本项目中存在串通投标、弄虚作假</w:t>
      </w:r>
      <w:r>
        <w:rPr>
          <w:rFonts w:hint="eastAsia" w:ascii="宋体" w:hAnsi="宋体" w:cs="宋体"/>
          <w:b/>
          <w:color w:val="auto"/>
          <w:kern w:val="0"/>
          <w:szCs w:val="21"/>
          <w:highlight w:val="none"/>
          <w:u w:val="single"/>
        </w:rPr>
        <w:t>骗取中标</w:t>
      </w:r>
      <w:r>
        <w:rPr>
          <w:rFonts w:hint="eastAsia" w:ascii="宋体" w:hAnsi="宋体" w:cs="宋体"/>
          <w:bCs/>
          <w:color w:val="auto"/>
          <w:kern w:val="0"/>
          <w:szCs w:val="21"/>
          <w:highlight w:val="none"/>
        </w:rPr>
        <w:t>、行贿情形的，中标无效，行政监督部门将对其违法行为进行政处罚。</w:t>
      </w:r>
      <w:r>
        <w:rPr>
          <w:rFonts w:hint="eastAsia" w:ascii="宋体" w:hAnsi="宋体" w:cs="宋体"/>
          <w:b/>
          <w:color w:val="auto"/>
          <w:kern w:val="0"/>
          <w:szCs w:val="21"/>
          <w:highlight w:val="none"/>
          <w:u w:val="single"/>
        </w:rPr>
        <w:t>该投标人将被招标人列入黑名单并限制其参与招标人后续项目的投标。</w:t>
      </w:r>
    </w:p>
    <w:p>
      <w:pPr>
        <w:spacing w:line="440" w:lineRule="exact"/>
        <w:ind w:firstLine="413" w:firstLineChars="196"/>
        <w:rPr>
          <w:rFonts w:ascii="宋体" w:hAnsi="宋体" w:cs="宋体"/>
          <w:b/>
          <w:color w:val="auto"/>
          <w:szCs w:val="21"/>
          <w:highlight w:val="none"/>
        </w:rPr>
      </w:pPr>
      <w:r>
        <w:rPr>
          <w:rFonts w:hint="eastAsia" w:ascii="宋体" w:hAnsi="宋体" w:cs="宋体"/>
          <w:b/>
          <w:color w:val="auto"/>
          <w:szCs w:val="21"/>
          <w:highlight w:val="none"/>
        </w:rPr>
        <w:t>条款号：33</w:t>
      </w:r>
      <w:r>
        <w:rPr>
          <w:rFonts w:ascii="宋体" w:hAnsi="宋体" w:cs="宋体"/>
          <w:b/>
          <w:color w:val="auto"/>
          <w:szCs w:val="21"/>
          <w:highlight w:val="none"/>
        </w:rPr>
        <w:t xml:space="preserve">           </w:t>
      </w:r>
      <w:r>
        <w:rPr>
          <w:rFonts w:hint="eastAsia" w:ascii="宋体" w:hAnsi="宋体" w:cs="宋体"/>
          <w:b/>
          <w:color w:val="auto"/>
          <w:szCs w:val="21"/>
          <w:highlight w:val="none"/>
        </w:rPr>
        <w:t>修改类型：删除</w:t>
      </w:r>
    </w:p>
    <w:p>
      <w:pPr>
        <w:pBdr>
          <w:bottom w:val="single" w:color="auto" w:sz="6" w:space="1"/>
        </w:pBdr>
        <w:spacing w:line="440" w:lineRule="exact"/>
        <w:ind w:firstLine="413" w:firstLineChars="196"/>
        <w:rPr>
          <w:color w:val="auto"/>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33</w:t>
      </w:r>
      <w:r>
        <w:rPr>
          <w:rFonts w:hint="eastAsia"/>
          <w:color w:val="auto"/>
          <w:highlight w:val="none"/>
        </w:rPr>
        <w:t>投标人信誉的要求</w:t>
      </w:r>
    </w:p>
    <w:p>
      <w:pPr>
        <w:pBdr>
          <w:bottom w:val="single" w:color="auto" w:sz="6" w:space="1"/>
        </w:pBdr>
        <w:spacing w:line="440" w:lineRule="exact"/>
        <w:ind w:firstLine="411" w:firstLineChars="196"/>
        <w:rPr>
          <w:color w:val="auto"/>
          <w:highlight w:val="none"/>
        </w:rPr>
      </w:pPr>
      <w:r>
        <w:rPr>
          <w:rFonts w:hint="eastAsia"/>
          <w:color w:val="auto"/>
          <w:highlight w:val="none"/>
        </w:rPr>
        <w:t>存在下列情形之一的，招标人可以限制其投标（需在招标文件中明确评定方法）</w:t>
      </w:r>
    </w:p>
    <w:p>
      <w:pPr>
        <w:pBdr>
          <w:bottom w:val="single" w:color="auto" w:sz="6" w:space="1"/>
        </w:pBdr>
        <w:spacing w:line="440" w:lineRule="exact"/>
        <w:ind w:firstLine="411" w:firstLineChars="196"/>
        <w:rPr>
          <w:rFonts w:ascii="宋体" w:hAnsi="宋体" w:cs="宋体"/>
          <w:color w:val="auto"/>
          <w:highlight w:val="none"/>
        </w:rPr>
      </w:pPr>
      <w:r>
        <w:rPr>
          <w:rFonts w:hint="eastAsia" w:ascii="宋体" w:hAnsi="宋体" w:cs="宋体"/>
          <w:color w:val="auto"/>
          <w:highlight w:val="none"/>
        </w:rPr>
        <w:t>（1）被住房城乡建设行政主管部门在全国建筑市场监管一体化工作平台列入建筑市场主体“黑名单”；</w:t>
      </w:r>
    </w:p>
    <w:p>
      <w:pPr>
        <w:pBdr>
          <w:bottom w:val="single" w:color="auto" w:sz="6" w:space="1"/>
        </w:pBdr>
        <w:spacing w:line="440" w:lineRule="exact"/>
        <w:ind w:firstLine="411" w:firstLineChars="196"/>
        <w:rPr>
          <w:rFonts w:ascii="宋体" w:hAnsi="宋体"/>
          <w:b/>
          <w:color w:val="auto"/>
          <w:szCs w:val="21"/>
          <w:highlight w:val="none"/>
        </w:rPr>
      </w:pPr>
      <w:r>
        <w:rPr>
          <w:rFonts w:hint="eastAsia" w:ascii="宋体" w:hAnsi="宋体" w:cs="宋体"/>
          <w:color w:val="auto"/>
          <w:highlight w:val="none"/>
        </w:rPr>
        <w:t>（2）被</w:t>
      </w:r>
      <w:r>
        <w:rPr>
          <w:rFonts w:hint="eastAsia"/>
          <w:color w:val="auto"/>
          <w:highlight w:val="none"/>
        </w:rPr>
        <w:t>发改委、人力资源社会保障、质检总局等有关部门、单位在“信用中国”网站中列入联合惩戒失信黑名单。</w:t>
      </w:r>
    </w:p>
    <w:p>
      <w:pPr>
        <w:pStyle w:val="12"/>
        <w:rPr>
          <w:color w:val="auto"/>
          <w:highlight w:val="none"/>
        </w:rPr>
      </w:pPr>
    </w:p>
    <w:p>
      <w:pPr>
        <w:spacing w:line="360" w:lineRule="auto"/>
        <w:ind w:firstLine="211" w:firstLineChars="100"/>
        <w:rPr>
          <w:b/>
          <w:color w:val="auto"/>
          <w:szCs w:val="21"/>
          <w:highlight w:val="none"/>
        </w:rPr>
      </w:pPr>
      <w:r>
        <w:rPr>
          <w:rFonts w:hint="eastAsia"/>
          <w:b/>
          <w:color w:val="auto"/>
          <w:szCs w:val="21"/>
          <w:highlight w:val="none"/>
        </w:rPr>
        <w:t>注：以上修改，仅限于本范本中有可供选择条款的情形。</w:t>
      </w:r>
    </w:p>
    <w:p>
      <w:pPr>
        <w:spacing w:line="360" w:lineRule="auto"/>
        <w:rPr>
          <w:color w:val="auto"/>
          <w:highlight w:val="none"/>
        </w:rPr>
      </w:pPr>
      <w:r>
        <w:rPr>
          <w:rFonts w:hint="eastAsia"/>
          <w:b/>
          <w:color w:val="auto"/>
          <w:szCs w:val="21"/>
          <w:highlight w:val="none"/>
        </w:rPr>
        <w:t>（以下无正文）</w:t>
      </w:r>
    </w:p>
    <w:p>
      <w:pPr>
        <w:pStyle w:val="6"/>
        <w:ind w:left="0"/>
        <w:rPr>
          <w:rFonts w:ascii="黑体" w:hAnsi="黑体" w:eastAsia="黑体" w:cs="黑体"/>
          <w:color w:val="auto"/>
          <w:sz w:val="30"/>
          <w:szCs w:val="30"/>
          <w:highlight w:val="none"/>
        </w:rPr>
      </w:pPr>
      <w:r>
        <w:rPr>
          <w:color w:val="auto"/>
          <w:highlight w:val="none"/>
        </w:rPr>
        <w:br w:type="page"/>
      </w:r>
      <w:bookmarkStart w:id="7" w:name="_Toc21525492"/>
      <w:bookmarkStart w:id="8" w:name="_Toc2272548"/>
      <w:r>
        <w:rPr>
          <w:rFonts w:hint="eastAsia" w:ascii="黑体" w:hAnsi="黑体" w:eastAsia="黑体" w:cs="黑体"/>
          <w:color w:val="auto"/>
          <w:sz w:val="30"/>
          <w:szCs w:val="30"/>
          <w:highlight w:val="none"/>
        </w:rPr>
        <w:t>三、投标须知通用条款</w:t>
      </w:r>
      <w:bookmarkEnd w:id="7"/>
      <w:bookmarkEnd w:id="8"/>
    </w:p>
    <w:p>
      <w:pPr>
        <w:pStyle w:val="7"/>
        <w:spacing w:before="156" w:after="156"/>
        <w:rPr>
          <w:color w:val="auto"/>
          <w:sz w:val="21"/>
          <w:szCs w:val="21"/>
          <w:highlight w:val="none"/>
        </w:rPr>
      </w:pPr>
      <w:bookmarkStart w:id="9" w:name="_Toc28957"/>
      <w:bookmarkStart w:id="10" w:name="_Toc21525493"/>
      <w:bookmarkStart w:id="11" w:name="_Toc2272549"/>
      <w:r>
        <w:rPr>
          <w:rFonts w:hint="eastAsia"/>
          <w:color w:val="auto"/>
          <w:sz w:val="21"/>
          <w:szCs w:val="21"/>
          <w:highlight w:val="none"/>
        </w:rPr>
        <w:t>（一）总则</w:t>
      </w:r>
      <w:bookmarkEnd w:id="9"/>
      <w:bookmarkEnd w:id="10"/>
      <w:bookmarkEnd w:id="11"/>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1、定义</w:t>
      </w:r>
    </w:p>
    <w:p>
      <w:pPr>
        <w:pStyle w:val="20"/>
        <w:spacing w:after="0" w:line="360" w:lineRule="auto"/>
        <w:ind w:firstLineChars="200"/>
        <w:rPr>
          <w:rFonts w:ascii="宋体" w:hAnsi="宋体" w:cs="宋体"/>
          <w:b/>
          <w:bCs/>
          <w:color w:val="auto"/>
          <w:sz w:val="21"/>
          <w:szCs w:val="21"/>
          <w:highlight w:val="none"/>
        </w:rPr>
      </w:pPr>
      <w:r>
        <w:rPr>
          <w:rFonts w:hint="eastAsia" w:ascii="宋体" w:hAnsi="宋体" w:cs="宋体"/>
          <w:color w:val="auto"/>
          <w:sz w:val="21"/>
          <w:szCs w:val="21"/>
          <w:highlight w:val="none"/>
        </w:rPr>
        <w:t>本招标文件使用的下列词语具有如下规定的意义：</w:t>
      </w:r>
    </w:p>
    <w:p>
      <w:pPr>
        <w:pStyle w:val="20"/>
        <w:spacing w:after="0" w:line="360" w:lineRule="auto"/>
        <w:ind w:firstLineChars="200"/>
        <w:rPr>
          <w:rFonts w:ascii="宋体" w:hAnsi="宋体" w:cs="宋体"/>
          <w:b/>
          <w:bCs/>
          <w:color w:val="auto"/>
          <w:sz w:val="21"/>
          <w:szCs w:val="21"/>
          <w:highlight w:val="none"/>
          <w:u w:val="single"/>
        </w:rPr>
      </w:pPr>
      <w:r>
        <w:rPr>
          <w:rFonts w:hint="eastAsia" w:ascii="宋体" w:hAnsi="宋体" w:cs="宋体"/>
          <w:color w:val="auto"/>
          <w:sz w:val="21"/>
          <w:szCs w:val="21"/>
          <w:highlight w:val="none"/>
        </w:rPr>
        <w:t>（1）“招标人”（即发包人）、“项目建设管理单位”（或称“项目代建单位”）、“招标代理”、“设计单位”、“监理单位”均已在投标须知前附表中列明。</w:t>
      </w:r>
    </w:p>
    <w:p>
      <w:pPr>
        <w:pStyle w:val="20"/>
        <w:spacing w:after="0" w:line="360" w:lineRule="auto"/>
        <w:ind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rPr>
        <w:t>（2）“投标人”指向招标人提交投标文件的当事人。</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（3）“承包人”指其投标被招标人接受并与其签订承包合同的当事人。</w:t>
      </w:r>
    </w:p>
    <w:p>
      <w:pPr>
        <w:pStyle w:val="20"/>
        <w:spacing w:after="0" w:line="360" w:lineRule="auto"/>
        <w:ind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rPr>
        <w:t>（4）“招标文件”指由招标代理发出的本文件（包括全部章节、附件）及招标答疑会会议纪要和</w:t>
      </w:r>
      <w:r>
        <w:rPr>
          <w:rFonts w:hint="eastAsia" w:ascii="宋体" w:hAnsi="宋体" w:cs="宋体"/>
          <w:bCs/>
          <w:color w:val="auto"/>
          <w:sz w:val="21"/>
          <w:szCs w:val="21"/>
          <w:highlight w:val="none"/>
        </w:rPr>
        <w:t>招标文件的澄清与修改</w:t>
      </w:r>
      <w:r>
        <w:rPr>
          <w:rFonts w:hint="eastAsia" w:ascii="宋体" w:hAnsi="宋体" w:cs="宋体"/>
          <w:color w:val="auto"/>
          <w:sz w:val="21"/>
          <w:szCs w:val="21"/>
          <w:highlight w:val="none"/>
        </w:rPr>
        <w:t>文件。</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（5）“投标文件”指投标人根据本项目招标文件向招标人提交的全部文件。</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（6）“书面形式”指打字或印刷的文件和数据电文（包括电报、电传、传真、电子数据交换和电子邮件）。</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、招标说明</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2.1</w:t>
      </w:r>
      <w:r>
        <w:rPr>
          <w:rFonts w:hint="eastAsia" w:ascii="宋体" w:hAnsi="宋体"/>
          <w:bCs/>
          <w:color w:val="auto"/>
          <w:szCs w:val="21"/>
          <w:highlight w:val="none"/>
        </w:rPr>
        <w:t>本招标工程项目按照《中华人民共和国招标投标法》等有关法律、行政法规、规章和规范性文件，通过招标方式选定承包人。</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2.2</w:t>
      </w:r>
      <w:r>
        <w:rPr>
          <w:rFonts w:hint="eastAsia" w:ascii="宋体" w:hAnsi="宋体"/>
          <w:bCs/>
          <w:color w:val="auto"/>
          <w:szCs w:val="21"/>
          <w:highlight w:val="none"/>
        </w:rPr>
        <w:t>工程名称、建设地点、建设规模、承包方式、质量标准、招标范围、工期要求等均在投标须知前附表中列明。</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2.3</w:t>
      </w:r>
      <w:r>
        <w:rPr>
          <w:rFonts w:hint="eastAsia" w:ascii="宋体" w:hAnsi="宋体"/>
          <w:bCs/>
          <w:color w:val="auto"/>
          <w:szCs w:val="21"/>
          <w:highlight w:val="none"/>
        </w:rPr>
        <w:t>设计说明：详见招标图纸。</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2.4</w:t>
      </w:r>
      <w:r>
        <w:rPr>
          <w:rFonts w:hint="eastAsia" w:ascii="宋体" w:hAnsi="宋体"/>
          <w:bCs/>
          <w:color w:val="auto"/>
          <w:szCs w:val="21"/>
          <w:highlight w:val="none"/>
        </w:rPr>
        <w:t>工程施工特点：详见招标图纸。</w:t>
      </w:r>
    </w:p>
    <w:p>
      <w:pPr>
        <w:tabs>
          <w:tab w:val="left" w:pos="105"/>
        </w:tabs>
        <w:spacing w:line="360" w:lineRule="auto"/>
        <w:ind w:firstLine="422" w:firstLineChars="200"/>
        <w:rPr>
          <w:rFonts w:ascii="宋体" w:hAnsi="宋体"/>
          <w:b/>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．资金来源</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3.1</w:t>
      </w:r>
      <w:r>
        <w:rPr>
          <w:rFonts w:hint="eastAsia" w:ascii="宋体" w:hAnsi="宋体"/>
          <w:bCs/>
          <w:color w:val="auto"/>
          <w:szCs w:val="21"/>
          <w:highlight w:val="none"/>
        </w:rPr>
        <w:t>本招标工程项目资金来源见投标须知前附表第</w:t>
      </w:r>
      <w:r>
        <w:rPr>
          <w:rFonts w:ascii="宋体" w:hAnsi="宋体"/>
          <w:bCs/>
          <w:color w:val="auto"/>
          <w:szCs w:val="21"/>
          <w:highlight w:val="none"/>
        </w:rPr>
        <w:t>9</w:t>
      </w:r>
      <w:r>
        <w:rPr>
          <w:rFonts w:hint="eastAsia" w:ascii="宋体" w:hAnsi="宋体"/>
          <w:bCs/>
          <w:color w:val="auto"/>
          <w:szCs w:val="21"/>
          <w:highlight w:val="none"/>
        </w:rPr>
        <w:t>项</w:t>
      </w:r>
    </w:p>
    <w:p>
      <w:pPr>
        <w:tabs>
          <w:tab w:val="left" w:pos="105"/>
        </w:tabs>
        <w:spacing w:line="360" w:lineRule="auto"/>
        <w:ind w:firstLine="422" w:firstLineChars="200"/>
        <w:rPr>
          <w:rFonts w:ascii="宋体" w:hAnsi="宋体"/>
          <w:b/>
          <w:color w:val="auto"/>
          <w:szCs w:val="21"/>
          <w:highlight w:val="none"/>
        </w:rPr>
      </w:pPr>
      <w:r>
        <w:rPr>
          <w:rFonts w:ascii="宋体" w:hAnsi="宋体"/>
          <w:b/>
          <w:color w:val="auto"/>
          <w:szCs w:val="21"/>
          <w:highlight w:val="none"/>
        </w:rPr>
        <w:t>4</w:t>
      </w:r>
      <w:r>
        <w:rPr>
          <w:rFonts w:hint="eastAsia" w:ascii="宋体" w:hAnsi="宋体"/>
          <w:b/>
          <w:color w:val="auto"/>
          <w:szCs w:val="21"/>
          <w:highlight w:val="none"/>
        </w:rPr>
        <w:t>．合格投标人的条件</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4.1</w:t>
      </w:r>
      <w:r>
        <w:rPr>
          <w:rFonts w:hint="eastAsia" w:ascii="宋体" w:hAnsi="宋体"/>
          <w:bCs/>
          <w:color w:val="auto"/>
          <w:szCs w:val="21"/>
          <w:highlight w:val="none"/>
        </w:rPr>
        <w:t>详见本项目招标公告</w:t>
      </w:r>
    </w:p>
    <w:p>
      <w:pPr>
        <w:tabs>
          <w:tab w:val="left" w:pos="105"/>
        </w:tabs>
        <w:spacing w:line="360" w:lineRule="auto"/>
        <w:ind w:firstLine="422" w:firstLineChars="200"/>
        <w:rPr>
          <w:rFonts w:ascii="宋体" w:hAnsi="宋体"/>
          <w:b/>
          <w:color w:val="auto"/>
          <w:szCs w:val="21"/>
          <w:highlight w:val="none"/>
        </w:rPr>
      </w:pPr>
      <w:r>
        <w:rPr>
          <w:rFonts w:ascii="宋体" w:hAnsi="宋体"/>
          <w:b/>
          <w:color w:val="auto"/>
          <w:szCs w:val="21"/>
          <w:highlight w:val="none"/>
        </w:rPr>
        <w:t>5</w:t>
      </w:r>
      <w:r>
        <w:rPr>
          <w:rFonts w:hint="eastAsia" w:ascii="宋体" w:hAnsi="宋体"/>
          <w:b/>
          <w:color w:val="auto"/>
          <w:szCs w:val="21"/>
          <w:highlight w:val="none"/>
        </w:rPr>
        <w:t>．踏勘现场</w:t>
      </w:r>
    </w:p>
    <w:p>
      <w:pPr>
        <w:spacing w:line="360" w:lineRule="auto"/>
        <w:ind w:firstLine="420" w:firstLineChars="200"/>
        <w:rPr>
          <w:rFonts w:ascii="宋体" w:hAnsi="宋体"/>
          <w:bCs/>
          <w:color w:val="auto"/>
          <w:szCs w:val="21"/>
          <w:highlight w:val="none"/>
          <w:u w:val="single"/>
        </w:rPr>
      </w:pPr>
      <w:r>
        <w:rPr>
          <w:rFonts w:ascii="宋体" w:hAnsi="宋体"/>
          <w:bCs/>
          <w:color w:val="auto"/>
          <w:szCs w:val="21"/>
          <w:highlight w:val="none"/>
        </w:rPr>
        <w:t xml:space="preserve">5.1 </w:t>
      </w:r>
      <w:r>
        <w:rPr>
          <w:rFonts w:hint="eastAsia" w:ascii="宋体" w:hAnsi="宋体"/>
          <w:bCs/>
          <w:color w:val="auto"/>
          <w:szCs w:val="21"/>
          <w:highlight w:val="none"/>
        </w:rPr>
        <w:t>投标人应按本投标须知前附表第</w:t>
      </w:r>
      <w:r>
        <w:rPr>
          <w:rFonts w:ascii="宋体" w:hAnsi="宋体"/>
          <w:bCs/>
          <w:color w:val="auto"/>
          <w:szCs w:val="21"/>
          <w:highlight w:val="none"/>
        </w:rPr>
        <w:t>15</w:t>
      </w:r>
      <w:r>
        <w:rPr>
          <w:rFonts w:hint="eastAsia" w:ascii="宋体" w:hAnsi="宋体"/>
          <w:bCs/>
          <w:color w:val="auto"/>
          <w:szCs w:val="21"/>
          <w:highlight w:val="none"/>
        </w:rPr>
        <w:t>项所述时间和要求对工程现场及周围环境进行踏勘，</w:t>
      </w:r>
      <w:r>
        <w:rPr>
          <w:rFonts w:hint="eastAsia" w:ascii="宋体" w:hAnsi="宋体"/>
          <w:color w:val="auto"/>
          <w:szCs w:val="21"/>
          <w:highlight w:val="none"/>
        </w:rPr>
        <w:t>投标人应充分重视和仔细地进行这种考察，</w:t>
      </w:r>
      <w:r>
        <w:rPr>
          <w:rFonts w:hint="eastAsia" w:ascii="宋体" w:hAnsi="宋体"/>
          <w:bCs/>
          <w:color w:val="auto"/>
          <w:szCs w:val="21"/>
          <w:highlight w:val="none"/>
        </w:rPr>
        <w:t>以便投标人获取</w:t>
      </w:r>
      <w:r>
        <w:rPr>
          <w:rFonts w:hint="eastAsia" w:ascii="宋体" w:hAnsi="宋体"/>
          <w:color w:val="auto"/>
          <w:szCs w:val="21"/>
          <w:highlight w:val="none"/>
        </w:rPr>
        <w:t>那些须投标人自己负责的</w:t>
      </w:r>
      <w:r>
        <w:rPr>
          <w:rFonts w:hint="eastAsia" w:ascii="宋体" w:hAnsi="宋体"/>
          <w:bCs/>
          <w:color w:val="auto"/>
          <w:szCs w:val="21"/>
          <w:highlight w:val="none"/>
        </w:rPr>
        <w:t>有关编制投标文件和签署合同所涉及现场所有的资料。</w:t>
      </w:r>
      <w:r>
        <w:rPr>
          <w:rFonts w:hint="eastAsia" w:ascii="宋体" w:hAnsi="宋体"/>
          <w:color w:val="auto"/>
          <w:szCs w:val="21"/>
          <w:highlight w:val="none"/>
        </w:rPr>
        <w:t>一旦中标，这种考察即被认为其结果已在中标文件中得到充分反映。考察现场的费用由投标人自己承担。</w:t>
      </w:r>
    </w:p>
    <w:p>
      <w:pPr>
        <w:tabs>
          <w:tab w:val="left" w:pos="105"/>
        </w:tabs>
        <w:spacing w:line="360" w:lineRule="auto"/>
        <w:ind w:firstLine="420" w:firstLineChars="200"/>
        <w:rPr>
          <w:rFonts w:ascii="宋体" w:hAnsi="宋体"/>
          <w:bCs/>
          <w:color w:val="auto"/>
          <w:szCs w:val="21"/>
          <w:highlight w:val="none"/>
        </w:rPr>
      </w:pPr>
      <w:r>
        <w:rPr>
          <w:rFonts w:ascii="宋体" w:hAnsi="宋体"/>
          <w:bCs/>
          <w:color w:val="auto"/>
          <w:szCs w:val="21"/>
          <w:highlight w:val="none"/>
        </w:rPr>
        <w:t xml:space="preserve">5.2 </w:t>
      </w:r>
      <w:r>
        <w:rPr>
          <w:rFonts w:hint="eastAsia" w:ascii="宋体" w:hAnsi="宋体"/>
          <w:bCs/>
          <w:color w:val="auto"/>
          <w:szCs w:val="21"/>
          <w:highlight w:val="none"/>
        </w:rPr>
        <w:t>招标人向投标人提供的有关现场的数据和资料，是招标人现有的能被投标人利用的资料，招标人对投标人做出的任何推论、理解和结论均不负责任。</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 xml:space="preserve">5.3 </w:t>
      </w:r>
      <w:r>
        <w:rPr>
          <w:rFonts w:hint="eastAsia" w:ascii="宋体" w:hAnsi="宋体"/>
          <w:bCs/>
          <w:color w:val="auto"/>
          <w:szCs w:val="21"/>
          <w:highlight w:val="none"/>
        </w:rPr>
        <w:t>经招标人允许，投标人可为踏勘目的进入招标人的项目现场。</w:t>
      </w:r>
      <w:r>
        <w:rPr>
          <w:rFonts w:hint="eastAsia" w:ascii="宋体" w:hAnsi="宋体"/>
          <w:color w:val="auto"/>
          <w:szCs w:val="21"/>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color w:val="auto"/>
          <w:szCs w:val="21"/>
          <w:highlight w:val="none"/>
        </w:rPr>
        <w:t>投标人不得因此使招标人承担有关的责任和蒙受损失。</w:t>
      </w:r>
    </w:p>
    <w:p>
      <w:pPr>
        <w:tabs>
          <w:tab w:val="left" w:pos="105"/>
        </w:tabs>
        <w:spacing w:line="360" w:lineRule="auto"/>
        <w:ind w:firstLine="422" w:firstLineChars="200"/>
        <w:rPr>
          <w:rFonts w:ascii="宋体" w:hAnsi="宋体"/>
          <w:b/>
          <w:color w:val="auto"/>
          <w:szCs w:val="21"/>
          <w:highlight w:val="none"/>
        </w:rPr>
      </w:pPr>
      <w:r>
        <w:rPr>
          <w:rFonts w:ascii="宋体" w:hAnsi="宋体"/>
          <w:b/>
          <w:color w:val="auto"/>
          <w:szCs w:val="21"/>
          <w:highlight w:val="none"/>
        </w:rPr>
        <w:t>6</w:t>
      </w:r>
      <w:r>
        <w:rPr>
          <w:rFonts w:hint="eastAsia" w:ascii="宋体" w:hAnsi="宋体"/>
          <w:b/>
          <w:color w:val="auto"/>
          <w:szCs w:val="21"/>
          <w:highlight w:val="none"/>
        </w:rPr>
        <w:t>．投标费用</w:t>
      </w:r>
    </w:p>
    <w:p>
      <w:pPr>
        <w:tabs>
          <w:tab w:val="left" w:pos="105"/>
        </w:tabs>
        <w:spacing w:line="360" w:lineRule="auto"/>
        <w:ind w:firstLine="420" w:firstLineChars="200"/>
        <w:rPr>
          <w:rFonts w:ascii="宋体" w:hAnsi="宋体"/>
          <w:bCs/>
          <w:color w:val="auto"/>
          <w:szCs w:val="21"/>
          <w:highlight w:val="none"/>
        </w:rPr>
      </w:pPr>
      <w:r>
        <w:rPr>
          <w:rFonts w:ascii="宋体" w:hAnsi="宋体"/>
          <w:bCs/>
          <w:color w:val="auto"/>
          <w:szCs w:val="21"/>
          <w:highlight w:val="none"/>
        </w:rPr>
        <w:t>6.1</w:t>
      </w:r>
      <w:r>
        <w:rPr>
          <w:rFonts w:hint="eastAsia" w:ascii="宋体" w:hAnsi="宋体"/>
          <w:color w:val="auto"/>
          <w:szCs w:val="21"/>
          <w:highlight w:val="none"/>
        </w:rPr>
        <w:t>不论投标结果如何，投标人应承担</w:t>
      </w:r>
      <w:r>
        <w:rPr>
          <w:rFonts w:hint="eastAsia" w:ascii="宋体" w:hAnsi="宋体"/>
          <w:bCs/>
          <w:color w:val="auto"/>
          <w:szCs w:val="21"/>
          <w:highlight w:val="none"/>
        </w:rPr>
        <w:t>自身</w:t>
      </w:r>
      <w:r>
        <w:rPr>
          <w:rFonts w:hint="eastAsia" w:ascii="宋体" w:hAnsi="宋体"/>
          <w:color w:val="auto"/>
          <w:szCs w:val="21"/>
          <w:highlight w:val="none"/>
        </w:rPr>
        <w:t>因投标文件编制、递交及其他</w:t>
      </w:r>
      <w:r>
        <w:rPr>
          <w:rFonts w:hint="eastAsia" w:ascii="宋体" w:hAnsi="宋体"/>
          <w:bCs/>
          <w:color w:val="auto"/>
          <w:szCs w:val="21"/>
          <w:highlight w:val="none"/>
        </w:rPr>
        <w:t>参加本招标活动</w:t>
      </w:r>
      <w:r>
        <w:rPr>
          <w:rFonts w:hint="eastAsia" w:ascii="宋体" w:hAnsi="宋体"/>
          <w:color w:val="auto"/>
          <w:szCs w:val="21"/>
          <w:highlight w:val="none"/>
        </w:rPr>
        <w:t>所涉及的一切费用，招标人对上述费用不负任何责任。</w:t>
      </w:r>
    </w:p>
    <w:p>
      <w:pPr>
        <w:pStyle w:val="7"/>
        <w:spacing w:before="156" w:after="156"/>
        <w:rPr>
          <w:color w:val="auto"/>
          <w:sz w:val="21"/>
          <w:szCs w:val="21"/>
          <w:highlight w:val="none"/>
        </w:rPr>
      </w:pPr>
      <w:bookmarkStart w:id="12" w:name="_Toc2272550"/>
      <w:bookmarkStart w:id="13" w:name="_Toc614"/>
      <w:bookmarkStart w:id="14" w:name="_Toc21525494"/>
      <w:r>
        <w:rPr>
          <w:rFonts w:hint="eastAsia"/>
          <w:color w:val="auto"/>
          <w:sz w:val="21"/>
          <w:szCs w:val="21"/>
          <w:highlight w:val="none"/>
        </w:rPr>
        <w:t>（二）招标文件</w:t>
      </w:r>
      <w:bookmarkEnd w:id="12"/>
      <w:bookmarkEnd w:id="13"/>
      <w:bookmarkEnd w:id="14"/>
    </w:p>
    <w:p>
      <w:pPr>
        <w:tabs>
          <w:tab w:val="left" w:pos="105"/>
        </w:tabs>
        <w:spacing w:line="360" w:lineRule="auto"/>
        <w:ind w:firstLine="422" w:firstLineChars="200"/>
        <w:rPr>
          <w:rFonts w:ascii="宋体" w:hAnsi="宋体"/>
          <w:b/>
          <w:color w:val="auto"/>
          <w:szCs w:val="21"/>
          <w:highlight w:val="none"/>
        </w:rPr>
      </w:pPr>
      <w:r>
        <w:rPr>
          <w:rFonts w:ascii="宋体" w:hAnsi="宋体"/>
          <w:b/>
          <w:color w:val="auto"/>
          <w:szCs w:val="21"/>
          <w:highlight w:val="none"/>
        </w:rPr>
        <w:t>7.</w:t>
      </w:r>
      <w:r>
        <w:rPr>
          <w:rFonts w:hint="eastAsia" w:ascii="宋体" w:hAnsi="宋体"/>
          <w:b/>
          <w:color w:val="auto"/>
          <w:szCs w:val="21"/>
          <w:highlight w:val="none"/>
        </w:rPr>
        <w:t>招标文件的组成</w:t>
      </w:r>
    </w:p>
    <w:p>
      <w:pPr>
        <w:spacing w:line="360" w:lineRule="auto"/>
        <w:ind w:firstLine="420" w:firstLineChars="200"/>
        <w:rPr>
          <w:rFonts w:ascii="宋体" w:hAnsi="宋体"/>
          <w:color w:val="auto"/>
          <w:szCs w:val="21"/>
          <w:highlight w:val="none"/>
        </w:rPr>
      </w:pPr>
      <w:r>
        <w:rPr>
          <w:rFonts w:ascii="宋体" w:hAnsi="宋体"/>
          <w:bCs/>
          <w:color w:val="auto"/>
          <w:szCs w:val="21"/>
          <w:highlight w:val="none"/>
        </w:rPr>
        <w:t>7.1</w:t>
      </w:r>
      <w:r>
        <w:rPr>
          <w:rFonts w:hint="eastAsia" w:ascii="宋体" w:hAnsi="宋体"/>
          <w:color w:val="auto"/>
          <w:szCs w:val="21"/>
          <w:highlight w:val="none"/>
        </w:rPr>
        <w:t>本招标文件包括下列文件，以及所有按本须知第</w:t>
      </w:r>
      <w:r>
        <w:rPr>
          <w:rFonts w:ascii="宋体" w:hAnsi="宋体"/>
          <w:color w:val="auto"/>
          <w:szCs w:val="21"/>
          <w:highlight w:val="none"/>
        </w:rPr>
        <w:t>8</w:t>
      </w:r>
      <w:r>
        <w:rPr>
          <w:rFonts w:hint="eastAsia" w:ascii="宋体" w:hAnsi="宋体"/>
          <w:color w:val="auto"/>
          <w:szCs w:val="21"/>
          <w:highlight w:val="none"/>
        </w:rPr>
        <w:t>条发出的招标答疑会会议纪要和按本须知第</w:t>
      </w:r>
      <w:r>
        <w:rPr>
          <w:rFonts w:ascii="宋体" w:hAnsi="宋体"/>
          <w:color w:val="auto"/>
          <w:szCs w:val="21"/>
          <w:highlight w:val="none"/>
        </w:rPr>
        <w:t>9</w:t>
      </w:r>
      <w:r>
        <w:rPr>
          <w:rFonts w:hint="eastAsia" w:ascii="宋体" w:hAnsi="宋体"/>
          <w:color w:val="auto"/>
          <w:szCs w:val="21"/>
          <w:highlight w:val="none"/>
        </w:rPr>
        <w:t>条发出的澄清或修改：</w:t>
      </w:r>
    </w:p>
    <w:p>
      <w:pPr>
        <w:pStyle w:val="20"/>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第一章</w:t>
      </w:r>
      <w:r>
        <w:rPr>
          <w:rFonts w:hint="eastAsia" w:ascii="宋体" w:hAnsi="宋体" w:cs="宋体"/>
          <w:color w:val="auto"/>
          <w:sz w:val="21"/>
          <w:szCs w:val="21"/>
          <w:highlight w:val="none"/>
        </w:rPr>
        <w:t>投标须知</w:t>
      </w:r>
    </w:p>
    <w:p>
      <w:pPr>
        <w:pStyle w:val="20"/>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第二章</w:t>
      </w:r>
      <w:r>
        <w:rPr>
          <w:rFonts w:hint="eastAsia" w:ascii="宋体" w:hAnsi="宋体" w:cs="宋体"/>
          <w:color w:val="auto"/>
          <w:sz w:val="21"/>
          <w:szCs w:val="21"/>
          <w:highlight w:val="none"/>
        </w:rPr>
        <w:t>开标、评标及定标办法</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第三章合同条款</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bCs/>
          <w:color w:val="auto"/>
          <w:sz w:val="21"/>
          <w:szCs w:val="21"/>
          <w:highlight w:val="none"/>
        </w:rPr>
        <w:t>第四章</w:t>
      </w:r>
      <w:r>
        <w:rPr>
          <w:rFonts w:hint="eastAsia" w:ascii="宋体" w:hAnsi="宋体" w:cs="宋体"/>
          <w:color w:val="auto"/>
          <w:sz w:val="21"/>
          <w:szCs w:val="21"/>
          <w:highlight w:val="none"/>
        </w:rPr>
        <w:t>投标文件格式</w:t>
      </w:r>
    </w:p>
    <w:p>
      <w:pPr>
        <w:pStyle w:val="20"/>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第五章</w:t>
      </w:r>
      <w:r>
        <w:rPr>
          <w:rFonts w:hint="eastAsia" w:ascii="宋体" w:hAnsi="宋体" w:cs="宋体"/>
          <w:color w:val="auto"/>
          <w:sz w:val="21"/>
          <w:szCs w:val="21"/>
          <w:highlight w:val="none"/>
        </w:rPr>
        <w:t>技术条件（工程建设标准）</w:t>
      </w:r>
    </w:p>
    <w:p>
      <w:pPr>
        <w:pStyle w:val="20"/>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第六章</w:t>
      </w:r>
      <w:r>
        <w:rPr>
          <w:rFonts w:hint="eastAsia" w:ascii="宋体" w:hAnsi="宋体" w:cs="宋体"/>
          <w:color w:val="auto"/>
          <w:sz w:val="21"/>
          <w:szCs w:val="21"/>
          <w:highlight w:val="none"/>
        </w:rPr>
        <w:t>图纸及勘察资料（另册）</w:t>
      </w:r>
    </w:p>
    <w:p>
      <w:pPr>
        <w:pStyle w:val="20"/>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第七章招标</w:t>
      </w:r>
      <w:r>
        <w:rPr>
          <w:rFonts w:hint="eastAsia" w:ascii="宋体" w:hAnsi="宋体" w:cs="宋体"/>
          <w:color w:val="auto"/>
          <w:sz w:val="21"/>
          <w:szCs w:val="21"/>
          <w:highlight w:val="none"/>
        </w:rPr>
        <w:t>工程量清单（另册）</w:t>
      </w:r>
    </w:p>
    <w:p>
      <w:pPr>
        <w:pStyle w:val="20"/>
        <w:spacing w:after="0" w:line="360" w:lineRule="auto"/>
        <w:ind w:left="-2" w:firstLineChars="200"/>
        <w:rPr>
          <w:rFonts w:ascii="宋体" w:hAnsi="宋体" w:cs="宋体"/>
          <w:color w:val="auto"/>
          <w:sz w:val="21"/>
          <w:szCs w:val="21"/>
          <w:highlight w:val="none"/>
        </w:rPr>
      </w:pPr>
      <w:r>
        <w:rPr>
          <w:rFonts w:hint="eastAsia" w:ascii="宋体" w:hAnsi="宋体" w:cs="宋体"/>
          <w:color w:val="auto"/>
          <w:sz w:val="21"/>
          <w:szCs w:val="21"/>
          <w:highlight w:val="none"/>
        </w:rPr>
        <w:t>第八章最高投标限价</w:t>
      </w:r>
    </w:p>
    <w:p>
      <w:pPr>
        <w:pStyle w:val="20"/>
        <w:spacing w:after="0" w:line="360" w:lineRule="auto"/>
        <w:ind w:left="-2" w:firstLine="402" w:firstLineChars="200"/>
        <w:rPr>
          <w:rFonts w:ascii="宋体" w:hAnsi="宋体" w:cs="宋体"/>
          <w:color w:val="auto"/>
          <w:sz w:val="21"/>
          <w:szCs w:val="21"/>
          <w:highlight w:val="none"/>
        </w:rPr>
      </w:pPr>
      <w:r>
        <w:rPr>
          <w:rFonts w:hint="eastAsia" w:ascii="宋体" w:hAnsi="宋体" w:cs="宋体"/>
          <w:b/>
          <w:bCs/>
          <w:color w:val="auto"/>
          <w:szCs w:val="21"/>
          <w:highlight w:val="none"/>
        </w:rPr>
        <w:t>注：招标人应在技术条件（工程建设标准）中明确施工现场建筑垃圾源头减量的具体要求和建筑垃圾综合利用产品的使用要求。</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7.3 投标人一旦中标，招标文件的内容对招标人和中标人双方均有约束力。</w:t>
      </w:r>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8．招标答疑</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8.1 投标人若对招标文件（包括招标图纸）中有疑问，可以书面形式通过交易平台提交给招标人或招标代理人，提交形式见本须知前附表第16项。</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8.2招标答疑会会议纪要将在提交投标文件截止时间15日前在交易平台 “项目答疑纪要”专区公开发布。答疑纪要一经在交易平台发布，视作已发放给所有投标人。</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8.3答疑会会议纪要为招标文件的一部分。</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8.4若招标答疑会会议纪要与招标文件有矛盾，以答疑会议纪要最后发出的书面形式的文件为准。</w:t>
      </w:r>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9.招标文件的澄清与修改</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9.1招标文件发出后,在提交投标文件截止时间15日前，招标人可对招标文件进行必要的澄清或修改。</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9.2招标文件的澄清或修改将在交易平台“项目答疑纪要”专区公开发布。答疑纪要一经在交易平台发布，视作已发放给所有投标人，以交易平台上网发布时间作为送达时间。</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9.3招标文件的修改内容为招标文件的组成部分。</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9.4招标文件的澄清或修改均以书面形式明确的内容为准。当招标文件的澄清、修改、补充等在同一内容的表述不一致时，以最后发出的书面形式的文件为准。</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7"/>
        <w:spacing w:before="156" w:after="156"/>
        <w:rPr>
          <w:rFonts w:cs="宋体"/>
          <w:color w:val="auto"/>
          <w:sz w:val="21"/>
          <w:szCs w:val="21"/>
          <w:highlight w:val="none"/>
        </w:rPr>
      </w:pPr>
      <w:bookmarkStart w:id="15" w:name="_Toc2272551"/>
      <w:bookmarkStart w:id="16" w:name="_Toc21525495"/>
      <w:bookmarkStart w:id="17" w:name="_Toc11646"/>
      <w:r>
        <w:rPr>
          <w:rFonts w:hint="eastAsia" w:cs="宋体"/>
          <w:color w:val="auto"/>
          <w:sz w:val="21"/>
          <w:szCs w:val="21"/>
          <w:highlight w:val="none"/>
        </w:rPr>
        <w:t>（三）投标文件的编制</w:t>
      </w:r>
      <w:bookmarkEnd w:id="15"/>
      <w:bookmarkEnd w:id="16"/>
      <w:bookmarkEnd w:id="17"/>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10．投标文件的语言及度量衡单位</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10.1 投标文件和与投标有关的所有文件均应使用中文。</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10.2 除工程规范另有规定外，投标文件使用的度量衡单位，均采用中华人民共和国法定计量单位。</w:t>
      </w:r>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11．投标文件的组成</w:t>
      </w:r>
    </w:p>
    <w:p>
      <w:pPr>
        <w:pStyle w:val="20"/>
        <w:spacing w:after="0" w:line="360" w:lineRule="auto"/>
        <w:ind w:firstLineChars="200"/>
        <w:rPr>
          <w:rFonts w:ascii="宋体" w:hAnsi="宋体" w:cs="宋体"/>
          <w:b/>
          <w:color w:val="auto"/>
          <w:sz w:val="21"/>
          <w:szCs w:val="21"/>
          <w:highlight w:val="none"/>
        </w:rPr>
      </w:pPr>
      <w:r>
        <w:rPr>
          <w:rFonts w:hint="eastAsia" w:ascii="宋体" w:hAnsi="宋体" w:cs="宋体"/>
          <w:color w:val="auto"/>
          <w:sz w:val="21"/>
          <w:szCs w:val="21"/>
          <w:highlight w:val="none"/>
        </w:rPr>
        <w:t>11.1 投标文件由技术部分（含资格审查文件）和经济部分两部分投标文件组成</w:t>
      </w:r>
      <w:r>
        <w:rPr>
          <w:rFonts w:hint="eastAsia" w:ascii="宋体" w:hAnsi="宋体" w:cs="宋体"/>
          <w:b/>
          <w:color w:val="auto"/>
          <w:sz w:val="21"/>
          <w:szCs w:val="21"/>
          <w:highlight w:val="none"/>
        </w:rPr>
        <w:t>。</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11.2</w:t>
      </w:r>
      <w:r>
        <w:rPr>
          <w:rFonts w:hint="eastAsia" w:ascii="宋体" w:hAnsi="宋体"/>
          <w:bCs/>
          <w:color w:val="auto"/>
          <w:szCs w:val="21"/>
          <w:highlight w:val="none"/>
        </w:rPr>
        <w:t>投标文件技术标部分主要包括下列内容</w:t>
      </w:r>
      <w:r>
        <w:rPr>
          <w:rFonts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11.2.1 技术投标文件</w:t>
      </w:r>
      <w:r>
        <w:rPr>
          <w:rFonts w:ascii="宋体" w:hAnsi="宋体"/>
          <w:color w:val="auto"/>
          <w:szCs w:val="21"/>
          <w:highlight w:val="none"/>
        </w:rPr>
        <w:t>(</w:t>
      </w:r>
      <w:r>
        <w:rPr>
          <w:rFonts w:hint="eastAsia" w:ascii="宋体" w:hAnsi="宋体"/>
          <w:color w:val="auto"/>
          <w:szCs w:val="21"/>
          <w:highlight w:val="none"/>
        </w:rPr>
        <w:t>按招标文件的要求填写</w:t>
      </w:r>
      <w:r>
        <w:rPr>
          <w:rFonts w:ascii="宋体" w:hAnsi="宋体"/>
          <w:color w:val="auto"/>
          <w:szCs w:val="21"/>
          <w:highlight w:val="none"/>
        </w:rPr>
        <w:t>)</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11.2.2 资格审查文件：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 xml:space="preserve">（1）投标人声明；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（2）法定代表人证明书、法定代表人签字或盖章的本投标文件授权委托证明书；</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（3）企业营业执照（取自平台内上传件）；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（4）企业资质证书（取自平台内上传件）；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（5）建筑施工企业安全生产许可证（取自平台内上传件）；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（6）项目负责人（按网上投标登记时选择拟投标的项目负责人）</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（7）专职安全员（按网上投标登记时选择拟投标的专职安全员）</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（8）拟委托技术负责人的相关证书、资料（具体要求由招标人明确）</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 xml:space="preserve">（9）拟委派项目负责人的建造师注册证书或小型项目负责人相关证明（取自平台内上传件）；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（10）项目负责人安全培训考核合格证明或在有效期内的安全考核合格证书（B类）或建筑施工企业项目负责人安全生产考核合格证书（取自平台内上传件）；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（12）用于资格审查的业绩（设置业绩要求时选择此项，投标人</w:t>
      </w:r>
      <w:r>
        <w:rPr>
          <w:rFonts w:hint="eastAsia" w:ascii="宋体" w:hAnsi="宋体"/>
          <w:color w:val="auto"/>
          <w:szCs w:val="21"/>
          <w:highlight w:val="none"/>
        </w:rPr>
        <w:t>须提供类似工程业绩的项目名称及项目编号，具体格式由招标人自定</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（14）列明主办单位的联合体工作协议（采用联合体投标时需递交，投标人拟任本工程项目负责人应为联合体主办方信用档案中的在册人员，</w:t>
      </w:r>
      <w:r>
        <w:rPr>
          <w:rFonts w:hint="eastAsia" w:ascii="宋体" w:hAnsi="宋体"/>
          <w:color w:val="auto"/>
          <w:szCs w:val="21"/>
          <w:highlight w:val="none"/>
        </w:rPr>
        <w:t>联合体工作协议应明确约定各方拟承担的工作和责任</w:t>
      </w:r>
      <w:r>
        <w:rPr>
          <w:rFonts w:hint="eastAsia" w:ascii="宋体" w:hAnsi="宋体"/>
          <w:bCs/>
          <w:color w:val="auto"/>
          <w:szCs w:val="21"/>
          <w:highlight w:val="none"/>
        </w:rPr>
        <w:t xml:space="preserve">）；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（15）</w:t>
      </w:r>
      <w:r>
        <w:rPr>
          <w:rFonts w:hint="eastAsia" w:ascii="宋体" w:hAnsi="宋体"/>
          <w:color w:val="auto"/>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11.2.3</w:t>
      </w:r>
      <w:r>
        <w:rPr>
          <w:rFonts w:hint="eastAsia" w:ascii="宋体" w:hAnsi="宋体"/>
          <w:color w:val="auto"/>
          <w:szCs w:val="21"/>
          <w:highlight w:val="none"/>
        </w:rPr>
        <w:t>项目管理机构配备。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）投标人应列出该项目工程的施工组织机构构成和画出机构框架图及其负责人；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）投标人应详细列出该施工组织机构中主要成员的名单、简历资料、职务职称和在本项目中拟担任的职务等资料，并附上有关证明材料扫描件；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）其他辅助说明资料。</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11.2.4</w:t>
      </w:r>
      <w:r>
        <w:rPr>
          <w:rFonts w:hint="eastAsia" w:ascii="宋体" w:hAnsi="宋体"/>
          <w:color w:val="auto"/>
          <w:szCs w:val="21"/>
          <w:highlight w:val="none"/>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20" w:firstLineChars="200"/>
        <w:rPr>
          <w:rFonts w:ascii="宋体" w:hAnsi="宋体"/>
          <w:color w:val="auto"/>
          <w:szCs w:val="21"/>
          <w:highlight w:val="none"/>
        </w:rPr>
      </w:pPr>
      <w:r>
        <w:rPr>
          <w:rFonts w:ascii="宋体" w:hAnsi="宋体"/>
          <w:color w:val="auto"/>
          <w:szCs w:val="21"/>
          <w:highlight w:val="none"/>
        </w:rPr>
        <w:t>11.2.5</w:t>
      </w:r>
      <w:r>
        <w:rPr>
          <w:rFonts w:hint="eastAsia" w:ascii="宋体" w:hAnsi="宋体"/>
          <w:color w:val="auto"/>
          <w:szCs w:val="21"/>
          <w:highlight w:val="none"/>
        </w:rPr>
        <w:t>施工组织设计或施工方案。</w:t>
      </w:r>
      <w:r>
        <w:rPr>
          <w:rFonts w:hint="eastAsia" w:ascii="宋体" w:hAnsi="宋体"/>
          <w:b/>
          <w:bCs/>
          <w:color w:val="auto"/>
          <w:szCs w:val="21"/>
          <w:highlight w:val="none"/>
        </w:rPr>
        <w:t>（投标人在编制施工组织设计或施工方案时应按照招标人提出的施工现场建筑垃圾源头减量的具体要求以及建筑垃圾综合利用产品的使用要求提供相应措施。）</w:t>
      </w:r>
    </w:p>
    <w:p>
      <w:pPr>
        <w:tabs>
          <w:tab w:val="left" w:pos="1125"/>
        </w:tabs>
        <w:spacing w:line="360" w:lineRule="auto"/>
        <w:ind w:firstLine="420" w:firstLineChars="200"/>
        <w:rPr>
          <w:rFonts w:ascii="宋体" w:hAnsi="宋体"/>
          <w:color w:val="auto"/>
          <w:szCs w:val="21"/>
          <w:highlight w:val="none"/>
        </w:rPr>
      </w:pPr>
      <w:r>
        <w:rPr>
          <w:rFonts w:ascii="宋体" w:hAnsi="宋体"/>
          <w:color w:val="auto"/>
          <w:szCs w:val="21"/>
          <w:highlight w:val="none"/>
        </w:rPr>
        <w:t>11.2.</w:t>
      </w:r>
      <w:r>
        <w:rPr>
          <w:rFonts w:hint="eastAsia" w:ascii="宋体" w:hAnsi="宋体"/>
          <w:color w:val="auto"/>
          <w:szCs w:val="21"/>
          <w:highlight w:val="none"/>
        </w:rPr>
        <w:t>6按照</w:t>
      </w:r>
      <w:r>
        <w:rPr>
          <w:rFonts w:hint="eastAsia" w:ascii="宋体" w:hAnsi="宋体"/>
          <w:bCs/>
          <w:color w:val="auto"/>
          <w:szCs w:val="21"/>
          <w:highlight w:val="none"/>
        </w:rPr>
        <w:t>招标文件要求</w:t>
      </w:r>
      <w:r>
        <w:rPr>
          <w:rFonts w:hint="eastAsia" w:ascii="宋体" w:hAnsi="宋体"/>
          <w:color w:val="auto"/>
          <w:szCs w:val="21"/>
          <w:highlight w:val="none"/>
        </w:rPr>
        <w:t>填写的《参与编制技术标投标文件人员名单》。</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 xml:space="preserve">11.3 </w:t>
      </w:r>
      <w:r>
        <w:rPr>
          <w:rFonts w:hint="eastAsia" w:ascii="宋体" w:hAnsi="宋体"/>
          <w:bCs/>
          <w:color w:val="auto"/>
          <w:szCs w:val="21"/>
          <w:highlight w:val="none"/>
        </w:rPr>
        <w:t>经济部分投标文件主要包括下列内容：</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11.3.1 </w:t>
      </w:r>
      <w:r>
        <w:rPr>
          <w:rFonts w:hint="eastAsia" w:ascii="宋体" w:hAnsi="宋体"/>
          <w:color w:val="auto"/>
          <w:szCs w:val="21"/>
          <w:highlight w:val="none"/>
        </w:rPr>
        <w:t>经济投标文件</w:t>
      </w:r>
      <w:r>
        <w:rPr>
          <w:rFonts w:ascii="宋体" w:hAnsi="宋体"/>
          <w:color w:val="auto"/>
          <w:szCs w:val="21"/>
          <w:highlight w:val="none"/>
        </w:rPr>
        <w:t>(</w:t>
      </w:r>
      <w:r>
        <w:rPr>
          <w:rFonts w:hint="eastAsia" w:ascii="宋体" w:hAnsi="宋体"/>
          <w:color w:val="auto"/>
          <w:szCs w:val="21"/>
          <w:highlight w:val="none"/>
        </w:rPr>
        <w:t>按招标文件的要求填写</w:t>
      </w:r>
      <w:r>
        <w:rPr>
          <w:rFonts w:ascii="宋体" w:hAnsi="宋体"/>
          <w:color w:val="auto"/>
          <w:szCs w:val="21"/>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11.3.2</w:t>
      </w:r>
      <w:r>
        <w:rPr>
          <w:rFonts w:hint="eastAsia" w:ascii="宋体" w:hAnsi="宋体"/>
          <w:color w:val="auto"/>
          <w:szCs w:val="21"/>
          <w:highlight w:val="none"/>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）投标总价封面、扉页；</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）总说明</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（3）工程项目投标报价汇总表；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（4）单项工程投标报价汇总表；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（5）单位工程投标报价汇总表；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（6）分部分项工程清单与计价表；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（7）单价措施项目清单与计价表；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（8）总价措施项目清单与计价表；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（9）综合单价分析表；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（10）其他项目清单与计价汇总表；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（11）暂列金额明细表；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（12）材料（工程设备）暂估价明细表；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（13）专业工程暂估价明细表；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（14）计日工表；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（15）总承包服务计价表；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（16）规费和税金项目计价表；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（17）人工、主要材料和设备一览表</w:t>
      </w:r>
    </w:p>
    <w:p>
      <w:pPr>
        <w:tabs>
          <w:tab w:val="left" w:pos="1125"/>
        </w:tabs>
        <w:spacing w:line="360" w:lineRule="auto"/>
        <w:ind w:firstLine="420" w:firstLineChars="200"/>
        <w:rPr>
          <w:rFonts w:ascii="宋体" w:hAnsi="宋体"/>
          <w:color w:val="auto"/>
          <w:szCs w:val="21"/>
          <w:highlight w:val="none"/>
        </w:rPr>
      </w:pPr>
      <w:r>
        <w:rPr>
          <w:rFonts w:ascii="宋体" w:hAnsi="宋体"/>
          <w:color w:val="auto"/>
          <w:szCs w:val="21"/>
          <w:highlight w:val="none"/>
        </w:rPr>
        <w:t>11.3.</w:t>
      </w:r>
      <w:r>
        <w:rPr>
          <w:rFonts w:hint="eastAsia" w:ascii="宋体" w:hAnsi="宋体"/>
          <w:color w:val="auto"/>
          <w:szCs w:val="21"/>
          <w:highlight w:val="none"/>
        </w:rPr>
        <w:t>3按照</w:t>
      </w:r>
      <w:r>
        <w:rPr>
          <w:rFonts w:hint="eastAsia" w:ascii="宋体" w:hAnsi="宋体"/>
          <w:bCs/>
          <w:color w:val="auto"/>
          <w:szCs w:val="21"/>
          <w:highlight w:val="none"/>
        </w:rPr>
        <w:t>招标文件要求</w:t>
      </w:r>
      <w:r>
        <w:rPr>
          <w:rFonts w:hint="eastAsia" w:ascii="宋体" w:hAnsi="宋体"/>
          <w:color w:val="auto"/>
          <w:szCs w:val="21"/>
          <w:highlight w:val="none"/>
        </w:rPr>
        <w:t>填写的《参与编制经济标投标文件人员名单》。</w:t>
      </w:r>
    </w:p>
    <w:p>
      <w:pPr>
        <w:tabs>
          <w:tab w:val="left" w:pos="112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12．投标文件格式</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12.1 投标文件包括本须知第11条中规定的内容，投标人提交的投标文件应当使用招标文件所提供的投标文件全部格式（表格可以按同样格式扩展）。</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 xml:space="preserve">12.3 </w:t>
      </w:r>
      <w:r>
        <w:rPr>
          <w:rFonts w:hint="eastAsia" w:ascii="宋体" w:hAnsi="宋体" w:cs="宋体"/>
          <w:bCs/>
          <w:color w:val="auto"/>
          <w:sz w:val="21"/>
          <w:szCs w:val="21"/>
          <w:highlight w:val="none"/>
        </w:rPr>
        <w:t>投标文件应按</w:t>
      </w:r>
      <w:r>
        <w:rPr>
          <w:rFonts w:hint="eastAsia" w:ascii="宋体" w:hAnsi="宋体" w:cs="宋体"/>
          <w:color w:val="auto"/>
          <w:sz w:val="21"/>
          <w:szCs w:val="21"/>
          <w:highlight w:val="none"/>
        </w:rPr>
        <w:t xml:space="preserve">照交易平台关于全流程电子化项目的相关指南进行编制，详见：。               </w:t>
      </w:r>
    </w:p>
    <w:p>
      <w:pPr>
        <w:pStyle w:val="20"/>
        <w:spacing w:after="0" w:line="360" w:lineRule="auto"/>
        <w:ind w:firstLine="0"/>
        <w:rPr>
          <w:rFonts w:ascii="宋体" w:hAnsi="宋体" w:cs="宋体"/>
          <w:color w:val="auto"/>
          <w:sz w:val="21"/>
          <w:szCs w:val="21"/>
          <w:highlight w:val="none"/>
        </w:rPr>
      </w:pPr>
      <w:r>
        <w:rPr>
          <w:rFonts w:hint="eastAsia" w:ascii="宋体" w:hAnsi="宋体" w:cs="宋体"/>
          <w:bCs/>
          <w:color w:val="auto"/>
          <w:sz w:val="21"/>
          <w:szCs w:val="21"/>
          <w:highlight w:val="none"/>
        </w:rPr>
        <w:t>如不按上述要求编制引起系统无法检索、读取相关信息的，其后果由投标人承担。</w:t>
      </w:r>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13．投标报价及造价承包和变更结算方式</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13.1 本工程的投标报价采用投标须知前附表第12项所规定的方式。投标报价（含单价及总价）精确到“分”。</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13.5.1中标的投标文件工程量清单中已有相同项目的适用综合单价，则沿用；</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13.5.3 中标的投标文件工程量清单中没有相同项目或类似项目的，如可套取相关定额，则以相关定额为基数下浮计算单价,下浮率为中标价相对于最高投标限价的下浮率（下浮率=(最高投标限价-中标价)/最高投标限价）。</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13.5.4 如相关定额没有相应子目的，其计价方式由招标人在本招标文件第三章中另行规定。未规定的，中标后双方协商约定。</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13.6暂列金额、暂估价</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暂估价是指招标人在工程量清单中提供的用于支付必然发生但暂时不能确定价格的材料的单价以及专业工程的金额。</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13.7投标人可先到工地踏勘以充分了解工地位置、情况、道路、储存空间、装卸限制及任何其他足以影响承包价的情况，任何因忽视或误解工地情况而导致的索赔或工期延长申请将不被批准。</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13.9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14．投标货币</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14.1 本工程投标报价采用的币种为人民币。</w:t>
      </w:r>
    </w:p>
    <w:p>
      <w:pPr>
        <w:pStyle w:val="20"/>
        <w:spacing w:after="0" w:line="360" w:lineRule="auto"/>
        <w:ind w:firstLine="422" w:firstLineChars="200"/>
        <w:rPr>
          <w:rFonts w:ascii="宋体" w:hAnsi="宋体"/>
          <w:color w:val="auto"/>
          <w:sz w:val="21"/>
          <w:szCs w:val="21"/>
          <w:highlight w:val="none"/>
        </w:rPr>
      </w:pPr>
      <w:r>
        <w:rPr>
          <w:rFonts w:ascii="宋体" w:hAnsi="宋体"/>
          <w:b/>
          <w:bCs/>
          <w:color w:val="auto"/>
          <w:sz w:val="21"/>
          <w:szCs w:val="21"/>
          <w:highlight w:val="none"/>
        </w:rPr>
        <w:t>15</w:t>
      </w:r>
      <w:r>
        <w:rPr>
          <w:rFonts w:hint="eastAsia" w:ascii="宋体" w:hAnsi="宋体"/>
          <w:b/>
          <w:bCs/>
          <w:color w:val="auto"/>
          <w:sz w:val="21"/>
          <w:szCs w:val="21"/>
          <w:highlight w:val="none"/>
        </w:rPr>
        <w:t>．投标有效期</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15.1 投标有效期见投标须知前附表第13项所规定的期限，在此期限内，凡符合本招标文件要求的投标文件均保持有效。</w:t>
      </w:r>
    </w:p>
    <w:p>
      <w:pPr>
        <w:pStyle w:val="20"/>
        <w:spacing w:after="0"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16．投标保证金</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16.1</w:t>
      </w:r>
      <w:r>
        <w:rPr>
          <w:rFonts w:hint="eastAsia" w:ascii="宋体" w:hAnsi="宋体"/>
          <w:color w:val="auto"/>
          <w:szCs w:val="21"/>
          <w:highlight w:val="none"/>
        </w:rPr>
        <w:t>投标人应按投标须知前附表第</w:t>
      </w:r>
      <w:r>
        <w:rPr>
          <w:rFonts w:ascii="宋体" w:hAnsi="宋体"/>
          <w:color w:val="auto"/>
          <w:szCs w:val="21"/>
          <w:highlight w:val="none"/>
        </w:rPr>
        <w:t>14</w:t>
      </w:r>
      <w:r>
        <w:rPr>
          <w:rFonts w:hint="eastAsia" w:ascii="宋体" w:hAnsi="宋体"/>
          <w:color w:val="auto"/>
          <w:szCs w:val="21"/>
          <w:highlight w:val="none"/>
        </w:rPr>
        <w:t>项所述金额和时间递交</w:t>
      </w:r>
      <w:r>
        <w:rPr>
          <w:rFonts w:hint="eastAsia" w:ascii="宋体" w:hAnsi="宋体"/>
          <w:bCs/>
          <w:color w:val="auto"/>
          <w:szCs w:val="21"/>
          <w:highlight w:val="none"/>
        </w:rPr>
        <w:t>投标保证金</w:t>
      </w:r>
      <w:r>
        <w:rPr>
          <w:rFonts w:hint="eastAsia" w:ascii="宋体" w:hAnsi="宋体"/>
          <w:color w:val="auto"/>
          <w:szCs w:val="21"/>
          <w:highlight w:val="none"/>
        </w:rPr>
        <w:t>。招标人应当允许投标人自主选择现金、银行保函、保证保险、专业工程担保公司担保等方式缴纳投标保证金。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16.1.1 采用现金或者支票形式提交的，投标保证金须从投标人的银行基本账户转出。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16.1.3 采用电子形式的保函、担保或保证保险提交投标保证金的，应在招标文件中明确电子递交途径。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16.3投标保证金应依据法律法规的相关规定退还。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16.4如有下列情况之一的，招标人可以不予退还投标保证金（是否退还投标保证金由招标人在招标文件中规定）：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16.4.1因投标人原因造成投标文件未解密的；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16.4.2投标人在投标有效期内撤销投标文件；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16.4.3中标人未能在规定期限内按要求提交履约担保；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16.4.4中标人未能在规定期限内签署合同协议。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16.5投标人如存在下列情况之一的，将被拒绝在一定时期内参与招标人后续工程投标（拒绝时限需在招标文件中明确）：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16.5.1投标人存在16.4条款所列情形且投标人提交的保函、担保或保证保险无法兑付的；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16.5.3按招标文件要求免于提供投标保证金的投标人存在16.4条款所列情形，且未按招标人要求补交投标保证金的；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16.5.3按招标文件要求免于提供投标保证金的投标人存在16.4条款所列情形的。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注：16.5.3款由招标人二选一，需在招标文件中明确。</w:t>
      </w:r>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17．投标文件的签署</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17.1</w:t>
      </w:r>
      <w:r>
        <w:rPr>
          <w:rFonts w:hint="eastAsia" w:ascii="宋体" w:hAnsi="宋体"/>
          <w:color w:val="auto"/>
          <w:szCs w:val="21"/>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w:t>
      </w:r>
      <w:r>
        <w:rPr>
          <w:rFonts w:hint="eastAsia" w:ascii="宋体" w:hAnsi="宋体" w:cs="宋体"/>
          <w:color w:val="auto"/>
          <w:szCs w:val="21"/>
          <w:highlight w:val="none"/>
        </w:rPr>
        <w:t>详见：</w:t>
      </w:r>
      <w:r>
        <w:rPr>
          <w:rFonts w:hint="eastAsia" w:ascii="宋体" w:hAnsi="宋体"/>
          <w:color w:val="auto"/>
          <w:szCs w:val="21"/>
          <w:highlight w:val="none"/>
        </w:rPr>
        <w:t>。</w:t>
      </w:r>
    </w:p>
    <w:p>
      <w:pPr>
        <w:pStyle w:val="7"/>
        <w:spacing w:before="156" w:after="156"/>
        <w:rPr>
          <w:color w:val="auto"/>
          <w:sz w:val="21"/>
          <w:szCs w:val="21"/>
          <w:highlight w:val="none"/>
        </w:rPr>
      </w:pPr>
      <w:bookmarkStart w:id="18" w:name="_Toc2272552"/>
      <w:bookmarkStart w:id="19" w:name="_Toc21525496"/>
      <w:bookmarkStart w:id="20" w:name="_Toc7691"/>
      <w:r>
        <w:rPr>
          <w:rFonts w:hint="eastAsia"/>
          <w:color w:val="auto"/>
          <w:sz w:val="21"/>
          <w:szCs w:val="21"/>
          <w:highlight w:val="none"/>
        </w:rPr>
        <w:t>（四）投标文件的提交</w:t>
      </w:r>
      <w:bookmarkEnd w:id="18"/>
      <w:bookmarkEnd w:id="19"/>
      <w:bookmarkEnd w:id="20"/>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18．</w:t>
      </w:r>
      <w:r>
        <w:rPr>
          <w:rFonts w:hint="eastAsia" w:ascii="宋体" w:hAnsi="宋体" w:cs="宋体"/>
          <w:b/>
          <w:color w:val="auto"/>
          <w:sz w:val="21"/>
          <w:szCs w:val="21"/>
          <w:highlight w:val="none"/>
        </w:rPr>
        <w:t>投标文件的密封和标记</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8</w:t>
      </w:r>
      <w:r>
        <w:rPr>
          <w:rFonts w:ascii="宋体" w:hAnsi="宋体"/>
          <w:bCs/>
          <w:color w:val="auto"/>
          <w:szCs w:val="21"/>
          <w:highlight w:val="none"/>
        </w:rPr>
        <w:t>.1</w:t>
      </w:r>
      <w:r>
        <w:rPr>
          <w:rFonts w:hint="eastAsia" w:ascii="宋体" w:hAnsi="宋体"/>
          <w:bCs/>
          <w:color w:val="auto"/>
          <w:szCs w:val="21"/>
          <w:highlight w:val="none"/>
        </w:rPr>
        <w:t>递交的电子投标文件（不含备用光盘）必须进行加密。按照交易平台关于</w:t>
      </w:r>
      <w:r>
        <w:rPr>
          <w:rFonts w:hint="eastAsia" w:ascii="宋体" w:hAnsi="宋体"/>
          <w:color w:val="auto"/>
          <w:szCs w:val="21"/>
          <w:highlight w:val="none"/>
        </w:rPr>
        <w:t>全流程电子化项目的相关指南进行操作。</w:t>
      </w:r>
      <w:r>
        <w:rPr>
          <w:rFonts w:hint="eastAsia" w:ascii="宋体" w:hAnsi="宋体" w:cs="宋体"/>
          <w:color w:val="auto"/>
          <w:szCs w:val="21"/>
          <w:highlight w:val="none"/>
        </w:rPr>
        <w:t>详见：</w:t>
      </w:r>
      <w:r>
        <w:rPr>
          <w:rFonts w:hint="eastAsia" w:ascii="宋体" w:hAnsi="宋体"/>
          <w:color w:val="auto"/>
          <w:szCs w:val="21"/>
          <w:highlight w:val="none"/>
        </w:rPr>
        <w:t xml:space="preserve"> 。</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8</w:t>
      </w:r>
      <w:r>
        <w:rPr>
          <w:rFonts w:ascii="宋体" w:hAnsi="宋体"/>
          <w:bCs/>
          <w:color w:val="auto"/>
          <w:szCs w:val="21"/>
          <w:highlight w:val="none"/>
        </w:rPr>
        <w:t>.2</w:t>
      </w:r>
      <w:r>
        <w:rPr>
          <w:rFonts w:hint="eastAsia" w:ascii="宋体" w:hAnsi="宋体"/>
          <w:bCs/>
          <w:color w:val="auto"/>
          <w:szCs w:val="21"/>
          <w:highlight w:val="none"/>
        </w:rPr>
        <w:t>未按要求加密的投标文件，</w:t>
      </w:r>
      <w:r>
        <w:rPr>
          <w:rFonts w:hint="eastAsia" w:ascii="宋体" w:hAnsi="宋体"/>
          <w:color w:val="auto"/>
          <w:szCs w:val="21"/>
          <w:highlight w:val="none"/>
        </w:rPr>
        <w:t>交易平台</w:t>
      </w:r>
      <w:r>
        <w:rPr>
          <w:rFonts w:hint="eastAsia" w:ascii="宋体" w:hAnsi="宋体"/>
          <w:bCs/>
          <w:color w:val="auto"/>
          <w:szCs w:val="21"/>
          <w:highlight w:val="none"/>
        </w:rPr>
        <w:t>将予以拒收。</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19</w:t>
      </w:r>
      <w:r>
        <w:rPr>
          <w:rFonts w:hint="eastAsia" w:ascii="宋体" w:hAnsi="宋体"/>
          <w:b/>
          <w:bCs/>
          <w:color w:val="auto"/>
          <w:szCs w:val="21"/>
          <w:highlight w:val="none"/>
        </w:rPr>
        <w:t>．投标文件的递交和接收</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9</w:t>
      </w:r>
      <w:r>
        <w:rPr>
          <w:rFonts w:ascii="宋体" w:hAnsi="宋体"/>
          <w:bCs/>
          <w:color w:val="auto"/>
          <w:szCs w:val="21"/>
          <w:highlight w:val="none"/>
        </w:rPr>
        <w:t>.</w:t>
      </w:r>
      <w:r>
        <w:rPr>
          <w:rFonts w:hint="eastAsia" w:ascii="宋体" w:hAnsi="宋体"/>
          <w:bCs/>
          <w:color w:val="auto"/>
          <w:szCs w:val="21"/>
          <w:highlight w:val="none"/>
        </w:rPr>
        <w:t>1投标人通过</w:t>
      </w:r>
      <w:r>
        <w:rPr>
          <w:rFonts w:hint="eastAsia" w:ascii="宋体" w:hAnsi="宋体"/>
          <w:color w:val="auto"/>
          <w:szCs w:val="21"/>
          <w:highlight w:val="none"/>
        </w:rPr>
        <w:t>交易平台递交电子投标文件。</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9</w:t>
      </w:r>
      <w:r>
        <w:rPr>
          <w:rFonts w:ascii="宋体" w:hAnsi="宋体"/>
          <w:bCs/>
          <w:color w:val="auto"/>
          <w:szCs w:val="21"/>
          <w:highlight w:val="none"/>
        </w:rPr>
        <w:t>.</w:t>
      </w:r>
      <w:r>
        <w:rPr>
          <w:rFonts w:hint="eastAsia" w:ascii="宋体" w:hAnsi="宋体"/>
          <w:bCs/>
          <w:color w:val="auto"/>
          <w:szCs w:val="21"/>
          <w:highlight w:val="none"/>
        </w:rPr>
        <w:t>2投标人完成电子</w:t>
      </w:r>
      <w:r>
        <w:rPr>
          <w:rFonts w:hint="eastAsia" w:ascii="宋体" w:hAnsi="宋体"/>
          <w:color w:val="auto"/>
          <w:szCs w:val="21"/>
          <w:highlight w:val="none"/>
        </w:rPr>
        <w:t>投标文件</w:t>
      </w:r>
      <w:r>
        <w:rPr>
          <w:rFonts w:hint="eastAsia" w:ascii="宋体" w:hAnsi="宋体"/>
          <w:bCs/>
          <w:color w:val="auto"/>
          <w:szCs w:val="21"/>
          <w:highlight w:val="none"/>
        </w:rPr>
        <w:t>上传后，</w:t>
      </w:r>
      <w:r>
        <w:rPr>
          <w:rFonts w:hint="eastAsia" w:ascii="宋体" w:hAnsi="宋体"/>
          <w:color w:val="auto"/>
          <w:szCs w:val="21"/>
          <w:highlight w:val="none"/>
        </w:rPr>
        <w:t>交易平台即时向投标人发出递交回执通知。递交时间以递交回执通知载明的传输完成时间为准。</w:t>
      </w:r>
    </w:p>
    <w:p>
      <w:pPr>
        <w:spacing w:line="360" w:lineRule="auto"/>
        <w:ind w:firstLine="420" w:firstLineChars="200"/>
        <w:rPr>
          <w:rFonts w:ascii="宋体" w:hAnsi="宋体"/>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9</w:t>
      </w:r>
      <w:r>
        <w:rPr>
          <w:rFonts w:ascii="宋体" w:hAnsi="宋体"/>
          <w:bCs/>
          <w:color w:val="auto"/>
          <w:szCs w:val="21"/>
          <w:highlight w:val="none"/>
        </w:rPr>
        <w:t>.</w:t>
      </w:r>
      <w:r>
        <w:rPr>
          <w:rFonts w:hint="eastAsia" w:ascii="宋体" w:hAnsi="宋体"/>
          <w:bCs/>
          <w:color w:val="auto"/>
          <w:szCs w:val="21"/>
          <w:highlight w:val="none"/>
        </w:rPr>
        <w:t>3逾期送达的电子投标文件，</w:t>
      </w:r>
      <w:r>
        <w:rPr>
          <w:rFonts w:hint="eastAsia" w:ascii="宋体" w:hAnsi="宋体"/>
          <w:color w:val="auto"/>
          <w:szCs w:val="21"/>
          <w:highlight w:val="none"/>
        </w:rPr>
        <w:t>交易平台将予以拒收。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19.</w:t>
      </w:r>
      <w:r>
        <w:rPr>
          <w:rFonts w:hint="eastAsia" w:ascii="宋体" w:hAnsi="宋体"/>
          <w:color w:val="auto"/>
          <w:szCs w:val="21"/>
          <w:highlight w:val="none"/>
        </w:rPr>
        <w:t>4投标截止前，招标人拒绝接收符合条件的投标文件，投标人可向招标投标监督机构投诉。</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19.</w:t>
      </w:r>
      <w:r>
        <w:rPr>
          <w:rFonts w:hint="eastAsia" w:ascii="宋体" w:hAnsi="宋体"/>
          <w:color w:val="auto"/>
          <w:szCs w:val="21"/>
          <w:highlight w:val="none"/>
        </w:rPr>
        <w:t>5如技术标和经济标先后分别开启，交易平台将按招标文件规定的时间分别开启技术标和经济标。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19.6</w:t>
      </w:r>
      <w:r>
        <w:rPr>
          <w:rFonts w:hint="eastAsia" w:ascii="宋体" w:hAnsi="宋体"/>
          <w:color w:val="auto"/>
          <w:szCs w:val="21"/>
          <w:highlight w:val="none"/>
        </w:rPr>
        <w:t>在规定的时间内，项目负责人须到自助签到。按照交易平台有关项目负责人自助签到流程进行操作。项目负责人凡未凭身份证按时到达指定地点签到的，该投标文件将不能参与资格审查和评标（选择性条款）。</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20</w:t>
      </w:r>
      <w:r>
        <w:rPr>
          <w:rFonts w:hint="eastAsia" w:ascii="宋体" w:hAnsi="宋体"/>
          <w:b/>
          <w:bCs/>
          <w:color w:val="auto"/>
          <w:szCs w:val="21"/>
          <w:highlight w:val="none"/>
        </w:rPr>
        <w:t>．投标文件提交的截止时间</w:t>
      </w:r>
    </w:p>
    <w:p>
      <w:pPr>
        <w:spacing w:line="360" w:lineRule="auto"/>
        <w:ind w:firstLine="420" w:firstLineChars="200"/>
        <w:rPr>
          <w:rFonts w:ascii="宋体" w:hAnsi="宋体"/>
          <w:b/>
          <w:bCs/>
          <w:color w:val="auto"/>
          <w:szCs w:val="21"/>
          <w:highlight w:val="none"/>
        </w:rPr>
      </w:pPr>
      <w:r>
        <w:rPr>
          <w:rFonts w:ascii="宋体" w:hAnsi="宋体"/>
          <w:color w:val="auto"/>
          <w:szCs w:val="21"/>
          <w:highlight w:val="none"/>
        </w:rPr>
        <w:t>20.1</w:t>
      </w:r>
      <w:r>
        <w:rPr>
          <w:rFonts w:hint="eastAsia" w:ascii="宋体" w:hAnsi="宋体"/>
          <w:color w:val="auto"/>
          <w:szCs w:val="21"/>
          <w:highlight w:val="none"/>
        </w:rPr>
        <w:t>投标人应在投标须知前附表第17项所述的时间前提交投标文件。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20.2</w:t>
      </w:r>
      <w:r>
        <w:rPr>
          <w:rFonts w:hint="eastAsia" w:ascii="宋体" w:hAnsi="宋体"/>
          <w:color w:val="auto"/>
          <w:szCs w:val="21"/>
          <w:highlight w:val="none"/>
        </w:rPr>
        <w:t>招标人可按本须知第</w:t>
      </w:r>
      <w:r>
        <w:rPr>
          <w:rFonts w:ascii="宋体" w:hAnsi="宋体"/>
          <w:color w:val="auto"/>
          <w:szCs w:val="21"/>
          <w:highlight w:val="none"/>
        </w:rPr>
        <w:t>9</w:t>
      </w:r>
      <w:r>
        <w:rPr>
          <w:rFonts w:hint="eastAsia" w:ascii="宋体" w:hAnsi="宋体"/>
          <w:color w:val="auto"/>
          <w:szCs w:val="21"/>
          <w:highlight w:val="none"/>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20.3 </w:t>
      </w:r>
      <w:r>
        <w:rPr>
          <w:rFonts w:hint="eastAsia" w:ascii="宋体" w:hAnsi="宋体"/>
          <w:color w:val="auto"/>
          <w:szCs w:val="21"/>
          <w:highlight w:val="none"/>
        </w:rPr>
        <w:t>到投标截止时间止，招标人收到的投标文件少于3家的，招标人将重新组织招标（当</w:t>
      </w:r>
      <w:r>
        <w:rPr>
          <w:rFonts w:ascii="宋体" w:hAnsi="宋体"/>
          <w:color w:val="auto"/>
          <w:szCs w:val="21"/>
          <w:highlight w:val="none"/>
        </w:rPr>
        <w:t>N</w:t>
      </w:r>
      <w:r>
        <w:rPr>
          <w:rFonts w:hint="eastAsia" w:ascii="宋体" w:hAnsi="宋体"/>
          <w:color w:val="auto"/>
          <w:szCs w:val="21"/>
          <w:highlight w:val="none"/>
        </w:rPr>
        <w:t>个标段同时招标且不允许兼中时，若有效投标人不足</w:t>
      </w:r>
      <w:r>
        <w:rPr>
          <w:rFonts w:ascii="宋体" w:hAnsi="宋体"/>
          <w:color w:val="auto"/>
          <w:szCs w:val="21"/>
          <w:highlight w:val="none"/>
        </w:rPr>
        <w:t>N+</w:t>
      </w:r>
      <w:r>
        <w:rPr>
          <w:rFonts w:hint="eastAsia" w:ascii="宋体" w:hAnsi="宋体"/>
          <w:color w:val="auto"/>
          <w:szCs w:val="21"/>
          <w:highlight w:val="none"/>
        </w:rPr>
        <w:t>2家，则重新组织招标）。</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21</w:t>
      </w:r>
      <w:r>
        <w:rPr>
          <w:rFonts w:hint="eastAsia" w:ascii="宋体" w:hAnsi="宋体"/>
          <w:b/>
          <w:bCs/>
          <w:color w:val="auto"/>
          <w:szCs w:val="21"/>
          <w:highlight w:val="none"/>
        </w:rPr>
        <w:t>．迟交的投标文件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21.1 </w:t>
      </w:r>
      <w:r>
        <w:rPr>
          <w:rFonts w:hint="eastAsia" w:ascii="宋体" w:hAnsi="宋体"/>
          <w:color w:val="auto"/>
          <w:szCs w:val="21"/>
          <w:highlight w:val="none"/>
        </w:rPr>
        <w:t>本须知前附表第</w:t>
      </w:r>
      <w:r>
        <w:rPr>
          <w:rFonts w:ascii="宋体" w:hAnsi="宋体"/>
          <w:color w:val="auto"/>
          <w:szCs w:val="21"/>
          <w:highlight w:val="none"/>
        </w:rPr>
        <w:t>1</w:t>
      </w:r>
      <w:r>
        <w:rPr>
          <w:rFonts w:hint="eastAsia" w:ascii="宋体" w:hAnsi="宋体"/>
          <w:color w:val="auto"/>
          <w:szCs w:val="21"/>
          <w:highlight w:val="none"/>
        </w:rPr>
        <w:t>7项规定的投标截止时间</w:t>
      </w:r>
      <w:r>
        <w:rPr>
          <w:rFonts w:hint="eastAsia" w:ascii="宋体" w:hAnsi="宋体"/>
          <w:bCs/>
          <w:color w:val="auto"/>
          <w:szCs w:val="21"/>
          <w:highlight w:val="none"/>
        </w:rPr>
        <w:t>后送达的电子投标文件，</w:t>
      </w:r>
      <w:r>
        <w:rPr>
          <w:rFonts w:hint="eastAsia" w:ascii="宋体" w:hAnsi="宋体"/>
          <w:color w:val="auto"/>
          <w:szCs w:val="21"/>
          <w:highlight w:val="none"/>
        </w:rPr>
        <w:t>交易平台将予以拒收。</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22</w:t>
      </w:r>
      <w:r>
        <w:rPr>
          <w:rFonts w:hint="eastAsia" w:ascii="宋体" w:hAnsi="宋体"/>
          <w:b/>
          <w:bCs/>
          <w:color w:val="auto"/>
          <w:szCs w:val="21"/>
          <w:highlight w:val="none"/>
        </w:rPr>
        <w:t>．投标文件的修改与撤回</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22.1</w:t>
      </w:r>
      <w:r>
        <w:rPr>
          <w:rFonts w:hint="eastAsia" w:ascii="宋体" w:hAnsi="宋体"/>
          <w:color w:val="auto"/>
          <w:szCs w:val="21"/>
          <w:highlight w:val="none"/>
        </w:rPr>
        <w:t>在规定的投标截止时间前，投标人可以修改或撤回已递交的投标文件，但应以书面形式通知招标人。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22.2投标人修改或撤回已递交</w:t>
      </w:r>
      <w:r>
        <w:rPr>
          <w:rFonts w:hint="eastAsia" w:ascii="宋体" w:hAnsi="宋体"/>
          <w:color w:val="auto"/>
          <w:szCs w:val="21"/>
          <w:highlight w:val="none"/>
        </w:rPr>
        <w:t>的</w:t>
      </w:r>
      <w:r>
        <w:rPr>
          <w:rFonts w:ascii="宋体" w:hAnsi="宋体"/>
          <w:color w:val="auto"/>
          <w:szCs w:val="21"/>
          <w:highlight w:val="none"/>
        </w:rPr>
        <w:t>投标文件</w:t>
      </w:r>
      <w:r>
        <w:rPr>
          <w:rFonts w:hint="eastAsia" w:ascii="宋体" w:hAnsi="宋体"/>
          <w:color w:val="auto"/>
          <w:szCs w:val="21"/>
          <w:highlight w:val="none"/>
        </w:rPr>
        <w:t>，需在交易平台发出修改或撤回</w:t>
      </w:r>
      <w:r>
        <w:rPr>
          <w:rFonts w:ascii="宋体" w:hAnsi="宋体"/>
          <w:color w:val="auto"/>
          <w:szCs w:val="21"/>
          <w:highlight w:val="none"/>
        </w:rPr>
        <w:t>通知，</w:t>
      </w:r>
      <w:r>
        <w:rPr>
          <w:rFonts w:hint="eastAsia" w:ascii="宋体" w:hAnsi="宋体"/>
          <w:color w:val="auto"/>
          <w:szCs w:val="21"/>
          <w:highlight w:val="none"/>
        </w:rPr>
        <w:t>并按</w:t>
      </w:r>
      <w:r>
        <w:rPr>
          <w:rFonts w:ascii="宋体" w:hAnsi="宋体"/>
          <w:color w:val="auto"/>
          <w:szCs w:val="21"/>
          <w:highlight w:val="none"/>
        </w:rPr>
        <w:t>要求加盖电子印章。</w:t>
      </w:r>
      <w:r>
        <w:rPr>
          <w:rFonts w:ascii="宋体" w:hAnsi="宋体"/>
          <w:bCs/>
          <w:iCs/>
          <w:color w:val="auto"/>
          <w:szCs w:val="21"/>
          <w:highlight w:val="none"/>
        </w:rPr>
        <w:t>电子招标投标交易平台收到通知后，</w:t>
      </w:r>
      <w:r>
        <w:rPr>
          <w:rFonts w:ascii="宋体" w:hAnsi="宋体"/>
          <w:color w:val="auto"/>
          <w:szCs w:val="21"/>
          <w:highlight w:val="none"/>
        </w:rPr>
        <w:t>即时向投标人发出确认回执通知。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22.3修改后再次递交的，按19点的规定执行。</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4在投标截止时间之后，投标人不得补充、修改和更换投标文件。</w:t>
      </w:r>
    </w:p>
    <w:p>
      <w:pPr>
        <w:pStyle w:val="7"/>
        <w:spacing w:before="156" w:after="156"/>
        <w:rPr>
          <w:color w:val="auto"/>
          <w:sz w:val="21"/>
          <w:szCs w:val="21"/>
          <w:highlight w:val="none"/>
        </w:rPr>
      </w:pPr>
      <w:bookmarkStart w:id="21" w:name="_Toc2774"/>
      <w:bookmarkStart w:id="22" w:name="_Toc21525497"/>
      <w:bookmarkStart w:id="23" w:name="_Toc2272553"/>
      <w:r>
        <w:rPr>
          <w:rFonts w:hint="eastAsia"/>
          <w:color w:val="auto"/>
          <w:sz w:val="21"/>
          <w:szCs w:val="21"/>
          <w:highlight w:val="none"/>
        </w:rPr>
        <w:t>（五）开标、评标、定标及合同签定</w:t>
      </w:r>
      <w:bookmarkEnd w:id="21"/>
      <w:bookmarkEnd w:id="22"/>
      <w:bookmarkEnd w:id="23"/>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23</w:t>
      </w:r>
      <w:r>
        <w:rPr>
          <w:rFonts w:hint="eastAsia" w:ascii="宋体" w:hAnsi="宋体"/>
          <w:b/>
          <w:bCs/>
          <w:color w:val="auto"/>
          <w:szCs w:val="21"/>
          <w:highlight w:val="none"/>
        </w:rPr>
        <w:t>、开标。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详见第二章开标、评标及定标办法</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24</w:t>
      </w:r>
      <w:r>
        <w:rPr>
          <w:rFonts w:hint="eastAsia" w:ascii="宋体" w:hAnsi="宋体"/>
          <w:b/>
          <w:bCs/>
          <w:color w:val="auto"/>
          <w:szCs w:val="21"/>
          <w:highlight w:val="none"/>
        </w:rPr>
        <w:t>．评标过程的保密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24.1 </w:t>
      </w:r>
      <w:r>
        <w:rPr>
          <w:rFonts w:hint="eastAsia" w:ascii="宋体" w:hAnsi="宋体"/>
          <w:color w:val="auto"/>
          <w:szCs w:val="21"/>
          <w:highlight w:val="none"/>
        </w:rPr>
        <w:t>开标后，直至中标公示为止，凡属于对投标文件的审查、澄清、评价和比较有关的资料以及中标候选人的推荐情况，与评标有关的其他任何情况均严格保密。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24.2 </w:t>
      </w:r>
      <w:r>
        <w:rPr>
          <w:rFonts w:hint="eastAsia" w:ascii="宋体" w:hAnsi="宋体"/>
          <w:color w:val="auto"/>
          <w:szCs w:val="21"/>
          <w:highlight w:val="none"/>
        </w:rPr>
        <w:t>在投标文件的评审和比较、中标候选人推荐以及授予合同的过程中，投标人向招标人和评标委员会施加不公正影响的任何行为，都将会导致其投标被拒绝。</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25</w:t>
      </w:r>
      <w:r>
        <w:rPr>
          <w:rFonts w:hint="eastAsia" w:ascii="宋体" w:hAnsi="宋体"/>
          <w:b/>
          <w:bCs/>
          <w:color w:val="auto"/>
          <w:szCs w:val="21"/>
          <w:highlight w:val="none"/>
        </w:rPr>
        <w:t>．投标文件的澄清，计算错误的修正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详见招标文件第二章开标、评标及定标办法</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26</w:t>
      </w:r>
      <w:r>
        <w:rPr>
          <w:rFonts w:hint="eastAsia" w:ascii="宋体" w:hAnsi="宋体"/>
          <w:b/>
          <w:bCs/>
          <w:color w:val="auto"/>
          <w:szCs w:val="21"/>
          <w:highlight w:val="none"/>
        </w:rPr>
        <w:t>．投标文件的评审、比较和否决</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详见招标文件第二章开标、评标及定标办法。</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27</w:t>
      </w:r>
      <w:r>
        <w:rPr>
          <w:rFonts w:hint="eastAsia" w:ascii="宋体" w:hAnsi="宋体"/>
          <w:b/>
          <w:bCs/>
          <w:color w:val="auto"/>
          <w:szCs w:val="21"/>
          <w:highlight w:val="none"/>
        </w:rPr>
        <w:t>．中标通知书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27.1</w:t>
      </w:r>
      <w:r>
        <w:rPr>
          <w:rFonts w:hint="eastAsia" w:ascii="宋体" w:hAnsi="宋体" w:cs="宋体"/>
          <w:bCs/>
          <w:color w:val="auto"/>
          <w:kern w:val="0"/>
          <w:szCs w:val="21"/>
          <w:highlight w:val="none"/>
        </w:rPr>
        <w:t>招标人将在交易平台、广东省招标投标监管网和中国招标投标公共服务平台公示中标候选人，公示期为三天。</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27.2</w:t>
      </w:r>
      <w:r>
        <w:rPr>
          <w:rFonts w:hint="eastAsia" w:ascii="宋体" w:hAnsi="宋体"/>
          <w:color w:val="auto"/>
          <w:szCs w:val="21"/>
          <w:highlight w:val="none"/>
        </w:rPr>
        <w:t>招标人应当自确定中标人后，向招标投标监管机构提交招标投标情况的书面报告；经招投标监管机构备案后，方可发出中标通知书。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27.3</w:t>
      </w:r>
      <w:r>
        <w:rPr>
          <w:rFonts w:hint="eastAsia" w:ascii="宋体" w:hAnsi="宋体"/>
          <w:color w:val="auto"/>
          <w:szCs w:val="21"/>
          <w:highlight w:val="none"/>
        </w:rPr>
        <w:t>中标人必须在收到中标通知书后</w:t>
      </w:r>
      <w:r>
        <w:rPr>
          <w:rFonts w:ascii="宋体" w:hAnsi="宋体"/>
          <w:color w:val="auto"/>
          <w:szCs w:val="21"/>
          <w:highlight w:val="none"/>
        </w:rPr>
        <w:t>24</w:t>
      </w:r>
      <w:r>
        <w:rPr>
          <w:rFonts w:hint="eastAsia" w:ascii="宋体" w:hAnsi="宋体"/>
          <w:color w:val="auto"/>
          <w:szCs w:val="21"/>
          <w:highlight w:val="none"/>
        </w:rPr>
        <w:t>小时之内以书面形式回复招标人，确认收到。</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27.4</w:t>
      </w:r>
      <w:r>
        <w:rPr>
          <w:rFonts w:hint="eastAsia" w:ascii="宋体" w:hAnsi="宋体" w:cs="宋体"/>
          <w:bCs/>
          <w:color w:val="auto"/>
          <w:kern w:val="0"/>
          <w:szCs w:val="21"/>
          <w:highlight w:val="none"/>
        </w:rPr>
        <w:t>在产生中标候选人后，招标人将中标候选人的投标文件商务部分文件的所有内容（包括</w:t>
      </w:r>
      <w:r>
        <w:rPr>
          <w:rFonts w:hint="eastAsia" w:ascii="宋体" w:hAnsi="宋体" w:cs="宋体"/>
          <w:b/>
          <w:bCs/>
          <w:color w:val="auto"/>
          <w:kern w:val="0"/>
          <w:szCs w:val="21"/>
          <w:highlight w:val="none"/>
        </w:rPr>
        <w:t>报价清单</w:t>
      </w:r>
      <w:r>
        <w:rPr>
          <w:rFonts w:hint="eastAsia" w:ascii="宋体" w:hAnsi="宋体" w:cs="宋体"/>
          <w:bCs/>
          <w:color w:val="auto"/>
          <w:kern w:val="0"/>
          <w:szCs w:val="21"/>
          <w:highlight w:val="none"/>
        </w:rPr>
        <w:t>、人员、业绩、奖项等资料）在交易平台和广东省招标投标监管网公开。</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28</w:t>
      </w:r>
      <w:r>
        <w:rPr>
          <w:rFonts w:hint="eastAsia" w:ascii="宋体" w:hAnsi="宋体"/>
          <w:b/>
          <w:bCs/>
          <w:color w:val="auto"/>
          <w:szCs w:val="21"/>
          <w:highlight w:val="none"/>
        </w:rPr>
        <w:t>．合同协议书的签订</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28.1 </w:t>
      </w:r>
      <w:r>
        <w:rPr>
          <w:rFonts w:hint="eastAsia" w:ascii="宋体" w:hAnsi="宋体"/>
          <w:color w:val="auto"/>
          <w:szCs w:val="21"/>
          <w:highlight w:val="none"/>
        </w:rPr>
        <w:t>招标人与中标人将于中标通知书发出之日起</w:t>
      </w:r>
      <w:r>
        <w:rPr>
          <w:rFonts w:ascii="宋体" w:hAnsi="宋体"/>
          <w:color w:val="auto"/>
          <w:szCs w:val="21"/>
          <w:highlight w:val="none"/>
        </w:rPr>
        <w:t>30</w:t>
      </w:r>
      <w:r>
        <w:rPr>
          <w:rFonts w:hint="eastAsia" w:ascii="宋体" w:hAnsi="宋体"/>
          <w:color w:val="auto"/>
          <w:szCs w:val="21"/>
          <w:highlight w:val="none"/>
        </w:rPr>
        <w:t>日内，按照招标文件和中标人的投标文件商定和签订合同，招标人和中标人不得再行订立背离合同实质性内容的其他协议。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28.2</w:t>
      </w:r>
      <w:r>
        <w:rPr>
          <w:rFonts w:hint="eastAsia" w:ascii="宋体" w:hAnsi="宋体"/>
          <w:color w:val="auto"/>
          <w:szCs w:val="21"/>
          <w:highlight w:val="none"/>
        </w:rPr>
        <w:t>中标通知书发出之日起</w:t>
      </w:r>
      <w:r>
        <w:rPr>
          <w:rFonts w:ascii="宋体" w:hAnsi="宋体"/>
          <w:color w:val="auto"/>
          <w:szCs w:val="21"/>
          <w:highlight w:val="none"/>
        </w:rPr>
        <w:t>30</w:t>
      </w:r>
      <w:r>
        <w:rPr>
          <w:rFonts w:hint="eastAsia" w:ascii="宋体" w:hAnsi="宋体"/>
          <w:color w:val="auto"/>
          <w:szCs w:val="21"/>
          <w:highlight w:val="none"/>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28.3</w:t>
      </w:r>
      <w:r>
        <w:rPr>
          <w:rFonts w:hint="eastAsia" w:ascii="宋体" w:hAnsi="宋体"/>
          <w:color w:val="auto"/>
          <w:szCs w:val="21"/>
          <w:highlight w:val="none"/>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28.4</w:t>
      </w:r>
      <w:r>
        <w:rPr>
          <w:rFonts w:hint="eastAsia" w:ascii="宋体" w:hAnsi="宋体"/>
          <w:color w:val="auto"/>
          <w:szCs w:val="21"/>
          <w:highlight w:val="none"/>
        </w:rPr>
        <w:t>招标人支付工程款时，中标人应按规定开具发票。</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29</w:t>
      </w:r>
      <w:r>
        <w:rPr>
          <w:rFonts w:hint="eastAsia" w:ascii="宋体" w:hAnsi="宋体"/>
          <w:b/>
          <w:bCs/>
          <w:color w:val="auto"/>
          <w:szCs w:val="21"/>
          <w:highlight w:val="none"/>
        </w:rPr>
        <w:t>．履约担保</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29.1 </w:t>
      </w:r>
      <w:r>
        <w:rPr>
          <w:rFonts w:hint="eastAsia" w:ascii="宋体" w:hAnsi="宋体"/>
          <w:color w:val="auto"/>
          <w:szCs w:val="21"/>
          <w:highlight w:val="none"/>
        </w:rPr>
        <w:t>在收到中标通知书后的</w:t>
      </w:r>
      <w:r>
        <w:rPr>
          <w:rFonts w:ascii="宋体" w:hAnsi="宋体"/>
          <w:b/>
          <w:color w:val="auto"/>
          <w:szCs w:val="21"/>
          <w:highlight w:val="none"/>
        </w:rPr>
        <w:t>15</w:t>
      </w:r>
      <w:r>
        <w:rPr>
          <w:rFonts w:hint="eastAsia" w:ascii="宋体" w:hAnsi="宋体"/>
          <w:b/>
          <w:color w:val="auto"/>
          <w:szCs w:val="21"/>
          <w:highlight w:val="none"/>
        </w:rPr>
        <w:t>日</w:t>
      </w:r>
      <w:r>
        <w:rPr>
          <w:rFonts w:hint="eastAsia" w:ascii="宋体" w:hAnsi="宋体"/>
          <w:color w:val="auto"/>
          <w:szCs w:val="21"/>
          <w:highlight w:val="none"/>
        </w:rPr>
        <w:t>内，中标人应按本须知前附表第</w:t>
      </w:r>
      <w:r>
        <w:rPr>
          <w:rFonts w:ascii="宋体" w:hAnsi="宋体"/>
          <w:color w:val="auto"/>
          <w:szCs w:val="21"/>
          <w:highlight w:val="none"/>
        </w:rPr>
        <w:t>2</w:t>
      </w:r>
      <w:r>
        <w:rPr>
          <w:rFonts w:hint="eastAsia" w:ascii="宋体" w:hAnsi="宋体"/>
          <w:color w:val="auto"/>
          <w:szCs w:val="21"/>
          <w:highlight w:val="none"/>
        </w:rPr>
        <w:t>0项的规定向招标人提交履约担保。</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29.2</w:t>
      </w:r>
      <w:r>
        <w:rPr>
          <w:rFonts w:hint="eastAsia" w:ascii="宋体" w:hAnsi="宋体"/>
          <w:color w:val="auto"/>
          <w:szCs w:val="21"/>
          <w:highlight w:val="none"/>
        </w:rPr>
        <w:t>中标通知书发出之日起</w:t>
      </w:r>
      <w:r>
        <w:rPr>
          <w:rFonts w:ascii="宋体" w:hAnsi="宋体"/>
          <w:color w:val="auto"/>
          <w:szCs w:val="21"/>
          <w:highlight w:val="none"/>
        </w:rPr>
        <w:t>15</w:t>
      </w:r>
      <w:r>
        <w:rPr>
          <w:rFonts w:hint="eastAsia" w:ascii="宋体" w:hAnsi="宋体"/>
          <w:color w:val="auto"/>
          <w:szCs w:val="21"/>
          <w:highlight w:val="none"/>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30</w:t>
      </w:r>
      <w:r>
        <w:rPr>
          <w:rFonts w:hint="eastAsia" w:ascii="宋体" w:hAnsi="宋体"/>
          <w:b/>
          <w:bCs/>
          <w:color w:val="auto"/>
          <w:szCs w:val="21"/>
          <w:highlight w:val="none"/>
        </w:rPr>
        <w:t>．合同生效</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30.1</w:t>
      </w:r>
      <w:r>
        <w:rPr>
          <w:rFonts w:hint="eastAsia" w:ascii="宋体" w:hAnsi="宋体"/>
          <w:color w:val="auto"/>
          <w:szCs w:val="21"/>
          <w:highlight w:val="none"/>
        </w:rPr>
        <w:t>在合同双方全权代表在合同协议书上签字，并分别加盖双方单位的公章后，合同正式生效。</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31</w:t>
      </w:r>
      <w:r>
        <w:rPr>
          <w:rFonts w:hint="eastAsia" w:ascii="宋体" w:hAnsi="宋体"/>
          <w:b/>
          <w:bCs/>
          <w:color w:val="auto"/>
          <w:szCs w:val="21"/>
          <w:highlight w:val="none"/>
        </w:rPr>
        <w:t>．其它费用</w:t>
      </w:r>
    </w:p>
    <w:p>
      <w:pPr>
        <w:pStyle w:val="20"/>
        <w:spacing w:after="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32．腐败与欺诈行为</w:t>
      </w:r>
    </w:p>
    <w:p>
      <w:pPr>
        <w:pStyle w:val="20"/>
        <w:spacing w:after="0" w:line="360" w:lineRule="auto"/>
        <w:ind w:firstLineChars="200"/>
        <w:rPr>
          <w:rFonts w:ascii="宋体" w:hAnsi="宋体"/>
          <w:color w:val="auto"/>
          <w:kern w:val="2"/>
          <w:sz w:val="21"/>
          <w:szCs w:val="21"/>
          <w:highlight w:val="none"/>
        </w:rPr>
      </w:pPr>
      <w:r>
        <w:rPr>
          <w:rFonts w:hint="eastAsia" w:ascii="宋体" w:hAnsi="宋体"/>
          <w:color w:val="auto"/>
          <w:kern w:val="2"/>
          <w:sz w:val="21"/>
          <w:szCs w:val="21"/>
          <w:highlight w:val="none"/>
        </w:rPr>
        <w:t>在招标和合同实施期间，招标人要求投标人和承包人遵守最高的道德标准。</w:t>
      </w:r>
    </w:p>
    <w:p>
      <w:pPr>
        <w:pStyle w:val="20"/>
        <w:spacing w:after="0" w:line="360" w:lineRule="auto"/>
        <w:ind w:firstLineChars="200"/>
        <w:rPr>
          <w:rFonts w:ascii="宋体" w:hAnsi="宋体"/>
          <w:color w:val="auto"/>
          <w:kern w:val="2"/>
          <w:sz w:val="21"/>
          <w:szCs w:val="21"/>
          <w:highlight w:val="none"/>
        </w:rPr>
      </w:pPr>
      <w:r>
        <w:rPr>
          <w:rFonts w:hint="eastAsia" w:ascii="宋体" w:hAnsi="宋体"/>
          <w:color w:val="auto"/>
          <w:kern w:val="2"/>
          <w:sz w:val="21"/>
          <w:szCs w:val="21"/>
          <w:highlight w:val="none"/>
        </w:rPr>
        <w:t>32．1对本条款的规定，特定义如下词汇：</w:t>
      </w:r>
    </w:p>
    <w:p>
      <w:pPr>
        <w:pStyle w:val="20"/>
        <w:spacing w:after="0" w:line="360" w:lineRule="auto"/>
        <w:ind w:firstLineChars="200"/>
        <w:rPr>
          <w:rFonts w:ascii="宋体" w:hAnsi="宋体"/>
          <w:color w:val="auto"/>
          <w:kern w:val="2"/>
          <w:sz w:val="21"/>
          <w:szCs w:val="21"/>
          <w:highlight w:val="none"/>
        </w:rPr>
      </w:pPr>
      <w:r>
        <w:rPr>
          <w:rFonts w:hint="eastAsia" w:ascii="宋体" w:hAnsi="宋体"/>
          <w:color w:val="auto"/>
          <w:kern w:val="2"/>
          <w:sz w:val="21"/>
          <w:szCs w:val="21"/>
          <w:highlight w:val="none"/>
        </w:rPr>
        <w:t>1）、“腐败行为”是指在招标或合同执行期间，通过提供、给予、接受或索要任何有价值的东西，从而影响招标人有关人员工作的行为；</w:t>
      </w:r>
    </w:p>
    <w:p>
      <w:pPr>
        <w:pStyle w:val="20"/>
        <w:spacing w:after="0" w:line="360" w:lineRule="auto"/>
        <w:ind w:firstLineChars="200"/>
        <w:rPr>
          <w:rFonts w:ascii="宋体" w:hAnsi="宋体"/>
          <w:color w:val="auto"/>
          <w:kern w:val="2"/>
          <w:sz w:val="21"/>
          <w:szCs w:val="21"/>
          <w:highlight w:val="none"/>
        </w:rPr>
      </w:pPr>
      <w:r>
        <w:rPr>
          <w:rFonts w:hint="eastAsia" w:ascii="宋体" w:hAnsi="宋体"/>
          <w:color w:val="auto"/>
          <w:kern w:val="2"/>
          <w:sz w:val="21"/>
          <w:szCs w:val="21"/>
          <w:highlight w:val="none"/>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20"/>
        <w:spacing w:after="0" w:line="360" w:lineRule="auto"/>
        <w:ind w:firstLineChars="200"/>
        <w:rPr>
          <w:rFonts w:ascii="宋体" w:hAnsi="宋体"/>
          <w:color w:val="auto"/>
          <w:kern w:val="2"/>
          <w:sz w:val="21"/>
          <w:szCs w:val="21"/>
          <w:highlight w:val="none"/>
        </w:rPr>
      </w:pPr>
      <w:r>
        <w:rPr>
          <w:rFonts w:hint="eastAsia" w:ascii="宋体" w:hAnsi="宋体"/>
          <w:color w:val="auto"/>
          <w:kern w:val="2"/>
          <w:sz w:val="21"/>
          <w:szCs w:val="21"/>
          <w:highlight w:val="none"/>
        </w:rPr>
        <w:t>32．2如果投标人被认定在本招标的竞争中有腐败或欺诈行为，则会被取消投标资格。</w:t>
      </w:r>
    </w:p>
    <w:p>
      <w:pPr>
        <w:pStyle w:val="20"/>
        <w:spacing w:after="0" w:line="360" w:lineRule="auto"/>
        <w:ind w:firstLineChars="200"/>
        <w:rPr>
          <w:rFonts w:ascii="宋体" w:hAnsi="宋体" w:cs="宋体"/>
          <w:color w:val="auto"/>
          <w:kern w:val="2"/>
          <w:sz w:val="21"/>
          <w:szCs w:val="21"/>
          <w:highlight w:val="none"/>
        </w:rPr>
      </w:pPr>
      <w:r>
        <w:rPr>
          <w:rFonts w:hint="eastAsia" w:ascii="宋体" w:hAnsi="宋体" w:cs="宋体"/>
          <w:color w:val="auto"/>
          <w:kern w:val="2"/>
          <w:sz w:val="21"/>
          <w:szCs w:val="21"/>
          <w:highlight w:val="none"/>
        </w:rPr>
        <w:t>32.3</w:t>
      </w:r>
      <w:r>
        <w:rPr>
          <w:rFonts w:hint="eastAsia" w:ascii="宋体" w:hAnsi="宋体" w:cs="宋体"/>
          <w:color w:val="auto"/>
          <w:sz w:val="21"/>
          <w:szCs w:val="21"/>
          <w:highlight w:val="none"/>
        </w:rPr>
        <w:t>投标人如在本项目中存在串通投标、弄虚作假、行贿情形的，中标无效，行政监督部门将对其违法行为进行政处罚并通报。该投标人将被招标人列入黑名单并限制其参与招标人后续项目的投标</w:t>
      </w:r>
      <w:r>
        <w:rPr>
          <w:rFonts w:hint="eastAsia" w:ascii="宋体" w:hAnsi="宋体" w:cs="宋体"/>
          <w:color w:val="auto"/>
          <w:kern w:val="2"/>
          <w:sz w:val="21"/>
          <w:szCs w:val="21"/>
          <w:highlight w:val="none"/>
        </w:rPr>
        <w:t>。</w:t>
      </w:r>
    </w:p>
    <w:p>
      <w:pPr>
        <w:spacing w:line="480" w:lineRule="auto"/>
        <w:ind w:firstLine="472" w:firstLineChars="224"/>
        <w:rPr>
          <w:rFonts w:ascii="宋体" w:hAnsi="宋体"/>
          <w:b/>
          <w:color w:val="auto"/>
          <w:szCs w:val="21"/>
          <w:highlight w:val="none"/>
        </w:rPr>
      </w:pPr>
      <w:r>
        <w:rPr>
          <w:rFonts w:hint="eastAsia" w:ascii="宋体" w:hAnsi="宋体"/>
          <w:b/>
          <w:color w:val="auto"/>
          <w:szCs w:val="21"/>
          <w:highlight w:val="none"/>
        </w:rPr>
        <w:t>33. 投标人信誉的要求</w:t>
      </w:r>
    </w:p>
    <w:p>
      <w:pPr>
        <w:spacing w:line="480" w:lineRule="auto"/>
        <w:ind w:firstLine="470" w:firstLineChars="224"/>
        <w:rPr>
          <w:rFonts w:ascii="宋体" w:hAnsi="宋体"/>
          <w:color w:val="auto"/>
          <w:szCs w:val="21"/>
          <w:highlight w:val="none"/>
        </w:rPr>
      </w:pPr>
      <w:r>
        <w:rPr>
          <w:rFonts w:hint="eastAsia" w:ascii="宋体" w:hAnsi="宋体"/>
          <w:color w:val="auto"/>
          <w:szCs w:val="21"/>
          <w:highlight w:val="none"/>
        </w:rPr>
        <w:t>存在下列情形之一的，招标人可以限制其投标（需在招标文件中明确评定方法）</w:t>
      </w:r>
    </w:p>
    <w:p>
      <w:pPr>
        <w:numPr>
          <w:ilvl w:val="0"/>
          <w:numId w:val="3"/>
        </w:numPr>
        <w:spacing w:line="480" w:lineRule="auto"/>
        <w:ind w:firstLine="470" w:firstLineChars="224"/>
        <w:rPr>
          <w:rFonts w:ascii="宋体" w:hAnsi="宋体"/>
          <w:color w:val="auto"/>
          <w:szCs w:val="21"/>
          <w:highlight w:val="none"/>
        </w:rPr>
      </w:pPr>
      <w:r>
        <w:rPr>
          <w:rFonts w:hint="eastAsia" w:ascii="宋体" w:hAnsi="宋体"/>
          <w:color w:val="auto"/>
          <w:szCs w:val="21"/>
          <w:highlight w:val="none"/>
        </w:rPr>
        <w:t>被住房城乡建设行政主管部门在全国建筑市场监管一体化工作平台列入建筑市场主体“黑名单”；</w:t>
      </w:r>
    </w:p>
    <w:p>
      <w:pPr>
        <w:numPr>
          <w:ilvl w:val="0"/>
          <w:numId w:val="3"/>
        </w:numPr>
        <w:spacing w:line="480" w:lineRule="auto"/>
        <w:ind w:firstLine="470" w:firstLineChars="224"/>
        <w:rPr>
          <w:rFonts w:ascii="宋体" w:hAnsi="宋体"/>
          <w:color w:val="auto"/>
          <w:szCs w:val="21"/>
          <w:highlight w:val="none"/>
        </w:rPr>
      </w:pPr>
      <w:r>
        <w:rPr>
          <w:rFonts w:hint="eastAsia" w:ascii="宋体" w:hAnsi="宋体"/>
          <w:color w:val="auto"/>
          <w:szCs w:val="21"/>
          <w:highlight w:val="none"/>
        </w:rPr>
        <w:t>被发改委、人力资源社会保障、质检总局等有关部门、单位在“信用中国”网站中列入联合惩戒失信黑名单。</w:t>
      </w:r>
    </w:p>
    <w:p>
      <w:pPr>
        <w:pStyle w:val="5"/>
        <w:jc w:val="center"/>
        <w:rPr>
          <w:rFonts w:ascii="黑体" w:hAnsi="黑体" w:eastAsia="黑体" w:cs="黑体"/>
          <w:color w:val="auto"/>
          <w:sz w:val="32"/>
          <w:szCs w:val="32"/>
          <w:highlight w:val="none"/>
        </w:rPr>
      </w:pPr>
      <w:r>
        <w:rPr>
          <w:rFonts w:ascii="宋体"/>
          <w:color w:val="auto"/>
          <w:sz w:val="24"/>
          <w:highlight w:val="none"/>
        </w:rPr>
        <w:br w:type="page"/>
      </w:r>
      <w:bookmarkStart w:id="24" w:name="_Toc2272554"/>
      <w:bookmarkStart w:id="25" w:name="_Toc21525498"/>
      <w:r>
        <w:rPr>
          <w:rFonts w:hint="eastAsia" w:ascii="黑体" w:hAnsi="黑体" w:eastAsia="黑体" w:cs="黑体"/>
          <w:color w:val="auto"/>
          <w:sz w:val="32"/>
          <w:szCs w:val="32"/>
          <w:highlight w:val="none"/>
        </w:rPr>
        <w:t>第二章  开标、评标及定标办法</w:t>
      </w:r>
      <w:bookmarkEnd w:id="24"/>
      <w:bookmarkEnd w:id="25"/>
    </w:p>
    <w:p>
      <w:pPr>
        <w:pStyle w:val="6"/>
        <w:ind w:left="0"/>
        <w:rPr>
          <w:rFonts w:ascii="黑体" w:hAnsi="黑体" w:eastAsia="黑体" w:cs="黑体"/>
          <w:color w:val="auto"/>
          <w:sz w:val="30"/>
          <w:szCs w:val="30"/>
          <w:highlight w:val="none"/>
        </w:rPr>
      </w:pPr>
      <w:bookmarkStart w:id="26" w:name="_Toc2272555"/>
      <w:bookmarkStart w:id="27" w:name="_Toc21525499"/>
      <w:r>
        <w:rPr>
          <w:rFonts w:hint="eastAsia" w:ascii="黑体" w:hAnsi="黑体" w:eastAsia="黑体" w:cs="黑体"/>
          <w:color w:val="auto"/>
          <w:sz w:val="30"/>
          <w:szCs w:val="30"/>
          <w:highlight w:val="none"/>
        </w:rPr>
        <w:t>一、开标、评标及定标办法修改表</w:t>
      </w:r>
      <w:bookmarkEnd w:id="26"/>
      <w:bookmarkEnd w:id="27"/>
    </w:p>
    <w:p>
      <w:pPr>
        <w:pStyle w:val="20"/>
        <w:spacing w:after="0" w:line="360" w:lineRule="auto"/>
        <w:rPr>
          <w:b/>
          <w:color w:val="auto"/>
          <w:szCs w:val="21"/>
          <w:highlight w:val="none"/>
        </w:rPr>
      </w:pPr>
      <w:r>
        <w:rPr>
          <w:rFonts w:hint="eastAsia" w:ascii="宋体" w:hAnsi="宋体" w:cs="宋体"/>
          <w:b/>
          <w:color w:val="auto"/>
          <w:sz w:val="21"/>
          <w:szCs w:val="21"/>
          <w:highlight w:val="none"/>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http://zfcj.gz.gov.cn/）下载GZZB2018-3范本查阅。</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条款号：36.1            修改类型：修改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36.1 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36.1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color w:val="auto"/>
          <w:szCs w:val="21"/>
          <w:highlight w:val="none"/>
          <w:u w:val="single"/>
        </w:rPr>
        <w:t>若投标人不参加开标会的，其投标文件在开标现场的投标人或招标人代表、招标代理机构代表及交易中心代表见证下公开开启、解密、公布，并视同该投标人认可开标结果。</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条款号：36.3           修改类型：删除</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条款号：36.5.1              修改类型：修改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36.5.1在投标截止时间后半小时内，投标人通过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36.5.1</w:t>
      </w:r>
      <w:r>
        <w:rPr>
          <w:rFonts w:hint="eastAsia" w:ascii="宋体" w:hAnsi="宋体" w:cs="宋体"/>
          <w:color w:val="auto"/>
          <w:szCs w:val="21"/>
          <w:highlight w:val="none"/>
        </w:rPr>
        <w:t>在投标截止时间后半小时内，投标人通过</w:t>
      </w:r>
      <w:r>
        <w:rPr>
          <w:rFonts w:hint="eastAsia" w:ascii="宋体" w:hAnsi="宋体" w:cs="宋体"/>
          <w:color w:val="auto"/>
          <w:szCs w:val="21"/>
          <w:highlight w:val="none"/>
          <w:u w:val="single"/>
        </w:rPr>
        <w:t xml:space="preserve">广州公共资源交易中心 </w:t>
      </w:r>
      <w:r>
        <w:rPr>
          <w:rFonts w:hint="eastAsia" w:ascii="宋体" w:hAnsi="宋体" w:cs="宋体"/>
          <w:color w:val="auto"/>
          <w:szCs w:val="21"/>
          <w:highlight w:val="none"/>
        </w:rPr>
        <w:t>交易平台对已递交的电子投标文件进行解密。投标人完成解密后，再由</w:t>
      </w:r>
      <w:r>
        <w:rPr>
          <w:rFonts w:hint="eastAsia" w:ascii="宋体" w:hAnsi="宋体" w:cs="宋体"/>
          <w:color w:val="auto"/>
          <w:szCs w:val="21"/>
          <w:highlight w:val="none"/>
          <w:u w:val="single"/>
        </w:rPr>
        <w:t>招标人或招标代理机构</w:t>
      </w:r>
      <w:r>
        <w:rPr>
          <w:rFonts w:hint="eastAsia" w:ascii="宋体" w:hAnsi="宋体" w:cs="宋体"/>
          <w:color w:val="auto"/>
          <w:szCs w:val="21"/>
          <w:highlight w:val="none"/>
        </w:rPr>
        <w:t>进行解密。解密完成后，公布招标项目名称、投标人名称、投标保证金的递交情况、投标报价、工期及其他内容；</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条款号：38.1             修改类型：修改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38.1为有助于投标文件的审查、评价和比较，评标期间，经</w:t>
      </w:r>
      <w:r>
        <w:rPr>
          <w:rFonts w:hint="eastAsia" w:ascii="宋体" w:hAnsi="宋体" w:cs="宋体"/>
          <w:color w:val="auto"/>
          <w:szCs w:val="21"/>
          <w:highlight w:val="none"/>
          <w:u w:val="single"/>
        </w:rPr>
        <w:t>综合评标委员会</w:t>
      </w:r>
      <w:r>
        <w:rPr>
          <w:rFonts w:hint="eastAsia" w:ascii="宋体" w:hAnsi="宋体" w:cs="宋体"/>
          <w:color w:val="auto"/>
          <w:szCs w:val="21"/>
          <w:highlight w:val="none"/>
        </w:rPr>
        <w:t>中两人以上（含两人）以书面形式提出动议，</w:t>
      </w:r>
      <w:r>
        <w:rPr>
          <w:rFonts w:hint="eastAsia" w:ascii="宋体" w:hAnsi="宋体" w:cs="宋体"/>
          <w:color w:val="auto"/>
          <w:szCs w:val="21"/>
          <w:highlight w:val="none"/>
          <w:u w:val="single"/>
        </w:rPr>
        <w:t>综合评标委员会</w:t>
      </w:r>
      <w:r>
        <w:rPr>
          <w:rFonts w:hint="eastAsia" w:ascii="宋体" w:hAnsi="宋体" w:cs="宋体"/>
          <w:color w:val="auto"/>
          <w:szCs w:val="21"/>
          <w:highlight w:val="none"/>
        </w:rPr>
        <w:t>应当书面发出澄清通知，要求投标人</w:t>
      </w:r>
      <w:r>
        <w:rPr>
          <w:rFonts w:hint="eastAsia" w:ascii="宋体" w:hAnsi="宋体" w:cs="宋体"/>
          <w:color w:val="auto"/>
          <w:szCs w:val="21"/>
          <w:highlight w:val="none"/>
          <w:u w:val="single"/>
        </w:rPr>
        <w:t>对投标文件含义不明确、对同类问题表述不一致、有明显文字和计算错误的内容以及细微偏差的内容</w:t>
      </w:r>
      <w:r>
        <w:rPr>
          <w:rFonts w:hint="eastAsia" w:ascii="宋体" w:hAnsi="宋体" w:cs="宋体"/>
          <w:color w:val="auto"/>
          <w:szCs w:val="21"/>
          <w:highlight w:val="none"/>
        </w:rPr>
        <w:t>作出澄清。</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条款号：39.3             修改类型：修改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39.3排名第一的中标候选人放弃中标、或因不可抗力提出不能履行合同，或者招标文件规定应当提交履约担保而在规定的期限内未能提交的，招标人可以确定排名第二的中标候选人为中标人。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39.3</w:t>
      </w:r>
      <w:r>
        <w:rPr>
          <w:rFonts w:hint="eastAsia" w:ascii="宋体" w:hAnsi="宋体" w:cs="宋体"/>
          <w:bCs/>
          <w:color w:val="auto"/>
          <w:szCs w:val="21"/>
          <w:highlight w:val="none"/>
          <w:u w:val="single"/>
        </w:rPr>
        <w:t>排名第一的中标候选人放弃中标、或因不可抗力提出不能履行合同，或者招标文件规定应当提交履约担保而在规定的期限内未能提交的，</w:t>
      </w:r>
      <w:r>
        <w:rPr>
          <w:rFonts w:hint="eastAsia" w:ascii="宋体" w:hAnsi="宋体" w:cs="宋体"/>
          <w:b/>
          <w:bCs/>
          <w:color w:val="auto"/>
          <w:szCs w:val="21"/>
          <w:highlight w:val="none"/>
          <w:u w:val="single"/>
        </w:rPr>
        <w:t>或经核查发现委派的项目负责人已在其他在建项目中任职的，</w:t>
      </w:r>
      <w:r>
        <w:rPr>
          <w:rFonts w:hint="eastAsia" w:ascii="宋体" w:hAnsi="宋体" w:cs="宋体"/>
          <w:bCs/>
          <w:color w:val="auto"/>
          <w:szCs w:val="21"/>
          <w:highlight w:val="none"/>
          <w:u w:val="single"/>
        </w:rPr>
        <w:t>招标人可以确定排名第二的中标候选人为中标人。</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条款号：（二）开标评标办法程序和细则        修改类型：删除</w:t>
      </w:r>
    </w:p>
    <w:p>
      <w:pPr>
        <w:spacing w:line="360" w:lineRule="auto"/>
        <w:ind w:firstLine="422" w:firstLineChars="200"/>
        <w:rPr>
          <w:rFonts w:ascii="宋体" w:hAnsi="宋体" w:cs="宋体"/>
          <w:strike/>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注：以下七种评标办法所述企业综合诚信评价分数即投标截止当日广州市工程招标代理行业协会网站上公布的企业综合诚信评价60日诚信分。</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 评标办法        修改类型：删除</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可选办法一（适合</w:t>
      </w:r>
      <w:r>
        <w:rPr>
          <w:rFonts w:hint="eastAsia" w:ascii="宋体" w:hAnsi="宋体" w:cs="宋体"/>
          <w:color w:val="auto"/>
          <w:kern w:val="0"/>
          <w:szCs w:val="21"/>
          <w:highlight w:val="none"/>
        </w:rPr>
        <w:t>综合评分法一</w:t>
      </w:r>
      <w:r>
        <w:rPr>
          <w:rFonts w:hint="eastAsia" w:ascii="宋体" w:hAnsi="宋体" w:cs="宋体"/>
          <w:color w:val="auto"/>
          <w:szCs w:val="21"/>
          <w:highlight w:val="none"/>
        </w:rPr>
        <w:t>，技术标与经济标先后分别开启）</w:t>
      </w:r>
    </w:p>
    <w:p>
      <w:pPr>
        <w:pBdr>
          <w:top w:val="none" w:color="auto" w:sz="0" w:space="1"/>
          <w:left w:val="none" w:color="auto" w:sz="0" w:space="4"/>
          <w:bottom w:val="none" w:color="auto" w:sz="0" w:space="1"/>
          <w:right w:val="none" w:color="auto" w:sz="0" w:space="4"/>
        </w:pBdr>
        <w:spacing w:line="360" w:lineRule="auto"/>
        <w:ind w:firstLine="1050" w:firstLineChars="500"/>
        <w:rPr>
          <w:rFonts w:ascii="宋体" w:hAnsi="宋体" w:cs="宋体"/>
          <w:color w:val="auto"/>
          <w:szCs w:val="21"/>
          <w:highlight w:val="none"/>
        </w:rPr>
      </w:pPr>
      <w:r>
        <w:rPr>
          <w:rFonts w:hint="eastAsia" w:ascii="宋体" w:hAnsi="宋体" w:cs="宋体"/>
          <w:color w:val="auto"/>
          <w:szCs w:val="21"/>
          <w:highlight w:val="none"/>
        </w:rPr>
        <w:t>可选办法二（适合综合评分法一，技术标与经济标同时开启）</w:t>
      </w:r>
    </w:p>
    <w:p>
      <w:pPr>
        <w:pBdr>
          <w:top w:val="none" w:color="auto" w:sz="0" w:space="1"/>
          <w:left w:val="none" w:color="auto" w:sz="0" w:space="4"/>
          <w:bottom w:val="none" w:color="auto" w:sz="0" w:space="1"/>
          <w:right w:val="none" w:color="auto" w:sz="0" w:space="4"/>
        </w:pBdr>
        <w:spacing w:line="360" w:lineRule="auto"/>
        <w:ind w:firstLine="1050" w:firstLineChars="500"/>
        <w:rPr>
          <w:rFonts w:ascii="宋体" w:hAnsi="宋体" w:cs="宋体"/>
          <w:color w:val="auto"/>
          <w:szCs w:val="21"/>
          <w:highlight w:val="none"/>
        </w:rPr>
      </w:pPr>
      <w:r>
        <w:rPr>
          <w:rFonts w:hint="eastAsia" w:ascii="宋体" w:hAnsi="宋体" w:cs="宋体"/>
          <w:color w:val="auto"/>
          <w:szCs w:val="21"/>
          <w:highlight w:val="none"/>
        </w:rPr>
        <w:t>可选办法三（适合综合评分法二，技术标与经济标先后分别开启）</w:t>
      </w:r>
    </w:p>
    <w:p>
      <w:pPr>
        <w:pBdr>
          <w:top w:val="none" w:color="auto" w:sz="0" w:space="1"/>
          <w:left w:val="none" w:color="auto" w:sz="0" w:space="4"/>
          <w:bottom w:val="none" w:color="auto" w:sz="0" w:space="1"/>
          <w:right w:val="none" w:color="auto" w:sz="0" w:space="4"/>
        </w:pBdr>
        <w:spacing w:line="360" w:lineRule="auto"/>
        <w:ind w:firstLine="1050" w:firstLineChars="500"/>
        <w:rPr>
          <w:rFonts w:ascii="宋体" w:hAnsi="宋体" w:cs="宋体"/>
          <w:color w:val="auto"/>
          <w:szCs w:val="21"/>
          <w:highlight w:val="none"/>
        </w:rPr>
      </w:pPr>
      <w:r>
        <w:rPr>
          <w:rFonts w:hint="eastAsia" w:ascii="宋体" w:hAnsi="宋体" w:cs="宋体"/>
          <w:color w:val="auto"/>
          <w:szCs w:val="21"/>
          <w:highlight w:val="none"/>
        </w:rPr>
        <w:t>可选办法四（适合综合评分法二，技术标与经济标同时开启）</w:t>
      </w:r>
    </w:p>
    <w:p>
      <w:pPr>
        <w:pBdr>
          <w:top w:val="none" w:color="auto" w:sz="0" w:space="1"/>
          <w:left w:val="none" w:color="auto" w:sz="0" w:space="4"/>
          <w:bottom w:val="none" w:color="auto" w:sz="0" w:space="1"/>
          <w:right w:val="none" w:color="auto" w:sz="0" w:space="4"/>
        </w:pBdr>
        <w:spacing w:line="360" w:lineRule="auto"/>
        <w:ind w:firstLine="1050" w:firstLineChars="500"/>
        <w:rPr>
          <w:rFonts w:ascii="宋体" w:hAnsi="宋体" w:cs="宋体"/>
          <w:color w:val="auto"/>
          <w:szCs w:val="21"/>
          <w:highlight w:val="none"/>
        </w:rPr>
      </w:pPr>
      <w:r>
        <w:rPr>
          <w:rFonts w:hint="eastAsia" w:ascii="宋体" w:hAnsi="宋体" w:cs="宋体"/>
          <w:color w:val="auto"/>
          <w:szCs w:val="21"/>
          <w:highlight w:val="none"/>
        </w:rPr>
        <w:t>可选办法五（适合综合评分法三，技术标与经济标先后分别开启）</w:t>
      </w:r>
    </w:p>
    <w:p>
      <w:pPr>
        <w:pBdr>
          <w:top w:val="none" w:color="auto" w:sz="0" w:space="1"/>
          <w:left w:val="none" w:color="auto" w:sz="0" w:space="4"/>
          <w:bottom w:val="none" w:color="auto" w:sz="0" w:space="1"/>
          <w:right w:val="none" w:color="auto" w:sz="0" w:space="4"/>
        </w:pBdr>
        <w:spacing w:line="360" w:lineRule="auto"/>
        <w:ind w:firstLine="1050" w:firstLineChars="500"/>
        <w:rPr>
          <w:rFonts w:ascii="宋体" w:hAnsi="宋体" w:cs="宋体"/>
          <w:color w:val="auto"/>
          <w:szCs w:val="21"/>
          <w:highlight w:val="none"/>
        </w:rPr>
      </w:pPr>
      <w:r>
        <w:rPr>
          <w:rFonts w:hint="eastAsia" w:ascii="宋体" w:hAnsi="宋体" w:cs="宋体"/>
          <w:color w:val="auto"/>
          <w:szCs w:val="21"/>
          <w:highlight w:val="none"/>
        </w:rPr>
        <w:t>可选办法六（适合综合评分法三，技术标与经济标同时开启）</w:t>
      </w:r>
    </w:p>
    <w:p>
      <w:pPr>
        <w:pBdr>
          <w:top w:val="none" w:color="auto" w:sz="0" w:space="1"/>
          <w:left w:val="none" w:color="auto" w:sz="0" w:space="4"/>
          <w:bottom w:val="none" w:color="auto" w:sz="0" w:space="1"/>
          <w:right w:val="none" w:color="auto" w:sz="0" w:space="4"/>
        </w:pBdr>
        <w:spacing w:line="360" w:lineRule="auto"/>
        <w:ind w:firstLine="1050" w:firstLineChars="500"/>
        <w:rPr>
          <w:rFonts w:ascii="宋体" w:hAnsi="宋体" w:cs="宋体"/>
          <w:b/>
          <w:color w:val="auto"/>
          <w:szCs w:val="21"/>
          <w:highlight w:val="none"/>
        </w:rPr>
      </w:pPr>
      <w:r>
        <w:rPr>
          <w:rFonts w:hint="eastAsia" w:ascii="宋体" w:hAnsi="宋体" w:cs="宋体"/>
          <w:color w:val="auto"/>
          <w:szCs w:val="21"/>
          <w:highlight w:val="none"/>
        </w:rPr>
        <w:t>可选办法八（适合经评审的最低投标价法，技术标与经济标同时开启）</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条款号：41.1           修改类型：修改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41.1开标由招标人主持；</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41.1开标由招标人</w:t>
      </w:r>
      <w:r>
        <w:rPr>
          <w:rFonts w:hint="eastAsia" w:ascii="宋体" w:hAnsi="宋体" w:cs="宋体"/>
          <w:color w:val="auto"/>
          <w:szCs w:val="21"/>
          <w:highlight w:val="none"/>
          <w:u w:val="single"/>
        </w:rPr>
        <w:t>或招标代理</w:t>
      </w:r>
      <w:r>
        <w:rPr>
          <w:rFonts w:hint="eastAsia" w:ascii="宋体" w:hAnsi="宋体" w:cs="宋体"/>
          <w:color w:val="auto"/>
          <w:szCs w:val="21"/>
          <w:highlight w:val="none"/>
        </w:rPr>
        <w:t>主持；</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条款号：41.2.1             修改类型：修改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41.2.1投标截止期前，各投标人递交投标文件（包括技术标投标文件、经济标投标文件）至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交易平台。有关投标文件提交的事项详见第一章投标须知。</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41.2.1投标截止期前，各投标人递交投标文件（包括技术标投标文件、经济标投标文件）至</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交易平台。有关投标文件提交的事项详见第一章投标须知。</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条款号：41.2.2            修改类型：删除</w:t>
      </w:r>
    </w:p>
    <w:p>
      <w:pPr>
        <w:pBdr>
          <w:bottom w:val="single" w:color="auto" w:sz="4" w:space="0"/>
        </w:pBdr>
        <w:spacing w:line="360" w:lineRule="auto"/>
        <w:ind w:firstLine="422" w:firstLineChars="200"/>
        <w:rPr>
          <w:color w:val="auto"/>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41.2.2开标前，首先由招标人随机抽取确定该工程计算评标参考价的等分点值X。</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条款号：41.2.3             修改类型：修改</w:t>
      </w:r>
    </w:p>
    <w:p>
      <w:pPr>
        <w:pBdr>
          <w:bottom w:val="single" w:color="auto" w:sz="6" w:space="1"/>
        </w:pBdr>
        <w:spacing w:line="400" w:lineRule="exact"/>
        <w:ind w:firstLine="460" w:firstLineChars="218"/>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开标时，投标人代表有权出席开标会，也可以自主决定不参加开标会，若投标人代表对开标过程提出异议，该投标人代表须同时出示本人身份证原件。</w:t>
      </w:r>
    </w:p>
    <w:p>
      <w:pPr>
        <w:pBdr>
          <w:bottom w:val="single" w:color="auto" w:sz="6" w:space="1"/>
        </w:pBdr>
        <w:spacing w:line="400" w:lineRule="exact"/>
        <w:ind w:firstLine="460" w:firstLineChars="218"/>
        <w:rPr>
          <w:color w:val="auto"/>
          <w:highlight w:val="none"/>
        </w:rPr>
      </w:pPr>
      <w:r>
        <w:rPr>
          <w:rFonts w:hint="eastAsia" w:ascii="宋体" w:hAnsi="宋体" w:cs="宋体"/>
          <w:b/>
          <w:bCs/>
          <w:color w:val="auto"/>
          <w:szCs w:val="21"/>
          <w:highlight w:val="none"/>
        </w:rPr>
        <w:t>现文：</w:t>
      </w:r>
      <w:r>
        <w:rPr>
          <w:rFonts w:hint="eastAsia" w:ascii="宋体" w:hAnsi="宋体" w:cs="宋体"/>
          <w:bCs/>
          <w:color w:val="auto"/>
          <w:kern w:val="0"/>
          <w:szCs w:val="21"/>
          <w:highlight w:val="none"/>
        </w:rPr>
        <w:t>开标时，投标人代表有权参加现场开标或</w:t>
      </w:r>
      <w:r>
        <w:rPr>
          <w:rFonts w:hint="eastAsia" w:ascii="宋体" w:hAnsi="宋体" w:cs="宋体"/>
          <w:b/>
          <w:bCs/>
          <w:color w:val="auto"/>
          <w:kern w:val="0"/>
          <w:szCs w:val="21"/>
          <w:highlight w:val="none"/>
          <w:u w:val="single"/>
        </w:rPr>
        <w:t>在线开标</w:t>
      </w:r>
      <w:r>
        <w:rPr>
          <w:rFonts w:hint="eastAsia" w:ascii="宋体" w:hAnsi="宋体" w:cs="宋体"/>
          <w:bCs/>
          <w:color w:val="auto"/>
          <w:kern w:val="0"/>
          <w:szCs w:val="21"/>
          <w:highlight w:val="none"/>
        </w:rPr>
        <w:t>，也可以自主决定不参加开标，若投标人代表对开标过程有异议的，</w:t>
      </w:r>
      <w:r>
        <w:rPr>
          <w:rFonts w:hint="eastAsia" w:ascii="宋体" w:hAnsi="宋体" w:cs="宋体"/>
          <w:b/>
          <w:bCs/>
          <w:color w:val="auto"/>
          <w:kern w:val="0"/>
          <w:szCs w:val="21"/>
          <w:highlight w:val="none"/>
          <w:u w:val="single"/>
        </w:rPr>
        <w:t>参加现场开标的应当在开标现场提出，同时出示本人身份证原件，招标人应当当场作出答复，并制作记录；参加在线开标的，投标人应通过交易平台在线提出，招标人应通过交易平台答复，答复后方可结束开标。</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条款号：42.2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42.2评标委员会的组成：方式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方式一：评标委员会为综合评标委员会，负责资格审查及评标工作。</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方式二：评标委员会由技术评审组和经济评审组组成。其中：资格审查、技术评审由技术评标组负责，经济评审由经济评审组负责。</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42.2评标委员会的组成：方式</w:t>
      </w:r>
      <w:r>
        <w:rPr>
          <w:rFonts w:hint="eastAsia" w:ascii="宋体" w:hAnsi="宋体" w:cs="宋体"/>
          <w:color w:val="auto"/>
          <w:szCs w:val="21"/>
          <w:highlight w:val="none"/>
          <w:u w:val="single"/>
        </w:rPr>
        <w:t xml:space="preserve"> 一 </w:t>
      </w:r>
      <w:r>
        <w:rPr>
          <w:rFonts w:hint="eastAsia" w:ascii="宋体" w:hAnsi="宋体" w:cs="宋体"/>
          <w:color w:val="auto"/>
          <w:szCs w:val="21"/>
          <w:highlight w:val="none"/>
        </w:rPr>
        <w:t>。</w:t>
      </w:r>
    </w:p>
    <w:p>
      <w:pPr>
        <w:pBdr>
          <w:bottom w:val="single" w:color="auto" w:sz="4" w:space="0"/>
        </w:pBdr>
        <w:spacing w:line="360" w:lineRule="auto"/>
        <w:ind w:firstLine="420" w:firstLineChars="200"/>
        <w:rPr>
          <w:color w:val="auto"/>
          <w:highlight w:val="none"/>
        </w:rPr>
      </w:pPr>
      <w:r>
        <w:rPr>
          <w:rFonts w:hint="eastAsia" w:ascii="宋体" w:hAnsi="宋体" w:cs="宋体"/>
          <w:color w:val="auto"/>
          <w:szCs w:val="21"/>
          <w:highlight w:val="none"/>
        </w:rPr>
        <w:t>方式一：评标委员会为综合评标委员会，负责资格审查及评标工作。</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条款号：43.1            修改类型：修改</w:t>
      </w:r>
    </w:p>
    <w:p>
      <w:pPr>
        <w:snapToGrid w:val="0"/>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Bdr>
          <w:bottom w:val="single" w:color="auto" w:sz="6" w:space="1"/>
        </w:pBdr>
        <w:spacing w:line="400" w:lineRule="exact"/>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bCs/>
          <w:color w:val="auto"/>
          <w:kern w:val="0"/>
          <w:szCs w:val="21"/>
          <w:highlight w:val="none"/>
        </w:rPr>
        <w:t>资格审查文件中全部符合附表一《资格审查表》中情形的，为资格审查合格；否则为资格审查不合格。如评标委员会成员的评审意见不一致时，以评标委员会过半数成员的意见作为评标委员会对该情形的认定结论。</w:t>
      </w:r>
      <w:r>
        <w:rPr>
          <w:rFonts w:hint="eastAsia" w:ascii="宋体" w:hAnsi="宋体" w:cs="宋体"/>
          <w:b/>
          <w:bCs/>
          <w:color w:val="auto"/>
          <w:kern w:val="0"/>
          <w:szCs w:val="21"/>
          <w:highlight w:val="none"/>
          <w:u w:val="single"/>
        </w:rPr>
        <w:t>评委发现资格审查文件中含义不明确、对同类问题表述不一致、有明显文字和计算错误的，应当要求投标人作必要的澄清、说明后再判定投标人是否通过资格审查，不得直接认定其不通过资格审查。</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条款号：44.1             修改类型：修改</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kern w:val="0"/>
          <w:szCs w:val="21"/>
          <w:highlight w:val="none"/>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pBdr>
          <w:bottom w:val="single" w:color="auto" w:sz="6" w:space="1"/>
        </w:pBdr>
        <w:spacing w:line="400" w:lineRule="exact"/>
        <w:ind w:firstLine="422" w:firstLineChars="200"/>
        <w:rPr>
          <w:rFonts w:ascii="宋体" w:hAnsi="宋体" w:cs="宋体"/>
          <w:bCs/>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kern w:val="0"/>
          <w:szCs w:val="21"/>
          <w:highlight w:val="none"/>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r>
        <w:rPr>
          <w:rFonts w:hint="eastAsia" w:ascii="宋体" w:hAnsi="宋体" w:cs="宋体"/>
          <w:b/>
          <w:color w:val="auto"/>
          <w:kern w:val="0"/>
          <w:szCs w:val="21"/>
          <w:highlight w:val="none"/>
          <w:u w:val="single"/>
        </w:rPr>
        <w:t>评委发现投标文件中含义不明确、对同类问题表述不一致、有明显文字和计算错误的，应当要求投标人作必要的澄清、说明后再判定投标人是否通过有效性审查，不得直接否决投标。</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条款号：44.2             修改类型：修改</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技术标详细审查评分：评标委员会按照附表四《技术标详细审查评分表》的标准，对通过技术标有效性审查的投标文件技术标进行详细审查，评出技术分，得分四舍五入精确到小数点后两位。</w:t>
      </w:r>
    </w:p>
    <w:p>
      <w:pPr>
        <w:spacing w:line="40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现文：</w:t>
      </w:r>
      <w:r>
        <w:rPr>
          <w:rFonts w:hint="eastAsia" w:ascii="宋体" w:hAnsi="宋体" w:cs="宋体"/>
          <w:color w:val="auto"/>
          <w:szCs w:val="21"/>
          <w:highlight w:val="none"/>
        </w:rPr>
        <w:t>技术标详细审查评分：评标委员会按照附表四《技术标详细审查评分表》的标准，对通过技术标有效性审查的投标文件技术标进行详细审查，评出技术分，</w:t>
      </w:r>
      <w:r>
        <w:rPr>
          <w:rFonts w:hint="eastAsia" w:ascii="宋体" w:hAnsi="宋体" w:cs="宋体"/>
          <w:color w:val="auto"/>
          <w:szCs w:val="21"/>
          <w:highlight w:val="none"/>
          <w:u w:val="single"/>
        </w:rPr>
        <w:t>投标人的技术分为各评标委员会成员的评分的算术平均值（若分数出现小数点时，保留小数点后二位，第三位小数四舍五入）。</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条款号：45.2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 xml:space="preserve"> 45.2按方法</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计算评标参考价：</w:t>
      </w:r>
    </w:p>
    <w:p>
      <w:pPr>
        <w:widowControl/>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方法一：加权平均法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技术标或技术标加诚信得分（具体由招标人自定）前N名（N≥5，具体由招标人自定）的经济报价加权平均，计算评标参考价。公式如下：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评标参考价=Σ（投标人的投标报价*报价权重）。</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其中：报价权重的计算方法为：将N名投标人按技术分由高至低进行排序，第一名投标人的权重为（</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QUOTE </w:instrText>
      </w:r>
      <w:r>
        <w:rPr>
          <w:rFonts w:hint="eastAsia" w:ascii="宋体" w:hAnsi="宋体" w:cs="宋体"/>
          <w:color w:val="auto"/>
          <w:szCs w:val="21"/>
          <w:highlight w:val="none"/>
        </w:rPr>
        <w:drawing>
          <wp:inline distT="0" distB="0" distL="114300" distR="114300">
            <wp:extent cx="381000" cy="447675"/>
            <wp:effectExtent l="0" t="0" r="0" b="889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2">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color w:val="auto"/>
          <w:szCs w:val="21"/>
          <w:highlight w:val="none"/>
        </w:rPr>
        <w:instrText xml:space="preserve"> \* MERGEFORMAT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drawing>
          <wp:inline distT="0" distB="0" distL="114300" distR="114300">
            <wp:extent cx="381000" cy="447675"/>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2">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），第二名投标人的权重为（</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QUOTE </w:instrText>
      </w:r>
      <w:r>
        <w:rPr>
          <w:rFonts w:hint="eastAsia" w:ascii="宋体" w:hAnsi="宋体" w:cs="宋体"/>
          <w:color w:val="auto"/>
          <w:position w:val="-23"/>
          <w:szCs w:val="21"/>
          <w:highlight w:val="none"/>
        </w:rPr>
        <w:drawing>
          <wp:inline distT="0" distB="0" distL="114300" distR="114300">
            <wp:extent cx="323850" cy="400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3">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position w:val="-23"/>
          <w:szCs w:val="21"/>
          <w:highlight w:val="none"/>
        </w:rPr>
        <w:instrText xml:space="preserve"> \* MERGEFORMAT </w:instrText>
      </w:r>
      <w:r>
        <w:rPr>
          <w:rFonts w:hint="eastAsia" w:ascii="宋体" w:hAnsi="宋体" w:cs="宋体"/>
          <w:color w:val="auto"/>
          <w:szCs w:val="21"/>
          <w:highlight w:val="none"/>
        </w:rPr>
        <w:fldChar w:fldCharType="separate"/>
      </w:r>
      <w:r>
        <w:rPr>
          <w:rFonts w:hint="eastAsia" w:ascii="宋体" w:hAnsi="宋体" w:cs="宋体"/>
          <w:color w:val="auto"/>
          <w:position w:val="-23"/>
          <w:szCs w:val="21"/>
          <w:highlight w:val="none"/>
        </w:rPr>
        <w:drawing>
          <wp:inline distT="0" distB="0" distL="114300" distR="114300">
            <wp:extent cx="323850" cy="400050"/>
            <wp:effectExtent l="0" t="0" r="0"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23">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），以此类推，最后一名投标人的权重为（</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QUOTE </w:instrText>
      </w:r>
      <w:r>
        <w:rPr>
          <w:rFonts w:hint="eastAsia" w:ascii="宋体" w:hAnsi="宋体" w:cs="宋体"/>
          <w:color w:val="auto"/>
          <w:position w:val="-23"/>
          <w:szCs w:val="21"/>
          <w:highlight w:val="none"/>
        </w:rPr>
        <w:drawing>
          <wp:inline distT="0" distB="0" distL="114300" distR="114300">
            <wp:extent cx="323850" cy="400050"/>
            <wp:effectExtent l="0" t="0" r="0" b="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24">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position w:val="-23"/>
          <w:szCs w:val="21"/>
          <w:highlight w:val="none"/>
        </w:rPr>
        <w:instrText xml:space="preserve"> \* MERGEFORMAT </w:instrText>
      </w:r>
      <w:r>
        <w:rPr>
          <w:rFonts w:hint="eastAsia" w:ascii="宋体" w:hAnsi="宋体" w:cs="宋体"/>
          <w:color w:val="auto"/>
          <w:szCs w:val="21"/>
          <w:highlight w:val="none"/>
        </w:rPr>
        <w:fldChar w:fldCharType="separate"/>
      </w:r>
      <w:r>
        <w:rPr>
          <w:rFonts w:hint="eastAsia" w:ascii="宋体" w:hAnsi="宋体" w:cs="宋体"/>
          <w:color w:val="auto"/>
          <w:position w:val="-23"/>
          <w:szCs w:val="21"/>
          <w:highlight w:val="none"/>
        </w:rPr>
        <w:drawing>
          <wp:inline distT="0" distB="0" distL="114300" distR="114300">
            <wp:extent cx="323850" cy="400050"/>
            <wp:effectExtent l="0" t="0" r="0"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4">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w:t>
      </w:r>
    </w:p>
    <w:p>
      <w:pPr>
        <w:widowControl/>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方法二：区间抽取法</w:t>
      </w:r>
    </w:p>
    <w:p>
      <w:pPr>
        <w:pStyle w:val="20"/>
        <w:tabs>
          <w:tab w:val="left" w:pos="7380"/>
        </w:tabs>
        <w:snapToGrid w:val="0"/>
        <w:spacing w:after="0" w:line="360" w:lineRule="auto"/>
        <w:ind w:firstLine="400" w:firstLineChars="200"/>
        <w:rPr>
          <w:rFonts w:hint="eastAsia" w:ascii="宋体" w:hAnsi="宋体" w:cs="宋体"/>
          <w:color w:val="auto"/>
          <w:szCs w:val="21"/>
          <w:highlight w:val="none"/>
        </w:rPr>
      </w:pPr>
      <w:r>
        <w:rPr>
          <w:rFonts w:hint="eastAsia" w:ascii="宋体" w:hAnsi="宋体" w:cs="宋体"/>
          <w:color w:val="auto"/>
          <w:szCs w:val="21"/>
          <w:highlight w:val="none"/>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pStyle w:val="20"/>
        <w:tabs>
          <w:tab w:val="left" w:pos="7380"/>
        </w:tabs>
        <w:snapToGrid w:val="0"/>
        <w:spacing w:after="0" w:line="360" w:lineRule="auto"/>
        <w:ind w:firstLine="400" w:firstLineChars="200"/>
        <w:rPr>
          <w:rFonts w:hint="eastAsia" w:ascii="宋体" w:hAnsi="宋体" w:cs="宋体"/>
          <w:color w:val="auto"/>
          <w:szCs w:val="21"/>
          <w:highlight w:val="none"/>
        </w:rPr>
      </w:pPr>
      <w:r>
        <w:rPr>
          <w:rFonts w:hint="eastAsia" w:ascii="宋体" w:hAnsi="宋体" w:cs="宋体"/>
          <w:color w:val="auto"/>
          <w:szCs w:val="21"/>
          <w:highlight w:val="none"/>
        </w:rPr>
        <w:t>评标参考价=（Q高-Q低）/100*Ｘ+Q低</w:t>
      </w:r>
    </w:p>
    <w:p>
      <w:pPr>
        <w:pStyle w:val="20"/>
        <w:tabs>
          <w:tab w:val="left" w:pos="7380"/>
        </w:tabs>
        <w:snapToGrid w:val="0"/>
        <w:spacing w:after="0" w:line="360" w:lineRule="auto"/>
        <w:ind w:firstLine="400" w:firstLineChars="200"/>
        <w:rPr>
          <w:rFonts w:hint="eastAsia" w:ascii="宋体" w:hAnsi="宋体" w:cs="宋体"/>
          <w:color w:val="auto"/>
          <w:szCs w:val="21"/>
          <w:highlight w:val="none"/>
        </w:rPr>
      </w:pPr>
      <w:r>
        <w:rPr>
          <w:rFonts w:hint="eastAsia" w:ascii="宋体" w:hAnsi="宋体" w:cs="宋体"/>
          <w:color w:val="auto"/>
          <w:szCs w:val="21"/>
          <w:highlight w:val="none"/>
        </w:rPr>
        <w:t>Q低：为达到或超过技术标及格分数线的投标人最低报价与工程成本警示价两者中的较高值；</w:t>
      </w:r>
    </w:p>
    <w:p>
      <w:pPr>
        <w:pStyle w:val="20"/>
        <w:tabs>
          <w:tab w:val="left" w:pos="7380"/>
        </w:tabs>
        <w:snapToGrid w:val="0"/>
        <w:spacing w:after="0" w:line="360" w:lineRule="auto"/>
        <w:ind w:firstLine="400" w:firstLineChars="200"/>
        <w:rPr>
          <w:rFonts w:hint="eastAsia" w:ascii="宋体" w:hAnsi="宋体" w:cs="宋体"/>
          <w:color w:val="auto"/>
          <w:szCs w:val="21"/>
          <w:highlight w:val="none"/>
        </w:rPr>
      </w:pPr>
      <w:r>
        <w:rPr>
          <w:rFonts w:hint="eastAsia" w:ascii="宋体" w:hAnsi="宋体" w:cs="宋体"/>
          <w:color w:val="auto"/>
          <w:szCs w:val="21"/>
          <w:highlight w:val="none"/>
        </w:rPr>
        <w:t>Q高：为最高投标限价</w:t>
      </w:r>
    </w:p>
    <w:p>
      <w:pPr>
        <w:pStyle w:val="20"/>
        <w:tabs>
          <w:tab w:val="left" w:pos="7380"/>
        </w:tabs>
        <w:snapToGrid w:val="0"/>
        <w:spacing w:after="0" w:line="360" w:lineRule="auto"/>
        <w:ind w:firstLine="40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X:为等分点值，在开标前从[0,100]整数中随机抽取</w:t>
      </w:r>
    </w:p>
    <w:p>
      <w:pPr>
        <w:pStyle w:val="20"/>
        <w:tabs>
          <w:tab w:val="left" w:pos="7380"/>
        </w:tabs>
        <w:snapToGrid w:val="0"/>
        <w:spacing w:after="0" w:line="360" w:lineRule="auto"/>
        <w:ind w:firstLine="422" w:firstLineChars="200"/>
        <w:rPr>
          <w:rFonts w:ascii="宋体" w:hAnsi="宋体" w:cs="宋体"/>
          <w:color w:val="auto"/>
          <w:szCs w:val="21"/>
          <w:highlight w:val="none"/>
        </w:rPr>
      </w:pPr>
      <w:r>
        <w:rPr>
          <w:rFonts w:hint="eastAsia" w:ascii="宋体" w:hAnsi="宋体" w:eastAsia="宋体" w:cs="宋体"/>
          <w:b/>
          <w:color w:val="auto"/>
          <w:kern w:val="2"/>
          <w:sz w:val="21"/>
          <w:szCs w:val="21"/>
          <w:highlight w:val="none"/>
          <w:lang w:val="en-US" w:eastAsia="zh-CN" w:bidi="ar-SA"/>
        </w:rPr>
        <w:t>现文：</w:t>
      </w:r>
      <w:r>
        <w:rPr>
          <w:rFonts w:hint="eastAsia" w:ascii="宋体" w:hAnsi="宋体" w:cs="宋体"/>
          <w:color w:val="auto"/>
          <w:sz w:val="21"/>
          <w:szCs w:val="21"/>
          <w:highlight w:val="none"/>
        </w:rPr>
        <w:t>45.2按方法</w:t>
      </w:r>
      <w:r>
        <w:rPr>
          <w:rFonts w:hint="eastAsia" w:ascii="宋体" w:hAnsi="宋体" w:cs="宋体"/>
          <w:color w:val="auto"/>
          <w:sz w:val="21"/>
          <w:szCs w:val="21"/>
          <w:highlight w:val="none"/>
          <w:u w:val="single"/>
        </w:rPr>
        <w:t xml:space="preserve"> 一 </w:t>
      </w:r>
      <w:r>
        <w:rPr>
          <w:rFonts w:hint="eastAsia" w:ascii="宋体" w:hAnsi="宋体" w:cs="宋体"/>
          <w:color w:val="auto"/>
          <w:sz w:val="21"/>
          <w:szCs w:val="21"/>
          <w:highlight w:val="none"/>
        </w:rPr>
        <w:t>计算评标参考价：</w:t>
      </w:r>
    </w:p>
    <w:p>
      <w:pPr>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方法一：加权平均法</w:t>
      </w:r>
    </w:p>
    <w:p>
      <w:pPr>
        <w:snapToGrid w:val="0"/>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u w:val="single"/>
        </w:rPr>
        <w:t>技术标</w:t>
      </w:r>
      <w:r>
        <w:rPr>
          <w:rFonts w:hint="eastAsia" w:ascii="宋体" w:hAnsi="宋体"/>
          <w:bCs/>
          <w:color w:val="auto"/>
          <w:szCs w:val="21"/>
          <w:highlight w:val="none"/>
        </w:rPr>
        <w:t>得分前N名</w:t>
      </w:r>
      <w:r>
        <w:rPr>
          <w:rFonts w:hint="eastAsia" w:ascii="宋体" w:hAnsi="宋体"/>
          <w:bCs/>
          <w:color w:val="auto"/>
          <w:szCs w:val="21"/>
          <w:highlight w:val="none"/>
          <w:u w:val="single"/>
        </w:rPr>
        <w:t>（若通过技术标有效性审查的投标人大于等于5家时，N=5，不足5名时，取所有通过技术标有效性审查的投标人个数）</w:t>
      </w:r>
      <w:r>
        <w:rPr>
          <w:rFonts w:hint="eastAsia" w:ascii="宋体" w:hAnsi="宋体"/>
          <w:bCs/>
          <w:color w:val="auto"/>
          <w:szCs w:val="21"/>
          <w:highlight w:val="none"/>
        </w:rPr>
        <w:t>的经济报价加权平均，计算评标参考价。公式如下：</w:t>
      </w:r>
    </w:p>
    <w:p>
      <w:pPr>
        <w:snapToGrid w:val="0"/>
        <w:spacing w:line="360" w:lineRule="auto"/>
        <w:ind w:firstLine="411" w:firstLineChars="196"/>
        <w:rPr>
          <w:rFonts w:hint="eastAsia" w:ascii="宋体" w:hAnsi="宋体"/>
          <w:bCs/>
          <w:color w:val="auto"/>
          <w:szCs w:val="21"/>
          <w:highlight w:val="none"/>
        </w:rPr>
      </w:pPr>
      <w:r>
        <w:rPr>
          <w:rFonts w:hint="eastAsia" w:ascii="宋体" w:hAnsi="宋体"/>
          <w:bCs/>
          <w:color w:val="auto"/>
          <w:szCs w:val="21"/>
          <w:highlight w:val="none"/>
        </w:rPr>
        <w:t>评标参考价=Σ（投标人的投标报价*报价权重）。</w:t>
      </w:r>
    </w:p>
    <w:p>
      <w:pPr>
        <w:pBdr>
          <w:bottom w:val="single" w:color="auto" w:sz="6" w:space="7"/>
        </w:pBdr>
        <w:snapToGrid w:val="0"/>
        <w:spacing w:line="360" w:lineRule="auto"/>
        <w:ind w:firstLine="411" w:firstLineChars="196"/>
        <w:rPr>
          <w:color w:val="auto"/>
          <w:highlight w:val="none"/>
        </w:rPr>
      </w:pPr>
      <w:r>
        <w:rPr>
          <w:rFonts w:hint="eastAsia" w:ascii="宋体" w:hAnsi="宋体"/>
          <w:bCs/>
          <w:color w:val="auto"/>
          <w:szCs w:val="21"/>
          <w:highlight w:val="none"/>
        </w:rPr>
        <w:t>其中：报价权重的计算方法为：将N名投标人按技术分由高至低进行排序（</w:t>
      </w:r>
      <w:r>
        <w:rPr>
          <w:rFonts w:hint="eastAsia" w:ascii="宋体" w:hAnsi="宋体"/>
          <w:bCs/>
          <w:color w:val="auto"/>
          <w:szCs w:val="21"/>
          <w:highlight w:val="none"/>
          <w:u w:val="single"/>
        </w:rPr>
        <w:t>技术标得分相同时，投标报价较低的排名靠前；如仍有相同情况，则由评标会对出现该情况的投标人进行编号，然后通过投票方式以得票高者优先为原则确定投标人的排序。</w:t>
      </w:r>
      <w:r>
        <w:rPr>
          <w:rFonts w:hint="eastAsia" w:ascii="宋体" w:hAnsi="宋体"/>
          <w:bCs/>
          <w:color w:val="auto"/>
          <w:szCs w:val="21"/>
          <w:highlight w:val="none"/>
        </w:rPr>
        <w:t>），第一名投标人的权重为（</w:t>
      </w: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QUOTE </w:instrText>
      </w:r>
      <w:r>
        <w:rPr>
          <w:rFonts w:hint="eastAsia" w:ascii="宋体" w:hAnsi="宋体"/>
          <w:bCs/>
          <w:color w:val="auto"/>
          <w:szCs w:val="21"/>
          <w:highlight w:val="none"/>
        </w:rPr>
        <w:pict>
          <v:shape id="_x0000_i1025" o:spt="75" type="#_x0000_t75" style="height:31.55pt;width:16.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hideSpellingErrors/&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B41BE&quot;/&gt;&lt;wsp:rsid wsp:val=&quot;000316B7&quot;/&gt;&lt;wsp:rsid wsp:val=&quot;00067E3E&quot;/&gt;&lt;wsp:rsid wsp:val=&quot;00073081&quot;/&gt;&lt;wsp:rsid wsp:val=&quot;00082154&quot;/&gt;&lt;wsp:rsid wsp:val=&quot;00085548&quot;/&gt;&lt;wsp:rsid wsp:val=&quot;000A53DB&quot;/&gt;&lt;wsp:rsid wsp:val=&quot;0016494C&quot;/&gt;&lt;wsp:rsid wsp:val=&quot;001A44B7&quot;/&gt;&lt;wsp:rsid wsp:val=&quot;00236279&quot;/&gt;&lt;wsp:rsid wsp:val=&quot;002B6767&quot;/&gt;&lt;wsp:rsid wsp:val=&quot;002B6CE1&quot;/&gt;&lt;wsp:rsid wsp:val=&quot;002B7EFB&quot;/&gt;&lt;wsp:rsid wsp:val=&quot;002C749C&quot;/&gt;&lt;wsp:rsid wsp:val=&quot;00352CB0&quot;/&gt;&lt;wsp:rsid wsp:val=&quot;003B20AE&quot;/&gt;&lt;wsp:rsid wsp:val=&quot;00425076&quot;/&gt;&lt;wsp:rsid wsp:val=&quot;00514067&quot;/&gt;&lt;wsp:rsid wsp:val=&quot;005A7333&quot;/&gt;&lt;wsp:rsid wsp:val=&quot;005D59B1&quot;/&gt;&lt;wsp:rsid wsp:val=&quot;005D670B&quot;/&gt;&lt;wsp:rsid wsp:val=&quot;005F386F&quot;/&gt;&lt;wsp:rsid wsp:val=&quot;006631CB&quot;/&gt;&lt;wsp:rsid wsp:val=&quot;006B6B0D&quot;/&gt;&lt;wsp:rsid wsp:val=&quot;006D5399&quot;/&gt;&lt;wsp:rsid wsp:val=&quot;006F6B72&quot;/&gt;&lt;wsp:rsid wsp:val=&quot;00716532&quot;/&gt;&lt;wsp:rsid wsp:val=&quot;007822DC&quot;/&gt;&lt;wsp:rsid wsp:val=&quot;007B41BE&quot;/&gt;&lt;wsp:rsid wsp:val=&quot;008509AB&quot;/&gt;&lt;wsp:rsid wsp:val=&quot;00885B7E&quot;/&gt;&lt;wsp:rsid wsp:val=&quot;009703A5&quot;/&gt;&lt;wsp:rsid wsp:val=&quot;0098517E&quot;/&gt;&lt;wsp:rsid wsp:val=&quot;009A15BA&quot;/&gt;&lt;wsp:rsid wsp:val=&quot;00A602D1&quot;/&gt;&lt;wsp:rsid wsp:val=&quot;00A71BA4&quot;/&gt;&lt;wsp:rsid wsp:val=&quot;00AF78CF&quot;/&gt;&lt;wsp:rsid wsp:val=&quot;00B702E0&quot;/&gt;&lt;wsp:rsid wsp:val=&quot;00B806C5&quot;/&gt;&lt;wsp:rsid wsp:val=&quot;00B8122C&quot;/&gt;&lt;wsp:rsid wsp:val=&quot;00C12883&quot;/&gt;&lt;wsp:rsid wsp:val=&quot;00C1704D&quot;/&gt;&lt;wsp:rsid wsp:val=&quot;00C30088&quot;/&gt;&lt;wsp:rsid wsp:val=&quot;00C408D3&quot;/&gt;&lt;wsp:rsid wsp:val=&quot;00C83BF0&quot;/&gt;&lt;wsp:rsid wsp:val=&quot;00CD5A1C&quot;/&gt;&lt;wsp:rsid wsp:val=&quot;00CD5DFE&quot;/&gt;&lt;wsp:rsid wsp:val=&quot;00CF219F&quot;/&gt;&lt;wsp:rsid wsp:val=&quot;00D03FAA&quot;/&gt;&lt;wsp:rsid wsp:val=&quot;00D46EC6&quot;/&gt;&lt;wsp:rsid wsp:val=&quot;00DB0687&quot;/&gt;&lt;wsp:rsid wsp:val=&quot;00E0076A&quot;/&gt;&lt;wsp:rsid wsp:val=&quot;00E06D18&quot;/&gt;&lt;wsp:rsid wsp:val=&quot;00E1749E&quot;/&gt;&lt;wsp:rsid wsp:val=&quot;00E661AF&quot;/&gt;&lt;wsp:rsid wsp:val=&quot;00E86A58&quot;/&gt;&lt;wsp:rsid wsp:val=&quot;00E931F3&quot;/&gt;&lt;wsp:rsid wsp:val=&quot;00EB2218&quot;/&gt;&lt;wsp:rsid wsp:val=&quot;00F3614B&quot;/&gt;&lt;wsp:rsid wsp:val=&quot;00F82C7B&quot;/&gt;&lt;wsp:rsid wsp:val=&quot;00FB5F28&quot;/&gt;&lt;/wsp:rsids&gt;&lt;/w:docPr&gt;&lt;w:body&gt;&lt;wx:sect&gt;&lt;w:p wsp:rsidR=&quot;00000000&quot; wsp:rsidRDefault=&quot;00716532&quot; wsp:rsidP=&quot;00716532&quot;&gt;&lt;m:oMathPara&gt;&lt;m:oMath&gt;&lt;m:f&gt;&lt;m:fPr&gt;&lt;m:ctrlPr&gt;&lt;w:rPr&gt;&lt;w:rFonts w:ascii=&quot;Cambria Math&quot; w:h-ansi=&quot;Cambria Math&quot;/&gt;&lt;wx:font wx:val=&quot;Cambria Math&quot;/&gt;&lt;w:color w:val=&quot;000000&quot;/&gt;&lt;w:sz-cs w:val=&quot;21&quot;/&gt;&lt;/w:rPr&gt;&lt;/m:ctrlPr&gt;&lt;/m:fPr&gt;&lt;m:num&gt;&lt;m:r&gt;&lt;m:rPr&gt;&lt;m:sty m:val=&quot;p&quot;/&gt;&lt;/m:rPr&gt;&lt;w:rPr&gt;&lt;w:rFonts w:ascii=&quot;Cambria Math&quot; w:h-ansi=&quot;Cambria Math&quot;/&gt;&lt;wx:font wx:val=&quot;Cambria Math&quot;/&gt;&lt;w:color w:val=&quot;000000&quot;/&gt;&lt;w:sz-cs w:val=&quot;21&quot;/&gt;&lt;/w:rPr&gt;&lt;m:t&gt;N&lt;/m:t&gt;&lt;/m:r&gt;&lt;/m:num&gt;&lt;m:den&gt;&lt;m:nary&gt;&lt;m:naryPr&gt;&lt;m:chr m:val=&quot;∑&quot;/&gt;&lt;m:limLoc m:val=&quot;undOvr&quot;/&gt;&lt;m:ctrlPr&gt;&lt;w:rPr&gt;&lt;w:rFonts w:ascii=&quot;Cambria Math&quot; w:h-ansi=&quot;Cambria Math&quot;/&gt;&lt;wx:font wx:val=&quot;Cambria Math&quot;/&gt;&lt;w:color w:val=&quot;000000&quot;/&gt;&lt;w:sz-cs w:val=&quot;21&quot;/&gt;&lt;/w:rPr&gt;&lt;/m:ctrlPr&gt;&lt;/m:naryPr&gt;&lt;m:sub&gt;&lt;m:r&gt;&lt;m:rPr&gt;&lt;m:sty m:val=&quot;p&quot;/&gt;&lt;/m:rPr&gt;&lt;w:rPr&gt;&lt;w:rFonts w:ascii=&quot;Cambria Math&quot; w:h-ansi=&quot;Cambria Math&quot;/&gt;&lt;wx:font wx:val=&quot;Cambria Math&quot;/&gt;&lt;w:color w:val=&quot;000000&quot;/&gt;&lt;w:sz-cs w:val=&quot;21&quot;/&gt;&lt;/w:rPr&gt;&lt;m:t&gt;1&lt;/m:t&gt;&lt;/m:r&gt;&lt;/m:sub&gt;&lt;m:sup&gt;&lt;m:r&gt;&lt;m:rPr&gt;&lt;m:sty m:val=&quot;p&quot;/&gt;&lt;/m:rPr&gt;&lt;w:rPr&gt;&lt;w:rFonts w:ascii=&quot;Cambria Math&quot; w:h-ansi=&quot;Cambria Math&quot;/&gt;&lt;wx:font wx:val=&quot;Cambria Math&quot;/&gt;&lt;w:color w:val=&quot;000000&quot;/&gt;&lt;w:sz-cs w:val=&quot;21&quot;/&gt;&lt;/w:rPr&gt;&lt;m:t&gt;N&lt;/m:t&gt;&lt;/m:r&gt;&lt;/m:sup&gt;&lt;m:e&gt;&lt;m:r&gt;&lt;m:rPr&gt;&lt;m:sty m:val=&quot;p&quot;/&gt;&lt;/m:rPr&gt;&lt;w:rPr&gt;&lt;w:rFonts w:ascii=&quot;Cambria Math&quot; w:h-ansi=&quot;Cambria Math&quot;/&gt;&lt;wx:font wx:val=&quot;Cambria Math&quot;/&gt;&lt;w:color w:val=&quot;000000&quot;/&gt;&lt;w:sz-cs w:val=&quot;21&quot;/&gt;&lt;/w:rPr&gt;&lt;m:t&gt;n&lt;/m:t&gt;&lt;/m:r&gt;&lt;/m:e&gt;&lt;/m:nary&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5" chromakey="#FFFFFF" o:title=""/>
            <o:lock v:ext="edit" aspectratio="t"/>
            <w10:wrap type="none"/>
            <w10:anchorlock/>
          </v:shape>
        </w:pict>
      </w:r>
      <w:r>
        <w:rPr>
          <w:rFonts w:hint="eastAsia" w:ascii="宋体" w:hAnsi="宋体"/>
          <w:bCs/>
          <w:color w:val="auto"/>
          <w:szCs w:val="21"/>
          <w:highlight w:val="none"/>
        </w:rPr>
        <w:instrText xml:space="preserve"> </w:instrText>
      </w:r>
      <w:r>
        <w:rPr>
          <w:rFonts w:hint="eastAsia" w:ascii="宋体" w:hAnsi="宋体"/>
          <w:bCs/>
          <w:color w:val="auto"/>
          <w:szCs w:val="21"/>
          <w:highlight w:val="none"/>
        </w:rPr>
        <w:fldChar w:fldCharType="separate"/>
      </w:r>
      <w:r>
        <w:rPr>
          <w:rFonts w:hint="eastAsia" w:ascii="宋体" w:hAnsi="宋体"/>
          <w:bCs/>
          <w:color w:val="auto"/>
          <w:szCs w:val="21"/>
          <w:highlight w:val="none"/>
        </w:rPr>
        <w:pict>
          <v:shape id="_x0000_i1026" o:spt="75" type="#_x0000_t75" style="height:31.55pt;width:16.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hideSpellingErrors/&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B41BE&quot;/&gt;&lt;wsp:rsid wsp:val=&quot;000316B7&quot;/&gt;&lt;wsp:rsid wsp:val=&quot;00067E3E&quot;/&gt;&lt;wsp:rsid wsp:val=&quot;00073081&quot;/&gt;&lt;wsp:rsid wsp:val=&quot;00082154&quot;/&gt;&lt;wsp:rsid wsp:val=&quot;00085548&quot;/&gt;&lt;wsp:rsid wsp:val=&quot;000A53DB&quot;/&gt;&lt;wsp:rsid wsp:val=&quot;0016494C&quot;/&gt;&lt;wsp:rsid wsp:val=&quot;001A44B7&quot;/&gt;&lt;wsp:rsid wsp:val=&quot;00236279&quot;/&gt;&lt;wsp:rsid wsp:val=&quot;002B6767&quot;/&gt;&lt;wsp:rsid wsp:val=&quot;002B6CE1&quot;/&gt;&lt;wsp:rsid wsp:val=&quot;002B7EFB&quot;/&gt;&lt;wsp:rsid wsp:val=&quot;002C749C&quot;/&gt;&lt;wsp:rsid wsp:val=&quot;00352CB0&quot;/&gt;&lt;wsp:rsid wsp:val=&quot;003B20AE&quot;/&gt;&lt;wsp:rsid wsp:val=&quot;00425076&quot;/&gt;&lt;wsp:rsid wsp:val=&quot;00514067&quot;/&gt;&lt;wsp:rsid wsp:val=&quot;005A7333&quot;/&gt;&lt;wsp:rsid wsp:val=&quot;005D59B1&quot;/&gt;&lt;wsp:rsid wsp:val=&quot;005D670B&quot;/&gt;&lt;wsp:rsid wsp:val=&quot;005F386F&quot;/&gt;&lt;wsp:rsid wsp:val=&quot;006631CB&quot;/&gt;&lt;wsp:rsid wsp:val=&quot;006B6B0D&quot;/&gt;&lt;wsp:rsid wsp:val=&quot;006D5399&quot;/&gt;&lt;wsp:rsid wsp:val=&quot;006F6B72&quot;/&gt;&lt;wsp:rsid wsp:val=&quot;00716532&quot;/&gt;&lt;wsp:rsid wsp:val=&quot;007822DC&quot;/&gt;&lt;wsp:rsid wsp:val=&quot;007B41BE&quot;/&gt;&lt;wsp:rsid wsp:val=&quot;008509AB&quot;/&gt;&lt;wsp:rsid wsp:val=&quot;00885B7E&quot;/&gt;&lt;wsp:rsid wsp:val=&quot;009703A5&quot;/&gt;&lt;wsp:rsid wsp:val=&quot;0098517E&quot;/&gt;&lt;wsp:rsid wsp:val=&quot;009A15BA&quot;/&gt;&lt;wsp:rsid wsp:val=&quot;00A602D1&quot;/&gt;&lt;wsp:rsid wsp:val=&quot;00A71BA4&quot;/&gt;&lt;wsp:rsid wsp:val=&quot;00AF78CF&quot;/&gt;&lt;wsp:rsid wsp:val=&quot;00B702E0&quot;/&gt;&lt;wsp:rsid wsp:val=&quot;00B806C5&quot;/&gt;&lt;wsp:rsid wsp:val=&quot;00B8122C&quot;/&gt;&lt;wsp:rsid wsp:val=&quot;00C12883&quot;/&gt;&lt;wsp:rsid wsp:val=&quot;00C1704D&quot;/&gt;&lt;wsp:rsid wsp:val=&quot;00C30088&quot;/&gt;&lt;wsp:rsid wsp:val=&quot;00C408D3&quot;/&gt;&lt;wsp:rsid wsp:val=&quot;00C83BF0&quot;/&gt;&lt;wsp:rsid wsp:val=&quot;00CD5A1C&quot;/&gt;&lt;wsp:rsid wsp:val=&quot;00CD5DFE&quot;/&gt;&lt;wsp:rsid wsp:val=&quot;00CF219F&quot;/&gt;&lt;wsp:rsid wsp:val=&quot;00D03FAA&quot;/&gt;&lt;wsp:rsid wsp:val=&quot;00D46EC6&quot;/&gt;&lt;wsp:rsid wsp:val=&quot;00DB0687&quot;/&gt;&lt;wsp:rsid wsp:val=&quot;00E0076A&quot;/&gt;&lt;wsp:rsid wsp:val=&quot;00E06D18&quot;/&gt;&lt;wsp:rsid wsp:val=&quot;00E1749E&quot;/&gt;&lt;wsp:rsid wsp:val=&quot;00E661AF&quot;/&gt;&lt;wsp:rsid wsp:val=&quot;00E86A58&quot;/&gt;&lt;wsp:rsid wsp:val=&quot;00E931F3&quot;/&gt;&lt;wsp:rsid wsp:val=&quot;00EB2218&quot;/&gt;&lt;wsp:rsid wsp:val=&quot;00F3614B&quot;/&gt;&lt;wsp:rsid wsp:val=&quot;00F82C7B&quot;/&gt;&lt;wsp:rsid wsp:val=&quot;00FB5F28&quot;/&gt;&lt;/wsp:rsids&gt;&lt;/w:docPr&gt;&lt;w:body&gt;&lt;wx:sect&gt;&lt;w:p wsp:rsidR=&quot;00000000&quot; wsp:rsidRDefault=&quot;00716532&quot; wsp:rsidP=&quot;00716532&quot;&gt;&lt;m:oMathPara&gt;&lt;m:oMath&gt;&lt;m:f&gt;&lt;m:fPr&gt;&lt;m:ctrlPr&gt;&lt;w:rPr&gt;&lt;w:rFonts w:ascii=&quot;Cambria Math&quot; w:h-ansi=&quot;Cambria Math&quot;/&gt;&lt;wx:font wx:val=&quot;Cambria Math&quot;/&gt;&lt;w:color w:val=&quot;000000&quot;/&gt;&lt;w:sz-cs w:val=&quot;21&quot;/&gt;&lt;/w:rPr&gt;&lt;/m:ctrlPr&gt;&lt;/m:fPr&gt;&lt;m:num&gt;&lt;m:r&gt;&lt;m:rPr&gt;&lt;m:sty m:val=&quot;p&quot;/&gt;&lt;/m:rPr&gt;&lt;w:rPr&gt;&lt;w:rFonts w:ascii=&quot;Cambria Math&quot; w:h-ansi=&quot;Cambria Math&quot;/&gt;&lt;wx:font wx:val=&quot;Cambria Math&quot;/&gt;&lt;w:color w:val=&quot;000000&quot;/&gt;&lt;w:sz-cs w:val=&quot;21&quot;/&gt;&lt;/w:rPr&gt;&lt;m:t&gt;N&lt;/m:t&gt;&lt;/m:r&gt;&lt;/m:num&gt;&lt;m:den&gt;&lt;m:nary&gt;&lt;m:naryPr&gt;&lt;m:chr m:val=&quot;∑&quot;/&gt;&lt;m:limLoc m:val=&quot;undOvr&quot;/&gt;&lt;m:ctrlPr&gt;&lt;w:rPr&gt;&lt;w:rFonts w:ascii=&quot;Cambria Math&quot; w:h-ansi=&quot;Cambria Math&quot;/&gt;&lt;wx:font wx:val=&quot;Cambria Math&quot;/&gt;&lt;w:color w:val=&quot;000000&quot;/&gt;&lt;w:sz-cs w:val=&quot;21&quot;/&gt;&lt;/w:rPr&gt;&lt;/m:ctrlPr&gt;&lt;/m:naryPr&gt;&lt;m:sub&gt;&lt;m:r&gt;&lt;m:rPr&gt;&lt;m:sty m:val=&quot;p&quot;/&gt;&lt;/m:rPr&gt;&lt;w:rPr&gt;&lt;w:rFonts w:ascii=&quot;Cambria Math&quot; w:h-ansi=&quot;Cambria Math&quot;/&gt;&lt;wx:font wx:val=&quot;Cambria Math&quot;/&gt;&lt;w:color w:val=&quot;000000&quot;/&gt;&lt;w:sz-cs w:val=&quot;21&quot;/&gt;&lt;/w:rPr&gt;&lt;m:t&gt;1&lt;/m:t&gt;&lt;/m:r&gt;&lt;/m:sub&gt;&lt;m:sup&gt;&lt;m:r&gt;&lt;m:rPr&gt;&lt;m:sty m:val=&quot;p&quot;/&gt;&lt;/m:rPr&gt;&lt;w:rPr&gt;&lt;w:rFonts w:ascii=&quot;Cambria Math&quot; w:h-ansi=&quot;Cambria Math&quot;/&gt;&lt;wx:font wx:val=&quot;Cambria Math&quot;/&gt;&lt;w:color w:val=&quot;000000&quot;/&gt;&lt;w:sz-cs w:val=&quot;21&quot;/&gt;&lt;/w:rPr&gt;&lt;m:t&gt;N&lt;/m:t&gt;&lt;/m:r&gt;&lt;/m:sup&gt;&lt;m:e&gt;&lt;m:r&gt;&lt;m:rPr&gt;&lt;m:sty m:val=&quot;p&quot;/&gt;&lt;/m:rPr&gt;&lt;w:rPr&gt;&lt;w:rFonts w:ascii=&quot;Cambria Math&quot; w:h-ansi=&quot;Cambria Math&quot;/&gt;&lt;wx:font wx:val=&quot;Cambria Math&quot;/&gt;&lt;w:color w:val=&quot;000000&quot;/&gt;&lt;w:sz-cs w:val=&quot;21&quot;/&gt;&lt;/w:rPr&gt;&lt;m:t&gt;n&lt;/m:t&gt;&lt;/m:r&gt;&lt;/m:e&gt;&lt;/m:nary&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5" chromakey="#FFFFFF" o:title=""/>
            <o:lock v:ext="edit" aspectratio="t"/>
            <w10:wrap type="none"/>
            <w10:anchorlock/>
          </v:shape>
        </w:pict>
      </w:r>
      <w:r>
        <w:rPr>
          <w:rFonts w:hint="eastAsia" w:ascii="宋体" w:hAnsi="宋体"/>
          <w:bCs/>
          <w:color w:val="auto"/>
          <w:szCs w:val="21"/>
          <w:highlight w:val="none"/>
        </w:rPr>
        <w:fldChar w:fldCharType="end"/>
      </w:r>
      <w:r>
        <w:rPr>
          <w:rFonts w:hint="eastAsia" w:ascii="宋体" w:hAnsi="宋体"/>
          <w:bCs/>
          <w:color w:val="auto"/>
          <w:szCs w:val="21"/>
          <w:highlight w:val="none"/>
        </w:rPr>
        <w:t>），第二名投标人的权重为（</w:t>
      </w: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QUOTE </w:instrText>
      </w:r>
      <w:r>
        <w:rPr>
          <w:rFonts w:hint="eastAsia" w:ascii="宋体" w:hAnsi="宋体"/>
          <w:bCs/>
          <w:color w:val="auto"/>
          <w:szCs w:val="21"/>
          <w:highlight w:val="none"/>
        </w:rPr>
        <w:pict>
          <v:shape id="_x0000_i1027" o:spt="75" type="#_x0000_t75" style="height:31.55pt;width:16.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hideSpellingErrors/&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B41BE&quot;/&gt;&lt;wsp:rsid wsp:val=&quot;000316B7&quot;/&gt;&lt;wsp:rsid wsp:val=&quot;00067E3E&quot;/&gt;&lt;wsp:rsid wsp:val=&quot;00073081&quot;/&gt;&lt;wsp:rsid wsp:val=&quot;00082154&quot;/&gt;&lt;wsp:rsid wsp:val=&quot;00085548&quot;/&gt;&lt;wsp:rsid wsp:val=&quot;000A53DB&quot;/&gt;&lt;wsp:rsid wsp:val=&quot;0016494C&quot;/&gt;&lt;wsp:rsid wsp:val=&quot;001A44B7&quot;/&gt;&lt;wsp:rsid wsp:val=&quot;00236279&quot;/&gt;&lt;wsp:rsid wsp:val=&quot;002B6767&quot;/&gt;&lt;wsp:rsid wsp:val=&quot;002B6CE1&quot;/&gt;&lt;wsp:rsid wsp:val=&quot;002B7EFB&quot;/&gt;&lt;wsp:rsid wsp:val=&quot;002C749C&quot;/&gt;&lt;wsp:rsid wsp:val=&quot;00352CB0&quot;/&gt;&lt;wsp:rsid wsp:val=&quot;003B20AE&quot;/&gt;&lt;wsp:rsid wsp:val=&quot;00425076&quot;/&gt;&lt;wsp:rsid wsp:val=&quot;00514067&quot;/&gt;&lt;wsp:rsid wsp:val=&quot;005A7333&quot;/&gt;&lt;wsp:rsid wsp:val=&quot;005D59B1&quot;/&gt;&lt;wsp:rsid wsp:val=&quot;005D670B&quot;/&gt;&lt;wsp:rsid wsp:val=&quot;005F386F&quot;/&gt;&lt;wsp:rsid wsp:val=&quot;006631CB&quot;/&gt;&lt;wsp:rsid wsp:val=&quot;006B6B0D&quot;/&gt;&lt;wsp:rsid wsp:val=&quot;006D5399&quot;/&gt;&lt;wsp:rsid wsp:val=&quot;006F6B72&quot;/&gt;&lt;wsp:rsid wsp:val=&quot;007822DC&quot;/&gt;&lt;wsp:rsid wsp:val=&quot;007B41BE&quot;/&gt;&lt;wsp:rsid wsp:val=&quot;008509AB&quot;/&gt;&lt;wsp:rsid wsp:val=&quot;00885B7E&quot;/&gt;&lt;wsp:rsid wsp:val=&quot;009159CD&quot;/&gt;&lt;wsp:rsid wsp:val=&quot;009703A5&quot;/&gt;&lt;wsp:rsid wsp:val=&quot;0098517E&quot;/&gt;&lt;wsp:rsid wsp:val=&quot;009A15BA&quot;/&gt;&lt;wsp:rsid wsp:val=&quot;00A602D1&quot;/&gt;&lt;wsp:rsid wsp:val=&quot;00A71BA4&quot;/&gt;&lt;wsp:rsid wsp:val=&quot;00AF78CF&quot;/&gt;&lt;wsp:rsid wsp:val=&quot;00B702E0&quot;/&gt;&lt;wsp:rsid wsp:val=&quot;00B806C5&quot;/&gt;&lt;wsp:rsid wsp:val=&quot;00B8122C&quot;/&gt;&lt;wsp:rsid wsp:val=&quot;00C12883&quot;/&gt;&lt;wsp:rsid wsp:val=&quot;00C1704D&quot;/&gt;&lt;wsp:rsid wsp:val=&quot;00C30088&quot;/&gt;&lt;wsp:rsid wsp:val=&quot;00C408D3&quot;/&gt;&lt;wsp:rsid wsp:val=&quot;00C83BF0&quot;/&gt;&lt;wsp:rsid wsp:val=&quot;00CD5A1C&quot;/&gt;&lt;wsp:rsid wsp:val=&quot;00CD5DFE&quot;/&gt;&lt;wsp:rsid wsp:val=&quot;00CF219F&quot;/&gt;&lt;wsp:rsid wsp:val=&quot;00D03FAA&quot;/&gt;&lt;wsp:rsid wsp:val=&quot;00D46EC6&quot;/&gt;&lt;wsp:rsid wsp:val=&quot;00DB0687&quot;/&gt;&lt;wsp:rsid wsp:val=&quot;00E0076A&quot;/&gt;&lt;wsp:rsid wsp:val=&quot;00E06D18&quot;/&gt;&lt;wsp:rsid wsp:val=&quot;00E1749E&quot;/&gt;&lt;wsp:rsid wsp:val=&quot;00E661AF&quot;/&gt;&lt;wsp:rsid wsp:val=&quot;00E86A58&quot;/&gt;&lt;wsp:rsid wsp:val=&quot;00E931F3&quot;/&gt;&lt;wsp:rsid wsp:val=&quot;00EB2218&quot;/&gt;&lt;wsp:rsid wsp:val=&quot;00F3614B&quot;/&gt;&lt;wsp:rsid wsp:val=&quot;00F82C7B&quot;/&gt;&lt;wsp:rsid wsp:val=&quot;00FB5F28&quot;/&gt;&lt;/wsp:rsids&gt;&lt;/w:docPr&gt;&lt;w:body&gt;&lt;wx:sect&gt;&lt;w:p wsp:rsidR=&quot;00000000&quot; wsp:rsidRDefault=&quot;009159CD&quot; wsp:rsidP=&quot;009159CD&quot;&gt;&lt;m:oMathPara&gt;&lt;m:oMath&gt;&lt;m:f&gt;&lt;m:fPr&gt;&lt;m:ctrlPr&gt;&lt;w:rPr&gt;&lt;w:rFonts w:ascii=&quot;Cambria Math&quot; w:h-ansi=&quot;Cambria Math&quot;/&gt;&lt;wx:font wx:val=&quot;Cambria Math&quot;/&gt;&lt;w:color w:val=&quot;000000&quot;/&gt;&lt;w:sz-cs w:val=&quot;21&quot;/&gt;&lt;/w:rPr&gt;&lt;/m:ctrlPr&gt;&lt;/m:fPr&gt;&lt;m:num&gt;&lt;m:r&gt;&lt;m:rPr&gt;&lt;m:sty m:val=&quot;p&quot;/&gt;&lt;/m:rPr&gt;&lt;w:rPr&gt;&lt;w:rFonts w:ascii=&quot;Cambria Math&quot; w:h-ansi=&quot;Cambria Math&quot;/&gt;&lt;wx:font wx:val=&quot;Cambria Math&quot;/&gt;&lt;w:color w:val=&quot;000000&quot;/&gt;&lt;w:sz-cs w:val=&quot;21&quot;/&gt;&lt;/w:rPr&gt;&lt;m:t&gt;N-1&lt;/m:t&gt;&lt;/m:r&gt;&lt;/m:num&gt;&lt;m:den&gt;&lt;m:nary&gt;&lt;m:naryPr&gt;&lt;m:chr m:val=&quot;∑&quot;/&gt;&lt;m:limLoc m:val=&quot;undOvr&quot;/&gt;&lt;m:ctrlPr&gt;&lt;w:rPr&gt;&lt;w:rFonts w:ascii=&quot;Cambria Math&quot; w:h-ansi=&quot;Cambria Math&quot;/&gt;&lt;wx:font wx:val=&quot;Cambria Math&quot;/&gt;&lt;w:color w:val=&quot;000000&quot;/&gt;&lt;w:sz-cs w:val=&quot;21&quot;/&gt;&lt;/w:rPr&gt;&lt;/m:ctrlPr&gt;&lt;/m:naryPr&gt;&lt;m:sub&gt;&lt;m:r&gt;&lt;m:rPr&gt;&lt;m:sty m:val=&quot;p&quot;/&gt;&lt;/m:rPr&gt;&lt;w:rPr&gt;&lt;w:rFonts w:ascii=&quot;Cambria Math&quot; w:h-ansi=&quot;Cambria Math&quot;/&gt;&lt;wx:font wx:val=&quot;Cambria Math&quot;/&gt;&lt;w:color w:val=&quot;000000&quot;/&gt;&lt;w:sz-cs w:val=&quot;21&quot;/&gt;&lt;/w:rPr&gt;&lt;m:t&gt;1&lt;/m:t&gt;&lt;/m:r&gt;&lt;/m:sub&gt;&lt;m:sup&gt;&lt;m:r&gt;&lt;m:rPr&gt;&lt;m:sty m:val=&quot;p&quot;/&gt;&lt;/m:rPr&gt;&lt;w:rPr&gt;&lt;w:rFonts w:ascii=&quot;Cambria Math&quot; w:h-ansi=&quot;Cambria Math&quot;/&gt;&lt;wx:font wx:val=&quot;Cambria Math&quot;/&gt;&lt;w:color w:val=&quot;000000&quot;/&gt;&lt;w:sz-cs w:val=&quot;21&quot;/&gt;&lt;/w:rPr&gt;&lt;m:t&gt;N&lt;/m:t&gt;&lt;/m:r&gt;&lt;/m:sup&gt;&lt;m:e&gt;&lt;m:r&gt;&lt;m:rPr&gt;&lt;m:sty m:val=&quot;p&quot;/&gt;&lt;/m:rPr&gt;&lt;w:rPr&gt;&lt;w:rFonts w:ascii=&quot;Cambria Math&quot; w:h-ansi=&quot;Cambria Math&quot;/&gt;&lt;wx:font wx:val=&quot;Cambria Math&quot;/&gt;&lt;w:color w:val=&quot;000000&quot;/&gt;&lt;w:sz-cs w:val=&quot;21&quot;/&gt;&lt;/w:rPr&gt;&lt;m:t&gt;n&lt;/m:t&gt;&lt;/m:r&gt;&lt;/m:e&gt;&lt;/m:nary&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6" chromakey="#FFFFFF" o:title=""/>
            <o:lock v:ext="edit" aspectratio="t"/>
            <w10:wrap type="none"/>
            <w10:anchorlock/>
          </v:shape>
        </w:pict>
      </w:r>
      <w:r>
        <w:rPr>
          <w:rFonts w:hint="eastAsia" w:ascii="宋体" w:hAnsi="宋体"/>
          <w:bCs/>
          <w:color w:val="auto"/>
          <w:szCs w:val="21"/>
          <w:highlight w:val="none"/>
        </w:rPr>
        <w:instrText xml:space="preserve"> </w:instrText>
      </w:r>
      <w:r>
        <w:rPr>
          <w:rFonts w:hint="eastAsia" w:ascii="宋体" w:hAnsi="宋体"/>
          <w:bCs/>
          <w:color w:val="auto"/>
          <w:szCs w:val="21"/>
          <w:highlight w:val="none"/>
        </w:rPr>
        <w:fldChar w:fldCharType="separate"/>
      </w:r>
      <w:r>
        <w:rPr>
          <w:rFonts w:hint="eastAsia" w:ascii="宋体" w:hAnsi="宋体"/>
          <w:bCs/>
          <w:color w:val="auto"/>
          <w:szCs w:val="21"/>
          <w:highlight w:val="none"/>
        </w:rPr>
        <w:pict>
          <v:shape id="_x0000_i1028" o:spt="75" type="#_x0000_t75" style="height:31.55pt;width:16.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hideSpellingErrors/&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B41BE&quot;/&gt;&lt;wsp:rsid wsp:val=&quot;000316B7&quot;/&gt;&lt;wsp:rsid wsp:val=&quot;00067E3E&quot;/&gt;&lt;wsp:rsid wsp:val=&quot;00073081&quot;/&gt;&lt;wsp:rsid wsp:val=&quot;00082154&quot;/&gt;&lt;wsp:rsid wsp:val=&quot;00085548&quot;/&gt;&lt;wsp:rsid wsp:val=&quot;000A53DB&quot;/&gt;&lt;wsp:rsid wsp:val=&quot;0016494C&quot;/&gt;&lt;wsp:rsid wsp:val=&quot;001A44B7&quot;/&gt;&lt;wsp:rsid wsp:val=&quot;00236279&quot;/&gt;&lt;wsp:rsid wsp:val=&quot;002B6767&quot;/&gt;&lt;wsp:rsid wsp:val=&quot;002B6CE1&quot;/&gt;&lt;wsp:rsid wsp:val=&quot;002B7EFB&quot;/&gt;&lt;wsp:rsid wsp:val=&quot;002C749C&quot;/&gt;&lt;wsp:rsid wsp:val=&quot;00352CB0&quot;/&gt;&lt;wsp:rsid wsp:val=&quot;003B20AE&quot;/&gt;&lt;wsp:rsid wsp:val=&quot;00425076&quot;/&gt;&lt;wsp:rsid wsp:val=&quot;00514067&quot;/&gt;&lt;wsp:rsid wsp:val=&quot;005A7333&quot;/&gt;&lt;wsp:rsid wsp:val=&quot;005D59B1&quot;/&gt;&lt;wsp:rsid wsp:val=&quot;005D670B&quot;/&gt;&lt;wsp:rsid wsp:val=&quot;005F386F&quot;/&gt;&lt;wsp:rsid wsp:val=&quot;006631CB&quot;/&gt;&lt;wsp:rsid wsp:val=&quot;006B6B0D&quot;/&gt;&lt;wsp:rsid wsp:val=&quot;006D5399&quot;/&gt;&lt;wsp:rsid wsp:val=&quot;006F6B72&quot;/&gt;&lt;wsp:rsid wsp:val=&quot;007822DC&quot;/&gt;&lt;wsp:rsid wsp:val=&quot;007B41BE&quot;/&gt;&lt;wsp:rsid wsp:val=&quot;008509AB&quot;/&gt;&lt;wsp:rsid wsp:val=&quot;00885B7E&quot;/&gt;&lt;wsp:rsid wsp:val=&quot;009159CD&quot;/&gt;&lt;wsp:rsid wsp:val=&quot;009703A5&quot;/&gt;&lt;wsp:rsid wsp:val=&quot;0098517E&quot;/&gt;&lt;wsp:rsid wsp:val=&quot;009A15BA&quot;/&gt;&lt;wsp:rsid wsp:val=&quot;00A602D1&quot;/&gt;&lt;wsp:rsid wsp:val=&quot;00A71BA4&quot;/&gt;&lt;wsp:rsid wsp:val=&quot;00AF78CF&quot;/&gt;&lt;wsp:rsid wsp:val=&quot;00B702E0&quot;/&gt;&lt;wsp:rsid wsp:val=&quot;00B806C5&quot;/&gt;&lt;wsp:rsid wsp:val=&quot;00B8122C&quot;/&gt;&lt;wsp:rsid wsp:val=&quot;00C12883&quot;/&gt;&lt;wsp:rsid wsp:val=&quot;00C1704D&quot;/&gt;&lt;wsp:rsid wsp:val=&quot;00C30088&quot;/&gt;&lt;wsp:rsid wsp:val=&quot;00C408D3&quot;/&gt;&lt;wsp:rsid wsp:val=&quot;00C83BF0&quot;/&gt;&lt;wsp:rsid wsp:val=&quot;00CD5A1C&quot;/&gt;&lt;wsp:rsid wsp:val=&quot;00CD5DFE&quot;/&gt;&lt;wsp:rsid wsp:val=&quot;00CF219F&quot;/&gt;&lt;wsp:rsid wsp:val=&quot;00D03FAA&quot;/&gt;&lt;wsp:rsid wsp:val=&quot;00D46EC6&quot;/&gt;&lt;wsp:rsid wsp:val=&quot;00DB0687&quot;/&gt;&lt;wsp:rsid wsp:val=&quot;00E0076A&quot;/&gt;&lt;wsp:rsid wsp:val=&quot;00E06D18&quot;/&gt;&lt;wsp:rsid wsp:val=&quot;00E1749E&quot;/&gt;&lt;wsp:rsid wsp:val=&quot;00E661AF&quot;/&gt;&lt;wsp:rsid wsp:val=&quot;00E86A58&quot;/&gt;&lt;wsp:rsid wsp:val=&quot;00E931F3&quot;/&gt;&lt;wsp:rsid wsp:val=&quot;00EB2218&quot;/&gt;&lt;wsp:rsid wsp:val=&quot;00F3614B&quot;/&gt;&lt;wsp:rsid wsp:val=&quot;00F82C7B&quot;/&gt;&lt;wsp:rsid wsp:val=&quot;00FB5F28&quot;/&gt;&lt;/wsp:rsids&gt;&lt;/w:docPr&gt;&lt;w:body&gt;&lt;wx:sect&gt;&lt;w:p wsp:rsidR=&quot;00000000&quot; wsp:rsidRDefault=&quot;009159CD&quot; wsp:rsidP=&quot;009159CD&quot;&gt;&lt;m:oMathPara&gt;&lt;m:oMath&gt;&lt;m:f&gt;&lt;m:fPr&gt;&lt;m:ctrlPr&gt;&lt;w:rPr&gt;&lt;w:rFonts w:ascii=&quot;Cambria Math&quot; w:h-ansi=&quot;Cambria Math&quot;/&gt;&lt;wx:font wx:val=&quot;Cambria Math&quot;/&gt;&lt;w:color w:val=&quot;000000&quot;/&gt;&lt;w:sz-cs w:val=&quot;21&quot;/&gt;&lt;/w:rPr&gt;&lt;/m:ctrlPr&gt;&lt;/m:fPr&gt;&lt;m:num&gt;&lt;m:r&gt;&lt;m:rPr&gt;&lt;m:sty m:val=&quot;p&quot;/&gt;&lt;/m:rPr&gt;&lt;w:rPr&gt;&lt;w:rFonts w:ascii=&quot;Cambria Math&quot; w:h-ansi=&quot;Cambria Math&quot;/&gt;&lt;wx:font wx:val=&quot;Cambria Math&quot;/&gt;&lt;w:color w:val=&quot;000000&quot;/&gt;&lt;w:sz-cs w:val=&quot;21&quot;/&gt;&lt;/w:rPr&gt;&lt;m:t&gt;N-1&lt;/m:t&gt;&lt;/m:r&gt;&lt;/m:num&gt;&lt;m:den&gt;&lt;m:nary&gt;&lt;m:naryPr&gt;&lt;m:chr m:val=&quot;∑&quot;/&gt;&lt;m:limLoc m:val=&quot;undOvr&quot;/&gt;&lt;m:ctrlPr&gt;&lt;w:rPr&gt;&lt;w:rFonts w:ascii=&quot;Cambria Math&quot; w:h-ansi=&quot;Cambria Math&quot;/&gt;&lt;wx:font wx:val=&quot;Cambria Math&quot;/&gt;&lt;w:color w:val=&quot;000000&quot;/&gt;&lt;w:sz-cs w:val=&quot;21&quot;/&gt;&lt;/w:rPr&gt;&lt;/m:ctrlPr&gt;&lt;/m:naryPr&gt;&lt;m:sub&gt;&lt;m:r&gt;&lt;m:rPr&gt;&lt;m:sty m:val=&quot;p&quot;/&gt;&lt;/m:rPr&gt;&lt;w:rPr&gt;&lt;w:rFonts w:ascii=&quot;Cambria Math&quot; w:h-ansi=&quot;Cambria Math&quot;/&gt;&lt;wx:font wx:val=&quot;Cambria Math&quot;/&gt;&lt;w:color w:val=&quot;000000&quot;/&gt;&lt;w:sz-cs w:val=&quot;21&quot;/&gt;&lt;/w:rPr&gt;&lt;m:t&gt;1&lt;/m:t&gt;&lt;/m:r&gt;&lt;/m:sub&gt;&lt;m:sup&gt;&lt;m:r&gt;&lt;m:rPr&gt;&lt;m:sty m:val=&quot;p&quot;/&gt;&lt;/m:rPr&gt;&lt;w:rPr&gt;&lt;w:rFonts w:ascii=&quot;Cambria Math&quot; w:h-ansi=&quot;Cambria Math&quot;/&gt;&lt;wx:font wx:val=&quot;Cambria Math&quot;/&gt;&lt;w:color w:val=&quot;000000&quot;/&gt;&lt;w:sz-cs w:val=&quot;21&quot;/&gt;&lt;/w:rPr&gt;&lt;m:t&gt;N&lt;/m:t&gt;&lt;/m:r&gt;&lt;/m:sup&gt;&lt;m:e&gt;&lt;m:r&gt;&lt;m:rPr&gt;&lt;m:sty m:val=&quot;p&quot;/&gt;&lt;/m:rPr&gt;&lt;w:rPr&gt;&lt;w:rFonts w:ascii=&quot;Cambria Math&quot; w:h-ansi=&quot;Cambria Math&quot;/&gt;&lt;wx:font wx:val=&quot;Cambria Math&quot;/&gt;&lt;w:color w:val=&quot;000000&quot;/&gt;&lt;w:sz-cs w:val=&quot;21&quot;/&gt;&lt;/w:rPr&gt;&lt;m:t&gt;n&lt;/m:t&gt;&lt;/m:r&gt;&lt;/m:e&gt;&lt;/m:nary&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6" chromakey="#FFFFFF" o:title=""/>
            <o:lock v:ext="edit" aspectratio="t"/>
            <w10:wrap type="none"/>
            <w10:anchorlock/>
          </v:shape>
        </w:pict>
      </w:r>
      <w:r>
        <w:rPr>
          <w:rFonts w:hint="eastAsia" w:ascii="宋体" w:hAnsi="宋体"/>
          <w:bCs/>
          <w:color w:val="auto"/>
          <w:szCs w:val="21"/>
          <w:highlight w:val="none"/>
        </w:rPr>
        <w:fldChar w:fldCharType="end"/>
      </w:r>
      <w:r>
        <w:rPr>
          <w:rFonts w:hint="eastAsia" w:ascii="宋体" w:hAnsi="宋体"/>
          <w:bCs/>
          <w:color w:val="auto"/>
          <w:szCs w:val="21"/>
          <w:highlight w:val="none"/>
        </w:rPr>
        <w:t>），以此类推，最后一名投标人的权重为（</w:t>
      </w:r>
      <w:r>
        <w:rPr>
          <w:rFonts w:hint="eastAsia" w:ascii="宋体" w:hAnsi="宋体"/>
          <w:bCs/>
          <w:color w:val="auto"/>
          <w:szCs w:val="21"/>
          <w:highlight w:val="none"/>
        </w:rPr>
        <w:fldChar w:fldCharType="begin"/>
      </w:r>
      <w:r>
        <w:rPr>
          <w:rFonts w:hint="eastAsia" w:ascii="宋体" w:hAnsi="宋体"/>
          <w:bCs/>
          <w:color w:val="auto"/>
          <w:szCs w:val="21"/>
          <w:highlight w:val="none"/>
        </w:rPr>
        <w:instrText xml:space="preserve"> QUOTE </w:instrText>
      </w:r>
      <w:r>
        <w:rPr>
          <w:rFonts w:hint="eastAsia" w:ascii="宋体" w:hAnsi="宋体"/>
          <w:bCs/>
          <w:color w:val="auto"/>
          <w:szCs w:val="21"/>
          <w:highlight w:val="none"/>
        </w:rPr>
        <w:pict>
          <v:shape id="_x0000_i1029" o:spt="75" type="#_x0000_t75" style="height:31.55pt;width:16.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hideSpellingErrors/&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B41BE&quot;/&gt;&lt;wsp:rsid wsp:val=&quot;000316B7&quot;/&gt;&lt;wsp:rsid wsp:val=&quot;00067E3E&quot;/&gt;&lt;wsp:rsid wsp:val=&quot;00073081&quot;/&gt;&lt;wsp:rsid wsp:val=&quot;00082154&quot;/&gt;&lt;wsp:rsid wsp:val=&quot;00085548&quot;/&gt;&lt;wsp:rsid wsp:val=&quot;000A53DB&quot;/&gt;&lt;wsp:rsid wsp:val=&quot;0016494C&quot;/&gt;&lt;wsp:rsid wsp:val=&quot;001A44B7&quot;/&gt;&lt;wsp:rsid wsp:val=&quot;00236279&quot;/&gt;&lt;wsp:rsid wsp:val=&quot;002B6767&quot;/&gt;&lt;wsp:rsid wsp:val=&quot;002B6CE1&quot;/&gt;&lt;wsp:rsid wsp:val=&quot;002B7EFB&quot;/&gt;&lt;wsp:rsid wsp:val=&quot;002C749C&quot;/&gt;&lt;wsp:rsid wsp:val=&quot;00352CB0&quot;/&gt;&lt;wsp:rsid wsp:val=&quot;003B20AE&quot;/&gt;&lt;wsp:rsid wsp:val=&quot;00425076&quot;/&gt;&lt;wsp:rsid wsp:val=&quot;00514067&quot;/&gt;&lt;wsp:rsid wsp:val=&quot;005A7333&quot;/&gt;&lt;wsp:rsid wsp:val=&quot;005D59B1&quot;/&gt;&lt;wsp:rsid wsp:val=&quot;005D670B&quot;/&gt;&lt;wsp:rsid wsp:val=&quot;005F386F&quot;/&gt;&lt;wsp:rsid wsp:val=&quot;006631CB&quot;/&gt;&lt;wsp:rsid wsp:val=&quot;006B6B0D&quot;/&gt;&lt;wsp:rsid wsp:val=&quot;006D5399&quot;/&gt;&lt;wsp:rsid wsp:val=&quot;006F6B72&quot;/&gt;&lt;wsp:rsid wsp:val=&quot;007822DC&quot;/&gt;&lt;wsp:rsid wsp:val=&quot;007B41BE&quot;/&gt;&lt;wsp:rsid wsp:val=&quot;008509AB&quot;/&gt;&lt;wsp:rsid wsp:val=&quot;00885B7E&quot;/&gt;&lt;wsp:rsid wsp:val=&quot;009703A5&quot;/&gt;&lt;wsp:rsid wsp:val=&quot;0098517E&quot;/&gt;&lt;wsp:rsid wsp:val=&quot;009A15BA&quot;/&gt;&lt;wsp:rsid wsp:val=&quot;00A602D1&quot;/&gt;&lt;wsp:rsid wsp:val=&quot;00A71BA4&quot;/&gt;&lt;wsp:rsid wsp:val=&quot;00AF78CF&quot;/&gt;&lt;wsp:rsid wsp:val=&quot;00B702E0&quot;/&gt;&lt;wsp:rsid wsp:val=&quot;00B806C5&quot;/&gt;&lt;wsp:rsid wsp:val=&quot;00B8122C&quot;/&gt;&lt;wsp:rsid wsp:val=&quot;00C12883&quot;/&gt;&lt;wsp:rsid wsp:val=&quot;00C1704D&quot;/&gt;&lt;wsp:rsid wsp:val=&quot;00C30088&quot;/&gt;&lt;wsp:rsid wsp:val=&quot;00C408D3&quot;/&gt;&lt;wsp:rsid wsp:val=&quot;00C74DC7&quot;/&gt;&lt;wsp:rsid wsp:val=&quot;00C83BF0&quot;/&gt;&lt;wsp:rsid wsp:val=&quot;00CD5A1C&quot;/&gt;&lt;wsp:rsid wsp:val=&quot;00CD5DFE&quot;/&gt;&lt;wsp:rsid wsp:val=&quot;00CF219F&quot;/&gt;&lt;wsp:rsid wsp:val=&quot;00D03FAA&quot;/&gt;&lt;wsp:rsid wsp:val=&quot;00D46EC6&quot;/&gt;&lt;wsp:rsid wsp:val=&quot;00DB0687&quot;/&gt;&lt;wsp:rsid wsp:val=&quot;00E0076A&quot;/&gt;&lt;wsp:rsid wsp:val=&quot;00E06D18&quot;/&gt;&lt;wsp:rsid wsp:val=&quot;00E1749E&quot;/&gt;&lt;wsp:rsid wsp:val=&quot;00E661AF&quot;/&gt;&lt;wsp:rsid wsp:val=&quot;00E86A58&quot;/&gt;&lt;wsp:rsid wsp:val=&quot;00E931F3&quot;/&gt;&lt;wsp:rsid wsp:val=&quot;00EB2218&quot;/&gt;&lt;wsp:rsid wsp:val=&quot;00F3614B&quot;/&gt;&lt;wsp:rsid wsp:val=&quot;00F82C7B&quot;/&gt;&lt;wsp:rsid wsp:val=&quot;00FB5F28&quot;/&gt;&lt;/wsp:rsids&gt;&lt;/w:docPr&gt;&lt;w:body&gt;&lt;wx:sect&gt;&lt;w:p wsp:rsidR=&quot;00000000&quot; wsp:rsidRDefault=&quot;00C74DC7&quot; wsp:rsidP=&quot;00C74DC7&quot;&gt;&lt;m:oMathPara&gt;&lt;m:oMath&gt;&lt;m:f&gt;&lt;m:fPr&gt;&lt;m:ctrlPr&gt;&lt;w:rPr&gt;&lt;w:rFonts w:ascii=&quot;Cambria Math&quot; w:h-ansi=&quot;Cambria Math&quot;/&gt;&lt;wx:font wx:val=&quot;Cambria Math&quot;/&gt;&lt;w:color w:val=&quot;000000&quot;/&gt;&lt;w:sz-cs w:val=&quot;21&quot;/&gt;&lt;/w:rPr&gt;&lt;/m:ctrlPr&gt;&lt;/m:fPr&gt;&lt;m:num&gt;&lt;m:r&gt;&lt;m:rPr&gt;&lt;m:sty m:val=&quot;p&quot;/&gt;&lt;/m:rPr&gt;&lt;w:rPr&gt;&lt;w:rFonts w:ascii=&quot;Cambria Math&quot; w:h-ansi=&quot;Cambria Math&quot;/&gt;&lt;wx:font wx:val=&quot;Cambria Math&quot;/&gt;&lt;w:color w:val=&quot;000000&quot;/&gt;&lt;w:sz-cs w:val=&quot;21&quot;/&gt;&lt;/w:rPr&gt;&lt;m:t&gt;1&lt;/m:t&gt;&lt;/m:r&gt;&lt;/m:num&gt;&lt;m:den&gt;&lt;m:nary&gt;&lt;m:naryPr&gt;&lt;m:chr m:val=&quot;∑&quot;/&gt;&lt;m:limLoc m:val=&quot;undOvr&quot;/&gt;&lt;m:ctrlPr&gt;&lt;w:rPr&gt;&lt;w:rFonts w:ascii=&quot;Cambria Math&quot; w:h-ansi=&quot;Cambria Math&quot;/&gt;&lt;wx:font wx:val=&quot;Cambria Math&quot;/&gt;&lt;w:color w:val=&quot;000000&quot;/&gt;&lt;w:sz-cs w:val=&quot;21&quot;/&gt;&lt;/w:rPr&gt;&lt;/m:ctrlPr&gt;&lt;/m:naryPr&gt;&lt;m:sub&gt;&lt;m:r&gt;&lt;m:rPr&gt;&lt;m:sty m:val=&quot;p&quot;/&gt;&lt;/m:rPr&gt;&lt;w:rPr&gt;&lt;w:rFonts w:ascii=&quot;Cambria Math&quot; w:h-ansi=&quot;Cambria Math&quot;/&gt;&lt;wx:font wx:val=&quot;Cambria Math&quot;/&gt;&lt;w:color w:val=&quot;000000&quot;/&gt;&lt;w:sz-cs w:val=&quot;21&quot;/&gt;&lt;/w:rPr&gt;&lt;m:t&gt;1&lt;/m:t&gt;&lt;/m:r&gt;&lt;/m:sub&gt;&lt;m:sup&gt;&lt;m:r&gt;&lt;m:rPr&gt;&lt;m:sty m:val=&quot;p&quot;/&gt;&lt;/m:rPr&gt;&lt;w:rPr&gt;&lt;w:rFonts w:ascii=&quot;Cambria Math&quot; w:h-ansi=&quot;Cambria Math&quot;/&gt;&lt;wx:font wx:val=&quot;Cambria Math&quot;/&gt;&lt;w:color w:val=&quot;000000&quot;/&gt;&lt;w:sz-cs w:val=&quot;21&quot;/&gt;&lt;/w:rPr&gt;&lt;m:t&gt;N&lt;/m:t&gt;&lt;/m:r&gt;&lt;/m:sup&gt;&lt;m:e&gt;&lt;m:r&gt;&lt;m:rPr&gt;&lt;m:sty m:val=&quot;p&quot;/&gt;&lt;/m:rPr&gt;&lt;w:rPr&gt;&lt;w:rFonts w:ascii=&quot;Cambria Math&quot; w:h-ansi=&quot;Cambria Math&quot;/&gt;&lt;wx:font wx:val=&quot;Cambria Math&quot;/&gt;&lt;w:color w:val=&quot;000000&quot;/&gt;&lt;w:sz-cs w:val=&quot;21&quot;/&gt;&lt;/w:rPr&gt;&lt;m:t&gt;n&lt;/m:t&gt;&lt;/m:r&gt;&lt;/m:e&gt;&lt;/m:nary&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7" chromakey="#FFFFFF" o:title=""/>
            <o:lock v:ext="edit" aspectratio="t"/>
            <w10:wrap type="none"/>
            <w10:anchorlock/>
          </v:shape>
        </w:pict>
      </w:r>
      <w:r>
        <w:rPr>
          <w:rFonts w:hint="eastAsia" w:ascii="宋体" w:hAnsi="宋体"/>
          <w:bCs/>
          <w:color w:val="auto"/>
          <w:szCs w:val="21"/>
          <w:highlight w:val="none"/>
        </w:rPr>
        <w:instrText xml:space="preserve"> </w:instrText>
      </w:r>
      <w:r>
        <w:rPr>
          <w:rFonts w:hint="eastAsia" w:ascii="宋体" w:hAnsi="宋体"/>
          <w:bCs/>
          <w:color w:val="auto"/>
          <w:szCs w:val="21"/>
          <w:highlight w:val="none"/>
        </w:rPr>
        <w:fldChar w:fldCharType="separate"/>
      </w:r>
      <w:r>
        <w:rPr>
          <w:rFonts w:hint="eastAsia" w:ascii="宋体" w:hAnsi="宋体"/>
          <w:bCs/>
          <w:color w:val="auto"/>
          <w:szCs w:val="21"/>
          <w:highlight w:val="none"/>
        </w:rPr>
        <w:pict>
          <v:shape id="_x0000_i1030" o:spt="75" type="#_x0000_t75" style="height:31.55pt;width:16.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hideSpellingErrors/&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B41BE&quot;/&gt;&lt;wsp:rsid wsp:val=&quot;000316B7&quot;/&gt;&lt;wsp:rsid wsp:val=&quot;00067E3E&quot;/&gt;&lt;wsp:rsid wsp:val=&quot;00073081&quot;/&gt;&lt;wsp:rsid wsp:val=&quot;00082154&quot;/&gt;&lt;wsp:rsid wsp:val=&quot;00085548&quot;/&gt;&lt;wsp:rsid wsp:val=&quot;000A53DB&quot;/&gt;&lt;wsp:rsid wsp:val=&quot;0016494C&quot;/&gt;&lt;wsp:rsid wsp:val=&quot;001A44B7&quot;/&gt;&lt;wsp:rsid wsp:val=&quot;00236279&quot;/&gt;&lt;wsp:rsid wsp:val=&quot;002B6767&quot;/&gt;&lt;wsp:rsid wsp:val=&quot;002B6CE1&quot;/&gt;&lt;wsp:rsid wsp:val=&quot;002B7EFB&quot;/&gt;&lt;wsp:rsid wsp:val=&quot;002C749C&quot;/&gt;&lt;wsp:rsid wsp:val=&quot;00352CB0&quot;/&gt;&lt;wsp:rsid wsp:val=&quot;003B20AE&quot;/&gt;&lt;wsp:rsid wsp:val=&quot;00425076&quot;/&gt;&lt;wsp:rsid wsp:val=&quot;00514067&quot;/&gt;&lt;wsp:rsid wsp:val=&quot;005A7333&quot;/&gt;&lt;wsp:rsid wsp:val=&quot;005D59B1&quot;/&gt;&lt;wsp:rsid wsp:val=&quot;005D670B&quot;/&gt;&lt;wsp:rsid wsp:val=&quot;005F386F&quot;/&gt;&lt;wsp:rsid wsp:val=&quot;006631CB&quot;/&gt;&lt;wsp:rsid wsp:val=&quot;006B6B0D&quot;/&gt;&lt;wsp:rsid wsp:val=&quot;006D5399&quot;/&gt;&lt;wsp:rsid wsp:val=&quot;006F6B72&quot;/&gt;&lt;wsp:rsid wsp:val=&quot;007822DC&quot;/&gt;&lt;wsp:rsid wsp:val=&quot;007B41BE&quot;/&gt;&lt;wsp:rsid wsp:val=&quot;008509AB&quot;/&gt;&lt;wsp:rsid wsp:val=&quot;00885B7E&quot;/&gt;&lt;wsp:rsid wsp:val=&quot;009703A5&quot;/&gt;&lt;wsp:rsid wsp:val=&quot;0098517E&quot;/&gt;&lt;wsp:rsid wsp:val=&quot;009A15BA&quot;/&gt;&lt;wsp:rsid wsp:val=&quot;00A602D1&quot;/&gt;&lt;wsp:rsid wsp:val=&quot;00A71BA4&quot;/&gt;&lt;wsp:rsid wsp:val=&quot;00AF78CF&quot;/&gt;&lt;wsp:rsid wsp:val=&quot;00B702E0&quot;/&gt;&lt;wsp:rsid wsp:val=&quot;00B806C5&quot;/&gt;&lt;wsp:rsid wsp:val=&quot;00B8122C&quot;/&gt;&lt;wsp:rsid wsp:val=&quot;00C12883&quot;/&gt;&lt;wsp:rsid wsp:val=&quot;00C1704D&quot;/&gt;&lt;wsp:rsid wsp:val=&quot;00C30088&quot;/&gt;&lt;wsp:rsid wsp:val=&quot;00C408D3&quot;/&gt;&lt;wsp:rsid wsp:val=&quot;00C74DC7&quot;/&gt;&lt;wsp:rsid wsp:val=&quot;00C83BF0&quot;/&gt;&lt;wsp:rsid wsp:val=&quot;00CD5A1C&quot;/&gt;&lt;wsp:rsid wsp:val=&quot;00CD5DFE&quot;/&gt;&lt;wsp:rsid wsp:val=&quot;00CF219F&quot;/&gt;&lt;wsp:rsid wsp:val=&quot;00D03FAA&quot;/&gt;&lt;wsp:rsid wsp:val=&quot;00D46EC6&quot;/&gt;&lt;wsp:rsid wsp:val=&quot;00DB0687&quot;/&gt;&lt;wsp:rsid wsp:val=&quot;00E0076A&quot;/&gt;&lt;wsp:rsid wsp:val=&quot;00E06D18&quot;/&gt;&lt;wsp:rsid wsp:val=&quot;00E1749E&quot;/&gt;&lt;wsp:rsid wsp:val=&quot;00E661AF&quot;/&gt;&lt;wsp:rsid wsp:val=&quot;00E86A58&quot;/&gt;&lt;wsp:rsid wsp:val=&quot;00E931F3&quot;/&gt;&lt;wsp:rsid wsp:val=&quot;00EB2218&quot;/&gt;&lt;wsp:rsid wsp:val=&quot;00F3614B&quot;/&gt;&lt;wsp:rsid wsp:val=&quot;00F82C7B&quot;/&gt;&lt;wsp:rsid wsp:val=&quot;00FB5F28&quot;/&gt;&lt;/wsp:rsids&gt;&lt;/w:docPr&gt;&lt;w:body&gt;&lt;wx:sect&gt;&lt;w:p wsp:rsidR=&quot;00000000&quot; wsp:rsidRDefault=&quot;00C74DC7&quot; wsp:rsidP=&quot;00C74DC7&quot;&gt;&lt;m:oMathPara&gt;&lt;m:oMath&gt;&lt;m:f&gt;&lt;m:fPr&gt;&lt;m:ctrlPr&gt;&lt;w:rPr&gt;&lt;w:rFonts w:ascii=&quot;Cambria Math&quot; w:h-ansi=&quot;Cambria Math&quot;/&gt;&lt;wx:font wx:val=&quot;Cambria Math&quot;/&gt;&lt;w:color w:val=&quot;000000&quot;/&gt;&lt;w:sz-cs w:val=&quot;21&quot;/&gt;&lt;/w:rPr&gt;&lt;/m:ctrlPr&gt;&lt;/m:fPr&gt;&lt;m:num&gt;&lt;m:r&gt;&lt;m:rPr&gt;&lt;m:sty m:val=&quot;p&quot;/&gt;&lt;/m:rPr&gt;&lt;w:rPr&gt;&lt;w:rFonts w:ascii=&quot;Cambria Math&quot; w:h-ansi=&quot;Cambria Math&quot;/&gt;&lt;wx:font wx:val=&quot;Cambria Math&quot;/&gt;&lt;w:color w:val=&quot;000000&quot;/&gt;&lt;w:sz-cs w:val=&quot;21&quot;/&gt;&lt;/w:rPr&gt;&lt;m:t&gt;1&lt;/m:t&gt;&lt;/m:r&gt;&lt;/m:num&gt;&lt;m:den&gt;&lt;m:nary&gt;&lt;m:naryPr&gt;&lt;m:chr m:val=&quot;∑&quot;/&gt;&lt;m:limLoc m:val=&quot;undOvr&quot;/&gt;&lt;m:ctrlPr&gt;&lt;w:rPr&gt;&lt;w:rFonts w:ascii=&quot;Cambria Math&quot; w:h-ansi=&quot;Cambria Math&quot;/&gt;&lt;wx:font wx:val=&quot;Cambria Math&quot;/&gt;&lt;w:color w:val=&quot;000000&quot;/&gt;&lt;w:sz-cs w:val=&quot;21&quot;/&gt;&lt;/w:rPr&gt;&lt;/m:ctrlPr&gt;&lt;/m:naryPr&gt;&lt;m:sub&gt;&lt;m:r&gt;&lt;m:rPr&gt;&lt;m:sty m:val=&quot;p&quot;/&gt;&lt;/m:rPr&gt;&lt;w:rPr&gt;&lt;w:rFonts w:ascii=&quot;Cambria Math&quot; w:h-ansi=&quot;Cambria Math&quot;/&gt;&lt;wx:font wx:val=&quot;Cambria Math&quot;/&gt;&lt;w:color w:val=&quot;000000&quot;/&gt;&lt;w:sz-cs w:val=&quot;21&quot;/&gt;&lt;/w:rPr&gt;&lt;m:t&gt;1&lt;/m:t&gt;&lt;/m:r&gt;&lt;/m:sub&gt;&lt;m:sup&gt;&lt;m:r&gt;&lt;m:rPr&gt;&lt;m:sty m:val=&quot;p&quot;/&gt;&lt;/m:rPr&gt;&lt;w:rPr&gt;&lt;w:rFonts w:ascii=&quot;Cambria Math&quot; w:h-ansi=&quot;Cambria Math&quot;/&gt;&lt;wx:font wx:val=&quot;Cambria Math&quot;/&gt;&lt;w:color w:val=&quot;000000&quot;/&gt;&lt;w:sz-cs w:val=&quot;21&quot;/&gt;&lt;/w:rPr&gt;&lt;m:t&gt;N&lt;/m:t&gt;&lt;/m:r&gt;&lt;/m:sup&gt;&lt;m:e&gt;&lt;m:r&gt;&lt;m:rPr&gt;&lt;m:sty m:val=&quot;p&quot;/&gt;&lt;/m:rPr&gt;&lt;w:rPr&gt;&lt;w:rFonts w:ascii=&quot;Cambria Math&quot; w:h-ansi=&quot;Cambria Math&quot;/&gt;&lt;wx:font wx:val=&quot;Cambria Math&quot;/&gt;&lt;w:color w:val=&quot;000000&quot;/&gt;&lt;w:sz-cs w:val=&quot;21&quot;/&gt;&lt;/w:rPr&gt;&lt;m:t&gt;n&lt;/m:t&gt;&lt;/m:r&gt;&lt;/m:e&gt;&lt;/m:nary&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7" chromakey="#FFFFFF" o:title=""/>
            <o:lock v:ext="edit" aspectratio="t"/>
            <w10:wrap type="none"/>
            <w10:anchorlock/>
          </v:shape>
        </w:pict>
      </w:r>
      <w:r>
        <w:rPr>
          <w:rFonts w:hint="eastAsia" w:ascii="宋体" w:hAnsi="宋体"/>
          <w:bCs/>
          <w:color w:val="auto"/>
          <w:szCs w:val="21"/>
          <w:highlight w:val="none"/>
        </w:rPr>
        <w:fldChar w:fldCharType="end"/>
      </w:r>
      <w:r>
        <w:rPr>
          <w:rFonts w:hint="eastAsia" w:ascii="宋体" w:hAnsi="宋体"/>
          <w:bCs/>
          <w:color w:val="auto"/>
          <w:szCs w:val="21"/>
          <w:highlight w:val="none"/>
        </w:rPr>
        <w:t>）。</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条款号：45.3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kern w:val="0"/>
          <w:szCs w:val="21"/>
          <w:highlight w:val="none"/>
        </w:rPr>
        <w:t>45.3</w:t>
      </w:r>
      <w:r>
        <w:rPr>
          <w:rFonts w:hint="eastAsia" w:ascii="宋体" w:hAnsi="宋体" w:cs="宋体"/>
          <w:color w:val="auto"/>
          <w:szCs w:val="21"/>
          <w:highlight w:val="none"/>
        </w:rPr>
        <w:t>当标价等于评标参考价时得100分，标价每高于评标参考价1%，扣1.5分，每低于评标参考价1%，扣1分，扣至0分为止，得出经济分，精确到小数点后两位。</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kern w:val="0"/>
          <w:szCs w:val="21"/>
          <w:highlight w:val="none"/>
        </w:rPr>
        <w:t>45.3</w:t>
      </w:r>
      <w:r>
        <w:rPr>
          <w:rFonts w:hint="eastAsia" w:ascii="宋体" w:hAnsi="宋体" w:cs="宋体"/>
          <w:color w:val="auto"/>
          <w:szCs w:val="21"/>
          <w:highlight w:val="none"/>
        </w:rPr>
        <w:t>当投标报价等于评标参考价时得100分，</w:t>
      </w:r>
      <w:r>
        <w:rPr>
          <w:rFonts w:hint="eastAsia" w:ascii="宋体" w:hAnsi="宋体" w:cs="宋体"/>
          <w:color w:val="auto"/>
          <w:szCs w:val="21"/>
          <w:highlight w:val="none"/>
          <w:u w:val="none"/>
        </w:rPr>
        <w:t>按高出参考价1％扣</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none"/>
        </w:rPr>
        <w:t>分，低于参考价1％扣</w:t>
      </w:r>
      <w:r>
        <w:rPr>
          <w:rFonts w:hint="eastAsia" w:ascii="宋体" w:hAnsi="宋体" w:cs="宋体"/>
          <w:color w:val="auto"/>
          <w:szCs w:val="21"/>
          <w:highlight w:val="none"/>
          <w:u w:val="single"/>
        </w:rPr>
        <w:t>0.5</w:t>
      </w:r>
      <w:r>
        <w:rPr>
          <w:rFonts w:hint="eastAsia" w:ascii="宋体" w:hAnsi="宋体" w:cs="宋体"/>
          <w:color w:val="auto"/>
          <w:szCs w:val="21"/>
          <w:highlight w:val="none"/>
          <w:u w:val="none"/>
        </w:rPr>
        <w:t>分</w:t>
      </w:r>
      <w:r>
        <w:rPr>
          <w:rFonts w:hint="eastAsia" w:ascii="宋体" w:hAnsi="宋体" w:cs="宋体"/>
          <w:color w:val="auto"/>
          <w:szCs w:val="21"/>
          <w:highlight w:val="none"/>
        </w:rPr>
        <w:t>，扣至0分为止，得出经济分，精确到小数点后两位。</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条款号：45.4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45.4计算通过技术标有效性审查的投标人总得分。</w:t>
      </w:r>
      <w:r>
        <w:rPr>
          <w:rFonts w:hint="eastAsia" w:ascii="宋体" w:hAnsi="宋体" w:cs="宋体"/>
          <w:color w:val="auto"/>
          <w:szCs w:val="21"/>
          <w:highlight w:val="none"/>
          <w:u w:val="single"/>
        </w:rPr>
        <w:t>投标人总得分=技术得分（满分</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0分）×</w:t>
      </w:r>
      <w:r>
        <w:rPr>
          <w:rFonts w:hint="eastAsia" w:ascii="宋体" w:hAnsi="宋体" w:cs="宋体"/>
          <w:color w:val="auto"/>
          <w:szCs w:val="21"/>
          <w:highlight w:val="none"/>
          <w:u w:val="single"/>
          <w:lang w:val="en-US" w:eastAsia="zh-CN"/>
        </w:rPr>
        <w:t>技术</w:t>
      </w:r>
      <w:r>
        <w:rPr>
          <w:rFonts w:hint="eastAsia" w:ascii="宋体" w:hAnsi="宋体" w:cs="宋体"/>
          <w:color w:val="auto"/>
          <w:szCs w:val="21"/>
          <w:highlight w:val="none"/>
          <w:u w:val="single"/>
        </w:rPr>
        <w:t>得分权重(</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0%)＋经济得分（满分100分）×经济得分权重(</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0%)。总得分四舍五入保留两位小数。总得分相同的投标文件，以技术分较高的排前；技术分均相同的投标文件，以报价低的排前；如仍存在相同情况，则对具有相同情况的投标人，由评标委员会采用以差额选举的记名投票方式决定先后顺序，确定投标人的排序。</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 45.5               修改类型：增加</w:t>
      </w:r>
    </w:p>
    <w:p>
      <w:pPr>
        <w:pBdr>
          <w:bottom w:val="single" w:color="auto" w:sz="4" w:space="0"/>
        </w:pBdr>
        <w:spacing w:line="360" w:lineRule="auto"/>
        <w:ind w:firstLine="422" w:firstLineChars="200"/>
        <w:rPr>
          <w:color w:val="auto"/>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45.5总得分相同的投标文件，以技术分较高的排前；技术分均相同的投标文件，以报价低的排前；如仍存在相同情况，则对具有相同情况的投标人，由评标委员会采用以差额选举的记名投票方式决定先后顺序，确定投标人的排序。</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条款号：46.1             修改类型：修改</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kern w:val="0"/>
          <w:szCs w:val="21"/>
          <w:highlight w:val="none"/>
        </w:rPr>
        <w:t>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spacing w:line="400" w:lineRule="exact"/>
        <w:ind w:firstLine="422" w:firstLineChars="200"/>
        <w:rPr>
          <w:rFonts w:ascii="宋体" w:hAnsi="宋体" w:cs="宋体"/>
          <w:bCs/>
          <w:color w:val="auto"/>
          <w:kern w:val="0"/>
          <w:szCs w:val="21"/>
          <w:highlight w:val="none"/>
        </w:rPr>
      </w:pPr>
      <w:r>
        <w:rPr>
          <w:rFonts w:hint="eastAsia" w:ascii="宋体" w:hAnsi="宋体" w:cs="宋体"/>
          <w:b/>
          <w:color w:val="auto"/>
          <w:kern w:val="0"/>
          <w:szCs w:val="21"/>
          <w:highlight w:val="none"/>
        </w:rPr>
        <w:t>现文：</w:t>
      </w:r>
      <w:r>
        <w:rPr>
          <w:rFonts w:hint="eastAsia" w:ascii="宋体" w:hAnsi="宋体" w:cs="宋体"/>
          <w:bCs/>
          <w:color w:val="auto"/>
          <w:kern w:val="0"/>
          <w:szCs w:val="21"/>
          <w:highlight w:val="none"/>
        </w:rPr>
        <w:t>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hint="eastAsia" w:ascii="宋体" w:hAnsi="宋体" w:cs="宋体"/>
          <w:b/>
          <w:color w:val="auto"/>
          <w:kern w:val="0"/>
          <w:szCs w:val="21"/>
          <w:highlight w:val="none"/>
          <w:u w:val="single"/>
        </w:rPr>
        <w:t>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条款号：48                修改类型：修改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48.评标委员会应在通过投标文件经济标有效性审查的投标人中，按步骤45.4确定的投标人第二阶段排序，推荐前3名依次为第一中标候选人至第三中标候选人,并编制评标报告。</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48.评标委员会应在通过投标文件经济标有效性审查的投标人中，按步骤45.4确定的</w:t>
      </w:r>
      <w:r>
        <w:rPr>
          <w:rFonts w:hint="eastAsia" w:ascii="宋体" w:hAnsi="宋体" w:cs="宋体"/>
          <w:color w:val="auto"/>
          <w:szCs w:val="21"/>
          <w:highlight w:val="none"/>
          <w:u w:val="single"/>
        </w:rPr>
        <w:t>投标人总得分排序</w:t>
      </w:r>
      <w:r>
        <w:rPr>
          <w:rFonts w:hint="eastAsia" w:ascii="宋体" w:hAnsi="宋体" w:cs="宋体"/>
          <w:color w:val="auto"/>
          <w:szCs w:val="21"/>
          <w:highlight w:val="none"/>
        </w:rPr>
        <w:t>，推荐前3名依次为第一中标候选人至第三中标候选人,并编制评标报告。</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条款号：附表一：《资格审查表》    附表二：《技术标有效性审查表》   附表三：《经济标有效性审查表》   附表四：《技术标详细审查评分表》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详见原范本附表一：《资格审查表》    附表二：《技术标有效性审查表》   附表三：《经济标有效性审查表》   附表四：《技术标详细审查评分表》。</w:t>
      </w:r>
    </w:p>
    <w:p>
      <w:pPr>
        <w:spacing w:line="360" w:lineRule="auto"/>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详见本招标文件</w:t>
      </w:r>
      <w:r>
        <w:rPr>
          <w:rFonts w:hint="eastAsia" w:ascii="宋体" w:hAnsi="宋体" w:cs="宋体"/>
          <w:color w:val="auto"/>
          <w:szCs w:val="21"/>
          <w:highlight w:val="none"/>
          <w:u w:val="single"/>
        </w:rPr>
        <w:t>附表一：《资格审查表》    附表二：《技术标有效性审查表》   附表三：《经济标有效性审查表》   附表四：《技术标详细审查评分表》。</w:t>
      </w:r>
    </w:p>
    <w:p>
      <w:pPr>
        <w:spacing w:line="360" w:lineRule="auto"/>
        <w:ind w:firstLine="211" w:firstLineChars="100"/>
        <w:rPr>
          <w:b/>
          <w:color w:val="auto"/>
          <w:szCs w:val="21"/>
          <w:highlight w:val="none"/>
        </w:rPr>
      </w:pPr>
      <w:r>
        <w:rPr>
          <w:rFonts w:hint="eastAsia" w:ascii="宋体" w:hAnsi="宋体" w:cs="宋体"/>
          <w:b/>
          <w:color w:val="auto"/>
          <w:szCs w:val="21"/>
          <w:highlight w:val="none"/>
        </w:rPr>
        <w:t>注：以上修改，仅限于本范本中有可供选择条款的情形。</w:t>
      </w:r>
    </w:p>
    <w:p>
      <w:pPr>
        <w:spacing w:line="360" w:lineRule="auto"/>
        <w:rPr>
          <w:color w:val="auto"/>
          <w:highlight w:val="none"/>
        </w:rPr>
      </w:pPr>
      <w:r>
        <w:rPr>
          <w:rFonts w:hint="eastAsia"/>
          <w:b/>
          <w:color w:val="auto"/>
          <w:szCs w:val="21"/>
          <w:highlight w:val="none"/>
        </w:rPr>
        <w:t>（以下无正文）</w:t>
      </w:r>
    </w:p>
    <w:p>
      <w:pPr>
        <w:pStyle w:val="9"/>
        <w:spacing w:line="360" w:lineRule="auto"/>
        <w:jc w:val="center"/>
        <w:rPr>
          <w:rFonts w:ascii="黑体" w:hAnsi="黑体" w:eastAsia="黑体" w:cs="黑体"/>
          <w:color w:val="auto"/>
          <w:sz w:val="30"/>
          <w:szCs w:val="30"/>
          <w:highlight w:val="none"/>
        </w:rPr>
      </w:pPr>
      <w:r>
        <w:rPr>
          <w:color w:val="auto"/>
          <w:highlight w:val="none"/>
        </w:rPr>
        <w:br w:type="page"/>
      </w:r>
      <w:bookmarkStart w:id="28" w:name="_Toc2272556"/>
      <w:bookmarkStart w:id="29" w:name="_Toc21525500"/>
      <w:r>
        <w:rPr>
          <w:rFonts w:hint="eastAsia" w:ascii="黑体" w:hAnsi="黑体" w:eastAsia="黑体" w:cs="黑体"/>
          <w:color w:val="auto"/>
          <w:sz w:val="30"/>
          <w:szCs w:val="30"/>
          <w:highlight w:val="none"/>
        </w:rPr>
        <w:t>二、开标、评标及定标办法通用条款</w:t>
      </w:r>
      <w:bookmarkEnd w:id="28"/>
      <w:bookmarkEnd w:id="29"/>
    </w:p>
    <w:p>
      <w:pPr>
        <w:pStyle w:val="7"/>
        <w:spacing w:before="156" w:after="156"/>
        <w:ind w:firstLine="420" w:firstLineChars="200"/>
        <w:rPr>
          <w:color w:val="auto"/>
          <w:sz w:val="21"/>
          <w:szCs w:val="21"/>
          <w:highlight w:val="none"/>
        </w:rPr>
      </w:pPr>
      <w:bookmarkStart w:id="30" w:name="_Toc4232"/>
      <w:bookmarkStart w:id="31" w:name="_Toc21525501"/>
      <w:bookmarkStart w:id="32" w:name="_Toc2272557"/>
      <w:bookmarkStart w:id="33" w:name="_Toc2272558"/>
      <w:bookmarkStart w:id="34" w:name="_Toc21525502"/>
      <w:r>
        <w:rPr>
          <w:rFonts w:hint="eastAsia"/>
          <w:color w:val="auto"/>
          <w:sz w:val="21"/>
          <w:szCs w:val="21"/>
          <w:highlight w:val="none"/>
        </w:rPr>
        <w:t>（一）总则</w:t>
      </w:r>
      <w:bookmarkEnd w:id="30"/>
      <w:bookmarkEnd w:id="31"/>
      <w:bookmarkEnd w:id="32"/>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w:t>
      </w:r>
      <w:r>
        <w:rPr>
          <w:rFonts w:hint="eastAsia" w:ascii="宋体" w:hAnsi="宋体"/>
          <w:color w:val="auto"/>
          <w:szCs w:val="21"/>
          <w:highlight w:val="none"/>
          <w:lang w:val="en-US" w:eastAsia="zh-CN"/>
        </w:rPr>
        <w:t>.</w:t>
      </w:r>
      <w:r>
        <w:rPr>
          <w:rFonts w:hint="eastAsia" w:ascii="宋体" w:hAnsi="宋体"/>
          <w:color w:val="auto"/>
          <w:szCs w:val="21"/>
          <w:highlight w:val="none"/>
        </w:rPr>
        <w:t xml:space="preserve"> 开标、评标及定标所依据的规则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35.1《中华人民共和国招标投标法》；</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35.2《中华人民共和国招标投标法实施条例》；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35.3《评标委员会和评标方法暂行规定》（七部委第12号令）；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35.4《工程建设项目施工招标投标办法》（七部委2003年第30号令）；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35.5《广东省实施〈中华人民共和国招标投标法〉办法》；</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35.6《房屋建筑和市政基础设施工程施工招标投标管理办法》（建设部令第89号）；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35.7《广东省加强建设工程招标投标监督管理的若干规定》（粤发〔2004〕4号）；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35.8《广州市工程建设项目招标投标管理办法》（穗建规字〔2023〕12号）；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35.9本项目招标文件。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36</w:t>
      </w:r>
      <w:r>
        <w:rPr>
          <w:rFonts w:hint="eastAsia" w:ascii="宋体" w:hAnsi="宋体"/>
          <w:color w:val="auto"/>
          <w:szCs w:val="21"/>
          <w:highlight w:val="none"/>
        </w:rPr>
        <w:t>．开标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36.1 </w:t>
      </w:r>
      <w:r>
        <w:rPr>
          <w:rFonts w:hint="eastAsia" w:ascii="宋体" w:hAnsi="宋体"/>
          <w:color w:val="auto"/>
          <w:szCs w:val="21"/>
          <w:highlight w:val="none"/>
        </w:rPr>
        <w:t>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36.2</w:t>
      </w:r>
      <w:r>
        <w:rPr>
          <w:rFonts w:hint="eastAsia" w:ascii="宋体" w:hAnsi="宋体"/>
          <w:color w:val="auto"/>
          <w:szCs w:val="21"/>
          <w:highlight w:val="none"/>
        </w:rPr>
        <w:t xml:space="preserve"> 招标人在招标文件要求提交投标文件的截止时间前收到的投标文件，开标时都当众予以解密、公布。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36.4若递交投标文件的投标人不足3家，则重新组织招标。（当</w:t>
      </w:r>
      <w:r>
        <w:rPr>
          <w:rFonts w:ascii="宋体" w:hAnsi="宋体"/>
          <w:color w:val="auto"/>
          <w:szCs w:val="21"/>
          <w:highlight w:val="none"/>
        </w:rPr>
        <w:t>N</w:t>
      </w:r>
      <w:r>
        <w:rPr>
          <w:rFonts w:hint="eastAsia" w:ascii="宋体" w:hAnsi="宋体"/>
          <w:color w:val="auto"/>
          <w:szCs w:val="21"/>
          <w:highlight w:val="none"/>
        </w:rPr>
        <w:t>个标段同时招标且不允许兼中时，若有效投标人不足</w:t>
      </w:r>
      <w:r>
        <w:rPr>
          <w:rFonts w:ascii="宋体" w:hAnsi="宋体"/>
          <w:color w:val="auto"/>
          <w:szCs w:val="21"/>
          <w:highlight w:val="none"/>
        </w:rPr>
        <w:t>N+</w:t>
      </w:r>
      <w:r>
        <w:rPr>
          <w:rFonts w:hint="eastAsia" w:ascii="宋体" w:hAnsi="宋体"/>
          <w:color w:val="auto"/>
          <w:szCs w:val="21"/>
          <w:highlight w:val="none"/>
        </w:rPr>
        <w:t>2家，则重新组织招标）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36.5按下列程序进行开标：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36.5.2备用光盘的读取按投标须知前附表第36项的规定执行；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36.5.3投标人代表、招标人代表、监标人、记录人等有关人员在开标记录上签字确认；若有关人员不签字的，不影响开标程序；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36.5.4开标结束。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36.7开标时，两个（含两个）以上的投标人加密打包投标文件电脑机器特征码一致的，不参与下一程序，并由评标委员会否决其投标。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w:t>
      </w:r>
      <w:r>
        <w:rPr>
          <w:rFonts w:hint="eastAsia" w:ascii="宋体" w:hAnsi="宋体"/>
          <w:color w:val="auto"/>
          <w:szCs w:val="21"/>
          <w:highlight w:val="none"/>
        </w:rPr>
        <w:t>．评标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37.1</w:t>
      </w:r>
      <w:r>
        <w:rPr>
          <w:rFonts w:hint="eastAsia" w:ascii="宋体" w:hAnsi="宋体"/>
          <w:color w:val="auto"/>
          <w:szCs w:val="21"/>
          <w:highlight w:val="none"/>
        </w:rPr>
        <w:t>评标委员会由招标人依法组建。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37.2</w:t>
      </w:r>
      <w:r>
        <w:rPr>
          <w:rFonts w:hint="eastAsia" w:ascii="宋体" w:hAnsi="宋体"/>
          <w:color w:val="auto"/>
          <w:szCs w:val="21"/>
          <w:highlight w:val="none"/>
        </w:rPr>
        <w:t>评标委员会的职责及守则：</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37.2.1</w:t>
      </w:r>
      <w:r>
        <w:rPr>
          <w:rFonts w:hint="eastAsia" w:ascii="宋体" w:hAnsi="宋体"/>
          <w:color w:val="auto"/>
          <w:szCs w:val="21"/>
          <w:highlight w:val="none"/>
        </w:rPr>
        <w:t>根据评标细则，对投标文件进行认真评审，完成评审报告；</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37.2.2</w:t>
      </w:r>
      <w:r>
        <w:rPr>
          <w:rFonts w:hint="eastAsia" w:ascii="宋体" w:hAnsi="宋体"/>
          <w:color w:val="auto"/>
          <w:szCs w:val="21"/>
          <w:highlight w:val="none"/>
        </w:rPr>
        <w:t>向招标人报告评审意见，推荐合格的中标候选人。</w:t>
      </w:r>
    </w:p>
    <w:p>
      <w:pPr>
        <w:spacing w:line="360" w:lineRule="auto"/>
        <w:ind w:firstLine="420" w:firstLineChars="200"/>
        <w:rPr>
          <w:rFonts w:ascii="宋体" w:hAnsi="宋体"/>
          <w:color w:val="auto"/>
          <w:szCs w:val="21"/>
          <w:highlight w:val="none"/>
        </w:rPr>
      </w:pPr>
      <w:r>
        <w:rPr>
          <w:rFonts w:ascii="宋体" w:hAnsi="宋体"/>
          <w:bCs/>
          <w:color w:val="auto"/>
          <w:szCs w:val="21"/>
          <w:highlight w:val="none"/>
        </w:rPr>
        <w:t>37.2.3</w:t>
      </w:r>
      <w:r>
        <w:rPr>
          <w:rFonts w:hint="eastAsia" w:ascii="宋体" w:hAnsi="宋体"/>
          <w:color w:val="auto"/>
          <w:szCs w:val="21"/>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37.2.4</w:t>
      </w:r>
      <w:r>
        <w:rPr>
          <w:rFonts w:hint="eastAsia" w:ascii="宋体" w:hAnsi="宋体"/>
          <w:color w:val="auto"/>
          <w:szCs w:val="21"/>
          <w:highlight w:val="none"/>
        </w:rPr>
        <w:t>全体参与评标人员：</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37.2.4.1 </w:t>
      </w:r>
      <w:r>
        <w:rPr>
          <w:rFonts w:hint="eastAsia" w:ascii="宋体" w:hAnsi="宋体"/>
          <w:color w:val="auto"/>
          <w:szCs w:val="21"/>
          <w:highlight w:val="none"/>
        </w:rPr>
        <w:t>必须遵守评标纪律、不得泄密；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37.2.4.2 </w:t>
      </w:r>
      <w:r>
        <w:rPr>
          <w:rFonts w:hint="eastAsia" w:ascii="宋体" w:hAnsi="宋体"/>
          <w:color w:val="auto"/>
          <w:szCs w:val="21"/>
          <w:highlight w:val="none"/>
        </w:rPr>
        <w:t>必须公正、不得循私；</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37.2.4.3 </w:t>
      </w:r>
      <w:r>
        <w:rPr>
          <w:rFonts w:hint="eastAsia" w:ascii="宋体" w:hAnsi="宋体"/>
          <w:color w:val="auto"/>
          <w:szCs w:val="21"/>
          <w:highlight w:val="none"/>
        </w:rPr>
        <w:t>必须科学、不得草率；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37.2.4.4 </w:t>
      </w:r>
      <w:r>
        <w:rPr>
          <w:rFonts w:hint="eastAsia" w:ascii="宋体" w:hAnsi="宋体"/>
          <w:color w:val="auto"/>
          <w:szCs w:val="21"/>
          <w:highlight w:val="none"/>
        </w:rPr>
        <w:t>必须客观、不得带有成见；</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37.2.4.5 </w:t>
      </w:r>
      <w:r>
        <w:rPr>
          <w:rFonts w:hint="eastAsia" w:ascii="宋体" w:hAnsi="宋体"/>
          <w:color w:val="auto"/>
          <w:szCs w:val="21"/>
          <w:highlight w:val="none"/>
        </w:rPr>
        <w:t>必须平等、不得强加于人；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37.2.4.6 </w:t>
      </w:r>
      <w:r>
        <w:rPr>
          <w:rFonts w:hint="eastAsia" w:ascii="宋体" w:hAnsi="宋体"/>
          <w:color w:val="auto"/>
          <w:szCs w:val="21"/>
          <w:highlight w:val="none"/>
        </w:rPr>
        <w:t>必须严谨、不得随意马虎。</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37.4评标结束后，评标委员会递交评标报告并依法推荐中标候选人。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38</w:t>
      </w:r>
      <w:r>
        <w:rPr>
          <w:rFonts w:hint="eastAsia" w:ascii="宋体" w:hAnsi="宋体"/>
          <w:color w:val="auto"/>
          <w:szCs w:val="21"/>
          <w:highlight w:val="none"/>
        </w:rPr>
        <w:t>．投标文件的澄清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38.2 </w:t>
      </w:r>
      <w:r>
        <w:rPr>
          <w:rFonts w:hint="eastAsia" w:ascii="宋体" w:hAnsi="宋体"/>
          <w:color w:val="auto"/>
          <w:szCs w:val="21"/>
          <w:highlight w:val="none"/>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38.3 </w:t>
      </w:r>
      <w:r>
        <w:rPr>
          <w:rFonts w:hint="eastAsia" w:ascii="宋体" w:hAnsi="宋体"/>
          <w:color w:val="auto"/>
          <w:szCs w:val="21"/>
          <w:highlight w:val="none"/>
        </w:rPr>
        <w:t>评标委员会或评标委员会专业评审组成员均应当阅读投标人的澄清，但应独立参考澄清对投标文件进行评审。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38.4</w:t>
      </w:r>
      <w:r>
        <w:rPr>
          <w:rFonts w:hint="eastAsia" w:ascii="宋体" w:hAnsi="宋体"/>
          <w:color w:val="auto"/>
          <w:szCs w:val="21"/>
          <w:highlight w:val="none"/>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39</w:t>
      </w:r>
      <w:r>
        <w:rPr>
          <w:rFonts w:hint="eastAsia" w:ascii="宋体" w:hAnsi="宋体"/>
          <w:color w:val="auto"/>
          <w:szCs w:val="21"/>
          <w:highlight w:val="none"/>
        </w:rPr>
        <w:t>．定标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39.1 </w:t>
      </w:r>
      <w:r>
        <w:rPr>
          <w:rFonts w:hint="eastAsia" w:ascii="宋体" w:hAnsi="宋体"/>
          <w:color w:val="auto"/>
          <w:szCs w:val="21"/>
          <w:highlight w:val="none"/>
        </w:rPr>
        <w:t>招标人根据评标委员会递交的评标报告，最终审定中标人。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39.2 </w:t>
      </w:r>
      <w:r>
        <w:rPr>
          <w:rFonts w:hint="eastAsia" w:ascii="宋体" w:hAnsi="宋体"/>
          <w:color w:val="auto"/>
          <w:szCs w:val="21"/>
          <w:highlight w:val="none"/>
        </w:rPr>
        <w:t>依法必须进行公开招标的项目，招标人应当确定排名第一的中标候选人为中标人。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39.3</w:t>
      </w:r>
      <w:r>
        <w:rPr>
          <w:rFonts w:hint="eastAsia" w:ascii="宋体" w:hAnsi="宋体"/>
          <w:color w:val="auto"/>
          <w:szCs w:val="21"/>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39.4</w:t>
      </w:r>
      <w:r>
        <w:rPr>
          <w:rFonts w:hint="eastAsia" w:ascii="宋体" w:hAnsi="宋体"/>
          <w:color w:val="auto"/>
          <w:szCs w:val="21"/>
          <w:highlight w:val="none"/>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39.5 重新评标的，评标信息（含业绩、奖项等）仍以投标截止时投标人的信息为准。因特殊原因需要延长投标有效期，投标人拒绝延长投标有效期的，仍参与评标，但不被推荐为中标候选人。</w:t>
      </w:r>
    </w:p>
    <w:bookmarkEnd w:id="33"/>
    <w:bookmarkEnd w:id="34"/>
    <w:p>
      <w:pPr>
        <w:pStyle w:val="7"/>
        <w:spacing w:before="156" w:after="156"/>
        <w:ind w:firstLine="420" w:firstLineChars="200"/>
        <w:rPr>
          <w:color w:val="auto"/>
          <w:sz w:val="21"/>
          <w:szCs w:val="21"/>
          <w:highlight w:val="none"/>
        </w:rPr>
      </w:pPr>
      <w:bookmarkStart w:id="35" w:name="_Toc18118"/>
      <w:r>
        <w:rPr>
          <w:rFonts w:hint="eastAsia"/>
          <w:color w:val="auto"/>
          <w:sz w:val="21"/>
          <w:szCs w:val="21"/>
          <w:highlight w:val="none"/>
        </w:rPr>
        <w:t>（二）开标评标办法程序和细则</w:t>
      </w:r>
      <w:bookmarkEnd w:id="35"/>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注：以下八种评标办法所述企业综合诚信评价分数即投标截止当日广州市工程招标代理行业协会网站上公布的企业综合诚信评价</w:t>
      </w:r>
      <w:r>
        <w:rPr>
          <w:rFonts w:ascii="宋体" w:hAnsi="宋体"/>
          <w:color w:val="auto"/>
          <w:szCs w:val="21"/>
          <w:highlight w:val="none"/>
        </w:rPr>
        <w:t>60</w:t>
      </w:r>
      <w:r>
        <w:rPr>
          <w:rFonts w:hint="eastAsia" w:ascii="宋体" w:hAnsi="宋体"/>
          <w:color w:val="auto"/>
          <w:szCs w:val="21"/>
          <w:highlight w:val="none"/>
        </w:rPr>
        <w:t>日诚信分。</w:t>
      </w:r>
    </w:p>
    <w:p>
      <w:pPr>
        <w:ind w:firstLine="186"/>
        <w:jc w:val="center"/>
        <w:rPr>
          <w:rFonts w:ascii="宋体" w:hAnsi="宋体" w:cs="宋体"/>
          <w:color w:val="auto"/>
          <w:szCs w:val="21"/>
          <w:highlight w:val="none"/>
        </w:rPr>
      </w:pPr>
    </w:p>
    <w:p>
      <w:pPr>
        <w:pStyle w:val="7"/>
        <w:spacing w:before="156" w:after="156"/>
        <w:ind w:firstLine="420" w:firstLineChars="200"/>
        <w:rPr>
          <w:color w:val="auto"/>
          <w:sz w:val="21"/>
          <w:szCs w:val="21"/>
          <w:highlight w:val="none"/>
        </w:rPr>
      </w:pPr>
      <w:bookmarkStart w:id="36" w:name="_Toc21525509"/>
      <w:bookmarkStart w:id="37" w:name="_Toc24831"/>
      <w:r>
        <w:rPr>
          <w:rFonts w:hint="eastAsia"/>
          <w:color w:val="auto"/>
          <w:sz w:val="21"/>
          <w:szCs w:val="21"/>
          <w:highlight w:val="none"/>
        </w:rPr>
        <w:t>可选办法七（适合综合评分法四，技术标与经济标同时开启）</w:t>
      </w:r>
      <w:bookmarkEnd w:id="36"/>
      <w:bookmarkEnd w:id="37"/>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40．开标和评标程序</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40.1技术标（含资格审查文件）与经济标投标文件同时公开开标；</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40.2由评标委员会对所有已公开开标的投标人进行资格审查；</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40.3技术标投标文件有效性审查；</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40.4技术标详细审查评分；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40.5经济标详细审查评分；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40.6评标委员会按照投标人总得分由高至低排序；</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40.7经济标投标文件有效性审查；</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40.8评标委员会按排序向招标人推荐中标候选人名单，并递交资格审查报告及评标报告。</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41．开标细则</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41.1开标由招标人主持；</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41.2 细则</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41.2.1投标截止期前，各投标人递交投标文件（包括技术标投标文件、经济标投标文件）至交易平台。有关投标文件提交的事项详见第一章投标须知。 </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41.2.2开标前，首先由招标人随机抽取确定该工程计算评标参考价的等分点值X。</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41.2.3开标时，投标人代表有权出席开标会，也可以自主决定不参加开标会，若投标人代表对开标过程提出异议，该投标人代表须同时出示本人身份证原件。</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41.2.4按36.5.1的规定完成解密后，公布下列内容，并予以记录，记录提交评标委员会评审： </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41.2.4.1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41.3招标人对开标过程进行记录，并存档备查，投标人在技术标开标记录上签字。</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41.4 招标人将上述符合要求的投标文件，送至评标委员会进行评审。</w:t>
      </w:r>
    </w:p>
    <w:p>
      <w:pPr>
        <w:pStyle w:val="20"/>
        <w:tabs>
          <w:tab w:val="left" w:pos="7380"/>
        </w:tabs>
        <w:snapToGrid w:val="0"/>
        <w:spacing w:after="0" w:line="360" w:lineRule="auto"/>
        <w:ind w:firstLineChars="200"/>
        <w:rPr>
          <w:rFonts w:ascii="宋体" w:hAnsi="宋体"/>
          <w:color w:val="auto"/>
          <w:kern w:val="2"/>
          <w:sz w:val="21"/>
          <w:szCs w:val="21"/>
          <w:highlight w:val="none"/>
        </w:rPr>
      </w:pPr>
      <w:r>
        <w:rPr>
          <w:rFonts w:hint="eastAsia" w:ascii="宋体" w:hAnsi="宋体"/>
          <w:color w:val="auto"/>
          <w:kern w:val="2"/>
          <w:sz w:val="21"/>
          <w:szCs w:val="21"/>
          <w:highlight w:val="none"/>
        </w:rPr>
        <w:t>42. 资格审查及评标细则</w:t>
      </w:r>
    </w:p>
    <w:p>
      <w:pPr>
        <w:pStyle w:val="20"/>
        <w:tabs>
          <w:tab w:val="left" w:pos="7380"/>
        </w:tabs>
        <w:snapToGrid w:val="0"/>
        <w:spacing w:after="0" w:line="360" w:lineRule="auto"/>
        <w:ind w:firstLineChars="200"/>
        <w:rPr>
          <w:rFonts w:ascii="宋体" w:hAnsi="宋体"/>
          <w:color w:val="auto"/>
          <w:kern w:val="2"/>
          <w:sz w:val="21"/>
          <w:szCs w:val="21"/>
          <w:highlight w:val="none"/>
        </w:rPr>
      </w:pPr>
      <w:r>
        <w:rPr>
          <w:rFonts w:hint="eastAsia" w:ascii="宋体" w:hAnsi="宋体"/>
          <w:color w:val="auto"/>
          <w:kern w:val="2"/>
          <w:sz w:val="21"/>
          <w:szCs w:val="21"/>
          <w:highlight w:val="none"/>
        </w:rPr>
        <w:t>42.1资格审查及评标均由招标人依法组建的评标委员会负责。</w:t>
      </w:r>
    </w:p>
    <w:p>
      <w:pPr>
        <w:pStyle w:val="20"/>
        <w:tabs>
          <w:tab w:val="left" w:pos="7380"/>
        </w:tabs>
        <w:snapToGrid w:val="0"/>
        <w:spacing w:after="0" w:line="360" w:lineRule="auto"/>
        <w:ind w:firstLineChars="200"/>
        <w:rPr>
          <w:rFonts w:ascii="宋体" w:hAnsi="宋体"/>
          <w:color w:val="auto"/>
          <w:sz w:val="21"/>
          <w:szCs w:val="21"/>
          <w:highlight w:val="none"/>
        </w:rPr>
      </w:pPr>
      <w:r>
        <w:rPr>
          <w:rFonts w:hint="eastAsia" w:ascii="宋体" w:hAnsi="宋体"/>
          <w:color w:val="auto"/>
          <w:kern w:val="2"/>
          <w:sz w:val="21"/>
          <w:szCs w:val="21"/>
          <w:highlight w:val="none"/>
        </w:rPr>
        <w:t xml:space="preserve">42.2评标委员会的组成：方式  </w:t>
      </w:r>
      <w:r>
        <w:rPr>
          <w:rFonts w:hint="eastAsia" w:ascii="宋体" w:hAnsi="宋体"/>
          <w:color w:val="auto"/>
          <w:sz w:val="21"/>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方式一：评标委员会为综合评标委员会，负责资格审查及评标工作。</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s="宋体"/>
          <w:color w:val="auto"/>
          <w:sz w:val="21"/>
          <w:szCs w:val="21"/>
          <w:highlight w:val="none"/>
        </w:rPr>
        <w:t>方式二：评标委员会由技术评审组和经济评审组组成。</w:t>
      </w:r>
      <w:r>
        <w:rPr>
          <w:rFonts w:hint="eastAsia" w:ascii="宋体" w:hAnsi="宋体"/>
          <w:color w:val="auto"/>
          <w:kern w:val="2"/>
          <w:sz w:val="21"/>
          <w:szCs w:val="21"/>
          <w:highlight w:val="none"/>
        </w:rPr>
        <w:t>其中：资格审查及技术评审由技术评标组负责，经济评审由经济评审组负责。</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43．投标人资格审查</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43.1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43.2汇总资格审查情况，编写资格审查报告。</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43.3资格审查不合格的投标文件不参加下一阶段的评标，不参与评标参考价的计算。</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43.5资审合格后，投标人的资格发生变化而不满足投标人合格条件，在发出中标通知书前，资格问题仍未解决的，招标人将取消其中标资格。</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43.6资格审查合格的投标人少于3名的（当N个标段同时招标且不允许兼中时，资格审查合格的投标人少于N+2名），则本项目招标失败。</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44．技术标评审</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44.2技术标详细审查评分：评标委员会按照附表四《技术标详细审查评分表》的标准，对通过技术标有效性审查的投标文件技术标进行详细审查，评出技术分，得分四舍五入精确到小数点后两位。</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45．经济标评审和得分汇总</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45.1若通过技术标有效性审查的投标人中所有投标报价均大于等于最高投标限价，则本项目招标失败，由招标人依法重新招标。</w:t>
      </w:r>
    </w:p>
    <w:p>
      <w:pPr>
        <w:pStyle w:val="20"/>
        <w:tabs>
          <w:tab w:val="left" w:pos="7380"/>
        </w:tabs>
        <w:snapToGrid w:val="0"/>
        <w:spacing w:after="0" w:line="360" w:lineRule="auto"/>
        <w:rPr>
          <w:rFonts w:ascii="宋体" w:hAnsi="宋体"/>
          <w:color w:val="auto"/>
          <w:kern w:val="2"/>
          <w:sz w:val="21"/>
          <w:szCs w:val="21"/>
          <w:highlight w:val="none"/>
        </w:rPr>
      </w:pPr>
      <w:r>
        <w:rPr>
          <w:rFonts w:hint="eastAsia" w:ascii="宋体" w:hAnsi="宋体"/>
          <w:color w:val="auto"/>
          <w:kern w:val="2"/>
          <w:sz w:val="21"/>
          <w:szCs w:val="21"/>
          <w:highlight w:val="none"/>
        </w:rPr>
        <w:t xml:space="preserve"> 45.2按方法计算评标参考价：</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方法一：加权平均法</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技术标或技术标加诚信得分（具体由招标人自定）前</w:t>
      </w:r>
      <w:r>
        <w:rPr>
          <w:rFonts w:ascii="宋体" w:hAnsi="宋体" w:cs="仿宋"/>
          <w:color w:val="auto"/>
          <w:szCs w:val="21"/>
          <w:highlight w:val="none"/>
        </w:rPr>
        <w:t>N</w:t>
      </w:r>
      <w:r>
        <w:rPr>
          <w:rFonts w:hint="eastAsia" w:ascii="宋体" w:hAnsi="宋体" w:cs="仿宋"/>
          <w:color w:val="auto"/>
          <w:szCs w:val="21"/>
          <w:highlight w:val="none"/>
        </w:rPr>
        <w:t>名（N≥5，具体由招标人自定）的经济报价加权平均，计算评标参考价。公式如下：</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评标参考价</w:t>
      </w:r>
      <w:r>
        <w:rPr>
          <w:rFonts w:ascii="宋体" w:hAnsi="宋体" w:cs="仿宋"/>
          <w:color w:val="auto"/>
          <w:szCs w:val="21"/>
          <w:highlight w:val="none"/>
        </w:rPr>
        <w:t>=</w:t>
      </w:r>
      <w:r>
        <w:rPr>
          <w:rFonts w:hint="eastAsia" w:ascii="宋体" w:hAnsi="宋体" w:cs="仿宋"/>
          <w:color w:val="auto"/>
          <w:szCs w:val="21"/>
          <w:highlight w:val="none"/>
        </w:rPr>
        <w:t>Σ（投标人的投标报价</w:t>
      </w:r>
      <w:r>
        <w:rPr>
          <w:rFonts w:ascii="宋体" w:hAnsi="宋体" w:cs="仿宋"/>
          <w:color w:val="auto"/>
          <w:szCs w:val="21"/>
          <w:highlight w:val="none"/>
        </w:rPr>
        <w:t>*</w:t>
      </w:r>
      <w:r>
        <w:rPr>
          <w:rFonts w:hint="eastAsia" w:ascii="宋体" w:hAnsi="宋体" w:cs="仿宋"/>
          <w:color w:val="auto"/>
          <w:szCs w:val="21"/>
          <w:highlight w:val="none"/>
        </w:rPr>
        <w:t>报价权重）。</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其中：报价权重的计算方法为：将</w:t>
      </w:r>
      <w:r>
        <w:rPr>
          <w:rFonts w:ascii="宋体" w:hAnsi="宋体" w:cs="仿宋"/>
          <w:color w:val="auto"/>
          <w:szCs w:val="21"/>
          <w:highlight w:val="none"/>
        </w:rPr>
        <w:t>N</w:t>
      </w:r>
      <w:r>
        <w:rPr>
          <w:rFonts w:hint="eastAsia" w:ascii="宋体" w:hAnsi="宋体" w:cs="仿宋"/>
          <w:color w:val="auto"/>
          <w:szCs w:val="21"/>
          <w:highlight w:val="none"/>
        </w:rPr>
        <w:t>名投标人按技术分由高至低进行排序，第一名投标人的权重为（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szCs w:val="21"/>
          <w:highlight w:val="none"/>
        </w:rPr>
        <w:drawing>
          <wp:inline distT="0" distB="0" distL="114300" distR="114300">
            <wp:extent cx="381000" cy="447675"/>
            <wp:effectExtent l="0" t="0" r="0" b="8890"/>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pic:cNvPicPr>
                  </pic:nvPicPr>
                  <pic:blipFill>
                    <a:blip r:embed="rId22">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szCs w:val="21"/>
          <w:highlight w:val="none"/>
        </w:rPr>
        <w:drawing>
          <wp:inline distT="0" distB="0" distL="114300" distR="114300">
            <wp:extent cx="381000" cy="447675"/>
            <wp:effectExtent l="0" t="0" r="0" b="8890"/>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22">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），第二名投标人的权重为（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114300" distR="114300">
            <wp:extent cx="323850" cy="400050"/>
            <wp:effectExtent l="0" t="0" r="0" b="0"/>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pic:cNvPicPr>
                      <a:picLocks noChangeAspect="1"/>
                    </pic:cNvPicPr>
                  </pic:nvPicPr>
                  <pic:blipFill>
                    <a:blip r:embed="rId23">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114300" distR="114300">
            <wp:extent cx="323850" cy="400050"/>
            <wp:effectExtent l="0" t="0" r="0" b="0"/>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pic:cNvPicPr>
                  </pic:nvPicPr>
                  <pic:blipFill>
                    <a:blip r:embed="rId23">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），以此类推，最后一名投标人的权重为（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114300" distR="114300">
            <wp:extent cx="323850" cy="400050"/>
            <wp:effectExtent l="0" t="0" r="0" b="0"/>
            <wp:docPr id="2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7"/>
                    <pic:cNvPicPr>
                      <a:picLocks noChangeAspect="1"/>
                    </pic:cNvPicPr>
                  </pic:nvPicPr>
                  <pic:blipFill>
                    <a:blip r:embed="rId24">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114300" distR="114300">
            <wp:extent cx="323850" cy="400050"/>
            <wp:effectExtent l="0" t="0" r="0" b="0"/>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pic:cNvPicPr>
                      <a:picLocks noChangeAspect="1"/>
                    </pic:cNvPicPr>
                  </pic:nvPicPr>
                  <pic:blipFill>
                    <a:blip r:embed="rId24">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方法二：区间抽取法</w:t>
      </w:r>
    </w:p>
    <w:p>
      <w:pPr>
        <w:spacing w:line="360"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评标参考价=（Q高-Q低）/100*Ｘ+Q低</w:t>
      </w:r>
    </w:p>
    <w:p>
      <w:pPr>
        <w:spacing w:line="360"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Q低：为达到或超过技术标及格分数线的投标人最低报价与工程成本警示价两者中的较高值；</w:t>
      </w:r>
    </w:p>
    <w:p>
      <w:pPr>
        <w:spacing w:line="360"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Q高：为最高投标限价</w:t>
      </w:r>
    </w:p>
    <w:p>
      <w:pPr>
        <w:spacing w:line="360"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 xml:space="preserve">    X:为等分点值，在开标前从[0,100]整数中随机抽取</w:t>
      </w:r>
    </w:p>
    <w:p>
      <w:pPr>
        <w:spacing w:line="360" w:lineRule="auto"/>
        <w:ind w:firstLine="420" w:firstLineChars="200"/>
        <w:rPr>
          <w:rFonts w:hint="eastAsia" w:ascii="宋体" w:hAnsi="宋体" w:cs="仿宋"/>
          <w:color w:val="auto"/>
          <w:szCs w:val="21"/>
          <w:highlight w:val="none"/>
        </w:rPr>
      </w:pPr>
      <w:r>
        <w:rPr>
          <w:rFonts w:hint="eastAsia" w:ascii="宋体" w:hAnsi="宋体" w:cs="仿宋"/>
          <w:color w:val="auto"/>
          <w:szCs w:val="21"/>
          <w:highlight w:val="none"/>
        </w:rPr>
        <w:t>权重按各家技术分/N家总计分X100%。</w:t>
      </w:r>
    </w:p>
    <w:p>
      <w:pPr>
        <w:spacing w:line="360" w:lineRule="auto"/>
        <w:ind w:firstLine="420" w:firstLineChars="200"/>
        <w:rPr>
          <w:rFonts w:ascii="宋体" w:hAnsi="宋体"/>
          <w:color w:val="auto"/>
          <w:szCs w:val="21"/>
          <w:highlight w:val="none"/>
        </w:rPr>
      </w:pPr>
      <w:r>
        <w:rPr>
          <w:rFonts w:hint="eastAsia" w:ascii="宋体" w:hAnsi="宋体" w:cs="宋体"/>
          <w:color w:val="auto"/>
          <w:kern w:val="0"/>
          <w:szCs w:val="21"/>
          <w:highlight w:val="none"/>
        </w:rPr>
        <w:t>45.3</w:t>
      </w:r>
      <w:r>
        <w:rPr>
          <w:rFonts w:hint="eastAsia" w:ascii="宋体" w:hAnsi="宋体"/>
          <w:color w:val="auto"/>
          <w:szCs w:val="21"/>
          <w:highlight w:val="none"/>
        </w:rPr>
        <w:t>当标价等于评标参考价时得</w:t>
      </w:r>
      <w:r>
        <w:rPr>
          <w:rFonts w:ascii="宋体" w:hAnsi="宋体"/>
          <w:color w:val="auto"/>
          <w:szCs w:val="21"/>
          <w:highlight w:val="none"/>
        </w:rPr>
        <w:t>100</w:t>
      </w:r>
      <w:r>
        <w:rPr>
          <w:rFonts w:hint="eastAsia" w:ascii="宋体" w:hAnsi="宋体"/>
          <w:color w:val="auto"/>
          <w:szCs w:val="21"/>
          <w:highlight w:val="none"/>
        </w:rPr>
        <w:t>分，标价每高于评标参考价</w:t>
      </w:r>
      <w:r>
        <w:rPr>
          <w:rFonts w:ascii="宋体" w:hAnsi="宋体"/>
          <w:color w:val="auto"/>
          <w:szCs w:val="21"/>
          <w:highlight w:val="none"/>
        </w:rPr>
        <w:t>1%</w:t>
      </w:r>
      <w:r>
        <w:rPr>
          <w:rFonts w:hint="eastAsia" w:ascii="宋体" w:hAnsi="宋体"/>
          <w:color w:val="auto"/>
          <w:szCs w:val="21"/>
          <w:highlight w:val="none"/>
        </w:rPr>
        <w:t>，扣</w:t>
      </w:r>
      <w:r>
        <w:rPr>
          <w:rFonts w:ascii="宋体" w:hAnsi="宋体"/>
          <w:color w:val="auto"/>
          <w:szCs w:val="21"/>
          <w:highlight w:val="none"/>
        </w:rPr>
        <w:t>1.</w:t>
      </w:r>
      <w:r>
        <w:rPr>
          <w:rFonts w:hint="eastAsia" w:ascii="宋体" w:hAnsi="宋体"/>
          <w:color w:val="auto"/>
          <w:szCs w:val="21"/>
          <w:highlight w:val="none"/>
          <w:lang w:val="en-US" w:eastAsia="zh-CN"/>
        </w:rPr>
        <w:t>0</w:t>
      </w:r>
      <w:r>
        <w:rPr>
          <w:rFonts w:hint="eastAsia" w:ascii="宋体" w:hAnsi="宋体"/>
          <w:color w:val="auto"/>
          <w:szCs w:val="21"/>
          <w:highlight w:val="none"/>
        </w:rPr>
        <w:t>分，每低于评标参考价</w:t>
      </w:r>
      <w:r>
        <w:rPr>
          <w:rFonts w:ascii="宋体" w:hAnsi="宋体"/>
          <w:color w:val="auto"/>
          <w:szCs w:val="21"/>
          <w:highlight w:val="none"/>
        </w:rPr>
        <w:t>1%</w:t>
      </w:r>
      <w:r>
        <w:rPr>
          <w:rFonts w:hint="eastAsia" w:ascii="宋体" w:hAnsi="宋体"/>
          <w:color w:val="auto"/>
          <w:szCs w:val="21"/>
          <w:highlight w:val="none"/>
        </w:rPr>
        <w:t>，扣</w:t>
      </w:r>
      <w:r>
        <w:rPr>
          <w:rFonts w:hint="eastAsia" w:ascii="宋体" w:hAnsi="宋体"/>
          <w:color w:val="auto"/>
          <w:szCs w:val="21"/>
          <w:highlight w:val="none"/>
          <w:lang w:val="en-US" w:eastAsia="zh-CN"/>
        </w:rPr>
        <w:t>0.5</w:t>
      </w:r>
      <w:r>
        <w:rPr>
          <w:rFonts w:hint="eastAsia" w:ascii="宋体" w:hAnsi="宋体"/>
          <w:color w:val="auto"/>
          <w:szCs w:val="21"/>
          <w:highlight w:val="none"/>
        </w:rPr>
        <w:t>分，扣至</w:t>
      </w:r>
      <w:r>
        <w:rPr>
          <w:rFonts w:ascii="宋体" w:hAnsi="宋体"/>
          <w:color w:val="auto"/>
          <w:szCs w:val="21"/>
          <w:highlight w:val="none"/>
        </w:rPr>
        <w:t>0</w:t>
      </w:r>
      <w:r>
        <w:rPr>
          <w:rFonts w:hint="eastAsia" w:ascii="宋体" w:hAnsi="宋体"/>
          <w:color w:val="auto"/>
          <w:szCs w:val="21"/>
          <w:highlight w:val="none"/>
        </w:rPr>
        <w:t>分为止，得出经济分，精确到小数点后两位。</w:t>
      </w:r>
    </w:p>
    <w:p>
      <w:pPr>
        <w:pStyle w:val="20"/>
        <w:tabs>
          <w:tab w:val="left" w:pos="7380"/>
        </w:tabs>
        <w:snapToGrid w:val="0"/>
        <w:spacing w:after="0" w:line="360" w:lineRule="auto"/>
        <w:ind w:firstLineChars="200"/>
        <w:rPr>
          <w:rFonts w:ascii="宋体" w:hAnsi="宋体" w:cs="仿宋"/>
          <w:color w:val="auto"/>
          <w:kern w:val="2"/>
          <w:sz w:val="21"/>
          <w:szCs w:val="21"/>
          <w:highlight w:val="none"/>
        </w:rPr>
      </w:pPr>
      <w:r>
        <w:rPr>
          <w:rFonts w:hint="eastAsia" w:ascii="宋体" w:hAnsi="宋体"/>
          <w:color w:val="auto"/>
          <w:sz w:val="21"/>
          <w:szCs w:val="21"/>
          <w:highlight w:val="none"/>
        </w:rPr>
        <w:t>45.4</w:t>
      </w:r>
      <w:r>
        <w:rPr>
          <w:rFonts w:hint="eastAsia" w:ascii="宋体" w:hAnsi="宋体" w:cs="仿宋"/>
          <w:color w:val="auto"/>
          <w:kern w:val="2"/>
          <w:sz w:val="21"/>
          <w:szCs w:val="21"/>
          <w:highlight w:val="none"/>
        </w:rPr>
        <w:t>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Style w:val="20"/>
        <w:tabs>
          <w:tab w:val="left" w:pos="7380"/>
        </w:tabs>
        <w:snapToGrid w:val="0"/>
        <w:spacing w:after="0" w:line="360" w:lineRule="auto"/>
        <w:ind w:firstLineChars="200"/>
        <w:rPr>
          <w:rFonts w:ascii="宋体" w:hAnsi="宋体" w:cs="仿宋"/>
          <w:color w:val="auto"/>
          <w:kern w:val="2"/>
          <w:sz w:val="21"/>
          <w:szCs w:val="21"/>
          <w:highlight w:val="none"/>
        </w:rPr>
      </w:pPr>
      <w:r>
        <w:rPr>
          <w:rFonts w:hint="eastAsia" w:ascii="宋体" w:hAnsi="宋体" w:cs="仿宋"/>
          <w:color w:val="auto"/>
          <w:kern w:val="2"/>
          <w:sz w:val="21"/>
          <w:szCs w:val="21"/>
          <w:highlight w:val="none"/>
        </w:rPr>
        <w:t>46.经济标的有效性审查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6.2经济标的算术校核。评标委员会对进行经济标有效性审查的投标文件投标报价按照就低不就高的原则进行算术校核，具体标准如下：</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6.2.1如果数字表示的金额和用文字表示的金额不一致时，应以文字表示的金额为准；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6.2.2经算术复核的投标人报价与其投标报价不一致时，按就低不就高原则确定其最终报价；</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w:t>
      </w:r>
      <w:r>
        <w:rPr>
          <w:rFonts w:ascii="宋体" w:hAnsi="宋体"/>
          <w:color w:val="auto"/>
          <w:szCs w:val="21"/>
          <w:highlight w:val="none"/>
        </w:rPr>
        <w:t>4</w:t>
      </w:r>
      <w:r>
        <w:rPr>
          <w:rFonts w:hint="eastAsia" w:ascii="宋体" w:hAnsi="宋体"/>
          <w:color w:val="auto"/>
          <w:szCs w:val="21"/>
          <w:highlight w:val="none"/>
        </w:rPr>
        <w:t>当合价、金额累加错误时，按就低不就高原则，如果累加修正值小于原累加值，则按累加修正值；如果累加修正值大于原累加值，则按原累加值；</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w:t>
      </w:r>
      <w:r>
        <w:rPr>
          <w:rFonts w:ascii="宋体" w:hAnsi="宋体"/>
          <w:color w:val="auto"/>
          <w:szCs w:val="21"/>
          <w:highlight w:val="none"/>
        </w:rPr>
        <w:t>5</w:t>
      </w:r>
      <w:r>
        <w:rPr>
          <w:rFonts w:hint="eastAsia" w:ascii="宋体" w:hAnsi="宋体"/>
          <w:color w:val="auto"/>
          <w:szCs w:val="21"/>
          <w:highlight w:val="none"/>
        </w:rPr>
        <w:t>如果投标人的有关规费、暂列金额、暂估价、绿色施工安全防护措施费等未按招标文件规定的金额填写的，由评标委员会按照招标文件规定的金额进行修正；</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w:t>
      </w:r>
      <w:r>
        <w:rPr>
          <w:rFonts w:ascii="宋体" w:hAnsi="宋体"/>
          <w:color w:val="auto"/>
          <w:szCs w:val="21"/>
          <w:highlight w:val="none"/>
        </w:rPr>
        <w:t>6</w:t>
      </w:r>
      <w:r>
        <w:rPr>
          <w:rFonts w:hint="eastAsia" w:ascii="宋体" w:hAnsi="宋体"/>
          <w:color w:val="auto"/>
          <w:szCs w:val="21"/>
          <w:highlight w:val="none"/>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w:t>
      </w:r>
      <w:r>
        <w:rPr>
          <w:rFonts w:ascii="宋体" w:hAnsi="宋体"/>
          <w:color w:val="auto"/>
          <w:szCs w:val="21"/>
          <w:highlight w:val="none"/>
        </w:rPr>
        <w:t>7</w:t>
      </w:r>
      <w:r>
        <w:rPr>
          <w:rFonts w:hint="eastAsia" w:ascii="宋体" w:hAnsi="宋体"/>
          <w:color w:val="auto"/>
          <w:szCs w:val="21"/>
          <w:highlight w:val="none"/>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w:t>
      </w:r>
      <w:r>
        <w:rPr>
          <w:rFonts w:ascii="宋体" w:hAnsi="宋体"/>
          <w:color w:val="auto"/>
          <w:szCs w:val="21"/>
          <w:highlight w:val="none"/>
        </w:rPr>
        <w:t>8</w:t>
      </w:r>
      <w:r>
        <w:rPr>
          <w:rFonts w:hint="eastAsia" w:ascii="宋体" w:hAnsi="宋体"/>
          <w:color w:val="auto"/>
          <w:szCs w:val="21"/>
          <w:highlight w:val="none"/>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8.评标委员会应在通过投标文件经济标有效性审查的投标人中，按步骤45.4确定的投标人第二阶段排序，推荐前</w:t>
      </w:r>
      <w:r>
        <w:rPr>
          <w:rFonts w:ascii="宋体" w:hAnsi="宋体"/>
          <w:color w:val="auto"/>
          <w:szCs w:val="21"/>
          <w:highlight w:val="none"/>
        </w:rPr>
        <w:t>3</w:t>
      </w:r>
      <w:r>
        <w:rPr>
          <w:rFonts w:hint="eastAsia" w:ascii="宋体" w:hAnsi="宋体"/>
          <w:color w:val="auto"/>
          <w:szCs w:val="21"/>
          <w:highlight w:val="none"/>
        </w:rPr>
        <w:t>名依次为第一中标候选人至第三中标候选人</w:t>
      </w:r>
      <w:r>
        <w:rPr>
          <w:rFonts w:ascii="宋体" w:hAnsi="宋体"/>
          <w:color w:val="auto"/>
          <w:szCs w:val="21"/>
          <w:highlight w:val="none"/>
        </w:rPr>
        <w:t>,</w:t>
      </w:r>
      <w:r>
        <w:rPr>
          <w:rFonts w:hint="eastAsia" w:ascii="宋体" w:hAnsi="宋体"/>
          <w:color w:val="auto"/>
          <w:szCs w:val="21"/>
          <w:highlight w:val="none"/>
        </w:rPr>
        <w:t>并编制评标报告。</w:t>
      </w:r>
    </w:p>
    <w:p>
      <w:pPr>
        <w:spacing w:line="356"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9.若通过经济标有效性审查的投标人不足三家，应当依法重新招标。（当</w:t>
      </w:r>
      <w:r>
        <w:rPr>
          <w:rFonts w:ascii="宋体" w:hAnsi="宋体"/>
          <w:color w:val="auto"/>
          <w:szCs w:val="21"/>
          <w:highlight w:val="none"/>
        </w:rPr>
        <w:t>N</w:t>
      </w:r>
      <w:r>
        <w:rPr>
          <w:rFonts w:hint="eastAsia" w:ascii="宋体" w:hAnsi="宋体"/>
          <w:color w:val="auto"/>
          <w:szCs w:val="21"/>
          <w:highlight w:val="none"/>
        </w:rPr>
        <w:t>个标段同时招标且不允许兼中时，若有效投标人不足</w:t>
      </w:r>
      <w:r>
        <w:rPr>
          <w:rFonts w:ascii="宋体" w:hAnsi="宋体"/>
          <w:color w:val="auto"/>
          <w:szCs w:val="21"/>
          <w:highlight w:val="none"/>
        </w:rPr>
        <w:t>N+2</w:t>
      </w:r>
      <w:r>
        <w:rPr>
          <w:rFonts w:hint="eastAsia" w:ascii="宋体" w:hAnsi="宋体"/>
          <w:color w:val="auto"/>
          <w:szCs w:val="21"/>
          <w:highlight w:val="none"/>
        </w:rPr>
        <w:t>家，应当依法重新招标）</w:t>
      </w:r>
    </w:p>
    <w:p>
      <w:pPr>
        <w:pStyle w:val="12"/>
        <w:rPr>
          <w:color w:val="auto"/>
          <w:highlight w:val="none"/>
        </w:rPr>
      </w:pPr>
    </w:p>
    <w:p>
      <w:pPr>
        <w:widowControl/>
        <w:snapToGrid w:val="0"/>
        <w:spacing w:line="360" w:lineRule="auto"/>
        <w:ind w:right="102"/>
        <w:jc w:val="left"/>
        <w:rPr>
          <w:rFonts w:ascii="宋体" w:hAnsi="宋体"/>
          <w:color w:val="auto"/>
          <w:szCs w:val="21"/>
          <w:highlight w:val="none"/>
        </w:rPr>
        <w:sectPr>
          <w:endnotePr>
            <w:numFmt w:val="decimal"/>
          </w:endnotePr>
          <w:pgSz w:w="11906" w:h="16838"/>
          <w:pgMar w:top="1417" w:right="1417" w:bottom="1417" w:left="1417" w:header="851" w:footer="907" w:gutter="0"/>
          <w:cols w:space="720" w:num="1"/>
          <w:titlePg/>
          <w:docGrid w:type="lines" w:linePitch="312" w:charSpace="0"/>
        </w:sectPr>
      </w:pPr>
    </w:p>
    <w:p>
      <w:pPr>
        <w:pStyle w:val="8"/>
        <w:keepNext w:val="0"/>
        <w:keepLines w:val="0"/>
        <w:widowControl/>
        <w:numPr>
          <w:ilvl w:val="3"/>
          <w:numId w:val="0"/>
        </w:numPr>
        <w:spacing w:beforeLines="0" w:afterLines="0" w:line="356" w:lineRule="auto"/>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附表一</w:t>
      </w:r>
    </w:p>
    <w:p>
      <w:pPr>
        <w:jc w:val="center"/>
        <w:outlineLvl w:val="4"/>
        <w:rPr>
          <w:b/>
          <w:color w:val="auto"/>
          <w:sz w:val="32"/>
          <w:szCs w:val="32"/>
          <w:highlight w:val="none"/>
        </w:rPr>
      </w:pPr>
      <w:r>
        <w:rPr>
          <w:rFonts w:hint="eastAsia"/>
          <w:b/>
          <w:color w:val="auto"/>
          <w:sz w:val="32"/>
          <w:szCs w:val="32"/>
          <w:highlight w:val="none"/>
        </w:rPr>
        <w:t>资格审查表</w:t>
      </w:r>
    </w:p>
    <w:p>
      <w:pPr>
        <w:spacing w:line="480" w:lineRule="auto"/>
        <w:rPr>
          <w:color w:val="auto"/>
          <w:sz w:val="24"/>
          <w:szCs w:val="24"/>
          <w:highlight w:val="none"/>
        </w:rPr>
      </w:pPr>
      <w:r>
        <w:rPr>
          <w:rFonts w:hint="eastAsia"/>
          <w:color w:val="auto"/>
          <w:sz w:val="24"/>
          <w:szCs w:val="24"/>
          <w:highlight w:val="none"/>
        </w:rPr>
        <w:t>工程名称：</w:t>
      </w:r>
    </w:p>
    <w:p>
      <w:pPr>
        <w:spacing w:line="480" w:lineRule="auto"/>
        <w:rPr>
          <w:color w:val="auto"/>
          <w:sz w:val="24"/>
          <w:szCs w:val="24"/>
          <w:highlight w:val="none"/>
        </w:rPr>
      </w:pPr>
      <w:r>
        <w:rPr>
          <w:rFonts w:hint="eastAsia"/>
          <w:color w:val="auto"/>
          <w:sz w:val="24"/>
          <w:szCs w:val="24"/>
          <w:highlight w:val="none"/>
        </w:rPr>
        <w:t>投标人名称：</w:t>
      </w:r>
    </w:p>
    <w:tbl>
      <w:tblPr>
        <w:tblStyle w:val="21"/>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020"/>
        <w:gridCol w:w="40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b/>
                <w:color w:val="auto"/>
                <w:szCs w:val="21"/>
                <w:highlight w:val="none"/>
              </w:rPr>
            </w:pPr>
            <w:r>
              <w:rPr>
                <w:rFonts w:hint="eastAsia" w:ascii="宋体" w:hAnsi="宋体"/>
                <w:b/>
                <w:color w:val="auto"/>
                <w:szCs w:val="21"/>
                <w:highlight w:val="none"/>
              </w:rPr>
              <w:t>序号</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b/>
                <w:color w:val="auto"/>
                <w:szCs w:val="21"/>
                <w:highlight w:val="none"/>
              </w:rPr>
            </w:pPr>
            <w:r>
              <w:rPr>
                <w:rFonts w:hint="eastAsia" w:ascii="宋体" w:hAnsi="宋体"/>
                <w:b/>
                <w:color w:val="auto"/>
                <w:szCs w:val="21"/>
                <w:highlight w:val="none"/>
              </w:rPr>
              <w:t>审查项目</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b/>
                <w:color w:val="auto"/>
                <w:szCs w:val="21"/>
                <w:highlight w:val="none"/>
              </w:rPr>
            </w:pPr>
            <w:r>
              <w:rPr>
                <w:rFonts w:hint="eastAsia" w:ascii="宋体" w:hAnsi="宋体"/>
                <w:b/>
                <w:color w:val="auto"/>
                <w:szCs w:val="21"/>
                <w:highlight w:val="none"/>
              </w:rPr>
              <w:t>须审查的资料</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b/>
                <w:color w:val="auto"/>
                <w:szCs w:val="21"/>
                <w:highlight w:val="none"/>
              </w:rPr>
            </w:pPr>
            <w:r>
              <w:rPr>
                <w:rFonts w:hint="eastAsia" w:ascii="宋体" w:hAnsi="宋体"/>
                <w:b/>
                <w:color w:val="auto"/>
                <w:szCs w:val="21"/>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default" w:ascii="宋体" w:hAnsi="宋体"/>
                <w:color w:val="auto"/>
                <w:szCs w:val="21"/>
                <w:highlight w:val="none"/>
              </w:rPr>
              <w:t>1</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投标人参加投标的意思表达清楚，投标人代表被授权有效</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投标人声明、法定代表人证明书；委托投标的还应提供法人授权委托证明书</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default" w:ascii="宋体" w:hAnsi="宋体"/>
                <w:color w:val="auto"/>
                <w:szCs w:val="21"/>
                <w:highlight w:val="none"/>
              </w:rPr>
              <w:t>2</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投标人均具有独立法人资格，按国家法律经营</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营业执照</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default" w:ascii="宋体" w:hAnsi="宋体"/>
                <w:color w:val="auto"/>
                <w:szCs w:val="21"/>
                <w:highlight w:val="none"/>
              </w:rPr>
              <w:t>3</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投标人均持有建设行政主管部门颁发的企业资质证书及安全生产许可证；投标人资质符合公告要求</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企业资质证书及安全生产许可证</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default" w:ascii="宋体" w:hAnsi="宋体"/>
                <w:color w:val="auto"/>
                <w:szCs w:val="21"/>
                <w:highlight w:val="none"/>
              </w:rPr>
              <w:t>4</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投标人拟担任本工程项目负责人符合公告要求</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rPr>
                <w:rFonts w:hint="default" w:ascii="宋体" w:hAnsi="宋体"/>
                <w:color w:val="auto"/>
                <w:szCs w:val="21"/>
                <w:highlight w:val="none"/>
              </w:rPr>
            </w:pPr>
            <w:r>
              <w:rPr>
                <w:rFonts w:hint="eastAsia" w:ascii="宋体" w:hAnsi="宋体"/>
                <w:color w:val="auto"/>
                <w:szCs w:val="21"/>
                <w:highlight w:val="none"/>
              </w:rPr>
              <w:t>使用有效期内的注册建造师注册证书</w:t>
            </w:r>
          </w:p>
          <w:p>
            <w:pPr>
              <w:keepNext w:val="0"/>
              <w:keepLines w:val="0"/>
              <w:suppressLineNumbers w:val="0"/>
              <w:spacing w:before="120" w:beforeAutospacing="0" w:after="60" w:afterAutospacing="0"/>
              <w:ind w:left="0" w:right="0"/>
              <w:rPr>
                <w:rFonts w:hint="default" w:ascii="宋体" w:hAnsi="宋体"/>
                <w:color w:val="auto"/>
                <w:szCs w:val="21"/>
                <w:highlight w:val="none"/>
              </w:rPr>
            </w:pPr>
            <w:r>
              <w:rPr>
                <w:rFonts w:hint="eastAsia" w:ascii="宋体" w:hAnsi="宋体"/>
                <w:color w:val="auto"/>
                <w:szCs w:val="21"/>
                <w:highlight w:val="none"/>
              </w:rPr>
              <w:t>（注：应在个人签名处手写本人签名。）</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default" w:ascii="宋体" w:hAnsi="宋体"/>
                <w:color w:val="auto"/>
                <w:szCs w:val="21"/>
                <w:highlight w:val="none"/>
              </w:rPr>
              <w:t>5</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项目负责人持有安全生产考核合格证（B类）或建筑施工企业项目负责人安全生产考核合格证书</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项目负责人</w:t>
            </w:r>
            <w:r>
              <w:rPr>
                <w:rFonts w:hint="eastAsia" w:ascii="宋体" w:hAnsi="宋体"/>
                <w:color w:val="auto"/>
                <w:highlight w:val="none"/>
                <w:u w:val="single"/>
              </w:rPr>
              <w:t>安全生产考核合格证</w:t>
            </w:r>
            <w:r>
              <w:rPr>
                <w:rFonts w:hint="eastAsia" w:ascii="宋体" w:hAnsi="宋体"/>
                <w:color w:val="auto"/>
                <w:szCs w:val="21"/>
                <w:highlight w:val="none"/>
              </w:rPr>
              <w:t>（B证）或建筑施工企业项目负责人安全生产考核合格证</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6</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投标人拟担任本工程技术负责人符合公告要求</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拟委托技术负责人的相关证书、资料（</w:t>
            </w:r>
            <w:r>
              <w:rPr>
                <w:rFonts w:hint="eastAsia" w:ascii="宋体" w:hAnsi="宋体" w:cs="宋体"/>
                <w:color w:val="auto"/>
                <w:szCs w:val="21"/>
                <w:highlight w:val="none"/>
              </w:rPr>
              <w:t>具体要求详见招标公告</w:t>
            </w:r>
            <w:r>
              <w:rPr>
                <w:rFonts w:hint="eastAsia" w:ascii="宋体" w:hAnsi="宋体"/>
                <w:color w:val="auto"/>
                <w:szCs w:val="21"/>
                <w:highlight w:val="none"/>
              </w:rPr>
              <w:t>）</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7</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s="宋体"/>
                <w:color w:val="auto"/>
                <w:szCs w:val="21"/>
                <w:highlight w:val="none"/>
              </w:rPr>
              <w:t>专职安全员须具有安全生产考核合格证（C类）或建筑施工企业专职安全生产管理人员安全生产考核合格证（C3类）</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专职安全员的安全生产考核合格证（C类或C3类）或建筑施工企业专职安全生产管理人员安全生产考核合格证</w:t>
            </w:r>
            <w:r>
              <w:rPr>
                <w:rFonts w:hint="eastAsia" w:ascii="宋体" w:hAnsi="宋体" w:cs="宋体"/>
                <w:color w:val="auto"/>
                <w:szCs w:val="21"/>
                <w:highlight w:val="none"/>
              </w:rPr>
              <w:t>（C类或C3类）</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8</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投标人提供的投标人声明符合公告要求</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9</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投标人声明中签字的项目负责人和技术负责人与本项目拟派的项目负责人和技术负责人一致</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网上投标时选择拟投标的项目负责人、资格审查文件中拟委派的技术负责人及投标人声明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10</w:t>
            </w:r>
          </w:p>
        </w:tc>
        <w:tc>
          <w:tcPr>
            <w:tcW w:w="40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s="宋体"/>
                <w:color w:val="auto"/>
                <w:szCs w:val="21"/>
                <w:highlight w:val="none"/>
                <w:u w:val="single"/>
              </w:rPr>
              <w:t>本项目</w:t>
            </w:r>
            <w:r>
              <w:rPr>
                <w:rFonts w:hint="eastAsia" w:ascii="宋体" w:hAnsi="宋体" w:cs="宋体"/>
                <w:color w:val="auto"/>
                <w:szCs w:val="21"/>
                <w:highlight w:val="none"/>
                <w:u w:val="single"/>
                <w:lang w:val="en-US" w:eastAsia="zh-CN"/>
              </w:rPr>
              <w:t>不</w:t>
            </w:r>
            <w:r>
              <w:rPr>
                <w:rFonts w:hint="eastAsia" w:ascii="宋体" w:hAnsi="宋体" w:cs="宋体"/>
                <w:color w:val="auto"/>
                <w:szCs w:val="21"/>
                <w:highlight w:val="none"/>
                <w:u w:val="single"/>
              </w:rPr>
              <w:t>接受联合体投标</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1</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投标人未出现以下情形：与其它投标人的单位负责人为同一人或者存在控股、管理关系的（按投标人提供的《投标人声明》第八条内容进行评审）</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r>
              <w:rPr>
                <w:rFonts w:hint="eastAsia" w:ascii="宋体" w:hAnsi="宋体"/>
                <w:color w:val="auto"/>
                <w:szCs w:val="21"/>
                <w:highlight w:val="none"/>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eastAsia" w:ascii="宋体" w:hAnsi="宋体" w:eastAsia="宋体"/>
                <w:color w:val="auto"/>
                <w:szCs w:val="21"/>
                <w:highlight w:val="none"/>
                <w:lang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2</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left"/>
              <w:rPr>
                <w:rFonts w:hint="default" w:ascii="宋体" w:hAnsi="宋体"/>
                <w:color w:val="auto"/>
                <w:szCs w:val="21"/>
                <w:highlight w:val="none"/>
              </w:rPr>
            </w:pPr>
            <w:r>
              <w:rPr>
                <w:rFonts w:hint="eastAsia" w:ascii="宋体" w:hAnsi="宋体" w:cs="宋体"/>
                <w:color w:val="auto"/>
                <w:szCs w:val="21"/>
                <w:highlight w:val="none"/>
                <w:u w:val="single"/>
              </w:rPr>
              <w:t>未被列入拖欠农民工工资失信联合惩戒对象名单</w:t>
            </w:r>
          </w:p>
        </w:tc>
        <w:tc>
          <w:tcPr>
            <w:tcW w:w="4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left"/>
              <w:rPr>
                <w:rFonts w:hint="default" w:ascii="宋体" w:hAnsi="宋体"/>
                <w:color w:val="auto"/>
                <w:szCs w:val="21"/>
                <w:highlight w:val="none"/>
              </w:rPr>
            </w:pPr>
            <w:r>
              <w:rPr>
                <w:rFonts w:hint="eastAsia" w:ascii="宋体" w:hAnsi="宋体" w:cs="宋体"/>
                <w:color w:val="auto"/>
                <w:szCs w:val="21"/>
                <w:highlight w:val="none"/>
              </w:rPr>
              <w:t>投标人无需提供资料，按</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交易系统比对的结果进行评审</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60" w:afterAutospacing="0"/>
              <w:ind w:left="0" w:right="0"/>
              <w:jc w:val="center"/>
              <w:rPr>
                <w:rFonts w:hint="default" w:ascii="宋体" w:hAnsi="宋体"/>
                <w:color w:val="auto"/>
                <w:szCs w:val="21"/>
                <w:highlight w:val="none"/>
              </w:rPr>
            </w:pPr>
          </w:p>
        </w:tc>
      </w:tr>
    </w:tbl>
    <w:p>
      <w:pPr>
        <w:spacing w:line="480" w:lineRule="auto"/>
        <w:ind w:firstLine="470" w:firstLineChars="224"/>
        <w:rPr>
          <w:rFonts w:ascii="宋体"/>
          <w:color w:val="auto"/>
          <w:szCs w:val="21"/>
          <w:highlight w:val="none"/>
        </w:rPr>
      </w:pPr>
      <w:r>
        <w:rPr>
          <w:rFonts w:hint="eastAsia" w:ascii="宋体" w:hAnsi="宋体"/>
          <w:color w:val="auto"/>
          <w:szCs w:val="21"/>
          <w:highlight w:val="none"/>
        </w:rPr>
        <w:t>备注：</w:t>
      </w:r>
    </w:p>
    <w:p>
      <w:pPr>
        <w:spacing w:line="480" w:lineRule="auto"/>
        <w:ind w:firstLine="470" w:firstLineChars="224"/>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、每一项目符合的打“○”，不符合的打“×”；</w:t>
      </w:r>
      <w:r>
        <w:rPr>
          <w:rFonts w:ascii="宋体" w:hAnsi="宋体"/>
          <w:color w:val="auto"/>
          <w:szCs w:val="21"/>
          <w:highlight w:val="none"/>
        </w:rPr>
        <w:t xml:space="preserve"> </w:t>
      </w:r>
    </w:p>
    <w:p>
      <w:pPr>
        <w:spacing w:line="480" w:lineRule="auto"/>
        <w:ind w:firstLine="470" w:firstLineChars="224"/>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、若评委意见不一致时，则按少数服从多数的原则，作出评审结论。汇总后，出现一个“×”的结论为“不通过”。</w:t>
      </w:r>
    </w:p>
    <w:p>
      <w:pPr>
        <w:rPr>
          <w:color w:val="auto"/>
          <w:szCs w:val="21"/>
          <w:highlight w:val="none"/>
        </w:rPr>
        <w:sectPr>
          <w:endnotePr>
            <w:numFmt w:val="decimal"/>
          </w:endnotePr>
          <w:pgSz w:w="11906" w:h="16838"/>
          <w:pgMar w:top="1417" w:right="1417" w:bottom="1417" w:left="1417" w:header="851" w:footer="907" w:gutter="0"/>
          <w:cols w:space="720" w:num="1"/>
          <w:titlePg/>
          <w:docGrid w:type="lines" w:linePitch="312" w:charSpace="0"/>
        </w:sectPr>
      </w:pPr>
    </w:p>
    <w:p>
      <w:pPr>
        <w:pStyle w:val="8"/>
        <w:numPr>
          <w:ilvl w:val="3"/>
          <w:numId w:val="0"/>
        </w:numPr>
        <w:spacing w:beforeLines="0" w:afterLines="0" w:line="356" w:lineRule="auto"/>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附表二</w:t>
      </w:r>
    </w:p>
    <w:p>
      <w:pPr>
        <w:jc w:val="center"/>
        <w:outlineLvl w:val="4"/>
        <w:rPr>
          <w:b/>
          <w:color w:val="auto"/>
          <w:sz w:val="36"/>
          <w:szCs w:val="36"/>
          <w:highlight w:val="none"/>
        </w:rPr>
      </w:pPr>
      <w:r>
        <w:rPr>
          <w:rFonts w:hint="eastAsia"/>
          <w:b/>
          <w:color w:val="auto"/>
          <w:sz w:val="36"/>
          <w:szCs w:val="36"/>
          <w:highlight w:val="none"/>
        </w:rPr>
        <w:t>技术标有效性审查表</w:t>
      </w:r>
    </w:p>
    <w:p>
      <w:pPr>
        <w:rPr>
          <w:color w:val="auto"/>
          <w:szCs w:val="21"/>
          <w:highlight w:val="none"/>
        </w:rPr>
      </w:pPr>
      <w:r>
        <w:rPr>
          <w:rFonts w:hint="eastAsia"/>
          <w:color w:val="auto"/>
          <w:szCs w:val="21"/>
          <w:highlight w:val="none"/>
        </w:rPr>
        <w:t>工程名称：</w:t>
      </w:r>
    </w:p>
    <w:tbl>
      <w:tblPr>
        <w:tblStyle w:val="21"/>
        <w:tblW w:w="13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7024"/>
        <w:gridCol w:w="1603"/>
        <w:gridCol w:w="1603"/>
        <w:gridCol w:w="160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序号</w:t>
            </w:r>
          </w:p>
        </w:tc>
        <w:tc>
          <w:tcPr>
            <w:tcW w:w="7024" w:type="dxa"/>
            <w:tcBorders>
              <w:top w:val="single" w:color="auto" w:sz="4" w:space="0"/>
              <w:left w:val="single" w:color="auto" w:sz="4" w:space="0"/>
              <w:bottom w:val="single" w:color="auto" w:sz="4" w:space="0"/>
              <w:right w:val="single" w:color="auto" w:sz="4" w:space="0"/>
              <w:tl2br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 xml:space="preserve">               </w:t>
            </w:r>
            <w:r>
              <w:rPr>
                <w:rFonts w:hint="eastAsia" w:ascii="宋体" w:hAnsi="宋体"/>
                <w:color w:val="auto"/>
                <w:szCs w:val="21"/>
                <w:highlight w:val="none"/>
              </w:rPr>
              <w:t xml:space="preserve">                         投标人</w:t>
            </w:r>
          </w:p>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评审内容</w:t>
            </w: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1</w:t>
            </w:r>
          </w:p>
        </w:tc>
        <w:tc>
          <w:tcPr>
            <w:tcW w:w="70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u w:val="single"/>
                <w:lang w:bidi="ar"/>
              </w:rPr>
              <w:t>不能满足完成投标项目工期的；</w:t>
            </w: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2</w:t>
            </w:r>
          </w:p>
        </w:tc>
        <w:tc>
          <w:tcPr>
            <w:tcW w:w="70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u w:val="single"/>
                <w:lang w:bidi="ar"/>
              </w:rPr>
              <w:t>不符合招标文件质量标准的；</w:t>
            </w: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3</w:t>
            </w:r>
          </w:p>
        </w:tc>
        <w:tc>
          <w:tcPr>
            <w:tcW w:w="70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lang w:bidi="ar"/>
              </w:rPr>
              <w:t>投标文件中没有有效的法定代表人证明书，或由委托代理人</w:t>
            </w:r>
            <w:r>
              <w:rPr>
                <w:rFonts w:hint="eastAsia" w:ascii="宋体" w:hAnsi="宋体" w:cs="宋体"/>
                <w:color w:val="auto"/>
                <w:szCs w:val="21"/>
                <w:highlight w:val="none"/>
                <w:u w:val="single"/>
                <w:lang w:bidi="ar"/>
              </w:rPr>
              <w:t>签字或盖章</w:t>
            </w:r>
            <w:r>
              <w:rPr>
                <w:rFonts w:hint="eastAsia" w:ascii="宋体" w:hAnsi="宋体" w:cs="宋体"/>
                <w:color w:val="auto"/>
                <w:szCs w:val="21"/>
                <w:highlight w:val="none"/>
                <w:lang w:bidi="ar"/>
              </w:rPr>
              <w:t>的投标文件中没有法定代表人授权书；</w:t>
            </w: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4</w:t>
            </w:r>
          </w:p>
        </w:tc>
        <w:tc>
          <w:tcPr>
            <w:tcW w:w="70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lang w:bidi="ar"/>
              </w:rPr>
              <w:t>投标文件未按规定的格式</w:t>
            </w:r>
            <w:r>
              <w:rPr>
                <w:rFonts w:hint="eastAsia" w:ascii="宋体" w:hAnsi="宋体" w:cs="宋体"/>
                <w:color w:val="auto"/>
                <w:szCs w:val="21"/>
                <w:highlight w:val="none"/>
                <w:u w:val="single"/>
                <w:lang w:bidi="ar"/>
              </w:rPr>
              <w:t>（指招标文件第四章投标文件（含资格审查文件）格式</w:t>
            </w:r>
            <w:r>
              <w:rPr>
                <w:rFonts w:hint="eastAsia" w:ascii="宋体" w:hAnsi="宋体" w:cs="宋体"/>
                <w:color w:val="auto"/>
                <w:szCs w:val="21"/>
                <w:highlight w:val="none"/>
                <w:u w:val="single"/>
                <w:lang w:val="en-US" w:eastAsia="zh-CN" w:bidi="ar"/>
              </w:rPr>
              <w:t>3</w:t>
            </w:r>
            <w:r>
              <w:rPr>
                <w:rFonts w:hint="eastAsia" w:ascii="宋体" w:hAnsi="宋体" w:cs="宋体"/>
                <w:color w:val="auto"/>
                <w:szCs w:val="21"/>
                <w:highlight w:val="none"/>
                <w:u w:val="single"/>
                <w:lang w:bidi="ar"/>
              </w:rPr>
              <w:t>）</w:t>
            </w:r>
            <w:r>
              <w:rPr>
                <w:rFonts w:hint="eastAsia" w:ascii="宋体" w:hAnsi="宋体" w:cs="宋体"/>
                <w:color w:val="auto"/>
                <w:szCs w:val="21"/>
                <w:highlight w:val="none"/>
                <w:lang w:bidi="ar"/>
              </w:rPr>
              <w:t>填写，或主要内容不全，或关键字迹模糊、无法辨认的；</w:t>
            </w: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5</w:t>
            </w:r>
          </w:p>
        </w:tc>
        <w:tc>
          <w:tcPr>
            <w:tcW w:w="70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lang w:bidi="ar"/>
              </w:rPr>
              <w:t>投标人之间存在《广东省实施&lt;中华人民共和国招标投标法&gt;》第十六条所禁止的情形的；</w:t>
            </w: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6</w:t>
            </w:r>
          </w:p>
        </w:tc>
        <w:tc>
          <w:tcPr>
            <w:tcW w:w="70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lang w:bidi="ar"/>
              </w:rPr>
              <w:t>无《参与编制技术标投标文件人员名单》的；</w:t>
            </w: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7</w:t>
            </w:r>
          </w:p>
        </w:tc>
        <w:tc>
          <w:tcPr>
            <w:tcW w:w="70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lang w:bidi="ar"/>
              </w:rPr>
              <w:t>投标人与</w:t>
            </w:r>
            <w:r>
              <w:rPr>
                <w:rFonts w:hint="eastAsia" w:ascii="宋体" w:hAnsi="宋体"/>
                <w:color w:val="auto"/>
                <w:sz w:val="20"/>
                <w:highlight w:val="none"/>
                <w:u w:val="single"/>
              </w:rPr>
              <w:t>本项目</w:t>
            </w:r>
            <w:r>
              <w:rPr>
                <w:rFonts w:hint="eastAsia" w:ascii="宋体" w:hAnsi="宋体" w:cs="宋体"/>
                <w:color w:val="auto"/>
                <w:szCs w:val="21"/>
                <w:highlight w:val="none"/>
                <w:lang w:bidi="ar"/>
              </w:rPr>
              <w:t>其他投标人加密打包投标文件电脑机器特征码一致的(以</w:t>
            </w:r>
            <w:r>
              <w:rPr>
                <w:rFonts w:hint="eastAsia" w:ascii="宋体" w:hAnsi="宋体" w:cs="宋体"/>
                <w:color w:val="auto"/>
                <w:szCs w:val="21"/>
                <w:highlight w:val="none"/>
                <w:u w:val="single"/>
                <w:lang w:bidi="ar"/>
              </w:rPr>
              <w:t>广州公共资源交易中心</w:t>
            </w:r>
            <w:r>
              <w:rPr>
                <w:rFonts w:hint="eastAsia" w:ascii="宋体" w:hAnsi="宋体" w:cs="宋体"/>
                <w:color w:val="auto"/>
                <w:szCs w:val="21"/>
                <w:highlight w:val="none"/>
                <w:lang w:bidi="ar"/>
              </w:rPr>
              <w:t>交易平台评标系统的检索信息为准)。</w:t>
            </w: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c>
          <w:tcPr>
            <w:tcW w:w="1603"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pacing w:before="0" w:beforeAutospacing="0" w:after="0" w:afterAutospacing="0"/>
              <w:ind w:left="0" w:right="0"/>
              <w:rPr>
                <w:rFonts w:hint="default" w:ascii="宋体" w:hAnsi="宋体"/>
                <w:color w:val="auto"/>
                <w:szCs w:val="21"/>
                <w:highlight w:val="none"/>
              </w:rPr>
            </w:pPr>
          </w:p>
        </w:tc>
      </w:tr>
    </w:tbl>
    <w:p>
      <w:pPr>
        <w:rPr>
          <w:rFonts w:ascii="宋体" w:hAnsi="宋体"/>
          <w:color w:val="auto"/>
          <w:szCs w:val="21"/>
          <w:highlight w:val="none"/>
        </w:rPr>
      </w:pPr>
      <w:r>
        <w:rPr>
          <w:rFonts w:hint="eastAsia" w:ascii="宋体" w:hAnsi="宋体"/>
          <w:color w:val="auto"/>
          <w:szCs w:val="21"/>
          <w:highlight w:val="none"/>
        </w:rPr>
        <w:t>注：1.本表使用GZZB2018-3招标文件范本，与范本内容不同之处均以下划线标明。技术标评审中，响应性、承诺性内容不应作为评分因素，可在该表中对上述内容进行符合性审查。审查标准须具备可操作性。</w:t>
      </w:r>
    </w:p>
    <w:p>
      <w:pPr>
        <w:rPr>
          <w:rFonts w:ascii="宋体" w:hAnsi="宋体"/>
          <w:color w:val="auto"/>
          <w:szCs w:val="21"/>
          <w:highlight w:val="none"/>
        </w:rPr>
      </w:pPr>
      <w:r>
        <w:rPr>
          <w:rFonts w:hint="eastAsia" w:ascii="宋体" w:hAnsi="宋体"/>
          <w:color w:val="auto"/>
          <w:szCs w:val="21"/>
          <w:highlight w:val="none"/>
        </w:rPr>
        <w:t>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rPr>
          <w:rFonts w:ascii="宋体" w:hAnsi="宋体"/>
          <w:color w:val="auto"/>
          <w:szCs w:val="21"/>
          <w:highlight w:val="none"/>
        </w:rPr>
      </w:pPr>
      <w:r>
        <w:rPr>
          <w:rFonts w:hint="eastAsia" w:ascii="宋体" w:hAnsi="宋体"/>
          <w:color w:val="auto"/>
          <w:szCs w:val="21"/>
          <w:highlight w:val="none"/>
        </w:rPr>
        <w:t>3.凡出现以上任何一项情形，结论均为无效，否则就为有效。</w:t>
      </w:r>
    </w:p>
    <w:p>
      <w:pPr>
        <w:rPr>
          <w:rFonts w:ascii="宋体" w:hAnsi="宋体"/>
          <w:color w:val="auto"/>
          <w:szCs w:val="21"/>
          <w:highlight w:val="none"/>
        </w:rPr>
      </w:pPr>
      <w:r>
        <w:rPr>
          <w:rFonts w:hint="eastAsia" w:ascii="宋体" w:hAnsi="宋体"/>
          <w:color w:val="auto"/>
          <w:szCs w:val="21"/>
          <w:highlight w:val="none"/>
        </w:rPr>
        <w:t>4.如对本表中某种情形的评审意见不一致时，以评标委员会过半数成员的意见作为评标委员会对该情形的认定结论。</w:t>
      </w:r>
    </w:p>
    <w:p>
      <w:pPr>
        <w:rPr>
          <w:rFonts w:ascii="宋体" w:hAnsi="宋体"/>
          <w:color w:val="auto"/>
          <w:szCs w:val="21"/>
          <w:highlight w:val="none"/>
        </w:rPr>
      </w:pPr>
      <w:r>
        <w:rPr>
          <w:rFonts w:hint="eastAsia" w:ascii="宋体" w:hAnsi="宋体"/>
          <w:color w:val="auto"/>
          <w:szCs w:val="21"/>
          <w:highlight w:val="none"/>
        </w:rPr>
        <w:t>评委签名：</w:t>
      </w:r>
    </w:p>
    <w:p>
      <w:pPr>
        <w:pStyle w:val="20"/>
        <w:ind w:firstLine="458"/>
        <w:rPr>
          <w:rFonts w:ascii="黑体" w:hAnsi="黑体" w:eastAsia="黑体" w:cs="黑体"/>
          <w:b/>
          <w:bCs/>
          <w:color w:val="auto"/>
          <w:sz w:val="28"/>
          <w:szCs w:val="28"/>
          <w:highlight w:val="none"/>
        </w:rPr>
      </w:pPr>
      <w:r>
        <w:rPr>
          <w:color w:val="auto"/>
          <w:highlight w:val="none"/>
        </w:rPr>
        <w:br w:type="page"/>
      </w:r>
      <w:r>
        <w:rPr>
          <w:rFonts w:hint="eastAsia" w:ascii="黑体" w:hAnsi="黑体" w:eastAsia="黑体" w:cs="黑体"/>
          <w:b/>
          <w:bCs/>
          <w:color w:val="auto"/>
          <w:sz w:val="28"/>
          <w:szCs w:val="28"/>
          <w:highlight w:val="none"/>
        </w:rPr>
        <w:t>附表三</w:t>
      </w:r>
    </w:p>
    <w:p>
      <w:pPr>
        <w:jc w:val="center"/>
        <w:outlineLvl w:val="4"/>
        <w:rPr>
          <w:b/>
          <w:color w:val="auto"/>
          <w:sz w:val="36"/>
          <w:szCs w:val="36"/>
          <w:highlight w:val="none"/>
        </w:rPr>
      </w:pPr>
      <w:r>
        <w:rPr>
          <w:rFonts w:hint="eastAsia"/>
          <w:b/>
          <w:color w:val="auto"/>
          <w:sz w:val="36"/>
          <w:szCs w:val="36"/>
          <w:highlight w:val="none"/>
        </w:rPr>
        <w:t>经济标有效性审查表</w:t>
      </w:r>
    </w:p>
    <w:p>
      <w:pPr>
        <w:rPr>
          <w:color w:val="auto"/>
          <w:szCs w:val="21"/>
          <w:highlight w:val="none"/>
        </w:rPr>
      </w:pPr>
      <w:r>
        <w:rPr>
          <w:rFonts w:hint="eastAsia"/>
          <w:color w:val="auto"/>
          <w:szCs w:val="21"/>
          <w:highlight w:val="none"/>
        </w:rPr>
        <w:t>工程名称：</w:t>
      </w:r>
    </w:p>
    <w:tbl>
      <w:tblPr>
        <w:tblStyle w:val="21"/>
        <w:tblW w:w="15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786"/>
        <w:gridCol w:w="1282"/>
        <w:gridCol w:w="1282"/>
        <w:gridCol w:w="1282"/>
        <w:gridCol w:w="1282"/>
        <w:gridCol w:w="1282"/>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序号</w:t>
            </w:r>
          </w:p>
        </w:tc>
        <w:tc>
          <w:tcPr>
            <w:tcW w:w="6786" w:type="dxa"/>
            <w:tcBorders>
              <w:top w:val="single" w:color="auto" w:sz="4" w:space="0"/>
              <w:left w:val="single" w:color="auto" w:sz="4" w:space="0"/>
              <w:bottom w:val="single" w:color="auto" w:sz="4" w:space="0"/>
              <w:right w:val="single" w:color="auto" w:sz="4" w:space="0"/>
              <w:tl2br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 xml:space="preserve">               </w:t>
            </w:r>
            <w:r>
              <w:rPr>
                <w:rFonts w:hint="eastAsia" w:ascii="宋体" w:hAnsi="宋体"/>
                <w:color w:val="auto"/>
                <w:szCs w:val="21"/>
                <w:highlight w:val="none"/>
              </w:rPr>
              <w:t xml:space="preserve">                      投标人</w:t>
            </w:r>
          </w:p>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评审内容</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1</w:t>
            </w:r>
          </w:p>
        </w:tc>
        <w:tc>
          <w:tcPr>
            <w:tcW w:w="6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对同一招标项目出现两个或以上的投标报价，且没有申明哪个有效；</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2</w:t>
            </w:r>
          </w:p>
        </w:tc>
        <w:tc>
          <w:tcPr>
            <w:tcW w:w="6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投标总报价高于最高投标限价的；</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3</w:t>
            </w:r>
          </w:p>
        </w:tc>
        <w:tc>
          <w:tcPr>
            <w:tcW w:w="6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投标报价低于成本的（投标人的报价低于工程成本警戒价，使得其投标报价可能低于其个别成本，又不能合理说明或者不能提供相关证明材料，评标委员会认定该投标人低于成本报价的）；</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4</w:t>
            </w:r>
          </w:p>
        </w:tc>
        <w:tc>
          <w:tcPr>
            <w:tcW w:w="6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2" w:leftChars="-1" w:right="0"/>
              <w:jc w:val="left"/>
              <w:rPr>
                <w:rFonts w:hint="default" w:ascii="宋体" w:hAnsi="宋体"/>
                <w:color w:val="auto"/>
                <w:szCs w:val="21"/>
                <w:highlight w:val="none"/>
              </w:rPr>
            </w:pPr>
            <w:r>
              <w:rPr>
                <w:rFonts w:hint="eastAsia" w:ascii="宋体" w:hAnsi="宋体" w:cs="宋体"/>
                <w:color w:val="auto"/>
                <w:szCs w:val="21"/>
                <w:highlight w:val="none"/>
              </w:rPr>
              <w:t>算术复核后的投标报价与原投标报价相比存在1%或以上误差的；</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5</w:t>
            </w:r>
          </w:p>
        </w:tc>
        <w:tc>
          <w:tcPr>
            <w:tcW w:w="6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投标文件未按规定的格式</w:t>
            </w:r>
            <w:r>
              <w:rPr>
                <w:rFonts w:hint="eastAsia" w:ascii="宋体" w:hAnsi="宋体" w:cs="宋体"/>
                <w:color w:val="auto"/>
                <w:szCs w:val="21"/>
                <w:highlight w:val="none"/>
                <w:u w:val="single"/>
                <w:lang w:bidi="ar"/>
              </w:rPr>
              <w:t>（指招标文件第四章经济标投标文件格式</w:t>
            </w:r>
            <w:r>
              <w:rPr>
                <w:rFonts w:hint="eastAsia" w:ascii="宋体" w:hAnsi="宋体" w:cs="宋体"/>
                <w:color w:val="auto"/>
                <w:szCs w:val="21"/>
                <w:highlight w:val="none"/>
                <w:u w:val="single"/>
                <w:lang w:val="en-US" w:eastAsia="zh-CN" w:bidi="ar"/>
              </w:rPr>
              <w:t>3</w:t>
            </w:r>
            <w:r>
              <w:rPr>
                <w:rFonts w:hint="eastAsia" w:ascii="宋体" w:hAnsi="宋体" w:cs="宋体"/>
                <w:color w:val="auto"/>
                <w:szCs w:val="21"/>
                <w:highlight w:val="none"/>
                <w:u w:val="single"/>
                <w:lang w:bidi="ar"/>
              </w:rPr>
              <w:t>、格式</w:t>
            </w:r>
            <w:r>
              <w:rPr>
                <w:rFonts w:hint="eastAsia" w:ascii="宋体" w:hAnsi="宋体" w:cs="宋体"/>
                <w:color w:val="auto"/>
                <w:szCs w:val="21"/>
                <w:highlight w:val="none"/>
                <w:u w:val="single"/>
                <w:lang w:val="en-US" w:eastAsia="zh-CN" w:bidi="ar"/>
              </w:rPr>
              <w:t>4</w:t>
            </w:r>
            <w:r>
              <w:rPr>
                <w:rFonts w:hint="eastAsia" w:ascii="宋体" w:hAnsi="宋体" w:cs="宋体"/>
                <w:color w:val="auto"/>
                <w:szCs w:val="21"/>
                <w:highlight w:val="none"/>
                <w:u w:val="single"/>
                <w:lang w:bidi="ar"/>
              </w:rPr>
              <w:t>）</w:t>
            </w:r>
            <w:r>
              <w:rPr>
                <w:rFonts w:hint="eastAsia" w:ascii="宋体" w:hAnsi="宋体" w:cs="宋体"/>
                <w:color w:val="auto"/>
                <w:szCs w:val="21"/>
                <w:highlight w:val="none"/>
              </w:rPr>
              <w:t>填写，或主要内容不全，或关键字迹模糊、无法辨认的；</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6</w:t>
            </w:r>
          </w:p>
        </w:tc>
        <w:tc>
          <w:tcPr>
            <w:tcW w:w="6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不同投标人的投标报价中分部分项工程量清单综合单价相似度达到80%及以上的(以</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交易平台评标系统的检索信息为准)；</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7</w:t>
            </w:r>
          </w:p>
        </w:tc>
        <w:tc>
          <w:tcPr>
            <w:tcW w:w="6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投标人之间存在《广东省实施&lt;中华人民共和国招标投标法&gt;》第十六条所禁止的情形的；</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8</w:t>
            </w:r>
          </w:p>
        </w:tc>
        <w:tc>
          <w:tcPr>
            <w:tcW w:w="6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无《参与编制经济标投标文件人员名单》的；</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default" w:ascii="宋体" w:hAnsi="宋体"/>
                <w:color w:val="auto"/>
                <w:szCs w:val="21"/>
                <w:highlight w:val="none"/>
              </w:rPr>
              <w:t>9</w:t>
            </w:r>
          </w:p>
        </w:tc>
        <w:tc>
          <w:tcPr>
            <w:tcW w:w="6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s="宋体"/>
                <w:color w:val="auto"/>
                <w:szCs w:val="21"/>
                <w:highlight w:val="none"/>
              </w:rPr>
              <w:t>无</w:t>
            </w:r>
            <w:r>
              <w:rPr>
                <w:rFonts w:hint="eastAsia" w:ascii="宋体" w:hAnsi="宋体" w:cs="宋体"/>
                <w:color w:val="auto"/>
                <w:szCs w:val="21"/>
                <w:highlight w:val="none"/>
                <w:u w:val="single"/>
              </w:rPr>
              <w:t>《对投标文件编制的承诺》、《投标文件编制情况》。</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10</w:t>
            </w:r>
          </w:p>
        </w:tc>
        <w:tc>
          <w:tcPr>
            <w:tcW w:w="6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cs="宋体"/>
                <w:color w:val="auto"/>
                <w:szCs w:val="21"/>
                <w:highlight w:val="none"/>
              </w:rPr>
            </w:pPr>
            <w:r>
              <w:rPr>
                <w:rFonts w:hint="eastAsia" w:ascii="宋体" w:hAnsi="宋体" w:cs="宋体"/>
                <w:color w:val="auto"/>
                <w:szCs w:val="21"/>
                <w:highlight w:val="none"/>
              </w:rPr>
              <w:t>投标人与本项目其他投标人的投标文件工程量清单编制机器硬件信息一致的（以广州公共资源交易中心交易平台评标系统的检索信息为准）。</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28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bl>
    <w:p>
      <w:pPr>
        <w:ind w:firstLine="458"/>
        <w:rPr>
          <w:rFonts w:ascii="宋体" w:hAnsi="宋体"/>
          <w:color w:val="auto"/>
          <w:szCs w:val="21"/>
          <w:highlight w:val="none"/>
        </w:rPr>
      </w:pPr>
      <w:r>
        <w:rPr>
          <w:rFonts w:hint="eastAsia" w:ascii="宋体" w:hAnsi="宋体"/>
          <w:color w:val="auto"/>
          <w:szCs w:val="21"/>
          <w:highlight w:val="none"/>
        </w:rPr>
        <w:t>注：1.本表使用GZZB2018-3招标文件范本，与范本内容不同之处均以下划线标明。</w:t>
      </w:r>
    </w:p>
    <w:p>
      <w:pPr>
        <w:ind w:firstLine="458"/>
        <w:rPr>
          <w:rFonts w:ascii="宋体" w:hAnsi="宋体"/>
          <w:color w:val="auto"/>
          <w:szCs w:val="21"/>
          <w:highlight w:val="none"/>
        </w:rPr>
      </w:pPr>
      <w:r>
        <w:rPr>
          <w:rFonts w:hint="eastAsia" w:ascii="宋体" w:hAnsi="宋体"/>
          <w:color w:val="auto"/>
          <w:szCs w:val="21"/>
          <w:highlight w:val="none"/>
        </w:rPr>
        <w:t>2.凡出现以上任何一项情形，结论均为无效，否则就为有效。</w:t>
      </w:r>
    </w:p>
    <w:p>
      <w:pPr>
        <w:ind w:firstLine="458"/>
        <w:rPr>
          <w:rFonts w:ascii="宋体" w:hAnsi="宋体"/>
          <w:color w:val="auto"/>
          <w:szCs w:val="21"/>
          <w:highlight w:val="none"/>
        </w:rPr>
      </w:pPr>
      <w:r>
        <w:rPr>
          <w:rFonts w:hint="eastAsia" w:ascii="宋体" w:hAnsi="宋体"/>
          <w:color w:val="auto"/>
          <w:szCs w:val="21"/>
          <w:highlight w:val="none"/>
        </w:rPr>
        <w:t>3.如对本表中某种情形的评审意见不一致时，以评标委员会过半数成员的意见作为评标委员会对该情形的认定结论。</w:t>
      </w:r>
    </w:p>
    <w:p>
      <w:pPr>
        <w:ind w:firstLine="458"/>
        <w:rPr>
          <w:rFonts w:ascii="宋体" w:hAnsi="宋体"/>
          <w:color w:val="auto"/>
          <w:szCs w:val="21"/>
          <w:highlight w:val="none"/>
        </w:rPr>
      </w:pPr>
      <w:r>
        <w:rPr>
          <w:rFonts w:hint="eastAsia" w:ascii="宋体" w:hAnsi="宋体"/>
          <w:color w:val="auto"/>
          <w:szCs w:val="21"/>
          <w:highlight w:val="none"/>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20"/>
        <w:ind w:firstLine="458"/>
        <w:rPr>
          <w:rFonts w:ascii="宋体" w:hAnsi="宋体"/>
          <w:color w:val="auto"/>
          <w:sz w:val="21"/>
          <w:szCs w:val="21"/>
          <w:highlight w:val="none"/>
        </w:rPr>
        <w:sectPr>
          <w:endnotePr>
            <w:numFmt w:val="decimal"/>
          </w:endnotePr>
          <w:pgSz w:w="16838" w:h="11906" w:orient="landscape"/>
          <w:pgMar w:top="1418" w:right="1247" w:bottom="1418" w:left="1134" w:header="851" w:footer="907" w:gutter="0"/>
          <w:cols w:space="720" w:num="1"/>
          <w:titlePg/>
          <w:docGrid w:type="lines" w:linePitch="312" w:charSpace="0"/>
        </w:sectPr>
      </w:pPr>
      <w:r>
        <w:rPr>
          <w:rFonts w:hint="eastAsia" w:ascii="宋体" w:hAnsi="宋体"/>
          <w:color w:val="auto"/>
          <w:kern w:val="2"/>
          <w:sz w:val="21"/>
          <w:szCs w:val="21"/>
          <w:highlight w:val="none"/>
        </w:rPr>
        <w:t>评委签名</w:t>
      </w:r>
      <w:r>
        <w:rPr>
          <w:rFonts w:hint="eastAsia" w:ascii="宋体" w:hAnsi="宋体"/>
          <w:color w:val="auto"/>
          <w:sz w:val="21"/>
          <w:szCs w:val="21"/>
          <w:highlight w:val="none"/>
        </w:rPr>
        <w:t>：</w:t>
      </w:r>
    </w:p>
    <w:p>
      <w:pPr>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附表四</w:t>
      </w:r>
    </w:p>
    <w:p>
      <w:pPr>
        <w:jc w:val="center"/>
        <w:rPr>
          <w:rFonts w:ascii="宋体" w:hAnsi="宋体" w:cs="宋体"/>
          <w:color w:val="auto"/>
          <w:highlight w:val="none"/>
        </w:rPr>
      </w:pPr>
      <w:r>
        <w:rPr>
          <w:rFonts w:hint="eastAsia" w:ascii="宋体" w:hAnsi="宋体" w:cs="宋体"/>
          <w:b/>
          <w:color w:val="auto"/>
          <w:sz w:val="36"/>
          <w:szCs w:val="36"/>
          <w:highlight w:val="none"/>
        </w:rPr>
        <w:t>技术标详细审查评分表</w:t>
      </w:r>
    </w:p>
    <w:tbl>
      <w:tblPr>
        <w:tblStyle w:val="21"/>
        <w:tblW w:w="5000" w:type="pct"/>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1"/>
        <w:gridCol w:w="810"/>
        <w:gridCol w:w="619"/>
        <w:gridCol w:w="1225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trPr>
        <w:tc>
          <w:tcPr>
            <w:tcW w:w="19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评分项目</w:t>
            </w: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评分内容</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分值</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评审标准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综合能力</w:t>
            </w: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同类</w:t>
            </w:r>
            <w:r>
              <w:rPr>
                <w:rFonts w:hint="eastAsia" w:ascii="宋体" w:hAnsi="宋体" w:eastAsia="宋体" w:cs="宋体"/>
                <w:b w:val="0"/>
                <w:bCs/>
                <w:color w:val="auto"/>
                <w:sz w:val="21"/>
                <w:szCs w:val="21"/>
                <w:highlight w:val="none"/>
              </w:rPr>
              <w:t>业绩</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eastAsia="zh-CN"/>
              </w:rPr>
              <w:t>18</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供应商自</w:t>
            </w:r>
            <w:r>
              <w:rPr>
                <w:rFonts w:hint="eastAsia" w:ascii="宋体" w:hAnsi="宋体" w:eastAsia="宋体" w:cs="宋体"/>
                <w:b w:val="0"/>
                <w:bCs/>
                <w:color w:val="auto"/>
                <w:sz w:val="21"/>
                <w:szCs w:val="21"/>
                <w:highlight w:val="none"/>
                <w:lang w:eastAsia="zh-CN"/>
              </w:rPr>
              <w:t>2021年1月1日</w:t>
            </w:r>
            <w:r>
              <w:rPr>
                <w:rFonts w:hint="eastAsia" w:ascii="宋体" w:hAnsi="宋体" w:eastAsia="宋体" w:cs="宋体"/>
                <w:b w:val="0"/>
                <w:bCs/>
                <w:color w:val="auto"/>
                <w:sz w:val="21"/>
                <w:szCs w:val="21"/>
                <w:highlight w:val="none"/>
              </w:rPr>
              <w:t>至今承接过</w:t>
            </w:r>
            <w:r>
              <w:rPr>
                <w:rFonts w:hint="eastAsia" w:ascii="宋体" w:hAnsi="宋体" w:eastAsia="宋体" w:cs="宋体"/>
                <w:b w:val="0"/>
                <w:bCs/>
                <w:color w:val="auto"/>
                <w:sz w:val="21"/>
                <w:szCs w:val="21"/>
                <w:highlight w:val="none"/>
                <w:lang w:val="en-US" w:eastAsia="zh-CN"/>
              </w:rPr>
              <w:t>工程施工</w:t>
            </w:r>
            <w:r>
              <w:rPr>
                <w:rFonts w:hint="eastAsia" w:ascii="宋体" w:hAnsi="宋体" w:eastAsia="宋体" w:cs="宋体"/>
                <w:b w:val="0"/>
                <w:bCs/>
                <w:color w:val="auto"/>
                <w:sz w:val="21"/>
                <w:szCs w:val="21"/>
                <w:highlight w:val="none"/>
                <w:lang w:val="zh-TW" w:eastAsia="zh-TW"/>
              </w:rPr>
              <w:t>类业绩的</w:t>
            </w:r>
            <w:r>
              <w:rPr>
                <w:rFonts w:hint="eastAsia" w:ascii="宋体" w:hAnsi="宋体" w:eastAsia="宋体" w:cs="宋体"/>
                <w:b w:val="0"/>
                <w:bCs/>
                <w:color w:val="auto"/>
                <w:sz w:val="21"/>
                <w:szCs w:val="21"/>
                <w:highlight w:val="none"/>
              </w:rPr>
              <w:t>，每提供1项得</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val="en-US" w:eastAsia="zh-CN"/>
              </w:rPr>
              <w:t>最高18</w:t>
            </w:r>
            <w:r>
              <w:rPr>
                <w:rFonts w:hint="eastAsia" w:ascii="宋体" w:hAnsi="宋体" w:eastAsia="宋体" w:cs="宋体"/>
                <w:b w:val="0"/>
                <w:bCs/>
                <w:color w:val="auto"/>
                <w:sz w:val="21"/>
                <w:szCs w:val="21"/>
                <w:highlight w:val="none"/>
              </w:rPr>
              <w:t>分；不提供不得分。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注：同时提供以下业绩证明文件：（1）业绩合同或协议，施工合同或协议需载明对应的工程内容；若合同或协议不能清晰体现的，则需建设单位提供的盖章证明资料中载明的内容为准。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奖项情况</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lang w:val="en-US"/>
              </w:rPr>
            </w:pPr>
            <w:r>
              <w:rPr>
                <w:rFonts w:hint="eastAsia" w:ascii="宋体" w:hAnsi="宋体" w:eastAsia="宋体" w:cs="宋体"/>
                <w:b w:val="0"/>
                <w:bCs/>
                <w:color w:val="auto"/>
                <w:sz w:val="21"/>
                <w:szCs w:val="21"/>
                <w:highlight w:val="none"/>
                <w:lang w:val="en-US" w:eastAsia="zh-CN"/>
              </w:rPr>
              <w:t>10</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1、供应商自2021年1月1日至响应截止时间止获得过项目优良样板工程的，其中：①获得过市级奖项的每项得4分，本小项最高得4分；②获得过省级或以上奖项的每项得6分，本小项最高得6分。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注：指房建工程或市政工程优良样板工程相关奖项。同一项目所获奖项只计一次得分，时间以获奖证书发证日期为准。需提供获奖证书复印件并加盖供应商公章。</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管理体系认证</w:t>
            </w:r>
            <w:r>
              <w:rPr>
                <w:rFonts w:hint="eastAsia" w:ascii="宋体" w:hAnsi="宋体" w:eastAsia="宋体" w:cs="宋体"/>
                <w:b w:val="0"/>
                <w:bCs/>
                <w:color w:val="auto"/>
                <w:sz w:val="21"/>
                <w:szCs w:val="21"/>
                <w:highlight w:val="none"/>
                <w:lang w:val="en-US" w:eastAsia="zh-CN"/>
              </w:rPr>
              <w:t>情况</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3</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供应商具备有效期内的质量管理体系认证证书、环境管理体系认证证书、职业健康安全管理体系认证证书，每提供1个得1分，最高得3分。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注：须提供认证证书复印件及国家市场监督管理总局全国认证认可信息公共服务平台网站（http://cx.cnca.cn/CertECloud/result/skipResultList）查询结果</w:t>
            </w:r>
            <w:r>
              <w:rPr>
                <w:rFonts w:hint="eastAsia" w:ascii="宋体" w:hAnsi="宋体" w:eastAsia="宋体" w:cs="宋体"/>
                <w:b w:val="0"/>
                <w:bCs/>
                <w:color w:val="auto"/>
                <w:sz w:val="21"/>
                <w:szCs w:val="21"/>
                <w:highlight w:val="none"/>
              </w:rPr>
              <w:t>截图。</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技术能力</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投标人获得过工程项目相关专利，每提供一项得2分，本项最高得6分。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项目负责人综合素质</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项目负责人程类技术职称情况：</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具备高级工程师或以上技术职称的，得4分。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具备中级工程师技术职称的，得2分。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具备助理工程师技术职称的，得1分。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不具备以上职称的，或未提供职称证复印件的，不予计分。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注：需附职称证复印件（具备职称评审公告网址可查条件的，需提供职称评审公告网址与打印件），一经发生职称相关异议时需提供原件供核对（职称证为电子证书打印件的除外）。</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vMerge w:val="restart"/>
            <w:tcBorders>
              <w:top w:val="single" w:color="auto" w:sz="4" w:space="0"/>
              <w:left w:val="nil"/>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拟派人员资质要求</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拟委派技术负责人：</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1.具有建筑类中级或以上工程师技术职称，得2分；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注：1.须提供身份证、职称证复印件并加盖公章及公告截止日期前三个月内任意1个月的社保证明；3.未按上述要求提供证明材料的，本小项不得分。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vMerge w:val="continue"/>
            <w:tcBorders>
              <w:left w:val="nil"/>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拟委派造价负责人：</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1.具备有效期内的注册一级造价师证书，得2分；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2.具有注册安全工程师，得2分；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注：1.提供职称证书及注册造价师证书复印件并加盖公章；2.须提供身份证、职称证书复印件并加盖公章及公告截止日期前三个月内任意1个月的的社保证明；3.未按上述要求提供证明材料的，本小项不得分。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vMerge w:val="continue"/>
            <w:tcBorders>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3</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拟委派</w:t>
            </w:r>
            <w:r>
              <w:rPr>
                <w:rFonts w:hint="eastAsia" w:ascii="宋体" w:hAnsi="宋体" w:eastAsia="宋体" w:cs="宋体"/>
                <w:b w:val="0"/>
                <w:bCs/>
                <w:color w:val="auto"/>
                <w:sz w:val="21"/>
                <w:szCs w:val="21"/>
                <w:highlight w:val="none"/>
                <w:lang w:val="en-US" w:eastAsia="zh-CN"/>
              </w:rPr>
              <w:t>团队成员</w:t>
            </w:r>
            <w:r>
              <w:rPr>
                <w:rFonts w:hint="eastAsia" w:ascii="宋体" w:hAnsi="宋体" w:eastAsia="宋体" w:cs="宋体"/>
                <w:b w:val="0"/>
                <w:bCs/>
                <w:color w:val="auto"/>
                <w:sz w:val="21"/>
                <w:szCs w:val="21"/>
                <w:highlight w:val="none"/>
              </w:rPr>
              <w:t>：</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配备施工员、质量员、材料员、资料员、标准员、机械员、劳务员各1名，配备齐全的得3分，配备不齐全不得分。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注：1.须提供证书</w:t>
            </w:r>
            <w:r>
              <w:rPr>
                <w:rFonts w:hint="eastAsia" w:ascii="宋体" w:hAnsi="宋体" w:eastAsia="宋体" w:cs="宋体"/>
                <w:b w:val="0"/>
                <w:bCs/>
                <w:color w:val="auto"/>
                <w:sz w:val="21"/>
                <w:szCs w:val="21"/>
                <w:highlight w:val="none"/>
                <w:lang w:val="en-US" w:eastAsia="zh-CN"/>
              </w:rPr>
              <w:t>复印件并加盖公章</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.须提供身份证及</w:t>
            </w:r>
            <w:r>
              <w:rPr>
                <w:rFonts w:hint="eastAsia" w:ascii="宋体" w:hAnsi="宋体" w:eastAsia="宋体" w:cs="宋体"/>
                <w:b w:val="0"/>
                <w:bCs/>
                <w:color w:val="auto"/>
                <w:sz w:val="21"/>
                <w:szCs w:val="21"/>
                <w:highlight w:val="none"/>
                <w:lang w:val="en-US" w:eastAsia="zh-CN"/>
              </w:rPr>
              <w:t>公告</w:t>
            </w:r>
            <w:r>
              <w:rPr>
                <w:rFonts w:hint="eastAsia" w:ascii="宋体" w:hAnsi="宋体" w:eastAsia="宋体" w:cs="宋体"/>
                <w:b w:val="0"/>
                <w:bCs/>
                <w:color w:val="auto"/>
                <w:sz w:val="21"/>
                <w:szCs w:val="21"/>
                <w:highlight w:val="none"/>
              </w:rPr>
              <w:t>截止日期前</w:t>
            </w:r>
            <w:r>
              <w:rPr>
                <w:rFonts w:hint="eastAsia" w:ascii="宋体" w:hAnsi="宋体" w:eastAsia="宋体" w:cs="宋体"/>
                <w:b w:val="0"/>
                <w:bCs/>
                <w:color w:val="auto"/>
                <w:sz w:val="21"/>
                <w:szCs w:val="21"/>
                <w:highlight w:val="none"/>
                <w:lang w:val="en-US" w:eastAsia="zh-CN"/>
              </w:rPr>
              <w:t>三个月内</w:t>
            </w:r>
            <w:r>
              <w:rPr>
                <w:rFonts w:hint="eastAsia" w:ascii="宋体" w:hAnsi="宋体" w:eastAsia="宋体" w:cs="宋体"/>
                <w:b w:val="0"/>
                <w:bCs/>
                <w:color w:val="auto"/>
                <w:sz w:val="21"/>
                <w:szCs w:val="21"/>
                <w:highlight w:val="none"/>
              </w:rPr>
              <w:t>任意</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rPr>
              <w:t>个月的社保证明；</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.未按上述要求提供证明材料的，本小项不得分。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5" w:hRule="atLeast"/>
        </w:trPr>
        <w:tc>
          <w:tcPr>
            <w:tcW w:w="19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施工组织</w:t>
            </w: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施工组织方案</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响应方案中对该项目施工组织方案及施工方法的描述，是否清晰理解工程重点难点、施工关键技术工艺是否把握准确，是否能够协调相关专业工程技术和进度要求，技术措施是否能够充分保障工程质量、工期和施工安全生产等指标综合考量：</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1.施工组织方案合理、科学，符合要求的，得</w:t>
            </w:r>
            <w:r>
              <w:rPr>
                <w:rFonts w:hint="eastAsia" w:ascii="宋体" w:hAnsi="宋体" w:eastAsia="宋体"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rPr>
              <w:t>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2.施工组织方案合理、科学，较符合要求的，得</w:t>
            </w:r>
            <w:r>
              <w:rPr>
                <w:rFonts w:hint="eastAsia" w:ascii="宋体" w:hAnsi="宋体" w:eastAsia="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rPr>
              <w:t>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3.施工组织方案合理、科学，基本符合要求的，得</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4.未提供施工组织方案或其他得0分。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施工进度计划及保证措施</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10</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施工进度计划是否符合工期要求，关键路径的准确、清晰，逻辑关系、措施是否有效保证计划实施等综合考量：</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1.施工进度计划及保证措施合理、科学，符合要求的，得10分；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2.施工进度计划及保证措施合理、科学，较符合要求的，得6分；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3.施工进度计划及保证措施合理、科学，基本符合要求的，得2分；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4.未提施工进度计划及保证措施或其他得0分。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施工现场安全管理措施</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施工现场安全管理措施包括：安全文明施工标准化图册应用方案；施工人员实名制管理、分类管理、进退场等安全管理措施；施工设备安全管理措施；高危作业如动火作业等高危作业的管理措施。综合考量上述措施的合理性，管理措施的完备性和可操作性：</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1.施工现场安全管理措施合理、科学，符合要求的，得10分；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2.施工现场安全管理措施合理、科学，较符合要求的，得6分；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3.施工现场安全管理措施合理、科学，基本符合要求的，得2分；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4.未提供施工现场安全管理措施或其他得0分。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施工质量管理体系</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响应方案中质量管理体系是否完整，职责是否分明；材料采购、过程控制及检验、分项措施针对性是否合理，是否符合国家相关质量验收规范标准等指标综合考量：</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1.施工质量管理体系合理、科学，符合要求的，得10分；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2.施工质量管理体系合理、科学，较符合要求的，得6分；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3.施工质量管理体系合理、科学，基本符合要求的，得2分；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4.未提供施工质量管理体系或其他得0分。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0" w:type="pct"/>
            <w:vMerge w:val="continue"/>
            <w:tcBorders>
              <w:top w:val="nil"/>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宋体" w:hAnsi="宋体" w:eastAsia="宋体" w:cs="宋体"/>
                <w:b w:val="0"/>
                <w:bCs/>
                <w:color w:val="auto"/>
                <w:sz w:val="21"/>
                <w:szCs w:val="21"/>
                <w:highlight w:val="none"/>
              </w:rPr>
            </w:pPr>
          </w:p>
        </w:tc>
        <w:tc>
          <w:tcPr>
            <w:tcW w:w="284"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环境保护管理体系与措施</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10</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环境保护管理体系是否完整，污染物处理及排放是否符合国家、省、市技术及管理措施，针对性是否合理等指标综合考量：</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1.环境保护管理体系与措施合理、科学，符合要求的，得10分；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2.环境保护管理体系与措施合理、科学，较符合要求的，得6分；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3.环境保护管理体系与措施合理、科学，基本符合要求的，得2分；</w:t>
            </w:r>
          </w:p>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4.未提供环境保护管理体系与措施或其他得0分。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7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合计</w:t>
            </w:r>
          </w:p>
        </w:tc>
        <w:tc>
          <w:tcPr>
            <w:tcW w:w="21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100</w:t>
            </w:r>
          </w:p>
        </w:tc>
        <w:tc>
          <w:tcPr>
            <w:tcW w:w="4307" w:type="pct"/>
            <w:tcBorders>
              <w:top w:val="single" w:color="auto" w:sz="4" w:space="0"/>
              <w:left w:val="nil"/>
              <w:bottom w:val="single" w:color="auto" w:sz="4" w:space="0"/>
              <w:right w:val="single" w:color="auto" w:sz="4" w:space="0"/>
            </w:tcBorders>
            <w:shd w:val="clear" w:color="auto" w:fill="auto"/>
            <w:noWrap/>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b w:val="0"/>
                <w:bCs/>
                <w:color w:val="auto"/>
                <w:sz w:val="21"/>
                <w:szCs w:val="21"/>
                <w:highlight w:val="none"/>
              </w:rPr>
            </w:pPr>
          </w:p>
        </w:tc>
      </w:tr>
    </w:tbl>
    <w:p>
      <w:pPr>
        <w:pStyle w:val="29"/>
        <w:ind w:firstLine="422" w:firstLineChars="200"/>
        <w:rPr>
          <w:rFonts w:ascii="宋体" w:hAnsi="宋体" w:eastAsia="宋体" w:cs="宋体"/>
          <w:b/>
          <w:color w:val="auto"/>
          <w:sz w:val="21"/>
          <w:szCs w:val="21"/>
          <w:highlight w:val="none"/>
        </w:rPr>
      </w:pPr>
    </w:p>
    <w:p>
      <w:pPr>
        <w:ind w:firstLine="424" w:firstLineChars="202"/>
        <w:rPr>
          <w:rFonts w:ascii="宋体" w:hAnsi="宋体" w:cs="宋体"/>
          <w:bCs/>
          <w:color w:val="auto"/>
          <w:szCs w:val="21"/>
          <w:highlight w:val="none"/>
        </w:rPr>
      </w:pPr>
    </w:p>
    <w:p>
      <w:pPr>
        <w:rPr>
          <w:rFonts w:hint="eastAsia"/>
          <w:color w:val="auto"/>
          <w:szCs w:val="21"/>
          <w:highlight w:val="none"/>
        </w:rPr>
      </w:pPr>
      <w:r>
        <w:rPr>
          <w:rFonts w:hint="eastAsia"/>
          <w:color w:val="auto"/>
          <w:szCs w:val="21"/>
          <w:highlight w:val="none"/>
        </w:rPr>
        <w:br w:type="page"/>
      </w:r>
    </w:p>
    <w:p>
      <w:pPr>
        <w:pStyle w:val="10"/>
        <w:rPr>
          <w:rFonts w:ascii="宋体" w:hAnsi="宋体"/>
          <w:b/>
          <w:color w:val="auto"/>
          <w:sz w:val="24"/>
          <w:szCs w:val="24"/>
          <w:highlight w:val="none"/>
        </w:rPr>
      </w:pPr>
      <w:r>
        <w:rPr>
          <w:rFonts w:hint="eastAsia"/>
          <w:color w:val="auto"/>
          <w:szCs w:val="21"/>
          <w:highlight w:val="none"/>
        </w:rPr>
        <w:t>附表四-1：项目管理机构人员配置要求表</w:t>
      </w:r>
    </w:p>
    <w:tbl>
      <w:tblPr>
        <w:tblStyle w:val="21"/>
        <w:tblW w:w="13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658"/>
        <w:gridCol w:w="709"/>
        <w:gridCol w:w="5287"/>
        <w:gridCol w:w="5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序号</w:t>
            </w:r>
          </w:p>
        </w:tc>
        <w:tc>
          <w:tcPr>
            <w:tcW w:w="1658"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类别</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数量</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基本任职条件</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7" w:leftChars="-27" w:right="-46" w:rightChars="-22"/>
              <w:jc w:val="center"/>
              <w:rPr>
                <w:rFonts w:hint="eastAsia"/>
                <w:color w:val="auto"/>
                <w:highlight w:val="none"/>
              </w:rPr>
            </w:pPr>
            <w:r>
              <w:rPr>
                <w:rFonts w:hint="eastAsia" w:ascii="宋体" w:hAnsi="宋体" w:eastAsia="宋体" w:cs="宋体"/>
                <w:color w:val="auto"/>
                <w:sz w:val="21"/>
                <w:szCs w:val="21"/>
                <w:highlight w:val="none"/>
              </w:rPr>
              <w:t>项目负责人</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按招标公告要求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2</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7" w:leftChars="-27" w:right="-46" w:rightChars="-22"/>
              <w:jc w:val="center"/>
              <w:rPr>
                <w:rFonts w:hint="eastAsia"/>
                <w:color w:val="auto"/>
                <w:highlight w:val="none"/>
              </w:rPr>
            </w:pPr>
            <w:r>
              <w:rPr>
                <w:rFonts w:hint="eastAsia" w:ascii="宋体" w:hAnsi="宋体" w:eastAsia="宋体" w:cs="宋体"/>
                <w:bCs/>
                <w:color w:val="auto"/>
                <w:spacing w:val="-2"/>
                <w:sz w:val="21"/>
                <w:szCs w:val="21"/>
                <w:highlight w:val="none"/>
              </w:rPr>
              <w:t>项目技术负责人</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按招标公告要求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3</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56" w:lineRule="exact"/>
              <w:ind w:left="-48" w:leftChars="-23" w:right="0"/>
              <w:jc w:val="center"/>
              <w:rPr>
                <w:rFonts w:hint="eastAsia"/>
                <w:color w:val="auto"/>
                <w:highlight w:val="none"/>
              </w:rPr>
            </w:pPr>
            <w:r>
              <w:rPr>
                <w:rFonts w:hint="eastAsia" w:ascii="宋体" w:hAnsi="宋体" w:eastAsia="宋体" w:cs="宋体"/>
                <w:color w:val="auto"/>
                <w:kern w:val="0"/>
                <w:sz w:val="21"/>
                <w:szCs w:val="21"/>
                <w:highlight w:val="none"/>
              </w:rPr>
              <w:t>质量负责人</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lang w:eastAsia="zh-CN"/>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73" w:type="dxa"/>
            <w:tcBorders>
              <w:top w:val="single" w:color="auto" w:sz="4" w:space="0"/>
              <w:left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4</w:t>
            </w:r>
          </w:p>
        </w:tc>
        <w:tc>
          <w:tcPr>
            <w:tcW w:w="1658" w:type="dxa"/>
            <w:tcBorders>
              <w:top w:val="single" w:color="auto" w:sz="4" w:space="0"/>
              <w:left w:val="single" w:color="auto" w:sz="4" w:space="0"/>
              <w:right w:val="single" w:color="auto" w:sz="4" w:space="0"/>
            </w:tcBorders>
            <w:noWrap/>
            <w:vAlign w:val="center"/>
          </w:tcPr>
          <w:p>
            <w:pPr>
              <w:keepNext w:val="0"/>
              <w:keepLines w:val="0"/>
              <w:widowControl/>
              <w:suppressLineNumbers w:val="0"/>
              <w:spacing w:before="0" w:beforeAutospacing="0" w:after="0" w:afterAutospacing="0" w:line="256" w:lineRule="exact"/>
              <w:ind w:left="-48" w:leftChars="-23" w:right="0"/>
              <w:jc w:val="center"/>
              <w:rPr>
                <w:rFonts w:hint="eastAsia"/>
                <w:color w:val="auto"/>
                <w:highlight w:val="none"/>
              </w:rPr>
            </w:pPr>
            <w:r>
              <w:rPr>
                <w:rFonts w:hint="eastAsia" w:ascii="宋体" w:hAnsi="宋体" w:eastAsia="宋体" w:cs="宋体"/>
                <w:color w:val="auto"/>
                <w:kern w:val="0"/>
                <w:sz w:val="21"/>
                <w:szCs w:val="21"/>
                <w:highlight w:val="none"/>
              </w:rPr>
              <w:t>安全负责人</w:t>
            </w:r>
          </w:p>
        </w:tc>
        <w:tc>
          <w:tcPr>
            <w:tcW w:w="709" w:type="dxa"/>
            <w:tcBorders>
              <w:top w:val="single" w:color="auto" w:sz="4" w:space="0"/>
              <w:left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5287" w:type="dxa"/>
            <w:tcBorders>
              <w:top w:val="single" w:color="auto" w:sz="4" w:space="0"/>
              <w:left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提供造价工程师注册证书、注册造价工程师注册信息查询网站（http://zaojiasys.jianshe99.com/cecaopsys/queryAndSearch/view.do?op=queryUserInfoInit）查询结果网页截图、职称证书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eastAsia="宋体"/>
                <w:color w:val="auto"/>
                <w:highlight w:val="none"/>
                <w:lang w:eastAsia="zh-CN"/>
              </w:rPr>
            </w:pPr>
            <w:r>
              <w:rPr>
                <w:rFonts w:hint="eastAsia"/>
                <w:color w:val="auto"/>
                <w:highlight w:val="none"/>
                <w:lang w:val="en-US" w:eastAsia="zh-CN"/>
              </w:rPr>
              <w:t>5</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5" w:leftChars="-26" w:right="-65" w:rightChars="-31"/>
              <w:jc w:val="center"/>
              <w:rPr>
                <w:rFonts w:hint="eastAsia"/>
                <w:color w:val="auto"/>
                <w:highlight w:val="none"/>
              </w:rPr>
            </w:pPr>
            <w:r>
              <w:rPr>
                <w:rFonts w:hint="eastAsia" w:ascii="宋体" w:hAnsi="宋体" w:eastAsia="宋体" w:cs="宋体"/>
                <w:bCs/>
                <w:color w:val="auto"/>
                <w:sz w:val="21"/>
                <w:szCs w:val="21"/>
                <w:highlight w:val="none"/>
              </w:rPr>
              <w:t>造价负责人</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eastAsia="宋体"/>
                <w:color w:val="auto"/>
                <w:highlight w:val="none"/>
                <w:lang w:eastAsia="zh-CN"/>
              </w:rPr>
            </w:pPr>
            <w:r>
              <w:rPr>
                <w:rFonts w:hint="eastAsia"/>
                <w:color w:val="auto"/>
                <w:highlight w:val="none"/>
                <w:lang w:val="en-US" w:eastAsia="zh-CN"/>
              </w:rPr>
              <w:t>6</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5" w:leftChars="-26" w:right="-65" w:rightChars="-31"/>
              <w:jc w:val="center"/>
              <w:rPr>
                <w:rFonts w:hint="eastAsia"/>
                <w:color w:val="auto"/>
                <w:highlight w:val="none"/>
              </w:rPr>
            </w:pPr>
            <w:r>
              <w:rPr>
                <w:rFonts w:hint="eastAsia" w:ascii="宋体" w:hAnsi="宋体" w:eastAsia="宋体" w:cs="宋体"/>
                <w:bCs/>
                <w:color w:val="auto"/>
                <w:kern w:val="44"/>
                <w:sz w:val="21"/>
                <w:szCs w:val="21"/>
                <w:highlight w:val="none"/>
              </w:rPr>
              <w:t>深化设计师</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eastAsia="宋体"/>
                <w:color w:val="auto"/>
                <w:highlight w:val="none"/>
                <w:lang w:eastAsia="zh-CN"/>
              </w:rPr>
            </w:pPr>
            <w:r>
              <w:rPr>
                <w:rFonts w:hint="eastAsia"/>
                <w:color w:val="auto"/>
                <w:highlight w:val="none"/>
                <w:lang w:val="en-US" w:eastAsia="zh-CN"/>
              </w:rPr>
              <w:t>7</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5" w:leftChars="-26" w:right="-65" w:rightChars="-31"/>
              <w:jc w:val="center"/>
              <w:rPr>
                <w:rFonts w:hint="eastAsia"/>
                <w:color w:val="auto"/>
                <w:highlight w:val="none"/>
              </w:rPr>
            </w:pPr>
            <w:r>
              <w:rPr>
                <w:rFonts w:hint="eastAsia" w:ascii="宋体" w:hAnsi="宋体" w:eastAsia="宋体" w:cs="宋体"/>
                <w:bCs/>
                <w:color w:val="auto"/>
                <w:sz w:val="21"/>
                <w:szCs w:val="21"/>
                <w:highlight w:val="none"/>
              </w:rPr>
              <w:t>专职安全员</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eastAsia="宋体"/>
                <w:color w:val="auto"/>
                <w:highlight w:val="none"/>
                <w:lang w:eastAsia="zh-CN"/>
              </w:rPr>
            </w:pPr>
            <w:r>
              <w:rPr>
                <w:rFonts w:hint="eastAsia"/>
                <w:color w:val="auto"/>
                <w:highlight w:val="none"/>
                <w:lang w:val="en-US" w:eastAsia="zh-CN"/>
              </w:rPr>
              <w:t>8</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5" w:leftChars="-26" w:right="-65" w:rightChars="-31"/>
              <w:jc w:val="center"/>
              <w:rPr>
                <w:rFonts w:hint="eastAsia"/>
                <w:color w:val="auto"/>
                <w:highlight w:val="none"/>
              </w:rPr>
            </w:pPr>
            <w:r>
              <w:rPr>
                <w:rFonts w:hint="eastAsia" w:ascii="宋体" w:hAnsi="宋体" w:eastAsia="宋体" w:cs="宋体"/>
                <w:bCs/>
                <w:color w:val="auto"/>
                <w:kern w:val="44"/>
                <w:sz w:val="21"/>
                <w:szCs w:val="21"/>
                <w:highlight w:val="none"/>
              </w:rPr>
              <w:t>材料</w:t>
            </w:r>
            <w:r>
              <w:rPr>
                <w:rFonts w:hint="eastAsia" w:ascii="宋体" w:hAnsi="宋体" w:eastAsia="宋体" w:cs="宋体"/>
                <w:bCs/>
                <w:color w:val="auto"/>
                <w:kern w:val="44"/>
                <w:sz w:val="21"/>
                <w:szCs w:val="21"/>
                <w:highlight w:val="none"/>
                <w:lang w:val="en-US" w:eastAsia="zh-CN"/>
              </w:rPr>
              <w:t>员</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eastAsia="宋体"/>
                <w:color w:val="auto"/>
                <w:highlight w:val="none"/>
                <w:lang w:eastAsia="zh-CN"/>
              </w:rPr>
            </w:pPr>
            <w:r>
              <w:rPr>
                <w:rFonts w:hint="eastAsia"/>
                <w:color w:val="auto"/>
                <w:highlight w:val="none"/>
                <w:lang w:val="en-US" w:eastAsia="zh-CN"/>
              </w:rPr>
              <w:t>9</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5" w:leftChars="-26" w:right="-65" w:rightChars="-31"/>
              <w:jc w:val="center"/>
              <w:rPr>
                <w:rFonts w:hint="eastAsia"/>
                <w:color w:val="auto"/>
                <w:highlight w:val="none"/>
              </w:rPr>
            </w:pPr>
            <w:r>
              <w:rPr>
                <w:rFonts w:hint="eastAsia" w:ascii="宋体" w:hAnsi="宋体" w:eastAsia="宋体" w:cs="宋体"/>
                <w:bCs/>
                <w:color w:val="auto"/>
                <w:kern w:val="44"/>
                <w:sz w:val="21"/>
                <w:szCs w:val="21"/>
                <w:highlight w:val="none"/>
                <w:lang w:val="en-US" w:eastAsia="zh-CN"/>
              </w:rPr>
              <w:t>土建施工员</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default" w:eastAsia="宋体"/>
                <w:color w:val="auto"/>
                <w:highlight w:val="none"/>
                <w:lang w:val="en-US" w:eastAsia="zh-CN"/>
              </w:rPr>
            </w:pPr>
            <w:r>
              <w:rPr>
                <w:rFonts w:hint="eastAsia"/>
                <w:color w:val="auto"/>
                <w:highlight w:val="none"/>
                <w:lang w:val="en-US" w:eastAsia="zh-CN"/>
              </w:rPr>
              <w:t>10</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5" w:leftChars="-26" w:right="-65" w:rightChars="-31"/>
              <w:jc w:val="center"/>
              <w:rPr>
                <w:rFonts w:hint="default" w:eastAsia="宋体"/>
                <w:color w:val="auto"/>
                <w:highlight w:val="none"/>
                <w:lang w:val="en-US" w:eastAsia="zh-CN"/>
              </w:rPr>
            </w:pPr>
            <w:r>
              <w:rPr>
                <w:rFonts w:hint="eastAsia" w:ascii="宋体" w:hAnsi="宋体" w:eastAsia="宋体" w:cs="宋体"/>
                <w:bCs/>
                <w:color w:val="auto"/>
                <w:kern w:val="44"/>
                <w:sz w:val="21"/>
                <w:szCs w:val="21"/>
                <w:highlight w:val="none"/>
                <w:lang w:val="en-US" w:eastAsia="zh-CN"/>
              </w:rPr>
              <w:t>土建质量员</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eastAsia="宋体"/>
                <w:color w:val="auto"/>
                <w:highlight w:val="none"/>
                <w:lang w:val="en-US" w:eastAsia="zh-CN"/>
              </w:rPr>
            </w:pPr>
            <w:r>
              <w:rPr>
                <w:rFonts w:hint="eastAsia"/>
                <w:color w:val="auto"/>
                <w:highlight w:val="none"/>
                <w:lang w:val="en-US" w:eastAsia="zh-CN"/>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eastAsia="宋体"/>
                <w:color w:val="auto"/>
                <w:highlight w:val="none"/>
                <w:lang w:eastAsia="zh-CN"/>
              </w:rPr>
            </w:pPr>
            <w:r>
              <w:rPr>
                <w:rFonts w:hint="eastAsia"/>
                <w:color w:val="auto"/>
                <w:highlight w:val="none"/>
              </w:rPr>
              <w:t>1</w:t>
            </w:r>
            <w:r>
              <w:rPr>
                <w:rFonts w:hint="eastAsia"/>
                <w:color w:val="auto"/>
                <w:highlight w:val="none"/>
                <w:lang w:val="en-US" w:eastAsia="zh-CN"/>
              </w:rPr>
              <w:t>1</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5" w:leftChars="-26" w:right="-65" w:rightChars="-31"/>
              <w:jc w:val="center"/>
              <w:rPr>
                <w:rFonts w:hint="eastAsia"/>
                <w:color w:val="auto"/>
                <w:highlight w:val="none"/>
              </w:rPr>
            </w:pPr>
            <w:r>
              <w:rPr>
                <w:rFonts w:hint="eastAsia" w:ascii="宋体" w:hAnsi="宋体" w:eastAsia="宋体" w:cs="宋体"/>
                <w:bCs/>
                <w:color w:val="auto"/>
                <w:kern w:val="44"/>
                <w:sz w:val="21"/>
                <w:szCs w:val="21"/>
                <w:highlight w:val="none"/>
                <w:lang w:val="en-US" w:eastAsia="zh-CN"/>
              </w:rPr>
              <w:t>机械员</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default" w:eastAsia="宋体"/>
                <w:color w:val="auto"/>
                <w:highlight w:val="none"/>
                <w:lang w:val="en-US" w:eastAsia="zh-CN"/>
              </w:rPr>
            </w:pPr>
            <w:r>
              <w:rPr>
                <w:rFonts w:hint="eastAsia"/>
                <w:color w:val="auto"/>
                <w:highlight w:val="none"/>
                <w:lang w:val="en-US" w:eastAsia="zh-CN"/>
              </w:rPr>
              <w:t>12</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5" w:leftChars="-26" w:right="-65" w:rightChars="-31"/>
              <w:jc w:val="center"/>
              <w:rPr>
                <w:rFonts w:hint="eastAsia" w:ascii="宋体" w:hAnsi="宋体" w:eastAsia="宋体" w:cs="宋体"/>
                <w:bCs/>
                <w:color w:val="auto"/>
                <w:kern w:val="44"/>
                <w:sz w:val="21"/>
                <w:szCs w:val="21"/>
                <w:highlight w:val="none"/>
                <w:lang w:val="en-US" w:eastAsia="zh-CN"/>
              </w:rPr>
            </w:pPr>
            <w:r>
              <w:rPr>
                <w:rFonts w:hint="eastAsia" w:ascii="宋体" w:hAnsi="宋体" w:eastAsia="宋体" w:cs="宋体"/>
                <w:bCs/>
                <w:color w:val="auto"/>
                <w:kern w:val="44"/>
                <w:sz w:val="21"/>
                <w:szCs w:val="21"/>
                <w:highlight w:val="none"/>
                <w:lang w:val="en-US" w:eastAsia="zh-CN"/>
              </w:rPr>
              <w:t>标准员</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eastAsia="宋体"/>
                <w:color w:val="auto"/>
                <w:highlight w:val="none"/>
                <w:lang w:val="en-US" w:eastAsia="zh-CN"/>
              </w:rPr>
            </w:pPr>
            <w:r>
              <w:rPr>
                <w:rFonts w:hint="eastAsia"/>
                <w:color w:val="auto"/>
                <w:highlight w:val="none"/>
                <w:lang w:val="en-US" w:eastAsia="zh-CN"/>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leftChars="0" w:right="0" w:rightChars="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3"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default" w:eastAsia="宋体"/>
                <w:color w:val="auto"/>
                <w:highlight w:val="none"/>
                <w:lang w:val="en-US" w:eastAsia="zh-CN"/>
              </w:rPr>
            </w:pPr>
            <w:r>
              <w:rPr>
                <w:rFonts w:hint="eastAsia"/>
                <w:color w:val="auto"/>
                <w:highlight w:val="none"/>
                <w:lang w:val="en-US" w:eastAsia="zh-CN"/>
              </w:rPr>
              <w:t>13</w:t>
            </w:r>
          </w:p>
        </w:tc>
        <w:tc>
          <w:tcPr>
            <w:tcW w:w="165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55" w:leftChars="-26" w:right="-65" w:rightChars="-31"/>
              <w:jc w:val="center"/>
              <w:rPr>
                <w:rFonts w:hint="eastAsia" w:ascii="宋体" w:hAnsi="宋体" w:eastAsia="宋体" w:cs="宋体"/>
                <w:bCs/>
                <w:color w:val="auto"/>
                <w:kern w:val="44"/>
                <w:sz w:val="21"/>
                <w:szCs w:val="21"/>
                <w:highlight w:val="none"/>
                <w:lang w:val="en-US" w:eastAsia="zh-CN"/>
              </w:rPr>
            </w:pPr>
            <w:r>
              <w:rPr>
                <w:rFonts w:hint="eastAsia" w:ascii="宋体" w:hAnsi="宋体" w:eastAsia="宋体" w:cs="宋体"/>
                <w:bCs/>
                <w:color w:val="auto"/>
                <w:kern w:val="44"/>
                <w:sz w:val="21"/>
                <w:szCs w:val="21"/>
                <w:highlight w:val="none"/>
                <w:lang w:val="en-US" w:eastAsia="zh-CN"/>
              </w:rPr>
              <w:t>资料员</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right="0"/>
              <w:rPr>
                <w:rFonts w:hint="eastAsia" w:eastAsia="宋体"/>
                <w:color w:val="auto"/>
                <w:highlight w:val="none"/>
                <w:lang w:val="en-US" w:eastAsia="zh-CN"/>
              </w:rPr>
            </w:pPr>
            <w:r>
              <w:rPr>
                <w:rFonts w:hint="eastAsia"/>
                <w:color w:val="auto"/>
                <w:highlight w:val="none"/>
                <w:lang w:val="en-US" w:eastAsia="zh-CN"/>
              </w:rPr>
              <w:t>1</w:t>
            </w:r>
          </w:p>
        </w:tc>
        <w:tc>
          <w:tcPr>
            <w:tcW w:w="5287" w:type="dxa"/>
            <w:tcBorders>
              <w:top w:val="single" w:color="auto" w:sz="4" w:space="0"/>
              <w:left w:val="single" w:color="auto" w:sz="4" w:space="0"/>
              <w:bottom w:val="single" w:color="auto" w:sz="4" w:space="0"/>
              <w:right w:val="single" w:color="auto" w:sz="4" w:space="0"/>
            </w:tcBorders>
            <w:noWrap/>
            <w:vAlign w:val="center"/>
          </w:tcPr>
          <w:p>
            <w:pPr>
              <w:pStyle w:val="10"/>
              <w:keepNext w:val="0"/>
              <w:keepLines w:val="0"/>
              <w:suppressLineNumbers w:val="0"/>
              <w:spacing w:before="0" w:beforeAutospacing="0" w:after="0" w:afterAutospacing="0"/>
              <w:ind w:left="0" w:leftChars="0" w:right="0" w:rightChars="0"/>
              <w:rPr>
                <w:rFonts w:hint="eastAsia"/>
                <w:color w:val="auto"/>
                <w:highlight w:val="none"/>
              </w:rPr>
            </w:pPr>
            <w:r>
              <w:rPr>
                <w:rFonts w:hint="eastAsia"/>
                <w:color w:val="auto"/>
                <w:highlight w:val="none"/>
              </w:rPr>
              <w:t>详见招标公告</w:t>
            </w:r>
            <w:r>
              <w:rPr>
                <w:rFonts w:hint="eastAsia"/>
                <w:color w:val="auto"/>
                <w:highlight w:val="none"/>
                <w:lang w:val="en-US" w:eastAsia="zh-CN"/>
              </w:rPr>
              <w:t>及招标文件</w:t>
            </w:r>
            <w:r>
              <w:rPr>
                <w:rFonts w:hint="eastAsia"/>
                <w:color w:val="auto"/>
                <w:highlight w:val="none"/>
              </w:rPr>
              <w:t>要求；</w:t>
            </w:r>
          </w:p>
        </w:tc>
        <w:tc>
          <w:tcPr>
            <w:tcW w:w="539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eastAsia"/>
                <w:color w:val="auto"/>
                <w:highlight w:val="none"/>
              </w:rPr>
            </w:pPr>
            <w:r>
              <w:rPr>
                <w:rFonts w:hint="eastAsia"/>
                <w:color w:val="auto"/>
                <w:highlight w:val="none"/>
              </w:rPr>
              <w:t>提供证书</w:t>
            </w:r>
          </w:p>
        </w:tc>
      </w:tr>
    </w:tbl>
    <w:p>
      <w:pPr>
        <w:pStyle w:val="10"/>
        <w:spacing w:after="0"/>
        <w:rPr>
          <w:color w:val="auto"/>
          <w:highlight w:val="none"/>
        </w:rPr>
      </w:pPr>
      <w:r>
        <w:rPr>
          <w:rFonts w:hint="eastAsia"/>
          <w:color w:val="auto"/>
          <w:highlight w:val="none"/>
        </w:rPr>
        <w:t>注：1、所有人员必须按要求提供相应证件和在投标人（不含子公司、分公司）近</w:t>
      </w:r>
      <w:r>
        <w:rPr>
          <w:rFonts w:hint="eastAsia" w:ascii="宋体" w:hAnsi="宋体" w:cs="宋体"/>
          <w:color w:val="auto"/>
          <w:highlight w:val="none"/>
        </w:rPr>
        <w:t>1</w:t>
      </w:r>
      <w:r>
        <w:rPr>
          <w:rFonts w:hint="eastAsia"/>
          <w:color w:val="auto"/>
          <w:highlight w:val="none"/>
        </w:rPr>
        <w:t>个月（即</w:t>
      </w:r>
      <w:r>
        <w:rPr>
          <w:rFonts w:hint="eastAsia" w:ascii="宋体" w:hAnsi="宋体" w:cs="宋体"/>
          <w:color w:val="auto"/>
          <w:highlight w:val="none"/>
        </w:rPr>
        <w:t>202</w:t>
      </w:r>
      <w:r>
        <w:rPr>
          <w:rFonts w:hint="eastAsia" w:ascii="宋体" w:hAnsi="宋体" w:cs="宋体"/>
          <w:color w:val="auto"/>
          <w:highlight w:val="none"/>
          <w:lang w:val="en-US" w:eastAsia="zh-CN"/>
        </w:rPr>
        <w:t>4</w:t>
      </w:r>
      <w:r>
        <w:rPr>
          <w:rFonts w:hint="eastAsia" w:ascii="宋体" w:hAnsi="宋体" w:cs="宋体"/>
          <w:color w:val="auto"/>
          <w:highlight w:val="none"/>
        </w:rPr>
        <w:t>年</w:t>
      </w:r>
      <w:r>
        <w:rPr>
          <w:rFonts w:hint="eastAsia" w:ascii="宋体" w:hAnsi="宋体" w:cs="宋体"/>
          <w:color w:val="auto"/>
          <w:highlight w:val="none"/>
          <w:lang w:val="en-US" w:eastAsia="zh-CN"/>
        </w:rPr>
        <w:t>6</w:t>
      </w:r>
      <w:r>
        <w:rPr>
          <w:rFonts w:hint="eastAsia"/>
          <w:color w:val="auto"/>
          <w:highlight w:val="none"/>
        </w:rPr>
        <w:t>月）有效社保证明扫描件（退休返聘人员没有社保证明的，可以提供退休证及聘用期内的返聘协议），并加盖投标人电子印章（未按要求提供完整相关资料的人员，该人员不作为评分依据)。</w:t>
      </w:r>
    </w:p>
    <w:p>
      <w:pPr>
        <w:pStyle w:val="10"/>
        <w:spacing w:after="0"/>
        <w:rPr>
          <w:color w:val="auto"/>
          <w:highlight w:val="none"/>
        </w:rPr>
      </w:pPr>
      <w:r>
        <w:rPr>
          <w:rFonts w:hint="eastAsia"/>
          <w:color w:val="auto"/>
          <w:highlight w:val="none"/>
        </w:rPr>
        <w:t>2、上述人员岗位不能相互兼任。</w:t>
      </w:r>
    </w:p>
    <w:p>
      <w:pPr>
        <w:pStyle w:val="10"/>
        <w:spacing w:after="0"/>
        <w:rPr>
          <w:color w:val="auto"/>
          <w:highlight w:val="none"/>
        </w:rPr>
      </w:pPr>
      <w:r>
        <w:rPr>
          <w:rFonts w:hint="eastAsia"/>
          <w:color w:val="auto"/>
          <w:highlight w:val="none"/>
        </w:rPr>
        <w:t>3、若职称证没有注明专业，由投标单位自行提供符合招标文件要求的相应佐证材料（如职称评审材料等），相应佐证资料是否有效且符合招标文件的要求由本项目的评标委员会进行认定。</w:t>
      </w:r>
    </w:p>
    <w:p>
      <w:pPr>
        <w:pStyle w:val="2"/>
        <w:spacing w:after="0"/>
        <w:ind w:left="0" w:leftChars="0" w:firstLine="0" w:firstLineChars="0"/>
        <w:rPr>
          <w:rFonts w:ascii="宋体" w:hAnsi="宋体"/>
          <w:color w:val="auto"/>
          <w:szCs w:val="21"/>
          <w:highlight w:val="none"/>
        </w:rPr>
      </w:pPr>
      <w:r>
        <w:rPr>
          <w:rFonts w:hint="eastAsia"/>
          <w:color w:val="auto"/>
          <w:sz w:val="20"/>
          <w:szCs w:val="20"/>
          <w:highlight w:val="none"/>
        </w:rPr>
        <w:t>4、人员须提供对应的学历证明（如有）、职称证书、资格证书扫描件，时间以发证时间为准、造价工程师以初始注册时间为准，所附证书、证明文件均须提供原件彩色扫描件。</w:t>
      </w:r>
    </w:p>
    <w:p>
      <w:pPr>
        <w:rPr>
          <w:rFonts w:hint="eastAsia"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br w:type="page"/>
      </w:r>
    </w:p>
    <w:p>
      <w:pPr>
        <w:pStyle w:val="8"/>
        <w:numPr>
          <w:ilvl w:val="3"/>
          <w:numId w:val="0"/>
        </w:numPr>
        <w:spacing w:beforeLines="0" w:afterLines="0" w:line="356" w:lineRule="auto"/>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附表五（适用于加权平均法）</w:t>
      </w:r>
    </w:p>
    <w:p>
      <w:pPr>
        <w:jc w:val="center"/>
        <w:outlineLvl w:val="4"/>
        <w:rPr>
          <w:b/>
          <w:color w:val="auto"/>
          <w:sz w:val="36"/>
          <w:szCs w:val="36"/>
          <w:highlight w:val="none"/>
        </w:rPr>
      </w:pPr>
      <w:r>
        <w:rPr>
          <w:rFonts w:hint="eastAsia"/>
          <w:b/>
          <w:color w:val="auto"/>
          <w:sz w:val="36"/>
          <w:szCs w:val="36"/>
          <w:highlight w:val="none"/>
        </w:rPr>
        <w:t>经济标评分表</w:t>
      </w:r>
    </w:p>
    <w:p>
      <w:pPr>
        <w:rPr>
          <w:color w:val="auto"/>
          <w:szCs w:val="21"/>
          <w:highlight w:val="none"/>
        </w:rPr>
      </w:pPr>
      <w:r>
        <w:rPr>
          <w:rFonts w:hint="eastAsia"/>
          <w:color w:val="auto"/>
          <w:szCs w:val="21"/>
          <w:highlight w:val="none"/>
        </w:rPr>
        <w:t>工程名称：</w:t>
      </w:r>
    </w:p>
    <w:tbl>
      <w:tblPr>
        <w:tblStyle w:val="21"/>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009"/>
        <w:gridCol w:w="12"/>
        <w:gridCol w:w="1034"/>
        <w:gridCol w:w="1033"/>
        <w:gridCol w:w="1033"/>
        <w:gridCol w:w="1033"/>
        <w:gridCol w:w="1033"/>
        <w:gridCol w:w="1033"/>
        <w:gridCol w:w="1033"/>
        <w:gridCol w:w="1033"/>
        <w:gridCol w:w="1033"/>
        <w:gridCol w:w="103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投标人名称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投标报价</w:t>
            </w:r>
            <w:r>
              <w:rPr>
                <w:rFonts w:hint="default" w:ascii="宋体" w:hAnsi="宋体"/>
                <w:color w:val="auto"/>
                <w:szCs w:val="21"/>
                <w:highlight w:val="none"/>
              </w:rPr>
              <w:t>PT</w:t>
            </w:r>
            <w:r>
              <w:rPr>
                <w:rFonts w:hint="eastAsia" w:ascii="宋体" w:hAnsi="宋体"/>
                <w:color w:val="auto"/>
                <w:szCs w:val="21"/>
                <w:highlight w:val="none"/>
              </w:rPr>
              <w:t>（元）</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报价权重</w:t>
            </w: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评标参考价PC（元）</w:t>
            </w:r>
          </w:p>
        </w:tc>
        <w:tc>
          <w:tcPr>
            <w:tcW w:w="12384"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偏差（（</w:t>
            </w:r>
            <w:r>
              <w:rPr>
                <w:rFonts w:hint="default" w:ascii="宋体" w:hAnsi="宋体"/>
                <w:color w:val="auto"/>
                <w:szCs w:val="21"/>
                <w:highlight w:val="none"/>
              </w:rPr>
              <w:t>PT-PC</w:t>
            </w:r>
            <w:r>
              <w:rPr>
                <w:rFonts w:hint="eastAsia" w:ascii="宋体" w:hAnsi="宋体"/>
                <w:color w:val="auto"/>
                <w:szCs w:val="21"/>
                <w:highlight w:val="none"/>
              </w:rPr>
              <w:t>）</w:t>
            </w:r>
            <w:r>
              <w:rPr>
                <w:rFonts w:hint="default" w:ascii="宋体" w:hAnsi="宋体"/>
                <w:color w:val="auto"/>
                <w:szCs w:val="21"/>
                <w:highlight w:val="none"/>
              </w:rPr>
              <w:t>/PC</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减分（</w:t>
            </w:r>
            <w:r>
              <w:rPr>
                <w:rFonts w:hint="default" w:ascii="宋体" w:hAnsi="宋体"/>
                <w:color w:val="auto"/>
                <w:szCs w:val="21"/>
                <w:highlight w:val="none"/>
              </w:rPr>
              <w:t>A</w:t>
            </w:r>
            <w:r>
              <w:rPr>
                <w:rFonts w:hint="eastAsia" w:ascii="宋体" w:hAnsi="宋体"/>
                <w:color w:val="auto"/>
                <w:szCs w:val="21"/>
                <w:highlight w:val="none"/>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得分</w:t>
            </w:r>
            <w:r>
              <w:rPr>
                <w:rFonts w:hint="default" w:ascii="宋体" w:hAnsi="宋体"/>
                <w:color w:val="auto"/>
                <w:szCs w:val="21"/>
                <w:highlight w:val="none"/>
              </w:rPr>
              <w:t>(I=100-A)</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r>
              <w:rPr>
                <w:rFonts w:hint="eastAsia" w:ascii="宋体" w:hAnsi="宋体"/>
                <w:color w:val="auto"/>
                <w:szCs w:val="21"/>
                <w:highlight w:val="none"/>
              </w:rPr>
              <w:t>得分排名次序</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highlight w:val="none"/>
              </w:rPr>
            </w:pPr>
          </w:p>
        </w:tc>
      </w:tr>
    </w:tbl>
    <w:p>
      <w:pPr>
        <w:rPr>
          <w:strike/>
          <w:color w:val="auto"/>
          <w:szCs w:val="21"/>
          <w:highlight w:val="none"/>
        </w:rPr>
      </w:pPr>
      <w:r>
        <w:rPr>
          <w:rFonts w:hint="eastAsia"/>
          <w:color w:val="auto"/>
          <w:szCs w:val="21"/>
          <w:highlight w:val="none"/>
        </w:rPr>
        <w:t>评委签名：</w:t>
      </w:r>
    </w:p>
    <w:p>
      <w:pPr>
        <w:rPr>
          <w:strike/>
          <w:color w:val="auto"/>
          <w:szCs w:val="21"/>
          <w:highlight w:val="none"/>
        </w:rPr>
      </w:pPr>
    </w:p>
    <w:p>
      <w:pPr>
        <w:rPr>
          <w:strike/>
          <w:color w:val="auto"/>
          <w:szCs w:val="21"/>
          <w:highlight w:val="none"/>
        </w:rPr>
      </w:pPr>
    </w:p>
    <w:p>
      <w:pPr>
        <w:rPr>
          <w:color w:val="auto"/>
          <w:szCs w:val="21"/>
          <w:highlight w:val="none"/>
        </w:rPr>
      </w:pPr>
    </w:p>
    <w:p>
      <w:pPr>
        <w:pStyle w:val="8"/>
        <w:numPr>
          <w:ilvl w:val="3"/>
          <w:numId w:val="0"/>
        </w:numPr>
        <w:spacing w:beforeLines="0" w:afterLines="0" w:line="356" w:lineRule="auto"/>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附表六</w:t>
      </w:r>
    </w:p>
    <w:p>
      <w:pPr>
        <w:jc w:val="center"/>
        <w:rPr>
          <w:b/>
          <w:color w:val="auto"/>
          <w:sz w:val="36"/>
          <w:szCs w:val="36"/>
          <w:highlight w:val="none"/>
        </w:rPr>
      </w:pPr>
      <w:r>
        <w:rPr>
          <w:rFonts w:hint="eastAsia"/>
          <w:b/>
          <w:color w:val="auto"/>
          <w:sz w:val="36"/>
          <w:szCs w:val="36"/>
          <w:highlight w:val="none"/>
        </w:rPr>
        <w:t>算术复核表</w:t>
      </w:r>
    </w:p>
    <w:p>
      <w:pPr>
        <w:rPr>
          <w:color w:val="auto"/>
          <w:szCs w:val="21"/>
          <w:highlight w:val="none"/>
        </w:rPr>
      </w:pPr>
      <w:r>
        <w:rPr>
          <w:rFonts w:hint="eastAsia"/>
          <w:color w:val="auto"/>
          <w:szCs w:val="21"/>
          <w:highlight w:val="none"/>
        </w:rPr>
        <w:t>工程名称：</w:t>
      </w:r>
    </w:p>
    <w:tbl>
      <w:tblPr>
        <w:tblStyle w:val="2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b/>
                <w:color w:val="auto"/>
                <w:sz w:val="24"/>
                <w:szCs w:val="24"/>
                <w:highlight w:val="none"/>
              </w:rPr>
            </w:pPr>
            <w:r>
              <w:rPr>
                <w:rFonts w:hint="eastAsia"/>
                <w:b/>
                <w:color w:val="auto"/>
                <w:sz w:val="24"/>
                <w:szCs w:val="24"/>
                <w:highlight w:val="none"/>
              </w:rPr>
              <w:t>编号</w:t>
            </w:r>
          </w:p>
        </w:tc>
        <w:tc>
          <w:tcPr>
            <w:tcW w:w="42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b/>
                <w:color w:val="auto"/>
                <w:sz w:val="24"/>
                <w:szCs w:val="24"/>
                <w:highlight w:val="none"/>
              </w:rPr>
            </w:pPr>
            <w:r>
              <w:rPr>
                <w:rFonts w:hint="eastAsia"/>
                <w:b/>
                <w:color w:val="auto"/>
                <w:sz w:val="24"/>
                <w:szCs w:val="24"/>
                <w:highlight w:val="none"/>
              </w:rPr>
              <w:t>投标人名称</w:t>
            </w:r>
          </w:p>
        </w:tc>
        <w:tc>
          <w:tcPr>
            <w:tcW w:w="23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b/>
                <w:color w:val="auto"/>
                <w:sz w:val="24"/>
                <w:szCs w:val="24"/>
                <w:highlight w:val="none"/>
              </w:rPr>
            </w:pPr>
            <w:r>
              <w:rPr>
                <w:rFonts w:hint="eastAsia"/>
                <w:b/>
                <w:color w:val="auto"/>
                <w:sz w:val="24"/>
                <w:szCs w:val="24"/>
                <w:highlight w:val="none"/>
              </w:rPr>
              <w:t>原投标报价（</w:t>
            </w:r>
            <w:r>
              <w:rPr>
                <w:rFonts w:hint="default"/>
                <w:b/>
                <w:color w:val="auto"/>
                <w:sz w:val="24"/>
                <w:szCs w:val="24"/>
                <w:highlight w:val="none"/>
              </w:rPr>
              <w:t>A</w:t>
            </w:r>
            <w:r>
              <w:rPr>
                <w:rFonts w:hint="eastAsia"/>
                <w:b/>
                <w:color w:val="auto"/>
                <w:sz w:val="24"/>
                <w:szCs w:val="24"/>
                <w:highlight w:val="none"/>
              </w:rPr>
              <w:t>）</w:t>
            </w:r>
          </w:p>
        </w:tc>
        <w:tc>
          <w:tcPr>
            <w:tcW w:w="31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b/>
                <w:color w:val="auto"/>
                <w:sz w:val="24"/>
                <w:szCs w:val="24"/>
                <w:highlight w:val="none"/>
              </w:rPr>
            </w:pPr>
            <w:r>
              <w:rPr>
                <w:rFonts w:hint="eastAsia"/>
                <w:b/>
                <w:color w:val="auto"/>
                <w:sz w:val="24"/>
                <w:szCs w:val="24"/>
                <w:highlight w:val="none"/>
              </w:rPr>
              <w:t>算数复核后投标报价（</w:t>
            </w:r>
            <w:r>
              <w:rPr>
                <w:rFonts w:hint="default"/>
                <w:b/>
                <w:color w:val="auto"/>
                <w:sz w:val="24"/>
                <w:szCs w:val="24"/>
                <w:highlight w:val="none"/>
              </w:rPr>
              <w:t>B</w:t>
            </w:r>
            <w:r>
              <w:rPr>
                <w:rFonts w:hint="eastAsia"/>
                <w:b/>
                <w:color w:val="auto"/>
                <w:sz w:val="24"/>
                <w:szCs w:val="24"/>
                <w:highlight w:val="none"/>
              </w:rPr>
              <w:t>）</w:t>
            </w:r>
          </w:p>
        </w:tc>
        <w:tc>
          <w:tcPr>
            <w:tcW w:w="34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b/>
                <w:color w:val="auto"/>
                <w:sz w:val="24"/>
                <w:szCs w:val="24"/>
                <w:highlight w:val="none"/>
              </w:rPr>
            </w:pPr>
            <w:r>
              <w:rPr>
                <w:rFonts w:hint="eastAsia"/>
                <w:b/>
                <w:color w:val="auto"/>
                <w:sz w:val="24"/>
                <w:szCs w:val="24"/>
                <w:highlight w:val="none"/>
              </w:rPr>
              <w:t>误差率（</w:t>
            </w:r>
            <w:r>
              <w:rPr>
                <w:rFonts w:hint="default"/>
                <w:b/>
                <w:color w:val="auto"/>
                <w:sz w:val="24"/>
                <w:szCs w:val="24"/>
                <w:highlight w:val="none"/>
              </w:rPr>
              <w:t>r=|A-B|/A*100%</w:t>
            </w:r>
            <w:r>
              <w:rPr>
                <w:rFonts w:hint="eastAsia"/>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color w:val="auto"/>
                <w:sz w:val="36"/>
                <w:szCs w:val="36"/>
                <w:highlight w:val="none"/>
              </w:rPr>
            </w:pPr>
          </w:p>
        </w:tc>
      </w:tr>
    </w:tbl>
    <w:p>
      <w:pPr>
        <w:rPr>
          <w:color w:val="auto"/>
          <w:szCs w:val="21"/>
          <w:highlight w:val="none"/>
        </w:rPr>
      </w:pPr>
      <w:r>
        <w:rPr>
          <w:rFonts w:hint="eastAsia"/>
          <w:color w:val="auto"/>
          <w:szCs w:val="21"/>
          <w:highlight w:val="none"/>
        </w:rPr>
        <w:t>评委签名：</w:t>
      </w:r>
    </w:p>
    <w:p>
      <w:pPr>
        <w:rPr>
          <w:color w:val="auto"/>
          <w:szCs w:val="21"/>
          <w:highlight w:val="none"/>
        </w:rPr>
        <w:sectPr>
          <w:headerReference r:id="rId12" w:type="first"/>
          <w:footerReference r:id="rId15" w:type="first"/>
          <w:headerReference r:id="rId10" w:type="default"/>
          <w:footerReference r:id="rId13" w:type="default"/>
          <w:headerReference r:id="rId11" w:type="even"/>
          <w:footerReference r:id="rId14" w:type="even"/>
          <w:endnotePr>
            <w:numFmt w:val="decimal"/>
          </w:endnotePr>
          <w:pgSz w:w="16838" w:h="11906" w:orient="landscape"/>
          <w:pgMar w:top="1417" w:right="1417" w:bottom="1417" w:left="1417" w:header="851" w:footer="907" w:gutter="0"/>
          <w:cols w:space="720" w:num="1"/>
          <w:titlePg/>
          <w:docGrid w:type="lines" w:linePitch="312" w:charSpace="0"/>
        </w:sectPr>
      </w:pPr>
    </w:p>
    <w:p>
      <w:pPr>
        <w:pStyle w:val="5"/>
        <w:jc w:val="center"/>
        <w:rPr>
          <w:rFonts w:ascii="黑体" w:hAnsi="黑体" w:eastAsia="黑体" w:cs="黑体"/>
          <w:color w:val="auto"/>
          <w:sz w:val="32"/>
          <w:szCs w:val="32"/>
          <w:highlight w:val="none"/>
        </w:rPr>
      </w:pPr>
      <w:bookmarkStart w:id="38" w:name="_Toc2272566"/>
      <w:bookmarkStart w:id="39" w:name="_Toc21525511"/>
      <w:r>
        <w:rPr>
          <w:rFonts w:hint="eastAsia" w:ascii="黑体" w:hAnsi="黑体" w:eastAsia="黑体" w:cs="黑体"/>
          <w:color w:val="auto"/>
          <w:sz w:val="32"/>
          <w:szCs w:val="32"/>
          <w:highlight w:val="none"/>
        </w:rPr>
        <w:t>第三章  合同条款</w:t>
      </w:r>
      <w:bookmarkEnd w:id="38"/>
      <w:bookmarkEnd w:id="39"/>
    </w:p>
    <w:p>
      <w:pPr>
        <w:jc w:val="center"/>
        <w:rPr>
          <w:color w:val="auto"/>
          <w:sz w:val="24"/>
          <w:szCs w:val="24"/>
          <w:highlight w:val="none"/>
        </w:rPr>
        <w:sectPr>
          <w:headerReference r:id="rId17" w:type="first"/>
          <w:footerReference r:id="rId19" w:type="first"/>
          <w:headerReference r:id="rId16" w:type="default"/>
          <w:footerReference r:id="rId18" w:type="default"/>
          <w:pgSz w:w="11906" w:h="16838"/>
          <w:pgMar w:top="1417" w:right="1417" w:bottom="1417" w:left="1417" w:header="851" w:footer="907" w:gutter="0"/>
          <w:cols w:space="720" w:num="1"/>
          <w:titlePg/>
          <w:docGrid w:type="lines" w:linePitch="312" w:charSpace="0"/>
        </w:sectPr>
      </w:pPr>
      <w:bookmarkStart w:id="40" w:name="_Toc21525512"/>
      <w:bookmarkStart w:id="41" w:name="_Toc2272567"/>
      <w:r>
        <w:rPr>
          <w:rFonts w:hint="eastAsia"/>
          <w:color w:val="auto"/>
          <w:sz w:val="24"/>
          <w:szCs w:val="24"/>
          <w:highlight w:val="none"/>
        </w:rPr>
        <w:t>（另册）</w:t>
      </w:r>
    </w:p>
    <w:p>
      <w:pPr>
        <w:pStyle w:val="5"/>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第四章  投标文件格式</w:t>
      </w:r>
      <w:bookmarkEnd w:id="40"/>
      <w:bookmarkEnd w:id="41"/>
    </w:p>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b/>
          <w:bCs w:val="0"/>
          <w:color w:val="auto"/>
          <w:kern w:val="2"/>
          <w:sz w:val="32"/>
          <w:szCs w:val="32"/>
          <w:highlight w:val="none"/>
        </w:rPr>
      </w:pPr>
      <w:bookmarkStart w:id="42" w:name="_Toc19235"/>
      <w:bookmarkStart w:id="43" w:name="_Toc478044835"/>
      <w:bookmarkStart w:id="44" w:name="_Toc358370576"/>
      <w:bookmarkStart w:id="45" w:name="_Toc395261097"/>
      <w:bookmarkStart w:id="46" w:name="_Toc369536768"/>
      <w:bookmarkStart w:id="47" w:name="_Toc12261"/>
      <w:bookmarkStart w:id="48" w:name="_Toc21525513"/>
      <w:bookmarkStart w:id="49" w:name="_Toc2272568"/>
    </w:p>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b/>
          <w:bCs w:val="0"/>
          <w:color w:val="auto"/>
          <w:kern w:val="2"/>
          <w:sz w:val="36"/>
          <w:szCs w:val="36"/>
          <w:highlight w:val="none"/>
        </w:rPr>
      </w:pPr>
      <w:r>
        <w:rPr>
          <w:rFonts w:hint="eastAsia" w:ascii="等线" w:hAnsi="等线" w:eastAsia="等线" w:cs="等线"/>
          <w:b/>
          <w:bCs w:val="0"/>
          <w:color w:val="auto"/>
          <w:kern w:val="2"/>
          <w:sz w:val="36"/>
          <w:szCs w:val="36"/>
          <w:highlight w:val="none"/>
          <w:lang w:val="en-US" w:eastAsia="zh-CN" w:bidi="ar"/>
        </w:rPr>
        <w:t>第一部分</w:t>
      </w:r>
      <w:r>
        <w:rPr>
          <w:rFonts w:hint="eastAsia" w:ascii="宋体" w:hAnsi="宋体" w:eastAsia="等线" w:cs="等线"/>
          <w:b/>
          <w:bCs w:val="0"/>
          <w:color w:val="auto"/>
          <w:kern w:val="2"/>
          <w:sz w:val="36"/>
          <w:szCs w:val="36"/>
          <w:highlight w:val="none"/>
          <w:lang w:val="en-US" w:eastAsia="zh-CN" w:bidi="ar"/>
        </w:rPr>
        <w:t xml:space="preserve">  </w:t>
      </w:r>
      <w:r>
        <w:rPr>
          <w:rFonts w:hint="eastAsia" w:ascii="等线" w:hAnsi="等线" w:eastAsia="等线" w:cs="等线"/>
          <w:b/>
          <w:bCs w:val="0"/>
          <w:color w:val="auto"/>
          <w:kern w:val="2"/>
          <w:sz w:val="36"/>
          <w:szCs w:val="36"/>
          <w:highlight w:val="none"/>
          <w:lang w:val="en-US" w:eastAsia="zh-CN" w:bidi="ar"/>
        </w:rPr>
        <w:t>投标文件技术标（部分格式）</w:t>
      </w:r>
    </w:p>
    <w:p>
      <w:pPr>
        <w:rPr>
          <w:rFonts w:ascii="宋体" w:cs="宋体"/>
          <w:b/>
          <w:bCs/>
          <w:color w:val="auto"/>
          <w:sz w:val="22"/>
          <w:highlight w:val="none"/>
        </w:rPr>
      </w:pPr>
    </w:p>
    <w:bookmarkEnd w:id="42"/>
    <w:bookmarkEnd w:id="43"/>
    <w:bookmarkEnd w:id="44"/>
    <w:bookmarkEnd w:id="45"/>
    <w:bookmarkEnd w:id="46"/>
    <w:p>
      <w:pPr>
        <w:rPr>
          <w:rFonts w:hint="eastAsia" w:ascii="等线" w:hAnsi="等线" w:eastAsia="等线" w:cs="等线"/>
          <w:color w:val="auto"/>
          <w:kern w:val="2"/>
          <w:sz w:val="24"/>
          <w:szCs w:val="24"/>
          <w:highlight w:val="none"/>
          <w:lang w:val="en-US" w:eastAsia="zh-CN" w:bidi="ar"/>
        </w:rPr>
      </w:pPr>
      <w:r>
        <w:rPr>
          <w:rFonts w:hint="eastAsia" w:ascii="等线" w:hAnsi="等线" w:eastAsia="等线" w:cs="等线"/>
          <w:color w:val="auto"/>
          <w:kern w:val="2"/>
          <w:sz w:val="24"/>
          <w:szCs w:val="24"/>
          <w:highlight w:val="none"/>
          <w:lang w:val="en-US" w:eastAsia="zh-CN" w:bidi="ar"/>
        </w:rPr>
        <w:br w:type="page"/>
      </w:r>
    </w:p>
    <w:p>
      <w:pPr>
        <w:keepNext w:val="0"/>
        <w:keepLines w:val="0"/>
        <w:widowControl w:val="0"/>
        <w:suppressLineNumbers w:val="0"/>
        <w:spacing w:before="0" w:beforeAutospacing="0" w:after="0" w:afterAutospacing="0" w:line="360" w:lineRule="auto"/>
        <w:ind w:left="0" w:right="0"/>
        <w:jc w:val="left"/>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lang w:val="en-US" w:eastAsia="zh-CN" w:bidi="ar"/>
        </w:rPr>
        <w:t>技术标格式</w:t>
      </w:r>
      <w:r>
        <w:rPr>
          <w:rFonts w:hint="eastAsia" w:ascii="宋体" w:hAnsi="宋体" w:eastAsia="宋体" w:cs="宋体"/>
          <w:color w:val="auto"/>
          <w:kern w:val="2"/>
          <w:sz w:val="24"/>
          <w:szCs w:val="24"/>
          <w:highlight w:val="none"/>
          <w:lang w:val="en-US" w:eastAsia="zh-CN" w:bidi="ar"/>
        </w:rPr>
        <w:t>1</w:t>
      </w:r>
      <w:r>
        <w:rPr>
          <w:rFonts w:hint="eastAsia" w:ascii="等线" w:hAnsi="等线" w:eastAsia="等线" w:cs="等线"/>
          <w:color w:val="auto"/>
          <w:kern w:val="2"/>
          <w:sz w:val="24"/>
          <w:szCs w:val="24"/>
          <w:highlight w:val="none"/>
          <w:lang w:val="en-US" w:eastAsia="zh-CN" w:bidi="ar"/>
        </w:rPr>
        <w:t>：技术标封面</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0" w:firstLineChars="0"/>
        <w:jc w:val="center"/>
        <w:rPr>
          <w:rFonts w:hint="eastAsia" w:ascii="宋体" w:hAnsi="宋体" w:eastAsia="宋体" w:cs="Times New Roman"/>
          <w:b/>
          <w:bCs w:val="0"/>
          <w:color w:val="auto"/>
          <w:spacing w:val="4"/>
          <w:kern w:val="0"/>
          <w:sz w:val="36"/>
          <w:szCs w:val="36"/>
          <w:highlight w:val="none"/>
          <w:u w:val="single"/>
        </w:rPr>
      </w:pPr>
      <w:r>
        <w:rPr>
          <w:rFonts w:hint="eastAsia" w:ascii="宋体" w:hAnsi="宋体" w:eastAsia="宋体" w:cs="宋体"/>
          <w:b/>
          <w:bCs w:val="0"/>
          <w:snapToGrid/>
          <w:color w:val="auto"/>
          <w:spacing w:val="4"/>
          <w:kern w:val="0"/>
          <w:sz w:val="36"/>
          <w:szCs w:val="36"/>
          <w:highlight w:val="none"/>
          <w:u w:val="single"/>
          <w:lang w:val="en-US" w:eastAsia="zh-CN" w:bidi="ar"/>
        </w:rPr>
        <w:t xml:space="preserve">[工程名称]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0" w:firstLineChars="0"/>
        <w:jc w:val="center"/>
        <w:rPr>
          <w:rFonts w:hint="eastAsia" w:ascii="宋体" w:hAnsi="宋体" w:eastAsia="宋体" w:cs="Times New Roman"/>
          <w:b/>
          <w:bCs w:val="0"/>
          <w:color w:val="auto"/>
          <w:spacing w:val="4"/>
          <w:kern w:val="0"/>
          <w:sz w:val="84"/>
          <w:szCs w:val="84"/>
          <w:highlight w:val="none"/>
        </w:rPr>
      </w:pPr>
      <w:r>
        <w:rPr>
          <w:rFonts w:hint="eastAsia" w:ascii="宋体" w:hAnsi="宋体" w:eastAsia="宋体" w:cs="宋体"/>
          <w:b/>
          <w:bCs w:val="0"/>
          <w:snapToGrid/>
          <w:color w:val="auto"/>
          <w:spacing w:val="4"/>
          <w:kern w:val="0"/>
          <w:sz w:val="84"/>
          <w:szCs w:val="84"/>
          <w:highlight w:val="none"/>
          <w:lang w:val="en-US" w:eastAsia="zh-CN" w:bidi="ar"/>
        </w:rPr>
        <w:t>投标文件</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0" w:firstLineChars="0"/>
        <w:jc w:val="center"/>
        <w:rPr>
          <w:rFonts w:hint="eastAsia" w:ascii="宋体" w:hAnsi="宋体" w:eastAsia="宋体" w:cs="Times New Roman"/>
          <w:b/>
          <w:bCs w:val="0"/>
          <w:color w:val="auto"/>
          <w:spacing w:val="4"/>
          <w:kern w:val="0"/>
          <w:sz w:val="36"/>
          <w:szCs w:val="36"/>
          <w:highlight w:val="none"/>
        </w:rPr>
      </w:pPr>
      <w:r>
        <w:rPr>
          <w:rFonts w:hint="eastAsia" w:ascii="宋体" w:hAnsi="宋体" w:eastAsia="宋体" w:cs="宋体"/>
          <w:b/>
          <w:bCs w:val="0"/>
          <w:snapToGrid/>
          <w:color w:val="auto"/>
          <w:spacing w:val="4"/>
          <w:kern w:val="0"/>
          <w:sz w:val="36"/>
          <w:szCs w:val="36"/>
          <w:highlight w:val="none"/>
          <w:lang w:val="en-US" w:eastAsia="zh-CN" w:bidi="ar"/>
        </w:rPr>
        <w:t>第一册（技术标书）</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30"/>
          <w:szCs w:val="30"/>
          <w:highlight w:val="none"/>
        </w:rPr>
      </w:pPr>
      <w:r>
        <w:rPr>
          <w:rFonts w:hint="eastAsia" w:ascii="宋体" w:hAnsi="宋体" w:eastAsia="宋体" w:cs="宋体"/>
          <w:snapToGrid/>
          <w:color w:val="auto"/>
          <w:spacing w:val="4"/>
          <w:kern w:val="0"/>
          <w:sz w:val="30"/>
          <w:szCs w:val="30"/>
          <w:highlight w:val="none"/>
          <w:lang w:val="en-US" w:eastAsia="zh-CN" w:bidi="ar"/>
        </w:rPr>
        <w:t>投标人：（盖章）</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30"/>
          <w:szCs w:val="30"/>
          <w:highlight w:val="none"/>
        </w:rPr>
      </w:pPr>
      <w:r>
        <w:rPr>
          <w:rFonts w:hint="eastAsia" w:ascii="宋体" w:hAnsi="宋体" w:eastAsia="宋体" w:cs="宋体"/>
          <w:snapToGrid/>
          <w:color w:val="auto"/>
          <w:spacing w:val="4"/>
          <w:kern w:val="0"/>
          <w:sz w:val="30"/>
          <w:szCs w:val="30"/>
          <w:highlight w:val="none"/>
          <w:lang w:val="en-US" w:eastAsia="zh-CN" w:bidi="ar"/>
        </w:rPr>
        <w:t>法定代表人或其委托代理人：（签字或盖章）</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24"/>
          <w:szCs w:val="24"/>
          <w:highlight w:val="none"/>
        </w:rPr>
      </w:pPr>
      <w:r>
        <w:rPr>
          <w:rFonts w:hint="eastAsia" w:ascii="宋体" w:hAnsi="宋体" w:eastAsia="宋体" w:cs="宋体"/>
          <w:snapToGrid/>
          <w:color w:val="auto"/>
          <w:spacing w:val="4"/>
          <w:kern w:val="0"/>
          <w:sz w:val="30"/>
          <w:szCs w:val="30"/>
          <w:highlight w:val="none"/>
          <w:lang w:val="en-US" w:eastAsia="zh-CN" w:bidi="ar"/>
        </w:rPr>
        <w:t>日期：</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r>
        <w:rPr>
          <w:rFonts w:hint="eastAsia" w:ascii="宋体" w:hAnsi="宋体" w:eastAsia="等线" w:cs="宋体"/>
          <w:color w:val="auto"/>
          <w:kern w:val="2"/>
          <w:sz w:val="21"/>
          <w:szCs w:val="21"/>
          <w:highlight w:val="none"/>
          <w:lang w:val="en-US" w:eastAsia="zh-CN" w:bidi="ar"/>
        </w:rPr>
        <w:br w:type="page"/>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44"/>
          <w:szCs w:val="44"/>
          <w:highlight w:val="none"/>
        </w:rPr>
      </w:pPr>
      <w:r>
        <w:rPr>
          <w:rFonts w:hint="eastAsia" w:ascii="等线" w:hAnsi="等线" w:eastAsia="等线" w:cs="等线"/>
          <w:b/>
          <w:bCs w:val="0"/>
          <w:color w:val="auto"/>
          <w:kern w:val="2"/>
          <w:sz w:val="44"/>
          <w:szCs w:val="44"/>
          <w:highlight w:val="none"/>
          <w:lang w:val="en-US" w:eastAsia="zh-CN" w:bidi="ar"/>
        </w:rPr>
        <w:t>目</w:t>
      </w:r>
      <w:r>
        <w:rPr>
          <w:rFonts w:hint="eastAsia" w:ascii="宋体" w:hAnsi="宋体" w:eastAsia="等线" w:cs="等线"/>
          <w:b/>
          <w:bCs w:val="0"/>
          <w:color w:val="auto"/>
          <w:kern w:val="2"/>
          <w:sz w:val="44"/>
          <w:szCs w:val="44"/>
          <w:highlight w:val="none"/>
          <w:lang w:val="en-US" w:eastAsia="zh-CN" w:bidi="ar"/>
        </w:rPr>
        <w:t xml:space="preserve">  </w:t>
      </w:r>
      <w:r>
        <w:rPr>
          <w:rFonts w:hint="eastAsia" w:ascii="等线" w:hAnsi="等线" w:eastAsia="等线" w:cs="等线"/>
          <w:b/>
          <w:bCs w:val="0"/>
          <w:color w:val="auto"/>
          <w:kern w:val="2"/>
          <w:sz w:val="44"/>
          <w:szCs w:val="44"/>
          <w:highlight w:val="none"/>
          <w:lang w:val="en-US" w:eastAsia="zh-CN" w:bidi="ar"/>
        </w:rPr>
        <w:t>录</w:t>
      </w:r>
    </w:p>
    <w:p>
      <w:pPr>
        <w:pStyle w:val="30"/>
        <w:widowControl/>
        <w:numPr>
          <w:ilvl w:val="0"/>
          <w:numId w:val="4"/>
        </w:numPr>
        <w:spacing w:line="360" w:lineRule="auto"/>
        <w:ind w:left="420" w:hanging="420" w:firstLineChars="0"/>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rPr>
        <w:t>资格审查文件</w:t>
      </w:r>
    </w:p>
    <w:p>
      <w:pPr>
        <w:pStyle w:val="30"/>
        <w:widowControl/>
        <w:numPr>
          <w:ilvl w:val="0"/>
          <w:numId w:val="4"/>
        </w:numPr>
        <w:spacing w:line="360" w:lineRule="auto"/>
        <w:ind w:left="420" w:hanging="420" w:firstLineChars="0"/>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rPr>
        <w:t>广州建设工程施工招标投标书</w:t>
      </w:r>
    </w:p>
    <w:p>
      <w:pPr>
        <w:pStyle w:val="30"/>
        <w:widowControl/>
        <w:numPr>
          <w:ilvl w:val="0"/>
          <w:numId w:val="4"/>
        </w:numPr>
        <w:spacing w:line="360" w:lineRule="auto"/>
        <w:ind w:left="420" w:hanging="420" w:firstLineChars="0"/>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rPr>
        <w:t>技术评审证明资料</w:t>
      </w:r>
    </w:p>
    <w:p>
      <w:pPr>
        <w:pStyle w:val="30"/>
        <w:widowControl/>
        <w:numPr>
          <w:ilvl w:val="0"/>
          <w:numId w:val="4"/>
        </w:numPr>
        <w:spacing w:line="360" w:lineRule="auto"/>
        <w:ind w:left="420" w:hanging="420" w:firstLineChars="0"/>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rPr>
        <w:t>参与编制技术标投标文件人员名单</w:t>
      </w:r>
    </w:p>
    <w:p>
      <w:pPr>
        <w:pStyle w:val="30"/>
        <w:widowControl/>
        <w:numPr>
          <w:ilvl w:val="0"/>
          <w:numId w:val="4"/>
        </w:numPr>
        <w:spacing w:line="360" w:lineRule="auto"/>
        <w:ind w:left="420" w:hanging="420" w:firstLineChars="0"/>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rPr>
        <w:t>危险性较大的分部分项工程清单及超过一定规模的危险性较大的分部分项工程清单</w:t>
      </w:r>
    </w:p>
    <w:p>
      <w:pPr>
        <w:pStyle w:val="30"/>
        <w:widowControl/>
        <w:numPr>
          <w:ilvl w:val="0"/>
          <w:numId w:val="4"/>
        </w:numPr>
        <w:spacing w:line="360" w:lineRule="auto"/>
        <w:ind w:left="420" w:hanging="420" w:firstLineChars="0"/>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rPr>
        <w:t>投标人认为其他有必要提供的材料</w:t>
      </w:r>
    </w:p>
    <w:p>
      <w:pPr>
        <w:rPr>
          <w:rFonts w:ascii="宋体" w:hAnsi="宋体"/>
          <w:color w:val="auto"/>
          <w:szCs w:val="21"/>
          <w:highlight w:val="none"/>
        </w:rPr>
      </w:pPr>
      <w:r>
        <w:rPr>
          <w:rFonts w:ascii="宋体" w:hAnsi="宋体"/>
          <w:color w:val="auto"/>
          <w:szCs w:val="21"/>
          <w:highlight w:val="none"/>
        </w:rPr>
        <w:br w:type="page"/>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lang w:val="en-US" w:eastAsia="zh-CN" w:bidi="ar"/>
        </w:rPr>
        <w:t>技术标格式</w:t>
      </w:r>
      <w:r>
        <w:rPr>
          <w:rFonts w:hint="eastAsia" w:ascii="宋体" w:hAnsi="宋体" w:eastAsia="宋体" w:cs="宋体"/>
          <w:color w:val="auto"/>
          <w:kern w:val="2"/>
          <w:sz w:val="24"/>
          <w:szCs w:val="24"/>
          <w:highlight w:val="none"/>
          <w:lang w:val="en-US" w:eastAsia="zh-CN" w:bidi="ar"/>
        </w:rPr>
        <w:t>2</w:t>
      </w:r>
      <w:r>
        <w:rPr>
          <w:rFonts w:hint="eastAsia" w:ascii="等线" w:hAnsi="等线" w:eastAsia="等线" w:cs="等线"/>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b/>
          <w:bCs w:val="0"/>
          <w:color w:val="auto"/>
          <w:kern w:val="2"/>
          <w:sz w:val="32"/>
          <w:szCs w:val="32"/>
          <w:highlight w:val="none"/>
        </w:rPr>
      </w:pPr>
      <w:r>
        <w:rPr>
          <w:rFonts w:hint="eastAsia" w:ascii="等线" w:hAnsi="等线" w:eastAsia="等线" w:cs="等线"/>
          <w:b/>
          <w:bCs w:val="0"/>
          <w:color w:val="auto"/>
          <w:kern w:val="2"/>
          <w:sz w:val="32"/>
          <w:szCs w:val="32"/>
          <w:highlight w:val="none"/>
          <w:lang w:val="en-US" w:eastAsia="zh-CN" w:bidi="ar"/>
        </w:rPr>
        <w:t>资格审查文件</w:t>
      </w:r>
    </w:p>
    <w:p>
      <w:pPr>
        <w:keepNext w:val="0"/>
        <w:keepLines w:val="0"/>
        <w:widowControl w:val="0"/>
        <w:suppressLineNumbers w:val="0"/>
        <w:autoSpaceDE w:val="0"/>
        <w:autoSpaceDN w:val="0"/>
        <w:adjustRightInd w:val="0"/>
        <w:spacing w:before="0" w:beforeAutospacing="0" w:after="0" w:afterAutospacing="0" w:line="360" w:lineRule="auto"/>
        <w:ind w:left="-540" w:leftChars="-257" w:right="0" w:firstLine="616" w:firstLineChars="257"/>
        <w:jc w:val="left"/>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lang w:val="en-US" w:eastAsia="zh-CN" w:bidi="ar"/>
        </w:rPr>
        <w:t>（根据《资格审查表》顺序编制，并清晰标记证明材料所对应页码，便于评委查找，未存放于该处的证明材料不作为资格审查的依据）</w:t>
      </w:r>
    </w:p>
    <w:p>
      <w:pPr>
        <w:rPr>
          <w:rFonts w:hint="eastAsia" w:ascii="宋体" w:cs="宋体"/>
          <w:b/>
          <w:bCs/>
          <w:color w:val="auto"/>
          <w:sz w:val="22"/>
          <w:highlight w:val="none"/>
        </w:rPr>
      </w:pPr>
      <w:r>
        <w:rPr>
          <w:rFonts w:hint="eastAsia" w:ascii="宋体" w:cs="宋体"/>
          <w:b/>
          <w:bCs/>
          <w:color w:val="auto"/>
          <w:sz w:val="22"/>
          <w:highlight w:val="none"/>
        </w:rPr>
        <w:br w:type="page"/>
      </w:r>
    </w:p>
    <w:p>
      <w:pPr>
        <w:keepNext w:val="0"/>
        <w:keepLines w:val="0"/>
        <w:widowControl w:val="0"/>
        <w:suppressLineNumbers w:val="0"/>
        <w:autoSpaceDE w:val="0"/>
        <w:autoSpaceDN w:val="0"/>
        <w:adjustRightInd w:val="0"/>
        <w:spacing w:before="0" w:beforeAutospacing="0" w:after="0" w:afterAutospacing="0" w:line="360" w:lineRule="auto"/>
        <w:ind w:left="-540" w:leftChars="-257" w:right="0" w:firstLine="616" w:firstLineChars="257"/>
        <w:jc w:val="left"/>
        <w:rPr>
          <w:rFonts w:hint="eastAsia" w:ascii="宋体" w:hAnsi="宋体" w:eastAsia="等线" w:cs="宋体"/>
          <w:b/>
          <w:bCs/>
          <w:color w:val="auto"/>
          <w:kern w:val="2"/>
          <w:sz w:val="44"/>
          <w:szCs w:val="44"/>
          <w:highlight w:val="none"/>
        </w:rPr>
      </w:pPr>
      <w:r>
        <w:rPr>
          <w:rFonts w:hint="eastAsia" w:ascii="等线" w:hAnsi="等线" w:eastAsia="等线" w:cs="等线"/>
          <w:color w:val="auto"/>
          <w:kern w:val="2"/>
          <w:sz w:val="24"/>
          <w:szCs w:val="24"/>
          <w:highlight w:val="none"/>
          <w:lang w:val="en-US" w:eastAsia="zh-CN" w:bidi="ar"/>
        </w:rPr>
        <w:t>技术标格式</w:t>
      </w:r>
      <w:r>
        <w:rPr>
          <w:rFonts w:hint="eastAsia" w:ascii="宋体" w:hAnsi="宋体" w:eastAsia="宋体" w:cs="宋体"/>
          <w:color w:val="auto"/>
          <w:kern w:val="2"/>
          <w:sz w:val="24"/>
          <w:szCs w:val="24"/>
          <w:highlight w:val="none"/>
          <w:lang w:val="en-US" w:eastAsia="zh-CN" w:bidi="ar"/>
        </w:rPr>
        <w:t>3</w:t>
      </w:r>
      <w:r>
        <w:rPr>
          <w:rFonts w:hint="eastAsia" w:ascii="等线" w:hAnsi="等线" w:eastAsia="等线" w:cs="等线"/>
          <w:color w:val="auto"/>
          <w:kern w:val="2"/>
          <w:sz w:val="24"/>
          <w:szCs w:val="24"/>
          <w:highlight w:val="none"/>
          <w:lang w:val="en-US" w:eastAsia="zh-CN" w:bidi="ar"/>
        </w:rPr>
        <w:t>：</w:t>
      </w:r>
    </w:p>
    <w:p>
      <w:pPr>
        <w:keepNext w:val="0"/>
        <w:keepLines w:val="0"/>
        <w:pageBreakBefore w:val="0"/>
        <w:widowControl w:val="0"/>
        <w:kinsoku/>
        <w:wordWrap/>
        <w:overflowPunct/>
        <w:topLinePunct w:val="0"/>
        <w:autoSpaceDE w:val="0"/>
        <w:autoSpaceDN w:val="0"/>
        <w:bidi w:val="0"/>
        <w:adjustRightInd w:val="0"/>
        <w:snapToGrid/>
        <w:spacing w:before="313" w:beforeLines="100" w:after="313" w:afterLines="100"/>
        <w:ind w:left="0" w:leftChars="0" w:firstLine="0" w:firstLineChars="0"/>
        <w:jc w:val="center"/>
        <w:textAlignment w:val="auto"/>
        <w:rPr>
          <w:rFonts w:hint="eastAsia" w:ascii="等线" w:hAnsi="等线" w:eastAsia="等线" w:cs="等线"/>
          <w:b/>
          <w:bCs/>
          <w:color w:val="auto"/>
          <w:sz w:val="32"/>
          <w:szCs w:val="32"/>
          <w:highlight w:val="none"/>
        </w:rPr>
      </w:pPr>
      <w:r>
        <w:rPr>
          <w:rFonts w:hint="eastAsia" w:ascii="等线" w:hAnsi="等线" w:eastAsia="等线" w:cs="等线"/>
          <w:b/>
          <w:bCs/>
          <w:color w:val="auto"/>
          <w:sz w:val="32"/>
          <w:szCs w:val="32"/>
          <w:highlight w:val="none"/>
          <w:lang w:val="zh-CN"/>
        </w:rPr>
        <w:t>广州建设工程施工招标投标书</w:t>
      </w:r>
    </w:p>
    <w:tbl>
      <w:tblPr>
        <w:tblStyle w:val="2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工程名称</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投标总报价（元）</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其中：人工费（元）</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其中：绿色施工安全防护措施费（元）</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其中：暂列金额（元）</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b/>
                <w:color w:val="auto"/>
                <w:sz w:val="24"/>
                <w:szCs w:val="24"/>
                <w:highlight w:val="none"/>
                <w:lang w:val="en-US" w:eastAsia="zh-CN"/>
              </w:rPr>
            </w:pPr>
            <w:r>
              <w:rPr>
                <w:rFonts w:hint="eastAsia" w:ascii="宋体" w:hAnsi="宋体"/>
                <w:b/>
                <w:color w:val="auto"/>
                <w:sz w:val="24"/>
                <w:szCs w:val="24"/>
                <w:highlight w:val="none"/>
                <w:lang w:val="zh-CN"/>
              </w:rPr>
              <w:t>其中：</w:t>
            </w:r>
            <w:r>
              <w:rPr>
                <w:rFonts w:hint="eastAsia" w:ascii="宋体" w:hAnsi="宋体"/>
                <w:b/>
                <w:color w:val="auto"/>
                <w:sz w:val="24"/>
                <w:szCs w:val="24"/>
                <w:highlight w:val="none"/>
                <w:lang w:val="en-US" w:eastAsia="zh-CN"/>
              </w:rPr>
              <w:t>暂估价（元）</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投标总工期</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工程质量标准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保修期限</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项目负责人姓名及所持证书编号</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姓名：</w:t>
            </w:r>
          </w:p>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所持证书编号：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技术负责人姓名及所持证书编号</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姓名：</w:t>
            </w:r>
          </w:p>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所持证书编号：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专职安全员姓名及所持证书编号</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姓名：</w:t>
            </w:r>
          </w:p>
          <w:p>
            <w:pPr>
              <w:keepNext w:val="0"/>
              <w:keepLines w:val="0"/>
              <w:suppressLineNumbers w:val="0"/>
              <w:tabs>
                <w:tab w:val="left" w:pos="720"/>
              </w:tabs>
              <w:snapToGrid w:val="0"/>
              <w:spacing w:before="0" w:beforeAutospacing="0" w:after="0" w:afterAutospacing="0" w:line="360" w:lineRule="auto"/>
              <w:ind w:left="0" w:right="0"/>
              <w:jc w:val="center"/>
              <w:rPr>
                <w:rFonts w:hint="default" w:ascii="宋体" w:hAnsi="宋体"/>
                <w:b/>
                <w:color w:val="auto"/>
                <w:sz w:val="24"/>
                <w:szCs w:val="24"/>
                <w:highlight w:val="none"/>
                <w:lang w:val="zh-CN"/>
              </w:rPr>
            </w:pPr>
            <w:r>
              <w:rPr>
                <w:rFonts w:hint="eastAsia" w:ascii="宋体" w:hAnsi="宋体"/>
                <w:b/>
                <w:color w:val="auto"/>
                <w:sz w:val="24"/>
                <w:szCs w:val="24"/>
                <w:highlight w:val="none"/>
                <w:lang w:val="zh-CN"/>
              </w:rPr>
              <w:t>所持证书编号：</w:t>
            </w:r>
          </w:p>
        </w:tc>
      </w:tr>
    </w:tbl>
    <w:p>
      <w:pPr>
        <w:tabs>
          <w:tab w:val="left" w:pos="720"/>
        </w:tabs>
        <w:snapToGrid w:val="0"/>
        <w:spacing w:line="360" w:lineRule="auto"/>
        <w:jc w:val="center"/>
        <w:rPr>
          <w:rFonts w:ascii="宋体" w:hAnsi="宋体"/>
          <w:b/>
          <w:color w:val="auto"/>
          <w:sz w:val="22"/>
          <w:szCs w:val="22"/>
          <w:highlight w:val="none"/>
        </w:rPr>
      </w:pPr>
    </w:p>
    <w:p>
      <w:pPr>
        <w:pStyle w:val="12"/>
        <w:rPr>
          <w:color w:val="auto"/>
          <w:sz w:val="21"/>
          <w:szCs w:val="21"/>
          <w:highlight w:val="none"/>
        </w:rPr>
      </w:pPr>
      <w:r>
        <w:rPr>
          <w:rFonts w:hint="eastAsia"/>
          <w:color w:val="auto"/>
          <w:sz w:val="21"/>
          <w:szCs w:val="21"/>
          <w:highlight w:val="none"/>
        </w:rPr>
        <w:t>备注：本格式文件必须提供且内容不得擅自删改。</w:t>
      </w:r>
    </w:p>
    <w:p>
      <w:pPr>
        <w:rPr>
          <w:rFonts w:ascii="宋体" w:hAnsi="宋体"/>
          <w:color w:val="auto"/>
          <w:szCs w:val="21"/>
          <w:highlight w:val="none"/>
        </w:rPr>
      </w:pPr>
      <w:r>
        <w:rPr>
          <w:rFonts w:hint="eastAsia" w:ascii="宋体" w:hAnsi="宋体"/>
          <w:color w:val="auto"/>
          <w:szCs w:val="21"/>
          <w:highlight w:val="none"/>
        </w:rPr>
        <w:br w:type="page"/>
      </w:r>
    </w:p>
    <w:p>
      <w:pPr>
        <w:keepNext w:val="0"/>
        <w:keepLines w:val="0"/>
        <w:widowControl/>
        <w:suppressLineNumbers w:val="0"/>
        <w:spacing w:before="0" w:beforeAutospacing="0" w:after="0" w:afterAutospacing="0"/>
        <w:ind w:left="0" w:right="0"/>
        <w:jc w:val="left"/>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lang w:val="en-US" w:eastAsia="zh-CN" w:bidi="ar"/>
        </w:rPr>
        <w:t>技术标格式</w:t>
      </w:r>
      <w:r>
        <w:rPr>
          <w:rFonts w:hint="eastAsia" w:ascii="宋体" w:hAnsi="宋体" w:eastAsia="宋体" w:cs="宋体"/>
          <w:color w:val="auto"/>
          <w:kern w:val="2"/>
          <w:sz w:val="24"/>
          <w:szCs w:val="24"/>
          <w:highlight w:val="none"/>
          <w:lang w:val="en-US" w:eastAsia="zh-CN" w:bidi="ar"/>
        </w:rPr>
        <w:t>4</w:t>
      </w:r>
      <w:r>
        <w:rPr>
          <w:rFonts w:hint="eastAsia" w:ascii="等线" w:hAnsi="等线" w:eastAsia="等线" w:cs="等线"/>
          <w:color w:val="auto"/>
          <w:kern w:val="2"/>
          <w:sz w:val="24"/>
          <w:szCs w:val="24"/>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auto"/>
          <w:kern w:val="2"/>
          <w:sz w:val="21"/>
          <w:szCs w:val="21"/>
          <w:highlight w:val="none"/>
        </w:rPr>
      </w:pPr>
      <w:bookmarkStart w:id="61" w:name="_GoBack"/>
      <w:bookmarkEnd w:id="61"/>
      <w:r>
        <w:rPr>
          <w:rFonts w:hint="eastAsia" w:ascii="宋体" w:hAnsi="宋体" w:eastAsia="宋体" w:cs="宋体"/>
          <w:b/>
          <w:bCs w:val="0"/>
          <w:color w:val="auto"/>
          <w:spacing w:val="4"/>
          <w:kern w:val="0"/>
          <w:sz w:val="21"/>
          <w:szCs w:val="21"/>
          <w:highlight w:val="none"/>
          <w:lang w:val="en-US" w:eastAsia="zh-CN" w:bidi="ar"/>
        </w:rPr>
        <w:t>技术评审证明资料</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spacing w:val="4"/>
          <w:kern w:val="0"/>
          <w:sz w:val="21"/>
          <w:szCs w:val="21"/>
          <w:highlight w:val="none"/>
          <w:lang w:val="en-US" w:eastAsia="zh-CN" w:bidi="ar"/>
        </w:rPr>
        <w:t>注：按《技术标有效性审查表》及《技术标详细审查评分表》要求提交</w:t>
      </w:r>
      <w:r>
        <w:rPr>
          <w:rFonts w:hint="eastAsia" w:ascii="宋体" w:hAnsi="宋体" w:eastAsia="宋体" w:cs="宋体"/>
          <w:color w:val="auto"/>
          <w:spacing w:val="4"/>
          <w:kern w:val="2"/>
          <w:sz w:val="21"/>
          <w:szCs w:val="21"/>
          <w:highlight w:val="none"/>
          <w:lang w:val="en-US" w:eastAsia="zh-CN" w:bidi="ar"/>
        </w:rPr>
        <w:t>，格式参考以下格式提供，如未提供参考格式可自拟。</w:t>
      </w:r>
    </w:p>
    <w:p>
      <w:pPr>
        <w:keepNext w:val="0"/>
        <w:keepLines w:val="0"/>
        <w:widowControl w:val="0"/>
        <w:suppressLineNumbers w:val="0"/>
        <w:autoSpaceDE w:val="0"/>
        <w:autoSpaceDN w:val="0"/>
        <w:adjustRightInd w:val="0"/>
        <w:spacing w:before="120" w:beforeLines="50" w:beforeAutospacing="0" w:after="120" w:afterLines="50" w:afterAutospacing="0" w:line="360" w:lineRule="auto"/>
        <w:ind w:left="-540" w:leftChars="-257" w:right="0" w:firstLine="823" w:firstLineChars="257"/>
        <w:jc w:val="center"/>
        <w:rPr>
          <w:rFonts w:hint="eastAsia" w:ascii="宋体" w:hAnsi="宋体" w:eastAsia="等线" w:cs="宋体"/>
          <w:b/>
          <w:bCs/>
          <w:color w:val="auto"/>
          <w:kern w:val="2"/>
          <w:sz w:val="32"/>
          <w:szCs w:val="32"/>
          <w:highlight w:val="none"/>
        </w:rPr>
      </w:pPr>
      <w:r>
        <w:rPr>
          <w:rFonts w:hint="eastAsia" w:ascii="等线" w:hAnsi="等线" w:eastAsia="等线" w:cs="等线"/>
          <w:b/>
          <w:bCs/>
          <w:color w:val="auto"/>
          <w:kern w:val="2"/>
          <w:sz w:val="32"/>
          <w:szCs w:val="32"/>
          <w:highlight w:val="none"/>
          <w:lang w:val="en-US" w:eastAsia="zh-CN" w:bidi="ar"/>
        </w:rPr>
        <w:t>项目管理机构能力及企业资信相关证明材料</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3"/>
        <w:gridCol w:w="1987"/>
        <w:gridCol w:w="2126"/>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宋体" w:hAnsi="宋体" w:eastAsia="等线" w:cs="宋体"/>
                <w:b/>
                <w:bCs w:val="0"/>
                <w:color w:val="auto"/>
                <w:kern w:val="0"/>
                <w:sz w:val="22"/>
                <w:szCs w:val="22"/>
                <w:highlight w:val="none"/>
              </w:rPr>
            </w:pPr>
            <w:r>
              <w:rPr>
                <w:rFonts w:hint="eastAsia" w:ascii="等线" w:hAnsi="等线" w:eastAsia="等线" w:cs="等线"/>
                <w:b/>
                <w:bCs w:val="0"/>
                <w:color w:val="auto"/>
                <w:kern w:val="0"/>
                <w:sz w:val="22"/>
                <w:szCs w:val="22"/>
                <w:highlight w:val="none"/>
                <w:lang w:val="en-US" w:eastAsia="zh-CN" w:bidi="ar"/>
              </w:rPr>
              <w:t>序号</w:t>
            </w:r>
          </w:p>
        </w:tc>
        <w:tc>
          <w:tcPr>
            <w:tcW w:w="4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宋体" w:hAnsi="宋体" w:eastAsia="等线" w:cs="宋体"/>
                <w:b/>
                <w:bCs w:val="0"/>
                <w:color w:val="auto"/>
                <w:kern w:val="0"/>
                <w:sz w:val="22"/>
                <w:szCs w:val="22"/>
                <w:highlight w:val="none"/>
              </w:rPr>
            </w:pPr>
            <w:r>
              <w:rPr>
                <w:rFonts w:hint="eastAsia" w:ascii="等线" w:hAnsi="等线" w:eastAsia="等线" w:cs="等线"/>
                <w:b/>
                <w:bCs w:val="0"/>
                <w:color w:val="auto"/>
                <w:kern w:val="0"/>
                <w:sz w:val="22"/>
                <w:szCs w:val="22"/>
                <w:highlight w:val="none"/>
                <w:lang w:val="en-US" w:eastAsia="zh-CN" w:bidi="ar"/>
              </w:rPr>
              <w:t>评分项目</w:t>
            </w: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宋体" w:hAnsi="宋体" w:eastAsia="等线" w:cs="宋体"/>
                <w:b/>
                <w:bCs w:val="0"/>
                <w:color w:val="auto"/>
                <w:kern w:val="0"/>
                <w:sz w:val="22"/>
                <w:szCs w:val="22"/>
                <w:highlight w:val="none"/>
              </w:rPr>
            </w:pPr>
            <w:r>
              <w:rPr>
                <w:rFonts w:hint="eastAsia" w:ascii="等线" w:hAnsi="等线" w:eastAsia="等线" w:cs="等线"/>
                <w:b/>
                <w:bCs w:val="0"/>
                <w:color w:val="auto"/>
                <w:kern w:val="0"/>
                <w:sz w:val="22"/>
                <w:szCs w:val="22"/>
                <w:highlight w:val="none"/>
                <w:lang w:val="en-US" w:eastAsia="zh-CN" w:bidi="ar"/>
              </w:rPr>
              <w:t>证明材料页码索引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Merge w:val="restart"/>
            <w:tcBorders>
              <w:top w:val="nil"/>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110" w:firstLineChars="50"/>
              <w:jc w:val="both"/>
              <w:textAlignment w:val="center"/>
              <w:rPr>
                <w:rFonts w:hint="eastAsia" w:ascii="宋体" w:hAnsi="宋体" w:eastAsia="等线" w:cs="宋体"/>
                <w:color w:val="auto"/>
                <w:kern w:val="0"/>
                <w:sz w:val="22"/>
                <w:szCs w:val="22"/>
                <w:highlight w:val="none"/>
              </w:rPr>
            </w:pPr>
            <w:r>
              <w:rPr>
                <w:rFonts w:hint="eastAsia" w:ascii="宋体" w:hAnsi="宋体" w:eastAsia="等线" w:cs="宋体"/>
                <w:color w:val="auto"/>
                <w:kern w:val="0"/>
                <w:sz w:val="22"/>
                <w:szCs w:val="22"/>
                <w:highlight w:val="none"/>
                <w:lang w:val="en-US" w:eastAsia="zh-CN" w:bidi="ar"/>
              </w:rPr>
              <w:t>1</w:t>
            </w:r>
          </w:p>
        </w:tc>
        <w:tc>
          <w:tcPr>
            <w:tcW w:w="1987" w:type="dxa"/>
            <w:vMerge w:val="restart"/>
            <w:tcBorders>
              <w:top w:val="nil"/>
              <w:left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textAlignment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综合能力</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56" w:lineRule="exact"/>
              <w:ind w:left="-48" w:leftChars="-23" w:right="0"/>
              <w:jc w:val="center"/>
              <w:rPr>
                <w:rFonts w:hint="eastAsia" w:ascii="宋体" w:hAnsi="宋体" w:eastAsia="等线" w:cs="宋体"/>
                <w:color w:val="auto"/>
                <w:kern w:val="0"/>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u w:val="single"/>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56" w:lineRule="exact"/>
              <w:ind w:left="-48" w:leftChars="-23" w:right="0"/>
              <w:jc w:val="center"/>
              <w:rPr>
                <w:rFonts w:hint="eastAsia" w:ascii="宋体" w:hAnsi="宋体" w:eastAsia="等线" w:cs="宋体"/>
                <w:color w:val="auto"/>
                <w:kern w:val="0"/>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56" w:lineRule="exact"/>
              <w:ind w:left="-48" w:leftChars="-23" w:right="0"/>
              <w:jc w:val="center"/>
              <w:rPr>
                <w:rFonts w:hint="eastAsia" w:ascii="宋体" w:hAnsi="宋体" w:eastAsia="等线" w:cs="宋体"/>
                <w:color w:val="auto"/>
                <w:kern w:val="0"/>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56" w:lineRule="exact"/>
              <w:ind w:left="-48" w:leftChars="-23" w:right="0"/>
              <w:jc w:val="center"/>
              <w:rPr>
                <w:rFonts w:hint="eastAsia" w:ascii="宋体" w:hAnsi="宋体" w:eastAsia="等线" w:cs="宋体"/>
                <w:color w:val="auto"/>
                <w:kern w:val="0"/>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56" w:lineRule="exact"/>
              <w:ind w:left="-48" w:leftChars="-23" w:right="0"/>
              <w:jc w:val="center"/>
              <w:rPr>
                <w:rFonts w:hint="eastAsia" w:ascii="宋体" w:hAnsi="宋体" w:eastAsia="等线" w:cs="宋体"/>
                <w:color w:val="auto"/>
                <w:kern w:val="0"/>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5" w:leftChars="-26" w:right="-65" w:rightChars="-31"/>
              <w:jc w:val="center"/>
              <w:rPr>
                <w:rFonts w:hint="eastAsia" w:ascii="宋体" w:hAnsi="宋体" w:eastAsia="等线" w:cs="宋体"/>
                <w:bCs/>
                <w:color w:val="auto"/>
                <w:kern w:val="44"/>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5" w:leftChars="-26" w:right="-65" w:rightChars="-31"/>
              <w:jc w:val="center"/>
              <w:rPr>
                <w:rFonts w:hint="eastAsia" w:ascii="宋体" w:hAnsi="宋体" w:eastAsia="等线" w:cs="宋体"/>
                <w:bCs/>
                <w:color w:val="auto"/>
                <w:kern w:val="44"/>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55" w:leftChars="-26" w:right="-65" w:rightChars="-31"/>
              <w:jc w:val="center"/>
              <w:rPr>
                <w:rFonts w:hint="eastAsia" w:ascii="宋体" w:hAnsi="宋体" w:eastAsia="等线" w:cs="宋体"/>
                <w:bCs/>
                <w:color w:val="auto"/>
                <w:kern w:val="44"/>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textAlignment w:val="center"/>
              <w:rPr>
                <w:rFonts w:hint="default" w:ascii="等线" w:hAnsi="等线" w:eastAsia="等线" w:cs="等线"/>
                <w:color w:val="auto"/>
                <w:kern w:val="0"/>
                <w:sz w:val="22"/>
                <w:szCs w:val="22"/>
                <w:highlight w:val="none"/>
                <w:lang w:val="en-US" w:eastAsia="zh-CN" w:bidi="ar"/>
              </w:rPr>
            </w:pPr>
            <w:r>
              <w:rPr>
                <w:rFonts w:hint="eastAsia" w:ascii="等线" w:hAnsi="等线" w:eastAsia="等线" w:cs="等线"/>
                <w:color w:val="auto"/>
                <w:kern w:val="0"/>
                <w:sz w:val="22"/>
                <w:szCs w:val="22"/>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2</w:t>
            </w:r>
          </w:p>
        </w:tc>
        <w:tc>
          <w:tcPr>
            <w:tcW w:w="198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highlight w:val="none"/>
              </w:rPr>
            </w:pPr>
            <w:r>
              <w:rPr>
                <w:rFonts w:hint="eastAsia" w:ascii="等线" w:hAnsi="等线" w:eastAsia="等线" w:cs="等线"/>
                <w:color w:val="auto"/>
                <w:kern w:val="2"/>
                <w:sz w:val="21"/>
                <w:szCs w:val="21"/>
                <w:highlight w:val="none"/>
                <w:lang w:val="en-US" w:eastAsia="zh-CN" w:bidi="ar"/>
              </w:rPr>
              <w:t>施工组织</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宋体" w:hAnsi="宋体" w:eastAsia="等线" w:cs="宋体"/>
                <w:color w:val="auto"/>
                <w:kern w:val="2"/>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宋体" w:cs="宋体"/>
                <w:color w:val="auto"/>
                <w:kern w:val="0"/>
                <w:sz w:val="22"/>
                <w:szCs w:val="22"/>
                <w:highlight w:val="none"/>
                <w:lang w:val="en-US" w:eastAsia="zh-CN" w:bidi="ar"/>
              </w:rPr>
            </w:pPr>
          </w:p>
        </w:tc>
        <w:tc>
          <w:tcPr>
            <w:tcW w:w="1987"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等线" w:hAnsi="等线" w:eastAsia="等线" w:cs="等线"/>
                <w:color w:val="auto"/>
                <w:kern w:val="2"/>
                <w:sz w:val="21"/>
                <w:szCs w:val="21"/>
                <w:highlight w:val="none"/>
                <w:lang w:val="en-US" w:eastAsia="zh-CN" w:bidi="ar"/>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宋体" w:hAnsi="宋体" w:eastAsia="等线" w:cs="宋体"/>
                <w:color w:val="auto"/>
                <w:kern w:val="2"/>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等线" w:hAnsi="等线" w:eastAsia="等线" w:cs="等线"/>
                <w:color w:val="auto"/>
                <w:kern w:val="0"/>
                <w:sz w:val="22"/>
                <w:szCs w:val="22"/>
                <w:highlight w:val="none"/>
                <w:lang w:val="en-US" w:eastAsia="zh-CN" w:bidi="ar"/>
              </w:rPr>
            </w:pPr>
            <w:r>
              <w:rPr>
                <w:rFonts w:hint="eastAsia" w:ascii="等线" w:hAnsi="等线" w:eastAsia="等线" w:cs="等线"/>
                <w:color w:val="auto"/>
                <w:kern w:val="0"/>
                <w:sz w:val="22"/>
                <w:szCs w:val="22"/>
                <w:highlight w:val="none"/>
                <w:lang w:val="en-US" w:eastAsia="zh-CN" w:bidi="ar"/>
              </w:rPr>
              <w:t>第 页，共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宋体" w:hAnsi="宋体" w:eastAsia="等线" w:cs="宋体"/>
                <w:color w:val="auto"/>
                <w:kern w:val="2"/>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宋体" w:hAnsi="宋体" w:eastAsia="等线" w:cs="宋体"/>
                <w:color w:val="auto"/>
                <w:kern w:val="2"/>
                <w:sz w:val="21"/>
                <w:szCs w:val="21"/>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宋体" w:hAnsi="宋体" w:eastAsia="等线" w:cs="宋体"/>
                <w:color w:val="auto"/>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leftChars="0" w:right="0" w:rightChars="0"/>
              <w:jc w:val="center"/>
              <w:textAlignment w:val="center"/>
              <w:rPr>
                <w:rFonts w:hint="eastAsia" w:ascii="宋体" w:hAnsi="宋体" w:eastAsia="等线" w:cs="宋体"/>
                <w:color w:val="auto"/>
                <w:kern w:val="0"/>
                <w:sz w:val="22"/>
                <w:szCs w:val="22"/>
                <w:highlight w:val="none"/>
                <w:lang w:val="en-US" w:eastAsia="zh-CN" w:bidi="ar-SA"/>
              </w:rPr>
            </w:pPr>
            <w:r>
              <w:rPr>
                <w:rFonts w:hint="eastAsia" w:ascii="等线" w:hAnsi="等线" w:eastAsia="等线" w:cs="等线"/>
                <w:color w:val="auto"/>
                <w:kern w:val="0"/>
                <w:sz w:val="22"/>
                <w:szCs w:val="22"/>
                <w:highlight w:val="none"/>
                <w:lang w:val="en-US" w:eastAsia="zh-CN" w:bidi="ar"/>
              </w:rPr>
              <w:t>第</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页，共</w:t>
            </w:r>
            <w:r>
              <w:rPr>
                <w:rFonts w:hint="eastAsia" w:ascii="宋体" w:hAnsi="宋体" w:eastAsia="等线" w:cs="宋体"/>
                <w:color w:val="auto"/>
                <w:kern w:val="0"/>
                <w:sz w:val="22"/>
                <w:szCs w:val="22"/>
                <w:highlight w:val="none"/>
                <w:lang w:val="en-US" w:eastAsia="zh-CN" w:bidi="ar"/>
              </w:rPr>
              <w:t xml:space="preserve"> </w:t>
            </w:r>
            <w:r>
              <w:rPr>
                <w:rFonts w:hint="eastAsia" w:ascii="等线" w:hAnsi="等线" w:eastAsia="等线" w:cs="等线"/>
                <w:color w:val="auto"/>
                <w:kern w:val="0"/>
                <w:sz w:val="22"/>
                <w:szCs w:val="22"/>
                <w:highlight w:val="none"/>
                <w:lang w:val="en-US" w:eastAsia="zh-CN"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8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宋体" w:hAnsi="宋体" w:eastAsia="等线" w:cs="宋体"/>
                <w:color w:val="auto"/>
                <w:highlight w:val="none"/>
              </w:rPr>
            </w:pP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center"/>
              <w:rPr>
                <w:rFonts w:hint="eastAsia" w:ascii="宋体" w:hAnsi="宋体" w:eastAsia="等线" w:cs="宋体"/>
                <w:color w:val="auto"/>
                <w:kern w:val="0"/>
                <w:sz w:val="22"/>
                <w:szCs w:val="22"/>
                <w:highlight w:val="none"/>
              </w:rPr>
            </w:pPr>
            <w:r>
              <w:rPr>
                <w:rFonts w:hint="eastAsia" w:ascii="等线" w:hAnsi="等线" w:eastAsia="等线" w:cs="等线"/>
                <w:color w:val="auto"/>
                <w:kern w:val="0"/>
                <w:sz w:val="22"/>
                <w:szCs w:val="22"/>
                <w:highlight w:val="none"/>
                <w:lang w:val="en-US" w:eastAsia="zh-CN" w:bidi="ar"/>
              </w:rPr>
              <w:t>……</w:t>
            </w:r>
          </w:p>
        </w:tc>
      </w:tr>
    </w:tbl>
    <w:p>
      <w:pPr>
        <w:keepNext w:val="0"/>
        <w:keepLines w:val="0"/>
        <w:widowControl w:val="0"/>
        <w:suppressLineNumbers w:val="0"/>
        <w:autoSpaceDE w:val="0"/>
        <w:autoSpaceDN w:val="0"/>
        <w:adjustRightInd w:val="0"/>
        <w:spacing w:before="240" w:beforeLines="100" w:beforeAutospacing="0" w:after="0" w:afterAutospacing="0" w:line="480" w:lineRule="auto"/>
        <w:ind w:left="0" w:right="0"/>
        <w:jc w:val="both"/>
        <w:rPr>
          <w:rFonts w:hint="eastAsia" w:ascii="宋体" w:hAnsi="宋体" w:eastAsia="等线" w:cs="宋体"/>
          <w:b/>
          <w:bCs/>
          <w:color w:val="auto"/>
          <w:kern w:val="2"/>
          <w:sz w:val="21"/>
          <w:szCs w:val="21"/>
          <w:highlight w:val="none"/>
          <w:u w:val="double"/>
        </w:rPr>
      </w:pPr>
      <w:r>
        <w:rPr>
          <w:rFonts w:hint="eastAsia" w:ascii="等线" w:hAnsi="等线" w:eastAsia="等线" w:cs="等线"/>
          <w:b/>
          <w:bCs/>
          <w:color w:val="auto"/>
          <w:kern w:val="2"/>
          <w:sz w:val="21"/>
          <w:szCs w:val="21"/>
          <w:highlight w:val="none"/>
          <w:u w:val="double"/>
          <w:lang w:val="en-US" w:eastAsia="zh-CN" w:bidi="ar"/>
        </w:rPr>
        <w:t>注：按第二章开标、评标及定标办法中《技术标详细审查评分表》要求提供证明材料。要求按上表顺序逐项编排，并将相应项的证明材料按顺序排放。</w:t>
      </w:r>
    </w:p>
    <w:p>
      <w:pPr>
        <w:rPr>
          <w:rFonts w:hint="eastAsia" w:ascii="宋体" w:cs="宋体"/>
          <w:b/>
          <w:bCs/>
          <w:color w:val="auto"/>
          <w:sz w:val="22"/>
          <w:highlight w:val="none"/>
        </w:rPr>
      </w:pPr>
      <w:r>
        <w:rPr>
          <w:rFonts w:hint="eastAsia" w:ascii="宋体" w:cs="宋体"/>
          <w:b/>
          <w:bCs/>
          <w:color w:val="auto"/>
          <w:sz w:val="22"/>
          <w:highlight w:val="none"/>
        </w:rPr>
        <w:br w:type="page"/>
      </w:r>
    </w:p>
    <w:tbl>
      <w:tblPr>
        <w:tblStyle w:val="21"/>
        <w:tblW w:w="90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10"/>
        <w:gridCol w:w="1620"/>
        <w:gridCol w:w="1875"/>
        <w:gridCol w:w="169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9095"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auto"/>
                <w:kern w:val="2"/>
                <w:sz w:val="21"/>
                <w:szCs w:val="21"/>
                <w:highlight w:val="none"/>
              </w:rPr>
            </w:pPr>
            <w:r>
              <w:rPr>
                <w:rFonts w:hint="eastAsia" w:ascii="宋体" w:hAnsi="宋体" w:eastAsia="宋体" w:cs="宋体"/>
                <w:bCs/>
                <w:color w:val="auto"/>
                <w:kern w:val="0"/>
                <w:sz w:val="21"/>
                <w:szCs w:val="21"/>
                <w:highlight w:val="none"/>
                <w:lang w:val="en-US" w:eastAsia="zh-CN" w:bidi="ar"/>
              </w:rPr>
              <w:t>施工项目管理团队人员信息表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0"/>
                <w:sz w:val="21"/>
                <w:szCs w:val="21"/>
                <w:highlight w:val="none"/>
                <w:lang w:val="en-US" w:eastAsia="zh-CN" w:bidi="ar"/>
              </w:rPr>
              <w:t>序号</w:t>
            </w:r>
          </w:p>
        </w:tc>
        <w:tc>
          <w:tcPr>
            <w:tcW w:w="16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0"/>
                <w:sz w:val="21"/>
                <w:szCs w:val="21"/>
                <w:highlight w:val="none"/>
                <w:lang w:val="en-US" w:eastAsia="zh-CN" w:bidi="ar"/>
              </w:rPr>
              <w:t>姓名</w:t>
            </w:r>
          </w:p>
        </w:tc>
        <w:tc>
          <w:tcPr>
            <w:tcW w:w="187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0"/>
                <w:sz w:val="21"/>
                <w:szCs w:val="21"/>
                <w:highlight w:val="none"/>
                <w:lang w:val="en-US" w:eastAsia="zh-CN" w:bidi="ar"/>
              </w:rPr>
              <w:t>岗位</w:t>
            </w:r>
          </w:p>
        </w:tc>
        <w:tc>
          <w:tcPr>
            <w:tcW w:w="169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0"/>
                <w:sz w:val="21"/>
                <w:szCs w:val="21"/>
                <w:highlight w:val="none"/>
                <w:lang w:val="en-US" w:eastAsia="zh-CN" w:bidi="ar"/>
              </w:rPr>
              <w:t>职称</w:t>
            </w:r>
          </w:p>
        </w:tc>
        <w:tc>
          <w:tcPr>
            <w:tcW w:w="31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0"/>
                <w:sz w:val="21"/>
                <w:szCs w:val="21"/>
                <w:highlight w:val="none"/>
                <w:lang w:val="en-US" w:eastAsia="zh-CN" w:bidi="ar"/>
              </w:rPr>
              <w:t>职称证书或资格证书编号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1</w:t>
            </w:r>
          </w:p>
        </w:tc>
        <w:tc>
          <w:tcPr>
            <w:tcW w:w="16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87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项目负责人</w:t>
            </w:r>
          </w:p>
        </w:tc>
        <w:tc>
          <w:tcPr>
            <w:tcW w:w="1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31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2</w:t>
            </w:r>
          </w:p>
        </w:tc>
        <w:tc>
          <w:tcPr>
            <w:tcW w:w="16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87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技术负责人</w:t>
            </w:r>
          </w:p>
        </w:tc>
        <w:tc>
          <w:tcPr>
            <w:tcW w:w="1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31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3</w:t>
            </w:r>
          </w:p>
        </w:tc>
        <w:tc>
          <w:tcPr>
            <w:tcW w:w="16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87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专职安全员</w:t>
            </w:r>
          </w:p>
        </w:tc>
        <w:tc>
          <w:tcPr>
            <w:tcW w:w="1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31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4</w:t>
            </w:r>
          </w:p>
        </w:tc>
        <w:tc>
          <w:tcPr>
            <w:tcW w:w="16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
              </w:rPr>
            </w:pPr>
          </w:p>
        </w:tc>
        <w:tc>
          <w:tcPr>
            <w:tcW w:w="187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造价负责人</w:t>
            </w:r>
          </w:p>
        </w:tc>
        <w:tc>
          <w:tcPr>
            <w:tcW w:w="1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31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2"/>
                <w:sz w:val="21"/>
                <w:szCs w:val="21"/>
                <w:highlight w:val="none"/>
                <w:lang w:val="en-US" w:eastAsia="zh-CN" w:bidi="ar"/>
              </w:rPr>
            </w:pPr>
            <w:r>
              <w:rPr>
                <w:rFonts w:hint="eastAsia" w:ascii="宋体" w:hAnsi="宋体" w:cs="宋体"/>
                <w:color w:val="auto"/>
                <w:kern w:val="2"/>
                <w:sz w:val="21"/>
                <w:szCs w:val="21"/>
                <w:highlight w:val="none"/>
                <w:lang w:val="en-US" w:eastAsia="zh-CN" w:bidi="ar"/>
              </w:rPr>
              <w:t>5</w:t>
            </w:r>
          </w:p>
        </w:tc>
        <w:tc>
          <w:tcPr>
            <w:tcW w:w="16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
              </w:rPr>
            </w:pPr>
          </w:p>
        </w:tc>
        <w:tc>
          <w:tcPr>
            <w:tcW w:w="187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kern w:val="2"/>
                <w:sz w:val="21"/>
                <w:szCs w:val="21"/>
                <w:highlight w:val="none"/>
                <w:lang w:val="en-US" w:eastAsia="zh-CN" w:bidi="ar"/>
              </w:rPr>
            </w:pPr>
            <w:r>
              <w:rPr>
                <w:rFonts w:hint="eastAsia" w:ascii="宋体" w:hAnsi="宋体" w:cs="宋体"/>
                <w:color w:val="auto"/>
                <w:kern w:val="2"/>
                <w:sz w:val="21"/>
                <w:szCs w:val="21"/>
                <w:highlight w:val="none"/>
                <w:lang w:val="en-US" w:eastAsia="zh-CN" w:bidi="ar"/>
              </w:rPr>
              <w:t>质量负责人</w:t>
            </w:r>
          </w:p>
        </w:tc>
        <w:tc>
          <w:tcPr>
            <w:tcW w:w="1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31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p>
        </w:tc>
        <w:tc>
          <w:tcPr>
            <w:tcW w:w="16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p>
        </w:tc>
        <w:tc>
          <w:tcPr>
            <w:tcW w:w="187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p>
        </w:tc>
        <w:tc>
          <w:tcPr>
            <w:tcW w:w="1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31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1"/>
                <w:szCs w:val="21"/>
                <w:highlight w:val="none"/>
              </w:rPr>
            </w:pPr>
          </w:p>
        </w:tc>
        <w:tc>
          <w:tcPr>
            <w:tcW w:w="16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87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31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1"/>
                <w:szCs w:val="21"/>
                <w:highlight w:val="none"/>
              </w:rPr>
            </w:pPr>
          </w:p>
        </w:tc>
        <w:tc>
          <w:tcPr>
            <w:tcW w:w="16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87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31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p>
        </w:tc>
        <w:tc>
          <w:tcPr>
            <w:tcW w:w="16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87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31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p>
        </w:tc>
        <w:tc>
          <w:tcPr>
            <w:tcW w:w="16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87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1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c>
          <w:tcPr>
            <w:tcW w:w="31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0" w:hRule="atLeast"/>
        </w:trPr>
        <w:tc>
          <w:tcPr>
            <w:tcW w:w="909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备注：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1、“岗位”要求</w:t>
            </w:r>
            <w:r>
              <w:rPr>
                <w:rFonts w:hint="eastAsia" w:ascii="宋体" w:hAnsi="宋体" w:eastAsia="宋体" w:cs="宋体"/>
                <w:b w:val="0"/>
                <w:bCs/>
                <w:color w:val="auto"/>
                <w:kern w:val="2"/>
                <w:sz w:val="21"/>
                <w:szCs w:val="21"/>
                <w:highlight w:val="none"/>
                <w:lang w:val="en-US" w:eastAsia="zh-CN" w:bidi="ar"/>
              </w:rPr>
              <w:t>（除项目负责人和专职安全员外）</w:t>
            </w:r>
            <w:r>
              <w:rPr>
                <w:rFonts w:hint="eastAsia" w:ascii="宋体" w:hAnsi="宋体" w:eastAsia="宋体" w:cs="宋体"/>
                <w:color w:val="auto"/>
                <w:kern w:val="2"/>
                <w:sz w:val="21"/>
                <w:szCs w:val="21"/>
                <w:highlight w:val="none"/>
                <w:lang w:val="en-US" w:eastAsia="zh-CN" w:bidi="ar"/>
              </w:rPr>
              <w:t>由招标人根据项目管理需要在本表备注中明确提出，如：拟派驻施工现场的指挥长、技术负责人、质量负责人、安全负责人、造价负责人、土建工程师、机电工程师、给排水工程师、造价工程师、质量工程师、施工员、质量员、安全员、资料员等。以上项目管理团队人员信息将由交易系统提取后供各相关单位在履约时比对、查核。</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rPr>
          <w:rFonts w:hint="eastAsia" w:ascii="宋体" w:cs="宋体"/>
          <w:b/>
          <w:bCs/>
          <w:color w:val="auto"/>
          <w:sz w:val="22"/>
          <w:highlight w:val="none"/>
        </w:rPr>
      </w:pPr>
    </w:p>
    <w:p>
      <w:pPr>
        <w:rPr>
          <w:rFonts w:hint="eastAsia" w:ascii="等线" w:hAnsi="等线" w:eastAsia="等线" w:cs="等线"/>
          <w:color w:val="auto"/>
          <w:kern w:val="2"/>
          <w:sz w:val="24"/>
          <w:szCs w:val="24"/>
          <w:highlight w:val="none"/>
          <w:lang w:val="en-US" w:eastAsia="zh-CN" w:bidi="ar"/>
        </w:rPr>
      </w:pPr>
      <w:r>
        <w:rPr>
          <w:rFonts w:hint="eastAsia" w:ascii="等线" w:hAnsi="等线" w:eastAsia="等线" w:cs="等线"/>
          <w:color w:val="auto"/>
          <w:kern w:val="2"/>
          <w:sz w:val="24"/>
          <w:szCs w:val="24"/>
          <w:highlight w:val="none"/>
          <w:lang w:val="en-US" w:eastAsia="zh-CN" w:bidi="ar"/>
        </w:rPr>
        <w:br w:type="page"/>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lang w:val="en-US" w:eastAsia="zh-CN" w:bidi="ar"/>
        </w:rPr>
        <w:t>技术标格式</w:t>
      </w:r>
      <w:r>
        <w:rPr>
          <w:rFonts w:hint="eastAsia" w:ascii="宋体" w:hAnsi="宋体" w:eastAsia="等线" w:cs="宋体"/>
          <w:color w:val="auto"/>
          <w:kern w:val="2"/>
          <w:sz w:val="24"/>
          <w:szCs w:val="24"/>
          <w:highlight w:val="none"/>
          <w:lang w:val="en-US" w:eastAsia="zh-CN" w:bidi="ar"/>
        </w:rPr>
        <w:t>5</w:t>
      </w:r>
      <w:r>
        <w:rPr>
          <w:rFonts w:hint="eastAsia" w:ascii="等线" w:hAnsi="等线" w:eastAsia="等线" w:cs="等线"/>
          <w:color w:val="auto"/>
          <w:kern w:val="2"/>
          <w:sz w:val="24"/>
          <w:szCs w:val="24"/>
          <w:highlight w:val="none"/>
          <w:lang w:val="en-US" w:eastAsia="zh-CN" w:bidi="ar"/>
        </w:rPr>
        <w:t>：</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700" w:firstLineChars="0"/>
        <w:jc w:val="center"/>
        <w:rPr>
          <w:rFonts w:hint="eastAsia" w:ascii="宋体" w:hAnsi="宋体" w:eastAsia="宋体" w:cs="Times New Roman"/>
          <w:b/>
          <w:bCs w:val="0"/>
          <w:color w:val="auto"/>
          <w:spacing w:val="4"/>
          <w:kern w:val="0"/>
          <w:sz w:val="32"/>
          <w:szCs w:val="32"/>
          <w:highlight w:val="none"/>
        </w:rPr>
      </w:pPr>
      <w:r>
        <w:rPr>
          <w:rFonts w:hint="eastAsia" w:ascii="宋体" w:hAnsi="宋体" w:eastAsia="宋体" w:cs="宋体"/>
          <w:b/>
          <w:bCs w:val="0"/>
          <w:snapToGrid/>
          <w:color w:val="auto"/>
          <w:spacing w:val="4"/>
          <w:kern w:val="0"/>
          <w:sz w:val="32"/>
          <w:szCs w:val="32"/>
          <w:highlight w:val="none"/>
          <w:lang w:val="en-US" w:eastAsia="zh-CN" w:bidi="ar"/>
        </w:rPr>
        <w:t>参与编制技术标投标文件人员名单</w:t>
      </w:r>
    </w:p>
    <w:tbl>
      <w:tblPr>
        <w:tblStyle w:val="21"/>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47"/>
        <w:gridCol w:w="1848"/>
        <w:gridCol w:w="1849"/>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38" w:hRule="atLeast"/>
          <w:jc w:val="center"/>
        </w:trPr>
        <w:tc>
          <w:tcPr>
            <w:tcW w:w="92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10"/>
              <w:jc w:val="left"/>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1"/>
                <w:szCs w:val="21"/>
                <w:highlight w:val="none"/>
                <w:lang w:val="en-US" w:eastAsia="zh-CN" w:bidi="ar"/>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10"/>
              <w:jc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姓名</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10"/>
              <w:jc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职务</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10"/>
              <w:jc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所承担工作</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10"/>
              <w:jc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身份证号码</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10"/>
              <w:jc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firstLine="240"/>
              <w:jc w:val="center"/>
              <w:rPr>
                <w:rFonts w:hint="eastAsia" w:ascii="宋体" w:hAnsi="宋体" w:eastAsia="等线" w:cs="宋体"/>
                <w:color w:val="auto"/>
                <w:kern w:val="2"/>
                <w:sz w:val="24"/>
                <w:szCs w:val="24"/>
                <w:highlight w:val="none"/>
              </w:rPr>
            </w:pPr>
          </w:p>
        </w:tc>
      </w:tr>
    </w:tbl>
    <w:p>
      <w:pPr>
        <w:keepNext w:val="0"/>
        <w:keepLines w:val="0"/>
        <w:widowControl w:val="0"/>
        <w:suppressLineNumbers w:val="0"/>
        <w:spacing w:before="120" w:beforeLines="50" w:beforeAutospacing="0" w:after="0" w:afterAutospacing="0" w:line="480" w:lineRule="auto"/>
        <w:ind w:left="0" w:right="0"/>
        <w:jc w:val="both"/>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注：参与编制技术标书所有人员名单应包括如编制技术投标方案、负责清样校对、负责打印及复印等所有人员在内的人员名单。</w:t>
      </w:r>
    </w:p>
    <w:p>
      <w:pPr>
        <w:tabs>
          <w:tab w:val="left" w:pos="720"/>
        </w:tabs>
        <w:snapToGrid w:val="0"/>
        <w:spacing w:line="360" w:lineRule="auto"/>
        <w:rPr>
          <w:rFonts w:ascii="宋体" w:hAnsi="宋体"/>
          <w:color w:val="auto"/>
          <w:szCs w:val="21"/>
          <w:highlight w:val="none"/>
        </w:rPr>
      </w:pPr>
    </w:p>
    <w:p>
      <w:pPr>
        <w:pStyle w:val="31"/>
        <w:rPr>
          <w:color w:val="auto"/>
          <w:highlight w:val="none"/>
        </w:rPr>
      </w:pPr>
    </w:p>
    <w:p>
      <w:pPr>
        <w:rPr>
          <w:color w:val="auto"/>
          <w:sz w:val="24"/>
          <w:szCs w:val="24"/>
          <w:highlight w:val="none"/>
        </w:rPr>
      </w:pPr>
      <w:r>
        <w:rPr>
          <w:rFonts w:hint="eastAsia" w:ascii="宋体" w:hAnsi="宋体" w:cs="宋体"/>
          <w:color w:val="auto"/>
          <w:szCs w:val="21"/>
          <w:highlight w:val="none"/>
        </w:rPr>
        <w:br w:type="page"/>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lang w:val="en-US" w:eastAsia="zh-CN" w:bidi="ar"/>
        </w:rPr>
        <w:t>技术标格式</w:t>
      </w:r>
      <w:r>
        <w:rPr>
          <w:rFonts w:hint="eastAsia" w:ascii="宋体" w:hAnsi="宋体" w:eastAsia="等线" w:cs="宋体"/>
          <w:color w:val="auto"/>
          <w:kern w:val="2"/>
          <w:sz w:val="24"/>
          <w:szCs w:val="24"/>
          <w:highlight w:val="none"/>
          <w:lang w:val="en-US" w:eastAsia="zh-CN" w:bidi="ar"/>
        </w:rPr>
        <w:t>6</w:t>
      </w:r>
      <w:r>
        <w:rPr>
          <w:rFonts w:hint="eastAsia" w:ascii="等线" w:hAnsi="等线" w:eastAsia="等线" w:cs="等线"/>
          <w:color w:val="auto"/>
          <w:kern w:val="2"/>
          <w:sz w:val="24"/>
          <w:szCs w:val="24"/>
          <w:highlight w:val="none"/>
          <w:lang w:val="en-US" w:eastAsia="zh-CN" w:bidi="ar"/>
        </w:rPr>
        <w:t>：</w:t>
      </w:r>
    </w:p>
    <w:p>
      <w:pPr>
        <w:tabs>
          <w:tab w:val="left" w:pos="720"/>
        </w:tabs>
        <w:snapToGrid w:val="0"/>
        <w:spacing w:line="360" w:lineRule="auto"/>
        <w:jc w:val="left"/>
        <w:rPr>
          <w:rFonts w:ascii="宋体" w:hAnsi="宋体" w:cs="宋体"/>
          <w:bCs/>
          <w:color w:val="auto"/>
          <w:kern w:val="44"/>
          <w:szCs w:val="21"/>
          <w:highlight w:val="none"/>
        </w:rPr>
      </w:pPr>
    </w:p>
    <w:p>
      <w:pPr>
        <w:adjustRightInd w:val="0"/>
        <w:snapToGrid w:val="0"/>
        <w:spacing w:line="360" w:lineRule="auto"/>
        <w:jc w:val="center"/>
        <w:rPr>
          <w:rFonts w:ascii="宋体" w:hAnsi="宋体" w:cs="宋体"/>
          <w:b/>
          <w:color w:val="auto"/>
          <w:kern w:val="0"/>
          <w:sz w:val="30"/>
          <w:szCs w:val="30"/>
          <w:highlight w:val="none"/>
        </w:rPr>
      </w:pPr>
      <w:r>
        <w:rPr>
          <w:rFonts w:hint="eastAsia" w:ascii="宋体" w:hAnsi="宋体" w:cs="宋体"/>
          <w:b/>
          <w:color w:val="auto"/>
          <w:kern w:val="0"/>
          <w:sz w:val="30"/>
          <w:szCs w:val="30"/>
          <w:highlight w:val="none"/>
        </w:rPr>
        <w:t>联合体</w:t>
      </w:r>
      <w:bookmarkStart w:id="50" w:name="_Hlk69891436"/>
      <w:r>
        <w:rPr>
          <w:rFonts w:hint="eastAsia" w:ascii="宋体" w:hAnsi="宋体" w:cs="宋体"/>
          <w:b/>
          <w:color w:val="auto"/>
          <w:kern w:val="0"/>
          <w:sz w:val="30"/>
          <w:szCs w:val="30"/>
          <w:highlight w:val="none"/>
        </w:rPr>
        <w:t>投标协议书</w:t>
      </w:r>
      <w:bookmarkEnd w:id="50"/>
    </w:p>
    <w:p>
      <w:pPr>
        <w:spacing w:line="360" w:lineRule="auto"/>
        <w:rPr>
          <w:rFonts w:ascii="宋体" w:hAnsi="宋体"/>
          <w:color w:val="auto"/>
          <w:sz w:val="24"/>
          <w:highlight w:val="none"/>
        </w:rPr>
      </w:pPr>
    </w:p>
    <w:p>
      <w:pPr>
        <w:spacing w:line="360" w:lineRule="auto"/>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投标项目名称：</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sz w:val="24"/>
          <w:szCs w:val="24"/>
          <w:highlight w:val="none"/>
          <w:u w:val="single"/>
          <w:lang w:eastAsia="zh-CN"/>
        </w:rPr>
        <w:t>广东省巨灾防范工程-新丰江地震监测中心站改造单项工程</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 xml:space="preserve">                 </w:t>
      </w:r>
    </w:p>
    <w:p>
      <w:pPr>
        <w:spacing w:line="360" w:lineRule="auto"/>
        <w:rPr>
          <w:rFonts w:ascii="宋体" w:hAnsi="宋体" w:cs="宋体"/>
          <w:color w:val="auto"/>
          <w:kern w:val="0"/>
          <w:sz w:val="24"/>
          <w:szCs w:val="24"/>
          <w:highlight w:val="none"/>
          <w:lang w:bidi="ar"/>
        </w:rPr>
      </w:pPr>
    </w:p>
    <w:p>
      <w:pPr>
        <w:spacing w:line="360" w:lineRule="auto"/>
        <w:rPr>
          <w:rFonts w:ascii="宋体" w:hAnsi="宋体" w:cs="宋体"/>
          <w:color w:val="auto"/>
          <w:kern w:val="0"/>
          <w:sz w:val="24"/>
          <w:szCs w:val="24"/>
          <w:highlight w:val="none"/>
          <w:u w:val="single"/>
          <w:lang w:bidi="ar"/>
        </w:rPr>
      </w:pPr>
      <w:r>
        <w:rPr>
          <w:rFonts w:hint="eastAsia" w:ascii="宋体" w:hAnsi="宋体" w:cs="宋体"/>
          <w:color w:val="auto"/>
          <w:kern w:val="0"/>
          <w:sz w:val="24"/>
          <w:szCs w:val="24"/>
          <w:highlight w:val="none"/>
          <w:lang w:bidi="ar"/>
        </w:rPr>
        <w:t>致：</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sz w:val="24"/>
          <w:szCs w:val="24"/>
          <w:highlight w:val="none"/>
          <w:u w:val="single"/>
          <w:lang w:eastAsia="zh-CN"/>
        </w:rPr>
        <w:t>广东省地震局</w:t>
      </w:r>
      <w:r>
        <w:rPr>
          <w:rFonts w:hint="eastAsia" w:ascii="宋体" w:hAnsi="宋体" w:cs="宋体"/>
          <w:color w:val="auto"/>
          <w:kern w:val="0"/>
          <w:sz w:val="24"/>
          <w:szCs w:val="24"/>
          <w:highlight w:val="none"/>
          <w:u w:val="single"/>
          <w:lang w:bidi="ar"/>
        </w:rPr>
        <w:t xml:space="preserve">  </w:t>
      </w:r>
    </w:p>
    <w:p>
      <w:pPr>
        <w:spacing w:line="360" w:lineRule="auto"/>
        <w:ind w:firstLine="480" w:firstLineChars="200"/>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我方决定组成联合体共同参加以上项目的投标，若中标，联合体各成员向招标人承担连带责任。我方授权委托本协议主办方，代表所有联合体成员参加投标、签署投标资料、提交投标文件，以及与招标人签订合同，负责整个合同实施阶段的协调工作。</w:t>
      </w:r>
    </w:p>
    <w:p>
      <w:pPr>
        <w:spacing w:line="360" w:lineRule="auto"/>
        <w:ind w:firstLine="480" w:firstLineChars="200"/>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本协议联合体主办方及联合体成员单位单方签署、盖章确认的本项目投标文件及相关投标资料，均视为联合体成员单位共同编制，联合体成员单位均承认其法律效力，并共同对投标文件内容的真实性、合法性和完整性承担民事、行政、刑事责任。</w:t>
      </w:r>
    </w:p>
    <w:p>
      <w:pPr>
        <w:spacing w:line="360" w:lineRule="auto"/>
        <w:ind w:firstLine="480" w:firstLineChars="200"/>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联合体将严格按照招标文件的各项要求，递交投标文件，履行合同，并对外承担相应责任。</w:t>
      </w:r>
    </w:p>
    <w:p>
      <w:pPr>
        <w:spacing w:line="360" w:lineRule="auto"/>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 xml:space="preserve">    </w:t>
      </w:r>
    </w:p>
    <w:p>
      <w:pPr>
        <w:spacing w:line="360" w:lineRule="auto"/>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联合体主办方：（盖章）</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 xml:space="preserve">     </w:t>
      </w:r>
    </w:p>
    <w:p>
      <w:pPr>
        <w:spacing w:line="360" w:lineRule="auto"/>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法定代表人：（签字或盖章）</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 xml:space="preserve">   </w:t>
      </w:r>
    </w:p>
    <w:p>
      <w:pPr>
        <w:spacing w:line="360" w:lineRule="auto"/>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 xml:space="preserve">    分工内容：</w:t>
      </w:r>
      <w:r>
        <w:rPr>
          <w:rFonts w:hint="eastAsia" w:ascii="宋体" w:hAnsi="宋体" w:cs="宋体"/>
          <w:color w:val="auto"/>
          <w:kern w:val="0"/>
          <w:sz w:val="24"/>
          <w:szCs w:val="24"/>
          <w:highlight w:val="none"/>
          <w:u w:val="single"/>
          <w:lang w:bidi="ar"/>
        </w:rPr>
        <w:t xml:space="preserve">                                     </w:t>
      </w:r>
    </w:p>
    <w:p>
      <w:pPr>
        <w:spacing w:line="360" w:lineRule="auto"/>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联合体成员：（盖章）</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 xml:space="preserve"> </w:t>
      </w:r>
    </w:p>
    <w:p>
      <w:pPr>
        <w:spacing w:line="360" w:lineRule="auto"/>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 xml:space="preserve">法定代表人：（签字或盖章） </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 xml:space="preserve">    </w:t>
      </w:r>
    </w:p>
    <w:p>
      <w:pPr>
        <w:spacing w:line="360" w:lineRule="auto"/>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 xml:space="preserve">   分工内容：</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 xml:space="preserve">      </w:t>
      </w:r>
    </w:p>
    <w:p>
      <w:pPr>
        <w:spacing w:line="360" w:lineRule="auto"/>
        <w:rPr>
          <w:rFonts w:ascii="宋体" w:hAnsi="宋体" w:cs="宋体"/>
          <w:color w:val="auto"/>
          <w:kern w:val="0"/>
          <w:sz w:val="24"/>
          <w:szCs w:val="24"/>
          <w:highlight w:val="none"/>
          <w:lang w:bidi="ar"/>
        </w:rPr>
      </w:pPr>
    </w:p>
    <w:p>
      <w:pPr>
        <w:spacing w:line="360" w:lineRule="auto"/>
        <w:rPr>
          <w:rFonts w:ascii="宋体" w:hAnsi="宋体" w:cs="宋体"/>
          <w:color w:val="auto"/>
          <w:kern w:val="0"/>
          <w:sz w:val="24"/>
          <w:szCs w:val="24"/>
          <w:highlight w:val="none"/>
          <w:lang w:bidi="ar"/>
        </w:rPr>
      </w:pPr>
    </w:p>
    <w:p>
      <w:pPr>
        <w:spacing w:line="360" w:lineRule="auto"/>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 xml:space="preserve">                                 签订日期：      年      月     日</w:t>
      </w:r>
    </w:p>
    <w:p>
      <w:pPr>
        <w:pStyle w:val="6"/>
        <w:rPr>
          <w:color w:val="auto"/>
          <w:highlight w:val="none"/>
        </w:rPr>
      </w:pPr>
    </w:p>
    <w:p>
      <w:pPr>
        <w:spacing w:line="360" w:lineRule="auto"/>
        <w:rPr>
          <w:rFonts w:ascii="宋体"/>
          <w:color w:val="auto"/>
          <w:sz w:val="24"/>
          <w:szCs w:val="24"/>
          <w:highlight w:val="none"/>
        </w:rPr>
      </w:pPr>
      <w:r>
        <w:rPr>
          <w:rFonts w:hint="eastAsia" w:ascii="宋体" w:hAnsi="宋体" w:cs="宋体"/>
          <w:color w:val="auto"/>
          <w:kern w:val="0"/>
          <w:szCs w:val="21"/>
          <w:highlight w:val="none"/>
          <w:lang w:bidi="ar"/>
        </w:rPr>
        <w:t>注：单独投标的，无需提交本协议书。</w:t>
      </w:r>
    </w:p>
    <w:p>
      <w:pPr>
        <w:keepNext w:val="0"/>
        <w:keepLines w:val="0"/>
        <w:widowControl w:val="0"/>
        <w:suppressLineNumbers w:val="0"/>
        <w:spacing w:before="0" w:beforeAutospacing="0" w:after="0" w:afterAutospacing="0"/>
        <w:ind w:left="0" w:right="0"/>
        <w:jc w:val="both"/>
        <w:rPr>
          <w:color w:val="auto"/>
          <w:highlight w:val="none"/>
        </w:rPr>
      </w:pPr>
      <w:r>
        <w:rPr>
          <w:rFonts w:ascii="宋体"/>
          <w:color w:val="auto"/>
          <w:szCs w:val="21"/>
          <w:highlight w:val="none"/>
        </w:rPr>
        <w:br w:type="page"/>
      </w:r>
      <w:r>
        <w:rPr>
          <w:rFonts w:hint="eastAsia" w:ascii="等线" w:hAnsi="等线" w:eastAsia="等线" w:cs="等线"/>
          <w:color w:val="auto"/>
          <w:kern w:val="2"/>
          <w:sz w:val="24"/>
          <w:szCs w:val="24"/>
          <w:highlight w:val="none"/>
          <w:lang w:val="en-US" w:eastAsia="zh-CN" w:bidi="ar"/>
        </w:rPr>
        <w:t>技术标格式</w:t>
      </w:r>
      <w:r>
        <w:rPr>
          <w:rFonts w:hint="eastAsia" w:ascii="宋体" w:hAnsi="宋体" w:eastAsia="等线" w:cs="宋体"/>
          <w:color w:val="auto"/>
          <w:kern w:val="2"/>
          <w:sz w:val="24"/>
          <w:szCs w:val="24"/>
          <w:highlight w:val="none"/>
          <w:lang w:val="en-US" w:eastAsia="zh-CN" w:bidi="ar"/>
        </w:rPr>
        <w:t>7</w:t>
      </w:r>
    </w:p>
    <w:p>
      <w:pPr>
        <w:rPr>
          <w:rFonts w:ascii="宋体" w:hAnsi="宋体" w:cs="宋体"/>
          <w:color w:val="auto"/>
          <w:highlight w:val="none"/>
        </w:rPr>
      </w:pPr>
    </w:p>
    <w:p>
      <w:pPr>
        <w:spacing w:line="360" w:lineRule="auto"/>
        <w:jc w:val="center"/>
        <w:rPr>
          <w:rFonts w:ascii="宋体" w:hAnsi="宋体" w:cs="宋体"/>
          <w:b/>
          <w:color w:val="auto"/>
          <w:sz w:val="36"/>
          <w:szCs w:val="36"/>
          <w:highlight w:val="none"/>
        </w:rPr>
      </w:pPr>
      <w:bookmarkStart w:id="51" w:name="_Hlk117756596"/>
      <w:r>
        <w:rPr>
          <w:rFonts w:hint="eastAsia" w:ascii="宋体" w:hAnsi="宋体" w:cs="宋体"/>
          <w:b/>
          <w:color w:val="auto"/>
          <w:sz w:val="36"/>
          <w:szCs w:val="36"/>
          <w:highlight w:val="none"/>
        </w:rPr>
        <w:t>危险性较大的分部分项工程安全管理措施</w:t>
      </w:r>
      <w:bookmarkEnd w:id="51"/>
    </w:p>
    <w:p>
      <w:pPr>
        <w:numPr>
          <w:ilvl w:val="0"/>
          <w:numId w:val="5"/>
        </w:numPr>
        <w:autoSpaceDE w:val="0"/>
        <w:autoSpaceDN w:val="0"/>
        <w:adjustRightInd w:val="0"/>
        <w:spacing w:line="360" w:lineRule="auto"/>
        <w:jc w:val="left"/>
        <w:rPr>
          <w:rFonts w:ascii="宋体" w:hAnsi="宋体" w:cs="宋体"/>
          <w:snapToGrid w:val="0"/>
          <w:color w:val="auto"/>
          <w:spacing w:val="4"/>
          <w:kern w:val="0"/>
          <w:sz w:val="24"/>
          <w:szCs w:val="24"/>
          <w:highlight w:val="none"/>
        </w:rPr>
      </w:pPr>
      <w:r>
        <w:rPr>
          <w:rFonts w:hint="eastAsia" w:ascii="宋体" w:hAnsi="宋体" w:cs="宋体"/>
          <w:color w:val="auto"/>
          <w:sz w:val="24"/>
          <w:szCs w:val="28"/>
          <w:highlight w:val="none"/>
        </w:rPr>
        <w:t>根据中华人民共和国住房和城乡建设部令第37号《危险性较大的分部分项工程安全管理规定》（以下简称“37号文”），投标人在投标时须补充完善危大工程清单并</w:t>
      </w:r>
      <w:r>
        <w:rPr>
          <w:rFonts w:hint="eastAsia" w:ascii="宋体" w:hAnsi="宋体" w:cs="宋体"/>
          <w:snapToGrid w:val="0"/>
          <w:color w:val="auto"/>
          <w:spacing w:val="4"/>
          <w:kern w:val="0"/>
          <w:sz w:val="24"/>
          <w:szCs w:val="24"/>
          <w:highlight w:val="none"/>
        </w:rPr>
        <w:t>结合本工程的类型和特点，科学、合理地设置本项目的危险性较大的分部分项工程安全管理措施，危险性较大的分部分项工程安全管理措施由投标人结合招标人对本工程的具体要求自行设定。</w:t>
      </w:r>
    </w:p>
    <w:p>
      <w:pPr>
        <w:numPr>
          <w:ilvl w:val="0"/>
          <w:numId w:val="5"/>
        </w:numPr>
        <w:autoSpaceDE w:val="0"/>
        <w:autoSpaceDN w:val="0"/>
        <w:adjustRightInd w:val="0"/>
        <w:spacing w:line="360" w:lineRule="auto"/>
        <w:jc w:val="left"/>
        <w:rPr>
          <w:rFonts w:ascii="宋体" w:hAnsi="宋体" w:cs="宋体"/>
          <w:color w:val="auto"/>
          <w:sz w:val="24"/>
          <w:szCs w:val="28"/>
          <w:highlight w:val="none"/>
        </w:rPr>
      </w:pPr>
      <w:r>
        <w:rPr>
          <w:rFonts w:hint="eastAsia" w:ascii="宋体" w:hAnsi="宋体" w:cs="宋体"/>
          <w:color w:val="auto"/>
          <w:sz w:val="24"/>
          <w:szCs w:val="28"/>
          <w:highlight w:val="none"/>
        </w:rPr>
        <w:t>招标人根据设计文件的要求及37号文的规定列出“危险性较大的分部分项工程清单及超过一定规模的危险性较大的分部分项工程清单”中与本招标项目相关的清单项，具体详见第5点“打</w:t>
      </w:r>
      <w:r>
        <w:rPr>
          <w:rFonts w:hint="eastAsia" w:ascii="宋体" w:hAnsi="宋体" w:cs="宋体"/>
          <w:color w:val="auto"/>
          <w:sz w:val="24"/>
          <w:szCs w:val="36"/>
          <w:highlight w:val="none"/>
        </w:rPr>
        <w:t>√”标识。</w:t>
      </w:r>
    </w:p>
    <w:p>
      <w:pPr>
        <w:numPr>
          <w:ilvl w:val="0"/>
          <w:numId w:val="6"/>
        </w:numPr>
        <w:autoSpaceDE w:val="0"/>
        <w:autoSpaceDN w:val="0"/>
        <w:adjustRightInd w:val="0"/>
        <w:spacing w:line="360" w:lineRule="auto"/>
        <w:jc w:val="left"/>
        <w:rPr>
          <w:rFonts w:ascii="宋体" w:hAnsi="宋体" w:cs="宋体"/>
          <w:color w:val="auto"/>
          <w:sz w:val="24"/>
          <w:szCs w:val="36"/>
          <w:highlight w:val="none"/>
        </w:rPr>
      </w:pPr>
      <w:r>
        <w:rPr>
          <w:rFonts w:hint="eastAsia" w:ascii="宋体" w:hAnsi="宋体" w:cs="宋体"/>
          <w:color w:val="auto"/>
          <w:sz w:val="24"/>
          <w:szCs w:val="28"/>
          <w:highlight w:val="none"/>
        </w:rPr>
        <w:t>投标单位同意招标人在清单中标识的该项请在对应项打“</w:t>
      </w:r>
      <w:r>
        <w:rPr>
          <w:rFonts w:hint="eastAsia" w:ascii="宋体" w:hAnsi="宋体" w:cs="宋体"/>
          <w:color w:val="auto"/>
          <w:sz w:val="24"/>
          <w:szCs w:val="36"/>
          <w:highlight w:val="none"/>
        </w:rPr>
        <w:t>√”标识，并在投标文件中提供相应的安全管理措施。</w:t>
      </w:r>
    </w:p>
    <w:p>
      <w:pPr>
        <w:numPr>
          <w:ilvl w:val="0"/>
          <w:numId w:val="6"/>
        </w:numPr>
        <w:autoSpaceDE w:val="0"/>
        <w:autoSpaceDN w:val="0"/>
        <w:adjustRightInd w:val="0"/>
        <w:spacing w:line="360" w:lineRule="auto"/>
        <w:jc w:val="left"/>
        <w:rPr>
          <w:rFonts w:ascii="宋体" w:hAnsi="宋体" w:cs="宋体"/>
          <w:color w:val="auto"/>
          <w:sz w:val="24"/>
          <w:szCs w:val="36"/>
          <w:highlight w:val="none"/>
        </w:rPr>
      </w:pPr>
      <w:r>
        <w:rPr>
          <w:rFonts w:hint="eastAsia" w:ascii="宋体" w:hAnsi="宋体" w:cs="宋体"/>
          <w:color w:val="auto"/>
          <w:sz w:val="24"/>
          <w:szCs w:val="28"/>
          <w:highlight w:val="none"/>
        </w:rPr>
        <w:t>投标单位对清单中认为需要补充的该项请在对应项打“</w:t>
      </w:r>
      <w:r>
        <w:rPr>
          <w:rFonts w:hint="eastAsia" w:ascii="宋体" w:hAnsi="宋体" w:cs="宋体"/>
          <w:color w:val="auto"/>
          <w:sz w:val="24"/>
          <w:szCs w:val="36"/>
          <w:highlight w:val="none"/>
        </w:rPr>
        <w:t>√”标识，并在投标文件中提供相应的安全管理措施。</w:t>
      </w:r>
    </w:p>
    <w:p>
      <w:pPr>
        <w:numPr>
          <w:ilvl w:val="0"/>
          <w:numId w:val="6"/>
        </w:numPr>
        <w:autoSpaceDE w:val="0"/>
        <w:autoSpaceDN w:val="0"/>
        <w:adjustRightInd w:val="0"/>
        <w:spacing w:line="360" w:lineRule="auto"/>
        <w:jc w:val="left"/>
        <w:rPr>
          <w:rFonts w:ascii="宋体" w:hAnsi="宋体" w:cs="宋体"/>
          <w:color w:val="auto"/>
          <w:sz w:val="24"/>
          <w:szCs w:val="28"/>
          <w:highlight w:val="none"/>
        </w:rPr>
      </w:pPr>
      <w:r>
        <w:rPr>
          <w:rFonts w:hint="eastAsia" w:ascii="宋体" w:hAnsi="宋体" w:cs="宋体"/>
          <w:color w:val="auto"/>
          <w:sz w:val="24"/>
          <w:szCs w:val="36"/>
          <w:highlight w:val="none"/>
        </w:rPr>
        <w:t>投标单位不同意招标人</w:t>
      </w:r>
      <w:r>
        <w:rPr>
          <w:rFonts w:hint="eastAsia" w:ascii="宋体" w:hAnsi="宋体" w:cs="宋体"/>
          <w:color w:val="auto"/>
          <w:sz w:val="24"/>
          <w:szCs w:val="28"/>
          <w:highlight w:val="none"/>
        </w:rPr>
        <w:t>在清单中标识的该项</w:t>
      </w:r>
      <w:r>
        <w:rPr>
          <w:rFonts w:hint="eastAsia" w:ascii="宋体" w:hAnsi="宋体" w:cs="宋体"/>
          <w:color w:val="auto"/>
          <w:sz w:val="24"/>
          <w:szCs w:val="36"/>
          <w:highlight w:val="none"/>
        </w:rPr>
        <w:t>请在对应项打“×”标识，并在备注栏填上相关说明。</w:t>
      </w:r>
    </w:p>
    <w:p>
      <w:pPr>
        <w:numPr>
          <w:ilvl w:val="0"/>
          <w:numId w:val="5"/>
        </w:numPr>
        <w:autoSpaceDE w:val="0"/>
        <w:autoSpaceDN w:val="0"/>
        <w:adjustRightInd w:val="0"/>
        <w:spacing w:line="360" w:lineRule="auto"/>
        <w:jc w:val="left"/>
        <w:rPr>
          <w:rFonts w:ascii="宋体" w:hAnsi="宋体" w:cs="宋体"/>
          <w:color w:val="auto"/>
          <w:sz w:val="24"/>
          <w:szCs w:val="28"/>
          <w:highlight w:val="none"/>
        </w:rPr>
      </w:pPr>
      <w:r>
        <w:rPr>
          <w:rFonts w:hint="eastAsia" w:ascii="宋体" w:hAnsi="宋体" w:cs="宋体"/>
          <w:color w:val="auto"/>
          <w:sz w:val="24"/>
          <w:szCs w:val="28"/>
          <w:highlight w:val="none"/>
        </w:rPr>
        <w:t>投标单位应当在投标时根据招标人提供的下述第5点清单，在投标文件中编制专项施工方案。</w:t>
      </w:r>
    </w:p>
    <w:p>
      <w:pPr>
        <w:numPr>
          <w:ilvl w:val="0"/>
          <w:numId w:val="5"/>
        </w:numPr>
        <w:autoSpaceDE w:val="0"/>
        <w:autoSpaceDN w:val="0"/>
        <w:adjustRightInd w:val="0"/>
        <w:spacing w:line="360" w:lineRule="auto"/>
        <w:jc w:val="left"/>
        <w:rPr>
          <w:rFonts w:ascii="宋体" w:hAnsi="宋体" w:cs="宋体"/>
          <w:color w:val="auto"/>
          <w:sz w:val="24"/>
          <w:szCs w:val="28"/>
          <w:highlight w:val="none"/>
        </w:rPr>
      </w:pPr>
      <w:r>
        <w:rPr>
          <w:rFonts w:hint="eastAsia" w:ascii="宋体" w:hAnsi="宋体" w:cs="宋体"/>
          <w:color w:val="auto"/>
          <w:sz w:val="24"/>
          <w:szCs w:val="28"/>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numPr>
          <w:ilvl w:val="0"/>
          <w:numId w:val="5"/>
        </w:numPr>
        <w:autoSpaceDE w:val="0"/>
        <w:autoSpaceDN w:val="0"/>
        <w:adjustRightInd w:val="0"/>
        <w:spacing w:line="360" w:lineRule="auto"/>
        <w:jc w:val="left"/>
        <w:rPr>
          <w:rFonts w:ascii="宋体" w:hAnsi="宋体" w:cs="宋体"/>
          <w:color w:val="auto"/>
          <w:sz w:val="24"/>
          <w:szCs w:val="28"/>
          <w:highlight w:val="none"/>
        </w:rPr>
      </w:pPr>
      <w:r>
        <w:rPr>
          <w:rFonts w:hint="eastAsia" w:ascii="宋体" w:hAnsi="宋体" w:cs="宋体"/>
          <w:color w:val="auto"/>
          <w:sz w:val="24"/>
          <w:szCs w:val="28"/>
          <w:highlight w:val="none"/>
        </w:rPr>
        <w:t>危险性较大的分部分项工程清单及超过一定规模的危险性较大的分部分项工程清单：</w:t>
      </w:r>
    </w:p>
    <w:p>
      <w:pPr>
        <w:autoSpaceDE w:val="0"/>
        <w:autoSpaceDN w:val="0"/>
        <w:adjustRightInd w:val="0"/>
        <w:spacing w:line="360" w:lineRule="auto"/>
        <w:jc w:val="left"/>
        <w:rPr>
          <w:rFonts w:ascii="宋体" w:hAnsi="宋体" w:cs="宋体"/>
          <w:color w:val="auto"/>
          <w:sz w:val="24"/>
          <w:szCs w:val="28"/>
          <w:highlight w:val="none"/>
        </w:rPr>
      </w:pPr>
      <w:r>
        <w:rPr>
          <w:rFonts w:hint="eastAsia" w:ascii="宋体" w:hAnsi="宋体" w:cs="宋体"/>
          <w:color w:val="auto"/>
          <w:sz w:val="24"/>
          <w:szCs w:val="28"/>
          <w:highlight w:val="none"/>
        </w:rPr>
        <w:br w:type="page"/>
      </w:r>
    </w:p>
    <w:tbl>
      <w:tblPr>
        <w:tblStyle w:val="21"/>
        <w:tblW w:w="975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6"/>
        <w:gridCol w:w="1320"/>
        <w:gridCol w:w="124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366"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s="宋体"/>
                <w:b/>
                <w:color w:val="auto"/>
                <w:highlight w:val="none"/>
              </w:rPr>
              <w:t>危险性较大的分部分项工程清单</w:t>
            </w:r>
          </w:p>
        </w:tc>
        <w:tc>
          <w:tcPr>
            <w:tcW w:w="1320" w:type="dxa"/>
            <w:tcBorders>
              <w:top w:val="single" w:color="auto" w:sz="4" w:space="0"/>
              <w:left w:val="nil"/>
              <w:bottom w:val="single" w:color="auto" w:sz="4" w:space="0"/>
              <w:right w:val="single" w:color="auto" w:sz="4" w:space="0"/>
            </w:tcBorders>
            <w:shd w:val="clear" w:color="auto" w:fill="D9D9D9"/>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s="宋体"/>
                <w:b/>
                <w:color w:val="auto"/>
                <w:highlight w:val="none"/>
              </w:rPr>
              <w:t>招标人</w:t>
            </w:r>
          </w:p>
        </w:tc>
        <w:tc>
          <w:tcPr>
            <w:tcW w:w="1245" w:type="dxa"/>
            <w:tcBorders>
              <w:top w:val="single" w:color="auto" w:sz="4" w:space="0"/>
              <w:left w:val="nil"/>
              <w:bottom w:val="single" w:color="auto" w:sz="4" w:space="0"/>
              <w:right w:val="single" w:color="auto" w:sz="4" w:space="0"/>
            </w:tcBorders>
            <w:shd w:val="clear" w:color="auto" w:fill="D9D9D9"/>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s="宋体"/>
                <w:b/>
                <w:color w:val="auto"/>
                <w:highlight w:val="none"/>
              </w:rPr>
              <w:t>投标单位</w:t>
            </w:r>
          </w:p>
        </w:tc>
        <w:tc>
          <w:tcPr>
            <w:tcW w:w="825" w:type="dxa"/>
            <w:tcBorders>
              <w:top w:val="single" w:color="auto" w:sz="4" w:space="0"/>
              <w:left w:val="nil"/>
              <w:bottom w:val="single" w:color="auto" w:sz="4" w:space="0"/>
              <w:right w:val="single" w:color="auto" w:sz="4" w:space="0"/>
            </w:tcBorders>
            <w:shd w:val="clear" w:color="auto" w:fill="D9D9D9"/>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b/>
                <w:color w:val="auto"/>
                <w:highlight w:val="none"/>
              </w:rPr>
            </w:pPr>
            <w:r>
              <w:rPr>
                <w:rFonts w:hint="eastAsia" w:ascii="宋体" w:hAnsi="宋体" w:cs="宋体"/>
                <w:b/>
                <w:color w:val="auto"/>
                <w:highlight w:val="none"/>
              </w:rPr>
              <w:t>一、基坑支护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（一）开挖深度超过3m（含3m）的基坑（槽）的土方开挖、支护、降水工程。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（二）开挖深度虽未超过3m，但地质条件、周围环境和地下管线复杂，或影响毗邻建、构筑物安全的基坑（槽）的土方开挖、支护、降水工程。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b/>
                <w:color w:val="auto"/>
                <w:highlight w:val="none"/>
              </w:rPr>
              <w:t>二、模板工程及支撑体系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（一）各类工具式模板工程：包括滑模、爬模、飞模、隧道模等工程。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（三）承重支撑体系：用于钢结构安装等满堂支撑体系。</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b/>
                <w:color w:val="auto"/>
                <w:highlight w:val="none"/>
              </w:rPr>
              <w:t>三、起重吊装及起重机械安装拆卸工程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（一）采用非常规起重设备、方法，且单件起吊重量在10kN及以上的起重吊装工程。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（二）采用起重机械进行安装的工程。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（三）起重机械安装和拆卸工程。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b/>
                <w:color w:val="auto"/>
                <w:highlight w:val="none"/>
              </w:rPr>
              <w:t>四、脚手架工程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（一）搭设高度24m及以上的落地式钢管脚手架工程（包括采光井、电梯井脚手架）。</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（二）附着式升降脚手架工程。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（三）悬挑式脚手架工程。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（四）高处作业吊篮。</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（五）卸料平台、操作平台工程。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（六）异型脚手架工程。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b/>
                <w:color w:val="auto"/>
                <w:highlight w:val="none"/>
              </w:rPr>
              <w:t>五、拆除工程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可能影响行人、交通、电力设施、通讯设施或其它建、构筑物安全的拆除工程。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b/>
                <w:color w:val="auto"/>
                <w:highlight w:val="none"/>
              </w:rPr>
              <w:t>六、暗挖工程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采用矿山法、盾构法、顶管法施工的隧道、洞室工程。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b/>
                <w:color w:val="auto"/>
                <w:highlight w:val="none"/>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（一）建筑幕墙安装工程。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（二）钢结构、网架和索膜结构安装工程。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（三）人工挖孔桩工程。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（四）水下作业工程。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（五）装配式建筑混凝土预制构件安装工程。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（六）采用新技术、新工艺、新材料、新设备可能影响工程施工安全，尚无国家、行业及地方技术标准的分部分项工程。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366"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s="宋体"/>
                <w:b/>
                <w:color w:val="auto"/>
                <w:highlight w:val="none"/>
              </w:rPr>
              <w:t>超过一定规模的危险性较大的分部分项工程清单</w:t>
            </w:r>
          </w:p>
        </w:tc>
        <w:tc>
          <w:tcPr>
            <w:tcW w:w="1320" w:type="dxa"/>
            <w:tcBorders>
              <w:top w:val="single" w:color="auto" w:sz="4" w:space="0"/>
              <w:left w:val="nil"/>
              <w:bottom w:val="single" w:color="auto" w:sz="4" w:space="0"/>
              <w:right w:val="single" w:color="auto" w:sz="4" w:space="0"/>
            </w:tcBorders>
            <w:shd w:val="clear" w:color="auto" w:fill="D9D9D9"/>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s="宋体"/>
                <w:b/>
                <w:color w:val="auto"/>
                <w:highlight w:val="none"/>
              </w:rPr>
              <w:t>招标人</w:t>
            </w:r>
          </w:p>
        </w:tc>
        <w:tc>
          <w:tcPr>
            <w:tcW w:w="1245" w:type="dxa"/>
            <w:tcBorders>
              <w:top w:val="single" w:color="auto" w:sz="4" w:space="0"/>
              <w:left w:val="nil"/>
              <w:bottom w:val="single" w:color="auto" w:sz="4" w:space="0"/>
              <w:right w:val="single" w:color="auto" w:sz="4" w:space="0"/>
            </w:tcBorders>
            <w:shd w:val="clear" w:color="auto" w:fill="D9D9D9"/>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s="宋体"/>
                <w:b/>
                <w:color w:val="auto"/>
                <w:highlight w:val="none"/>
              </w:rPr>
              <w:t>投标单位</w:t>
            </w:r>
          </w:p>
        </w:tc>
        <w:tc>
          <w:tcPr>
            <w:tcW w:w="825" w:type="dxa"/>
            <w:tcBorders>
              <w:top w:val="single" w:color="auto" w:sz="4" w:space="0"/>
              <w:left w:val="nil"/>
              <w:bottom w:val="single" w:color="auto" w:sz="4" w:space="0"/>
              <w:right w:val="single" w:color="auto" w:sz="4" w:space="0"/>
            </w:tcBorders>
            <w:shd w:val="clear" w:color="auto" w:fill="D9D9D9"/>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b/>
                <w:color w:val="auto"/>
                <w:highlight w:val="none"/>
              </w:rPr>
            </w:pPr>
            <w:r>
              <w:rPr>
                <w:rFonts w:hint="eastAsia" w:ascii="宋体" w:hAnsi="宋体" w:cs="宋体"/>
                <w:b/>
                <w:color w:val="auto"/>
                <w:highlight w:val="none"/>
              </w:rPr>
              <w:t>一、深基坑工程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开挖深度超过5m（含5m）的基坑（槽）的土方开挖、支护、降水工程。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b/>
                <w:color w:val="auto"/>
                <w:highlight w:val="none"/>
              </w:rPr>
              <w:t>二、模板工程及支撑体系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（一）各类工具式模板工程：包括滑模、爬模、飞模、隧道模等工程。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（二）混凝土模板支撑工程：搭设高度8m及以上，或搭设跨度18m及以上，或施工总荷载（设计值）15kN/m2及以上，或集中线荷载（设计值）20kN/m及以上。</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（三）承重支撑体系：用于钢结构安装等满堂支撑体系，承受单点集中荷载7kN及以上。</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b/>
                <w:color w:val="auto"/>
                <w:highlight w:val="none"/>
              </w:rPr>
              <w:t>三、起重吊装及起重机械安装拆卸工程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（一）采用非常规起重设备、方法，且单件起吊重量在100kN及以上的起重吊装工程。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（二）起重量300kN及以上，或搭设总高度200m及以上，或搭设基础标高在200m及以上的起重机械安装和拆卸工程。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b/>
                <w:color w:val="auto"/>
                <w:highlight w:val="none"/>
              </w:rPr>
            </w:pPr>
            <w:r>
              <w:rPr>
                <w:rFonts w:hint="eastAsia" w:ascii="宋体" w:hAnsi="宋体" w:cs="宋体"/>
                <w:b/>
                <w:color w:val="auto"/>
                <w:highlight w:val="none"/>
              </w:rPr>
              <w:t>四、脚手架工程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（一）搭设高度50m及以上的落地式钢管脚手架工程。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（二）提升高度在150m及以上的附着式升降脚手架工程或附着式升降操作平台工程。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（三）分段架体搭设高度20m及以上的悬挑式脚手架工程。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b/>
                <w:color w:val="auto"/>
                <w:highlight w:val="none"/>
              </w:rPr>
            </w:pPr>
            <w:r>
              <w:rPr>
                <w:rFonts w:hint="eastAsia" w:ascii="宋体" w:hAnsi="宋体" w:cs="宋体"/>
                <w:b/>
                <w:color w:val="auto"/>
                <w:highlight w:val="none"/>
              </w:rPr>
              <w:t>五、拆除工程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（一）码头、桥梁、高架、烟囱、水塔或拆除中容易引起有毒有害气（液）体或粉尘扩散、易燃易爆事故发生的特殊建、构筑物的拆除工程。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（二）文物保护建筑、优秀历史建筑或历史文化风貌区影响范围内的拆除工程。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b/>
                <w:color w:val="auto"/>
                <w:highlight w:val="none"/>
              </w:rPr>
            </w:pPr>
            <w:r>
              <w:rPr>
                <w:rFonts w:hint="eastAsia" w:ascii="宋体" w:hAnsi="宋体" w:cs="宋体"/>
                <w:b/>
                <w:color w:val="auto"/>
                <w:highlight w:val="none"/>
              </w:rPr>
              <w:t>六、暗挖工程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采用矿山法、盾构法、顶管法施工的隧道、洞室工程。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b/>
                <w:color w:val="auto"/>
                <w:highlight w:val="none"/>
              </w:rPr>
            </w:pPr>
            <w:r>
              <w:rPr>
                <w:rFonts w:hint="eastAsia" w:ascii="宋体" w:hAnsi="宋体" w:cs="宋体"/>
                <w:b/>
                <w:color w:val="auto"/>
                <w:highlight w:val="none"/>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（一）施工高度50m及以上的建筑幕墙安装工程。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（二）跨度36m及以上的钢结构安装工程，或跨度60m及以上的网架和索膜结构安装工程。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（三）开挖深度16m及以上的人工挖孔桩工程。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（四）水下作业工程。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（五）重量1000kN及以上的大型结构整体顶升、平移、转体等施工工艺。</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default" w:ascii="宋体" w:hAnsi="宋体" w:cs="宋体"/>
                <w:color w:val="auto"/>
                <w:highlight w:val="none"/>
              </w:rPr>
            </w:pPr>
            <w:r>
              <w:rPr>
                <w:rFonts w:hint="eastAsia" w:ascii="宋体" w:hAnsi="宋体" w:cs="宋体"/>
                <w:color w:val="auto"/>
                <w:highlight w:val="none"/>
              </w:rPr>
              <w:t>（六）采用新技术、新工艺、新材料、新设备可能影响工程施工安全，尚无国家、行业及地方技术标准的分部分项工程。</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b/>
                <w:color w:val="auto"/>
                <w:highlight w:val="none"/>
              </w:rPr>
            </w:pPr>
            <w:r>
              <w:rPr>
                <w:rFonts w:hint="eastAsia" w:ascii="宋体" w:hAnsi="宋体"/>
                <w:color w:val="auto"/>
                <w:szCs w:val="21"/>
                <w:highlight w:val="none"/>
              </w:rPr>
              <w:t>(    )</w:t>
            </w:r>
          </w:p>
        </w:tc>
        <w:tc>
          <w:tcPr>
            <w:tcW w:w="12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r>
              <w:rPr>
                <w:rFonts w:hint="eastAsia" w:ascii="宋体" w:hAnsi="宋体"/>
                <w:color w:val="auto"/>
                <w:szCs w:val="21"/>
                <w:highlight w:val="none"/>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cs="宋体"/>
                <w:color w:val="auto"/>
                <w:highlight w:val="none"/>
              </w:rPr>
            </w:pPr>
          </w:p>
        </w:tc>
      </w:tr>
    </w:tbl>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p>
    <w:p>
      <w:pPr>
        <w:spacing w:line="360" w:lineRule="auto"/>
        <w:ind w:firstLine="3480" w:firstLineChars="1450"/>
        <w:jc w:val="left"/>
        <w:rPr>
          <w:rFonts w:ascii="宋体" w:hAnsi="宋体" w:cs="宋体"/>
          <w:color w:val="auto"/>
          <w:sz w:val="24"/>
          <w:szCs w:val="24"/>
          <w:highlight w:val="none"/>
        </w:rPr>
      </w:pPr>
      <w:r>
        <w:rPr>
          <w:rFonts w:hint="eastAsia" w:ascii="宋体" w:hAnsi="宋体" w:cs="宋体"/>
          <w:color w:val="auto"/>
          <w:sz w:val="24"/>
          <w:szCs w:val="24"/>
          <w:highlight w:val="none"/>
        </w:rPr>
        <w:t>投标人名称（盖法人公章）：</w:t>
      </w:r>
    </w:p>
    <w:p>
      <w:pPr>
        <w:spacing w:line="360" w:lineRule="auto"/>
        <w:ind w:firstLine="3480" w:firstLineChars="145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法定代表人或被授权人（签字或盖章）：</w:t>
      </w:r>
    </w:p>
    <w:p>
      <w:pPr>
        <w:spacing w:line="360" w:lineRule="auto"/>
        <w:ind w:firstLine="3480" w:firstLineChars="1450"/>
        <w:jc w:val="left"/>
        <w:rPr>
          <w:rFonts w:ascii="宋体" w:hAnsi="宋体" w:cs="宋体"/>
          <w:color w:val="auto"/>
          <w:sz w:val="24"/>
          <w:szCs w:val="24"/>
          <w:highlight w:val="none"/>
        </w:rPr>
      </w:pPr>
      <w:r>
        <w:rPr>
          <w:rFonts w:hint="eastAsia" w:ascii="宋体" w:hAnsi="宋体" w:cs="宋体"/>
          <w:color w:val="auto"/>
          <w:sz w:val="24"/>
          <w:szCs w:val="24"/>
          <w:highlight w:val="none"/>
        </w:rPr>
        <w:t>日期：</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2"/>
          <w:sz w:val="21"/>
          <w:szCs w:val="21"/>
          <w:highlight w:val="none"/>
        </w:rPr>
      </w:pPr>
      <w:r>
        <w:rPr>
          <w:rFonts w:hint="eastAsia" w:ascii="宋体" w:eastAsia="宋体" w:cs="宋体"/>
          <w:color w:val="auto"/>
          <w:highlight w:val="none"/>
        </w:rPr>
        <w:br w:type="page"/>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等线" w:cs="宋体"/>
          <w:b/>
          <w:bCs w:val="0"/>
          <w:color w:val="auto"/>
          <w:kern w:val="2"/>
          <w:sz w:val="36"/>
          <w:szCs w:val="36"/>
          <w:highlight w:val="none"/>
        </w:rPr>
      </w:pPr>
      <w:r>
        <w:rPr>
          <w:rFonts w:hint="eastAsia" w:ascii="宋体" w:hAnsi="宋体" w:eastAsia="等线" w:cs="宋体"/>
          <w:b/>
          <w:bCs w:val="0"/>
          <w:color w:val="auto"/>
          <w:kern w:val="2"/>
          <w:sz w:val="36"/>
          <w:szCs w:val="36"/>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等线" w:cs="宋体"/>
          <w:b/>
          <w:bCs w:val="0"/>
          <w:color w:val="auto"/>
          <w:kern w:val="2"/>
          <w:sz w:val="36"/>
          <w:szCs w:val="36"/>
          <w:highlight w:val="none"/>
        </w:rPr>
      </w:pPr>
      <w:r>
        <w:rPr>
          <w:rFonts w:hint="eastAsia" w:ascii="等线" w:hAnsi="等线" w:eastAsia="等线" w:cs="等线"/>
          <w:b/>
          <w:bCs w:val="0"/>
          <w:color w:val="auto"/>
          <w:kern w:val="2"/>
          <w:sz w:val="36"/>
          <w:szCs w:val="36"/>
          <w:highlight w:val="none"/>
          <w:lang w:val="en-US" w:eastAsia="zh-CN" w:bidi="ar"/>
        </w:rPr>
        <w:t>第二部分</w:t>
      </w:r>
      <w:r>
        <w:rPr>
          <w:rFonts w:hint="eastAsia" w:ascii="宋体" w:hAnsi="宋体" w:eastAsia="等线" w:cs="等线"/>
          <w:b/>
          <w:bCs w:val="0"/>
          <w:color w:val="auto"/>
          <w:kern w:val="2"/>
          <w:sz w:val="36"/>
          <w:szCs w:val="36"/>
          <w:highlight w:val="none"/>
          <w:lang w:val="en-US" w:eastAsia="zh-CN" w:bidi="ar"/>
        </w:rPr>
        <w:t xml:space="preserve">  </w:t>
      </w:r>
      <w:r>
        <w:rPr>
          <w:rFonts w:hint="eastAsia" w:ascii="等线" w:hAnsi="等线" w:eastAsia="等线" w:cs="等线"/>
          <w:b/>
          <w:bCs w:val="0"/>
          <w:color w:val="auto"/>
          <w:kern w:val="2"/>
          <w:sz w:val="36"/>
          <w:szCs w:val="36"/>
          <w:highlight w:val="none"/>
          <w:lang w:val="en-US" w:eastAsia="zh-CN" w:bidi="ar"/>
        </w:rPr>
        <w:t>投标文件经济标（部分格式）</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pStyle w:val="32"/>
        <w:spacing w:beforeLines="0" w:after="156" w:line="400" w:lineRule="exact"/>
        <w:rPr>
          <w:rFonts w:ascii="宋体" w:eastAsia="宋体" w:cs="宋体"/>
          <w:b w:val="0"/>
          <w:color w:val="auto"/>
          <w:sz w:val="21"/>
          <w:szCs w:val="21"/>
          <w:highlight w:val="none"/>
        </w:rPr>
      </w:pPr>
      <w:r>
        <w:rPr>
          <w:rFonts w:hint="eastAsia" w:ascii="宋体" w:hAnsi="宋体" w:eastAsia="等线" w:cs="宋体"/>
          <w:color w:val="auto"/>
          <w:kern w:val="2"/>
          <w:sz w:val="24"/>
          <w:szCs w:val="24"/>
          <w:highlight w:val="none"/>
        </w:rPr>
        <w:br w:type="page"/>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lang w:val="en-US" w:eastAsia="zh-CN" w:bidi="ar"/>
        </w:rPr>
        <w:t>经济标格式</w:t>
      </w:r>
      <w:r>
        <w:rPr>
          <w:rFonts w:hint="eastAsia" w:ascii="宋体" w:hAnsi="宋体" w:eastAsia="宋体" w:cs="宋体"/>
          <w:color w:val="auto"/>
          <w:kern w:val="2"/>
          <w:sz w:val="24"/>
          <w:szCs w:val="24"/>
          <w:highlight w:val="none"/>
          <w:lang w:val="en-US" w:eastAsia="zh-CN" w:bidi="ar"/>
        </w:rPr>
        <w:t>1</w:t>
      </w:r>
      <w:r>
        <w:rPr>
          <w:rFonts w:hint="eastAsia" w:ascii="等线" w:hAnsi="等线" w:eastAsia="等线" w:cs="等线"/>
          <w:color w:val="auto"/>
          <w:kern w:val="2"/>
          <w:sz w:val="24"/>
          <w:szCs w:val="24"/>
          <w:highlight w:val="none"/>
          <w:lang w:val="en-US" w:eastAsia="zh-CN" w:bidi="ar"/>
        </w:rPr>
        <w:t>：经济标封面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宋体" w:hAnsi="宋体" w:eastAsia="等线" w:cs="宋体"/>
          <w:color w:val="auto"/>
          <w:kern w:val="2"/>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0" w:firstLineChars="0"/>
        <w:jc w:val="center"/>
        <w:rPr>
          <w:rFonts w:hint="eastAsia" w:ascii="宋体" w:hAnsi="宋体" w:eastAsia="宋体" w:cs="Times New Roman"/>
          <w:b/>
          <w:bCs w:val="0"/>
          <w:color w:val="auto"/>
          <w:spacing w:val="4"/>
          <w:kern w:val="0"/>
          <w:sz w:val="36"/>
          <w:szCs w:val="36"/>
          <w:highlight w:val="none"/>
          <w:u w:val="single"/>
        </w:rPr>
      </w:pPr>
      <w:r>
        <w:rPr>
          <w:rFonts w:hint="eastAsia" w:ascii="宋体" w:hAnsi="宋体" w:eastAsia="宋体" w:cs="宋体"/>
          <w:b/>
          <w:bCs w:val="0"/>
          <w:snapToGrid/>
          <w:color w:val="auto"/>
          <w:spacing w:val="4"/>
          <w:kern w:val="0"/>
          <w:sz w:val="36"/>
          <w:szCs w:val="36"/>
          <w:highlight w:val="none"/>
          <w:u w:val="single"/>
          <w:lang w:val="en-US" w:eastAsia="zh-CN" w:bidi="ar"/>
        </w:rPr>
        <w:t xml:space="preserve">[工程名称]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198" w:firstLineChars="8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0" w:firstLineChars="0"/>
        <w:jc w:val="center"/>
        <w:rPr>
          <w:rFonts w:hint="eastAsia" w:ascii="宋体" w:hAnsi="宋体" w:eastAsia="宋体" w:cs="Times New Roman"/>
          <w:b/>
          <w:bCs w:val="0"/>
          <w:color w:val="auto"/>
          <w:spacing w:val="4"/>
          <w:kern w:val="0"/>
          <w:sz w:val="84"/>
          <w:szCs w:val="84"/>
          <w:highlight w:val="none"/>
        </w:rPr>
      </w:pPr>
      <w:r>
        <w:rPr>
          <w:rFonts w:hint="eastAsia" w:ascii="宋体" w:hAnsi="宋体" w:eastAsia="宋体" w:cs="宋体"/>
          <w:b/>
          <w:bCs w:val="0"/>
          <w:snapToGrid/>
          <w:color w:val="auto"/>
          <w:spacing w:val="4"/>
          <w:kern w:val="0"/>
          <w:sz w:val="84"/>
          <w:szCs w:val="84"/>
          <w:highlight w:val="none"/>
          <w:lang w:val="en-US" w:eastAsia="zh-CN" w:bidi="ar"/>
        </w:rPr>
        <w:t>投标文件</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0" w:firstLineChars="0"/>
        <w:jc w:val="center"/>
        <w:rPr>
          <w:rFonts w:hint="eastAsia" w:ascii="宋体" w:hAnsi="宋体" w:eastAsia="宋体" w:cs="Times New Roman"/>
          <w:b/>
          <w:bCs w:val="0"/>
          <w:color w:val="auto"/>
          <w:spacing w:val="4"/>
          <w:kern w:val="0"/>
          <w:sz w:val="36"/>
          <w:szCs w:val="36"/>
          <w:highlight w:val="none"/>
        </w:rPr>
      </w:pPr>
      <w:r>
        <w:rPr>
          <w:rFonts w:hint="eastAsia" w:ascii="宋体" w:hAnsi="宋体" w:eastAsia="宋体" w:cs="宋体"/>
          <w:b/>
          <w:bCs w:val="0"/>
          <w:snapToGrid/>
          <w:color w:val="auto"/>
          <w:spacing w:val="4"/>
          <w:kern w:val="0"/>
          <w:sz w:val="36"/>
          <w:szCs w:val="36"/>
          <w:highlight w:val="none"/>
          <w:lang w:val="en-US" w:eastAsia="zh-CN" w:bidi="ar"/>
        </w:rPr>
        <w:t>第二册（经济标书）</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等线" w:cs="Times New Roman"/>
          <w:color w:val="auto"/>
          <w:spacing w:val="4"/>
          <w:kern w:val="0"/>
          <w:sz w:val="30"/>
          <w:szCs w:val="30"/>
          <w:highlight w:val="none"/>
        </w:rPr>
      </w:pPr>
      <w:r>
        <w:rPr>
          <w:rFonts w:hint="eastAsia" w:ascii="宋体" w:hAnsi="宋体" w:eastAsia="等线" w:cs="Times New Roman"/>
          <w:snapToGrid/>
          <w:color w:val="auto"/>
          <w:spacing w:val="4"/>
          <w:kern w:val="0"/>
          <w:sz w:val="30"/>
          <w:szCs w:val="30"/>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等线" w:cs="Times New Roman"/>
          <w:color w:val="auto"/>
          <w:spacing w:val="4"/>
          <w:kern w:val="0"/>
          <w:sz w:val="30"/>
          <w:szCs w:val="30"/>
          <w:highlight w:val="none"/>
        </w:rPr>
      </w:pPr>
      <w:r>
        <w:rPr>
          <w:rFonts w:hint="eastAsia" w:ascii="宋体" w:hAnsi="宋体" w:eastAsia="等线" w:cs="Times New Roman"/>
          <w:snapToGrid/>
          <w:color w:val="auto"/>
          <w:spacing w:val="4"/>
          <w:kern w:val="0"/>
          <w:sz w:val="30"/>
          <w:szCs w:val="30"/>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等线" w:cs="Times New Roman"/>
          <w:color w:val="auto"/>
          <w:spacing w:val="4"/>
          <w:kern w:val="0"/>
          <w:sz w:val="30"/>
          <w:szCs w:val="30"/>
          <w:highlight w:val="none"/>
        </w:rPr>
      </w:pPr>
      <w:r>
        <w:rPr>
          <w:rFonts w:hint="eastAsia" w:ascii="宋体" w:hAnsi="宋体" w:eastAsia="等线" w:cs="Times New Roman"/>
          <w:snapToGrid/>
          <w:color w:val="auto"/>
          <w:spacing w:val="4"/>
          <w:kern w:val="0"/>
          <w:sz w:val="30"/>
          <w:szCs w:val="30"/>
          <w:highlight w:val="none"/>
          <w:lang w:val="en-US" w:eastAsia="zh-CN" w:bidi="ar"/>
        </w:rPr>
        <w:t xml:space="preserve"> </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30"/>
          <w:szCs w:val="30"/>
          <w:highlight w:val="none"/>
        </w:rPr>
      </w:pPr>
      <w:r>
        <w:rPr>
          <w:rFonts w:hint="eastAsia" w:ascii="宋体" w:hAnsi="宋体" w:eastAsia="宋体" w:cs="宋体"/>
          <w:snapToGrid/>
          <w:color w:val="auto"/>
          <w:spacing w:val="4"/>
          <w:kern w:val="0"/>
          <w:sz w:val="30"/>
          <w:szCs w:val="30"/>
          <w:highlight w:val="none"/>
          <w:lang w:val="en-US" w:eastAsia="zh-CN" w:bidi="ar"/>
        </w:rPr>
        <w:t>投标人：（盖章）</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30"/>
          <w:szCs w:val="30"/>
          <w:highlight w:val="none"/>
        </w:rPr>
      </w:pPr>
      <w:r>
        <w:rPr>
          <w:rFonts w:hint="eastAsia" w:ascii="宋体" w:hAnsi="宋体" w:eastAsia="宋体" w:cs="宋体"/>
          <w:snapToGrid/>
          <w:color w:val="auto"/>
          <w:spacing w:val="4"/>
          <w:kern w:val="0"/>
          <w:sz w:val="30"/>
          <w:szCs w:val="30"/>
          <w:highlight w:val="none"/>
          <w:lang w:val="en-US" w:eastAsia="zh-CN" w:bidi="ar"/>
        </w:rPr>
        <w:t>法定代表人或其委托代理人：（签字或盖章）</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30"/>
          <w:szCs w:val="30"/>
          <w:highlight w:val="none"/>
        </w:rPr>
      </w:pPr>
      <w:r>
        <w:rPr>
          <w:rFonts w:hint="eastAsia" w:ascii="宋体" w:hAnsi="宋体" w:eastAsia="宋体" w:cs="宋体"/>
          <w:snapToGrid/>
          <w:color w:val="auto"/>
          <w:spacing w:val="4"/>
          <w:kern w:val="0"/>
          <w:sz w:val="30"/>
          <w:szCs w:val="30"/>
          <w:highlight w:val="none"/>
          <w:lang w:val="en-US" w:eastAsia="zh-CN" w:bidi="ar"/>
        </w:rPr>
        <w:t>日期：</w:t>
      </w:r>
    </w:p>
    <w:p>
      <w:pPr>
        <w:widowControl/>
        <w:jc w:val="left"/>
        <w:rPr>
          <w:color w:val="auto"/>
          <w:sz w:val="24"/>
          <w:szCs w:val="24"/>
          <w:highlight w:val="none"/>
        </w:rPr>
      </w:pPr>
      <w:r>
        <w:rPr>
          <w:color w:val="auto"/>
          <w:sz w:val="24"/>
          <w:szCs w:val="24"/>
          <w:highlight w:val="none"/>
        </w:rPr>
        <w:br w:type="page"/>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lang w:val="en-US" w:eastAsia="zh-CN" w:bidi="ar"/>
        </w:rPr>
        <w:t>经济标格式</w:t>
      </w:r>
      <w:r>
        <w:rPr>
          <w:rFonts w:hint="eastAsia" w:ascii="宋体" w:hAnsi="宋体" w:eastAsia="等线" w:cs="宋体"/>
          <w:color w:val="auto"/>
          <w:kern w:val="2"/>
          <w:sz w:val="24"/>
          <w:szCs w:val="24"/>
          <w:highlight w:val="none"/>
          <w:lang w:val="en-US" w:eastAsia="zh-CN" w:bidi="ar"/>
        </w:rPr>
        <w:t>2</w:t>
      </w:r>
      <w:r>
        <w:rPr>
          <w:rFonts w:hint="eastAsia" w:ascii="等线" w:hAnsi="等线" w:eastAsia="等线" w:cs="等线"/>
          <w:color w:val="auto"/>
          <w:kern w:val="2"/>
          <w:sz w:val="24"/>
          <w:szCs w:val="24"/>
          <w:highlight w:val="none"/>
          <w:lang w:val="en-US" w:eastAsia="zh-CN" w:bidi="ar"/>
        </w:rPr>
        <w:t>：</w:t>
      </w:r>
    </w:p>
    <w:p>
      <w:pPr>
        <w:pStyle w:val="19"/>
        <w:keepNext w:val="0"/>
        <w:keepLines w:val="0"/>
        <w:widowControl w:val="0"/>
        <w:suppressLineNumbers w:val="0"/>
        <w:topLinePunct/>
        <w:adjustRightInd w:val="0"/>
        <w:snapToGrid w:val="0"/>
        <w:spacing w:before="0" w:beforeAutospacing="0" w:after="0" w:afterAutospacing="0" w:line="360" w:lineRule="auto"/>
        <w:ind w:left="0" w:right="0" w:firstLine="0" w:firstLineChars="0"/>
        <w:jc w:val="center"/>
        <w:rPr>
          <w:rFonts w:hint="eastAsia" w:ascii="宋体" w:hAnsi="宋体" w:eastAsia="宋体" w:cs="Times New Roman"/>
          <w:b/>
          <w:bCs w:val="0"/>
          <w:color w:val="auto"/>
          <w:spacing w:val="4"/>
          <w:kern w:val="0"/>
          <w:sz w:val="32"/>
          <w:szCs w:val="32"/>
          <w:highlight w:val="none"/>
        </w:rPr>
      </w:pPr>
      <w:r>
        <w:rPr>
          <w:rFonts w:hint="eastAsia" w:ascii="宋体" w:hAnsi="宋体" w:eastAsia="宋体" w:cs="宋体"/>
          <w:b/>
          <w:bCs w:val="0"/>
          <w:snapToGrid/>
          <w:color w:val="auto"/>
          <w:spacing w:val="4"/>
          <w:kern w:val="0"/>
          <w:sz w:val="32"/>
          <w:szCs w:val="32"/>
          <w:highlight w:val="none"/>
          <w:lang w:val="en-US" w:eastAsia="zh-CN" w:bidi="ar"/>
        </w:rPr>
        <w:t>工程量清单计价表</w:t>
      </w:r>
    </w:p>
    <w:p>
      <w:pPr>
        <w:pStyle w:val="33"/>
        <w:ind w:firstLine="436"/>
        <w:rPr>
          <w:rFonts w:ascii="宋体" w:hAnsi="宋体" w:cs="宋体"/>
          <w:color w:val="auto"/>
          <w:sz w:val="21"/>
          <w:szCs w:val="21"/>
          <w:highlight w:val="none"/>
        </w:rPr>
      </w:pPr>
    </w:p>
    <w:p>
      <w:pPr>
        <w:pStyle w:val="33"/>
        <w:ind w:firstLine="436"/>
        <w:rPr>
          <w:rFonts w:ascii="宋体" w:hAnsi="宋体" w:cs="宋体"/>
          <w:color w:val="auto"/>
          <w:sz w:val="21"/>
          <w:szCs w:val="21"/>
          <w:highlight w:val="none"/>
        </w:rPr>
      </w:pPr>
      <w:r>
        <w:rPr>
          <w:rFonts w:hint="eastAsia" w:ascii="宋体" w:hAnsi="宋体" w:cs="宋体"/>
          <w:color w:val="auto"/>
          <w:sz w:val="21"/>
          <w:szCs w:val="21"/>
          <w:highlight w:val="none"/>
        </w:rPr>
        <w:t>注：</w:t>
      </w:r>
      <w:r>
        <w:rPr>
          <w:rFonts w:hint="eastAsia" w:ascii="宋体" w:hAnsi="宋体" w:cs="宋体"/>
          <w:snapToGrid w:val="0"/>
          <w:color w:val="auto"/>
          <w:sz w:val="21"/>
          <w:szCs w:val="21"/>
          <w:highlight w:val="none"/>
        </w:rPr>
        <w:t>按投标须知修改表11.3.2条款要求，</w:t>
      </w:r>
      <w:r>
        <w:rPr>
          <w:rFonts w:hint="eastAsia" w:ascii="宋体" w:hAnsi="宋体" w:cs="宋体"/>
          <w:color w:val="auto"/>
          <w:sz w:val="21"/>
          <w:szCs w:val="21"/>
          <w:highlight w:val="none"/>
        </w:rPr>
        <w:t>详见工程量清单。</w:t>
      </w:r>
    </w:p>
    <w:p>
      <w:pPr>
        <w:widowControl/>
        <w:jc w:val="left"/>
        <w:rPr>
          <w:rFonts w:ascii="宋体" w:hAnsi="宋体" w:cs="宋体"/>
          <w:color w:val="auto"/>
          <w:szCs w:val="21"/>
          <w:highlight w:val="none"/>
        </w:rPr>
      </w:pPr>
      <w:r>
        <w:rPr>
          <w:rFonts w:hint="eastAsia" w:ascii="宋体" w:hAnsi="宋体" w:cs="宋体"/>
          <w:color w:val="auto"/>
          <w:szCs w:val="21"/>
          <w:highlight w:val="none"/>
        </w:rPr>
        <w:br w:type="page"/>
      </w:r>
    </w:p>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4"/>
          <w:szCs w:val="24"/>
          <w:highlight w:val="none"/>
        </w:rPr>
      </w:pPr>
      <w:r>
        <w:rPr>
          <w:rFonts w:hint="eastAsia" w:ascii="等线" w:hAnsi="等线" w:eastAsia="等线" w:cs="等线"/>
          <w:color w:val="auto"/>
          <w:kern w:val="2"/>
          <w:sz w:val="24"/>
          <w:szCs w:val="24"/>
          <w:highlight w:val="none"/>
          <w:lang w:val="en-US" w:eastAsia="zh-CN" w:bidi="ar"/>
        </w:rPr>
        <w:t>经济标格式</w:t>
      </w:r>
      <w:r>
        <w:rPr>
          <w:rFonts w:hint="eastAsia" w:ascii="宋体" w:hAnsi="宋体" w:eastAsia="等线" w:cs="宋体"/>
          <w:color w:val="auto"/>
          <w:kern w:val="2"/>
          <w:sz w:val="24"/>
          <w:szCs w:val="24"/>
          <w:highlight w:val="none"/>
          <w:lang w:val="en-US" w:eastAsia="zh-CN" w:bidi="ar"/>
        </w:rPr>
        <w:t>3</w:t>
      </w:r>
      <w:r>
        <w:rPr>
          <w:rFonts w:hint="eastAsia" w:ascii="等线" w:hAnsi="等线" w:eastAsia="等线" w:cs="等线"/>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b/>
          <w:bCs w:val="0"/>
          <w:color w:val="auto"/>
          <w:kern w:val="2"/>
          <w:sz w:val="32"/>
          <w:szCs w:val="32"/>
          <w:highlight w:val="none"/>
        </w:rPr>
      </w:pPr>
      <w:r>
        <w:rPr>
          <w:rFonts w:hint="eastAsia" w:ascii="等线" w:hAnsi="等线" w:eastAsia="等线" w:cs="等线"/>
          <w:b/>
          <w:bCs w:val="0"/>
          <w:color w:val="auto"/>
          <w:kern w:val="2"/>
          <w:sz w:val="32"/>
          <w:szCs w:val="32"/>
          <w:highlight w:val="none"/>
          <w:lang w:val="en-US" w:eastAsia="zh-CN" w:bidi="ar"/>
        </w:rPr>
        <w:t>参与编制经济标投标文件人员名单</w:t>
      </w:r>
    </w:p>
    <w:tbl>
      <w:tblPr>
        <w:tblStyle w:val="21"/>
        <w:tblW w:w="92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1"/>
        <w:gridCol w:w="1490"/>
        <w:gridCol w:w="2554"/>
        <w:gridCol w:w="2449"/>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jc w:val="center"/>
        </w:trPr>
        <w:tc>
          <w:tcPr>
            <w:tcW w:w="92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投标单位名称：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姓名</w:t>
            </w:r>
          </w:p>
        </w:tc>
        <w:tc>
          <w:tcPr>
            <w:tcW w:w="14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职务</w:t>
            </w:r>
          </w:p>
        </w:tc>
        <w:tc>
          <w:tcPr>
            <w:tcW w:w="25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所承担工作</w:t>
            </w:r>
          </w:p>
        </w:tc>
        <w:tc>
          <w:tcPr>
            <w:tcW w:w="24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身份证号码</w:t>
            </w:r>
          </w:p>
        </w:tc>
        <w:tc>
          <w:tcPr>
            <w:tcW w:w="1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本人签名栏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5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4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5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4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5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4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5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4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5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4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5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4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5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4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5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24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c>
          <w:tcPr>
            <w:tcW w:w="1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等线" w:cs="宋体"/>
                <w:color w:val="auto"/>
                <w:kern w:val="2"/>
                <w:sz w:val="21"/>
                <w:szCs w:val="21"/>
                <w:highlight w:val="none"/>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等线" w:cs="宋体"/>
          <w:color w:val="auto"/>
          <w:kern w:val="2"/>
          <w:sz w:val="21"/>
          <w:szCs w:val="21"/>
          <w:highlight w:val="none"/>
        </w:rPr>
      </w:pPr>
      <w:r>
        <w:rPr>
          <w:rFonts w:hint="eastAsia" w:ascii="等线" w:hAnsi="等线" w:eastAsia="等线" w:cs="等线"/>
          <w:color w:val="auto"/>
          <w:kern w:val="2"/>
          <w:sz w:val="21"/>
          <w:szCs w:val="21"/>
          <w:highlight w:val="none"/>
          <w:lang w:val="en-US" w:eastAsia="zh-CN" w:bidi="ar"/>
        </w:rPr>
        <w:t>注：参与编制标书所有人员名单应包括如编制各种专业工程量清单投标报价、负责清样校对、负责打印及复印等所有人员在内的人员名单。</w:t>
      </w:r>
    </w:p>
    <w:p>
      <w:pPr>
        <w:keepNext w:val="0"/>
        <w:keepLines w:val="0"/>
        <w:widowControl w:val="0"/>
        <w:suppressLineNumbers w:val="0"/>
        <w:spacing w:before="0" w:beforeAutospacing="0" w:after="0" w:afterAutospacing="0"/>
        <w:ind w:left="0" w:right="0"/>
        <w:jc w:val="both"/>
        <w:rPr>
          <w:color w:val="auto"/>
          <w:highlight w:val="none"/>
        </w:rPr>
      </w:pPr>
      <w:r>
        <w:rPr>
          <w:rFonts w:hint="eastAsia" w:ascii="宋体" w:hAnsi="宋体" w:cs="宋体"/>
          <w:color w:val="auto"/>
          <w:szCs w:val="21"/>
          <w:highlight w:val="none"/>
        </w:rPr>
        <w:br w:type="page"/>
      </w:r>
      <w:r>
        <w:rPr>
          <w:rFonts w:hint="eastAsia" w:ascii="等线" w:hAnsi="等线" w:eastAsia="等线" w:cs="等线"/>
          <w:color w:val="auto"/>
          <w:kern w:val="2"/>
          <w:sz w:val="24"/>
          <w:szCs w:val="24"/>
          <w:highlight w:val="none"/>
          <w:lang w:val="en-US" w:eastAsia="zh-CN" w:bidi="ar"/>
        </w:rPr>
        <w:t>经济标格式</w:t>
      </w:r>
      <w:r>
        <w:rPr>
          <w:rFonts w:hint="eastAsia" w:ascii="宋体" w:hAnsi="宋体" w:eastAsia="等线" w:cs="宋体"/>
          <w:color w:val="auto"/>
          <w:kern w:val="2"/>
          <w:sz w:val="24"/>
          <w:szCs w:val="24"/>
          <w:highlight w:val="none"/>
          <w:lang w:val="en-US" w:eastAsia="zh-CN" w:bidi="ar"/>
        </w:rPr>
        <w:t>4</w:t>
      </w:r>
      <w:r>
        <w:rPr>
          <w:rFonts w:hint="eastAsia" w:ascii="等线" w:hAnsi="等线" w:eastAsia="等线" w:cs="等线"/>
          <w:color w:val="auto"/>
          <w:kern w:val="2"/>
          <w:sz w:val="24"/>
          <w:szCs w:val="24"/>
          <w:highlight w:val="none"/>
          <w:lang w:val="en-US" w:eastAsia="zh-CN" w:bidi="ar"/>
        </w:rPr>
        <w:t>：</w:t>
      </w:r>
    </w:p>
    <w:p>
      <w:pPr>
        <w:autoSpaceDE w:val="0"/>
        <w:autoSpaceDN w:val="0"/>
        <w:adjustRightInd w:val="0"/>
        <w:rPr>
          <w:rFonts w:ascii="宋体" w:hAnsi="宋体" w:cs="宋体"/>
          <w:color w:val="auto"/>
          <w:szCs w:val="21"/>
          <w:highlight w:val="none"/>
        </w:rPr>
      </w:pPr>
    </w:p>
    <w:p>
      <w:pPr>
        <w:pStyle w:val="20"/>
        <w:spacing w:after="0" w:line="360" w:lineRule="auto"/>
        <w:ind w:firstLine="0"/>
        <w:jc w:val="center"/>
        <w:rPr>
          <w:rFonts w:ascii="宋体" w:hAnsi="宋体" w:cs="宋体"/>
          <w:color w:val="auto"/>
          <w:sz w:val="32"/>
          <w:szCs w:val="32"/>
          <w:highlight w:val="none"/>
        </w:rPr>
      </w:pPr>
      <w:r>
        <w:rPr>
          <w:rFonts w:hint="eastAsia" w:ascii="宋体" w:hAnsi="宋体" w:cs="宋体"/>
          <w:b/>
          <w:color w:val="auto"/>
          <w:sz w:val="32"/>
          <w:szCs w:val="32"/>
          <w:highlight w:val="none"/>
        </w:rPr>
        <w:t>对投标文件编制的承诺</w:t>
      </w:r>
    </w:p>
    <w:p>
      <w:pPr>
        <w:pStyle w:val="20"/>
        <w:spacing w:after="0" w:line="360" w:lineRule="auto"/>
        <w:ind w:left="-2" w:leftChars="-1"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本公司授权</w:t>
      </w:r>
      <w:r>
        <w:rPr>
          <w:rFonts w:hint="eastAsia" w:ascii="宋体" w:hAnsi="宋体" w:cs="宋体"/>
          <w:color w:val="auto"/>
          <w:sz w:val="24"/>
          <w:szCs w:val="24"/>
          <w:highlight w:val="none"/>
          <w:u w:val="single"/>
        </w:rPr>
        <w:t xml:space="preserve">         （身份证号：               ）</w:t>
      </w:r>
      <w:r>
        <w:rPr>
          <w:rFonts w:hint="eastAsia" w:ascii="宋体" w:hAnsi="宋体" w:cs="宋体"/>
          <w:color w:val="auto"/>
          <w:sz w:val="24"/>
          <w:szCs w:val="24"/>
          <w:highlight w:val="none"/>
        </w:rPr>
        <w:t>负责对投标文件的编制及内容进行解释、说明，并承诺以下事项：</w:t>
      </w:r>
    </w:p>
    <w:p>
      <w:pPr>
        <w:pStyle w:val="20"/>
        <w:spacing w:after="0" w:line="360" w:lineRule="auto"/>
        <w:ind w:left="-2" w:leftChars="-1"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1.被授权人清楚投标文件编制的具体情况，包括技术方案文件、工程量清单、以及投标文件的加密打包的理解；</w:t>
      </w:r>
    </w:p>
    <w:p>
      <w:pPr>
        <w:pStyle w:val="20"/>
        <w:spacing w:after="0" w:line="360" w:lineRule="auto"/>
        <w:ind w:left="-2" w:leftChars="-1"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2.在本项目开标至评标结束前，努力确保被授权人在项目评标所在地附近；</w:t>
      </w:r>
    </w:p>
    <w:p>
      <w:pPr>
        <w:pStyle w:val="20"/>
        <w:spacing w:after="0" w:line="360" w:lineRule="auto"/>
        <w:ind w:left="-2" w:leftChars="-1"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3.从评标委员会要求澄清起二小时内，被授权人应如实地书面澄清。</w:t>
      </w:r>
    </w:p>
    <w:p>
      <w:pPr>
        <w:pStyle w:val="20"/>
        <w:spacing w:after="0" w:line="360" w:lineRule="auto"/>
        <w:ind w:left="-2" w:leftChars="-1" w:firstLine="540" w:firstLineChars="225"/>
        <w:rPr>
          <w:rFonts w:ascii="宋体" w:hAnsi="宋体" w:cs="宋体"/>
          <w:color w:val="auto"/>
          <w:sz w:val="24"/>
          <w:szCs w:val="24"/>
          <w:highlight w:val="none"/>
        </w:rPr>
      </w:pPr>
      <w:r>
        <w:rPr>
          <w:rFonts w:hint="eastAsia" w:ascii="宋体" w:hAnsi="宋体" w:cs="宋体"/>
          <w:color w:val="auto"/>
          <w:sz w:val="24"/>
          <w:szCs w:val="24"/>
          <w:highlight w:val="none"/>
        </w:rPr>
        <w:t xml:space="preserve">如由于未遵守上述承诺内容之一导致无法进行澄清的，我公司认可和接受评标委员会作出的评审结论。                                 </w:t>
      </w:r>
    </w:p>
    <w:p>
      <w:pPr>
        <w:pStyle w:val="20"/>
        <w:spacing w:after="0" w:line="360" w:lineRule="auto"/>
        <w:ind w:firstLine="360" w:firstLineChars="150"/>
        <w:rPr>
          <w:rFonts w:ascii="宋体" w:hAnsi="宋体" w:cs="宋体"/>
          <w:color w:val="auto"/>
          <w:sz w:val="24"/>
          <w:szCs w:val="24"/>
          <w:highlight w:val="none"/>
        </w:rPr>
      </w:pPr>
    </w:p>
    <w:p>
      <w:pPr>
        <w:pStyle w:val="20"/>
        <w:spacing w:after="0" w:line="360" w:lineRule="auto"/>
        <w:ind w:firstLineChars="200"/>
        <w:rPr>
          <w:rFonts w:ascii="宋体" w:hAnsi="宋体" w:cs="宋体"/>
          <w:color w:val="auto"/>
          <w:sz w:val="24"/>
          <w:szCs w:val="24"/>
          <w:highlight w:val="none"/>
        </w:rPr>
      </w:pPr>
      <w:r>
        <w:rPr>
          <w:rFonts w:hint="eastAsia" w:ascii="宋体" w:hAnsi="宋体" w:cs="宋体"/>
          <w:color w:val="auto"/>
          <w:sz w:val="24"/>
          <w:szCs w:val="24"/>
          <w:highlight w:val="none"/>
        </w:rPr>
        <w:t>附件：《投标文件编制情况》</w:t>
      </w:r>
    </w:p>
    <w:p>
      <w:pPr>
        <w:spacing w:line="360" w:lineRule="auto"/>
        <w:ind w:right="90" w:firstLine="3240" w:firstLineChars="135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投标人名称（盖法人公章）：</w:t>
      </w:r>
    </w:p>
    <w:p>
      <w:pPr>
        <w:spacing w:line="360" w:lineRule="auto"/>
        <w:ind w:firstLine="2160" w:firstLineChars="900"/>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法定代表人或被授权人（签字或盖章）：</w:t>
      </w:r>
    </w:p>
    <w:p>
      <w:pPr>
        <w:spacing w:line="360" w:lineRule="auto"/>
        <w:ind w:firstLine="4440" w:firstLineChars="1850"/>
        <w:jc w:val="center"/>
        <w:rPr>
          <w:rFonts w:ascii="宋体" w:hAnsi="宋体" w:cs="宋体"/>
          <w:color w:val="auto"/>
          <w:sz w:val="24"/>
          <w:szCs w:val="24"/>
          <w:highlight w:val="none"/>
        </w:rPr>
      </w:pPr>
      <w:r>
        <w:rPr>
          <w:rFonts w:hint="eastAsia" w:ascii="宋体" w:hAnsi="宋体" w:cs="宋体"/>
          <w:color w:val="auto"/>
          <w:sz w:val="24"/>
          <w:szCs w:val="24"/>
          <w:highlight w:val="none"/>
        </w:rPr>
        <w:t>日期：  年  月  日</w:t>
      </w:r>
    </w:p>
    <w:p>
      <w:pPr>
        <w:pStyle w:val="20"/>
        <w:spacing w:after="0" w:line="360" w:lineRule="auto"/>
        <w:ind w:firstLine="0"/>
        <w:rPr>
          <w:rFonts w:ascii="宋体" w:hAnsi="宋体" w:cs="宋体"/>
          <w:b/>
          <w:color w:val="auto"/>
          <w:sz w:val="21"/>
          <w:szCs w:val="21"/>
          <w:highlight w:val="none"/>
        </w:rPr>
      </w:pPr>
    </w:p>
    <w:p>
      <w:pPr>
        <w:pStyle w:val="20"/>
        <w:spacing w:after="0" w:line="360" w:lineRule="auto"/>
        <w:ind w:firstLine="643" w:firstLineChars="200"/>
        <w:jc w:val="center"/>
        <w:rPr>
          <w:rFonts w:ascii="宋体" w:hAnsi="宋体" w:cs="宋体"/>
          <w:color w:val="auto"/>
          <w:sz w:val="32"/>
          <w:szCs w:val="32"/>
          <w:highlight w:val="none"/>
        </w:rPr>
      </w:pPr>
      <w:r>
        <w:rPr>
          <w:rFonts w:hint="eastAsia" w:ascii="宋体" w:hAnsi="宋体" w:cs="宋体"/>
          <w:b/>
          <w:color w:val="auto"/>
          <w:sz w:val="32"/>
          <w:szCs w:val="32"/>
          <w:highlight w:val="none"/>
        </w:rPr>
        <w:t>投标文件编制情况</w:t>
      </w:r>
    </w:p>
    <w:p>
      <w:pPr>
        <w:pStyle w:val="20"/>
        <w:spacing w:after="0" w:line="360" w:lineRule="auto"/>
        <w:ind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1.投标文件报价编制方式: □自行编制的，编制的负责人：</w:t>
      </w:r>
      <w:r>
        <w:rPr>
          <w:rFonts w:hint="eastAsia" w:ascii="宋体" w:hAnsi="宋体" w:cs="宋体"/>
          <w:color w:val="auto"/>
          <w:sz w:val="24"/>
          <w:szCs w:val="24"/>
          <w:highlight w:val="none"/>
          <w:u w:val="single"/>
        </w:rPr>
        <w:t xml:space="preserve"> （盖造价工程师执业专用章或全国建设工程造价员章，执业单位应与投标人一致） </w:t>
      </w:r>
      <w:r>
        <w:rPr>
          <w:rFonts w:hint="eastAsia" w:ascii="宋体" w:hAnsi="宋体" w:cs="宋体"/>
          <w:color w:val="auto"/>
          <w:sz w:val="24"/>
          <w:szCs w:val="24"/>
          <w:highlight w:val="none"/>
        </w:rPr>
        <w:t>。□委托编制的，受委托单位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，编制的负责人：</w:t>
      </w:r>
      <w:r>
        <w:rPr>
          <w:rFonts w:hint="eastAsia" w:ascii="宋体" w:hAnsi="宋体" w:cs="宋体"/>
          <w:color w:val="auto"/>
          <w:sz w:val="24"/>
          <w:szCs w:val="24"/>
          <w:highlight w:val="none"/>
          <w:u w:val="single"/>
        </w:rPr>
        <w:t xml:space="preserve"> （盖造价工程师执业专用章或全国建设工程造价员章，执业单位应与受委托单位一致） </w:t>
      </w:r>
      <w:r>
        <w:rPr>
          <w:rFonts w:hint="eastAsia" w:ascii="宋体" w:hAnsi="宋体" w:cs="宋体"/>
          <w:color w:val="auto"/>
          <w:sz w:val="24"/>
          <w:szCs w:val="24"/>
          <w:highlight w:val="none"/>
        </w:rPr>
        <w:t>。</w:t>
      </w:r>
    </w:p>
    <w:p>
      <w:pPr>
        <w:pStyle w:val="20"/>
        <w:spacing w:after="0" w:line="360" w:lineRule="auto"/>
        <w:ind w:firstLineChars="200"/>
        <w:rPr>
          <w:rFonts w:ascii="宋体" w:hAnsi="宋体" w:cs="宋体"/>
          <w:color w:val="auto"/>
          <w:sz w:val="24"/>
          <w:szCs w:val="24"/>
          <w:highlight w:val="none"/>
        </w:rPr>
      </w:pPr>
      <w:r>
        <w:rPr>
          <w:rFonts w:hint="eastAsia" w:ascii="宋体" w:hAnsi="宋体" w:cs="宋体"/>
          <w:color w:val="auto"/>
          <w:sz w:val="24"/>
          <w:szCs w:val="24"/>
          <w:highlight w:val="none"/>
        </w:rPr>
        <w:t>2.投标文件加密打包的电脑情况</w:t>
      </w:r>
    </w:p>
    <w:tbl>
      <w:tblPr>
        <w:tblStyle w:val="21"/>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pStyle w:val="20"/>
              <w:keepNext w:val="0"/>
              <w:keepLines w:val="0"/>
              <w:suppressLineNumbers w:val="0"/>
              <w:spacing w:before="0" w:beforeAutospacing="0" w:after="0" w:afterAutospacing="0" w:line="360" w:lineRule="auto"/>
              <w:ind w:left="0" w:right="0" w:firstLine="0"/>
              <w:rPr>
                <w:rFonts w:hint="default" w:ascii="宋体" w:hAnsi="宋体" w:cs="宋体"/>
                <w:color w:val="auto"/>
                <w:sz w:val="24"/>
                <w:szCs w:val="24"/>
                <w:highlight w:val="none"/>
              </w:rPr>
            </w:pPr>
            <w:r>
              <w:rPr>
                <w:rFonts w:hint="eastAsia" w:ascii="宋体" w:hAnsi="宋体" w:cs="宋体"/>
                <w:color w:val="auto"/>
                <w:sz w:val="24"/>
                <w:szCs w:val="24"/>
                <w:highlight w:val="none"/>
              </w:rPr>
              <w:t>投标文件加密打包的电脑     自有    □      外包    □     其他    □</w:t>
            </w:r>
          </w:p>
          <w:p>
            <w:pPr>
              <w:pStyle w:val="20"/>
              <w:keepNext w:val="0"/>
              <w:keepLines w:val="0"/>
              <w:suppressLineNumbers w:val="0"/>
              <w:spacing w:before="0" w:beforeAutospacing="0" w:after="0" w:afterAutospacing="0" w:line="360" w:lineRule="auto"/>
              <w:ind w:left="0" w:right="0" w:firstLine="0"/>
              <w:rPr>
                <w:rFonts w:hint="default" w:ascii="宋体" w:hAnsi="宋体" w:cs="宋体"/>
                <w:color w:val="auto"/>
                <w:sz w:val="24"/>
                <w:szCs w:val="24"/>
                <w:highlight w:val="none"/>
              </w:rPr>
            </w:pPr>
            <w:r>
              <w:rPr>
                <w:rFonts w:hint="eastAsia" w:ascii="宋体" w:hAnsi="宋体" w:cs="宋体"/>
                <w:color w:val="auto"/>
                <w:sz w:val="24"/>
                <w:szCs w:val="24"/>
                <w:highlight w:val="none"/>
              </w:rPr>
              <w:t>电脑类型</w:t>
            </w:r>
          </w:p>
          <w:p>
            <w:pPr>
              <w:pStyle w:val="20"/>
              <w:keepNext w:val="0"/>
              <w:keepLines w:val="0"/>
              <w:suppressLineNumbers w:val="0"/>
              <w:spacing w:before="0" w:beforeAutospacing="0" w:after="0" w:afterAutospacing="0" w:line="360" w:lineRule="auto"/>
              <w:ind w:left="0" w:right="0" w:firstLine="0"/>
              <w:rPr>
                <w:rFonts w:hint="default" w:ascii="宋体" w:hAnsi="宋体" w:cs="宋体"/>
                <w:color w:val="auto"/>
                <w:sz w:val="24"/>
                <w:szCs w:val="24"/>
                <w:highlight w:val="none"/>
              </w:rPr>
            </w:pPr>
            <w:r>
              <w:rPr>
                <w:rFonts w:hint="eastAsia" w:ascii="宋体" w:hAnsi="宋体" w:cs="宋体"/>
                <w:color w:val="auto"/>
                <w:sz w:val="24"/>
                <w:szCs w:val="24"/>
                <w:highlight w:val="none"/>
              </w:rPr>
              <w:t>电脑所属单位</w:t>
            </w:r>
          </w:p>
          <w:p>
            <w:pPr>
              <w:pStyle w:val="20"/>
              <w:keepNext w:val="0"/>
              <w:keepLines w:val="0"/>
              <w:suppressLineNumbers w:val="0"/>
              <w:spacing w:before="0" w:beforeAutospacing="0" w:after="0" w:afterAutospacing="0" w:line="360" w:lineRule="auto"/>
              <w:ind w:left="0" w:right="0" w:firstLine="0"/>
              <w:rPr>
                <w:rFonts w:hint="default" w:ascii="宋体" w:hAnsi="宋体" w:cs="宋体"/>
                <w:color w:val="auto"/>
                <w:sz w:val="24"/>
                <w:szCs w:val="24"/>
                <w:highlight w:val="none"/>
              </w:rPr>
            </w:pPr>
            <w:r>
              <w:rPr>
                <w:rFonts w:hint="eastAsia" w:ascii="宋体" w:hAnsi="宋体" w:cs="宋体"/>
                <w:color w:val="auto"/>
                <w:sz w:val="24"/>
                <w:szCs w:val="24"/>
                <w:highlight w:val="none"/>
              </w:rPr>
              <w:t>电脑所在地址    （如××市××区(县) ××街（路）××号××大厦××房）</w:t>
            </w:r>
          </w:p>
        </w:tc>
      </w:tr>
    </w:tbl>
    <w:p>
      <w:pPr>
        <w:rPr>
          <w:rFonts w:ascii="黑体" w:hAnsi="黑体" w:eastAsia="黑体" w:cs="黑体"/>
          <w:b/>
          <w:color w:val="auto"/>
          <w:sz w:val="28"/>
          <w:szCs w:val="28"/>
          <w:highlight w:val="none"/>
        </w:rPr>
      </w:pPr>
      <w:r>
        <w:rPr>
          <w:rFonts w:hint="eastAsia" w:ascii="黑体" w:hAnsi="黑体" w:eastAsia="黑体" w:cs="黑体"/>
          <w:b/>
          <w:color w:val="auto"/>
          <w:sz w:val="28"/>
          <w:szCs w:val="28"/>
          <w:highlight w:val="none"/>
        </w:rPr>
        <w:br w:type="page"/>
      </w:r>
    </w:p>
    <w:bookmarkEnd w:id="47"/>
    <w:p>
      <w:pPr>
        <w:rPr>
          <w:rFonts w:ascii="宋体" w:hAnsi="宋体" w:cs="宋体"/>
          <w:color w:val="auto"/>
          <w:szCs w:val="21"/>
          <w:highlight w:val="none"/>
        </w:rPr>
      </w:pPr>
    </w:p>
    <w:p>
      <w:pPr>
        <w:pStyle w:val="5"/>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第五章  技术条件（工程建设标准）</w:t>
      </w:r>
      <w:bookmarkEnd w:id="48"/>
      <w:bookmarkEnd w:id="49"/>
    </w:p>
    <w:p>
      <w:pPr>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b/>
          <w:bCs w:val="0"/>
          <w:color w:val="auto"/>
          <w:kern w:val="2"/>
          <w:sz w:val="44"/>
          <w:szCs w:val="44"/>
          <w:highlight w:val="none"/>
          <w:lang w:val="en-US" w:eastAsia="zh-CN" w:bidi="ar"/>
        </w:rPr>
        <w:t>技术要求</w:t>
      </w:r>
    </w:p>
    <w:p>
      <w:pPr>
        <w:spacing w:line="360" w:lineRule="auto"/>
        <w:rPr>
          <w:rFonts w:hint="eastAsia" w:ascii="宋体" w:hAnsi="宋体" w:eastAsia="宋体" w:cs="宋体"/>
          <w:b/>
          <w:color w:val="auto"/>
          <w:sz w:val="24"/>
          <w:szCs w:val="24"/>
          <w:highlight w:val="none"/>
          <w:lang w:eastAsia="zh-CN" w:bidi="ar"/>
        </w:rPr>
      </w:pPr>
      <w:r>
        <w:rPr>
          <w:rFonts w:hint="eastAsia" w:ascii="宋体" w:hAnsi="宋体" w:eastAsia="宋体" w:cs="宋体"/>
          <w:b/>
          <w:color w:val="auto"/>
          <w:sz w:val="24"/>
          <w:szCs w:val="24"/>
          <w:highlight w:val="none"/>
          <w:lang w:bidi="ar"/>
        </w:rPr>
        <w:t>一.</w:t>
      </w:r>
      <w:r>
        <w:rPr>
          <w:rFonts w:hint="eastAsia" w:ascii="宋体" w:hAnsi="宋体" w:eastAsia="宋体" w:cs="宋体"/>
          <w:b/>
          <w:color w:val="auto"/>
          <w:sz w:val="24"/>
          <w:szCs w:val="24"/>
          <w:highlight w:val="none"/>
          <w:lang w:val="en-US" w:eastAsia="zh-CN" w:bidi="ar"/>
        </w:rPr>
        <w:t>项目概况</w:t>
      </w:r>
    </w:p>
    <w:p>
      <w:pPr>
        <w:spacing w:line="360" w:lineRule="auto"/>
        <w:ind w:firstLine="480" w:firstLineChars="200"/>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eastAsia="zh-CN" w:bidi="ar"/>
        </w:rPr>
        <w:t>广东省地震局新丰江地震监测中心站（以下简称新丰江中心站）业务楼共5层，是新丰江中心站辖区（河源市、惠州市、梅州市）内的地震观测数据汇集、存储、处理中心，也是仪器运维中心，含数字地震台网中心、地球化学（水氡）观测房、网络机房、仪器维修室、行政办公室等；楼内还设有广东省防震减灾科普宣传教育基地，遥感卫星观测系统，地震应急指挥系统及场所，地震救援训练装备库。新丰江中心站业务楼自2012年投入使用至今已12年，业务楼原外墙漆反壳剥离严重，外墙面产生很多细小裂缝，导致渗水严重；阳台为开放式，原设计只是简单防水，遇连绵大雨会有较严重渗水；新丰江中心站地处广东省河源市新丰江畔，每年雨量充沛，渗水问题加速楼体混凝土老化破裂，对楼体安全产生不可估量</w:t>
      </w:r>
      <w:r>
        <w:rPr>
          <w:rFonts w:hint="eastAsia" w:ascii="宋体" w:hAnsi="宋体" w:eastAsia="宋体" w:cs="宋体"/>
          <w:color w:val="auto"/>
          <w:sz w:val="24"/>
          <w:szCs w:val="24"/>
          <w:highlight w:val="none"/>
          <w:lang w:val="en-US" w:eastAsia="zh-CN" w:bidi="ar"/>
        </w:rPr>
        <w:t>影响</w:t>
      </w:r>
      <w:r>
        <w:rPr>
          <w:rFonts w:hint="eastAsia" w:ascii="宋体" w:hAnsi="宋体" w:eastAsia="宋体" w:cs="宋体"/>
          <w:color w:val="auto"/>
          <w:sz w:val="24"/>
          <w:szCs w:val="24"/>
          <w:highlight w:val="none"/>
          <w:lang w:eastAsia="zh-CN" w:bidi="ar"/>
        </w:rPr>
        <w:t>，大大缩短楼体使用寿命，急需进行改造加固以消除安全隐患。</w:t>
      </w:r>
    </w:p>
    <w:p>
      <w:pPr>
        <w:spacing w:line="360" w:lineRule="auto"/>
        <w:rPr>
          <w:rFonts w:hint="eastAsia" w:ascii="宋体" w:hAnsi="宋体" w:eastAsia="宋体" w:cs="宋体"/>
          <w:b/>
          <w:color w:val="auto"/>
          <w:sz w:val="24"/>
          <w:szCs w:val="24"/>
          <w:highlight w:val="none"/>
          <w:lang w:eastAsia="zh-CN" w:bidi="ar"/>
        </w:rPr>
      </w:pPr>
      <w:r>
        <w:rPr>
          <w:rFonts w:hint="eastAsia" w:ascii="宋体" w:hAnsi="宋体" w:eastAsia="宋体" w:cs="宋体"/>
          <w:b/>
          <w:color w:val="auto"/>
          <w:sz w:val="24"/>
          <w:szCs w:val="24"/>
          <w:highlight w:val="none"/>
          <w:lang w:bidi="ar"/>
        </w:rPr>
        <w:t>二、</w:t>
      </w:r>
      <w:r>
        <w:rPr>
          <w:rFonts w:hint="eastAsia" w:ascii="宋体" w:hAnsi="宋体" w:eastAsia="宋体" w:cs="宋体"/>
          <w:b/>
          <w:color w:val="auto"/>
          <w:sz w:val="24"/>
          <w:szCs w:val="24"/>
          <w:highlight w:val="none"/>
          <w:lang w:val="en-US" w:eastAsia="zh-CN" w:bidi="ar"/>
        </w:rPr>
        <w:t>施工技术要求</w:t>
      </w:r>
    </w:p>
    <w:p>
      <w:p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none"/>
          <w:lang w:val="en-US" w:eastAsia="zh-CN" w:bidi="ar"/>
        </w:rPr>
        <w:t>一</w:t>
      </w:r>
      <w:r>
        <w:rPr>
          <w:rFonts w:hint="eastAsia" w:ascii="宋体" w:hAnsi="宋体" w:eastAsia="宋体" w:cs="宋体"/>
          <w:color w:val="auto"/>
          <w:sz w:val="24"/>
          <w:szCs w:val="24"/>
          <w:highlight w:val="none"/>
          <w:lang w:eastAsia="zh-CN" w:bidi="ar"/>
        </w:rPr>
        <w:t>）</w:t>
      </w:r>
      <w:r>
        <w:rPr>
          <w:rFonts w:hint="eastAsia" w:ascii="宋体" w:hAnsi="宋体" w:eastAsia="宋体" w:cs="宋体"/>
          <w:b/>
          <w:bCs/>
          <w:color w:val="auto"/>
          <w:sz w:val="24"/>
          <w:szCs w:val="24"/>
          <w:highlight w:val="none"/>
          <w:lang w:val="en-US" w:eastAsia="zh-CN" w:bidi="ar"/>
        </w:rPr>
        <w:t>建设内容</w:t>
      </w:r>
      <w:r>
        <w:rPr>
          <w:rFonts w:hint="eastAsia" w:ascii="宋体" w:hAnsi="宋体" w:eastAsia="宋体" w:cs="宋体"/>
          <w:color w:val="auto"/>
          <w:sz w:val="24"/>
          <w:szCs w:val="24"/>
          <w:highlight w:val="none"/>
          <w:lang w:bidi="ar"/>
        </w:rPr>
        <w:t>（具体以施工图纸和招标工程量清单为准）</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广东省巨灾防范工程-新丰江地震监测中心站改造单项工程:</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1.完成工程在当地政府的报备工作；</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2.新丰江地震监测中心站业务保障楼加固工程:</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（1）约2250平方米外墙防水处理及加固，包括搭棚架、外墙铲除、废渣处置、防水处理、批荡、加固；</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（2）约18个阳台防水处理及加固，表层铲除、废渣处置、防水处理、批荡、加固；</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3.黄子洞水化站观测摆房建设：</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（1）建设约24平方米标准摆房；</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（2）约50平方米通道建设；</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（3）约20平方米室外排水设施建设。</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4.新丰江地震监测中心站机房安全保障工程</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（1）更换约27平方米防静电地板；</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（2）清理地面、墙面、天花板、照明设备灰尘；</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（3）重新布设机房及机柜强弱电线路。</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5.新建标准观测摆房工程</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（1）新建标准观测摆房：约20平方米；</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（2）室外排水沟建设；</w:t>
      </w:r>
    </w:p>
    <w:p>
      <w:pPr>
        <w:numPr>
          <w:ilvl w:val="0"/>
          <w:numId w:val="0"/>
        </w:num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 xml:space="preserve">（3）约60平方米观测房通道建设。 </w:t>
      </w:r>
    </w:p>
    <w:p>
      <w:pPr>
        <w:spacing w:line="360" w:lineRule="auto"/>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（二）</w:t>
      </w:r>
      <w:r>
        <w:rPr>
          <w:rFonts w:hint="eastAsia" w:ascii="宋体" w:hAnsi="宋体" w:eastAsia="宋体" w:cs="宋体"/>
          <w:b/>
          <w:bCs/>
          <w:color w:val="auto"/>
          <w:sz w:val="24"/>
          <w:szCs w:val="24"/>
          <w:highlight w:val="none"/>
          <w:lang w:val="en-US" w:eastAsia="zh-CN" w:bidi="ar"/>
        </w:rPr>
        <w:t>项目计划工期：</w:t>
      </w:r>
      <w:r>
        <w:rPr>
          <w:rFonts w:hint="eastAsia" w:ascii="宋体" w:hAnsi="宋体" w:eastAsia="宋体" w:cs="宋体"/>
          <w:b w:val="0"/>
          <w:bCs w:val="0"/>
          <w:color w:val="auto"/>
          <w:sz w:val="24"/>
          <w:szCs w:val="24"/>
          <w:highlight w:val="none"/>
          <w:lang w:val="en-US" w:eastAsia="zh-CN" w:bidi="ar"/>
        </w:rPr>
        <w:t>自合同签订之日起90个自然天</w:t>
      </w:r>
    </w:p>
    <w:p>
      <w:pPr>
        <w:spacing w:line="360" w:lineRule="auto"/>
        <w:ind w:firstLine="0" w:firstLineChars="0"/>
        <w:rPr>
          <w:rFonts w:hint="eastAsia" w:ascii="宋体" w:hAnsi="宋体" w:eastAsia="宋体" w:cs="宋体"/>
          <w:b w:val="0"/>
          <w:bCs w:val="0"/>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（三）</w:t>
      </w:r>
      <w:r>
        <w:rPr>
          <w:rFonts w:hint="eastAsia" w:ascii="宋体" w:hAnsi="宋体" w:eastAsia="宋体" w:cs="宋体"/>
          <w:b/>
          <w:bCs/>
          <w:color w:val="auto"/>
          <w:sz w:val="24"/>
          <w:szCs w:val="24"/>
          <w:highlight w:val="none"/>
          <w:lang w:val="en-US" w:eastAsia="zh-CN" w:bidi="ar"/>
        </w:rPr>
        <w:t>质量要求：</w:t>
      </w:r>
      <w:r>
        <w:rPr>
          <w:rFonts w:hint="eastAsia" w:ascii="宋体" w:hAnsi="宋体" w:eastAsia="宋体" w:cs="宋体"/>
          <w:b w:val="0"/>
          <w:bCs w:val="0"/>
          <w:color w:val="auto"/>
          <w:sz w:val="24"/>
          <w:szCs w:val="24"/>
          <w:highlight w:val="none"/>
          <w:lang w:val="en-US" w:eastAsia="zh-CN" w:bidi="ar"/>
        </w:rPr>
        <w:t xml:space="preserve">本工程要求严格按照国家现行有关施工及验收规范、技术标准和设计图纸进行施工和验收，如验收不合格的必须返工，返工费由中标人负责。符合国家和行业现行质量验收标准，一次性验收合格。执行但不限于（如有新出台的规定，按最新的规定执行）： </w:t>
      </w:r>
    </w:p>
    <w:p>
      <w:pPr>
        <w:spacing w:line="360" w:lineRule="auto"/>
        <w:ind w:firstLine="480" w:firstLineChars="200"/>
        <w:rPr>
          <w:rFonts w:hint="eastAsia" w:ascii="宋体" w:hAnsi="宋体" w:eastAsia="宋体" w:cs="宋体"/>
          <w:b w:val="0"/>
          <w:bCs w:val="0"/>
          <w:color w:val="auto"/>
          <w:sz w:val="24"/>
          <w:szCs w:val="24"/>
          <w:highlight w:val="none"/>
          <w:lang w:val="en-US" w:eastAsia="zh-CN" w:bidi="ar"/>
        </w:rPr>
      </w:pPr>
      <w:r>
        <w:rPr>
          <w:rFonts w:hint="eastAsia" w:ascii="宋体" w:hAnsi="宋体" w:eastAsia="宋体" w:cs="宋体"/>
          <w:b w:val="0"/>
          <w:bCs w:val="0"/>
          <w:color w:val="auto"/>
          <w:sz w:val="24"/>
          <w:szCs w:val="24"/>
          <w:highlight w:val="none"/>
          <w:lang w:val="en-US" w:eastAsia="zh-CN" w:bidi="ar"/>
        </w:rPr>
        <w:t>（1）《建设工程质量管理条例》（国务院令第279号）</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b w:val="0"/>
          <w:bCs w:val="0"/>
          <w:color w:val="auto"/>
          <w:sz w:val="24"/>
          <w:szCs w:val="24"/>
          <w:highlight w:val="none"/>
          <w:lang w:val="en-US" w:eastAsia="zh-CN" w:bidi="ar"/>
        </w:rPr>
        <w:t>（2）《建筑工程施工质量验收统一标准》（GB50300-2013）</w:t>
      </w:r>
    </w:p>
    <w:p>
      <w:pPr>
        <w:spacing w:line="360" w:lineRule="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（四）</w:t>
      </w:r>
      <w:r>
        <w:rPr>
          <w:rFonts w:hint="eastAsia" w:ascii="宋体" w:hAnsi="宋体" w:eastAsia="宋体" w:cs="宋体"/>
          <w:b/>
          <w:bCs/>
          <w:color w:val="auto"/>
          <w:sz w:val="24"/>
          <w:szCs w:val="24"/>
          <w:highlight w:val="none"/>
          <w:lang w:bidi="ar"/>
        </w:rPr>
        <w:t>安全文明施工要求：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中标人在施工期间应严格遵守国家、省、市有关防火、爆破和施工安全以及文明施工、深夜施工、环卫和城管等规定，建立规章制度和防护措施。否则，由此造成的损失或被有关部门处罚，均由中标人负责。中标人应按安全施工的要求，采取严格科学的安全措施，确保施工安全和第三者的安全，并承担由于自身安全措施不力造成事故责任和发生的费用。</w:t>
      </w:r>
    </w:p>
    <w:p>
      <w:pPr>
        <w:keepNext w:val="0"/>
        <w:keepLines w:val="0"/>
        <w:widowControl w:val="0"/>
        <w:numPr>
          <w:ilvl w:val="-1"/>
          <w:numId w:val="0"/>
        </w:numPr>
        <w:suppressLineNumbers w:val="0"/>
        <w:spacing w:before="0" w:beforeAutospacing="0" w:after="0" w:afterAutospacing="0" w:line="360" w:lineRule="auto"/>
        <w:ind w:left="0" w:right="0" w:firstLine="0" w:firstLineChars="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b w:val="0"/>
          <w:bCs w:val="0"/>
          <w:color w:val="auto"/>
          <w:kern w:val="2"/>
          <w:sz w:val="24"/>
          <w:szCs w:val="24"/>
          <w:highlight w:val="none"/>
          <w:lang w:val="en-US" w:eastAsia="zh-CN" w:bidi="ar"/>
        </w:rPr>
        <w:t>（五）</w:t>
      </w:r>
      <w:r>
        <w:rPr>
          <w:rFonts w:hint="eastAsia" w:ascii="宋体" w:hAnsi="宋体" w:eastAsia="宋体" w:cs="宋体"/>
          <w:b/>
          <w:bCs/>
          <w:color w:val="auto"/>
          <w:kern w:val="2"/>
          <w:sz w:val="24"/>
          <w:szCs w:val="24"/>
          <w:highlight w:val="none"/>
          <w:lang w:val="en-US" w:eastAsia="zh-CN" w:bidi="ar"/>
        </w:rPr>
        <w:t>保修期</w:t>
      </w:r>
      <w:r>
        <w:rPr>
          <w:rFonts w:hint="eastAsia" w:ascii="宋体" w:hAnsi="宋体" w:eastAsia="宋体" w:cs="宋体"/>
          <w:b/>
          <w:bCs/>
          <w:color w:val="auto"/>
          <w:sz w:val="24"/>
          <w:szCs w:val="24"/>
          <w:highlight w:val="none"/>
          <w:lang w:bidi="ar"/>
        </w:rPr>
        <w:t>（含保修期服务要求）</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val="hr-HR" w:bidi="ar"/>
        </w:rPr>
      </w:pPr>
      <w:r>
        <w:rPr>
          <w:rFonts w:hint="eastAsia" w:ascii="宋体" w:hAnsi="宋体" w:eastAsia="宋体" w:cs="宋体"/>
          <w:color w:val="auto"/>
          <w:kern w:val="2"/>
          <w:sz w:val="24"/>
          <w:szCs w:val="24"/>
          <w:highlight w:val="none"/>
          <w:lang w:val="hr-HR" w:bidi="ar"/>
        </w:rPr>
        <w:t>（1）质量保修期从合同工程竣工合格之日算起。单项竣工验收的工程，按单项工程分别计算质量保修期。</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val="hr-HR" w:bidi="ar"/>
        </w:rPr>
      </w:pPr>
      <w:r>
        <w:rPr>
          <w:rFonts w:hint="eastAsia" w:ascii="宋体" w:hAnsi="宋体" w:eastAsia="宋体" w:cs="宋体"/>
          <w:color w:val="auto"/>
          <w:kern w:val="2"/>
          <w:sz w:val="24"/>
          <w:szCs w:val="24"/>
          <w:highlight w:val="none"/>
          <w:lang w:val="hr-HR" w:bidi="ar"/>
        </w:rPr>
        <w:t>（2）合同工程质量保修期，按《建设工程质量管理条例》（国务院令[2000]279号）执行。</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val="hr-HR" w:bidi="ar"/>
        </w:rPr>
      </w:pPr>
      <w:r>
        <w:rPr>
          <w:rFonts w:hint="eastAsia" w:ascii="宋体" w:hAnsi="宋体" w:eastAsia="宋体" w:cs="宋体"/>
          <w:color w:val="auto"/>
          <w:kern w:val="2"/>
          <w:sz w:val="24"/>
          <w:szCs w:val="24"/>
          <w:highlight w:val="none"/>
          <w:lang w:val="hr-HR" w:bidi="ar"/>
        </w:rPr>
        <w:t>（3）属于保修范围的项目，</w:t>
      </w:r>
      <w:r>
        <w:rPr>
          <w:rFonts w:hint="eastAsia" w:ascii="宋体" w:hAnsi="宋体" w:eastAsia="宋体" w:cs="宋体"/>
          <w:color w:val="auto"/>
          <w:kern w:val="2"/>
          <w:sz w:val="24"/>
          <w:szCs w:val="24"/>
          <w:highlight w:val="none"/>
          <w:lang w:eastAsia="zh-CN" w:bidi="ar"/>
        </w:rPr>
        <w:t>中标人</w:t>
      </w:r>
      <w:r>
        <w:rPr>
          <w:rFonts w:hint="eastAsia" w:ascii="宋体" w:hAnsi="宋体" w:eastAsia="宋体" w:cs="宋体"/>
          <w:color w:val="auto"/>
          <w:kern w:val="2"/>
          <w:sz w:val="24"/>
          <w:szCs w:val="24"/>
          <w:highlight w:val="none"/>
          <w:lang w:val="hr-HR" w:bidi="ar"/>
        </w:rPr>
        <w:t>应在接到</w:t>
      </w:r>
      <w:r>
        <w:rPr>
          <w:rFonts w:hint="eastAsia" w:ascii="宋体" w:hAnsi="宋体" w:eastAsia="宋体" w:cs="宋体"/>
          <w:color w:val="auto"/>
          <w:kern w:val="2"/>
          <w:sz w:val="24"/>
          <w:szCs w:val="24"/>
          <w:highlight w:val="none"/>
          <w:lang w:val="hr-HR" w:eastAsia="zh-CN" w:bidi="ar"/>
        </w:rPr>
        <w:t>招标人</w:t>
      </w:r>
      <w:r>
        <w:rPr>
          <w:rFonts w:hint="eastAsia" w:ascii="宋体" w:hAnsi="宋体" w:eastAsia="宋体" w:cs="宋体"/>
          <w:color w:val="auto"/>
          <w:kern w:val="2"/>
          <w:sz w:val="24"/>
          <w:szCs w:val="24"/>
          <w:highlight w:val="none"/>
          <w:lang w:val="hr-HR" w:bidi="ar"/>
        </w:rPr>
        <w:t>通知后的24小时内赶到现场，2天内修复。2天内无法完成修理的应与</w:t>
      </w:r>
      <w:r>
        <w:rPr>
          <w:rFonts w:hint="eastAsia" w:ascii="宋体" w:hAnsi="宋体" w:eastAsia="宋体" w:cs="宋体"/>
          <w:color w:val="auto"/>
          <w:kern w:val="2"/>
          <w:sz w:val="24"/>
          <w:szCs w:val="24"/>
          <w:highlight w:val="none"/>
          <w:lang w:val="hr-HR" w:eastAsia="zh-CN" w:bidi="ar"/>
        </w:rPr>
        <w:t>招标人</w:t>
      </w:r>
      <w:r>
        <w:rPr>
          <w:rFonts w:hint="eastAsia" w:ascii="宋体" w:hAnsi="宋体" w:eastAsia="宋体" w:cs="宋体"/>
          <w:color w:val="auto"/>
          <w:kern w:val="2"/>
          <w:sz w:val="24"/>
          <w:szCs w:val="24"/>
          <w:highlight w:val="none"/>
          <w:lang w:val="hr-HR" w:bidi="ar"/>
        </w:rPr>
        <w:t>协商一致后实施。</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bidi="ar"/>
        </w:rPr>
      </w:pPr>
      <w:r>
        <w:rPr>
          <w:rFonts w:hint="eastAsia" w:ascii="宋体" w:hAnsi="宋体" w:eastAsia="宋体" w:cs="宋体"/>
          <w:color w:val="auto"/>
          <w:kern w:val="2"/>
          <w:sz w:val="24"/>
          <w:szCs w:val="24"/>
          <w:highlight w:val="none"/>
          <w:lang w:val="hr-HR" w:bidi="ar"/>
        </w:rPr>
        <w:t>（4）发生紧急抢修事故的，</w:t>
      </w:r>
      <w:r>
        <w:rPr>
          <w:rFonts w:hint="eastAsia" w:ascii="宋体" w:hAnsi="宋体" w:eastAsia="宋体" w:cs="宋体"/>
          <w:color w:val="auto"/>
          <w:kern w:val="2"/>
          <w:sz w:val="24"/>
          <w:szCs w:val="24"/>
          <w:highlight w:val="none"/>
          <w:lang w:eastAsia="zh-CN" w:bidi="ar"/>
        </w:rPr>
        <w:t>中标人</w:t>
      </w:r>
      <w:r>
        <w:rPr>
          <w:rFonts w:hint="eastAsia" w:ascii="宋体" w:hAnsi="宋体" w:eastAsia="宋体" w:cs="宋体"/>
          <w:color w:val="auto"/>
          <w:kern w:val="2"/>
          <w:sz w:val="24"/>
          <w:szCs w:val="24"/>
          <w:highlight w:val="none"/>
          <w:lang w:val="hr-HR" w:bidi="ar"/>
        </w:rPr>
        <w:t>在接到通知后，应立即赶赴现场进行抢修。在保修期内因施工质量而造成返修，其费用由</w:t>
      </w:r>
      <w:r>
        <w:rPr>
          <w:rFonts w:hint="eastAsia" w:ascii="宋体" w:hAnsi="宋体" w:eastAsia="宋体" w:cs="宋体"/>
          <w:color w:val="auto"/>
          <w:kern w:val="2"/>
          <w:sz w:val="24"/>
          <w:szCs w:val="24"/>
          <w:highlight w:val="none"/>
          <w:lang w:eastAsia="zh-CN" w:bidi="ar"/>
        </w:rPr>
        <w:t>中标人</w:t>
      </w:r>
      <w:r>
        <w:rPr>
          <w:rFonts w:hint="eastAsia" w:ascii="宋体" w:hAnsi="宋体" w:eastAsia="宋体" w:cs="宋体"/>
          <w:color w:val="auto"/>
          <w:kern w:val="2"/>
          <w:sz w:val="24"/>
          <w:szCs w:val="24"/>
          <w:highlight w:val="none"/>
          <w:lang w:val="hr-HR" w:bidi="ar"/>
        </w:rPr>
        <w:t>负责。</w:t>
      </w:r>
    </w:p>
    <w:p>
      <w:pPr>
        <w:keepNext w:val="0"/>
        <w:keepLines w:val="0"/>
        <w:widowControl w:val="0"/>
        <w:numPr>
          <w:ilvl w:val="-1"/>
          <w:numId w:val="0"/>
        </w:numPr>
        <w:suppressLineNumbers w:val="0"/>
        <w:spacing w:before="0" w:beforeAutospacing="0" w:after="0" w:afterAutospacing="0" w:line="360" w:lineRule="auto"/>
        <w:ind w:left="0" w:right="0" w:firstLine="0" w:firstLineChars="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（六）</w:t>
      </w:r>
      <w:r>
        <w:rPr>
          <w:rFonts w:hint="eastAsia" w:ascii="宋体" w:hAnsi="宋体" w:eastAsia="宋体" w:cs="宋体"/>
          <w:b/>
          <w:bCs/>
          <w:color w:val="auto"/>
          <w:kern w:val="2"/>
          <w:sz w:val="24"/>
          <w:szCs w:val="24"/>
          <w:highlight w:val="none"/>
          <w:lang w:val="en-US" w:eastAsia="zh-CN" w:bidi="ar"/>
        </w:rPr>
        <w:t>验收</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招标人</w:t>
      </w:r>
      <w:r>
        <w:rPr>
          <w:rFonts w:hint="eastAsia" w:ascii="宋体" w:hAnsi="宋体" w:eastAsia="宋体" w:cs="宋体"/>
          <w:color w:val="auto"/>
          <w:sz w:val="24"/>
          <w:szCs w:val="24"/>
          <w:highlight w:val="none"/>
          <w:lang w:bidi="ar"/>
        </w:rPr>
        <w:t>将自</w:t>
      </w:r>
      <w:r>
        <w:rPr>
          <w:rFonts w:hint="eastAsia" w:ascii="宋体" w:hAnsi="宋体" w:eastAsia="宋体" w:cs="宋体"/>
          <w:color w:val="auto"/>
          <w:sz w:val="24"/>
          <w:szCs w:val="24"/>
          <w:highlight w:val="none"/>
          <w:lang w:eastAsia="zh-CN" w:bidi="ar"/>
        </w:rPr>
        <w:t>中标人</w:t>
      </w:r>
      <w:r>
        <w:rPr>
          <w:rFonts w:hint="eastAsia" w:ascii="宋体" w:hAnsi="宋体" w:eastAsia="宋体" w:cs="宋体"/>
          <w:color w:val="auto"/>
          <w:sz w:val="24"/>
          <w:szCs w:val="24"/>
          <w:highlight w:val="none"/>
          <w:lang w:bidi="ar"/>
        </w:rPr>
        <w:t>履行完合同义务之日起7日内组织验收，验收要求、验收标准及方法如下：</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（1）遵循国家标准、行业标准及相关技术规范，</w:t>
      </w:r>
      <w:r>
        <w:rPr>
          <w:rFonts w:hint="eastAsia" w:ascii="宋体" w:hAnsi="宋体" w:eastAsia="宋体" w:cs="宋体"/>
          <w:color w:val="auto"/>
          <w:sz w:val="24"/>
          <w:szCs w:val="24"/>
          <w:highlight w:val="none"/>
          <w:lang w:eastAsia="zh-CN" w:bidi="ar"/>
        </w:rPr>
        <w:t>招标人</w:t>
      </w:r>
      <w:r>
        <w:rPr>
          <w:rFonts w:hint="eastAsia" w:ascii="宋体" w:hAnsi="宋体" w:eastAsia="宋体" w:cs="宋体"/>
          <w:color w:val="auto"/>
          <w:sz w:val="24"/>
          <w:szCs w:val="24"/>
          <w:highlight w:val="none"/>
          <w:lang w:bidi="ar"/>
        </w:rPr>
        <w:t xml:space="preserve">进行验收。 </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（2）质量标准符合国家现行《工程施工质量验收规范》合格标准。</w:t>
      </w:r>
      <w:r>
        <w:rPr>
          <w:rFonts w:hint="eastAsia" w:ascii="宋体" w:hAnsi="宋体" w:eastAsia="宋体" w:cs="宋体"/>
          <w:color w:val="auto"/>
          <w:sz w:val="24"/>
          <w:szCs w:val="24"/>
          <w:highlight w:val="none"/>
          <w:lang w:eastAsia="zh-CN" w:bidi="ar"/>
        </w:rPr>
        <w:t>中标人</w:t>
      </w:r>
      <w:r>
        <w:rPr>
          <w:rFonts w:hint="eastAsia" w:ascii="宋体" w:hAnsi="宋体" w:eastAsia="宋体" w:cs="宋体"/>
          <w:color w:val="auto"/>
          <w:sz w:val="24"/>
          <w:szCs w:val="24"/>
          <w:highlight w:val="none"/>
          <w:lang w:bidi="ar"/>
        </w:rPr>
        <w:t>承包的工程质量不符合上述条款规定要求的，</w:t>
      </w:r>
      <w:r>
        <w:rPr>
          <w:rFonts w:hint="eastAsia" w:ascii="宋体" w:hAnsi="宋体" w:eastAsia="宋体" w:cs="宋体"/>
          <w:color w:val="auto"/>
          <w:sz w:val="24"/>
          <w:szCs w:val="24"/>
          <w:highlight w:val="none"/>
          <w:lang w:eastAsia="zh-CN" w:bidi="ar"/>
        </w:rPr>
        <w:t>招标人</w:t>
      </w:r>
      <w:r>
        <w:rPr>
          <w:rFonts w:hint="eastAsia" w:ascii="宋体" w:hAnsi="宋体" w:eastAsia="宋体" w:cs="宋体"/>
          <w:color w:val="auto"/>
          <w:sz w:val="24"/>
          <w:szCs w:val="24"/>
          <w:highlight w:val="none"/>
          <w:lang w:bidi="ar"/>
        </w:rPr>
        <w:t>可要求</w:t>
      </w:r>
      <w:r>
        <w:rPr>
          <w:rFonts w:hint="eastAsia" w:ascii="宋体" w:hAnsi="宋体" w:eastAsia="宋体" w:cs="宋体"/>
          <w:color w:val="auto"/>
          <w:sz w:val="24"/>
          <w:szCs w:val="24"/>
          <w:highlight w:val="none"/>
          <w:lang w:eastAsia="zh-CN" w:bidi="ar"/>
        </w:rPr>
        <w:t>中标人</w:t>
      </w:r>
      <w:r>
        <w:rPr>
          <w:rFonts w:hint="eastAsia" w:ascii="宋体" w:hAnsi="宋体" w:eastAsia="宋体" w:cs="宋体"/>
          <w:color w:val="auto"/>
          <w:sz w:val="24"/>
          <w:szCs w:val="24"/>
          <w:highlight w:val="none"/>
          <w:lang w:bidi="ar"/>
        </w:rPr>
        <w:t>返工，返工费用由</w:t>
      </w:r>
      <w:r>
        <w:rPr>
          <w:rFonts w:hint="eastAsia" w:ascii="宋体" w:hAnsi="宋体" w:eastAsia="宋体" w:cs="宋体"/>
          <w:color w:val="auto"/>
          <w:sz w:val="24"/>
          <w:szCs w:val="24"/>
          <w:highlight w:val="none"/>
          <w:lang w:eastAsia="zh-CN" w:bidi="ar"/>
        </w:rPr>
        <w:t>中标人</w:t>
      </w:r>
      <w:r>
        <w:rPr>
          <w:rFonts w:hint="eastAsia" w:ascii="宋体" w:hAnsi="宋体" w:eastAsia="宋体" w:cs="宋体"/>
          <w:color w:val="auto"/>
          <w:sz w:val="24"/>
          <w:szCs w:val="24"/>
          <w:highlight w:val="none"/>
          <w:lang w:bidi="ar"/>
        </w:rPr>
        <w:t xml:space="preserve">承担。 </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（3）如在本项目合同履行期间内执行的法律法规和政策文件及技术标准和规范有新的规定，则按新的规定和要求执行。</w:t>
      </w:r>
    </w:p>
    <w:p>
      <w:pPr>
        <w:keepNext w:val="0"/>
        <w:keepLines w:val="0"/>
        <w:widowControl w:val="0"/>
        <w:numPr>
          <w:ilvl w:val="-1"/>
          <w:numId w:val="0"/>
        </w:numPr>
        <w:suppressLineNumbers w:val="0"/>
        <w:spacing w:before="0" w:beforeAutospacing="0" w:after="0" w:afterAutospacing="0" w:line="360" w:lineRule="auto"/>
        <w:ind w:left="0" w:right="0" w:firstLine="482" w:firstLineChars="2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b/>
          <w:bCs/>
          <w:color w:val="auto"/>
          <w:kern w:val="2"/>
          <w:sz w:val="24"/>
          <w:szCs w:val="24"/>
          <w:highlight w:val="none"/>
          <w:lang w:val="en-US" w:eastAsia="zh-CN" w:bidi="ar"/>
        </w:rPr>
        <w:t>（七）付款方式</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1.合同签订生效后10个工作日内，中标人应向招标人提供合同金额10%的银行履约保函作为履约保证金，招标人按合同总价30%支付给中标人作为工程预付款；</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2.中标人完成工程总量的75%后15日内，招标人支付至合同金额的70%给中标人；</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3.中标人完成工程总量的100%，并通过竣工验收后，中标人向招标人提供工程竣工报告及结算资料，工程造价公司完成竣工结算审定后15个工作日内，中标人以支票、现金转账、银行保函等有效方式向招标人提交竣工结算总价的3%作为工程质量保修金后，招标人向中标人支付至竣工结算总价的100%。验收合格、工程结算审定后，待保修期满并取得项目保修责任期终止证书后，招标人退回质量保修金；</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4.中标人应在招标人办理以上各期付款的支付手续前，为招标人出具等额的符合国家规定的发票；</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5.上述时间不包含招标人正常办理支付报批手续的时间。</w:t>
      </w:r>
    </w:p>
    <w:p>
      <w:pPr>
        <w:keepNext w:val="0"/>
        <w:keepLines w:val="0"/>
        <w:widowControl w:val="0"/>
        <w:numPr>
          <w:ilvl w:val="-1"/>
          <w:numId w:val="0"/>
        </w:numPr>
        <w:suppressLineNumbers w:val="0"/>
        <w:spacing w:before="0" w:beforeAutospacing="0" w:after="0" w:afterAutospacing="0" w:line="360" w:lineRule="auto"/>
        <w:ind w:left="0" w:right="0" w:firstLine="0" w:firstLineChars="0"/>
        <w:jc w:val="both"/>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（八）</w:t>
      </w:r>
      <w:r>
        <w:rPr>
          <w:rFonts w:hint="eastAsia" w:ascii="宋体" w:hAnsi="宋体" w:eastAsia="宋体" w:cs="宋体"/>
          <w:b/>
          <w:bCs/>
          <w:color w:val="auto"/>
          <w:sz w:val="24"/>
          <w:szCs w:val="24"/>
          <w:highlight w:val="none"/>
          <w:lang w:val="en-US" w:eastAsia="zh-CN" w:bidi="ar"/>
        </w:rPr>
        <w:t>绿色施工安全防护措施要求</w:t>
      </w:r>
      <w:r>
        <w:rPr>
          <w:rFonts w:hint="eastAsia" w:ascii="宋体" w:hAnsi="宋体" w:eastAsia="宋体" w:cs="宋体"/>
          <w:color w:val="auto"/>
          <w:sz w:val="24"/>
          <w:szCs w:val="24"/>
          <w:highlight w:val="none"/>
          <w:lang w:val="en-US" w:eastAsia="zh-CN" w:bidi="ar"/>
        </w:rPr>
        <w:t>：按现行有关规范执行。</w:t>
      </w:r>
    </w:p>
    <w:p>
      <w:pPr>
        <w:keepNext w:val="0"/>
        <w:keepLines w:val="0"/>
        <w:widowControl w:val="0"/>
        <w:numPr>
          <w:ilvl w:val="-1"/>
          <w:numId w:val="0"/>
        </w:numPr>
        <w:suppressLineNumbers w:val="0"/>
        <w:spacing w:before="0" w:beforeAutospacing="0" w:after="0" w:afterAutospacing="0" w:line="360" w:lineRule="auto"/>
        <w:ind w:left="0" w:right="0" w:firstLine="0" w:firstLineChars="0"/>
        <w:jc w:val="both"/>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（九）</w:t>
      </w:r>
      <w:r>
        <w:rPr>
          <w:rFonts w:hint="eastAsia" w:ascii="宋体" w:hAnsi="宋体" w:eastAsia="宋体" w:cs="宋体"/>
          <w:b/>
          <w:bCs/>
          <w:color w:val="auto"/>
          <w:sz w:val="24"/>
          <w:szCs w:val="24"/>
          <w:highlight w:val="none"/>
          <w:lang w:bidi="ar"/>
        </w:rPr>
        <w:t>不可竞争费用</w:t>
      </w:r>
      <w:r>
        <w:rPr>
          <w:rFonts w:hint="eastAsia" w:ascii="宋体" w:hAnsi="宋体" w:eastAsia="宋体" w:cs="宋体"/>
          <w:color w:val="auto"/>
          <w:sz w:val="24"/>
          <w:szCs w:val="24"/>
          <w:highlight w:val="none"/>
          <w:lang w:bidi="ar"/>
        </w:rPr>
        <w:t>：绿色施工安全防护措施费、暂列金、暂估价均为不可竞争费用，供应商在报价中必须包含且不得更改该金额，否则其投标无效。</w:t>
      </w:r>
    </w:p>
    <w:p>
      <w:pPr>
        <w:numPr>
          <w:ilvl w:val="0"/>
          <w:numId w:val="0"/>
        </w:num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本项目安装工程、建筑工程的</w:t>
      </w:r>
      <w:r>
        <w:rPr>
          <w:rFonts w:hint="eastAsia" w:ascii="宋体" w:hAnsi="宋体" w:eastAsia="宋体" w:cs="宋体"/>
          <w:color w:val="auto"/>
          <w:sz w:val="24"/>
          <w:szCs w:val="24"/>
          <w:highlight w:val="none"/>
          <w:lang w:val="hr-HR" w:bidi="ar"/>
        </w:rPr>
        <w:t>绿色施工安全防护措施费分配情况如下：</w:t>
      </w:r>
    </w:p>
    <w:p>
      <w:pPr>
        <w:numPr>
          <w:ilvl w:val="0"/>
          <w:numId w:val="0"/>
        </w:num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（1）安装工程</w:t>
      </w:r>
      <w:r>
        <w:rPr>
          <w:rFonts w:hint="eastAsia" w:ascii="宋体" w:hAnsi="宋体" w:eastAsia="宋体" w:cs="宋体"/>
          <w:color w:val="auto"/>
          <w:sz w:val="24"/>
          <w:szCs w:val="24"/>
          <w:highlight w:val="none"/>
          <w:lang w:val="hr-HR" w:bidi="ar"/>
        </w:rPr>
        <w:t>绿色施工安全防护措施费：</w:t>
      </w:r>
      <w:r>
        <w:rPr>
          <w:rFonts w:hint="eastAsia" w:ascii="宋体" w:hAnsi="宋体" w:eastAsia="宋体" w:cs="宋体"/>
          <w:color w:val="auto"/>
          <w:sz w:val="24"/>
          <w:szCs w:val="24"/>
          <w:highlight w:val="none"/>
          <w:lang w:val="en-US" w:eastAsia="zh-CN" w:bidi="ar"/>
        </w:rPr>
        <w:t>不计取</w:t>
      </w:r>
      <w:r>
        <w:rPr>
          <w:rFonts w:hint="eastAsia" w:ascii="宋体" w:hAnsi="宋体" w:eastAsia="宋体" w:cs="宋体"/>
          <w:color w:val="auto"/>
          <w:sz w:val="24"/>
          <w:szCs w:val="24"/>
          <w:highlight w:val="none"/>
          <w:lang w:val="hr-HR" w:bidi="ar"/>
        </w:rPr>
        <w:t>；</w:t>
      </w:r>
    </w:p>
    <w:p>
      <w:pPr>
        <w:numPr>
          <w:ilvl w:val="0"/>
          <w:numId w:val="0"/>
        </w:numPr>
        <w:spacing w:line="360" w:lineRule="auto"/>
        <w:ind w:firstLine="480" w:firstLineChars="200"/>
        <w:rPr>
          <w:rFonts w:hint="eastAsia" w:ascii="宋体" w:hAnsi="宋体" w:eastAsia="宋体" w:cs="宋体"/>
          <w:color w:val="auto"/>
          <w:sz w:val="24"/>
          <w:szCs w:val="24"/>
          <w:highlight w:val="none"/>
          <w:lang w:val="hr-HR" w:bidi="ar"/>
        </w:rPr>
      </w:pPr>
      <w:r>
        <w:rPr>
          <w:rFonts w:hint="eastAsia" w:ascii="宋体" w:hAnsi="宋体" w:eastAsia="宋体" w:cs="宋体"/>
          <w:color w:val="auto"/>
          <w:sz w:val="24"/>
          <w:szCs w:val="24"/>
          <w:highlight w:val="none"/>
          <w:lang w:bidi="ar"/>
        </w:rPr>
        <w:t>（2）安装工程</w:t>
      </w:r>
      <w:r>
        <w:rPr>
          <w:rFonts w:hint="eastAsia" w:ascii="宋体" w:hAnsi="宋体" w:eastAsia="宋体" w:cs="宋体"/>
          <w:color w:val="auto"/>
          <w:sz w:val="24"/>
          <w:szCs w:val="24"/>
          <w:highlight w:val="none"/>
          <w:lang w:val="hr-HR" w:bidi="ar"/>
        </w:rPr>
        <w:t>暂列金额：</w:t>
      </w:r>
      <w:r>
        <w:rPr>
          <w:rFonts w:hint="eastAsia" w:ascii="宋体" w:hAnsi="宋体" w:eastAsia="宋体" w:cs="宋体"/>
          <w:color w:val="auto"/>
          <w:sz w:val="24"/>
          <w:szCs w:val="24"/>
          <w:highlight w:val="none"/>
          <w:lang w:val="en-US" w:eastAsia="zh-CN" w:bidi="ar"/>
        </w:rPr>
        <w:t>不计取</w:t>
      </w:r>
      <w:r>
        <w:rPr>
          <w:rFonts w:hint="eastAsia" w:ascii="宋体" w:hAnsi="宋体" w:eastAsia="宋体" w:cs="宋体"/>
          <w:color w:val="auto"/>
          <w:sz w:val="24"/>
          <w:szCs w:val="24"/>
          <w:highlight w:val="none"/>
          <w:lang w:val="hr-HR" w:bidi="ar"/>
        </w:rPr>
        <w:t>；</w:t>
      </w:r>
    </w:p>
    <w:p>
      <w:pPr>
        <w:numPr>
          <w:ilvl w:val="0"/>
          <w:numId w:val="0"/>
        </w:num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（3）建筑工程</w:t>
      </w:r>
      <w:r>
        <w:rPr>
          <w:rFonts w:hint="eastAsia" w:ascii="宋体" w:hAnsi="宋体" w:eastAsia="宋体" w:cs="宋体"/>
          <w:color w:val="auto"/>
          <w:sz w:val="24"/>
          <w:szCs w:val="24"/>
          <w:highlight w:val="none"/>
          <w:lang w:val="hr-HR" w:bidi="ar"/>
        </w:rPr>
        <w:t>绿色施工安全防护措施费：</w:t>
      </w:r>
      <w:r>
        <w:rPr>
          <w:rFonts w:hint="eastAsia" w:ascii="宋体" w:hAnsi="宋体" w:eastAsia="宋体" w:cs="宋体"/>
          <w:color w:val="auto"/>
          <w:sz w:val="24"/>
          <w:szCs w:val="24"/>
          <w:highlight w:val="none"/>
          <w:lang w:val="en-US" w:eastAsia="zh-CN" w:bidi="ar"/>
        </w:rPr>
        <w:t>120487.84</w:t>
      </w:r>
      <w:r>
        <w:rPr>
          <w:rFonts w:hint="eastAsia" w:ascii="宋体" w:hAnsi="宋体" w:eastAsia="宋体" w:cs="宋体"/>
          <w:color w:val="auto"/>
          <w:sz w:val="24"/>
          <w:szCs w:val="24"/>
          <w:highlight w:val="none"/>
          <w:lang w:val="hr-HR" w:bidi="ar"/>
        </w:rPr>
        <w:t>元；</w:t>
      </w:r>
    </w:p>
    <w:p>
      <w:pPr>
        <w:numPr>
          <w:ilvl w:val="0"/>
          <w:numId w:val="0"/>
        </w:num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（4）建筑工程</w:t>
      </w:r>
      <w:r>
        <w:rPr>
          <w:rFonts w:hint="eastAsia" w:ascii="宋体" w:hAnsi="宋体" w:eastAsia="宋体" w:cs="宋体"/>
          <w:color w:val="auto"/>
          <w:sz w:val="24"/>
          <w:szCs w:val="24"/>
          <w:highlight w:val="none"/>
          <w:lang w:val="hr-HR" w:bidi="ar"/>
        </w:rPr>
        <w:t>暂列金额：</w:t>
      </w:r>
      <w:r>
        <w:rPr>
          <w:rFonts w:hint="eastAsia" w:ascii="宋体" w:hAnsi="宋体" w:eastAsia="宋体" w:cs="宋体"/>
          <w:color w:val="auto"/>
          <w:sz w:val="24"/>
          <w:szCs w:val="24"/>
          <w:highlight w:val="none"/>
          <w:lang w:val="en-US" w:eastAsia="zh-CN" w:bidi="ar"/>
        </w:rPr>
        <w:t>无</w:t>
      </w:r>
      <w:r>
        <w:rPr>
          <w:rFonts w:hint="eastAsia" w:ascii="宋体" w:hAnsi="宋体" w:eastAsia="宋体" w:cs="宋体"/>
          <w:color w:val="auto"/>
          <w:sz w:val="24"/>
          <w:szCs w:val="24"/>
          <w:highlight w:val="none"/>
          <w:lang w:val="hr-HR" w:bidi="ar"/>
        </w:rPr>
        <w:t>。</w:t>
      </w:r>
    </w:p>
    <w:p>
      <w:pPr>
        <w:keepNext w:val="0"/>
        <w:keepLines w:val="0"/>
        <w:widowControl w:val="0"/>
        <w:numPr>
          <w:ilvl w:val="-1"/>
          <w:numId w:val="0"/>
        </w:numPr>
        <w:suppressLineNumbers w:val="0"/>
        <w:spacing w:before="0" w:beforeAutospacing="0" w:after="0" w:afterAutospacing="0" w:line="360" w:lineRule="auto"/>
        <w:ind w:left="0" w:right="0" w:firstLine="0" w:firstLineChars="0"/>
        <w:jc w:val="both"/>
        <w:rPr>
          <w:rFonts w:hint="eastAsia" w:ascii="宋体" w:hAnsi="宋体" w:eastAsia="宋体" w:cs="宋体"/>
          <w:color w:val="auto"/>
          <w:kern w:val="2"/>
          <w:sz w:val="24"/>
          <w:szCs w:val="24"/>
          <w:highlight w:val="none"/>
          <w:lang w:bidi="ar"/>
        </w:rPr>
      </w:pPr>
      <w:bookmarkStart w:id="52" w:name="_Toc7504"/>
      <w:r>
        <w:rPr>
          <w:rFonts w:hint="eastAsia" w:ascii="宋体" w:hAnsi="宋体" w:eastAsia="宋体" w:cs="宋体"/>
          <w:color w:val="auto"/>
          <w:kern w:val="2"/>
          <w:sz w:val="24"/>
          <w:szCs w:val="24"/>
          <w:highlight w:val="none"/>
          <w:lang w:val="en-US" w:eastAsia="zh-CN" w:bidi="ar"/>
        </w:rPr>
        <w:t>（十）</w:t>
      </w:r>
      <w:r>
        <w:rPr>
          <w:rFonts w:hint="eastAsia" w:ascii="宋体" w:hAnsi="宋体" w:eastAsia="宋体" w:cs="宋体"/>
          <w:b/>
          <w:bCs/>
          <w:color w:val="auto"/>
          <w:kern w:val="2"/>
          <w:sz w:val="24"/>
          <w:szCs w:val="24"/>
          <w:highlight w:val="none"/>
          <w:lang w:bidi="ar"/>
        </w:rPr>
        <w:t>工程使用材料要求</w:t>
      </w:r>
      <w:bookmarkEnd w:id="52"/>
      <w:r>
        <w:rPr>
          <w:rFonts w:hint="eastAsia" w:ascii="宋体" w:hAnsi="宋体" w:eastAsia="宋体" w:cs="宋体"/>
          <w:color w:val="auto"/>
          <w:kern w:val="2"/>
          <w:sz w:val="24"/>
          <w:szCs w:val="24"/>
          <w:highlight w:val="none"/>
          <w:lang w:bidi="ar"/>
        </w:rPr>
        <w:t>：</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val="hr-HR" w:bidi="ar"/>
        </w:rPr>
      </w:pPr>
      <w:r>
        <w:rPr>
          <w:rFonts w:hint="eastAsia" w:ascii="宋体" w:hAnsi="宋体" w:eastAsia="宋体" w:cs="宋体"/>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hr-HR" w:bidi="ar"/>
        </w:rPr>
        <w:t>本工程所承包范围内所需的材料、成品、未成品、设备的采购、运输、保管、质量等责任均由</w:t>
      </w:r>
      <w:r>
        <w:rPr>
          <w:rFonts w:hint="eastAsia" w:ascii="宋体" w:hAnsi="宋体" w:eastAsia="宋体" w:cs="宋体"/>
          <w:color w:val="auto"/>
          <w:kern w:val="2"/>
          <w:sz w:val="24"/>
          <w:szCs w:val="24"/>
          <w:highlight w:val="none"/>
          <w:lang w:eastAsia="zh-CN" w:bidi="ar"/>
        </w:rPr>
        <w:t>中标人</w:t>
      </w:r>
      <w:r>
        <w:rPr>
          <w:rFonts w:hint="eastAsia" w:ascii="宋体" w:hAnsi="宋体" w:eastAsia="宋体" w:cs="宋体"/>
          <w:color w:val="auto"/>
          <w:kern w:val="2"/>
          <w:sz w:val="24"/>
          <w:szCs w:val="24"/>
          <w:highlight w:val="none"/>
          <w:lang w:val="hr-HR" w:bidi="ar"/>
        </w:rPr>
        <w:t>承担。</w:t>
      </w:r>
      <w:r>
        <w:rPr>
          <w:rFonts w:hint="eastAsia" w:ascii="宋体" w:hAnsi="宋体" w:eastAsia="宋体" w:cs="宋体"/>
          <w:color w:val="auto"/>
          <w:kern w:val="2"/>
          <w:sz w:val="24"/>
          <w:szCs w:val="24"/>
          <w:highlight w:val="none"/>
          <w:lang w:val="hr-HR" w:eastAsia="zh-CN" w:bidi="ar"/>
        </w:rPr>
        <w:t>招标人</w:t>
      </w:r>
      <w:r>
        <w:rPr>
          <w:rFonts w:hint="eastAsia" w:ascii="宋体" w:hAnsi="宋体" w:eastAsia="宋体" w:cs="宋体"/>
          <w:color w:val="auto"/>
          <w:kern w:val="2"/>
          <w:sz w:val="24"/>
          <w:szCs w:val="24"/>
          <w:highlight w:val="none"/>
          <w:lang w:val="hr-HR" w:bidi="ar"/>
        </w:rPr>
        <w:t>不提供材料。</w:t>
      </w:r>
      <w:r>
        <w:rPr>
          <w:rFonts w:hint="eastAsia" w:ascii="宋体" w:hAnsi="宋体" w:eastAsia="宋体" w:cs="宋体"/>
          <w:color w:val="auto"/>
          <w:kern w:val="2"/>
          <w:sz w:val="24"/>
          <w:szCs w:val="24"/>
          <w:highlight w:val="none"/>
          <w:lang w:eastAsia="zh-CN" w:bidi="ar"/>
        </w:rPr>
        <w:t>中标人</w:t>
      </w:r>
      <w:r>
        <w:rPr>
          <w:rFonts w:hint="eastAsia" w:ascii="宋体" w:hAnsi="宋体" w:eastAsia="宋体" w:cs="宋体"/>
          <w:color w:val="auto"/>
          <w:kern w:val="2"/>
          <w:sz w:val="24"/>
          <w:szCs w:val="24"/>
          <w:highlight w:val="none"/>
          <w:lang w:val="hr-HR" w:bidi="ar"/>
        </w:rPr>
        <w:t>应在工程量清单中明确列明施工使用的材料品牌及规格。</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val="hr-HR" w:bidi="ar"/>
        </w:rPr>
      </w:pPr>
      <w:r>
        <w:rPr>
          <w:rFonts w:hint="eastAsia" w:ascii="宋体" w:hAnsi="宋体" w:eastAsia="宋体" w:cs="宋体"/>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eastAsia="zh-CN" w:bidi="ar"/>
        </w:rPr>
        <w:t>中标人</w:t>
      </w:r>
      <w:r>
        <w:rPr>
          <w:rFonts w:hint="eastAsia" w:ascii="宋体" w:hAnsi="宋体" w:eastAsia="宋体" w:cs="宋体"/>
          <w:color w:val="auto"/>
          <w:kern w:val="2"/>
          <w:sz w:val="24"/>
          <w:szCs w:val="24"/>
          <w:highlight w:val="none"/>
          <w:lang w:val="hr-HR" w:bidi="ar"/>
        </w:rPr>
        <w:t>采购供应的材料、设备、其名称、品种、型号、规格、质量等，均应符合国家、地方及行业有关规范及要求。</w:t>
      </w:r>
      <w:r>
        <w:rPr>
          <w:rFonts w:hint="eastAsia" w:ascii="宋体" w:hAnsi="宋体" w:eastAsia="宋体" w:cs="宋体"/>
          <w:color w:val="auto"/>
          <w:kern w:val="2"/>
          <w:sz w:val="24"/>
          <w:szCs w:val="24"/>
          <w:highlight w:val="none"/>
          <w:lang w:eastAsia="zh-CN" w:bidi="ar"/>
        </w:rPr>
        <w:t>中标人</w:t>
      </w:r>
      <w:r>
        <w:rPr>
          <w:rFonts w:hint="eastAsia" w:ascii="宋体" w:hAnsi="宋体" w:eastAsia="宋体" w:cs="宋体"/>
          <w:color w:val="auto"/>
          <w:kern w:val="2"/>
          <w:sz w:val="24"/>
          <w:szCs w:val="24"/>
          <w:highlight w:val="none"/>
          <w:lang w:val="hr-HR" w:bidi="ar"/>
        </w:rPr>
        <w:t>应按报价文件中选定的品牌厂家供应材料，严格把好产品质量关，所有产品进场要有厂家产品检验报告和产品合格证书；施工前，工程材料应由</w:t>
      </w:r>
      <w:r>
        <w:rPr>
          <w:rFonts w:hint="eastAsia" w:ascii="宋体" w:hAnsi="宋体" w:eastAsia="宋体" w:cs="宋体"/>
          <w:color w:val="auto"/>
          <w:kern w:val="2"/>
          <w:sz w:val="24"/>
          <w:szCs w:val="24"/>
          <w:highlight w:val="none"/>
          <w:lang w:val="hr-HR" w:eastAsia="zh-CN" w:bidi="ar"/>
        </w:rPr>
        <w:t>招标人</w:t>
      </w:r>
      <w:r>
        <w:rPr>
          <w:rFonts w:hint="eastAsia" w:ascii="宋体" w:hAnsi="宋体" w:eastAsia="宋体" w:cs="宋体"/>
          <w:color w:val="auto"/>
          <w:kern w:val="2"/>
          <w:sz w:val="24"/>
          <w:szCs w:val="24"/>
          <w:highlight w:val="none"/>
          <w:lang w:val="hr-HR" w:bidi="ar"/>
        </w:rPr>
        <w:t>确认材料符合样板或要求，方可使用。如发生货不对板，</w:t>
      </w:r>
      <w:r>
        <w:rPr>
          <w:rFonts w:hint="eastAsia" w:ascii="宋体" w:hAnsi="宋体" w:eastAsia="宋体" w:cs="宋体"/>
          <w:color w:val="auto"/>
          <w:kern w:val="2"/>
          <w:sz w:val="24"/>
          <w:szCs w:val="24"/>
          <w:highlight w:val="none"/>
          <w:lang w:val="hr-HR" w:eastAsia="zh-CN" w:bidi="ar"/>
        </w:rPr>
        <w:t>招标人</w:t>
      </w:r>
      <w:r>
        <w:rPr>
          <w:rFonts w:hint="eastAsia" w:ascii="宋体" w:hAnsi="宋体" w:eastAsia="宋体" w:cs="宋体"/>
          <w:color w:val="auto"/>
          <w:kern w:val="2"/>
          <w:sz w:val="24"/>
          <w:szCs w:val="24"/>
          <w:highlight w:val="none"/>
          <w:lang w:val="hr-HR" w:bidi="ar"/>
        </w:rPr>
        <w:t>有权拒用，并重新选择指定，并由</w:t>
      </w:r>
      <w:r>
        <w:rPr>
          <w:rFonts w:hint="eastAsia" w:ascii="宋体" w:hAnsi="宋体" w:eastAsia="宋体" w:cs="宋体"/>
          <w:color w:val="auto"/>
          <w:kern w:val="2"/>
          <w:sz w:val="24"/>
          <w:szCs w:val="24"/>
          <w:highlight w:val="none"/>
          <w:lang w:eastAsia="zh-CN" w:bidi="ar"/>
        </w:rPr>
        <w:t>中标人</w:t>
      </w:r>
      <w:r>
        <w:rPr>
          <w:rFonts w:hint="eastAsia" w:ascii="宋体" w:hAnsi="宋体" w:eastAsia="宋体" w:cs="宋体"/>
          <w:color w:val="auto"/>
          <w:kern w:val="2"/>
          <w:sz w:val="24"/>
          <w:szCs w:val="24"/>
          <w:highlight w:val="none"/>
          <w:lang w:val="hr-HR" w:bidi="ar"/>
        </w:rPr>
        <w:t>承担损失。</w:t>
      </w:r>
    </w:p>
    <w:p>
      <w:pPr>
        <w:keepNext w:val="0"/>
        <w:keepLines w:val="0"/>
        <w:widowControl w:val="0"/>
        <w:numPr>
          <w:ilvl w:val="-1"/>
          <w:numId w:val="0"/>
        </w:numPr>
        <w:suppressLineNumbers w:val="0"/>
        <w:spacing w:before="0" w:beforeAutospacing="0" w:after="0" w:afterAutospacing="0" w:line="360" w:lineRule="auto"/>
        <w:ind w:left="0" w:right="0" w:firstLine="0" w:firstLineChars="0"/>
        <w:jc w:val="both"/>
        <w:rPr>
          <w:rFonts w:hint="eastAsia" w:ascii="宋体" w:hAnsi="宋体" w:eastAsia="宋体" w:cs="宋体"/>
          <w:color w:val="auto"/>
          <w:kern w:val="2"/>
          <w:sz w:val="24"/>
          <w:szCs w:val="24"/>
          <w:highlight w:val="none"/>
          <w:lang w:val="hr-HR" w:bidi="ar"/>
        </w:rPr>
      </w:pPr>
      <w:r>
        <w:rPr>
          <w:rFonts w:hint="eastAsia" w:ascii="宋体" w:hAnsi="宋体" w:eastAsia="宋体" w:cs="宋体"/>
          <w:color w:val="auto"/>
          <w:kern w:val="2"/>
          <w:sz w:val="24"/>
          <w:szCs w:val="24"/>
          <w:highlight w:val="none"/>
          <w:lang w:val="en-US" w:eastAsia="zh-CN" w:bidi="ar"/>
        </w:rPr>
        <w:t>（十一）</w:t>
      </w:r>
      <w:r>
        <w:rPr>
          <w:rFonts w:hint="eastAsia" w:ascii="宋体" w:hAnsi="宋体" w:eastAsia="宋体" w:cs="宋体"/>
          <w:b/>
          <w:bCs/>
          <w:color w:val="auto"/>
          <w:kern w:val="2"/>
          <w:sz w:val="24"/>
          <w:szCs w:val="24"/>
          <w:highlight w:val="none"/>
          <w:lang w:val="hr-HR" w:bidi="ar"/>
        </w:rPr>
        <w:t>工程竣工结算要求</w:t>
      </w:r>
      <w:r>
        <w:rPr>
          <w:rFonts w:hint="eastAsia" w:ascii="宋体" w:hAnsi="宋体" w:eastAsia="宋体" w:cs="宋体"/>
          <w:color w:val="auto"/>
          <w:kern w:val="2"/>
          <w:sz w:val="24"/>
          <w:szCs w:val="24"/>
          <w:highlight w:val="none"/>
          <w:lang w:val="hr-HR" w:bidi="ar"/>
        </w:rPr>
        <w:t>：</w:t>
      </w:r>
    </w:p>
    <w:p>
      <w:pPr>
        <w:keepNext w:val="0"/>
        <w:keepLines w:val="0"/>
        <w:widowControl w:val="0"/>
        <w:numPr>
          <w:ilvl w:val="-1"/>
          <w:numId w:val="0"/>
        </w:numPr>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bidi="ar"/>
        </w:rPr>
      </w:pPr>
      <w:r>
        <w:rPr>
          <w:rFonts w:hint="eastAsia" w:ascii="宋体" w:hAnsi="宋体" w:eastAsia="宋体" w:cs="宋体"/>
          <w:color w:val="auto"/>
          <w:kern w:val="2"/>
          <w:sz w:val="24"/>
          <w:szCs w:val="24"/>
          <w:highlight w:val="none"/>
          <w:lang w:eastAsia="zh-CN" w:bidi="ar"/>
        </w:rPr>
        <w:t>中标人</w:t>
      </w:r>
      <w:r>
        <w:rPr>
          <w:rFonts w:hint="eastAsia" w:ascii="宋体" w:hAnsi="宋体" w:eastAsia="宋体" w:cs="宋体"/>
          <w:color w:val="auto"/>
          <w:kern w:val="2"/>
          <w:sz w:val="24"/>
          <w:szCs w:val="24"/>
          <w:highlight w:val="none"/>
          <w:lang w:val="hr-HR" w:bidi="ar"/>
        </w:rPr>
        <w:t>须在工程竣工验收后</w:t>
      </w:r>
      <w:r>
        <w:rPr>
          <w:rFonts w:hint="eastAsia" w:ascii="宋体" w:hAnsi="宋体" w:eastAsia="宋体" w:cs="宋体"/>
          <w:color w:val="auto"/>
          <w:kern w:val="2"/>
          <w:sz w:val="24"/>
          <w:szCs w:val="24"/>
          <w:highlight w:val="none"/>
          <w:lang w:val="en-US" w:eastAsia="zh-CN" w:bidi="ar"/>
        </w:rPr>
        <w:t>15</w:t>
      </w:r>
      <w:r>
        <w:rPr>
          <w:rFonts w:hint="eastAsia" w:ascii="宋体" w:hAnsi="宋体" w:eastAsia="宋体" w:cs="宋体"/>
          <w:color w:val="auto"/>
          <w:kern w:val="2"/>
          <w:sz w:val="24"/>
          <w:szCs w:val="24"/>
          <w:highlight w:val="none"/>
          <w:lang w:val="hr-HR" w:bidi="ar"/>
        </w:rPr>
        <w:t>天内按合同要求提交竣工资料及结算文件，并需配合</w:t>
      </w:r>
      <w:r>
        <w:rPr>
          <w:rFonts w:hint="eastAsia" w:ascii="宋体" w:hAnsi="宋体" w:eastAsia="宋体" w:cs="宋体"/>
          <w:color w:val="auto"/>
          <w:kern w:val="2"/>
          <w:sz w:val="24"/>
          <w:szCs w:val="24"/>
          <w:highlight w:val="none"/>
          <w:lang w:val="hr-HR" w:eastAsia="zh-CN" w:bidi="ar"/>
        </w:rPr>
        <w:t>招标人</w:t>
      </w:r>
      <w:r>
        <w:rPr>
          <w:rFonts w:hint="eastAsia" w:ascii="宋体" w:hAnsi="宋体" w:eastAsia="宋体" w:cs="宋体"/>
          <w:color w:val="auto"/>
          <w:kern w:val="2"/>
          <w:sz w:val="24"/>
          <w:szCs w:val="24"/>
          <w:highlight w:val="none"/>
          <w:lang w:val="hr-HR" w:bidi="ar"/>
        </w:rPr>
        <w:t>完成工程竣工结算工作。</w:t>
      </w:r>
    </w:p>
    <w:p>
      <w:pPr>
        <w:spacing w:line="360" w:lineRule="auto"/>
        <w:rPr>
          <w:rFonts w:ascii="宋体" w:hAnsi="宋体" w:cs="宋体"/>
          <w:color w:val="auto"/>
          <w:sz w:val="24"/>
          <w:szCs w:val="24"/>
          <w:highlight w:val="none"/>
          <w:lang w:bidi="ar"/>
        </w:rPr>
      </w:pPr>
    </w:p>
    <w:p>
      <w:pPr>
        <w:rPr>
          <w:rFonts w:hint="eastAsia" w:ascii="黑体" w:hAnsi="黑体" w:eastAsia="黑体" w:cs="黑体"/>
          <w:color w:val="auto"/>
          <w:sz w:val="32"/>
          <w:szCs w:val="32"/>
          <w:highlight w:val="none"/>
        </w:rPr>
      </w:pPr>
      <w:bookmarkStart w:id="53" w:name="_Toc2272569"/>
      <w:bookmarkStart w:id="54" w:name="_Toc21525514"/>
      <w:r>
        <w:rPr>
          <w:rFonts w:hint="eastAsia" w:ascii="黑体" w:hAnsi="黑体" w:eastAsia="黑体" w:cs="黑体"/>
          <w:color w:val="auto"/>
          <w:sz w:val="32"/>
          <w:szCs w:val="32"/>
          <w:highlight w:val="none"/>
        </w:rPr>
        <w:br w:type="page"/>
      </w:r>
    </w:p>
    <w:p>
      <w:pPr>
        <w:pStyle w:val="5"/>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第六章  图纸及勘察资料</w:t>
      </w:r>
      <w:bookmarkEnd w:id="53"/>
      <w:bookmarkEnd w:id="54"/>
    </w:p>
    <w:p>
      <w:pPr>
        <w:spacing w:before="156" w:beforeLines="50" w:after="156" w:afterLines="50" w:line="360" w:lineRule="auto"/>
        <w:rPr>
          <w:rFonts w:ascii="宋体"/>
          <w:b/>
          <w:color w:val="auto"/>
          <w:sz w:val="24"/>
          <w:szCs w:val="24"/>
          <w:highlight w:val="none"/>
        </w:rPr>
      </w:pPr>
      <w:r>
        <w:rPr>
          <w:rFonts w:hint="eastAsia" w:ascii="宋体" w:hAnsi="宋体"/>
          <w:color w:val="auto"/>
          <w:sz w:val="24"/>
          <w:szCs w:val="24"/>
          <w:highlight w:val="none"/>
        </w:rPr>
        <w:t>注：本章由招标人自行制定，另册。</w:t>
      </w:r>
    </w:p>
    <w:p>
      <w:pPr>
        <w:pStyle w:val="5"/>
        <w:jc w:val="center"/>
        <w:rPr>
          <w:rFonts w:ascii="黑体" w:hAnsi="黑体" w:eastAsia="黑体" w:cs="黑体"/>
          <w:color w:val="auto"/>
          <w:sz w:val="32"/>
          <w:szCs w:val="32"/>
          <w:highlight w:val="none"/>
        </w:rPr>
      </w:pPr>
      <w:r>
        <w:rPr>
          <w:color w:val="auto"/>
          <w:sz w:val="24"/>
          <w:szCs w:val="24"/>
          <w:highlight w:val="none"/>
        </w:rPr>
        <w:br w:type="page"/>
      </w:r>
      <w:bookmarkStart w:id="55" w:name="_Toc21525515"/>
      <w:bookmarkStart w:id="56" w:name="_Toc2272570"/>
      <w:r>
        <w:rPr>
          <w:rFonts w:hint="eastAsia" w:ascii="黑体" w:hAnsi="黑体" w:eastAsia="黑体" w:cs="黑体"/>
          <w:color w:val="auto"/>
          <w:sz w:val="32"/>
          <w:szCs w:val="32"/>
          <w:highlight w:val="none"/>
        </w:rPr>
        <w:t>第七章  工程量清单</w:t>
      </w:r>
      <w:bookmarkEnd w:id="55"/>
      <w:bookmarkEnd w:id="56"/>
    </w:p>
    <w:p>
      <w:pPr>
        <w:spacing w:before="156" w:beforeLines="50" w:after="156" w:afterLines="50" w:line="360" w:lineRule="auto"/>
        <w:rPr>
          <w:rFonts w:ascii="宋体"/>
          <w:b/>
          <w:color w:val="auto"/>
          <w:sz w:val="24"/>
          <w:szCs w:val="24"/>
          <w:highlight w:val="none"/>
        </w:rPr>
      </w:pPr>
      <w:r>
        <w:rPr>
          <w:rFonts w:hint="eastAsia" w:ascii="宋体" w:hAnsi="宋体"/>
          <w:color w:val="auto"/>
          <w:sz w:val="24"/>
          <w:szCs w:val="24"/>
          <w:highlight w:val="none"/>
        </w:rPr>
        <w:t>注：本章由招标人自行制定（另册）。</w:t>
      </w:r>
    </w:p>
    <w:p>
      <w:pPr>
        <w:pStyle w:val="20"/>
        <w:spacing w:after="0" w:line="360" w:lineRule="auto"/>
        <w:ind w:left="-2" w:leftChars="-1" w:firstLine="960" w:firstLineChars="400"/>
        <w:rPr>
          <w:rFonts w:ascii="宋体"/>
          <w:color w:val="auto"/>
          <w:sz w:val="24"/>
          <w:highlight w:val="none"/>
        </w:rPr>
      </w:pPr>
    </w:p>
    <w:p>
      <w:pPr>
        <w:rPr>
          <w:color w:val="auto"/>
          <w:highlight w:val="none"/>
        </w:rPr>
      </w:pPr>
    </w:p>
    <w:p>
      <w:pPr>
        <w:pStyle w:val="5"/>
        <w:jc w:val="center"/>
        <w:rPr>
          <w:rFonts w:ascii="黑体" w:hAnsi="黑体" w:eastAsia="黑体" w:cs="黑体"/>
          <w:color w:val="auto"/>
          <w:sz w:val="32"/>
          <w:szCs w:val="32"/>
          <w:highlight w:val="none"/>
        </w:rPr>
      </w:pPr>
      <w:r>
        <w:rPr>
          <w:color w:val="auto"/>
          <w:sz w:val="24"/>
          <w:szCs w:val="24"/>
          <w:highlight w:val="none"/>
        </w:rPr>
        <w:br w:type="page"/>
      </w:r>
      <w:bookmarkStart w:id="57" w:name="_Toc2272571"/>
      <w:bookmarkStart w:id="58" w:name="_Toc21525516"/>
      <w:r>
        <w:rPr>
          <w:rFonts w:hint="eastAsia" w:ascii="黑体" w:hAnsi="黑体" w:eastAsia="黑体" w:cs="黑体"/>
          <w:color w:val="auto"/>
          <w:sz w:val="32"/>
          <w:szCs w:val="32"/>
          <w:highlight w:val="none"/>
        </w:rPr>
        <w:t>第八章  最高投标限价</w:t>
      </w:r>
      <w:bookmarkEnd w:id="57"/>
      <w:bookmarkEnd w:id="58"/>
    </w:p>
    <w:p>
      <w:pPr>
        <w:spacing w:before="156" w:beforeLines="50" w:after="156" w:afterLines="5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招标人应当在发布招标文件时，公布最高投标限价的总价，分部分项工程费、措施项目费、其他项目费、规费和税金，以及绿色施工安全防护措施费、暂列金额等投标人不可竞争的固定报价。</w:t>
      </w:r>
    </w:p>
    <w:p>
      <w:pPr>
        <w:spacing w:line="360" w:lineRule="auto"/>
        <w:ind w:firstLine="480"/>
        <w:rPr>
          <w:rFonts w:ascii="宋体" w:hAnsi="宋体"/>
          <w:color w:val="auto"/>
          <w:sz w:val="24"/>
          <w:szCs w:val="24"/>
          <w:highlight w:val="none"/>
          <w:u w:val="single"/>
        </w:rPr>
      </w:pPr>
      <w:r>
        <w:rPr>
          <w:rFonts w:hint="eastAsia" w:ascii="宋体" w:hAnsi="宋体" w:cs="宋体"/>
          <w:color w:val="auto"/>
          <w:sz w:val="24"/>
          <w:szCs w:val="24"/>
          <w:highlight w:val="none"/>
          <w:u w:val="single"/>
        </w:rPr>
        <w:t>另册。</w:t>
      </w:r>
    </w:p>
    <w:p>
      <w:pPr>
        <w:rPr>
          <w:color w:val="auto"/>
          <w:highlight w:val="none"/>
        </w:rPr>
      </w:pPr>
    </w:p>
    <w:p>
      <w:pPr>
        <w:rPr>
          <w:color w:val="auto"/>
          <w:highlight w:val="none"/>
        </w:rPr>
      </w:pPr>
    </w:p>
    <w:p>
      <w:pPr>
        <w:rPr>
          <w:color w:val="auto"/>
          <w:highlight w:val="none"/>
        </w:rPr>
      </w:pPr>
    </w:p>
    <w:p>
      <w:pPr>
        <w:rPr>
          <w:color w:val="auto"/>
          <w:highlight w:val="none"/>
        </w:rPr>
      </w:pPr>
      <w:bookmarkStart w:id="59" w:name="_Toc32108"/>
      <w:bookmarkEnd w:id="59"/>
      <w:bookmarkStart w:id="60" w:name="_Toc4210"/>
      <w:bookmarkEnd w:id="60"/>
    </w:p>
    <w:sectPr>
      <w:footerReference r:id="rId20" w:type="default"/>
      <w:pgSz w:w="11906" w:h="16838"/>
      <w:pgMar w:top="1304" w:right="1416" w:bottom="1135" w:left="1418" w:header="851" w:footer="75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92"/>
      <w:jc w:val="right"/>
      <w:rPr>
        <w:rStyle w:val="23"/>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36"/>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 cy="131445"/>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OkFEqzwAAAAIBAAAPAAAAAAAAAAEAIAAAACIAAABkcnMvZG93bnJl&#10;di54bWxQSwECFAAUAAAACACHTuJAk65tq80BAACWAwAADgAAAAAAAAABACAAAAAeAQAAZHJzL2Uy&#10;b0RvYy54bWxQSwUGAAAAAAYABgBZAQAAXQU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92"/>
      <w:rPr>
        <w:rStyle w:val="23"/>
      </w:rPr>
    </w:pPr>
    <w:r>
      <w:rPr>
        <w:rStyle w:val="23"/>
      </w:rPr>
      <w:fldChar w:fldCharType="begin"/>
    </w:r>
    <w:r>
      <w:rPr>
        <w:rStyle w:val="23"/>
      </w:rPr>
      <w:instrText xml:space="preserve">PAGE  </w:instrText>
    </w:r>
    <w:r>
      <w:rPr>
        <w:rStyle w:val="23"/>
      </w:rPr>
      <w:fldChar w:fldCharType="separate"/>
    </w:r>
    <w:r>
      <w:rPr>
        <w:rStyle w:val="23"/>
        <w:rFonts w:hint="eastAsia"/>
      </w:rPr>
      <w:t>一</w:t>
    </w:r>
    <w:r>
      <w:rPr>
        <w:rStyle w:val="23"/>
      </w:rPr>
      <w:t>–2</w:t>
    </w:r>
    <w:r>
      <w:rPr>
        <w:rStyle w:val="23"/>
      </w:rPr>
      <w:fldChar w:fldCharType="end"/>
    </w:r>
  </w:p>
  <w:p>
    <w:pPr>
      <w:pStyle w:val="14"/>
      <w:ind w:firstLine="392"/>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92"/>
      <w:jc w:val="right"/>
      <w:rPr>
        <w:rStyle w:val="23"/>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4"/>
                            <w:ind w:firstLine="392"/>
                            <w:jc w:val="right"/>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n9ETe0QEAAKIDAAAOAAAAAAAAAAEAIAAAAB8BAABk&#10;cnMvZTJvRG9jLnhtbFBLBQYAAAAABgAGAFkBAABiBQAAAAA=&#10;">
              <v:fill on="f" focussize="0,0"/>
              <v:stroke on="f" weight="0.5pt"/>
              <v:imagedata o:title=""/>
              <o:lock v:ext="edit" aspectratio="f"/>
              <v:textbox inset="0mm,0mm,0mm,0mm" style="mso-fit-shape-to-text:t;">
                <w:txbxContent>
                  <w:p>
                    <w:pPr>
                      <w:pStyle w:val="14"/>
                      <w:ind w:firstLine="392"/>
                      <w:jc w:val="right"/>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4"/>
                            <w:ind w:firstLine="39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etibotIBAACiAwAADgAAAAAAAAABACAAAAAfAQAA&#10;ZHJzL2Uyb0RvYy54bWxQSwUGAAAAAAYABgBZAQAAYwUAAAAA&#10;">
              <v:fill on="f" focussize="0,0"/>
              <v:stroke on="f" weight="0.5pt"/>
              <v:imagedata o:title=""/>
              <o:lock v:ext="edit" aspectratio="f"/>
              <v:textbox inset="0mm,0mm,0mm,0mm" style="mso-fit-shape-to-text:t;">
                <w:txbxContent>
                  <w:p>
                    <w:pPr>
                      <w:pStyle w:val="14"/>
                      <w:ind w:firstLine="39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57</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bwPr7dIBAACkAwAADgAAAAAAAAABACAAAAAfAQAA&#10;ZHJzL2Uyb0RvYy54bWxQSwUGAAAAAAYABgBZAQAAY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57</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Pr>
    </w:pPr>
    <w:r>
      <w:rPr>
        <w:rStyle w:val="23"/>
      </w:rPr>
      <w:fldChar w:fldCharType="begin"/>
    </w:r>
    <w:r>
      <w:rPr>
        <w:rStyle w:val="23"/>
      </w:rPr>
      <w:instrText xml:space="preserve">PAGE  </w:instrText>
    </w:r>
    <w:r>
      <w:rPr>
        <w:rStyle w:val="23"/>
      </w:rPr>
      <w:fldChar w:fldCharType="separate"/>
    </w:r>
    <w:r>
      <w:rPr>
        <w:rStyle w:val="23"/>
        <w:rFonts w:hint="eastAsia"/>
      </w:rPr>
      <w:t>一</w:t>
    </w:r>
    <w:r>
      <w:rPr>
        <w:rStyle w:val="23"/>
      </w:rPr>
      <w:t>–2</w:t>
    </w:r>
    <w:r>
      <w:rPr>
        <w:rStyle w:val="23"/>
      </w:rPr>
      <w:fldChar w:fldCharType="end"/>
    </w:r>
  </w:p>
  <w:p>
    <w:pPr>
      <w:pStyle w:val="14"/>
      <w:ind w:right="360" w:firstLine="360"/>
      <w:jc w:val="center"/>
    </w:pPr>
    <w:r>
      <w:rPr>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4"/>
                            <w:jc w:val="center"/>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BuXlL9IBAACkAwAADgAAAAAAAAABACAAAAAfAQAA&#10;ZHJzL2Uyb0RvYy54bWxQSwUGAAAAAAYABgBZAQAAYwUAAAAA&#10;">
              <v:fill on="f" focussize="0,0"/>
              <v:stroke on="f" weight="0.5pt"/>
              <v:imagedata o:title=""/>
              <o:lock v:ext="edit" aspectratio="f"/>
              <v:textbox inset="0mm,0mm,0mm,0mm" style="mso-fit-shape-to-text:t;">
                <w:txbxContent>
                  <w:p>
                    <w:pPr>
                      <w:pStyle w:val="14"/>
                      <w:jc w:val="center"/>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jc w:val="center"/>
                          </w:pPr>
                          <w:r>
                            <w:fldChar w:fldCharType="begin"/>
                          </w:r>
                          <w:r>
                            <w:instrText xml:space="preserve"> PAGE   \* MERGEFORMAT </w:instrText>
                          </w:r>
                          <w:r>
                            <w:fldChar w:fldCharType="separate"/>
                          </w:r>
                          <w:r>
                            <w:t>83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jv2scIBAACP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xcA8KbQ8LCpZ+MOkJNxXBOhdG0U3kR/ryXrKf/aP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479rHCAQAAjwMAAA4AAAAAAAAAAQAgAAAAHgEAAGRycy9lMm9Eb2MueG1sUEsF&#10;BgAAAAAGAAYAWQEAAFIFAAAAAA==&#10;">
              <v:fill on="f" focussize="0,0"/>
              <v:stroke on="f"/>
              <v:imagedata o:title=""/>
              <o:lock v:ext="edit" aspectratio="f"/>
              <v:textbox inset="0mm,0mm,0mm,0mm" style="mso-fit-shape-to-text:t;">
                <w:txbxContent>
                  <w:p>
                    <w:pPr>
                      <w:pStyle w:val="14"/>
                      <w:jc w:val="center"/>
                    </w:pPr>
                    <w:r>
                      <w:fldChar w:fldCharType="begin"/>
                    </w:r>
                    <w:r>
                      <w:instrText xml:space="preserve"> PAGE   \* MERGEFORMAT </w:instrText>
                    </w:r>
                    <w:r>
                      <w:fldChar w:fldCharType="separate"/>
                    </w:r>
                    <w:r>
                      <w:t>83</w:t>
                    </w:r>
                    <w:r>
                      <w:fldChar w:fldCharType="end"/>
                    </w:r>
                  </w:p>
                </w:txbxContent>
              </v:textbox>
            </v:shape>
          </w:pict>
        </mc:Fallback>
      </mc:AlternateContent>
    </w:r>
  </w:p>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62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HVMIBAACP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EtbsItJY5bnPj56fH849f553eC&#10;PhSoD1Bj3kPAzDS88wMmz35AZ+Y9qGjzFxkRjKO8p4u8ckhE5Eer5WpVYUhgbL4gPnt+HiKk99Jb&#10;ko2GRpxfkZUfP0IaU+eUXM35e21MmaFxfzkQM3tY7n3sMVtp2A0ToZ1vT8inx9E31OGmU2I+OFQ2&#10;b8lsxNnYTUauAeHtIWHh0k9GHaGmYjinwmjaqbwIf95L1vN/tP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KSPh1TCAQAAjwMAAA4AAAAAAAAAAQAgAAAAHgEAAGRycy9lMm9Eb2MueG1sUEsF&#10;BgAAAAAGAAYAWQEAAFI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i/>
        <w:iCs/>
      </w:rPr>
    </w:pPr>
    <w:r>
      <w:rPr>
        <w:rFonts w:hint="eastAsia"/>
        <w:i/>
        <w:iCs/>
      </w:rPr>
      <w:t>横枝岗路道路排水改造工程招标文件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0D725"/>
    <w:multiLevelType w:val="singleLevel"/>
    <w:tmpl w:val="84B0D725"/>
    <w:lvl w:ilvl="0" w:tentative="0">
      <w:start w:val="1"/>
      <w:numFmt w:val="decimal"/>
      <w:suff w:val="nothing"/>
      <w:lvlText w:val="%1、"/>
      <w:lvlJc w:val="left"/>
    </w:lvl>
  </w:abstractNum>
  <w:abstractNum w:abstractNumId="1">
    <w:nsid w:val="A816ED2C"/>
    <w:multiLevelType w:val="singleLevel"/>
    <w:tmpl w:val="A816ED2C"/>
    <w:lvl w:ilvl="0" w:tentative="0">
      <w:start w:val="1"/>
      <w:numFmt w:val="decimal"/>
      <w:suff w:val="nothing"/>
      <w:lvlText w:val="（%1）"/>
      <w:lvlJc w:val="left"/>
    </w:lvl>
  </w:abstractNum>
  <w:abstractNum w:abstractNumId="2">
    <w:nsid w:val="E0DD3449"/>
    <w:multiLevelType w:val="multilevel"/>
    <w:tmpl w:val="E0DD3449"/>
    <w:lvl w:ilvl="0" w:tentative="0">
      <w:start w:val="1"/>
      <w:numFmt w:val="chineseCountingThousand"/>
      <w:lvlText w:val="%1"/>
      <w:lvlJc w:val="left"/>
      <w:pPr>
        <w:ind w:left="420" w:hanging="420"/>
      </w:pPr>
      <w:rPr>
        <w:rFonts w:hint="eastAsia" w:ascii="宋体" w:hAnsi="宋体" w:eastAsia="宋体" w:cs="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00000003"/>
    <w:multiLevelType w:val="multilevel"/>
    <w:tmpl w:val="00000003"/>
    <w:lvl w:ilvl="0" w:tentative="0">
      <w:start w:val="1"/>
      <w:numFmt w:val="decimal"/>
      <w:lvlText w:val="（%1）"/>
      <w:lvlJc w:val="left"/>
      <w:pPr>
        <w:ind w:left="1080" w:hanging="720"/>
      </w:pPr>
      <w:rPr>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259905B5"/>
    <w:multiLevelType w:val="multilevel"/>
    <w:tmpl w:val="259905B5"/>
    <w:lvl w:ilvl="0" w:tentative="0">
      <w:start w:val="1"/>
      <w:numFmt w:val="chineseCountingThousand"/>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8"/>
      <w:suff w:val="space"/>
      <w:lvlText w:val="%2.%3.%4"/>
      <w:lvlJc w:val="left"/>
      <w:pPr>
        <w:ind w:left="284" w:hanging="284"/>
      </w:pPr>
      <w:rPr>
        <w:rFonts w:hint="eastAsia" w:ascii="宋体" w:eastAsia="宋体" w:cs="Times New Roman"/>
        <w:b/>
        <w:i w:val="0"/>
        <w:sz w:val="28"/>
      </w:rPr>
    </w:lvl>
    <w:lvl w:ilvl="4" w:tentative="0">
      <w:start w:val="1"/>
      <w:numFmt w:val="decimal"/>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5">
    <w:nsid w:val="3AD5465A"/>
    <w:multiLevelType w:val="multilevel"/>
    <w:tmpl w:val="3AD5465A"/>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kZTY0ZWJkZjY1NzZmNmI5M2ZiMjBhYTA1YzE2MjMifQ=="/>
  </w:docVars>
  <w:rsids>
    <w:rsidRoot w:val="00000000"/>
    <w:rsid w:val="23EA043F"/>
    <w:rsid w:val="304E0633"/>
    <w:rsid w:val="37B5473C"/>
    <w:rsid w:val="3E0437F9"/>
    <w:rsid w:val="54D745DB"/>
    <w:rsid w:val="61BA77F5"/>
    <w:rsid w:val="64F071D2"/>
    <w:rsid w:val="65B454CB"/>
    <w:rsid w:val="660E2FD8"/>
    <w:rsid w:val="704B6F8A"/>
    <w:rsid w:val="76573CEB"/>
    <w:rsid w:val="7C8F6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1"/>
      <w:lang w:val="en-US" w:eastAsia="zh-CN" w:bidi="ar-SA"/>
    </w:rPr>
  </w:style>
  <w:style w:type="paragraph" w:styleId="5">
    <w:name w:val="heading 1"/>
    <w:basedOn w:val="1"/>
    <w:next w:val="1"/>
    <w:qFormat/>
    <w:uiPriority w:val="0"/>
    <w:pPr>
      <w:keepNext/>
      <w:keepLines/>
      <w:spacing w:after="120" w:line="360" w:lineRule="auto"/>
      <w:outlineLvl w:val="0"/>
    </w:pPr>
    <w:rPr>
      <w:kern w:val="44"/>
      <w:sz w:val="28"/>
      <w:szCs w:val="28"/>
    </w:rPr>
  </w:style>
  <w:style w:type="paragraph" w:styleId="6">
    <w:name w:val="heading 2"/>
    <w:basedOn w:val="1"/>
    <w:next w:val="1"/>
    <w:qFormat/>
    <w:uiPriority w:val="0"/>
    <w:pPr>
      <w:keepNext/>
      <w:keepLines/>
      <w:spacing w:before="120" w:after="120" w:line="415" w:lineRule="auto"/>
      <w:ind w:left="454"/>
      <w:jc w:val="center"/>
      <w:outlineLvl w:val="1"/>
    </w:pPr>
    <w:rPr>
      <w:rFonts w:ascii="Arial" w:hAnsi="Arial"/>
      <w:b/>
      <w:color w:val="000000"/>
      <w:kern w:val="0"/>
      <w:sz w:val="24"/>
      <w:szCs w:val="24"/>
    </w:rPr>
  </w:style>
  <w:style w:type="paragraph" w:styleId="7">
    <w:name w:val="heading 3"/>
    <w:basedOn w:val="1"/>
    <w:next w:val="1"/>
    <w:qFormat/>
    <w:uiPriority w:val="0"/>
    <w:pPr>
      <w:widowControl/>
      <w:spacing w:before="100" w:beforeAutospacing="1" w:after="100" w:afterAutospacing="1"/>
      <w:jc w:val="left"/>
      <w:outlineLvl w:val="2"/>
    </w:pPr>
    <w:rPr>
      <w:rFonts w:ascii="宋体" w:hAnsi="宋体"/>
      <w:kern w:val="0"/>
      <w:sz w:val="27"/>
      <w:szCs w:val="27"/>
    </w:rPr>
  </w:style>
  <w:style w:type="paragraph" w:styleId="8">
    <w:name w:val="heading 4"/>
    <w:basedOn w:val="1"/>
    <w:next w:val="1"/>
    <w:qFormat/>
    <w:uiPriority w:val="0"/>
    <w:pPr>
      <w:keepNext/>
      <w:keepLines/>
      <w:numPr>
        <w:ilvl w:val="3"/>
        <w:numId w:val="1"/>
      </w:numPr>
      <w:spacing w:beforeLines="50" w:afterLines="50" w:line="360" w:lineRule="auto"/>
      <w:outlineLvl w:val="3"/>
    </w:pPr>
    <w:rPr>
      <w:rFonts w:ascii="Arial" w:hAnsi="Arial"/>
      <w:color w:val="000000"/>
      <w:sz w:val="20"/>
      <w:szCs w:val="21"/>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spacing w:after="120"/>
      <w:ind w:left="200" w:leftChars="200" w:firstLine="200" w:firstLineChars="200"/>
    </w:pPr>
    <w:rPr>
      <w:szCs w:val="24"/>
    </w:rPr>
  </w:style>
  <w:style w:type="paragraph" w:styleId="3">
    <w:name w:val="Body Text Indent"/>
    <w:basedOn w:val="1"/>
    <w:next w:val="4"/>
    <w:qFormat/>
    <w:uiPriority w:val="0"/>
    <w:pPr>
      <w:ind w:firstLine="570"/>
    </w:pPr>
    <w:rPr>
      <w:rFonts w:ascii="Times New Roman" w:hAnsi="Times New Roman"/>
      <w:kern w:val="0"/>
      <w:sz w:val="28"/>
      <w:szCs w:val="20"/>
    </w:rPr>
  </w:style>
  <w:style w:type="paragraph" w:styleId="4">
    <w:name w:val="envelope return"/>
    <w:basedOn w:val="1"/>
    <w:qFormat/>
    <w:uiPriority w:val="0"/>
    <w:pPr>
      <w:snapToGrid w:val="0"/>
    </w:pPr>
    <w:rPr>
      <w:rFonts w:ascii="Arial" w:hAnsi="Arial" w:eastAsia="宋体" w:cs="Times New Roman"/>
      <w:szCs w:val="24"/>
      <w:lang w:bidi="ar-SA"/>
    </w:rPr>
  </w:style>
  <w:style w:type="paragraph" w:styleId="9">
    <w:name w:val="Normal Indent"/>
    <w:basedOn w:val="1"/>
    <w:next w:val="1"/>
    <w:qFormat/>
    <w:uiPriority w:val="0"/>
    <w:pPr>
      <w:ind w:firstLine="420"/>
    </w:pPr>
    <w:rPr>
      <w:rFonts w:ascii="Times New Roman" w:hAnsi="Times New Roman"/>
      <w:szCs w:val="20"/>
    </w:rPr>
  </w:style>
  <w:style w:type="paragraph" w:styleId="10">
    <w:name w:val="Body Text"/>
    <w:basedOn w:val="1"/>
    <w:next w:val="1"/>
    <w:qFormat/>
    <w:uiPriority w:val="0"/>
    <w:pPr>
      <w:spacing w:after="120"/>
    </w:pPr>
    <w:rPr>
      <w:rFonts w:ascii="Times New Roman" w:hAnsi="Times New Roman"/>
      <w:kern w:val="0"/>
      <w:sz w:val="20"/>
      <w:szCs w:val="20"/>
    </w:rPr>
  </w:style>
  <w:style w:type="paragraph" w:styleId="11">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12">
    <w:name w:val="Plain Text"/>
    <w:basedOn w:val="1"/>
    <w:qFormat/>
    <w:uiPriority w:val="0"/>
    <w:rPr>
      <w:rFonts w:ascii="宋体" w:hAnsi="Courier New"/>
    </w:rPr>
  </w:style>
  <w:style w:type="paragraph" w:styleId="13">
    <w:name w:val="Date"/>
    <w:basedOn w:val="1"/>
    <w:next w:val="1"/>
    <w:qFormat/>
    <w:uiPriority w:val="0"/>
    <w:rPr>
      <w:rFonts w:ascii="Times New Roman" w:hAnsi="Times New Roman"/>
      <w:kern w:val="0"/>
      <w:sz w:val="20"/>
      <w:szCs w:val="20"/>
    </w:rPr>
  </w:style>
  <w:style w:type="paragraph" w:styleId="14">
    <w:name w:val="footer"/>
    <w:basedOn w:val="1"/>
    <w:qFormat/>
    <w:uiPriority w:val="0"/>
    <w:pPr>
      <w:tabs>
        <w:tab w:val="center" w:pos="4153"/>
        <w:tab w:val="right" w:pos="8306"/>
      </w:tabs>
      <w:snapToGrid w:val="0"/>
      <w:jc w:val="left"/>
    </w:pPr>
    <w:rPr>
      <w:kern w:val="0"/>
      <w:sz w:val="18"/>
      <w:szCs w:val="18"/>
    </w:rPr>
  </w:style>
  <w:style w:type="paragraph" w:styleId="15">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17">
    <w:name w:val="toc 2"/>
    <w:basedOn w:val="1"/>
    <w:next w:val="1"/>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18">
    <w:name w:val="Body Text 2"/>
    <w:basedOn w:val="1"/>
    <w:qFormat/>
    <w:uiPriority w:val="0"/>
    <w:rPr>
      <w:rFonts w:ascii="宋体" w:hAnsi="宋体"/>
      <w:kern w:val="0"/>
      <w:sz w:val="20"/>
      <w:szCs w:val="24"/>
      <w:u w:val="single"/>
    </w:rPr>
  </w:style>
  <w:style w:type="paragraph" w:styleId="19">
    <w:name w:val="Normal (Web)"/>
    <w:basedOn w:val="1"/>
    <w:qFormat/>
    <w:uiPriority w:val="0"/>
    <w:rPr>
      <w:sz w:val="24"/>
    </w:rPr>
  </w:style>
  <w:style w:type="paragraph" w:styleId="20">
    <w:name w:val="Body Text First Indent"/>
    <w:basedOn w:val="10"/>
    <w:qFormat/>
    <w:uiPriority w:val="0"/>
    <w:pPr>
      <w:ind w:firstLine="420"/>
    </w:pPr>
  </w:style>
  <w:style w:type="character" w:styleId="23">
    <w:name w:val="page number"/>
    <w:qFormat/>
    <w:uiPriority w:val="0"/>
    <w:rPr>
      <w:rFonts w:eastAsia="宋体"/>
      <w:kern w:val="2"/>
      <w:sz w:val="24"/>
      <w:szCs w:val="24"/>
      <w:lang w:val="en-US" w:eastAsia="zh-CN" w:bidi="ar-SA"/>
    </w:rPr>
  </w:style>
  <w:style w:type="character" w:styleId="24">
    <w:name w:val="Hyperlink"/>
    <w:basedOn w:val="22"/>
    <w:qFormat/>
    <w:uiPriority w:val="99"/>
    <w:rPr>
      <w:color w:val="0000FF"/>
      <w:u w:val="single"/>
    </w:rPr>
  </w:style>
  <w:style w:type="paragraph" w:customStyle="1" w:styleId="25">
    <w:name w:val="公文正文"/>
    <w:qFormat/>
    <w:uiPriority w:val="0"/>
    <w:pPr>
      <w:widowControl w:val="0"/>
      <w:spacing w:line="360" w:lineRule="auto"/>
      <w:ind w:firstLine="629"/>
      <w:jc w:val="both"/>
    </w:pPr>
    <w:rPr>
      <w:rFonts w:ascii="仿宋_GB2312" w:hAnsi="Times New Roman" w:eastAsia="仿宋_GB2312" w:cs="Times New Roman"/>
      <w:color w:val="000000"/>
      <w:sz w:val="32"/>
      <w:lang w:val="en-US" w:eastAsia="zh-CN" w:bidi="ar-SA"/>
    </w:rPr>
  </w:style>
  <w:style w:type="paragraph" w:customStyle="1" w:styleId="26">
    <w:name w:val="发文落款"/>
    <w:basedOn w:val="25"/>
    <w:qFormat/>
    <w:uiPriority w:val="0"/>
    <w:pPr>
      <w:ind w:left="4094" w:right="607" w:firstLine="0"/>
      <w:jc w:val="center"/>
    </w:pPr>
  </w:style>
  <w:style w:type="character" w:customStyle="1" w:styleId="27">
    <w:name w:val="NormalCharacter"/>
    <w:qFormat/>
    <w:uiPriority w:val="0"/>
  </w:style>
  <w:style w:type="paragraph" w:customStyle="1" w:styleId="28">
    <w:name w:val="BodyText3"/>
    <w:basedOn w:val="1"/>
    <w:qFormat/>
    <w:uiPriority w:val="0"/>
    <w:pPr>
      <w:widowControl/>
      <w:textAlignment w:val="baseline"/>
    </w:pPr>
    <w:rPr>
      <w:sz w:val="16"/>
      <w:szCs w:val="16"/>
    </w:rPr>
  </w:style>
  <w:style w:type="paragraph" w:customStyle="1" w:styleId="29">
    <w:name w:val="正文 New New"/>
    <w:qFormat/>
    <w:uiPriority w:val="0"/>
    <w:pPr>
      <w:widowControl w:val="0"/>
      <w:jc w:val="both"/>
    </w:pPr>
    <w:rPr>
      <w:rFonts w:ascii="Calibri" w:hAnsi="Calibri" w:eastAsia="楷体_GB2312" w:cs="Times New Roman"/>
      <w:lang w:val="en-US" w:eastAsia="zh-CN" w:bidi="ar-SA"/>
    </w:rPr>
  </w:style>
  <w:style w:type="paragraph" w:customStyle="1" w:styleId="30">
    <w:name w:val="_Style 120"/>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等线" w:cs="Times New Roman"/>
      <w:kern w:val="2"/>
      <w:sz w:val="21"/>
      <w:szCs w:val="21"/>
      <w:lang w:val="en-US" w:eastAsia="zh-CN" w:bidi="ar"/>
    </w:rPr>
  </w:style>
  <w:style w:type="paragraph" w:customStyle="1" w:styleId="31">
    <w:name w:val="Heading2"/>
    <w:basedOn w:val="1"/>
    <w:next w:val="1"/>
    <w:qFormat/>
    <w:uiPriority w:val="0"/>
    <w:pPr>
      <w:keepNext/>
      <w:keepLines/>
      <w:spacing w:before="260" w:after="260" w:line="415" w:lineRule="auto"/>
    </w:pPr>
    <w:rPr>
      <w:rFonts w:ascii="Arial" w:hAnsi="Arial" w:eastAsia="黑体"/>
      <w:b/>
      <w:bCs/>
      <w:sz w:val="32"/>
      <w:szCs w:val="32"/>
    </w:rPr>
  </w:style>
  <w:style w:type="paragraph" w:customStyle="1" w:styleId="32">
    <w:name w:val="章节三"/>
    <w:basedOn w:val="33"/>
    <w:next w:val="33"/>
    <w:qFormat/>
    <w:uiPriority w:val="0"/>
    <w:pPr>
      <w:spacing w:beforeLines="50" w:afterLines="50" w:line="240" w:lineRule="auto"/>
      <w:ind w:firstLine="0" w:firstLineChars="0"/>
      <w:jc w:val="left"/>
      <w:outlineLvl w:val="2"/>
    </w:pPr>
    <w:rPr>
      <w:rFonts w:ascii="黑体" w:hAnsi="宋体" w:eastAsia="黑体"/>
      <w:b/>
    </w:rPr>
  </w:style>
  <w:style w:type="paragraph" w:customStyle="1" w:styleId="33">
    <w:name w:val="文一"/>
    <w:basedOn w:val="1"/>
    <w:qFormat/>
    <w:uiPriority w:val="0"/>
    <w:pPr>
      <w:topLinePunct/>
      <w:adjustRightInd w:val="0"/>
      <w:snapToGrid w:val="0"/>
      <w:spacing w:line="360" w:lineRule="auto"/>
      <w:ind w:firstLine="200" w:firstLineChars="200"/>
    </w:pPr>
    <w:rPr>
      <w:rFonts w:ascii="等线" w:hAnsi="等线"/>
      <w:spacing w:val="4"/>
      <w:kern w:val="0"/>
      <w:sz w:val="24"/>
      <w:szCs w:val="24"/>
    </w:rPr>
  </w:style>
  <w:style w:type="paragraph" w:customStyle="1" w:styleId="34">
    <w:name w:val="Blockquote"/>
    <w:basedOn w:val="1"/>
    <w:qFormat/>
    <w:uiPriority w:val="0"/>
    <w:pPr>
      <w:keepNext w:val="0"/>
      <w:keepLines w:val="0"/>
      <w:widowControl w:val="0"/>
      <w:suppressLineNumbers w:val="0"/>
      <w:autoSpaceDE w:val="0"/>
      <w:autoSpaceDN w:val="0"/>
      <w:adjustRightInd w:val="0"/>
      <w:spacing w:before="100" w:beforeAutospacing="0" w:after="100" w:afterAutospacing="0"/>
      <w:ind w:left="360" w:right="360"/>
      <w:jc w:val="left"/>
    </w:pPr>
    <w:rPr>
      <w:rFonts w:hint="default" w:ascii="Times New Roman" w:hAnsi="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6.png"/><Relationship Id="rId26" Type="http://schemas.openxmlformats.org/officeDocument/2006/relationships/image" Target="media/image5.png"/><Relationship Id="rId25"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47508</Words>
  <Characters>49858</Characters>
  <Lines>0</Lines>
  <Paragraphs>0</Paragraphs>
  <TotalTime>122</TotalTime>
  <ScaleCrop>false</ScaleCrop>
  <LinksUpToDate>false</LinksUpToDate>
  <CharactersWithSpaces>52107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2024-06-30T11:26:00Z</dcterms:created>
  <dc:creator>YYDS</dc:creator>
  <cp:lastModifiedBy>AA</cp:lastModifiedBy>
  <dcterms:modified xsi:type="dcterms:W3CDTF">2024-07-05T05:05:09Z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0B3B28C04493493CA2941069FBBB879C_13</vt:lpwstr>
  </property>
</Properties>
</file>