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40" w:lineRule="atLeast"/>
        <w:ind w:firstLine="420"/>
        <w:rPr>
          <w:rFonts w:hint="eastAsia"/>
          <w:color w:val="000000"/>
          <w:sz w:val="21"/>
          <w:szCs w:val="24"/>
          <w:highlight w:val="none"/>
        </w:rPr>
      </w:pPr>
    </w:p>
    <w:p>
      <w:pPr>
        <w:topLinePunct/>
        <w:spacing w:line="360" w:lineRule="auto"/>
        <w:jc w:val="center"/>
        <w:rPr>
          <w:rStyle w:val="17"/>
          <w:rFonts w:hint="eastAsia" w:ascii="宋体" w:hAnsi="宋体" w:eastAsia="宋体"/>
          <w:color w:val="000000"/>
          <w:spacing w:val="40"/>
          <w:sz w:val="44"/>
          <w:szCs w:val="44"/>
          <w:highlight w:val="none"/>
          <w:lang w:eastAsia="zh-CN"/>
        </w:rPr>
      </w:pPr>
      <w:r>
        <w:rPr>
          <w:rFonts w:hint="eastAsia" w:ascii="宋体" w:hAnsi="宋体"/>
          <w:b/>
          <w:bCs/>
          <w:color w:val="000000"/>
          <w:sz w:val="44"/>
          <w:szCs w:val="44"/>
          <w:highlight w:val="none"/>
          <w:lang w:eastAsia="zh-CN"/>
        </w:rPr>
        <w:t>黄埔至南沙东部快速通道沙湾水道特大桥勘察设计咨询</w:t>
      </w:r>
    </w:p>
    <w:p>
      <w:pPr>
        <w:topLinePunct/>
        <w:spacing w:line="360" w:lineRule="auto"/>
        <w:jc w:val="center"/>
        <w:rPr>
          <w:rStyle w:val="17"/>
          <w:rFonts w:ascii="宋体" w:hAnsi="宋体"/>
          <w:b w:val="0"/>
          <w:color w:val="000000"/>
          <w:spacing w:val="40"/>
          <w:sz w:val="40"/>
          <w:szCs w:val="40"/>
          <w:highlight w:val="none"/>
        </w:rPr>
      </w:pPr>
    </w:p>
    <w:p>
      <w:pPr>
        <w:topLinePunct/>
        <w:spacing w:line="360" w:lineRule="auto"/>
        <w:jc w:val="center"/>
        <w:rPr>
          <w:rStyle w:val="17"/>
          <w:rFonts w:ascii="宋体" w:hAnsi="宋体"/>
          <w:b w:val="0"/>
          <w:color w:val="000000"/>
          <w:spacing w:val="40"/>
          <w:sz w:val="40"/>
          <w:szCs w:val="40"/>
          <w:highlight w:val="none"/>
        </w:rPr>
      </w:pPr>
    </w:p>
    <w:p>
      <w:pPr>
        <w:topLinePunct/>
        <w:spacing w:line="360" w:lineRule="auto"/>
        <w:jc w:val="center"/>
        <w:rPr>
          <w:rStyle w:val="17"/>
          <w:rFonts w:hint="eastAsia" w:ascii="宋体" w:hAnsi="宋体" w:eastAsia="宋体"/>
          <w:b w:val="0"/>
          <w:color w:val="000000"/>
          <w:spacing w:val="40"/>
          <w:kern w:val="10"/>
          <w:sz w:val="84"/>
          <w:szCs w:val="84"/>
          <w:highlight w:val="none"/>
          <w:lang w:eastAsia="zh-CN"/>
        </w:rPr>
      </w:pPr>
      <w:r>
        <w:rPr>
          <w:rStyle w:val="17"/>
          <w:rFonts w:hint="eastAsia" w:ascii="宋体" w:hAnsi="宋体"/>
          <w:b w:val="0"/>
          <w:color w:val="000000"/>
          <w:spacing w:val="40"/>
          <w:kern w:val="10"/>
          <w:sz w:val="84"/>
          <w:szCs w:val="84"/>
          <w:highlight w:val="none"/>
        </w:rPr>
        <w:t>招标</w:t>
      </w:r>
      <w:r>
        <w:rPr>
          <w:rStyle w:val="17"/>
          <w:rFonts w:hint="eastAsia" w:ascii="宋体" w:hAnsi="宋体"/>
          <w:b w:val="0"/>
          <w:color w:val="000000"/>
          <w:spacing w:val="40"/>
          <w:kern w:val="10"/>
          <w:sz w:val="84"/>
          <w:szCs w:val="84"/>
          <w:highlight w:val="none"/>
          <w:lang w:val="en-US" w:eastAsia="zh-CN"/>
        </w:rPr>
        <w:t>公告</w:t>
      </w:r>
    </w:p>
    <w:p>
      <w:pPr>
        <w:topLinePunct/>
        <w:spacing w:line="360" w:lineRule="auto"/>
        <w:jc w:val="center"/>
        <w:rPr>
          <w:rStyle w:val="17"/>
          <w:rFonts w:ascii="宋体" w:hAnsi="宋体"/>
          <w:b w:val="0"/>
          <w:color w:val="000000"/>
          <w:spacing w:val="40"/>
          <w:kern w:val="10"/>
          <w:sz w:val="84"/>
          <w:szCs w:val="84"/>
          <w:highlight w:val="none"/>
        </w:rPr>
      </w:pPr>
      <w:r>
        <w:rPr>
          <w:rFonts w:ascii="宋体" w:hAnsi="宋体"/>
          <w:color w:val="000000"/>
          <w:highlight w:val="none"/>
        </w:rPr>
        <w:drawing>
          <wp:inline distT="0" distB="0" distL="114300" distR="114300">
            <wp:extent cx="2983230" cy="2610485"/>
            <wp:effectExtent l="0" t="0" r="762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983230" cy="2610485"/>
                    </a:xfrm>
                    <a:prstGeom prst="rect">
                      <a:avLst/>
                    </a:prstGeom>
                    <a:noFill/>
                    <a:ln>
                      <a:noFill/>
                    </a:ln>
                  </pic:spPr>
                </pic:pic>
              </a:graphicData>
            </a:graphic>
          </wp:inline>
        </w:drawing>
      </w:r>
    </w:p>
    <w:p>
      <w:pPr>
        <w:topLinePunct/>
        <w:spacing w:line="360" w:lineRule="auto"/>
        <w:rPr>
          <w:rFonts w:ascii="宋体" w:hAnsi="宋体"/>
          <w:color w:val="000000"/>
          <w:sz w:val="20"/>
          <w:szCs w:val="20"/>
          <w:highlight w:val="none"/>
        </w:rPr>
      </w:pPr>
    </w:p>
    <w:p>
      <w:pPr>
        <w:topLinePunct/>
        <w:spacing w:line="360" w:lineRule="auto"/>
        <w:rPr>
          <w:rFonts w:ascii="宋体" w:hAnsi="宋体"/>
          <w:color w:val="000000"/>
          <w:sz w:val="27"/>
          <w:szCs w:val="27"/>
          <w:highlight w:val="none"/>
        </w:rPr>
      </w:pPr>
    </w:p>
    <w:p>
      <w:pPr>
        <w:wordWrap w:val="0"/>
        <w:topLinePunct/>
        <w:spacing w:line="360" w:lineRule="auto"/>
        <w:ind w:firstLine="1257" w:firstLineChars="419"/>
        <w:rPr>
          <w:rFonts w:ascii="TimesNewRomanPSMT" w:hAnsi="TimesNewRomanPSMT" w:eastAsia="黑体" w:cs="TimesNewRomanPSMT"/>
          <w:color w:val="000000"/>
          <w:sz w:val="30"/>
          <w:szCs w:val="30"/>
          <w:highlight w:val="none"/>
        </w:rPr>
      </w:pPr>
      <w:r>
        <w:rPr>
          <w:rFonts w:hint="eastAsia" w:ascii="黑体" w:eastAsia="黑体" w:cs="黑体"/>
          <w:color w:val="000000"/>
          <w:sz w:val="30"/>
          <w:szCs w:val="30"/>
          <w:highlight w:val="none"/>
        </w:rPr>
        <w:t>招 标 人：</w:t>
      </w:r>
      <w:r>
        <w:rPr>
          <w:rFonts w:hint="eastAsia" w:ascii="黑体" w:eastAsia="黑体" w:cs="黑体"/>
          <w:color w:val="000000"/>
          <w:sz w:val="30"/>
          <w:szCs w:val="30"/>
          <w:highlight w:val="none"/>
          <w:u w:val="single"/>
        </w:rPr>
        <w:t>广州市高速公路有限公司</w:t>
      </w:r>
      <w:r>
        <w:rPr>
          <w:rFonts w:ascii="TimesNewRomanPSMT" w:hAnsi="TimesNewRomanPSMT" w:eastAsia="黑体" w:cs="TimesNewRomanPSMT"/>
          <w:color w:val="000000"/>
          <w:sz w:val="30"/>
          <w:szCs w:val="30"/>
          <w:highlight w:val="none"/>
        </w:rPr>
        <w:t>(</w:t>
      </w:r>
      <w:r>
        <w:rPr>
          <w:rFonts w:hint="eastAsia" w:ascii="黑体" w:eastAsia="黑体" w:cs="黑体"/>
          <w:color w:val="000000"/>
          <w:sz w:val="30"/>
          <w:szCs w:val="30"/>
          <w:highlight w:val="none"/>
        </w:rPr>
        <w:t>盖单位章</w:t>
      </w:r>
      <w:r>
        <w:rPr>
          <w:rFonts w:ascii="TimesNewRomanPSMT" w:hAnsi="TimesNewRomanPSMT" w:eastAsia="黑体" w:cs="TimesNewRomanPSMT"/>
          <w:color w:val="000000"/>
          <w:sz w:val="30"/>
          <w:szCs w:val="30"/>
          <w:highlight w:val="none"/>
        </w:rPr>
        <w:t>)</w:t>
      </w:r>
    </w:p>
    <w:p>
      <w:pPr>
        <w:wordWrap w:val="0"/>
        <w:topLinePunct/>
        <w:spacing w:line="360" w:lineRule="auto"/>
        <w:ind w:firstLine="1257" w:firstLineChars="419"/>
        <w:rPr>
          <w:rFonts w:hint="eastAsia" w:ascii="TimesNewRomanPSMT" w:hAnsi="TimesNewRomanPSMT" w:eastAsia="黑体" w:cs="TimesNewRomanPSMT"/>
          <w:color w:val="000000"/>
          <w:sz w:val="30"/>
          <w:szCs w:val="30"/>
          <w:highlight w:val="none"/>
          <w:u w:val="single"/>
        </w:rPr>
      </w:pPr>
      <w:r>
        <w:rPr>
          <w:rFonts w:hint="eastAsia" w:ascii="TimesNewRomanPSMT" w:hAnsi="TimesNewRomanPSMT" w:eastAsia="黑体" w:cs="TimesNewRomanPSMT"/>
          <w:color w:val="000000"/>
          <w:sz w:val="30"/>
          <w:szCs w:val="30"/>
          <w:highlight w:val="none"/>
        </w:rPr>
        <w:t>招标代理：</w:t>
      </w:r>
      <w:r>
        <w:rPr>
          <w:rFonts w:hint="eastAsia" w:ascii="TimesNewRomanPSMT" w:hAnsi="TimesNewRomanPSMT" w:eastAsia="黑体" w:cs="TimesNewRomanPSMT"/>
          <w:color w:val="000000"/>
          <w:sz w:val="30"/>
          <w:szCs w:val="30"/>
          <w:highlight w:val="none"/>
          <w:u w:val="single"/>
          <w:lang w:eastAsia="zh-CN"/>
        </w:rPr>
        <w:t>广东粤信项目管理有限公司</w:t>
      </w:r>
      <w:r>
        <w:rPr>
          <w:rFonts w:ascii="TimesNewRomanPSMT" w:hAnsi="TimesNewRomanPSMT" w:eastAsia="黑体" w:cs="TimesNewRomanPSMT"/>
          <w:color w:val="000000"/>
          <w:sz w:val="30"/>
          <w:szCs w:val="30"/>
          <w:highlight w:val="none"/>
        </w:rPr>
        <w:t>(</w:t>
      </w:r>
      <w:r>
        <w:rPr>
          <w:rFonts w:hint="eastAsia" w:ascii="黑体" w:eastAsia="黑体" w:cs="黑体"/>
          <w:color w:val="000000"/>
          <w:sz w:val="30"/>
          <w:szCs w:val="30"/>
          <w:highlight w:val="none"/>
        </w:rPr>
        <w:t>盖单位章）</w:t>
      </w:r>
    </w:p>
    <w:p>
      <w:pPr>
        <w:ind w:firstLine="1200" w:firstLineChars="400"/>
        <w:jc w:val="left"/>
        <w:rPr>
          <w:rFonts w:ascii="宋体" w:hAnsi="宋体"/>
          <w:color w:val="000000"/>
          <w:sz w:val="30"/>
          <w:highlight w:val="none"/>
        </w:rPr>
      </w:pPr>
      <w:r>
        <w:rPr>
          <w:rFonts w:hint="eastAsia" w:ascii="黑体" w:eastAsia="黑体" w:cs="黑体"/>
          <w:color w:val="000000"/>
          <w:sz w:val="30"/>
          <w:szCs w:val="30"/>
          <w:highlight w:val="none"/>
        </w:rPr>
        <w:t>日    期：</w:t>
      </w:r>
      <w:r>
        <w:rPr>
          <w:rFonts w:ascii="黑体" w:eastAsia="黑体" w:cs="黑体"/>
          <w:color w:val="000000"/>
          <w:sz w:val="30"/>
          <w:szCs w:val="30"/>
          <w:highlight w:val="none"/>
          <w:u w:val="single"/>
        </w:rPr>
        <w:t>202</w:t>
      </w:r>
      <w:r>
        <w:rPr>
          <w:rFonts w:hint="eastAsia" w:ascii="黑体" w:eastAsia="黑体" w:cs="黑体"/>
          <w:color w:val="000000"/>
          <w:sz w:val="30"/>
          <w:szCs w:val="30"/>
          <w:highlight w:val="none"/>
          <w:u w:val="single"/>
          <w:lang w:val="en-US" w:eastAsia="zh-CN"/>
        </w:rPr>
        <w:t>4</w:t>
      </w:r>
      <w:r>
        <w:rPr>
          <w:rFonts w:hint="eastAsia" w:ascii="黑体" w:eastAsia="黑体" w:cs="黑体"/>
          <w:color w:val="000000"/>
          <w:sz w:val="30"/>
          <w:szCs w:val="30"/>
          <w:highlight w:val="none"/>
        </w:rPr>
        <w:t>年</w:t>
      </w:r>
      <w:r>
        <w:rPr>
          <w:rFonts w:hint="eastAsia" w:ascii="黑体" w:eastAsia="黑体" w:cs="黑体"/>
          <w:color w:val="000000"/>
          <w:sz w:val="30"/>
          <w:szCs w:val="30"/>
          <w:highlight w:val="none"/>
          <w:u w:val="single"/>
          <w:lang w:val="en-US" w:eastAsia="zh-CN"/>
        </w:rPr>
        <w:t>7</w:t>
      </w:r>
      <w:r>
        <w:rPr>
          <w:rFonts w:hint="eastAsia" w:ascii="黑体" w:eastAsia="黑体" w:cs="黑体"/>
          <w:color w:val="000000"/>
          <w:sz w:val="30"/>
          <w:szCs w:val="30"/>
          <w:highlight w:val="none"/>
        </w:rPr>
        <w:t>月</w:t>
      </w:r>
    </w:p>
    <w:p>
      <w:pPr>
        <w:pStyle w:val="6"/>
        <w:spacing w:line="420" w:lineRule="atLeast"/>
        <w:ind w:firstLine="725" w:firstLineChars="279"/>
        <w:rPr>
          <w:rFonts w:ascii="仿宋_GB2312" w:eastAsia="仿宋_GB2312"/>
          <w:color w:val="000000"/>
          <w:sz w:val="26"/>
          <w:szCs w:val="26"/>
          <w:highlight w:val="none"/>
        </w:rPr>
        <w:sectPr>
          <w:footerReference r:id="rId6" w:type="first"/>
          <w:footerReference r:id="rId4" w:type="default"/>
          <w:footerReference r:id="rId5" w:type="even"/>
          <w:footnotePr>
            <w:numFmt w:val="decimalEnclosedCircleChinese"/>
            <w:numRestart w:val="eachPage"/>
          </w:footnotePr>
          <w:pgSz w:w="11907" w:h="16840"/>
          <w:pgMar w:top="1588" w:right="1474" w:bottom="1474" w:left="1474" w:header="851" w:footer="851" w:gutter="0"/>
          <w:pgBorders>
            <w:top w:val="none" w:sz="0" w:space="0"/>
            <w:left w:val="none" w:sz="0" w:space="0"/>
            <w:bottom w:val="none" w:sz="0" w:space="0"/>
            <w:right w:val="none" w:sz="0" w:space="0"/>
          </w:pgBorders>
          <w:pgNumType w:start="0"/>
          <w:cols w:space="720" w:num="1"/>
          <w:titlePg/>
          <w:docGrid w:linePitch="312" w:charSpace="0"/>
        </w:sectPr>
      </w:pPr>
    </w:p>
    <w:p>
      <w:pPr>
        <w:spacing w:line="440" w:lineRule="exact"/>
        <w:jc w:val="center"/>
        <w:rPr>
          <w:rFonts w:hint="eastAsia" w:ascii="宋体" w:hAnsi="宋体" w:eastAsia="宋体" w:cs="宋体"/>
          <w:b/>
          <w:bCs/>
          <w:color w:val="000000"/>
          <w:sz w:val="28"/>
          <w:szCs w:val="28"/>
          <w:highlight w:val="none"/>
          <w:lang w:eastAsia="zh-CN"/>
        </w:rPr>
      </w:pPr>
      <w:r>
        <w:rPr>
          <w:rFonts w:hint="eastAsia" w:ascii="宋体" w:hAnsi="宋体" w:cs="宋体"/>
          <w:b/>
          <w:bCs/>
          <w:color w:val="000000"/>
          <w:sz w:val="28"/>
          <w:szCs w:val="28"/>
          <w:highlight w:val="none"/>
          <w:lang w:eastAsia="zh-CN"/>
        </w:rPr>
        <w:t>黄埔至南沙东部快速通道沙湾水道特大桥勘察设计咨询</w:t>
      </w:r>
    </w:p>
    <w:p>
      <w:pPr>
        <w:spacing w:line="440" w:lineRule="exact"/>
        <w:jc w:val="center"/>
        <w:rPr>
          <w:rFonts w:eastAsia="黑体"/>
          <w:b/>
          <w:bCs/>
          <w:color w:val="000000"/>
          <w:sz w:val="28"/>
          <w:szCs w:val="28"/>
          <w:highlight w:val="none"/>
        </w:rPr>
      </w:pPr>
      <w:r>
        <w:rPr>
          <w:rFonts w:hint="eastAsia" w:ascii="宋体" w:hAnsi="宋体" w:cs="宋体"/>
          <w:b/>
          <w:bCs/>
          <w:color w:val="000000"/>
          <w:sz w:val="28"/>
          <w:szCs w:val="28"/>
          <w:highlight w:val="none"/>
        </w:rPr>
        <w:t>招标公告</w:t>
      </w:r>
    </w:p>
    <w:p>
      <w:pPr>
        <w:spacing w:line="440" w:lineRule="exact"/>
        <w:jc w:val="center"/>
        <w:rPr>
          <w:rFonts w:eastAsia="黑体"/>
          <w:color w:val="000000"/>
          <w:sz w:val="20"/>
          <w:szCs w:val="20"/>
          <w:highlight w:val="none"/>
        </w:rPr>
      </w:pPr>
    </w:p>
    <w:p>
      <w:pPr>
        <w:pStyle w:val="4"/>
        <w:spacing w:before="0" w:after="0" w:line="360" w:lineRule="auto"/>
        <w:jc w:val="left"/>
        <w:rPr>
          <w:rFonts w:eastAsia="宋体"/>
          <w:b/>
          <w:bCs w:val="0"/>
          <w:i w:val="0"/>
          <w:iCs w:val="0"/>
          <w:color w:val="000000"/>
          <w:sz w:val="28"/>
          <w:szCs w:val="28"/>
          <w:highlight w:val="none"/>
        </w:rPr>
      </w:pPr>
      <w:bookmarkStart w:id="0" w:name="_Toc9832"/>
      <w:bookmarkStart w:id="1" w:name="_Toc234832845"/>
      <w:bookmarkStart w:id="2" w:name="_Toc508984243"/>
      <w:bookmarkStart w:id="3" w:name="_Toc508984045"/>
      <w:bookmarkStart w:id="4" w:name="_Toc503235714"/>
      <w:r>
        <w:rPr>
          <w:rFonts w:eastAsia="宋体"/>
          <w:b/>
          <w:bCs w:val="0"/>
          <w:i w:val="0"/>
          <w:iCs w:val="0"/>
          <w:color w:val="000000"/>
          <w:sz w:val="28"/>
          <w:szCs w:val="28"/>
          <w:highlight w:val="none"/>
        </w:rPr>
        <w:t>1. 招标条件</w:t>
      </w:r>
      <w:bookmarkEnd w:id="0"/>
      <w:bookmarkEnd w:id="1"/>
      <w:bookmarkEnd w:id="2"/>
      <w:bookmarkEnd w:id="3"/>
      <w:bookmarkEnd w:id="4"/>
    </w:p>
    <w:p>
      <w:pPr>
        <w:autoSpaceDE w:val="0"/>
        <w:autoSpaceDN w:val="0"/>
        <w:spacing w:line="360" w:lineRule="auto"/>
        <w:ind w:firstLine="480" w:firstLineChars="200"/>
        <w:rPr>
          <w:color w:val="000000"/>
          <w:sz w:val="24"/>
          <w:highlight w:val="none"/>
        </w:rPr>
      </w:pPr>
      <w:r>
        <w:rPr>
          <w:rFonts w:hint="eastAsia"/>
          <w:color w:val="000000"/>
          <w:sz w:val="24"/>
          <w:szCs w:val="32"/>
          <w:highlight w:val="none"/>
        </w:rPr>
        <w:t>本招标项目</w:t>
      </w:r>
      <w:r>
        <w:rPr>
          <w:rFonts w:hint="eastAsia"/>
          <w:color w:val="000000"/>
          <w:sz w:val="24"/>
          <w:szCs w:val="32"/>
          <w:highlight w:val="none"/>
          <w:u w:val="single"/>
          <w:lang w:eastAsia="zh-CN"/>
        </w:rPr>
        <w:t>黄埔至南沙东部快速通道沙湾水道特大桥</w:t>
      </w:r>
      <w:r>
        <w:rPr>
          <w:rFonts w:hint="eastAsia"/>
          <w:color w:val="000000"/>
          <w:sz w:val="24"/>
          <w:szCs w:val="32"/>
          <w:highlight w:val="none"/>
        </w:rPr>
        <w:t>已由</w:t>
      </w:r>
      <w:r>
        <w:rPr>
          <w:rFonts w:hint="eastAsia"/>
          <w:color w:val="000000"/>
          <w:sz w:val="24"/>
          <w:szCs w:val="32"/>
          <w:highlight w:val="none"/>
          <w:u w:val="single"/>
        </w:rPr>
        <w:t>广东省发展和改革委员会以</w:t>
      </w:r>
      <w:r>
        <w:rPr>
          <w:rFonts w:hint="eastAsia"/>
          <w:color w:val="000000"/>
          <w:kern w:val="0"/>
          <w:sz w:val="24"/>
          <w:highlight w:val="none"/>
          <w:u w:val="single"/>
          <w:lang w:eastAsia="zh-CN"/>
        </w:rPr>
        <w:t>《</w:t>
      </w:r>
      <w:r>
        <w:rPr>
          <w:rFonts w:hint="eastAsia"/>
          <w:color w:val="000000"/>
          <w:kern w:val="0"/>
          <w:sz w:val="24"/>
          <w:highlight w:val="none"/>
          <w:u w:val="single"/>
        </w:rPr>
        <w:t>穗发改投批〔2024〕24号</w:t>
      </w:r>
      <w:r>
        <w:rPr>
          <w:rFonts w:hint="eastAsia"/>
          <w:color w:val="000000"/>
          <w:kern w:val="0"/>
          <w:sz w:val="24"/>
          <w:highlight w:val="none"/>
          <w:u w:val="single"/>
          <w:lang w:eastAsia="zh-CN"/>
        </w:rPr>
        <w:t>》</w:t>
      </w:r>
      <w:r>
        <w:rPr>
          <w:color w:val="000000"/>
          <w:kern w:val="0"/>
          <w:sz w:val="24"/>
          <w:highlight w:val="none"/>
          <w:u w:val="single"/>
        </w:rPr>
        <w:t>文</w:t>
      </w:r>
      <w:r>
        <w:rPr>
          <w:rFonts w:hint="eastAsia"/>
          <w:color w:val="000000"/>
          <w:sz w:val="24"/>
          <w:szCs w:val="32"/>
          <w:highlight w:val="none"/>
          <w:u w:val="single"/>
        </w:rPr>
        <w:t>批准</w:t>
      </w:r>
      <w:r>
        <w:rPr>
          <w:rFonts w:hint="eastAsia"/>
          <w:color w:val="000000"/>
          <w:sz w:val="24"/>
          <w:szCs w:val="32"/>
          <w:highlight w:val="none"/>
          <w:u w:val="single"/>
          <w:lang w:val="en-US" w:eastAsia="zh-CN"/>
        </w:rPr>
        <w:t>建设</w:t>
      </w:r>
      <w:r>
        <w:rPr>
          <w:rFonts w:hint="eastAsia"/>
          <w:color w:val="000000"/>
          <w:sz w:val="24"/>
          <w:szCs w:val="32"/>
          <w:highlight w:val="none"/>
        </w:rPr>
        <w:t>，项目业主为</w:t>
      </w:r>
      <w:r>
        <w:rPr>
          <w:rFonts w:hint="eastAsia"/>
          <w:color w:val="000000"/>
          <w:sz w:val="24"/>
          <w:szCs w:val="32"/>
          <w:highlight w:val="none"/>
          <w:u w:val="single"/>
        </w:rPr>
        <w:t>广州市高速公路有限公司</w:t>
      </w:r>
      <w:r>
        <w:rPr>
          <w:rFonts w:hint="eastAsia"/>
          <w:color w:val="000000"/>
          <w:sz w:val="24"/>
          <w:szCs w:val="32"/>
          <w:highlight w:val="none"/>
        </w:rPr>
        <w:t>，建设资金来自</w:t>
      </w:r>
      <w:r>
        <w:rPr>
          <w:rFonts w:hint="eastAsia"/>
          <w:color w:val="000000"/>
          <w:sz w:val="24"/>
          <w:szCs w:val="32"/>
          <w:highlight w:val="none"/>
          <w:u w:val="single"/>
          <w:lang w:val="en-US" w:eastAsia="zh-CN"/>
        </w:rPr>
        <w:t>广州市和南沙区财政资金</w:t>
      </w:r>
      <w:r>
        <w:rPr>
          <w:rFonts w:hint="eastAsia"/>
          <w:color w:val="000000"/>
          <w:sz w:val="24"/>
          <w:szCs w:val="32"/>
          <w:highlight w:val="none"/>
        </w:rPr>
        <w:t>，出资比例为</w:t>
      </w:r>
      <w:r>
        <w:rPr>
          <w:rFonts w:hint="eastAsia"/>
          <w:color w:val="000000"/>
          <w:sz w:val="24"/>
          <w:szCs w:val="32"/>
          <w:highlight w:val="none"/>
          <w:u w:val="single"/>
          <w:lang w:val="en-US" w:eastAsia="zh-CN"/>
        </w:rPr>
        <w:t>各50%</w:t>
      </w:r>
      <w:r>
        <w:rPr>
          <w:rFonts w:hint="eastAsia"/>
          <w:color w:val="000000"/>
          <w:sz w:val="24"/>
          <w:szCs w:val="32"/>
          <w:highlight w:val="none"/>
        </w:rPr>
        <w:t>，招标人为</w:t>
      </w:r>
      <w:r>
        <w:rPr>
          <w:rFonts w:hint="eastAsia"/>
          <w:color w:val="000000"/>
          <w:sz w:val="24"/>
          <w:szCs w:val="32"/>
          <w:highlight w:val="none"/>
          <w:u w:val="single"/>
        </w:rPr>
        <w:t>广州市高速公路有限公司</w:t>
      </w:r>
      <w:r>
        <w:rPr>
          <w:rFonts w:hint="eastAsia"/>
          <w:color w:val="000000"/>
          <w:sz w:val="24"/>
          <w:szCs w:val="32"/>
          <w:highlight w:val="none"/>
        </w:rPr>
        <w:t>。项目已具备招标条件，现对该项目</w:t>
      </w:r>
      <w:r>
        <w:rPr>
          <w:rFonts w:hint="eastAsia"/>
          <w:color w:val="000000"/>
          <w:sz w:val="24"/>
          <w:szCs w:val="32"/>
          <w:highlight w:val="none"/>
          <w:u w:val="single"/>
        </w:rPr>
        <w:t>的勘察设计咨询</w:t>
      </w:r>
      <w:r>
        <w:rPr>
          <w:rFonts w:hint="eastAsia"/>
          <w:color w:val="000000"/>
          <w:sz w:val="24"/>
          <w:szCs w:val="32"/>
          <w:highlight w:val="none"/>
        </w:rPr>
        <w:t>采用资格后审的方式</w:t>
      </w:r>
      <w:r>
        <w:rPr>
          <w:rFonts w:hint="eastAsia"/>
          <w:color w:val="000000"/>
          <w:sz w:val="24"/>
          <w:szCs w:val="32"/>
          <w:highlight w:val="none"/>
          <w:u w:val="single"/>
        </w:rPr>
        <w:t>进行公开招标</w:t>
      </w:r>
      <w:r>
        <w:rPr>
          <w:color w:val="000000"/>
          <w:sz w:val="24"/>
          <w:szCs w:val="32"/>
          <w:highlight w:val="none"/>
        </w:rPr>
        <w:t>。</w:t>
      </w:r>
      <w:r>
        <w:rPr>
          <w:color w:val="000000"/>
          <w:sz w:val="24"/>
          <w:highlight w:val="none"/>
        </w:rPr>
        <w:t xml:space="preserve"> </w:t>
      </w:r>
    </w:p>
    <w:p>
      <w:pPr>
        <w:pStyle w:val="4"/>
        <w:spacing w:before="0" w:after="0" w:line="360" w:lineRule="auto"/>
        <w:jc w:val="left"/>
        <w:rPr>
          <w:rFonts w:eastAsia="宋体"/>
          <w:b/>
          <w:bCs w:val="0"/>
          <w:i w:val="0"/>
          <w:iCs w:val="0"/>
          <w:color w:val="000000"/>
          <w:sz w:val="28"/>
          <w:szCs w:val="28"/>
          <w:highlight w:val="none"/>
        </w:rPr>
      </w:pPr>
      <w:bookmarkStart w:id="5" w:name="_Toc27076"/>
      <w:bookmarkStart w:id="6" w:name="_Toc508984046"/>
      <w:bookmarkStart w:id="7" w:name="_Toc508984244"/>
      <w:bookmarkStart w:id="8" w:name="_Toc234832846"/>
      <w:bookmarkStart w:id="9" w:name="_Toc503235715"/>
      <w:r>
        <w:rPr>
          <w:rFonts w:eastAsia="宋体"/>
          <w:b/>
          <w:bCs w:val="0"/>
          <w:i w:val="0"/>
          <w:iCs w:val="0"/>
          <w:color w:val="000000"/>
          <w:sz w:val="28"/>
          <w:szCs w:val="28"/>
          <w:highlight w:val="none"/>
        </w:rPr>
        <w:t>2. 项目概况与招标范围</w:t>
      </w:r>
      <w:bookmarkEnd w:id="5"/>
      <w:bookmarkEnd w:id="6"/>
      <w:bookmarkEnd w:id="7"/>
      <w:bookmarkEnd w:id="8"/>
      <w:bookmarkEnd w:id="9"/>
    </w:p>
    <w:p>
      <w:pPr>
        <w:topLinePunct/>
        <w:spacing w:line="360" w:lineRule="auto"/>
        <w:ind w:firstLine="480" w:firstLineChars="200"/>
        <w:rPr>
          <w:rFonts w:hint="eastAsia" w:ascii="宋体" w:hAnsi="宋体"/>
          <w:color w:val="000000"/>
          <w:sz w:val="24"/>
          <w:szCs w:val="32"/>
          <w:highlight w:val="none"/>
        </w:rPr>
      </w:pPr>
      <w:r>
        <w:rPr>
          <w:rFonts w:hint="eastAsia" w:ascii="宋体" w:hAnsi="宋体"/>
          <w:color w:val="000000"/>
          <w:sz w:val="24"/>
          <w:szCs w:val="32"/>
          <w:highlight w:val="none"/>
        </w:rPr>
        <w:t>2.1 建设地点、规模：</w:t>
      </w:r>
    </w:p>
    <w:p>
      <w:pPr>
        <w:spacing w:line="360" w:lineRule="auto"/>
        <w:ind w:firstLine="480" w:firstLineChars="200"/>
        <w:rPr>
          <w:rFonts w:hint="eastAsia" w:ascii="宋体" w:hAnsi="宋体" w:cs="宋体"/>
          <w:color w:val="000000"/>
          <w:sz w:val="24"/>
          <w:highlight w:val="none"/>
          <w:u w:val="single"/>
          <w:lang w:val="en-US" w:eastAsia="zh-CN"/>
        </w:rPr>
      </w:pPr>
      <w:r>
        <w:rPr>
          <w:rFonts w:hint="eastAsia" w:ascii="宋体" w:hAnsi="宋体" w:eastAsia="宋体" w:cs="宋体"/>
          <w:color w:val="000000"/>
          <w:sz w:val="24"/>
          <w:szCs w:val="24"/>
          <w:highlight w:val="none"/>
          <w:u w:val="single"/>
          <w:lang w:val="en-US" w:eastAsia="zh-CN"/>
        </w:rPr>
        <w:t>建设规模：</w:t>
      </w:r>
      <w:r>
        <w:rPr>
          <w:rFonts w:hint="eastAsia" w:ascii="宋体" w:hAnsi="宋体" w:cs="宋体"/>
          <w:color w:val="000000"/>
          <w:sz w:val="24"/>
          <w:highlight w:val="none"/>
          <w:u w:val="single"/>
          <w:lang w:val="en-US" w:eastAsia="zh-CN"/>
        </w:rPr>
        <w:t>本项目北起番禺区沙尾村东侧，南接南沙大桥立交主线桥。本项目全长约2千米，其中沙湾水道特大桥长约1.5千米，</w:t>
      </w:r>
      <w:r>
        <w:rPr>
          <w:rFonts w:hint="eastAsia" w:ascii="宋体" w:hAnsi="宋体" w:eastAsia="宋体" w:cs="宋体"/>
          <w:color w:val="000000"/>
          <w:sz w:val="24"/>
          <w:szCs w:val="24"/>
          <w:highlight w:val="none"/>
          <w:u w:val="single"/>
          <w:lang w:val="en-US" w:eastAsia="zh-CN"/>
        </w:rPr>
        <w:t>其中主桥总长610m,跨径布置（80+450+80）米，</w:t>
      </w:r>
      <w:r>
        <w:rPr>
          <w:rFonts w:hint="eastAsia" w:ascii="宋体" w:hAnsi="宋体" w:cs="宋体"/>
          <w:color w:val="000000"/>
          <w:sz w:val="24"/>
          <w:highlight w:val="none"/>
          <w:u w:val="single"/>
          <w:lang w:val="en-US" w:eastAsia="zh-CN"/>
        </w:rPr>
        <w:t>双向8车道，采用一级公路兼城市快速路标准，设计速度为80公里/小时。主要建设内容包含道路、桥梁、交通、照明、绿化等工程。</w:t>
      </w:r>
      <w:r>
        <w:rPr>
          <w:rFonts w:hint="eastAsia" w:ascii="宋体" w:hAnsi="宋体" w:eastAsia="宋体" w:cs="宋体"/>
          <w:color w:val="000000"/>
          <w:sz w:val="24"/>
          <w:highlight w:val="none"/>
          <w:u w:val="single"/>
        </w:rPr>
        <w:t>项目总投资估算</w:t>
      </w:r>
      <w:r>
        <w:rPr>
          <w:rFonts w:hint="eastAsia" w:ascii="宋体" w:hAnsi="宋体" w:cs="宋体"/>
          <w:color w:val="000000"/>
          <w:sz w:val="24"/>
          <w:highlight w:val="none"/>
          <w:u w:val="single"/>
          <w:lang w:eastAsia="zh-CN"/>
        </w:rPr>
        <w:t>约</w:t>
      </w:r>
      <w:r>
        <w:rPr>
          <w:rFonts w:hint="eastAsia" w:ascii="宋体" w:hAnsi="宋体" w:eastAsia="宋体" w:cs="宋体"/>
          <w:color w:val="000000"/>
          <w:sz w:val="24"/>
          <w:highlight w:val="none"/>
          <w:u w:val="single"/>
        </w:rPr>
        <w:t>16</w:t>
      </w:r>
      <w:r>
        <w:rPr>
          <w:rFonts w:hint="eastAsia" w:ascii="宋体" w:hAnsi="宋体" w:cs="宋体"/>
          <w:color w:val="000000"/>
          <w:sz w:val="24"/>
          <w:highlight w:val="none"/>
          <w:u w:val="single"/>
          <w:lang w:val="en-US" w:eastAsia="zh-CN"/>
        </w:rPr>
        <w:t>.9亿</w:t>
      </w:r>
      <w:r>
        <w:rPr>
          <w:rFonts w:hint="eastAsia" w:ascii="宋体" w:hAnsi="宋体" w:eastAsia="宋体" w:cs="宋体"/>
          <w:color w:val="000000"/>
          <w:sz w:val="24"/>
          <w:highlight w:val="none"/>
          <w:u w:val="single"/>
        </w:rPr>
        <w:t>元，</w:t>
      </w:r>
      <w:r>
        <w:rPr>
          <w:rFonts w:hint="eastAsia" w:ascii="宋体" w:hAnsi="宋体" w:cs="宋体"/>
          <w:color w:val="000000"/>
          <w:sz w:val="24"/>
          <w:highlight w:val="none"/>
          <w:u w:val="single"/>
          <w:lang w:eastAsia="zh-CN"/>
        </w:rPr>
        <w:t>建安工程费约</w:t>
      </w:r>
      <w:r>
        <w:rPr>
          <w:rFonts w:hint="eastAsia" w:ascii="宋体" w:hAnsi="宋体" w:cs="宋体"/>
          <w:color w:val="000000"/>
          <w:sz w:val="24"/>
          <w:highlight w:val="none"/>
          <w:u w:val="single"/>
          <w:lang w:val="en-US" w:eastAsia="zh-CN"/>
        </w:rPr>
        <w:t>12.3亿元。</w:t>
      </w:r>
    </w:p>
    <w:p>
      <w:pPr>
        <w:spacing w:line="360" w:lineRule="auto"/>
        <w:ind w:firstLine="480" w:firstLineChars="200"/>
        <w:rPr>
          <w:rFonts w:hint="default" w:ascii="宋体" w:hAnsi="宋体" w:eastAsia="宋体" w:cs="宋体"/>
          <w:color w:val="000000"/>
          <w:sz w:val="24"/>
          <w:szCs w:val="24"/>
          <w:highlight w:val="none"/>
          <w:u w:val="single"/>
          <w:lang w:val="en-US" w:eastAsia="zh-CN"/>
        </w:rPr>
      </w:pPr>
      <w:r>
        <w:rPr>
          <w:rFonts w:hint="eastAsia" w:ascii="宋体" w:hAnsi="宋体" w:cs="宋体"/>
          <w:color w:val="000000"/>
          <w:sz w:val="24"/>
          <w:highlight w:val="none"/>
          <w:u w:val="single"/>
          <w:lang w:val="en-US" w:eastAsia="zh-CN"/>
        </w:rPr>
        <w:t>建设地点：广州市番禺区、南沙区</w:t>
      </w:r>
    </w:p>
    <w:p>
      <w:pPr>
        <w:spacing w:line="360" w:lineRule="auto"/>
        <w:ind w:firstLine="480" w:firstLineChars="200"/>
        <w:rPr>
          <w:rFonts w:ascii="宋体" w:hAnsi="宋体"/>
          <w:color w:val="000000"/>
          <w:sz w:val="24"/>
          <w:highlight w:val="none"/>
          <w:u w:val="single"/>
        </w:rPr>
      </w:pPr>
      <w:r>
        <w:rPr>
          <w:rFonts w:hint="eastAsia" w:ascii="宋体" w:hAnsi="宋体"/>
          <w:color w:val="000000"/>
          <w:sz w:val="24"/>
          <w:highlight w:val="none"/>
        </w:rPr>
        <w:t>2.2 咨询服务期限：</w:t>
      </w:r>
      <w:r>
        <w:rPr>
          <w:rFonts w:hint="eastAsia" w:ascii="宋体" w:hAnsi="宋体"/>
          <w:color w:val="000000"/>
          <w:sz w:val="24"/>
          <w:highlight w:val="none"/>
          <w:u w:val="single"/>
        </w:rPr>
        <w:t>与本项目的勘察设计咨询进度相匹配，自勘察设计咨询合同签订之日起至约定的工作内容全部完成止。</w:t>
      </w:r>
    </w:p>
    <w:p>
      <w:pPr>
        <w:topLinePunct/>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2.3 招标范围及标段划分</w:t>
      </w:r>
    </w:p>
    <w:p>
      <w:pPr>
        <w:topLinePunct/>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本次招标共分</w:t>
      </w:r>
      <w:r>
        <w:rPr>
          <w:rFonts w:hint="eastAsia" w:ascii="宋体" w:hAnsi="宋体"/>
          <w:color w:val="000000"/>
          <w:sz w:val="24"/>
          <w:highlight w:val="none"/>
          <w:u w:val="single"/>
        </w:rPr>
        <w:t>1</w:t>
      </w:r>
      <w:r>
        <w:rPr>
          <w:rFonts w:hint="eastAsia" w:ascii="宋体" w:hAnsi="宋体"/>
          <w:color w:val="000000"/>
          <w:sz w:val="24"/>
          <w:highlight w:val="none"/>
        </w:rPr>
        <w:t>个标段，具体见下表：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946"/>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pStyle w:val="19"/>
              <w:ind w:firstLine="0" w:firstLineChars="0"/>
              <w:jc w:val="center"/>
              <w:rPr>
                <w:rFonts w:hint="eastAsia" w:ascii="宋体" w:hAnsi="宋体" w:eastAsia="宋体"/>
                <w:b/>
                <w:bCs/>
                <w:color w:val="000000"/>
                <w:sz w:val="24"/>
                <w:szCs w:val="24"/>
                <w:highlight w:val="none"/>
                <w:vertAlign w:val="baseline"/>
                <w:lang w:val="en-US" w:eastAsia="zh-CN"/>
              </w:rPr>
            </w:pPr>
            <w:r>
              <w:rPr>
                <w:rFonts w:hint="eastAsia" w:ascii="宋体" w:hAnsi="宋体"/>
                <w:b/>
                <w:bCs/>
                <w:color w:val="000000"/>
                <w:sz w:val="24"/>
                <w:szCs w:val="24"/>
                <w:highlight w:val="none"/>
                <w:vertAlign w:val="baseline"/>
                <w:lang w:val="en-US" w:eastAsia="zh-CN"/>
              </w:rPr>
              <w:t>序号</w:t>
            </w:r>
          </w:p>
        </w:tc>
        <w:tc>
          <w:tcPr>
            <w:tcW w:w="946" w:type="dxa"/>
            <w:noWrap w:val="0"/>
            <w:vAlign w:val="center"/>
          </w:tcPr>
          <w:p>
            <w:pPr>
              <w:pStyle w:val="19"/>
              <w:ind w:firstLine="0" w:firstLineChars="0"/>
              <w:jc w:val="center"/>
              <w:rPr>
                <w:rFonts w:hint="eastAsia" w:ascii="宋体" w:hAnsi="宋体" w:eastAsia="宋体"/>
                <w:b/>
                <w:bCs/>
                <w:color w:val="000000"/>
                <w:sz w:val="24"/>
                <w:szCs w:val="24"/>
                <w:highlight w:val="none"/>
                <w:vertAlign w:val="baseline"/>
                <w:lang w:val="en-US" w:eastAsia="zh-CN"/>
              </w:rPr>
            </w:pPr>
            <w:r>
              <w:rPr>
                <w:rFonts w:hint="eastAsia" w:ascii="宋体" w:hAnsi="宋体"/>
                <w:b/>
                <w:bCs/>
                <w:color w:val="000000"/>
                <w:sz w:val="24"/>
                <w:szCs w:val="24"/>
                <w:highlight w:val="none"/>
                <w:vertAlign w:val="baseline"/>
                <w:lang w:val="en-US" w:eastAsia="zh-CN"/>
              </w:rPr>
              <w:t>长度</w:t>
            </w:r>
          </w:p>
        </w:tc>
        <w:tc>
          <w:tcPr>
            <w:tcW w:w="7545" w:type="dxa"/>
            <w:noWrap w:val="0"/>
            <w:vAlign w:val="center"/>
          </w:tcPr>
          <w:p>
            <w:pPr>
              <w:pStyle w:val="19"/>
              <w:ind w:firstLine="0" w:firstLineChars="0"/>
              <w:jc w:val="center"/>
              <w:rPr>
                <w:rFonts w:hint="eastAsia" w:ascii="宋体" w:hAnsi="宋体"/>
                <w:b/>
                <w:bCs/>
                <w:color w:val="000000"/>
                <w:sz w:val="24"/>
                <w:szCs w:val="24"/>
                <w:highlight w:val="none"/>
                <w:vertAlign w:val="baseline"/>
              </w:rPr>
            </w:pPr>
            <w:r>
              <w:rPr>
                <w:rFonts w:hint="eastAsia" w:ascii="宋体" w:hAnsi="宋体"/>
                <w:b/>
                <w:bCs/>
                <w:color w:val="000000"/>
                <w:sz w:val="24"/>
                <w:szCs w:val="24"/>
                <w:highlight w:val="none"/>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pStyle w:val="19"/>
              <w:ind w:firstLine="0" w:firstLineChars="0"/>
              <w:jc w:val="both"/>
              <w:rPr>
                <w:rFonts w:hint="eastAsia" w:ascii="宋体" w:hAnsi="宋体" w:eastAsia="宋体"/>
                <w:color w:val="000000"/>
                <w:sz w:val="24"/>
                <w:szCs w:val="24"/>
                <w:highlight w:val="none"/>
                <w:vertAlign w:val="baseline"/>
                <w:lang w:val="en-US" w:eastAsia="zh-CN"/>
              </w:rPr>
            </w:pPr>
            <w:r>
              <w:rPr>
                <w:rFonts w:hint="eastAsia" w:ascii="宋体" w:hAnsi="宋体"/>
                <w:color w:val="000000"/>
                <w:sz w:val="24"/>
                <w:szCs w:val="24"/>
                <w:highlight w:val="none"/>
                <w:vertAlign w:val="baseline"/>
                <w:lang w:val="en-US" w:eastAsia="zh-CN"/>
              </w:rPr>
              <w:t>1</w:t>
            </w:r>
          </w:p>
        </w:tc>
        <w:tc>
          <w:tcPr>
            <w:tcW w:w="946" w:type="dxa"/>
            <w:noWrap w:val="0"/>
            <w:vAlign w:val="center"/>
          </w:tcPr>
          <w:p>
            <w:pPr>
              <w:pStyle w:val="19"/>
              <w:ind w:firstLine="0" w:firstLineChars="0"/>
              <w:jc w:val="both"/>
              <w:rPr>
                <w:rFonts w:hint="default" w:ascii="宋体" w:hAnsi="宋体" w:eastAsia="宋体"/>
                <w:color w:val="000000"/>
                <w:sz w:val="24"/>
                <w:szCs w:val="24"/>
                <w:highlight w:val="none"/>
                <w:vertAlign w:val="baseline"/>
                <w:lang w:val="en-US" w:eastAsia="zh-CN"/>
              </w:rPr>
            </w:pPr>
            <w:r>
              <w:rPr>
                <w:rFonts w:hint="eastAsia" w:ascii="宋体" w:hAnsi="宋体"/>
                <w:color w:val="000000"/>
                <w:sz w:val="24"/>
                <w:szCs w:val="24"/>
                <w:highlight w:val="none"/>
                <w:vertAlign w:val="baseline"/>
                <w:lang w:val="en-US" w:eastAsia="zh-CN"/>
              </w:rPr>
              <w:t>2千米</w:t>
            </w:r>
          </w:p>
        </w:tc>
        <w:tc>
          <w:tcPr>
            <w:tcW w:w="7545" w:type="dxa"/>
            <w:noWrap w:val="0"/>
            <w:vAlign w:val="center"/>
          </w:tcPr>
          <w:p>
            <w:pPr>
              <w:numPr>
                <w:ilvl w:val="0"/>
                <w:numId w:val="0"/>
              </w:numPr>
              <w:wordWrap w:val="0"/>
              <w:topLinePunct/>
              <w:spacing w:line="360" w:lineRule="auto"/>
              <w:ind w:firstLine="480" w:firstLineChars="200"/>
              <w:contextualSpacing/>
              <w:jc w:val="left"/>
              <w:textAlignment w:val="baseline"/>
              <w:rPr>
                <w:rFonts w:hint="eastAsia" w:ascii="宋体" w:hAnsi="宋体"/>
                <w:color w:val="000000"/>
                <w:sz w:val="24"/>
                <w:szCs w:val="24"/>
                <w:highlight w:val="none"/>
                <w:vertAlign w:val="baseline"/>
              </w:rPr>
            </w:pPr>
            <w:bookmarkStart w:id="10" w:name="_Hlk129455999"/>
            <w:r>
              <w:rPr>
                <w:rFonts w:hint="eastAsia" w:ascii="宋体" w:hAnsi="宋体" w:cs="SimSun-Identity-H"/>
                <w:color w:val="000000"/>
                <w:kern w:val="0"/>
                <w:sz w:val="24"/>
                <w:szCs w:val="24"/>
                <w:highlight w:val="none"/>
              </w:rPr>
              <w:t>按照广东省交通厅下发的《公路工程勘察设计咨询管理指南（试行）》和《公路工程勘察设计咨询技术指南（试行）》的要求，以及上级主管部门批准的项目可行性研究报告、相关技术文件及有关项目的评估报告、评审报告及其它审批意见</w:t>
            </w:r>
            <w:r>
              <w:rPr>
                <w:rFonts w:hint="eastAsia" w:ascii="宋体" w:hAnsi="宋体" w:cs="SimSun-Identity-H"/>
                <w:color w:val="000000"/>
                <w:kern w:val="0"/>
                <w:sz w:val="24"/>
                <w:szCs w:val="24"/>
                <w:highlight w:val="none"/>
                <w:lang w:eastAsia="zh-CN"/>
              </w:rPr>
              <w:t>、</w:t>
            </w:r>
            <w:r>
              <w:rPr>
                <w:rFonts w:hint="eastAsia" w:ascii="宋体" w:hAnsi="宋体" w:cs="SimSun-Identity-H"/>
                <w:color w:val="000000"/>
                <w:kern w:val="0"/>
                <w:sz w:val="24"/>
                <w:szCs w:val="24"/>
                <w:highlight w:val="none"/>
                <w:lang w:val="en-US" w:eastAsia="zh-CN"/>
              </w:rPr>
              <w:t>发包人要求</w:t>
            </w:r>
            <w:r>
              <w:rPr>
                <w:rFonts w:hint="eastAsia" w:ascii="宋体" w:hAnsi="宋体" w:cs="SimSun-Identity-H"/>
                <w:color w:val="000000"/>
                <w:kern w:val="0"/>
                <w:sz w:val="24"/>
                <w:szCs w:val="24"/>
                <w:highlight w:val="none"/>
              </w:rPr>
              <w:t>等依据，对本项目范围内建设过程中勘察设计过程提供咨询服务，编制《勘察设计全过程咨询工作大纲》，完成勘察设计常规咨询涉及的初勘初测阶段、初步设计阶段、定测详勘外业验收阶段、施工图设计阶段等全过程动态咨询工作</w:t>
            </w:r>
            <w:r>
              <w:rPr>
                <w:rFonts w:hint="eastAsia" w:ascii="宋体" w:hAnsi="宋体" w:cs="SimSun-Identity-H"/>
                <w:color w:val="000000"/>
                <w:kern w:val="0"/>
                <w:sz w:val="24"/>
                <w:szCs w:val="24"/>
                <w:highlight w:val="none"/>
                <w:lang w:eastAsia="zh-CN"/>
              </w:rPr>
              <w:t>；</w:t>
            </w:r>
            <w:r>
              <w:rPr>
                <w:rFonts w:hint="eastAsia" w:ascii="宋体" w:hAnsi="宋体" w:cs="SimSun-Identity-H"/>
                <w:color w:val="000000"/>
                <w:kern w:val="0"/>
                <w:sz w:val="24"/>
                <w:szCs w:val="24"/>
                <w:highlight w:val="none"/>
              </w:rPr>
              <w:t>对设计中间控制性成果和关键问题进行动态过程咨询；对施工阶段重（较）大变更设计进行咨询；完成地质勘察现场</w:t>
            </w:r>
            <w:r>
              <w:rPr>
                <w:rFonts w:hint="eastAsia" w:ascii="宋体" w:hAnsi="宋体" w:cs="SimSun-Identity-H"/>
                <w:color w:val="000000"/>
                <w:kern w:val="0"/>
                <w:sz w:val="24"/>
                <w:szCs w:val="24"/>
                <w:highlight w:val="none"/>
                <w:lang w:val="en-US" w:eastAsia="zh-CN"/>
              </w:rPr>
              <w:t>管理</w:t>
            </w:r>
            <w:r>
              <w:rPr>
                <w:rFonts w:hint="eastAsia" w:ascii="宋体" w:hAnsi="宋体" w:cs="SimSun-Identity-H"/>
                <w:color w:val="000000"/>
                <w:kern w:val="0"/>
                <w:sz w:val="24"/>
                <w:szCs w:val="24"/>
                <w:highlight w:val="none"/>
              </w:rPr>
              <w:t>咨询；完成</w:t>
            </w:r>
            <w:r>
              <w:rPr>
                <w:rFonts w:hint="eastAsia" w:ascii="宋体" w:hAnsi="宋体" w:cs="SimSun-Identity-H"/>
                <w:color w:val="000000"/>
                <w:kern w:val="0"/>
                <w:sz w:val="24"/>
                <w:highlight w:val="none"/>
                <w:lang w:val="en-US" w:eastAsia="zh-CN"/>
              </w:rPr>
              <w:t>初步设计及施工图设计阶段</w:t>
            </w:r>
            <w:r>
              <w:rPr>
                <w:rFonts w:hint="eastAsia" w:ascii="宋体" w:hAnsi="宋体" w:cs="SimSun-Identity-H"/>
                <w:color w:val="000000"/>
                <w:kern w:val="0"/>
                <w:sz w:val="24"/>
                <w:szCs w:val="24"/>
                <w:highlight w:val="none"/>
              </w:rPr>
              <w:t>公路工程安全性评价报告</w:t>
            </w:r>
            <w:r>
              <w:rPr>
                <w:rFonts w:hint="eastAsia" w:ascii="宋体" w:hAnsi="宋体" w:cs="SimSun-Identity-H"/>
                <w:color w:val="000000"/>
                <w:kern w:val="0"/>
                <w:sz w:val="24"/>
                <w:szCs w:val="24"/>
                <w:highlight w:val="none"/>
                <w:lang w:eastAsia="zh-CN"/>
              </w:rPr>
              <w:t>，</w:t>
            </w:r>
            <w:r>
              <w:rPr>
                <w:rFonts w:hint="eastAsia" w:ascii="宋体" w:hAnsi="宋体" w:cs="SimSun-Identity-H"/>
                <w:color w:val="000000"/>
                <w:kern w:val="0"/>
                <w:sz w:val="24"/>
                <w:szCs w:val="24"/>
                <w:highlight w:val="none"/>
                <w:lang w:val="en-US" w:eastAsia="zh-CN"/>
              </w:rPr>
              <w:t>具体要求详见招标文件《发包人要求》，以及</w:t>
            </w:r>
            <w:r>
              <w:rPr>
                <w:rFonts w:hint="eastAsia" w:ascii="宋体" w:hAnsi="宋体" w:cs="SimSun-Identity-H"/>
                <w:color w:val="000000"/>
                <w:kern w:val="0"/>
                <w:sz w:val="24"/>
                <w:szCs w:val="24"/>
                <w:highlight w:val="none"/>
              </w:rPr>
              <w:t>其他</w:t>
            </w:r>
            <w:r>
              <w:rPr>
                <w:rFonts w:hint="eastAsia" w:ascii="宋体" w:hAnsi="宋体" w:cs="SimSun-Identity-H"/>
                <w:color w:val="000000"/>
                <w:kern w:val="0"/>
                <w:sz w:val="24"/>
                <w:szCs w:val="24"/>
                <w:highlight w:val="none"/>
                <w:lang w:eastAsia="zh-CN"/>
              </w:rPr>
              <w:t>发包人</w:t>
            </w:r>
            <w:r>
              <w:rPr>
                <w:rFonts w:hint="eastAsia" w:ascii="宋体" w:hAnsi="宋体" w:cs="SimSun-Identity-H"/>
                <w:color w:val="000000"/>
                <w:kern w:val="0"/>
                <w:sz w:val="24"/>
                <w:szCs w:val="24"/>
                <w:highlight w:val="none"/>
              </w:rPr>
              <w:t>要求的相关工作。</w:t>
            </w:r>
            <w:bookmarkEnd w:id="10"/>
          </w:p>
        </w:tc>
      </w:tr>
    </w:tbl>
    <w:p>
      <w:pPr>
        <w:pStyle w:val="19"/>
        <w:rPr>
          <w:rFonts w:hint="eastAsia" w:ascii="宋体" w:hAnsi="宋体"/>
          <w:color w:val="000000"/>
          <w:sz w:val="24"/>
          <w:highlight w:val="none"/>
        </w:rPr>
      </w:pPr>
    </w:p>
    <w:p>
      <w:pPr>
        <w:pStyle w:val="4"/>
        <w:spacing w:before="0" w:after="0" w:line="360" w:lineRule="auto"/>
        <w:jc w:val="left"/>
        <w:rPr>
          <w:rFonts w:eastAsia="宋体"/>
          <w:b/>
          <w:bCs w:val="0"/>
          <w:i w:val="0"/>
          <w:iCs w:val="0"/>
          <w:color w:val="000000"/>
          <w:sz w:val="28"/>
          <w:szCs w:val="28"/>
          <w:highlight w:val="none"/>
        </w:rPr>
      </w:pPr>
      <w:bookmarkStart w:id="11" w:name="_Toc24285"/>
      <w:bookmarkStart w:id="12" w:name="_Toc234832847"/>
      <w:bookmarkStart w:id="13" w:name="_Toc508984245"/>
      <w:bookmarkStart w:id="14" w:name="_Toc508984047"/>
      <w:bookmarkStart w:id="15" w:name="_Toc503235716"/>
      <w:r>
        <w:rPr>
          <w:rFonts w:eastAsia="宋体"/>
          <w:b/>
          <w:bCs w:val="0"/>
          <w:i w:val="0"/>
          <w:iCs w:val="0"/>
          <w:color w:val="000000"/>
          <w:sz w:val="28"/>
          <w:szCs w:val="28"/>
          <w:highlight w:val="none"/>
        </w:rPr>
        <w:t>3. 投标人资格要求</w:t>
      </w:r>
      <w:bookmarkEnd w:id="11"/>
      <w:bookmarkEnd w:id="12"/>
      <w:bookmarkEnd w:id="13"/>
      <w:bookmarkEnd w:id="14"/>
      <w:bookmarkEnd w:id="15"/>
    </w:p>
    <w:p>
      <w:pPr>
        <w:spacing w:line="360" w:lineRule="auto"/>
        <w:ind w:firstLine="480" w:firstLineChars="200"/>
        <w:rPr>
          <w:rFonts w:ascii="宋体" w:hAnsi="宋体"/>
          <w:color w:val="000000"/>
          <w:sz w:val="24"/>
          <w:highlight w:val="none"/>
        </w:rPr>
      </w:pPr>
      <w:r>
        <w:rPr>
          <w:rFonts w:ascii="宋体" w:hAnsi="宋体"/>
          <w:color w:val="000000"/>
          <w:sz w:val="24"/>
          <w:highlight w:val="none"/>
        </w:rPr>
        <w:t>3.1</w:t>
      </w:r>
      <w:r>
        <w:rPr>
          <w:rFonts w:hint="eastAsia" w:ascii="宋体" w:hAnsi="宋体"/>
          <w:color w:val="000000"/>
          <w:sz w:val="24"/>
          <w:highlight w:val="none"/>
        </w:rPr>
        <w:t xml:space="preserve"> </w:t>
      </w:r>
      <w:r>
        <w:rPr>
          <w:rFonts w:ascii="宋体" w:hAnsi="宋体"/>
          <w:color w:val="000000"/>
          <w:sz w:val="24"/>
          <w:highlight w:val="none"/>
        </w:rPr>
        <w:t>本次招标要求投标人须</w:t>
      </w:r>
      <w:r>
        <w:rPr>
          <w:rFonts w:hint="eastAsia" w:ascii="宋体" w:hAnsi="宋体"/>
          <w:color w:val="000000"/>
          <w:sz w:val="24"/>
          <w:highlight w:val="none"/>
          <w:u w:val="single"/>
        </w:rPr>
        <w:t>同时</w:t>
      </w:r>
      <w:r>
        <w:rPr>
          <w:rFonts w:ascii="宋体" w:hAnsi="宋体"/>
          <w:color w:val="000000"/>
          <w:sz w:val="24"/>
          <w:highlight w:val="none"/>
        </w:rPr>
        <w:t>具备</w:t>
      </w:r>
      <w:r>
        <w:rPr>
          <w:rFonts w:hint="eastAsia" w:ascii="宋体" w:hAnsi="宋体"/>
          <w:color w:val="000000"/>
          <w:sz w:val="24"/>
          <w:highlight w:val="none"/>
        </w:rPr>
        <w:t>以下</w:t>
      </w:r>
      <w:r>
        <w:rPr>
          <w:rFonts w:ascii="宋体" w:hAnsi="宋体"/>
          <w:color w:val="000000"/>
          <w:sz w:val="24"/>
          <w:highlight w:val="none"/>
        </w:rPr>
        <w:t>资质</w:t>
      </w:r>
      <w:r>
        <w:rPr>
          <w:rFonts w:hint="eastAsia" w:ascii="宋体" w:hAnsi="宋体"/>
          <w:color w:val="000000"/>
          <w:sz w:val="24"/>
          <w:highlight w:val="none"/>
        </w:rPr>
        <w:t>、</w:t>
      </w:r>
      <w:r>
        <w:rPr>
          <w:rFonts w:hint="eastAsia" w:ascii="宋体" w:hAnsi="宋体" w:cs="宋体"/>
          <w:color w:val="000000"/>
          <w:sz w:val="24"/>
          <w:highlight w:val="none"/>
          <w:u w:val="single"/>
        </w:rPr>
        <w:t>具备类似工程</w:t>
      </w:r>
      <w:r>
        <w:rPr>
          <w:rFonts w:ascii="宋体" w:hAnsi="宋体"/>
          <w:color w:val="000000"/>
          <w:sz w:val="24"/>
          <w:highlight w:val="none"/>
        </w:rPr>
        <w:t>业绩，并在人员等方面具有相应的勘察设计咨询能力。</w:t>
      </w:r>
    </w:p>
    <w:p>
      <w:pPr>
        <w:overflowPunct w:val="0"/>
        <w:autoSpaceDN w:val="0"/>
        <w:spacing w:line="360" w:lineRule="auto"/>
        <w:ind w:firstLine="424" w:firstLineChars="177"/>
        <w:rPr>
          <w:rFonts w:ascii="宋体" w:hAnsi="宋体" w:cs="SimSun-Identity-H"/>
          <w:color w:val="000000"/>
          <w:sz w:val="24"/>
          <w:highlight w:val="none"/>
        </w:rPr>
      </w:pPr>
      <w:bookmarkStart w:id="16" w:name="_Toc429403429"/>
      <w:bookmarkStart w:id="17" w:name="_Toc441148214"/>
      <w:r>
        <w:rPr>
          <w:rFonts w:hint="eastAsia" w:ascii="宋体" w:hAnsi="宋体" w:cs="SimSun-Identity-H"/>
          <w:color w:val="000000"/>
          <w:sz w:val="24"/>
          <w:highlight w:val="none"/>
        </w:rPr>
        <w:t>（1）工程勘察综合类甲级资质；</w:t>
      </w:r>
      <w:bookmarkEnd w:id="16"/>
      <w:bookmarkEnd w:id="17"/>
    </w:p>
    <w:p>
      <w:pPr>
        <w:overflowPunct w:val="0"/>
        <w:autoSpaceDN w:val="0"/>
        <w:spacing w:line="360" w:lineRule="auto"/>
        <w:ind w:firstLine="424" w:firstLineChars="177"/>
        <w:rPr>
          <w:rFonts w:ascii="宋体" w:hAnsi="宋体" w:cs="SimSun-Identity-H"/>
          <w:color w:val="000000"/>
          <w:sz w:val="24"/>
          <w:highlight w:val="none"/>
        </w:rPr>
      </w:pPr>
      <w:bookmarkStart w:id="18" w:name="_Toc441148215"/>
      <w:bookmarkStart w:id="19" w:name="_Toc429403430"/>
      <w:r>
        <w:rPr>
          <w:rFonts w:hint="eastAsia" w:ascii="宋体" w:hAnsi="宋体" w:cs="SimSun-Identity-H"/>
          <w:color w:val="000000"/>
          <w:sz w:val="24"/>
          <w:highlight w:val="none"/>
        </w:rPr>
        <w:t>（2）工程设计公路行业（公路、特大桥梁、交通工程）专业甲级资质或工程设计公路行业甲级资质或工程设计综合甲级资质；</w:t>
      </w:r>
      <w:bookmarkEnd w:id="18"/>
      <w:bookmarkEnd w:id="19"/>
    </w:p>
    <w:p>
      <w:pPr>
        <w:spacing w:line="360" w:lineRule="auto"/>
        <w:ind w:firstLine="424" w:firstLineChars="177"/>
        <w:rPr>
          <w:rFonts w:ascii="宋体" w:hAnsi="宋体"/>
          <w:color w:val="000000"/>
          <w:sz w:val="24"/>
          <w:highlight w:val="none"/>
        </w:rPr>
      </w:pPr>
      <w:bookmarkStart w:id="20" w:name="_Toc441148216"/>
      <w:bookmarkStart w:id="21" w:name="_Toc429403431"/>
      <w:r>
        <w:rPr>
          <w:rFonts w:hint="eastAsia" w:ascii="宋体" w:hAnsi="宋体" w:cs="SimSun-Identity-H"/>
          <w:color w:val="000000"/>
          <w:sz w:val="24"/>
          <w:highlight w:val="none"/>
        </w:rPr>
        <w:t>（3）工程咨询资质：全国投资项目在线审批监管平台工程咨询单位的备案（备案专业为公路）。</w:t>
      </w:r>
      <w:bookmarkEnd w:id="20"/>
      <w:bookmarkEnd w:id="21"/>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投标</w:t>
      </w:r>
      <w:r>
        <w:rPr>
          <w:rFonts w:ascii="宋体" w:hAnsi="宋体"/>
          <w:color w:val="000000"/>
          <w:sz w:val="24"/>
          <w:highlight w:val="none"/>
        </w:rPr>
        <w:t>人应</w:t>
      </w:r>
      <w:r>
        <w:rPr>
          <w:rFonts w:hint="eastAsia" w:ascii="宋体" w:hAnsi="宋体"/>
          <w:color w:val="000000"/>
          <w:sz w:val="24"/>
          <w:highlight w:val="none"/>
        </w:rPr>
        <w:t>进入交通运输部“</w:t>
      </w:r>
      <w:r>
        <w:rPr>
          <w:rFonts w:ascii="宋体" w:hAnsi="宋体"/>
          <w:color w:val="000000"/>
          <w:sz w:val="24"/>
          <w:highlight w:val="none"/>
        </w:rPr>
        <w:t>全国公路建设市场信用信息管理系统（http：//glxy.mot.gov.cn）</w:t>
      </w:r>
      <w:r>
        <w:rPr>
          <w:rFonts w:hint="eastAsia" w:ascii="宋体" w:hAnsi="宋体"/>
          <w:color w:val="000000"/>
          <w:sz w:val="24"/>
          <w:highlight w:val="none"/>
        </w:rPr>
        <w:t>”</w:t>
      </w:r>
      <w:r>
        <w:rPr>
          <w:rFonts w:ascii="宋体" w:hAnsi="宋体"/>
          <w:color w:val="000000"/>
          <w:sz w:val="24"/>
          <w:highlight w:val="none"/>
        </w:rPr>
        <w:t>中的公路工程设计资质企业名录，</w:t>
      </w:r>
      <w:r>
        <w:rPr>
          <w:rFonts w:hint="eastAsia" w:ascii="宋体" w:hAnsi="宋体"/>
          <w:color w:val="000000"/>
          <w:sz w:val="24"/>
          <w:highlight w:val="none"/>
        </w:rPr>
        <w:t>且投标人</w:t>
      </w:r>
      <w:r>
        <w:rPr>
          <w:rFonts w:ascii="宋体" w:hAnsi="宋体"/>
          <w:color w:val="000000"/>
          <w:sz w:val="24"/>
          <w:highlight w:val="none"/>
        </w:rPr>
        <w:t>名称</w:t>
      </w:r>
      <w:r>
        <w:rPr>
          <w:rFonts w:hint="eastAsia" w:ascii="宋体" w:hAnsi="宋体"/>
          <w:color w:val="000000"/>
          <w:sz w:val="24"/>
          <w:highlight w:val="none"/>
        </w:rPr>
        <w:t>和</w:t>
      </w:r>
      <w:r>
        <w:rPr>
          <w:rFonts w:ascii="宋体" w:hAnsi="宋体"/>
          <w:color w:val="000000"/>
          <w:sz w:val="24"/>
          <w:highlight w:val="none"/>
        </w:rPr>
        <w:t>资质与</w:t>
      </w:r>
      <w:r>
        <w:rPr>
          <w:rFonts w:hint="eastAsia" w:ascii="宋体" w:hAnsi="宋体"/>
          <w:color w:val="000000"/>
          <w:sz w:val="24"/>
          <w:highlight w:val="none"/>
        </w:rPr>
        <w:t>该</w:t>
      </w:r>
      <w:r>
        <w:rPr>
          <w:rFonts w:ascii="宋体" w:hAnsi="宋体"/>
          <w:color w:val="000000"/>
          <w:sz w:val="24"/>
          <w:highlight w:val="none"/>
        </w:rPr>
        <w:t>名录中的</w:t>
      </w:r>
      <w:r>
        <w:rPr>
          <w:rFonts w:hint="eastAsia" w:ascii="宋体" w:hAnsi="宋体"/>
          <w:color w:val="000000"/>
          <w:sz w:val="24"/>
          <w:highlight w:val="none"/>
        </w:rPr>
        <w:t>相应</w:t>
      </w:r>
      <w:r>
        <w:rPr>
          <w:rFonts w:ascii="宋体" w:hAnsi="宋体"/>
          <w:color w:val="000000"/>
          <w:sz w:val="24"/>
          <w:highlight w:val="none"/>
        </w:rPr>
        <w:t>企业名称</w:t>
      </w:r>
      <w:r>
        <w:rPr>
          <w:rFonts w:hint="eastAsia" w:ascii="宋体" w:hAnsi="宋体"/>
          <w:color w:val="000000"/>
          <w:sz w:val="24"/>
          <w:highlight w:val="none"/>
        </w:rPr>
        <w:t>和</w:t>
      </w:r>
      <w:r>
        <w:rPr>
          <w:rFonts w:ascii="宋体" w:hAnsi="宋体"/>
          <w:color w:val="000000"/>
          <w:sz w:val="24"/>
          <w:highlight w:val="none"/>
        </w:rPr>
        <w:t>资质</w:t>
      </w:r>
      <w:r>
        <w:rPr>
          <w:rFonts w:hint="eastAsia" w:ascii="宋体" w:hAnsi="宋体"/>
          <w:color w:val="000000"/>
          <w:sz w:val="24"/>
          <w:highlight w:val="none"/>
        </w:rPr>
        <w:t>完全</w:t>
      </w:r>
      <w:r>
        <w:rPr>
          <w:rFonts w:ascii="宋体" w:hAnsi="宋体"/>
          <w:color w:val="000000"/>
          <w:sz w:val="24"/>
          <w:highlight w:val="none"/>
        </w:rPr>
        <w:t>一致</w:t>
      </w:r>
      <w:r>
        <w:rPr>
          <w:rFonts w:hint="eastAsia" w:ascii="宋体" w:hAnsi="宋体"/>
          <w:color w:val="000000"/>
          <w:sz w:val="24"/>
          <w:highlight w:val="none"/>
        </w:rPr>
        <w:t>（适用于使用设计资质的单位）</w:t>
      </w:r>
      <w:r>
        <w:rPr>
          <w:rFonts w:ascii="宋体" w:hAnsi="宋体"/>
          <w:color w:val="000000"/>
          <w:sz w:val="24"/>
          <w:highlight w:val="none"/>
        </w:rPr>
        <w:t>。</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3.2</w:t>
      </w:r>
      <w:r>
        <w:rPr>
          <w:rFonts w:hint="eastAsia" w:ascii="宋体" w:hAnsi="宋体"/>
          <w:color w:val="000000"/>
          <w:sz w:val="24"/>
          <w:highlight w:val="none"/>
        </w:rPr>
        <w:t xml:space="preserve"> </w:t>
      </w:r>
      <w:r>
        <w:rPr>
          <w:rFonts w:ascii="宋体" w:hAnsi="宋体"/>
          <w:color w:val="000000"/>
          <w:sz w:val="24"/>
          <w:highlight w:val="none"/>
        </w:rPr>
        <w:t>本次招标</w:t>
      </w:r>
      <w:r>
        <w:rPr>
          <w:rFonts w:ascii="宋体" w:hAnsi="宋体"/>
          <w:color w:val="000000"/>
          <w:sz w:val="24"/>
          <w:highlight w:val="none"/>
          <w:u w:val="single"/>
        </w:rPr>
        <w:t xml:space="preserve"> </w:t>
      </w:r>
      <w:r>
        <w:rPr>
          <w:rFonts w:hint="eastAsia" w:ascii="宋体" w:hAnsi="宋体"/>
          <w:color w:val="000000"/>
          <w:sz w:val="24"/>
          <w:highlight w:val="none"/>
          <w:u w:val="single"/>
        </w:rPr>
        <w:t>接受</w:t>
      </w:r>
      <w:r>
        <w:rPr>
          <w:rFonts w:ascii="宋体" w:hAnsi="宋体"/>
          <w:color w:val="000000"/>
          <w:sz w:val="24"/>
          <w:highlight w:val="none"/>
          <w:u w:val="single"/>
        </w:rPr>
        <w:t xml:space="preserve"> </w:t>
      </w:r>
      <w:r>
        <w:rPr>
          <w:rFonts w:ascii="宋体" w:hAnsi="宋体"/>
          <w:color w:val="000000"/>
          <w:sz w:val="24"/>
          <w:highlight w:val="none"/>
        </w:rPr>
        <w:t>联合体投标</w:t>
      </w:r>
      <w:r>
        <w:rPr>
          <w:rFonts w:hint="eastAsia" w:ascii="宋体" w:hAnsi="宋体"/>
          <w:color w:val="000000"/>
          <w:sz w:val="24"/>
          <w:highlight w:val="none"/>
        </w:rPr>
        <w:t>，</w:t>
      </w:r>
      <w:r>
        <w:rPr>
          <w:rFonts w:ascii="宋体" w:hAnsi="宋体"/>
          <w:color w:val="000000"/>
          <w:sz w:val="24"/>
          <w:highlight w:val="none"/>
        </w:rPr>
        <w:t>联合体投标的，应满足下列要求：</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（1）联合体各方应按招标文件提供的格式签订联合体协议书，明确联合体牵头人和各方权利义务，并承诺就中标项目向招标人承担连带责任；</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（2）由同一专业的单位组成的联合体，按照资质等级较低的单位确定资质等级；</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（3）联合体各方不得再以自己名义单独或参加其他联合体在同一标段中投标；</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（5）尽管委任了联合体牵头人，但联合体各成员在投标、</w:t>
      </w:r>
      <w:r>
        <w:rPr>
          <w:rFonts w:hint="eastAsia" w:ascii="宋体" w:hAnsi="宋体"/>
          <w:color w:val="000000"/>
          <w:sz w:val="24"/>
          <w:highlight w:val="none"/>
        </w:rPr>
        <w:t>签订合同</w:t>
      </w:r>
      <w:r>
        <w:rPr>
          <w:rFonts w:ascii="宋体" w:hAnsi="宋体"/>
          <w:color w:val="000000"/>
          <w:sz w:val="24"/>
          <w:highlight w:val="none"/>
        </w:rPr>
        <w:t>与履行合同过程中，仍负有连带的和各自的法律责任</w:t>
      </w:r>
      <w:r>
        <w:rPr>
          <w:rFonts w:hint="eastAsia" w:ascii="宋体" w:hAnsi="宋体"/>
          <w:color w:val="000000"/>
          <w:sz w:val="24"/>
          <w:highlight w:val="none"/>
        </w:rPr>
        <w:t>；</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（6）联合体牵头人应同时具备上述</w:t>
      </w:r>
      <w:r>
        <w:rPr>
          <w:rFonts w:ascii="宋体" w:hAnsi="宋体"/>
          <w:color w:val="000000"/>
          <w:sz w:val="24"/>
          <w:highlight w:val="none"/>
        </w:rPr>
        <w:t>3.1</w:t>
      </w:r>
      <w:r>
        <w:rPr>
          <w:rFonts w:hint="eastAsia" w:ascii="宋体" w:hAnsi="宋体"/>
          <w:color w:val="000000"/>
          <w:sz w:val="24"/>
          <w:highlight w:val="none"/>
        </w:rPr>
        <w:t>款（1）及（2）的资质或单独具备（3）的资质，</w:t>
      </w:r>
      <w:r>
        <w:rPr>
          <w:rFonts w:hint="eastAsia" w:ascii="宋体" w:hAnsi="宋体" w:cs="宋体"/>
          <w:color w:val="000000"/>
          <w:sz w:val="24"/>
          <w:highlight w:val="none"/>
        </w:rPr>
        <w:t>联合体所有成员（含牵头人）数量不得超过</w:t>
      </w:r>
      <w:r>
        <w:rPr>
          <w:rFonts w:hint="eastAsia" w:ascii="宋体" w:hAnsi="宋体" w:cs="宋体"/>
          <w:color w:val="000000"/>
          <w:sz w:val="24"/>
          <w:highlight w:val="none"/>
          <w:u w:val="single"/>
        </w:rPr>
        <w:t>2</w:t>
      </w:r>
      <w:r>
        <w:rPr>
          <w:rFonts w:hint="eastAsia" w:ascii="宋体" w:hAnsi="宋体" w:cs="宋体"/>
          <w:color w:val="000000"/>
          <w:sz w:val="24"/>
          <w:highlight w:val="none"/>
        </w:rPr>
        <w:t>个</w:t>
      </w:r>
      <w:r>
        <w:rPr>
          <w:rFonts w:hint="eastAsia" w:ascii="宋体" w:hAnsi="宋体"/>
          <w:color w:val="000000"/>
          <w:sz w:val="24"/>
          <w:highlight w:val="none"/>
        </w:rPr>
        <w:t>；</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3本项目的勘察设计中标单位及与其存在利害关系的单位均不得参加本项目的勘察设计咨询投标。</w:t>
      </w:r>
    </w:p>
    <w:p>
      <w:pPr>
        <w:tabs>
          <w:tab w:val="left" w:pos="360"/>
        </w:tabs>
        <w:spacing w:line="360" w:lineRule="auto"/>
        <w:ind w:firstLine="480" w:firstLineChars="200"/>
        <w:rPr>
          <w:rFonts w:ascii="宋体" w:hAnsi="宋体"/>
          <w:color w:val="000000"/>
          <w:sz w:val="24"/>
          <w:highlight w:val="none"/>
        </w:rPr>
      </w:pPr>
      <w:bookmarkStart w:id="22" w:name="_Hlk493498874"/>
      <w:r>
        <w:rPr>
          <w:rFonts w:ascii="宋体" w:hAnsi="宋体"/>
          <w:color w:val="000000"/>
          <w:sz w:val="24"/>
          <w:highlight w:val="none"/>
        </w:rPr>
        <w:t>3.</w:t>
      </w:r>
      <w:r>
        <w:rPr>
          <w:rFonts w:hint="eastAsia" w:ascii="宋体" w:hAnsi="宋体"/>
          <w:color w:val="000000"/>
          <w:sz w:val="24"/>
          <w:highlight w:val="none"/>
        </w:rPr>
        <w:t>4与招标人存在利害关系可能影响招标公正性的单位，不得参加投标；若单位负责人</w:t>
      </w:r>
      <w:r>
        <w:rPr>
          <w:rFonts w:ascii="宋体" w:hAnsi="宋体"/>
          <w:color w:val="000000"/>
          <w:sz w:val="24"/>
          <w:highlight w:val="none"/>
          <w:vertAlign w:val="superscript"/>
        </w:rPr>
        <w:footnoteReference w:id="0"/>
      </w:r>
      <w:r>
        <w:rPr>
          <w:rFonts w:hint="eastAsia" w:ascii="宋体" w:hAnsi="宋体"/>
          <w:color w:val="000000"/>
          <w:sz w:val="24"/>
          <w:highlight w:val="none"/>
        </w:rPr>
        <w:t>为同一人、或者存在控股</w:t>
      </w:r>
      <w:r>
        <w:rPr>
          <w:rFonts w:ascii="宋体" w:hAnsi="宋体"/>
          <w:color w:val="000000"/>
          <w:sz w:val="24"/>
          <w:highlight w:val="none"/>
          <w:vertAlign w:val="superscript"/>
        </w:rPr>
        <w:footnoteReference w:id="1"/>
      </w:r>
      <w:r>
        <w:rPr>
          <w:rFonts w:hint="eastAsia" w:ascii="宋体" w:hAnsi="宋体"/>
          <w:color w:val="000000"/>
          <w:sz w:val="24"/>
          <w:highlight w:val="none"/>
        </w:rPr>
        <w:t>、管理关系</w:t>
      </w:r>
      <w:r>
        <w:rPr>
          <w:rFonts w:ascii="宋体" w:hAnsi="宋体"/>
          <w:color w:val="000000"/>
          <w:sz w:val="24"/>
          <w:highlight w:val="none"/>
          <w:vertAlign w:val="superscript"/>
        </w:rPr>
        <w:footnoteReference w:id="2"/>
      </w:r>
      <w:r>
        <w:rPr>
          <w:rFonts w:hint="eastAsia" w:ascii="宋体" w:hAnsi="宋体"/>
          <w:color w:val="000000"/>
          <w:sz w:val="24"/>
          <w:highlight w:val="none"/>
        </w:rPr>
        <w:t>的不同单位，不得参加同一标段投标或者未划分标段的同一招标项目投标，否则相关投标均无效。</w:t>
      </w:r>
      <w:bookmarkEnd w:id="22"/>
    </w:p>
    <w:p>
      <w:pPr>
        <w:tabs>
          <w:tab w:val="left" w:pos="360"/>
        </w:tabs>
        <w:spacing w:line="360" w:lineRule="auto"/>
        <w:ind w:firstLine="480" w:firstLineChars="200"/>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5</w:t>
      </w:r>
      <w:bookmarkStart w:id="23" w:name="_Hlk14439573"/>
      <w:r>
        <w:rPr>
          <w:rFonts w:hint="eastAsia" w:ascii="宋体" w:hAnsi="宋体"/>
          <w:color w:val="000000"/>
          <w:sz w:val="24"/>
          <w:highlight w:val="none"/>
        </w:rPr>
        <w:t>在“信用中国”网站（</w:t>
      </w:r>
      <w:r>
        <w:rPr>
          <w:rFonts w:ascii="宋体" w:hAnsi="宋体"/>
          <w:color w:val="000000"/>
          <w:highlight w:val="none"/>
        </w:rPr>
        <w:fldChar w:fldCharType="begin"/>
      </w:r>
      <w:r>
        <w:rPr>
          <w:rFonts w:ascii="宋体" w:hAnsi="宋体"/>
          <w:color w:val="000000"/>
          <w:highlight w:val="none"/>
        </w:rPr>
        <w:instrText xml:space="preserve">HYPERLINK "http://www.creditchina.gov.cn/)%e4%b8%ad%e8%a2%ab%e5%88%97%e5%85%a5%e5%a4%b1%e4%bf%a1%e8%a2%ab%e6%89%a7"</w:instrText>
      </w:r>
      <w:r>
        <w:rPr>
          <w:rFonts w:ascii="宋体" w:hAnsi="宋体"/>
          <w:color w:val="000000"/>
          <w:highlight w:val="none"/>
        </w:rPr>
        <w:fldChar w:fldCharType="separate"/>
      </w:r>
      <w:r>
        <w:rPr>
          <w:rFonts w:ascii="宋体" w:hAnsi="宋体"/>
          <w:color w:val="000000"/>
          <w:sz w:val="24"/>
          <w:highlight w:val="none"/>
        </w:rPr>
        <w:t>http://www.creditchina.gov.cn/)中被列入失信被执</w:t>
      </w:r>
      <w:r>
        <w:rPr>
          <w:rFonts w:ascii="宋体" w:hAnsi="宋体"/>
          <w:color w:val="000000"/>
          <w:highlight w:val="none"/>
        </w:rPr>
        <w:fldChar w:fldCharType="end"/>
      </w:r>
      <w:r>
        <w:rPr>
          <w:rFonts w:hint="eastAsia" w:ascii="宋体" w:hAnsi="宋体"/>
          <w:color w:val="000000"/>
          <w:sz w:val="24"/>
          <w:highlight w:val="none"/>
        </w:rPr>
        <w:t>行人名单的投标人（投标人为事业单位不需要提交）；在国家企业信用信息公示系统（</w:t>
      </w:r>
      <w:r>
        <w:rPr>
          <w:rFonts w:ascii="宋体" w:hAnsi="宋体"/>
          <w:color w:val="000000"/>
          <w:sz w:val="24"/>
          <w:highlight w:val="none"/>
        </w:rPr>
        <w:t>www.gsxt.gov.cn）中被列入严重违法失信企业名单的</w:t>
      </w:r>
      <w:r>
        <w:rPr>
          <w:rFonts w:hint="eastAsia" w:ascii="宋体" w:hAnsi="宋体"/>
          <w:color w:val="000000"/>
          <w:sz w:val="24"/>
          <w:highlight w:val="none"/>
        </w:rPr>
        <w:t>投标人（投标人为事业单位不需要提交），均不得参加投标。</w:t>
      </w:r>
      <w:bookmarkEnd w:id="23"/>
    </w:p>
    <w:p>
      <w:pPr>
        <w:tabs>
          <w:tab w:val="left" w:pos="360"/>
        </w:tabs>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3.6 </w:t>
      </w:r>
      <w:bookmarkStart w:id="24" w:name="_Hlk14428042"/>
      <w:r>
        <w:rPr>
          <w:rFonts w:hint="eastAsia" w:ascii="宋体" w:hAnsi="宋体"/>
          <w:color w:val="000000"/>
          <w:sz w:val="24"/>
          <w:highlight w:val="none"/>
        </w:rPr>
        <w:t>投标人已在广州公共资源交易中心办理企业信息登记，投标人企业信息登记详情参见广州公共资源交易网（http://www.gzzb.gd.cn）服务指南栏目）。</w:t>
      </w:r>
      <w:bookmarkEnd w:id="24"/>
    </w:p>
    <w:p>
      <w:pPr>
        <w:pStyle w:val="4"/>
        <w:spacing w:before="0" w:after="0" w:line="360" w:lineRule="auto"/>
        <w:jc w:val="left"/>
        <w:rPr>
          <w:rFonts w:hint="eastAsia" w:eastAsia="宋体"/>
          <w:b/>
          <w:bCs w:val="0"/>
          <w:i w:val="0"/>
          <w:iCs w:val="0"/>
          <w:color w:val="000000"/>
          <w:sz w:val="28"/>
          <w:szCs w:val="28"/>
          <w:highlight w:val="none"/>
        </w:rPr>
      </w:pPr>
      <w:bookmarkStart w:id="25" w:name="_Toc7160"/>
      <w:bookmarkStart w:id="26" w:name="_Toc508984048"/>
      <w:bookmarkStart w:id="27" w:name="_Toc234832848"/>
      <w:bookmarkStart w:id="28" w:name="_Toc508984246"/>
      <w:bookmarkStart w:id="29" w:name="_Toc503235718"/>
      <w:r>
        <w:rPr>
          <w:rFonts w:hint="eastAsia" w:eastAsia="宋体"/>
          <w:b/>
          <w:bCs w:val="0"/>
          <w:i w:val="0"/>
          <w:iCs w:val="0"/>
          <w:color w:val="000000"/>
          <w:sz w:val="28"/>
          <w:szCs w:val="28"/>
          <w:highlight w:val="none"/>
        </w:rPr>
        <w:t>4</w:t>
      </w:r>
      <w:r>
        <w:rPr>
          <w:rFonts w:eastAsia="宋体"/>
          <w:b/>
          <w:bCs w:val="0"/>
          <w:i w:val="0"/>
          <w:iCs w:val="0"/>
          <w:color w:val="000000"/>
          <w:sz w:val="28"/>
          <w:szCs w:val="28"/>
          <w:highlight w:val="none"/>
        </w:rPr>
        <w:t>. 招标文件的获取</w:t>
      </w:r>
      <w:bookmarkEnd w:id="25"/>
      <w:bookmarkEnd w:id="26"/>
      <w:bookmarkEnd w:id="27"/>
      <w:bookmarkEnd w:id="28"/>
      <w:bookmarkEnd w:id="29"/>
      <w:r>
        <w:rPr>
          <w:rFonts w:eastAsia="宋体"/>
          <w:b/>
          <w:bCs w:val="0"/>
          <w:i w:val="0"/>
          <w:iCs w:val="0"/>
          <w:color w:val="000000"/>
          <w:sz w:val="28"/>
          <w:szCs w:val="28"/>
          <w:highlight w:val="none"/>
        </w:rPr>
        <w:tab/>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4.1凡有意参加投标者，请于</w:t>
      </w:r>
      <w:r>
        <w:rPr>
          <w:rFonts w:hint="eastAsia" w:ascii="宋体" w:hAnsi="宋体" w:cs="宋体"/>
          <w:color w:val="000000"/>
          <w:sz w:val="24"/>
          <w:szCs w:val="24"/>
          <w:highlight w:val="none"/>
          <w:u w:val="single"/>
          <w:lang w:val="en-US" w:eastAsia="zh-CN"/>
        </w:rPr>
        <w:t>2024</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u w:val="single"/>
          <w:lang w:val="en-US" w:eastAsia="zh-CN"/>
        </w:rPr>
        <w:t>7</w:t>
      </w:r>
      <w:r>
        <w:rPr>
          <w:rFonts w:hint="eastAsia" w:ascii="宋体" w:hAnsi="宋体" w:eastAsia="宋体" w:cs="宋体"/>
          <w:color w:val="000000"/>
          <w:sz w:val="24"/>
          <w:szCs w:val="24"/>
          <w:highlight w:val="none"/>
          <w:u w:val="none"/>
        </w:rPr>
        <w:t>月</w:t>
      </w:r>
      <w:r>
        <w:rPr>
          <w:rFonts w:hint="eastAsia" w:ascii="宋体" w:hAnsi="宋体" w:cs="宋体"/>
          <w:color w:val="000000"/>
          <w:sz w:val="24"/>
          <w:szCs w:val="24"/>
          <w:highlight w:val="none"/>
          <w:u w:val="single"/>
          <w:lang w:val="en-US" w:eastAsia="zh-CN"/>
        </w:rPr>
        <w:t>5</w:t>
      </w:r>
      <w:r>
        <w:rPr>
          <w:rFonts w:hint="eastAsia" w:ascii="宋体" w:hAnsi="宋体" w:eastAsia="宋体" w:cs="宋体"/>
          <w:color w:val="000000"/>
          <w:sz w:val="24"/>
          <w:szCs w:val="24"/>
          <w:highlight w:val="none"/>
          <w:u w:val="none"/>
        </w:rPr>
        <w:t>日</w:t>
      </w:r>
      <w:r>
        <w:rPr>
          <w:rFonts w:hint="eastAsia" w:ascii="宋体" w:hAnsi="宋体" w:cs="宋体"/>
          <w:color w:val="000000"/>
          <w:sz w:val="24"/>
          <w:szCs w:val="24"/>
          <w:highlight w:val="none"/>
          <w:u w:val="single"/>
          <w:lang w:val="en-US" w:eastAsia="zh-CN"/>
        </w:rPr>
        <w:t>00</w:t>
      </w:r>
      <w:r>
        <w:rPr>
          <w:rFonts w:hint="eastAsia" w:ascii="宋体" w:hAnsi="宋体" w:cs="宋体"/>
          <w:color w:val="000000"/>
          <w:sz w:val="24"/>
          <w:szCs w:val="24"/>
          <w:highlight w:val="none"/>
          <w:u w:val="none"/>
          <w:lang w:val="en-US" w:eastAsia="zh-CN"/>
        </w:rPr>
        <w:t>时</w:t>
      </w:r>
      <w:r>
        <w:rPr>
          <w:rFonts w:hint="eastAsia" w:ascii="宋体" w:hAnsi="宋体" w:cs="宋体"/>
          <w:color w:val="000000"/>
          <w:sz w:val="24"/>
          <w:szCs w:val="24"/>
          <w:highlight w:val="none"/>
          <w:u w:val="single"/>
          <w:lang w:val="en-US" w:eastAsia="zh-CN"/>
        </w:rPr>
        <w:t>00</w:t>
      </w:r>
      <w:r>
        <w:rPr>
          <w:rFonts w:hint="eastAsia" w:ascii="宋体" w:hAnsi="宋体" w:cs="宋体"/>
          <w:color w:val="000000"/>
          <w:sz w:val="24"/>
          <w:szCs w:val="24"/>
          <w:highlight w:val="none"/>
          <w:u w:val="none"/>
          <w:lang w:val="en-US" w:eastAsia="zh-CN"/>
        </w:rPr>
        <w:t>分</w:t>
      </w:r>
      <w:r>
        <w:rPr>
          <w:rFonts w:hint="eastAsia" w:ascii="宋体" w:hAnsi="宋体" w:eastAsia="宋体" w:cs="宋体"/>
          <w:color w:val="000000"/>
          <w:sz w:val="24"/>
          <w:szCs w:val="24"/>
          <w:highlight w:val="none"/>
        </w:rPr>
        <w:t>至</w:t>
      </w:r>
      <w:r>
        <w:rPr>
          <w:rFonts w:hint="eastAsia" w:ascii="宋体" w:hAnsi="宋体" w:cs="宋体"/>
          <w:color w:val="000000"/>
          <w:sz w:val="24"/>
          <w:szCs w:val="24"/>
          <w:highlight w:val="none"/>
          <w:u w:val="single"/>
          <w:lang w:val="en-US" w:eastAsia="zh-CN"/>
        </w:rPr>
        <w:t>2024</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u w:val="single"/>
          <w:lang w:val="en-US" w:eastAsia="zh-CN"/>
        </w:rPr>
        <w:t>7</w:t>
      </w:r>
      <w:r>
        <w:rPr>
          <w:rFonts w:hint="eastAsia" w:ascii="宋体" w:hAnsi="宋体" w:eastAsia="宋体" w:cs="宋体"/>
          <w:color w:val="000000"/>
          <w:sz w:val="24"/>
          <w:szCs w:val="24"/>
          <w:highlight w:val="none"/>
          <w:u w:val="none"/>
        </w:rPr>
        <w:t>月</w:t>
      </w:r>
      <w:r>
        <w:rPr>
          <w:rFonts w:hint="eastAsia" w:ascii="宋体" w:hAnsi="宋体" w:cs="宋体"/>
          <w:color w:val="000000"/>
          <w:sz w:val="24"/>
          <w:szCs w:val="24"/>
          <w:highlight w:val="none"/>
          <w:u w:val="single"/>
          <w:lang w:val="en-US" w:eastAsia="zh-CN"/>
        </w:rPr>
        <w:t>12</w:t>
      </w:r>
      <w:r>
        <w:rPr>
          <w:rFonts w:hint="eastAsia" w:ascii="宋体" w:hAnsi="宋体" w:eastAsia="宋体" w:cs="宋体"/>
          <w:color w:val="000000"/>
          <w:sz w:val="24"/>
          <w:szCs w:val="24"/>
          <w:highlight w:val="none"/>
          <w:u w:val="none"/>
        </w:rPr>
        <w:t>日</w:t>
      </w:r>
      <w:r>
        <w:rPr>
          <w:rFonts w:hint="eastAsia" w:ascii="宋体" w:hAnsi="宋体" w:cs="宋体"/>
          <w:color w:val="000000"/>
          <w:sz w:val="24"/>
          <w:szCs w:val="24"/>
          <w:highlight w:val="none"/>
          <w:u w:val="single"/>
          <w:lang w:val="en-US" w:eastAsia="zh-CN"/>
        </w:rPr>
        <w:t>00</w:t>
      </w:r>
      <w:r>
        <w:rPr>
          <w:rFonts w:hint="eastAsia" w:ascii="宋体" w:hAnsi="宋体" w:cs="宋体"/>
          <w:color w:val="000000"/>
          <w:sz w:val="24"/>
          <w:szCs w:val="24"/>
          <w:highlight w:val="none"/>
          <w:u w:val="none"/>
          <w:lang w:val="en-US" w:eastAsia="zh-CN"/>
        </w:rPr>
        <w:t>时</w:t>
      </w:r>
      <w:r>
        <w:rPr>
          <w:rFonts w:hint="eastAsia" w:ascii="宋体" w:hAnsi="宋体" w:cs="宋体"/>
          <w:color w:val="000000"/>
          <w:sz w:val="24"/>
          <w:szCs w:val="24"/>
          <w:highlight w:val="none"/>
          <w:u w:val="single"/>
          <w:lang w:val="en-US" w:eastAsia="zh-CN"/>
        </w:rPr>
        <w:t>00</w:t>
      </w:r>
      <w:r>
        <w:rPr>
          <w:rFonts w:hint="eastAsia" w:ascii="宋体" w:hAnsi="宋体" w:cs="宋体"/>
          <w:color w:val="000000"/>
          <w:sz w:val="24"/>
          <w:szCs w:val="24"/>
          <w:highlight w:val="none"/>
          <w:u w:val="none"/>
          <w:lang w:val="en-US" w:eastAsia="zh-CN"/>
        </w:rPr>
        <w:t>分</w:t>
      </w:r>
      <w:r>
        <w:rPr>
          <w:rFonts w:hint="eastAsia" w:ascii="宋体" w:hAnsi="宋体" w:eastAsia="宋体" w:cs="宋体"/>
          <w:color w:val="000000"/>
          <w:sz w:val="24"/>
          <w:szCs w:val="24"/>
          <w:highlight w:val="none"/>
        </w:rPr>
        <w:t>（北京时间，下同），登陆广州公共资源交易中心网站（http://www.gzggzy.cn）交易平台（即电子招标投标交易平台，下同）选择对应招标项目进行投标登记</w:t>
      </w:r>
      <w:r>
        <w:rPr>
          <w:rFonts w:hint="eastAsia" w:ascii="宋体" w:hAnsi="宋体" w:eastAsia="宋体" w:cs="宋体"/>
          <w:color w:val="000000"/>
          <w:sz w:val="24"/>
          <w:szCs w:val="24"/>
          <w:highlight w:val="none"/>
          <w:lang w:val="en-US" w:eastAsia="zh-CN"/>
        </w:rPr>
        <w:t>后可</w:t>
      </w:r>
      <w:r>
        <w:rPr>
          <w:rFonts w:hint="eastAsia" w:ascii="宋体" w:hAnsi="宋体" w:eastAsia="宋体" w:cs="宋体"/>
          <w:color w:val="000000"/>
          <w:sz w:val="24"/>
          <w:szCs w:val="24"/>
          <w:highlight w:val="none"/>
        </w:rPr>
        <w:t>下载招标文件等相关资料。</w:t>
      </w:r>
    </w:p>
    <w:p>
      <w:pPr>
        <w:pStyle w:val="4"/>
        <w:spacing w:before="0" w:after="0" w:line="360" w:lineRule="auto"/>
        <w:jc w:val="left"/>
        <w:rPr>
          <w:rFonts w:eastAsia="宋体"/>
          <w:b/>
          <w:bCs w:val="0"/>
          <w:i w:val="0"/>
          <w:iCs w:val="0"/>
          <w:color w:val="000000"/>
          <w:sz w:val="28"/>
          <w:szCs w:val="28"/>
          <w:highlight w:val="none"/>
        </w:rPr>
      </w:pPr>
      <w:bookmarkStart w:id="30" w:name="_Toc234832849"/>
      <w:bookmarkStart w:id="31" w:name="_Toc16804"/>
      <w:bookmarkStart w:id="32" w:name="_Toc508984247"/>
      <w:bookmarkStart w:id="33" w:name="_Toc508984049"/>
      <w:bookmarkStart w:id="34" w:name="_Toc503235719"/>
      <w:r>
        <w:rPr>
          <w:rFonts w:hint="eastAsia" w:eastAsia="宋体"/>
          <w:b/>
          <w:bCs w:val="0"/>
          <w:i w:val="0"/>
          <w:iCs w:val="0"/>
          <w:color w:val="000000"/>
          <w:sz w:val="28"/>
          <w:szCs w:val="28"/>
          <w:highlight w:val="none"/>
        </w:rPr>
        <w:t>5</w:t>
      </w:r>
      <w:r>
        <w:rPr>
          <w:rFonts w:eastAsia="宋体"/>
          <w:b/>
          <w:bCs w:val="0"/>
          <w:i w:val="0"/>
          <w:iCs w:val="0"/>
          <w:color w:val="000000"/>
          <w:sz w:val="28"/>
          <w:szCs w:val="28"/>
          <w:highlight w:val="none"/>
        </w:rPr>
        <w:t>. 投标文件的递交及相关事宜</w:t>
      </w:r>
      <w:bookmarkEnd w:id="30"/>
      <w:bookmarkEnd w:id="31"/>
      <w:bookmarkEnd w:id="32"/>
      <w:bookmarkEnd w:id="33"/>
      <w:bookmarkEnd w:id="34"/>
    </w:p>
    <w:p>
      <w:pPr>
        <w:spacing w:line="360" w:lineRule="auto"/>
        <w:ind w:firstLine="480" w:firstLineChars="200"/>
        <w:rPr>
          <w:rFonts w:ascii="宋体" w:hAnsi="宋体" w:cs="宋体"/>
          <w:color w:val="000000"/>
          <w:sz w:val="24"/>
          <w:highlight w:val="none"/>
        </w:rPr>
      </w:pPr>
      <w:r>
        <w:rPr>
          <w:rFonts w:hint="eastAsia" w:ascii="宋体" w:hAnsi="宋体"/>
          <w:color w:val="000000"/>
          <w:sz w:val="24"/>
          <w:highlight w:val="none"/>
        </w:rPr>
        <w:t>5</w:t>
      </w:r>
      <w:r>
        <w:rPr>
          <w:rFonts w:ascii="宋体" w:hAnsi="宋体"/>
          <w:color w:val="000000"/>
          <w:sz w:val="24"/>
          <w:highlight w:val="none"/>
        </w:rPr>
        <w:t xml:space="preserve">.1 </w:t>
      </w:r>
      <w:r>
        <w:rPr>
          <w:rFonts w:hint="eastAsia" w:ascii="宋体" w:hAnsi="宋体" w:cs="宋体"/>
          <w:color w:val="000000"/>
          <w:sz w:val="24"/>
          <w:highlight w:val="none"/>
        </w:rPr>
        <w:t>招标人将不组织工程现场踏勘及投标预备会。</w:t>
      </w:r>
    </w:p>
    <w:p>
      <w:pPr>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rPr>
        <w:t>5.2投标文件递交的截止时间（投标截止时间，下同）为</w:t>
      </w:r>
      <w:r>
        <w:rPr>
          <w:rFonts w:hint="eastAsia" w:ascii="宋体" w:hAnsi="宋体"/>
          <w:color w:val="000000"/>
          <w:sz w:val="24"/>
          <w:szCs w:val="24"/>
          <w:highlight w:val="none"/>
          <w:u w:val="single"/>
          <w:lang w:val="en-US" w:eastAsia="zh-CN"/>
        </w:rPr>
        <w:t>2024</w:t>
      </w:r>
      <w:r>
        <w:rPr>
          <w:rFonts w:hint="eastAsia" w:ascii="宋体" w:hAnsi="宋体"/>
          <w:color w:val="000000"/>
          <w:sz w:val="24"/>
          <w:szCs w:val="24"/>
          <w:highlight w:val="none"/>
        </w:rPr>
        <w:t>年</w:t>
      </w:r>
      <w:r>
        <w:rPr>
          <w:rFonts w:hint="eastAsia" w:ascii="宋体" w:hAnsi="宋体"/>
          <w:color w:val="000000"/>
          <w:sz w:val="24"/>
          <w:szCs w:val="24"/>
          <w:highlight w:val="none"/>
          <w:u w:val="single"/>
          <w:lang w:val="en-US" w:eastAsia="zh-CN"/>
        </w:rPr>
        <w:t>7</w:t>
      </w:r>
      <w:r>
        <w:rPr>
          <w:rFonts w:hint="eastAsia" w:ascii="宋体" w:hAnsi="宋体"/>
          <w:color w:val="000000"/>
          <w:sz w:val="24"/>
          <w:szCs w:val="24"/>
          <w:highlight w:val="none"/>
        </w:rPr>
        <w:t>月</w:t>
      </w:r>
      <w:r>
        <w:rPr>
          <w:rFonts w:hint="eastAsia" w:ascii="宋体" w:hAnsi="宋体"/>
          <w:color w:val="000000"/>
          <w:sz w:val="24"/>
          <w:szCs w:val="24"/>
          <w:highlight w:val="none"/>
          <w:u w:val="single"/>
          <w:lang w:val="en-US" w:eastAsia="zh-CN"/>
        </w:rPr>
        <w:t>26</w:t>
      </w:r>
      <w:r>
        <w:rPr>
          <w:rFonts w:hint="eastAsia" w:ascii="宋体" w:hAnsi="宋体"/>
          <w:color w:val="000000"/>
          <w:sz w:val="24"/>
          <w:szCs w:val="24"/>
          <w:highlight w:val="none"/>
        </w:rPr>
        <w:t>日</w:t>
      </w:r>
      <w:r>
        <w:rPr>
          <w:rFonts w:hint="eastAsia" w:ascii="宋体" w:hAnsi="宋体"/>
          <w:color w:val="000000"/>
          <w:sz w:val="24"/>
          <w:szCs w:val="24"/>
          <w:highlight w:val="none"/>
          <w:u w:val="single"/>
          <w:lang w:val="en-US" w:eastAsia="zh-CN"/>
        </w:rPr>
        <w:t>09</w:t>
      </w:r>
      <w:r>
        <w:rPr>
          <w:rFonts w:hint="eastAsia" w:ascii="宋体" w:hAnsi="宋体"/>
          <w:color w:val="000000"/>
          <w:sz w:val="24"/>
          <w:szCs w:val="24"/>
          <w:highlight w:val="none"/>
        </w:rPr>
        <w:t>时</w:t>
      </w:r>
      <w:r>
        <w:rPr>
          <w:rFonts w:hint="eastAsia" w:ascii="宋体" w:hAnsi="宋体"/>
          <w:color w:val="000000"/>
          <w:sz w:val="24"/>
          <w:szCs w:val="24"/>
          <w:highlight w:val="none"/>
          <w:u w:val="single"/>
          <w:lang w:val="en-US" w:eastAsia="zh-CN"/>
        </w:rPr>
        <w:t>00</w:t>
      </w:r>
      <w:r>
        <w:rPr>
          <w:rFonts w:hint="eastAsia" w:ascii="宋体" w:hAnsi="宋体"/>
          <w:color w:val="000000"/>
          <w:sz w:val="24"/>
          <w:szCs w:val="24"/>
          <w:highlight w:val="none"/>
        </w:rPr>
        <w:t>分。投标文件电子文件统一采用网络上传的方式，投标人</w:t>
      </w:r>
      <w:r>
        <w:rPr>
          <w:rFonts w:hint="eastAsia" w:ascii="宋体" w:hAnsi="宋体" w:cs="宋体"/>
          <w:color w:val="000000"/>
          <w:sz w:val="24"/>
          <w:szCs w:val="24"/>
          <w:highlight w:val="none"/>
          <w:u w:val="single"/>
          <w:lang w:val="en-US" w:eastAsia="zh-CN"/>
        </w:rPr>
        <w:t>2024</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u w:val="single"/>
          <w:lang w:val="en-US" w:eastAsia="zh-CN"/>
        </w:rPr>
        <w:t>7</w:t>
      </w:r>
      <w:r>
        <w:rPr>
          <w:rFonts w:hint="eastAsia" w:ascii="宋体" w:hAnsi="宋体" w:eastAsia="宋体" w:cs="宋体"/>
          <w:color w:val="000000"/>
          <w:sz w:val="24"/>
          <w:szCs w:val="24"/>
          <w:highlight w:val="none"/>
          <w:u w:val="none"/>
        </w:rPr>
        <w:t>月</w:t>
      </w:r>
      <w:r>
        <w:rPr>
          <w:rFonts w:hint="eastAsia" w:ascii="宋体" w:hAnsi="宋体" w:cs="宋体"/>
          <w:color w:val="000000"/>
          <w:sz w:val="24"/>
          <w:szCs w:val="24"/>
          <w:highlight w:val="none"/>
          <w:u w:val="single"/>
          <w:lang w:val="en-US" w:eastAsia="zh-CN"/>
        </w:rPr>
        <w:t>5</w:t>
      </w:r>
      <w:r>
        <w:rPr>
          <w:rFonts w:hint="eastAsia" w:ascii="宋体" w:hAnsi="宋体" w:eastAsia="宋体" w:cs="宋体"/>
          <w:color w:val="000000"/>
          <w:sz w:val="24"/>
          <w:szCs w:val="24"/>
          <w:highlight w:val="none"/>
          <w:u w:val="none"/>
        </w:rPr>
        <w:t>日</w:t>
      </w:r>
      <w:r>
        <w:rPr>
          <w:rFonts w:hint="eastAsia" w:ascii="宋体" w:hAnsi="宋体" w:cs="宋体"/>
          <w:color w:val="000000"/>
          <w:sz w:val="24"/>
          <w:szCs w:val="24"/>
          <w:highlight w:val="none"/>
          <w:u w:val="single"/>
          <w:lang w:val="en-US" w:eastAsia="zh-CN"/>
        </w:rPr>
        <w:t>00</w:t>
      </w:r>
      <w:r>
        <w:rPr>
          <w:rFonts w:hint="eastAsia" w:ascii="宋体" w:hAnsi="宋体" w:cs="宋体"/>
          <w:color w:val="000000"/>
          <w:sz w:val="24"/>
          <w:szCs w:val="24"/>
          <w:highlight w:val="none"/>
          <w:u w:val="none"/>
          <w:lang w:val="en-US" w:eastAsia="zh-CN"/>
        </w:rPr>
        <w:t>时</w:t>
      </w:r>
      <w:r>
        <w:rPr>
          <w:rFonts w:hint="eastAsia" w:ascii="宋体" w:hAnsi="宋体" w:cs="宋体"/>
          <w:color w:val="000000"/>
          <w:sz w:val="24"/>
          <w:szCs w:val="24"/>
          <w:highlight w:val="none"/>
          <w:u w:val="single"/>
          <w:lang w:val="en-US" w:eastAsia="zh-CN"/>
        </w:rPr>
        <w:t>00</w:t>
      </w:r>
      <w:r>
        <w:rPr>
          <w:rFonts w:hint="eastAsia" w:ascii="宋体" w:hAnsi="宋体" w:cs="宋体"/>
          <w:color w:val="000000"/>
          <w:sz w:val="24"/>
          <w:szCs w:val="24"/>
          <w:highlight w:val="none"/>
          <w:u w:val="none"/>
          <w:lang w:val="en-US" w:eastAsia="zh-CN"/>
        </w:rPr>
        <w:t>分</w:t>
      </w:r>
      <w:r>
        <w:rPr>
          <w:rFonts w:hint="eastAsia" w:ascii="宋体" w:hAnsi="宋体"/>
          <w:color w:val="000000"/>
          <w:sz w:val="24"/>
          <w:szCs w:val="24"/>
          <w:highlight w:val="none"/>
        </w:rPr>
        <w:t>至</w:t>
      </w:r>
      <w:r>
        <w:rPr>
          <w:rFonts w:hint="eastAsia" w:ascii="宋体" w:hAnsi="宋体"/>
          <w:color w:val="000000"/>
          <w:sz w:val="24"/>
          <w:szCs w:val="24"/>
          <w:highlight w:val="none"/>
          <w:u w:val="single"/>
          <w:lang w:val="en-US" w:eastAsia="zh-CN"/>
        </w:rPr>
        <w:t>2024</w:t>
      </w:r>
      <w:r>
        <w:rPr>
          <w:rFonts w:hint="eastAsia" w:ascii="宋体" w:hAnsi="宋体"/>
          <w:color w:val="000000"/>
          <w:sz w:val="24"/>
          <w:szCs w:val="24"/>
          <w:highlight w:val="none"/>
        </w:rPr>
        <w:t>年</w:t>
      </w:r>
      <w:r>
        <w:rPr>
          <w:rFonts w:hint="eastAsia" w:ascii="宋体" w:hAnsi="宋体"/>
          <w:color w:val="000000"/>
          <w:sz w:val="24"/>
          <w:szCs w:val="24"/>
          <w:highlight w:val="none"/>
          <w:u w:val="single"/>
          <w:lang w:val="en-US" w:eastAsia="zh-CN"/>
        </w:rPr>
        <w:t>7</w:t>
      </w:r>
      <w:r>
        <w:rPr>
          <w:rFonts w:hint="eastAsia" w:ascii="宋体" w:hAnsi="宋体"/>
          <w:color w:val="000000"/>
          <w:sz w:val="24"/>
          <w:szCs w:val="24"/>
          <w:highlight w:val="none"/>
        </w:rPr>
        <w:t>月</w:t>
      </w:r>
      <w:r>
        <w:rPr>
          <w:rFonts w:hint="eastAsia" w:ascii="宋体" w:hAnsi="宋体"/>
          <w:color w:val="000000"/>
          <w:sz w:val="24"/>
          <w:szCs w:val="24"/>
          <w:highlight w:val="none"/>
          <w:u w:val="single"/>
          <w:lang w:val="en-US" w:eastAsia="zh-CN"/>
        </w:rPr>
        <w:t>26</w:t>
      </w:r>
      <w:r>
        <w:rPr>
          <w:rFonts w:hint="eastAsia" w:ascii="宋体" w:hAnsi="宋体"/>
          <w:color w:val="000000"/>
          <w:sz w:val="24"/>
          <w:szCs w:val="24"/>
          <w:highlight w:val="none"/>
        </w:rPr>
        <w:t>日</w:t>
      </w:r>
      <w:r>
        <w:rPr>
          <w:rFonts w:hint="eastAsia" w:ascii="宋体" w:hAnsi="宋体"/>
          <w:color w:val="000000"/>
          <w:sz w:val="24"/>
          <w:szCs w:val="24"/>
          <w:highlight w:val="none"/>
          <w:u w:val="single"/>
          <w:lang w:val="en-US" w:eastAsia="zh-CN"/>
        </w:rPr>
        <w:t>09</w:t>
      </w:r>
      <w:r>
        <w:rPr>
          <w:rFonts w:hint="eastAsia" w:ascii="宋体" w:hAnsi="宋体"/>
          <w:color w:val="000000"/>
          <w:sz w:val="24"/>
          <w:szCs w:val="24"/>
          <w:highlight w:val="none"/>
        </w:rPr>
        <w:t>时</w:t>
      </w:r>
      <w:r>
        <w:rPr>
          <w:rFonts w:hint="eastAsia" w:ascii="宋体" w:hAnsi="宋体"/>
          <w:color w:val="000000"/>
          <w:sz w:val="24"/>
          <w:szCs w:val="24"/>
          <w:highlight w:val="none"/>
          <w:u w:val="single"/>
          <w:lang w:val="en-US" w:eastAsia="zh-CN"/>
        </w:rPr>
        <w:t>00</w:t>
      </w:r>
      <w:r>
        <w:rPr>
          <w:rFonts w:hint="eastAsia" w:ascii="宋体" w:hAnsi="宋体"/>
          <w:color w:val="000000"/>
          <w:sz w:val="24"/>
          <w:szCs w:val="24"/>
          <w:highlight w:val="none"/>
        </w:rPr>
        <w:t>分将电子文件完整上传。</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5.3未在投标截止时间前完成电子投标文件上传的，视为逾期送达，招标人（“电子招标投标交易平台”）将拒绝接收。</w:t>
      </w:r>
    </w:p>
    <w:p>
      <w:pPr>
        <w:pStyle w:val="4"/>
        <w:spacing w:before="0" w:after="0" w:line="360" w:lineRule="auto"/>
        <w:jc w:val="left"/>
        <w:rPr>
          <w:rFonts w:eastAsia="宋体"/>
          <w:b/>
          <w:bCs w:val="0"/>
          <w:i w:val="0"/>
          <w:iCs w:val="0"/>
          <w:color w:val="000000"/>
          <w:sz w:val="28"/>
          <w:szCs w:val="28"/>
          <w:highlight w:val="none"/>
        </w:rPr>
      </w:pPr>
      <w:bookmarkStart w:id="35" w:name="_Toc25372"/>
      <w:bookmarkStart w:id="36" w:name="_Toc508984050"/>
      <w:bookmarkStart w:id="37" w:name="_Toc503235720"/>
      <w:bookmarkStart w:id="38" w:name="_Toc234832850"/>
      <w:bookmarkStart w:id="39" w:name="_Toc508984248"/>
      <w:r>
        <w:rPr>
          <w:rFonts w:hint="eastAsia" w:eastAsia="宋体"/>
          <w:b/>
          <w:bCs w:val="0"/>
          <w:i w:val="0"/>
          <w:iCs w:val="0"/>
          <w:color w:val="000000"/>
          <w:sz w:val="28"/>
          <w:szCs w:val="28"/>
          <w:highlight w:val="none"/>
        </w:rPr>
        <w:t>6</w:t>
      </w:r>
      <w:r>
        <w:rPr>
          <w:rFonts w:eastAsia="宋体"/>
          <w:b/>
          <w:bCs w:val="0"/>
          <w:i w:val="0"/>
          <w:iCs w:val="0"/>
          <w:color w:val="000000"/>
          <w:sz w:val="28"/>
          <w:szCs w:val="28"/>
          <w:highlight w:val="none"/>
        </w:rPr>
        <w:t>.</w:t>
      </w:r>
      <w:r>
        <w:rPr>
          <w:rFonts w:hint="eastAsia" w:eastAsia="宋体"/>
          <w:b/>
          <w:bCs w:val="0"/>
          <w:i w:val="0"/>
          <w:iCs w:val="0"/>
          <w:color w:val="000000"/>
          <w:sz w:val="28"/>
          <w:szCs w:val="28"/>
          <w:highlight w:val="none"/>
        </w:rPr>
        <w:t xml:space="preserve"> </w:t>
      </w:r>
      <w:r>
        <w:rPr>
          <w:rFonts w:eastAsia="宋体"/>
          <w:b/>
          <w:bCs w:val="0"/>
          <w:i w:val="0"/>
          <w:iCs w:val="0"/>
          <w:color w:val="000000"/>
          <w:sz w:val="28"/>
          <w:szCs w:val="28"/>
          <w:highlight w:val="none"/>
        </w:rPr>
        <w:t>发布公告的媒介</w:t>
      </w:r>
      <w:bookmarkEnd w:id="35"/>
      <w:bookmarkEnd w:id="36"/>
      <w:bookmarkEnd w:id="37"/>
      <w:bookmarkEnd w:id="38"/>
      <w:bookmarkEnd w:id="39"/>
    </w:p>
    <w:p>
      <w:pPr>
        <w:pStyle w:val="5"/>
        <w:topLinePunct/>
        <w:spacing w:line="360" w:lineRule="auto"/>
        <w:ind w:firstLine="480" w:firstLineChars="200"/>
        <w:rPr>
          <w:rFonts w:hAnsi="宋体"/>
          <w:color w:val="000000"/>
          <w:szCs w:val="24"/>
          <w:highlight w:val="none"/>
        </w:rPr>
      </w:pPr>
      <w:r>
        <w:rPr>
          <w:rFonts w:hint="eastAsia" w:hAnsi="宋体" w:cs="宋体"/>
          <w:color w:val="000000"/>
          <w:szCs w:val="24"/>
          <w:highlight w:val="none"/>
        </w:rPr>
        <w:t>本次招标公告同时在</w:t>
      </w:r>
      <w:r>
        <w:rPr>
          <w:color w:val="000000"/>
          <w:sz w:val="24"/>
          <w:highlight w:val="none"/>
          <w:u w:val="single"/>
        </w:rPr>
        <w:t>中国招标投标公共服务平台</w:t>
      </w:r>
      <w:r>
        <w:rPr>
          <w:rFonts w:hint="eastAsia"/>
          <w:color w:val="000000"/>
          <w:sz w:val="24"/>
          <w:highlight w:val="none"/>
          <w:u w:val="single"/>
          <w:lang w:eastAsia="zh-CN"/>
        </w:rPr>
        <w:t>、</w:t>
      </w:r>
      <w:r>
        <w:rPr>
          <w:rFonts w:hint="eastAsia" w:hAnsi="宋体" w:cs="宋体"/>
          <w:color w:val="000000"/>
          <w:szCs w:val="24"/>
          <w:highlight w:val="none"/>
          <w:u w:val="single"/>
        </w:rPr>
        <w:t>广东省招标投标监管网、广州公共资源交易中心网站、</w:t>
      </w:r>
      <w:r>
        <w:rPr>
          <w:rFonts w:hint="eastAsia" w:hAnsi="宋体"/>
          <w:color w:val="000000"/>
          <w:szCs w:val="24"/>
          <w:highlight w:val="none"/>
          <w:u w:val="single"/>
          <w:lang w:eastAsia="zh-CN"/>
        </w:rPr>
        <w:t>广州国企阳光采购信息发布平台</w:t>
      </w:r>
      <w:r>
        <w:rPr>
          <w:rFonts w:hint="eastAsia" w:hAnsi="宋体" w:cs="宋体"/>
          <w:color w:val="000000"/>
          <w:szCs w:val="24"/>
          <w:highlight w:val="none"/>
        </w:rPr>
        <w:t>上发布。</w:t>
      </w:r>
      <w:r>
        <w:rPr>
          <w:rFonts w:hint="eastAsia" w:hAnsi="宋体"/>
          <w:color w:val="000000"/>
          <w:highlight w:val="none"/>
        </w:rPr>
        <w:t>如公告详细内容不一致者，以</w:t>
      </w:r>
      <w:r>
        <w:rPr>
          <w:rFonts w:hint="eastAsia" w:hAnsi="宋体"/>
          <w:color w:val="000000"/>
          <w:highlight w:val="none"/>
          <w:u w:val="single"/>
        </w:rPr>
        <w:t>广东省招标投标监管网</w:t>
      </w:r>
      <w:r>
        <w:rPr>
          <w:rFonts w:hint="eastAsia" w:hAnsi="宋体"/>
          <w:color w:val="000000"/>
          <w:highlight w:val="none"/>
        </w:rPr>
        <w:t>公告为准</w:t>
      </w:r>
      <w:r>
        <w:rPr>
          <w:rFonts w:hAnsi="宋体"/>
          <w:color w:val="000000"/>
          <w:szCs w:val="24"/>
          <w:highlight w:val="none"/>
        </w:rPr>
        <w:t>。</w:t>
      </w:r>
    </w:p>
    <w:p>
      <w:pPr>
        <w:pStyle w:val="5"/>
        <w:topLinePunct/>
        <w:spacing w:line="360" w:lineRule="auto"/>
        <w:ind w:firstLine="480" w:firstLineChars="200"/>
        <w:rPr>
          <w:rFonts w:hAnsi="宋体"/>
          <w:color w:val="000000"/>
          <w:szCs w:val="24"/>
          <w:highlight w:val="none"/>
        </w:rPr>
      </w:pPr>
      <w:r>
        <w:rPr>
          <w:rFonts w:hint="eastAsia" w:hAnsi="宋体"/>
          <w:color w:val="000000"/>
          <w:szCs w:val="21"/>
          <w:highlight w:val="none"/>
        </w:rPr>
        <w:t>在规定的招标文件获取期间，如购买招标文件的投标人不足3家时，招标人依法有权选择以下任一方式：（1）在</w:t>
      </w:r>
      <w:r>
        <w:rPr>
          <w:rFonts w:hint="eastAsia" w:hAnsi="宋体"/>
          <w:color w:val="000000"/>
          <w:szCs w:val="21"/>
          <w:highlight w:val="none"/>
          <w:u w:val="single"/>
        </w:rPr>
        <w:t>广州公共资源交易中心</w:t>
      </w:r>
      <w:r>
        <w:rPr>
          <w:rFonts w:hint="eastAsia"/>
          <w:color w:val="000000"/>
          <w:sz w:val="24"/>
          <w:highlight w:val="none"/>
          <w:u w:val="single"/>
          <w:lang w:eastAsia="zh-CN"/>
        </w:rPr>
        <w:t>、</w:t>
      </w:r>
      <w:r>
        <w:rPr>
          <w:rFonts w:hint="eastAsia" w:hAnsi="宋体" w:cs="宋体"/>
          <w:color w:val="000000"/>
          <w:szCs w:val="24"/>
          <w:highlight w:val="none"/>
          <w:u w:val="single"/>
        </w:rPr>
        <w:t>广东省招标投标监管网、</w:t>
      </w:r>
      <w:r>
        <w:rPr>
          <w:color w:val="000000"/>
          <w:sz w:val="24"/>
          <w:highlight w:val="none"/>
          <w:u w:val="single"/>
        </w:rPr>
        <w:t>中国招标投标公共服务平台</w:t>
      </w:r>
      <w:r>
        <w:rPr>
          <w:rFonts w:hint="eastAsia"/>
          <w:color w:val="000000"/>
          <w:sz w:val="24"/>
          <w:highlight w:val="none"/>
          <w:u w:val="single"/>
          <w:lang w:eastAsia="zh-CN"/>
        </w:rPr>
        <w:t>、</w:t>
      </w:r>
      <w:r>
        <w:rPr>
          <w:rFonts w:hint="eastAsia" w:hAnsi="宋体"/>
          <w:color w:val="000000"/>
          <w:szCs w:val="24"/>
          <w:highlight w:val="none"/>
          <w:u w:val="single"/>
          <w:lang w:eastAsia="zh-CN"/>
        </w:rPr>
        <w:t>广州国企阳光采购信息发布平台</w:t>
      </w:r>
      <w:r>
        <w:rPr>
          <w:rFonts w:hint="eastAsia" w:hAnsi="宋体"/>
          <w:color w:val="000000"/>
          <w:szCs w:val="21"/>
          <w:highlight w:val="none"/>
        </w:rPr>
        <w:t>发布公告延长招标文件获取时间，在延期招标文件获取时间内，已获取招标文件的投标人的资料仍有效并可自行补充资料，未获取招标文件的投标人可根据公告的约定获取招标文件；（2）依法重新组织招标。</w:t>
      </w:r>
    </w:p>
    <w:p>
      <w:pPr>
        <w:pStyle w:val="4"/>
        <w:spacing w:before="0" w:after="0" w:line="360" w:lineRule="auto"/>
        <w:jc w:val="left"/>
        <w:rPr>
          <w:rFonts w:eastAsia="宋体"/>
          <w:b/>
          <w:bCs w:val="0"/>
          <w:i w:val="0"/>
          <w:iCs w:val="0"/>
          <w:color w:val="000000"/>
          <w:sz w:val="28"/>
          <w:szCs w:val="28"/>
          <w:highlight w:val="none"/>
        </w:rPr>
      </w:pPr>
      <w:bookmarkStart w:id="40" w:name="_Toc503235721"/>
      <w:bookmarkStart w:id="41" w:name="_Toc2796"/>
      <w:bookmarkStart w:id="42" w:name="_Toc508984249"/>
      <w:bookmarkStart w:id="43" w:name="_Toc234832851"/>
      <w:bookmarkStart w:id="44" w:name="_Toc508984051"/>
      <w:r>
        <w:rPr>
          <w:rFonts w:hint="eastAsia" w:eastAsia="宋体"/>
          <w:b/>
          <w:bCs w:val="0"/>
          <w:i w:val="0"/>
          <w:iCs w:val="0"/>
          <w:color w:val="000000"/>
          <w:sz w:val="28"/>
          <w:szCs w:val="28"/>
          <w:highlight w:val="none"/>
        </w:rPr>
        <w:t>7</w:t>
      </w:r>
      <w:r>
        <w:rPr>
          <w:rFonts w:eastAsia="宋体"/>
          <w:b/>
          <w:bCs w:val="0"/>
          <w:i w:val="0"/>
          <w:iCs w:val="0"/>
          <w:color w:val="000000"/>
          <w:sz w:val="28"/>
          <w:szCs w:val="28"/>
          <w:highlight w:val="none"/>
        </w:rPr>
        <w:t>. 联系方式</w:t>
      </w:r>
      <w:bookmarkEnd w:id="40"/>
      <w:bookmarkEnd w:id="41"/>
      <w:bookmarkEnd w:id="42"/>
      <w:bookmarkEnd w:id="43"/>
      <w:bookmarkEnd w:id="44"/>
    </w:p>
    <w:p>
      <w:pPr>
        <w:topLinePunct/>
        <w:spacing w:line="360" w:lineRule="auto"/>
        <w:rPr>
          <w:rFonts w:ascii="宋体" w:hAnsi="宋体"/>
          <w:color w:val="000000"/>
          <w:sz w:val="24"/>
          <w:highlight w:val="none"/>
        </w:rPr>
      </w:pPr>
      <w:r>
        <w:rPr>
          <w:rFonts w:ascii="宋体" w:hAnsi="宋体"/>
          <w:color w:val="000000"/>
          <w:sz w:val="24"/>
          <w:highlight w:val="none"/>
        </w:rPr>
        <w:t>招 标 人：</w:t>
      </w:r>
      <w:r>
        <w:rPr>
          <w:rFonts w:hint="eastAsia" w:ascii="宋体" w:hAnsi="宋体"/>
          <w:color w:val="000000"/>
          <w:sz w:val="24"/>
          <w:highlight w:val="none"/>
          <w:u w:val="single"/>
        </w:rPr>
        <w:t>广州市高速公路有限公司</w:t>
      </w:r>
    </w:p>
    <w:p>
      <w:pPr>
        <w:topLinePunct/>
        <w:spacing w:line="360" w:lineRule="auto"/>
        <w:rPr>
          <w:rFonts w:hint="eastAsia" w:ascii="宋体" w:hAnsi="宋体" w:eastAsia="宋体"/>
          <w:color w:val="000000"/>
          <w:sz w:val="24"/>
          <w:highlight w:val="none"/>
          <w:lang w:eastAsia="zh-CN"/>
        </w:rPr>
      </w:pPr>
      <w:r>
        <w:rPr>
          <w:rFonts w:ascii="宋体" w:hAnsi="宋体"/>
          <w:color w:val="000000"/>
          <w:sz w:val="24"/>
          <w:highlight w:val="none"/>
        </w:rPr>
        <w:t>地</w:t>
      </w:r>
      <w:r>
        <w:rPr>
          <w:rFonts w:hint="eastAsia" w:ascii="宋体" w:hAnsi="宋体"/>
          <w:color w:val="000000"/>
          <w:sz w:val="24"/>
          <w:highlight w:val="none"/>
        </w:rPr>
        <w:t xml:space="preserve">    </w:t>
      </w:r>
      <w:r>
        <w:rPr>
          <w:rFonts w:ascii="宋体" w:hAnsi="宋体"/>
          <w:color w:val="000000"/>
          <w:sz w:val="24"/>
          <w:highlight w:val="none"/>
        </w:rPr>
        <w:t>址：</w:t>
      </w:r>
      <w:r>
        <w:rPr>
          <w:rFonts w:hint="eastAsia" w:ascii="宋体" w:hAnsi="宋体"/>
          <w:color w:val="000000"/>
          <w:sz w:val="24"/>
          <w:highlight w:val="none"/>
          <w:u w:val="single"/>
          <w:lang w:eastAsia="zh-CN"/>
        </w:rPr>
        <w:t>广州市海珠区新港东路1138号智通广场A塔9-11层</w:t>
      </w:r>
    </w:p>
    <w:p>
      <w:pPr>
        <w:topLinePunct/>
        <w:spacing w:line="360" w:lineRule="auto"/>
        <w:rPr>
          <w:rFonts w:hint="eastAsia" w:ascii="宋体" w:hAnsi="宋体" w:eastAsia="宋体"/>
          <w:color w:val="000000"/>
          <w:sz w:val="24"/>
          <w:highlight w:val="none"/>
          <w:lang w:eastAsia="zh-CN"/>
        </w:rPr>
      </w:pPr>
      <w:r>
        <w:rPr>
          <w:rFonts w:ascii="宋体" w:hAnsi="宋体"/>
          <w:color w:val="000000"/>
          <w:sz w:val="24"/>
          <w:highlight w:val="none"/>
        </w:rPr>
        <w:t>邮    编：</w:t>
      </w:r>
      <w:r>
        <w:rPr>
          <w:rFonts w:hint="eastAsia" w:ascii="宋体" w:hAnsi="宋体"/>
          <w:color w:val="000000"/>
          <w:sz w:val="24"/>
          <w:highlight w:val="none"/>
          <w:u w:val="single"/>
          <w:lang w:eastAsia="zh-CN"/>
        </w:rPr>
        <w:t>510000</w:t>
      </w:r>
    </w:p>
    <w:p>
      <w:pPr>
        <w:topLinePunct/>
        <w:spacing w:line="360" w:lineRule="auto"/>
        <w:rPr>
          <w:rFonts w:hint="eastAsia" w:ascii="宋体" w:hAnsi="宋体"/>
          <w:color w:val="000000"/>
          <w:sz w:val="24"/>
          <w:highlight w:val="none"/>
        </w:rPr>
      </w:pPr>
      <w:r>
        <w:rPr>
          <w:rFonts w:ascii="宋体" w:hAnsi="宋体"/>
          <w:color w:val="000000"/>
          <w:sz w:val="24"/>
          <w:highlight w:val="none"/>
        </w:rPr>
        <w:t>联 系 人：</w:t>
      </w:r>
      <w:r>
        <w:rPr>
          <w:rFonts w:hint="eastAsia" w:ascii="宋体" w:hAnsi="宋体" w:cs="宋体"/>
          <w:color w:val="000000"/>
          <w:sz w:val="24"/>
          <w:szCs w:val="24"/>
          <w:highlight w:val="none"/>
          <w:u w:val="single"/>
        </w:rPr>
        <w:t>纪工</w:t>
      </w:r>
    </w:p>
    <w:p>
      <w:pPr>
        <w:topLinePunct/>
        <w:spacing w:line="360" w:lineRule="auto"/>
        <w:rPr>
          <w:rFonts w:hint="eastAsia" w:ascii="宋体" w:hAnsi="宋体"/>
          <w:color w:val="000000"/>
          <w:sz w:val="24"/>
          <w:highlight w:val="none"/>
        </w:rPr>
      </w:pPr>
      <w:r>
        <w:rPr>
          <w:rFonts w:ascii="宋体" w:hAnsi="宋体"/>
          <w:color w:val="000000"/>
          <w:sz w:val="24"/>
          <w:highlight w:val="none"/>
        </w:rPr>
        <w:t>电</w:t>
      </w:r>
      <w:r>
        <w:rPr>
          <w:rFonts w:hint="eastAsia" w:ascii="宋体" w:hAnsi="宋体"/>
          <w:color w:val="000000"/>
          <w:sz w:val="24"/>
          <w:highlight w:val="none"/>
        </w:rPr>
        <w:t xml:space="preserve"> </w:t>
      </w:r>
      <w:r>
        <w:rPr>
          <w:rFonts w:ascii="宋体" w:hAnsi="宋体"/>
          <w:color w:val="000000"/>
          <w:sz w:val="24"/>
          <w:highlight w:val="none"/>
        </w:rPr>
        <w:t xml:space="preserve">   话：</w:t>
      </w:r>
      <w:r>
        <w:rPr>
          <w:rFonts w:hint="eastAsia" w:ascii="宋体" w:hAnsi="宋体" w:cs="宋体"/>
          <w:color w:val="000000"/>
          <w:sz w:val="24"/>
          <w:highlight w:val="none"/>
          <w:u w:val="single"/>
          <w:lang w:bidi="ar"/>
        </w:rPr>
        <w:t>020－84029950-</w:t>
      </w:r>
      <w:r>
        <w:rPr>
          <w:rFonts w:ascii="宋体" w:hAnsi="宋体" w:cs="宋体"/>
          <w:color w:val="000000"/>
          <w:sz w:val="24"/>
          <w:highlight w:val="none"/>
          <w:u w:val="single"/>
          <w:lang w:bidi="ar"/>
        </w:rPr>
        <w:t>8895</w:t>
      </w:r>
    </w:p>
    <w:p>
      <w:pPr>
        <w:spacing w:line="360" w:lineRule="auto"/>
        <w:rPr>
          <w:rFonts w:hint="eastAsia" w:ascii="宋体" w:hAnsi="宋体"/>
          <w:color w:val="000000"/>
          <w:sz w:val="24"/>
          <w:highlight w:val="none"/>
        </w:rPr>
      </w:pPr>
      <w:bookmarkStart w:id="45" w:name="_GoBack"/>
      <w:bookmarkEnd w:id="45"/>
    </w:p>
    <w:p>
      <w:pPr>
        <w:topLinePunct/>
        <w:spacing w:line="360" w:lineRule="auto"/>
        <w:rPr>
          <w:rFonts w:hint="eastAsia" w:ascii="宋体" w:hAnsi="宋体" w:eastAsia="宋体"/>
          <w:color w:val="000000"/>
          <w:sz w:val="24"/>
          <w:highlight w:val="none"/>
          <w:lang w:eastAsia="zh-CN"/>
        </w:rPr>
      </w:pPr>
      <w:r>
        <w:rPr>
          <w:rFonts w:ascii="宋体" w:hAnsi="宋体"/>
          <w:color w:val="000000"/>
          <w:sz w:val="24"/>
          <w:highlight w:val="none"/>
        </w:rPr>
        <w:t>招标代理：</w:t>
      </w:r>
      <w:r>
        <w:rPr>
          <w:rFonts w:hint="eastAsia" w:ascii="宋体" w:hAnsi="宋体"/>
          <w:color w:val="000000"/>
          <w:sz w:val="24"/>
          <w:highlight w:val="none"/>
          <w:u w:val="single"/>
          <w:lang w:eastAsia="zh-CN"/>
        </w:rPr>
        <w:t>广东粤信项目管理有限公司</w:t>
      </w:r>
    </w:p>
    <w:p>
      <w:pPr>
        <w:topLinePunct/>
        <w:spacing w:line="360" w:lineRule="auto"/>
        <w:rPr>
          <w:rFonts w:ascii="宋体" w:hAnsi="宋体"/>
          <w:color w:val="000000"/>
          <w:sz w:val="24"/>
          <w:highlight w:val="none"/>
        </w:rPr>
      </w:pPr>
      <w:r>
        <w:rPr>
          <w:rFonts w:ascii="宋体" w:hAnsi="宋体"/>
          <w:color w:val="000000"/>
          <w:sz w:val="24"/>
          <w:highlight w:val="none"/>
        </w:rPr>
        <w:t>地    址：</w:t>
      </w:r>
      <w:r>
        <w:rPr>
          <w:rFonts w:hint="eastAsia" w:ascii="宋体" w:hAnsi="宋体"/>
          <w:color w:val="000000"/>
          <w:sz w:val="24"/>
          <w:szCs w:val="24"/>
          <w:highlight w:val="none"/>
          <w:u w:val="single"/>
        </w:rPr>
        <w:t>广州市天河区天寿路31号江河大厦1305室</w:t>
      </w:r>
    </w:p>
    <w:p>
      <w:pPr>
        <w:topLinePunct/>
        <w:spacing w:line="360" w:lineRule="auto"/>
        <w:rPr>
          <w:rFonts w:hint="default" w:ascii="宋体" w:hAnsi="宋体" w:eastAsia="宋体"/>
          <w:color w:val="000000"/>
          <w:sz w:val="24"/>
          <w:highlight w:val="none"/>
          <w:lang w:val="en-US" w:eastAsia="zh-CN"/>
        </w:rPr>
      </w:pPr>
      <w:r>
        <w:rPr>
          <w:rFonts w:ascii="宋体" w:hAnsi="宋体"/>
          <w:color w:val="000000"/>
          <w:sz w:val="24"/>
          <w:highlight w:val="none"/>
        </w:rPr>
        <w:t>邮    编：</w:t>
      </w:r>
      <w:r>
        <w:rPr>
          <w:rFonts w:hint="eastAsia" w:ascii="宋体" w:hAnsi="宋体"/>
          <w:color w:val="000000"/>
          <w:sz w:val="24"/>
          <w:highlight w:val="none"/>
          <w:u w:val="single"/>
        </w:rPr>
        <w:t>5</w:t>
      </w:r>
      <w:r>
        <w:rPr>
          <w:rFonts w:ascii="宋体" w:hAnsi="宋体"/>
          <w:color w:val="000000"/>
          <w:sz w:val="24"/>
          <w:highlight w:val="none"/>
          <w:u w:val="single"/>
        </w:rPr>
        <w:t>106</w:t>
      </w:r>
      <w:r>
        <w:rPr>
          <w:rFonts w:hint="eastAsia" w:ascii="宋体" w:hAnsi="宋体"/>
          <w:color w:val="000000"/>
          <w:sz w:val="24"/>
          <w:highlight w:val="none"/>
          <w:u w:val="single"/>
          <w:lang w:val="en-US" w:eastAsia="zh-CN"/>
        </w:rPr>
        <w:t>10</w:t>
      </w:r>
    </w:p>
    <w:p>
      <w:pPr>
        <w:topLinePunct/>
        <w:spacing w:line="360" w:lineRule="auto"/>
        <w:rPr>
          <w:rFonts w:ascii="宋体" w:hAnsi="宋体"/>
          <w:color w:val="000000"/>
          <w:sz w:val="24"/>
          <w:highlight w:val="none"/>
        </w:rPr>
      </w:pPr>
      <w:r>
        <w:rPr>
          <w:rFonts w:ascii="宋体" w:hAnsi="宋体"/>
          <w:color w:val="000000"/>
          <w:sz w:val="24"/>
          <w:highlight w:val="none"/>
        </w:rPr>
        <w:t>联 系</w:t>
      </w:r>
      <w:r>
        <w:rPr>
          <w:rFonts w:hint="eastAsia" w:ascii="宋体" w:hAnsi="宋体"/>
          <w:color w:val="000000"/>
          <w:sz w:val="24"/>
          <w:highlight w:val="none"/>
        </w:rPr>
        <w:t xml:space="preserve"> </w:t>
      </w:r>
      <w:r>
        <w:rPr>
          <w:rFonts w:ascii="宋体" w:hAnsi="宋体"/>
          <w:color w:val="000000"/>
          <w:sz w:val="24"/>
          <w:highlight w:val="none"/>
        </w:rPr>
        <w:t>人：</w:t>
      </w:r>
      <w:r>
        <w:rPr>
          <w:rFonts w:hint="eastAsia" w:ascii="宋体" w:hAnsi="宋体"/>
          <w:color w:val="000000"/>
          <w:sz w:val="24"/>
          <w:highlight w:val="none"/>
          <w:u w:val="single"/>
        </w:rPr>
        <w:t>王工</w:t>
      </w:r>
    </w:p>
    <w:p>
      <w:pPr>
        <w:topLinePunct/>
        <w:spacing w:line="360" w:lineRule="auto"/>
        <w:rPr>
          <w:rFonts w:hint="eastAsia" w:ascii="宋体" w:hAnsi="宋体"/>
          <w:color w:val="000000"/>
          <w:sz w:val="24"/>
          <w:highlight w:val="none"/>
        </w:rPr>
      </w:pPr>
      <w:r>
        <w:rPr>
          <w:rFonts w:ascii="宋体" w:hAnsi="宋体"/>
          <w:color w:val="000000"/>
          <w:sz w:val="24"/>
          <w:highlight w:val="none"/>
        </w:rPr>
        <w:t>电    话：</w:t>
      </w:r>
      <w:r>
        <w:rPr>
          <w:rFonts w:hint="eastAsia" w:ascii="宋体" w:hAnsi="宋体"/>
          <w:color w:val="000000"/>
          <w:sz w:val="24"/>
          <w:szCs w:val="24"/>
          <w:highlight w:val="none"/>
          <w:u w:val="single"/>
        </w:rPr>
        <w:t>020-37209484-</w:t>
      </w:r>
      <w:r>
        <w:rPr>
          <w:rFonts w:hint="eastAsia" w:ascii="宋体" w:hAnsi="宋体"/>
          <w:color w:val="000000"/>
          <w:sz w:val="24"/>
          <w:szCs w:val="24"/>
          <w:highlight w:val="none"/>
          <w:u w:val="single"/>
          <w:lang w:val="en-US" w:eastAsia="zh-CN"/>
        </w:rPr>
        <w:t>821</w:t>
      </w:r>
      <w:r>
        <w:rPr>
          <w:rFonts w:hint="eastAsia" w:ascii="宋体" w:hAnsi="宋体"/>
          <w:color w:val="000000"/>
          <w:sz w:val="24"/>
          <w:szCs w:val="24"/>
          <w:highlight w:val="none"/>
          <w:u w:val="single"/>
        </w:rPr>
        <w:t>/18820054044</w:t>
      </w:r>
    </w:p>
    <w:p>
      <w:pPr>
        <w:topLinePunct/>
        <w:spacing w:line="360" w:lineRule="auto"/>
        <w:rPr>
          <w:rFonts w:hint="eastAsia" w:ascii="宋体" w:hAnsi="宋体"/>
          <w:color w:val="000000"/>
          <w:sz w:val="24"/>
          <w:highlight w:val="none"/>
          <w:u w:val="single"/>
        </w:rPr>
      </w:pPr>
      <w:r>
        <w:rPr>
          <w:rFonts w:ascii="宋体" w:hAnsi="宋体"/>
          <w:color w:val="000000"/>
          <w:sz w:val="24"/>
          <w:highlight w:val="none"/>
        </w:rPr>
        <w:t>传    真：</w:t>
      </w:r>
      <w:r>
        <w:rPr>
          <w:rFonts w:hint="eastAsia" w:ascii="宋体" w:hAnsi="宋体"/>
          <w:color w:val="000000"/>
          <w:sz w:val="24"/>
          <w:szCs w:val="24"/>
          <w:highlight w:val="none"/>
          <w:u w:val="single"/>
        </w:rPr>
        <w:t>020-37209484</w:t>
      </w:r>
    </w:p>
    <w:p>
      <w:pPr>
        <w:topLinePunct/>
        <w:spacing w:line="360" w:lineRule="auto"/>
        <w:rPr>
          <w:rFonts w:ascii="宋体" w:hAnsi="宋体"/>
          <w:color w:val="000000"/>
          <w:sz w:val="24"/>
          <w:highlight w:val="none"/>
        </w:rPr>
      </w:pPr>
      <w:r>
        <w:rPr>
          <w:rFonts w:hint="eastAsia" w:ascii="宋体" w:hAnsi="宋体"/>
          <w:color w:val="000000"/>
          <w:sz w:val="24"/>
          <w:highlight w:val="none"/>
        </w:rPr>
        <w:t>电子邮箱：gdyxxg@163.com</w:t>
      </w:r>
    </w:p>
    <w:p>
      <w:pPr>
        <w:topLinePunct/>
        <w:spacing w:line="360" w:lineRule="auto"/>
        <w:jc w:val="left"/>
        <w:rPr>
          <w:rFonts w:hint="eastAsia" w:ascii="宋体" w:hAnsi="宋体"/>
          <w:color w:val="000000"/>
          <w:sz w:val="24"/>
          <w:highlight w:val="none"/>
          <w:lang w:eastAsia="zh-CN"/>
        </w:rPr>
      </w:pPr>
    </w:p>
    <w:p>
      <w:pPr>
        <w:topLinePunct/>
        <w:spacing w:line="360" w:lineRule="auto"/>
        <w:rPr>
          <w:rFonts w:hint="default" w:ascii="宋体" w:hAnsi="宋体" w:eastAsia="宋体" w:cs="Times New Roman"/>
          <w:color w:val="000000"/>
          <w:sz w:val="24"/>
          <w:highlight w:val="none"/>
          <w:u w:val="single"/>
          <w:lang w:val="en-US" w:eastAsia="zh-CN"/>
        </w:rPr>
      </w:pPr>
      <w:r>
        <w:rPr>
          <w:rFonts w:hint="eastAsia" w:ascii="宋体" w:hAnsi="宋体" w:eastAsia="宋体" w:cs="Times New Roman"/>
          <w:color w:val="000000"/>
          <w:sz w:val="24"/>
          <w:highlight w:val="none"/>
          <w:lang w:val="en-US" w:eastAsia="zh-CN"/>
        </w:rPr>
        <w:t>异议受理部门：</w:t>
      </w:r>
      <w:r>
        <w:rPr>
          <w:rFonts w:hint="eastAsia" w:ascii="宋体" w:hAnsi="宋体" w:eastAsia="宋体" w:cs="Times New Roman"/>
          <w:color w:val="000000"/>
          <w:sz w:val="24"/>
          <w:highlight w:val="none"/>
          <w:u w:val="single"/>
          <w:lang w:val="en-US" w:eastAsia="zh-CN"/>
        </w:rPr>
        <w:t>广州市高速公路有限公司</w:t>
      </w:r>
    </w:p>
    <w:p>
      <w:pPr>
        <w:topLinePunct/>
        <w:spacing w:line="360" w:lineRule="auto"/>
        <w:rPr>
          <w:rFonts w:hint="eastAsia" w:ascii="宋体" w:hAnsi="宋体" w:eastAsia="宋体" w:cs="Times New Roman"/>
          <w:color w:val="000000"/>
          <w:sz w:val="24"/>
          <w:highlight w:val="none"/>
          <w:u w:val="single"/>
          <w:lang w:val="en-US" w:eastAsia="zh-CN"/>
        </w:rPr>
      </w:pPr>
      <w:r>
        <w:rPr>
          <w:rFonts w:hint="eastAsia" w:ascii="宋体" w:hAnsi="宋体" w:eastAsia="宋体" w:cs="Times New Roman"/>
          <w:color w:val="000000"/>
          <w:sz w:val="24"/>
          <w:highlight w:val="none"/>
          <w:lang w:val="en-US" w:eastAsia="zh-CN"/>
        </w:rPr>
        <w:t>异议受理电话：</w:t>
      </w:r>
      <w:r>
        <w:rPr>
          <w:rFonts w:hint="eastAsia" w:ascii="宋体" w:hAnsi="宋体" w:eastAsia="宋体" w:cs="Times New Roman"/>
          <w:color w:val="000000"/>
          <w:sz w:val="24"/>
          <w:highlight w:val="none"/>
          <w:u w:val="single"/>
          <w:lang w:val="en-US" w:eastAsia="zh-CN"/>
        </w:rPr>
        <w:t>020-84018295</w:t>
      </w:r>
    </w:p>
    <w:p>
      <w:pPr>
        <w:topLinePunct/>
        <w:spacing w:line="360" w:lineRule="auto"/>
        <w:rPr>
          <w:rFonts w:hint="default" w:ascii="宋体" w:hAnsi="宋体" w:eastAsia="宋体" w:cs="Times New Roman"/>
          <w:color w:val="000000"/>
          <w:sz w:val="24"/>
          <w:highlight w:val="none"/>
          <w:u w:val="single"/>
          <w:lang w:val="en-US" w:eastAsia="zh-CN"/>
        </w:rPr>
      </w:pPr>
      <w:r>
        <w:rPr>
          <w:rFonts w:hint="eastAsia" w:ascii="宋体" w:hAnsi="宋体" w:eastAsia="宋体" w:cs="Times New Roman"/>
          <w:color w:val="000000"/>
          <w:sz w:val="24"/>
          <w:highlight w:val="none"/>
          <w:lang w:val="en-US" w:eastAsia="zh-CN"/>
        </w:rPr>
        <w:t>地        址：</w:t>
      </w:r>
      <w:r>
        <w:rPr>
          <w:rFonts w:hint="eastAsia" w:ascii="宋体" w:hAnsi="宋体" w:eastAsia="宋体" w:cs="Times New Roman"/>
          <w:color w:val="000000"/>
          <w:sz w:val="24"/>
          <w:highlight w:val="none"/>
          <w:u w:val="single"/>
          <w:lang w:val="en-US" w:eastAsia="zh-CN"/>
        </w:rPr>
        <w:t>广州市海珠区新港东路1138号智通广场A塔9-11层</w:t>
      </w:r>
    </w:p>
    <w:p>
      <w:pPr>
        <w:topLinePunct/>
        <w:spacing w:line="360" w:lineRule="auto"/>
        <w:ind w:firstLine="480" w:firstLineChars="200"/>
        <w:rPr>
          <w:rFonts w:hint="eastAsia" w:ascii="宋体" w:hAnsi="宋体" w:eastAsia="宋体" w:cs="Times New Roman"/>
          <w:color w:val="000000"/>
          <w:sz w:val="24"/>
          <w:highlight w:val="none"/>
          <w:u w:val="single"/>
          <w:lang w:eastAsia="zh-CN"/>
        </w:rPr>
      </w:pPr>
      <w:r>
        <w:rPr>
          <w:rFonts w:hint="eastAsia" w:ascii="宋体" w:hAnsi="宋体" w:eastAsia="宋体" w:cs="Times New Roman"/>
          <w:color w:val="000000"/>
          <w:sz w:val="24"/>
          <w:highlight w:val="none"/>
          <w:u w:val="single"/>
          <w:lang w:eastAsia="zh-CN"/>
        </w:rPr>
        <w:t>潜在投标人或者其他利害关系人对招标公告、招标文件有异议的，应当在招标投标相关法律法规规定的时间内（投标截止时间 10 日前）通过交易平台提出；尚未登记注册的，可按书面方式向招标人提出。招标人将在收到异议之日起 3 日内作出答复；作出答复前，将暂停招标投标活动。</w:t>
      </w:r>
    </w:p>
    <w:p>
      <w:pPr>
        <w:spacing w:line="360" w:lineRule="auto"/>
        <w:rPr>
          <w:rFonts w:ascii="宋体" w:hAnsi="宋体"/>
          <w:color w:val="000000"/>
          <w:sz w:val="24"/>
          <w:highlight w:val="none"/>
        </w:rPr>
      </w:pPr>
    </w:p>
    <w:p>
      <w:pPr>
        <w:spacing w:line="360" w:lineRule="auto"/>
        <w:rPr>
          <w:rFonts w:ascii="宋体" w:hAnsi="宋体" w:cs="宋体"/>
          <w:color w:val="000000"/>
          <w:sz w:val="24"/>
          <w:highlight w:val="none"/>
        </w:rPr>
      </w:pPr>
      <w:r>
        <w:rPr>
          <w:rFonts w:hint="eastAsia" w:ascii="宋体" w:hAnsi="宋体" w:cs="宋体"/>
          <w:color w:val="000000"/>
          <w:sz w:val="24"/>
          <w:highlight w:val="none"/>
        </w:rPr>
        <w:t>附件1：资格审查条件附录</w:t>
      </w:r>
      <w:r>
        <w:rPr>
          <w:rFonts w:hint="eastAsia" w:ascii="宋体" w:hAnsi="宋体" w:cs="宋体"/>
          <w:color w:val="000000"/>
          <w:sz w:val="24"/>
          <w:highlight w:val="none"/>
          <w:u w:val="single"/>
        </w:rPr>
        <w:t>1</w:t>
      </w:r>
      <w:r>
        <w:rPr>
          <w:rFonts w:hint="eastAsia" w:ascii="宋体" w:hAnsi="宋体" w:cs="宋体"/>
          <w:color w:val="000000"/>
          <w:sz w:val="24"/>
          <w:highlight w:val="none"/>
        </w:rPr>
        <w:t>至附录</w:t>
      </w:r>
      <w:r>
        <w:rPr>
          <w:rFonts w:hint="eastAsia" w:ascii="宋体" w:hAnsi="宋体" w:cs="宋体"/>
          <w:color w:val="000000"/>
          <w:sz w:val="24"/>
          <w:highlight w:val="none"/>
          <w:u w:val="single"/>
        </w:rPr>
        <w:t>4</w:t>
      </w:r>
    </w:p>
    <w:p>
      <w:pPr>
        <w:spacing w:line="360" w:lineRule="auto"/>
        <w:rPr>
          <w:rFonts w:ascii="宋体" w:hAnsi="宋体" w:cs="宋体"/>
          <w:color w:val="000000"/>
          <w:sz w:val="24"/>
          <w:highlight w:val="none"/>
        </w:rPr>
      </w:pPr>
      <w:r>
        <w:rPr>
          <w:rFonts w:hint="eastAsia" w:ascii="宋体" w:hAnsi="宋体" w:cs="宋体"/>
          <w:color w:val="000000"/>
          <w:sz w:val="24"/>
          <w:highlight w:val="none"/>
        </w:rPr>
        <w:t>附件2：评标办法</w:t>
      </w:r>
    </w:p>
    <w:p>
      <w:pPr>
        <w:spacing w:line="360" w:lineRule="auto"/>
        <w:rPr>
          <w:rFonts w:ascii="宋体" w:hAnsi="宋体" w:cs="宋体"/>
          <w:color w:val="000000"/>
          <w:sz w:val="24"/>
          <w:highlight w:val="none"/>
        </w:rPr>
      </w:pPr>
      <w:r>
        <w:rPr>
          <w:rFonts w:hint="eastAsia" w:ascii="宋体" w:hAnsi="宋体" w:cs="宋体"/>
          <w:color w:val="000000"/>
          <w:sz w:val="24"/>
          <w:highlight w:val="none"/>
        </w:rPr>
        <w:t>附件3：联合体协议书（格式）</w:t>
      </w:r>
    </w:p>
    <w:p>
      <w:pPr>
        <w:spacing w:line="360" w:lineRule="auto"/>
        <w:rPr>
          <w:rFonts w:eastAsia="黑体"/>
          <w:color w:val="000000"/>
          <w:sz w:val="28"/>
          <w:szCs w:val="29"/>
          <w:highlight w:val="none"/>
        </w:rPr>
      </w:pPr>
      <w:r>
        <w:rPr>
          <w:rFonts w:hint="eastAsia" w:ascii="宋体" w:hAnsi="宋体" w:cs="宋体"/>
          <w:color w:val="000000"/>
          <w:sz w:val="24"/>
          <w:highlight w:val="none"/>
        </w:rPr>
        <w:t>以上附件可从发布公告的网站媒介上下载。</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exact"/>
      <w:ind w:right="360" w:firstLine="360"/>
      <w:jc w:val="center"/>
      <w:rPr>
        <w:rFonts w:eastAsia="黑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0"/>
        <w:spacing w:line="240" w:lineRule="auto"/>
        <w:ind w:firstLine="0"/>
        <w:rPr>
          <w:szCs w:val="18"/>
        </w:rPr>
      </w:pPr>
      <w:r>
        <w:rPr>
          <w:rStyle w:val="16"/>
          <w:szCs w:val="18"/>
        </w:rPr>
        <w:footnoteRef/>
      </w:r>
      <w:r>
        <w:rPr>
          <w:szCs w:val="18"/>
        </w:rPr>
        <w:t xml:space="preserve"> </w:t>
      </w:r>
      <w:r>
        <w:rPr>
          <w:rFonts w:hint="eastAsia" w:ascii="宋体" w:hAnsi="宋体"/>
          <w:szCs w:val="18"/>
        </w:rPr>
        <w:t xml:space="preserve">单位负责人是指单位的法定代表人或者法律、行政法规规定代表单位行使职权的主要负责人。 </w:t>
      </w:r>
    </w:p>
  </w:footnote>
  <w:footnote w:id="1">
    <w:p>
      <w:pPr>
        <w:pStyle w:val="10"/>
        <w:spacing w:line="240" w:lineRule="auto"/>
        <w:ind w:firstLine="0"/>
        <w:rPr>
          <w:szCs w:val="18"/>
        </w:rPr>
      </w:pPr>
      <w:r>
        <w:rPr>
          <w:rStyle w:val="16"/>
          <w:szCs w:val="18"/>
        </w:rPr>
        <w:footnoteRef/>
      </w:r>
      <w:r>
        <w:rPr>
          <w:rFonts w:hint="eastAsia" w:ascii="宋体" w:hAnsi="宋体"/>
          <w:szCs w:val="18"/>
        </w:rPr>
        <w:t xml:space="preserve"> 控股是指：股份占股份有限公司股本总额的50%以上的绝对控股、相对控股或协议控股。</w:t>
      </w:r>
    </w:p>
  </w:footnote>
  <w:footnote w:id="2">
    <w:p>
      <w:pPr>
        <w:pStyle w:val="10"/>
        <w:spacing w:line="240" w:lineRule="auto"/>
        <w:ind w:firstLine="0"/>
        <w:rPr>
          <w:szCs w:val="18"/>
        </w:rPr>
      </w:pPr>
      <w:r>
        <w:rPr>
          <w:rStyle w:val="16"/>
          <w:szCs w:val="18"/>
        </w:rPr>
        <w:footnoteRef/>
      </w:r>
      <w:r>
        <w:rPr>
          <w:rFonts w:hint="eastAsia" w:ascii="宋体" w:hAnsi="宋体"/>
          <w:szCs w:val="18"/>
        </w:rPr>
        <w:t xml:space="preserve"> 管理关系是指不具有出资持股关系的其它单位之间存在的管理与被管理关系。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MGEwYmEzMDlhOTM1MTYzMmQ5ZGMwODJhYzc4N2EifQ=="/>
  </w:docVars>
  <w:rsids>
    <w:rsidRoot w:val="2EE23E61"/>
    <w:rsid w:val="07A42C97"/>
    <w:rsid w:val="2EE23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80" w:lineRule="exact"/>
      <w:jc w:val="center"/>
      <w:outlineLvl w:val="1"/>
    </w:pPr>
    <w:rPr>
      <w:rFonts w:ascii="宋体" w:hAnsi="宋体" w:eastAsia="黑体"/>
      <w:bCs/>
      <w:i/>
      <w:iCs/>
      <w:sz w:val="24"/>
      <w:szCs w:val="20"/>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5">
    <w:name w:val="Body Text 3"/>
    <w:basedOn w:val="1"/>
    <w:qFormat/>
    <w:uiPriority w:val="99"/>
    <w:rPr>
      <w:rFonts w:ascii="宋体"/>
      <w:sz w:val="24"/>
      <w:szCs w:val="20"/>
    </w:rPr>
  </w:style>
  <w:style w:type="paragraph" w:styleId="6">
    <w:name w:val="Body Text Indent 2"/>
    <w:basedOn w:val="1"/>
    <w:qFormat/>
    <w:uiPriority w:val="0"/>
    <w:pPr>
      <w:spacing w:line="500" w:lineRule="exact"/>
      <w:ind w:firstLine="540" w:firstLineChars="200"/>
    </w:pPr>
    <w:rPr>
      <w:rFonts w:ascii="宋体" w:hAnsi="宋体"/>
      <w:sz w:val="27"/>
      <w:szCs w:val="27"/>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pPr>
      <w:tabs>
        <w:tab w:val="right" w:leader="dot" w:pos="8805"/>
      </w:tabs>
      <w:spacing w:line="440" w:lineRule="exact"/>
      <w:jc w:val="center"/>
    </w:pPr>
    <w:rPr>
      <w:color w:val="000000"/>
      <w:sz w:val="20"/>
      <w:szCs w:val="20"/>
    </w:rPr>
  </w:style>
  <w:style w:type="paragraph" w:styleId="10">
    <w:name w:val="footnote text"/>
    <w:basedOn w:val="1"/>
    <w:qFormat/>
    <w:uiPriority w:val="0"/>
    <w:pPr>
      <w:adjustRightInd w:val="0"/>
      <w:snapToGrid w:val="0"/>
      <w:spacing w:line="420" w:lineRule="atLeast"/>
      <w:ind w:firstLine="454"/>
      <w:jc w:val="left"/>
      <w:textAlignment w:val="baseline"/>
    </w:pPr>
    <w:rPr>
      <w:kern w:val="0"/>
      <w:sz w:val="18"/>
      <w:szCs w:val="20"/>
    </w:rPr>
  </w:style>
  <w:style w:type="paragraph" w:styleId="11">
    <w:name w:val="toc 2"/>
    <w:basedOn w:val="1"/>
    <w:next w:val="1"/>
    <w:qFormat/>
    <w:uiPriority w:val="39"/>
    <w:pPr>
      <w:ind w:left="420" w:leftChars="200"/>
    </w:pPr>
  </w:style>
  <w:style w:type="paragraph" w:styleId="12">
    <w:name w:val="Title"/>
    <w:basedOn w:val="1"/>
    <w:link w:val="18"/>
    <w:qFormat/>
    <w:uiPriority w:val="0"/>
    <w:pPr>
      <w:adjustRightInd w:val="0"/>
      <w:spacing w:before="240" w:after="60" w:line="420" w:lineRule="atLeast"/>
      <w:jc w:val="center"/>
      <w:textAlignment w:val="baseline"/>
      <w:outlineLvl w:val="0"/>
    </w:pPr>
    <w:rPr>
      <w:rFonts w:ascii="Arial" w:hAnsi="Arial"/>
      <w:b/>
      <w:kern w:val="0"/>
      <w:sz w:val="32"/>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otnote reference"/>
    <w:qFormat/>
    <w:uiPriority w:val="0"/>
    <w:rPr>
      <w:vertAlign w:val="superscript"/>
    </w:rPr>
  </w:style>
  <w:style w:type="character" w:customStyle="1" w:styleId="17">
    <w:name w:val="font161"/>
    <w:qFormat/>
    <w:uiPriority w:val="0"/>
    <w:rPr>
      <w:b/>
      <w:bCs/>
      <w:sz w:val="32"/>
      <w:szCs w:val="32"/>
    </w:rPr>
  </w:style>
  <w:style w:type="character" w:customStyle="1" w:styleId="18">
    <w:name w:val="标题 Char"/>
    <w:link w:val="12"/>
    <w:qFormat/>
    <w:uiPriority w:val="0"/>
    <w:rPr>
      <w:rFonts w:ascii="Arial" w:hAnsi="Arial"/>
      <w:b/>
      <w:kern w:val="0"/>
      <w:sz w:val="32"/>
      <w:szCs w:val="20"/>
    </w:rPr>
  </w:style>
  <w:style w:type="paragraph" w:customStyle="1" w:styleId="19">
    <w:name w:val="正文缩进1"/>
    <w:basedOn w:val="20"/>
    <w:qFormat/>
    <w:uiPriority w:val="0"/>
    <w:pPr>
      <w:ind w:firstLine="624"/>
      <w:jc w:val="left"/>
    </w:pPr>
    <w:rPr>
      <w:rFonts w:hint="eastAsia" w:ascii="Times New Roman" w:hAnsi="Times New Roman" w:eastAsia="宋体" w:cs="Times New Roman"/>
    </w:rPr>
  </w:style>
  <w:style w:type="paragraph" w:customStyle="1" w:styleId="20">
    <w:name w:val="正文1"/>
    <w:basedOn w:val="1"/>
    <w:next w:val="19"/>
    <w:qFormat/>
    <w:uiPriority w:val="0"/>
    <w:pPr>
      <w:spacing w:line="400" w:lineRule="exact"/>
      <w:ind w:firstLine="480" w:firstLineChars="200"/>
    </w:pPr>
    <w:rPr>
      <w:rFonts w:ascii="Calibri" w:hAnsi="Calibri" w:eastAsia="宋体"/>
      <w:kern w:val="2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2024-07-04T08:07:00Z</dcterms:created>
  <dc:creator>风轻轻的吹</dc:creator>
  <cp:lastModifiedBy>风轻轻的吹</cp:lastModifiedBy>
  <dcterms:modified xsi:type="dcterms:W3CDTF">2024-07-04T08:11:17Z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B2D18D657623436082DC153BDD690323_11</vt:lpwstr>
  </property>
</Properties>
</file>