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ordWrap w:val="0"/>
        <w:spacing w:line="360" w:lineRule="auto"/>
        <w:ind w:firstLine="420" w:firstLineChars="0"/>
        <w:jc w:val="center"/>
        <w:rPr>
          <w:rFonts w:eastAsia="宋体"/>
          <w:b/>
          <w:sz w:val="44"/>
          <w:szCs w:val="44"/>
          <w:highlight w:val="none"/>
          <w:u w:val="none"/>
        </w:rPr>
      </w:pPr>
      <w:bookmarkStart w:id="0" w:name="_Hlk143500869"/>
    </w:p>
    <w:p>
      <w:pPr>
        <w:pStyle w:val="18"/>
        <w:wordWrap w:val="0"/>
        <w:spacing w:line="360" w:lineRule="auto"/>
        <w:jc w:val="center"/>
        <w:rPr>
          <w:rFonts w:eastAsia="宋体"/>
          <w:b/>
          <w:sz w:val="44"/>
          <w:szCs w:val="44"/>
          <w:highlight w:val="none"/>
          <w:u w:val="none"/>
        </w:rPr>
      </w:pPr>
    </w:p>
    <w:p>
      <w:pPr>
        <w:pStyle w:val="18"/>
        <w:wordWrap w:val="0"/>
        <w:spacing w:line="360" w:lineRule="auto"/>
        <w:jc w:val="center"/>
        <w:rPr>
          <w:rFonts w:hint="eastAsia" w:eastAsia="宋体"/>
          <w:b/>
          <w:sz w:val="44"/>
          <w:szCs w:val="44"/>
          <w:highlight w:val="none"/>
          <w:u w:val="none"/>
          <w:lang w:eastAsia="zh-CN"/>
        </w:rPr>
      </w:pPr>
      <w:r>
        <w:rPr>
          <w:rFonts w:hint="eastAsia" w:eastAsia="宋体"/>
          <w:b/>
          <w:sz w:val="44"/>
          <w:szCs w:val="44"/>
          <w:highlight w:val="none"/>
          <w:u w:val="none"/>
          <w:lang w:eastAsia="zh-CN"/>
        </w:rPr>
        <w:t>黄埔大道971号大院等5个雨污分流管道改造</w:t>
      </w:r>
    </w:p>
    <w:p>
      <w:pPr>
        <w:pStyle w:val="18"/>
        <w:wordWrap w:val="0"/>
        <w:spacing w:line="360" w:lineRule="auto"/>
        <w:jc w:val="center"/>
        <w:rPr>
          <w:rFonts w:hint="eastAsia" w:eastAsia="宋体"/>
          <w:b/>
          <w:sz w:val="44"/>
          <w:szCs w:val="44"/>
          <w:highlight w:val="none"/>
          <w:u w:val="none"/>
          <w:lang w:eastAsia="zh-CN"/>
        </w:rPr>
      </w:pPr>
      <w:r>
        <w:rPr>
          <w:rFonts w:hint="eastAsia" w:eastAsia="宋体"/>
          <w:b/>
          <w:sz w:val="44"/>
          <w:szCs w:val="44"/>
          <w:highlight w:val="none"/>
          <w:u w:val="none"/>
          <w:lang w:eastAsia="zh-CN"/>
        </w:rPr>
        <w:t>联合采购项目</w:t>
      </w:r>
    </w:p>
    <w:p>
      <w:pPr>
        <w:pStyle w:val="18"/>
        <w:wordWrap w:val="0"/>
        <w:spacing w:line="360" w:lineRule="auto"/>
        <w:jc w:val="center"/>
        <w:rPr>
          <w:rFonts w:eastAsia="宋体"/>
          <w:b/>
          <w:sz w:val="44"/>
          <w:szCs w:val="44"/>
          <w:highlight w:val="none"/>
        </w:rPr>
      </w:pPr>
    </w:p>
    <w:p>
      <w:pPr>
        <w:pStyle w:val="18"/>
        <w:wordWrap w:val="0"/>
        <w:spacing w:line="360" w:lineRule="auto"/>
        <w:jc w:val="center"/>
        <w:rPr>
          <w:rFonts w:eastAsia="宋体"/>
          <w:b/>
          <w:sz w:val="44"/>
          <w:szCs w:val="44"/>
          <w:highlight w:val="none"/>
        </w:rPr>
      </w:pPr>
    </w:p>
    <w:p>
      <w:pPr>
        <w:wordWrap w:val="0"/>
        <w:spacing w:line="360" w:lineRule="auto"/>
        <w:jc w:val="center"/>
        <w:rPr>
          <w:rFonts w:ascii="宋体" w:hAnsi="宋体"/>
          <w:b/>
          <w:bCs/>
          <w:spacing w:val="26"/>
          <w:sz w:val="110"/>
          <w:szCs w:val="110"/>
          <w:highlight w:val="none"/>
        </w:rPr>
      </w:pPr>
      <w:r>
        <w:rPr>
          <w:rFonts w:hint="eastAsia" w:ascii="宋体" w:hAnsi="宋体"/>
          <w:b/>
          <w:bCs/>
          <w:spacing w:val="26"/>
          <w:sz w:val="110"/>
          <w:szCs w:val="110"/>
          <w:highlight w:val="none"/>
        </w:rPr>
        <w:t>招标文件</w:t>
      </w:r>
    </w:p>
    <w:p>
      <w:pPr>
        <w:pStyle w:val="2"/>
        <w:wordWrap w:val="0"/>
        <w:rPr>
          <w:rFonts w:ascii="宋体" w:hAnsi="宋体"/>
          <w:color w:val="auto"/>
          <w:highlight w:val="none"/>
        </w:rPr>
      </w:pPr>
    </w:p>
    <w:p>
      <w:pPr>
        <w:pStyle w:val="18"/>
        <w:wordWrap w:val="0"/>
        <w:spacing w:line="360" w:lineRule="auto"/>
        <w:rPr>
          <w:rFonts w:eastAsia="宋体"/>
          <w:b/>
          <w:sz w:val="44"/>
          <w:szCs w:val="44"/>
          <w:highlight w:val="none"/>
        </w:rPr>
      </w:pPr>
    </w:p>
    <w:p>
      <w:pPr>
        <w:widowControl/>
        <w:wordWrap w:val="0"/>
        <w:rPr>
          <w:rFonts w:ascii="宋体" w:hAnsi="宋体"/>
          <w:b/>
          <w:kern w:val="0"/>
          <w:sz w:val="44"/>
          <w:szCs w:val="44"/>
          <w:highlight w:val="none"/>
          <w:u w:val="single"/>
        </w:rPr>
      </w:pPr>
    </w:p>
    <w:p>
      <w:pPr>
        <w:widowControl/>
        <w:wordWrap w:val="0"/>
        <w:ind w:firstLine="600" w:firstLineChars="200"/>
        <w:jc w:val="center"/>
        <w:rPr>
          <w:rFonts w:ascii="宋体" w:hAnsi="宋体"/>
          <w:sz w:val="30"/>
          <w:szCs w:val="30"/>
          <w:highlight w:val="none"/>
        </w:rPr>
      </w:pPr>
      <w:r>
        <w:rPr>
          <w:rFonts w:hint="eastAsia" w:ascii="宋体" w:hAnsi="宋体"/>
          <w:sz w:val="30"/>
          <w:szCs w:val="30"/>
          <w:highlight w:val="none"/>
        </w:rPr>
        <w:t>招标人：</w:t>
      </w:r>
      <w:r>
        <w:rPr>
          <w:rFonts w:hint="eastAsia" w:ascii="宋体" w:hAnsi="宋体"/>
          <w:sz w:val="30"/>
          <w:szCs w:val="30"/>
          <w:highlight w:val="none"/>
          <w:u w:val="single"/>
        </w:rPr>
        <w:t>广州市智采资源管理服务有限公司</w:t>
      </w:r>
      <w:r>
        <w:rPr>
          <w:rFonts w:hint="eastAsia" w:ascii="宋体" w:hAnsi="宋体"/>
          <w:sz w:val="30"/>
          <w:szCs w:val="30"/>
          <w:highlight w:val="none"/>
        </w:rPr>
        <w:t>（盖单位章）</w:t>
      </w:r>
    </w:p>
    <w:p>
      <w:pPr>
        <w:pStyle w:val="2"/>
        <w:wordWrap w:val="0"/>
        <w:jc w:val="center"/>
        <w:rPr>
          <w:rFonts w:ascii="宋体" w:hAnsi="宋体"/>
          <w:color w:val="auto"/>
          <w:sz w:val="30"/>
          <w:szCs w:val="30"/>
          <w:highlight w:val="none"/>
        </w:rPr>
      </w:pPr>
    </w:p>
    <w:p>
      <w:pPr>
        <w:pStyle w:val="2"/>
        <w:wordWrap w:val="0"/>
        <w:jc w:val="center"/>
        <w:rPr>
          <w:rFonts w:ascii="宋体" w:hAnsi="宋体"/>
          <w:color w:val="auto"/>
          <w:sz w:val="30"/>
          <w:szCs w:val="30"/>
          <w:highlight w:val="none"/>
        </w:rPr>
      </w:pPr>
    </w:p>
    <w:p>
      <w:pPr>
        <w:wordWrap w:val="0"/>
        <w:spacing w:line="360" w:lineRule="auto"/>
        <w:ind w:firstLine="600" w:firstLineChars="200"/>
        <w:jc w:val="center"/>
        <w:rPr>
          <w:rFonts w:ascii="宋体" w:hAnsi="宋体"/>
          <w:b/>
          <w:sz w:val="30"/>
          <w:szCs w:val="30"/>
          <w:highlight w:val="none"/>
        </w:rPr>
      </w:pPr>
      <w:r>
        <w:rPr>
          <w:rFonts w:ascii="宋体" w:hAnsi="宋体"/>
          <w:sz w:val="30"/>
          <w:szCs w:val="30"/>
          <w:highlight w:val="none"/>
          <w:u w:val="single"/>
        </w:rPr>
        <w:t>20</w:t>
      </w:r>
      <w:r>
        <w:rPr>
          <w:rFonts w:hint="eastAsia" w:ascii="宋体" w:hAnsi="宋体"/>
          <w:sz w:val="30"/>
          <w:szCs w:val="30"/>
          <w:highlight w:val="none"/>
          <w:u w:val="single"/>
        </w:rPr>
        <w:t>24</w:t>
      </w:r>
      <w:r>
        <w:rPr>
          <w:rFonts w:hint="eastAsia" w:ascii="宋体" w:hAnsi="宋体"/>
          <w:sz w:val="30"/>
          <w:szCs w:val="30"/>
          <w:highlight w:val="none"/>
        </w:rPr>
        <w:t>年</w:t>
      </w:r>
      <w:r>
        <w:rPr>
          <w:rFonts w:hint="eastAsia" w:ascii="宋体" w:hAnsi="宋体"/>
          <w:sz w:val="30"/>
          <w:szCs w:val="30"/>
          <w:highlight w:val="none"/>
          <w:u w:val="single"/>
        </w:rPr>
        <w:t xml:space="preserve"> </w:t>
      </w:r>
      <w:r>
        <w:rPr>
          <w:rFonts w:hint="eastAsia" w:ascii="宋体" w:hAnsi="宋体"/>
          <w:sz w:val="30"/>
          <w:szCs w:val="30"/>
          <w:highlight w:val="none"/>
          <w:u w:val="single"/>
          <w:lang w:val="en-US" w:eastAsia="zh-CN"/>
        </w:rPr>
        <w:t>06</w:t>
      </w:r>
      <w:r>
        <w:rPr>
          <w:rFonts w:hint="eastAsia" w:ascii="宋体" w:hAnsi="宋体"/>
          <w:sz w:val="30"/>
          <w:szCs w:val="30"/>
          <w:highlight w:val="none"/>
          <w:u w:val="single"/>
        </w:rPr>
        <w:t xml:space="preserve"> </w:t>
      </w:r>
      <w:r>
        <w:rPr>
          <w:rFonts w:hint="eastAsia" w:ascii="宋体" w:hAnsi="宋体"/>
          <w:sz w:val="30"/>
          <w:szCs w:val="30"/>
          <w:highlight w:val="none"/>
        </w:rPr>
        <w:t>月</w:t>
      </w:r>
      <w:bookmarkEnd w:id="0"/>
    </w:p>
    <w:p>
      <w:pPr>
        <w:pStyle w:val="40"/>
        <w:pageBreakBefore/>
        <w:wordWrap w:val="0"/>
        <w:ind w:firstLine="643" w:firstLineChars="200"/>
        <w:jc w:val="center"/>
        <w:rPr>
          <w:rFonts w:ascii="宋体" w:hAnsi="宋体"/>
          <w:b/>
          <w:color w:val="auto"/>
          <w:highlight w:val="none"/>
        </w:rPr>
      </w:pPr>
      <w:r>
        <w:rPr>
          <w:rFonts w:hint="eastAsia" w:ascii="宋体" w:hAnsi="宋体"/>
          <w:b/>
          <w:color w:val="auto"/>
          <w:highlight w:val="none"/>
          <w:lang w:val="zh-CN"/>
        </w:rPr>
        <w:t>目录</w:t>
      </w:r>
    </w:p>
    <w:p>
      <w:pPr>
        <w:pStyle w:val="17"/>
        <w:tabs>
          <w:tab w:val="right" w:leader="dot" w:pos="9412"/>
          <w:tab w:val="clear" w:pos="8302"/>
        </w:tabs>
        <w:rPr>
          <w:highlight w:val="none"/>
        </w:rPr>
      </w:pPr>
      <w:r>
        <w:rPr>
          <w:rFonts w:ascii="宋体" w:hAnsi="宋体"/>
          <w:sz w:val="24"/>
          <w:szCs w:val="24"/>
          <w:highlight w:val="none"/>
        </w:rPr>
        <w:fldChar w:fldCharType="begin"/>
      </w:r>
      <w:r>
        <w:rPr>
          <w:rFonts w:ascii="宋体" w:hAnsi="宋体"/>
          <w:sz w:val="24"/>
          <w:szCs w:val="24"/>
          <w:highlight w:val="none"/>
        </w:rPr>
        <w:instrText xml:space="preserve"> TOC \o "1-3" \h \z \u </w:instrText>
      </w:r>
      <w:r>
        <w:rPr>
          <w:rFonts w:ascii="宋体" w:hAnsi="宋体"/>
          <w:sz w:val="24"/>
          <w:szCs w:val="24"/>
          <w:highlight w:val="none"/>
        </w:rPr>
        <w:fldChar w:fldCharType="separate"/>
      </w:r>
      <w:r>
        <w:rPr>
          <w:highlight w:val="none"/>
        </w:rPr>
        <w:fldChar w:fldCharType="begin"/>
      </w:r>
      <w:r>
        <w:rPr>
          <w:highlight w:val="none"/>
        </w:rPr>
        <w:instrText xml:space="preserve"> HYPERLINK \l "_Toc9702" </w:instrText>
      </w:r>
      <w:r>
        <w:rPr>
          <w:highlight w:val="none"/>
        </w:rPr>
        <w:fldChar w:fldCharType="separate"/>
      </w:r>
      <w:r>
        <w:rPr>
          <w:rFonts w:hint="eastAsia" w:ascii="宋体" w:hAnsi="宋体"/>
          <w:bCs/>
          <w:szCs w:val="44"/>
          <w:highlight w:val="none"/>
        </w:rPr>
        <w:t>第一章 招标公告（另册）</w:t>
      </w:r>
      <w:r>
        <w:rPr>
          <w:highlight w:val="none"/>
        </w:rPr>
        <w:tab/>
      </w:r>
      <w:r>
        <w:rPr>
          <w:highlight w:val="none"/>
        </w:rPr>
        <w:fldChar w:fldCharType="begin"/>
      </w:r>
      <w:r>
        <w:rPr>
          <w:highlight w:val="none"/>
        </w:rPr>
        <w:instrText xml:space="preserve"> PAGEREF _Toc9702 \h </w:instrText>
      </w:r>
      <w:r>
        <w:rPr>
          <w:highlight w:val="none"/>
        </w:rPr>
        <w:fldChar w:fldCharType="separate"/>
      </w:r>
      <w:r>
        <w:rPr>
          <w:highlight w:val="none"/>
        </w:rPr>
        <w:t>3</w:t>
      </w:r>
      <w:r>
        <w:rPr>
          <w:highlight w:val="none"/>
        </w:rPr>
        <w:fldChar w:fldCharType="end"/>
      </w:r>
      <w:r>
        <w:rPr>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"_Toc9655" </w:instrText>
      </w:r>
      <w:r>
        <w:rPr>
          <w:highlight w:val="none"/>
        </w:rPr>
        <w:fldChar w:fldCharType="separate"/>
      </w:r>
      <w:r>
        <w:rPr>
          <w:rFonts w:hint="eastAsia" w:ascii="宋体" w:hAnsi="宋体"/>
          <w:bCs/>
          <w:szCs w:val="44"/>
          <w:highlight w:val="none"/>
        </w:rPr>
        <w:t>第二章 投标须知</w:t>
      </w:r>
      <w:r>
        <w:rPr>
          <w:highlight w:val="none"/>
        </w:rPr>
        <w:tab/>
      </w:r>
      <w:r>
        <w:rPr>
          <w:highlight w:val="none"/>
        </w:rPr>
        <w:fldChar w:fldCharType="begin"/>
      </w:r>
      <w:r>
        <w:rPr>
          <w:highlight w:val="none"/>
        </w:rPr>
        <w:instrText xml:space="preserve"> PAGEREF _Toc9655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"_Toc30659" </w:instrText>
      </w:r>
      <w:r>
        <w:rPr>
          <w:highlight w:val="none"/>
        </w:rPr>
        <w:fldChar w:fldCharType="separate"/>
      </w:r>
      <w:r>
        <w:rPr>
          <w:rFonts w:hint="eastAsia" w:ascii="宋体" w:hAnsi="宋体"/>
          <w:bCs/>
          <w:sz w:val="20"/>
          <w:szCs w:val="20"/>
          <w:highlight w:val="none"/>
        </w:rPr>
        <w:t>一、投标人须知前附表</w:t>
      </w:r>
      <w:r>
        <w:rPr>
          <w:sz w:val="20"/>
          <w:szCs w:val="20"/>
          <w:highlight w:val="none"/>
        </w:rPr>
        <w:tab/>
      </w:r>
      <w:r>
        <w:rPr>
          <w:sz w:val="20"/>
          <w:szCs w:val="20"/>
          <w:highlight w:val="none"/>
        </w:rPr>
        <w:fldChar w:fldCharType="begin"/>
      </w:r>
      <w:r>
        <w:rPr>
          <w:sz w:val="20"/>
          <w:szCs w:val="20"/>
          <w:highlight w:val="none"/>
        </w:rPr>
        <w:instrText xml:space="preserve"> PAGEREF _Toc30659 \h </w:instrText>
      </w:r>
      <w:r>
        <w:rPr>
          <w:sz w:val="20"/>
          <w:szCs w:val="20"/>
          <w:highlight w:val="none"/>
        </w:rPr>
        <w:fldChar w:fldCharType="separate"/>
      </w:r>
      <w:r>
        <w:rPr>
          <w:sz w:val="20"/>
          <w:szCs w:val="20"/>
          <w:highlight w:val="none"/>
        </w:rPr>
        <w:t>4</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"_Toc14037" </w:instrText>
      </w:r>
      <w:r>
        <w:rPr>
          <w:highlight w:val="none"/>
        </w:rPr>
        <w:fldChar w:fldCharType="separate"/>
      </w:r>
      <w:r>
        <w:rPr>
          <w:rFonts w:hint="eastAsia" w:ascii="宋体" w:hAnsi="宋体"/>
          <w:bCs/>
          <w:sz w:val="20"/>
          <w:szCs w:val="20"/>
          <w:highlight w:val="none"/>
        </w:rPr>
        <w:t>二、投标须知修改表</w:t>
      </w:r>
      <w:r>
        <w:rPr>
          <w:sz w:val="20"/>
          <w:szCs w:val="20"/>
          <w:highlight w:val="none"/>
        </w:rPr>
        <w:tab/>
      </w:r>
      <w:r>
        <w:rPr>
          <w:sz w:val="20"/>
          <w:szCs w:val="20"/>
          <w:highlight w:val="none"/>
        </w:rPr>
        <w:fldChar w:fldCharType="begin"/>
      </w:r>
      <w:r>
        <w:rPr>
          <w:sz w:val="20"/>
          <w:szCs w:val="20"/>
          <w:highlight w:val="none"/>
        </w:rPr>
        <w:instrText xml:space="preserve"> PAGEREF _Toc14037 \h </w:instrText>
      </w:r>
      <w:r>
        <w:rPr>
          <w:sz w:val="20"/>
          <w:szCs w:val="20"/>
          <w:highlight w:val="none"/>
        </w:rPr>
        <w:fldChar w:fldCharType="separate"/>
      </w:r>
      <w:r>
        <w:rPr>
          <w:sz w:val="20"/>
          <w:szCs w:val="20"/>
          <w:highlight w:val="none"/>
        </w:rPr>
        <w:t>9</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"_Toc7411" </w:instrText>
      </w:r>
      <w:r>
        <w:rPr>
          <w:highlight w:val="none"/>
        </w:rPr>
        <w:fldChar w:fldCharType="separate"/>
      </w:r>
      <w:r>
        <w:rPr>
          <w:rFonts w:hint="eastAsia" w:ascii="宋体" w:hAnsi="宋体"/>
          <w:bCs/>
          <w:sz w:val="20"/>
          <w:szCs w:val="20"/>
          <w:highlight w:val="none"/>
        </w:rPr>
        <w:t>三、投标须知通用条款</w:t>
      </w:r>
      <w:r>
        <w:rPr>
          <w:sz w:val="20"/>
          <w:szCs w:val="20"/>
          <w:highlight w:val="none"/>
        </w:rPr>
        <w:tab/>
      </w:r>
      <w:r>
        <w:rPr>
          <w:sz w:val="20"/>
          <w:szCs w:val="20"/>
          <w:highlight w:val="none"/>
        </w:rPr>
        <w:fldChar w:fldCharType="begin"/>
      </w:r>
      <w:r>
        <w:rPr>
          <w:sz w:val="20"/>
          <w:szCs w:val="20"/>
          <w:highlight w:val="none"/>
        </w:rPr>
        <w:instrText xml:space="preserve"> PAGEREF _Toc7411 \h </w:instrText>
      </w:r>
      <w:r>
        <w:rPr>
          <w:sz w:val="20"/>
          <w:szCs w:val="20"/>
          <w:highlight w:val="none"/>
        </w:rPr>
        <w:fldChar w:fldCharType="separate"/>
      </w:r>
      <w:r>
        <w:rPr>
          <w:sz w:val="20"/>
          <w:szCs w:val="20"/>
          <w:highlight w:val="none"/>
        </w:rPr>
        <w:t>17</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"_Toc30667" </w:instrText>
      </w:r>
      <w:r>
        <w:rPr>
          <w:highlight w:val="none"/>
        </w:rPr>
        <w:fldChar w:fldCharType="separate"/>
      </w:r>
      <w:r>
        <w:rPr>
          <w:rFonts w:hint="eastAsia" w:ascii="宋体" w:hAnsi="宋体"/>
          <w:sz w:val="20"/>
          <w:szCs w:val="20"/>
          <w:highlight w:val="none"/>
        </w:rPr>
        <w:t>附件一：开标记录表</w:t>
      </w:r>
      <w:r>
        <w:rPr>
          <w:sz w:val="20"/>
          <w:szCs w:val="20"/>
          <w:highlight w:val="none"/>
        </w:rPr>
        <w:tab/>
      </w:r>
      <w:r>
        <w:rPr>
          <w:sz w:val="20"/>
          <w:szCs w:val="20"/>
          <w:highlight w:val="none"/>
        </w:rPr>
        <w:fldChar w:fldCharType="begin"/>
      </w:r>
      <w:r>
        <w:rPr>
          <w:sz w:val="20"/>
          <w:szCs w:val="20"/>
          <w:highlight w:val="none"/>
        </w:rPr>
        <w:instrText xml:space="preserve"> PAGEREF _Toc30667 \h </w:instrText>
      </w:r>
      <w:r>
        <w:rPr>
          <w:sz w:val="20"/>
          <w:szCs w:val="20"/>
          <w:highlight w:val="none"/>
        </w:rPr>
        <w:fldChar w:fldCharType="separate"/>
      </w:r>
      <w:r>
        <w:rPr>
          <w:sz w:val="20"/>
          <w:szCs w:val="20"/>
          <w:highlight w:val="none"/>
        </w:rPr>
        <w:t>31</w:t>
      </w:r>
      <w:r>
        <w:rPr>
          <w:sz w:val="20"/>
          <w:szCs w:val="20"/>
          <w:highlight w:val="none"/>
        </w:rPr>
        <w:fldChar w:fldCharType="end"/>
      </w:r>
      <w:r>
        <w:rPr>
          <w:sz w:val="20"/>
          <w:szCs w:val="20"/>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"_Toc6680" </w:instrText>
      </w:r>
      <w:r>
        <w:rPr>
          <w:highlight w:val="none"/>
        </w:rPr>
        <w:fldChar w:fldCharType="separate"/>
      </w:r>
      <w:r>
        <w:rPr>
          <w:rFonts w:hint="eastAsia" w:ascii="宋体" w:hAnsi="宋体"/>
          <w:bCs/>
          <w:highlight w:val="none"/>
        </w:rPr>
        <w:t>第三章 评标及定标办法</w:t>
      </w:r>
      <w:r>
        <w:rPr>
          <w:highlight w:val="none"/>
        </w:rPr>
        <w:tab/>
      </w:r>
      <w:r>
        <w:rPr>
          <w:highlight w:val="none"/>
        </w:rPr>
        <w:fldChar w:fldCharType="begin"/>
      </w:r>
      <w:r>
        <w:rPr>
          <w:highlight w:val="none"/>
        </w:rPr>
        <w:instrText xml:space="preserve"> PAGEREF _Toc6680 \h </w:instrText>
      </w:r>
      <w:r>
        <w:rPr>
          <w:highlight w:val="none"/>
        </w:rPr>
        <w:fldChar w:fldCharType="separate"/>
      </w:r>
      <w:r>
        <w:rPr>
          <w:highlight w:val="none"/>
        </w:rPr>
        <w:t>33</w:t>
      </w:r>
      <w:r>
        <w:rPr>
          <w:highlight w:val="none"/>
        </w:rPr>
        <w:fldChar w:fldCharType="end"/>
      </w:r>
      <w:r>
        <w:rPr>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"_Toc19301" </w:instrText>
      </w:r>
      <w:r>
        <w:rPr>
          <w:highlight w:val="none"/>
        </w:rPr>
        <w:fldChar w:fldCharType="separate"/>
      </w:r>
      <w:r>
        <w:rPr>
          <w:rFonts w:hint="eastAsia" w:ascii="宋体" w:hAnsi="宋体"/>
          <w:bCs/>
          <w:sz w:val="20"/>
          <w:szCs w:val="20"/>
          <w:highlight w:val="none"/>
        </w:rPr>
        <w:t>一、评标及定标办法修改表</w:t>
      </w:r>
      <w:r>
        <w:rPr>
          <w:sz w:val="20"/>
          <w:szCs w:val="20"/>
          <w:highlight w:val="none"/>
        </w:rPr>
        <w:tab/>
      </w:r>
      <w:r>
        <w:rPr>
          <w:sz w:val="20"/>
          <w:szCs w:val="20"/>
          <w:highlight w:val="none"/>
        </w:rPr>
        <w:fldChar w:fldCharType="begin"/>
      </w:r>
      <w:r>
        <w:rPr>
          <w:sz w:val="20"/>
          <w:szCs w:val="20"/>
          <w:highlight w:val="none"/>
        </w:rPr>
        <w:instrText xml:space="preserve"> PAGEREF _Toc19301 \h </w:instrText>
      </w:r>
      <w:r>
        <w:rPr>
          <w:sz w:val="20"/>
          <w:szCs w:val="20"/>
          <w:highlight w:val="none"/>
        </w:rPr>
        <w:fldChar w:fldCharType="separate"/>
      </w:r>
      <w:r>
        <w:rPr>
          <w:sz w:val="20"/>
          <w:szCs w:val="20"/>
          <w:highlight w:val="none"/>
        </w:rPr>
        <w:t>33</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"_Toc7382" </w:instrText>
      </w:r>
      <w:r>
        <w:rPr>
          <w:highlight w:val="none"/>
        </w:rPr>
        <w:fldChar w:fldCharType="separate"/>
      </w:r>
      <w:r>
        <w:rPr>
          <w:rFonts w:hint="eastAsia" w:ascii="宋体" w:hAnsi="宋体"/>
          <w:bCs/>
          <w:sz w:val="20"/>
          <w:szCs w:val="20"/>
          <w:highlight w:val="none"/>
        </w:rPr>
        <w:t>二、评标及定标办法通用条款</w:t>
      </w:r>
      <w:r>
        <w:rPr>
          <w:sz w:val="20"/>
          <w:szCs w:val="20"/>
          <w:highlight w:val="none"/>
        </w:rPr>
        <w:tab/>
      </w:r>
      <w:r>
        <w:rPr>
          <w:sz w:val="20"/>
          <w:szCs w:val="20"/>
          <w:highlight w:val="none"/>
        </w:rPr>
        <w:fldChar w:fldCharType="begin"/>
      </w:r>
      <w:r>
        <w:rPr>
          <w:sz w:val="20"/>
          <w:szCs w:val="20"/>
          <w:highlight w:val="none"/>
        </w:rPr>
        <w:instrText xml:space="preserve"> PAGEREF _Toc7382 \h </w:instrText>
      </w:r>
      <w:r>
        <w:rPr>
          <w:sz w:val="20"/>
          <w:szCs w:val="20"/>
          <w:highlight w:val="none"/>
        </w:rPr>
        <w:fldChar w:fldCharType="separate"/>
      </w:r>
      <w:r>
        <w:rPr>
          <w:sz w:val="20"/>
          <w:szCs w:val="20"/>
          <w:highlight w:val="none"/>
        </w:rPr>
        <w:t>40</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"_Toc11948" </w:instrText>
      </w:r>
      <w:r>
        <w:rPr>
          <w:highlight w:val="none"/>
        </w:rPr>
        <w:fldChar w:fldCharType="separate"/>
      </w:r>
      <w:r>
        <w:rPr>
          <w:rFonts w:hint="eastAsia" w:ascii="宋体" w:hAnsi="宋体"/>
          <w:bCs/>
          <w:sz w:val="20"/>
          <w:szCs w:val="20"/>
          <w:highlight w:val="none"/>
        </w:rPr>
        <w:t>方法一：综合评估法一</w:t>
      </w:r>
      <w:r>
        <w:rPr>
          <w:sz w:val="20"/>
          <w:szCs w:val="20"/>
          <w:highlight w:val="none"/>
        </w:rPr>
        <w:tab/>
      </w:r>
      <w:r>
        <w:rPr>
          <w:sz w:val="20"/>
          <w:szCs w:val="20"/>
          <w:highlight w:val="none"/>
        </w:rPr>
        <w:fldChar w:fldCharType="begin"/>
      </w:r>
      <w:r>
        <w:rPr>
          <w:sz w:val="20"/>
          <w:szCs w:val="20"/>
          <w:highlight w:val="none"/>
        </w:rPr>
        <w:instrText xml:space="preserve"> PAGEREF _Toc11948 \h </w:instrText>
      </w:r>
      <w:r>
        <w:rPr>
          <w:sz w:val="20"/>
          <w:szCs w:val="20"/>
          <w:highlight w:val="none"/>
        </w:rPr>
        <w:fldChar w:fldCharType="separate"/>
      </w:r>
      <w:r>
        <w:rPr>
          <w:sz w:val="20"/>
          <w:szCs w:val="20"/>
          <w:highlight w:val="none"/>
        </w:rPr>
        <w:t>40</w:t>
      </w:r>
      <w:r>
        <w:rPr>
          <w:sz w:val="20"/>
          <w:szCs w:val="20"/>
          <w:highlight w:val="none"/>
        </w:rPr>
        <w:fldChar w:fldCharType="end"/>
      </w:r>
      <w:r>
        <w:rPr>
          <w:sz w:val="20"/>
          <w:szCs w:val="20"/>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"_Toc1056" </w:instrText>
      </w:r>
      <w:r>
        <w:rPr>
          <w:highlight w:val="none"/>
        </w:rPr>
        <w:fldChar w:fldCharType="separate"/>
      </w:r>
      <w:r>
        <w:rPr>
          <w:rFonts w:hint="eastAsia" w:ascii="宋体" w:hAnsi="宋体"/>
          <w:bCs/>
          <w:highlight w:val="none"/>
        </w:rPr>
        <w:t>第四章 合同条款</w:t>
      </w:r>
      <w:r>
        <w:rPr>
          <w:highlight w:val="none"/>
        </w:rPr>
        <w:tab/>
      </w:r>
      <w:r>
        <w:rPr>
          <w:highlight w:val="none"/>
        </w:rPr>
        <w:fldChar w:fldCharType="begin"/>
      </w:r>
      <w:r>
        <w:rPr>
          <w:highlight w:val="none"/>
        </w:rPr>
        <w:instrText xml:space="preserve"> PAGEREF _Toc1056 \h </w:instrText>
      </w:r>
      <w:r>
        <w:rPr>
          <w:highlight w:val="none"/>
        </w:rPr>
        <w:fldChar w:fldCharType="separate"/>
      </w:r>
      <w:r>
        <w:rPr>
          <w:highlight w:val="none"/>
        </w:rPr>
        <w:t>53</w:t>
      </w:r>
      <w:r>
        <w:rPr>
          <w:highlight w:val="none"/>
        </w:rPr>
        <w:fldChar w:fldCharType="end"/>
      </w:r>
      <w:r>
        <w:rPr>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"_Toc19089" </w:instrText>
      </w:r>
      <w:r>
        <w:rPr>
          <w:highlight w:val="none"/>
        </w:rPr>
        <w:fldChar w:fldCharType="separate"/>
      </w:r>
      <w:r>
        <w:rPr>
          <w:rFonts w:hint="eastAsia" w:ascii="宋体" w:hAnsi="宋体"/>
          <w:bCs/>
          <w:highlight w:val="none"/>
        </w:rPr>
        <w:t>第五章 工程量清单（综合单价承包）</w:t>
      </w:r>
      <w:r>
        <w:rPr>
          <w:highlight w:val="none"/>
        </w:rPr>
        <w:tab/>
      </w:r>
      <w:r>
        <w:rPr>
          <w:highlight w:val="none"/>
        </w:rPr>
        <w:fldChar w:fldCharType="begin"/>
      </w:r>
      <w:r>
        <w:rPr>
          <w:highlight w:val="none"/>
        </w:rPr>
        <w:instrText xml:space="preserve"> PAGEREF _Toc19089 \h </w:instrText>
      </w:r>
      <w:r>
        <w:rPr>
          <w:highlight w:val="none"/>
        </w:rPr>
        <w:fldChar w:fldCharType="separate"/>
      </w:r>
      <w:r>
        <w:rPr>
          <w:highlight w:val="none"/>
        </w:rPr>
        <w:t>54</w:t>
      </w:r>
      <w:r>
        <w:rPr>
          <w:highlight w:val="none"/>
        </w:rPr>
        <w:fldChar w:fldCharType="end"/>
      </w:r>
      <w:r>
        <w:rPr>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"_Toc11204" </w:instrText>
      </w:r>
      <w:r>
        <w:rPr>
          <w:highlight w:val="none"/>
        </w:rPr>
        <w:fldChar w:fldCharType="separate"/>
      </w:r>
      <w:r>
        <w:rPr>
          <w:rFonts w:hint="eastAsia" w:ascii="宋体" w:hAnsi="宋体"/>
          <w:bCs/>
          <w:sz w:val="20"/>
          <w:szCs w:val="20"/>
          <w:highlight w:val="none"/>
        </w:rPr>
        <w:t>一、工程量清单说明</w:t>
      </w:r>
      <w:r>
        <w:rPr>
          <w:sz w:val="20"/>
          <w:szCs w:val="20"/>
          <w:highlight w:val="none"/>
        </w:rPr>
        <w:tab/>
      </w:r>
      <w:r>
        <w:rPr>
          <w:sz w:val="20"/>
          <w:szCs w:val="20"/>
          <w:highlight w:val="none"/>
        </w:rPr>
        <w:fldChar w:fldCharType="begin"/>
      </w:r>
      <w:r>
        <w:rPr>
          <w:sz w:val="20"/>
          <w:szCs w:val="20"/>
          <w:highlight w:val="none"/>
        </w:rPr>
        <w:instrText xml:space="preserve"> PAGEREF _Toc11204 \h </w:instrText>
      </w:r>
      <w:r>
        <w:rPr>
          <w:sz w:val="20"/>
          <w:szCs w:val="20"/>
          <w:highlight w:val="none"/>
        </w:rPr>
        <w:fldChar w:fldCharType="separate"/>
      </w:r>
      <w:r>
        <w:rPr>
          <w:sz w:val="20"/>
          <w:szCs w:val="20"/>
          <w:highlight w:val="none"/>
        </w:rPr>
        <w:t>54</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"_Toc4036" </w:instrText>
      </w:r>
      <w:r>
        <w:rPr>
          <w:highlight w:val="none"/>
        </w:rPr>
        <w:fldChar w:fldCharType="separate"/>
      </w:r>
      <w:r>
        <w:rPr>
          <w:rFonts w:hint="eastAsia" w:ascii="宋体" w:hAnsi="宋体"/>
          <w:bCs/>
          <w:sz w:val="20"/>
          <w:szCs w:val="20"/>
          <w:highlight w:val="none"/>
        </w:rPr>
        <w:t>二、投标报价说明</w:t>
      </w:r>
      <w:r>
        <w:rPr>
          <w:sz w:val="20"/>
          <w:szCs w:val="20"/>
          <w:highlight w:val="none"/>
        </w:rPr>
        <w:tab/>
      </w:r>
      <w:r>
        <w:rPr>
          <w:sz w:val="20"/>
          <w:szCs w:val="20"/>
          <w:highlight w:val="none"/>
        </w:rPr>
        <w:fldChar w:fldCharType="begin"/>
      </w:r>
      <w:r>
        <w:rPr>
          <w:sz w:val="20"/>
          <w:szCs w:val="20"/>
          <w:highlight w:val="none"/>
        </w:rPr>
        <w:instrText xml:space="preserve"> PAGEREF _Toc4036 \h </w:instrText>
      </w:r>
      <w:r>
        <w:rPr>
          <w:sz w:val="20"/>
          <w:szCs w:val="20"/>
          <w:highlight w:val="none"/>
        </w:rPr>
        <w:fldChar w:fldCharType="separate"/>
      </w:r>
      <w:r>
        <w:rPr>
          <w:sz w:val="20"/>
          <w:szCs w:val="20"/>
          <w:highlight w:val="none"/>
        </w:rPr>
        <w:t>54</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"_Toc7527" </w:instrText>
      </w:r>
      <w:r>
        <w:rPr>
          <w:highlight w:val="none"/>
        </w:rPr>
        <w:fldChar w:fldCharType="separate"/>
      </w:r>
      <w:r>
        <w:rPr>
          <w:rFonts w:hint="eastAsia" w:ascii="宋体" w:hAnsi="宋体"/>
          <w:bCs/>
          <w:sz w:val="20"/>
          <w:szCs w:val="20"/>
          <w:highlight w:val="none"/>
        </w:rPr>
        <w:t>三、 其他说明</w:t>
      </w:r>
      <w:r>
        <w:rPr>
          <w:sz w:val="20"/>
          <w:szCs w:val="20"/>
          <w:highlight w:val="none"/>
        </w:rPr>
        <w:tab/>
      </w:r>
      <w:r>
        <w:rPr>
          <w:sz w:val="20"/>
          <w:szCs w:val="20"/>
          <w:highlight w:val="none"/>
        </w:rPr>
        <w:fldChar w:fldCharType="begin"/>
      </w:r>
      <w:r>
        <w:rPr>
          <w:sz w:val="20"/>
          <w:szCs w:val="20"/>
          <w:highlight w:val="none"/>
        </w:rPr>
        <w:instrText xml:space="preserve"> PAGEREF _Toc7527 \h </w:instrText>
      </w:r>
      <w:r>
        <w:rPr>
          <w:sz w:val="20"/>
          <w:szCs w:val="20"/>
          <w:highlight w:val="none"/>
        </w:rPr>
        <w:fldChar w:fldCharType="separate"/>
      </w:r>
      <w:r>
        <w:rPr>
          <w:sz w:val="20"/>
          <w:szCs w:val="20"/>
          <w:highlight w:val="none"/>
        </w:rPr>
        <w:t>54</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"_Toc5699" </w:instrText>
      </w:r>
      <w:r>
        <w:rPr>
          <w:highlight w:val="none"/>
        </w:rPr>
        <w:fldChar w:fldCharType="separate"/>
      </w:r>
      <w:r>
        <w:rPr>
          <w:rFonts w:hint="eastAsia" w:ascii="宋体" w:hAnsi="宋体"/>
          <w:bCs/>
          <w:sz w:val="20"/>
          <w:szCs w:val="20"/>
          <w:highlight w:val="none"/>
        </w:rPr>
        <w:t>四、 工程量清单</w:t>
      </w:r>
      <w:r>
        <w:rPr>
          <w:sz w:val="20"/>
          <w:szCs w:val="20"/>
          <w:highlight w:val="none"/>
        </w:rPr>
        <w:tab/>
      </w:r>
      <w:r>
        <w:rPr>
          <w:sz w:val="20"/>
          <w:szCs w:val="20"/>
          <w:highlight w:val="none"/>
        </w:rPr>
        <w:fldChar w:fldCharType="begin"/>
      </w:r>
      <w:r>
        <w:rPr>
          <w:sz w:val="20"/>
          <w:szCs w:val="20"/>
          <w:highlight w:val="none"/>
        </w:rPr>
        <w:instrText xml:space="preserve"> PAGEREF _Toc5699 \h </w:instrText>
      </w:r>
      <w:r>
        <w:rPr>
          <w:sz w:val="20"/>
          <w:szCs w:val="20"/>
          <w:highlight w:val="none"/>
        </w:rPr>
        <w:fldChar w:fldCharType="separate"/>
      </w:r>
      <w:r>
        <w:rPr>
          <w:sz w:val="20"/>
          <w:szCs w:val="20"/>
          <w:highlight w:val="none"/>
        </w:rPr>
        <w:t>54</w:t>
      </w:r>
      <w:r>
        <w:rPr>
          <w:sz w:val="20"/>
          <w:szCs w:val="20"/>
          <w:highlight w:val="none"/>
        </w:rPr>
        <w:fldChar w:fldCharType="end"/>
      </w:r>
      <w:r>
        <w:rPr>
          <w:sz w:val="20"/>
          <w:szCs w:val="20"/>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"_Toc1642" </w:instrText>
      </w:r>
      <w:r>
        <w:rPr>
          <w:highlight w:val="none"/>
        </w:rPr>
        <w:fldChar w:fldCharType="separate"/>
      </w:r>
      <w:r>
        <w:rPr>
          <w:rFonts w:hint="eastAsia" w:ascii="宋体" w:hAnsi="宋体"/>
          <w:bCs/>
          <w:highlight w:val="none"/>
        </w:rPr>
        <w:t>第六章 图纸（招标图纸）</w:t>
      </w:r>
      <w:r>
        <w:rPr>
          <w:highlight w:val="none"/>
        </w:rPr>
        <w:tab/>
      </w:r>
      <w:r>
        <w:rPr>
          <w:highlight w:val="none"/>
        </w:rPr>
        <w:fldChar w:fldCharType="begin"/>
      </w:r>
      <w:r>
        <w:rPr>
          <w:highlight w:val="none"/>
        </w:rPr>
        <w:instrText xml:space="preserve"> PAGEREF _Toc1642 \h </w:instrText>
      </w:r>
      <w:r>
        <w:rPr>
          <w:highlight w:val="none"/>
        </w:rPr>
        <w:fldChar w:fldCharType="separate"/>
      </w:r>
      <w:r>
        <w:rPr>
          <w:highlight w:val="none"/>
        </w:rPr>
        <w:t>55</w:t>
      </w:r>
      <w:r>
        <w:rPr>
          <w:highlight w:val="none"/>
        </w:rPr>
        <w:fldChar w:fldCharType="end"/>
      </w:r>
      <w:r>
        <w:rPr>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"_Toc19651" </w:instrText>
      </w:r>
      <w:r>
        <w:rPr>
          <w:highlight w:val="none"/>
        </w:rPr>
        <w:fldChar w:fldCharType="separate"/>
      </w:r>
      <w:r>
        <w:rPr>
          <w:rFonts w:hint="eastAsia" w:ascii="宋体" w:hAnsi="宋体"/>
          <w:bCs/>
          <w:highlight w:val="none"/>
        </w:rPr>
        <w:t>第七章 技术标准和要求（合同技术条款）</w:t>
      </w:r>
      <w:r>
        <w:rPr>
          <w:highlight w:val="none"/>
        </w:rPr>
        <w:tab/>
      </w:r>
      <w:r>
        <w:rPr>
          <w:highlight w:val="none"/>
        </w:rPr>
        <w:fldChar w:fldCharType="begin"/>
      </w:r>
      <w:r>
        <w:rPr>
          <w:highlight w:val="none"/>
        </w:rPr>
        <w:instrText xml:space="preserve"> PAGEREF _Toc19651 \h </w:instrText>
      </w:r>
      <w:r>
        <w:rPr>
          <w:highlight w:val="none"/>
        </w:rPr>
        <w:fldChar w:fldCharType="separate"/>
      </w:r>
      <w:r>
        <w:rPr>
          <w:highlight w:val="none"/>
        </w:rPr>
        <w:t>56</w:t>
      </w:r>
      <w:r>
        <w:rPr>
          <w:highlight w:val="none"/>
        </w:rPr>
        <w:fldChar w:fldCharType="end"/>
      </w:r>
      <w:r>
        <w:rPr>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"_Toc16270" </w:instrText>
      </w:r>
      <w:r>
        <w:rPr>
          <w:highlight w:val="none"/>
        </w:rPr>
        <w:fldChar w:fldCharType="separate"/>
      </w:r>
      <w:r>
        <w:rPr>
          <w:rFonts w:hint="eastAsia" w:ascii="宋体" w:hAnsi="宋体"/>
          <w:bCs/>
          <w:highlight w:val="none"/>
        </w:rPr>
        <w:t>第八章 投标文件格式</w:t>
      </w:r>
      <w:r>
        <w:rPr>
          <w:highlight w:val="none"/>
        </w:rPr>
        <w:tab/>
      </w:r>
      <w:r>
        <w:rPr>
          <w:highlight w:val="none"/>
        </w:rPr>
        <w:fldChar w:fldCharType="begin"/>
      </w:r>
      <w:r>
        <w:rPr>
          <w:highlight w:val="none"/>
        </w:rPr>
        <w:instrText xml:space="preserve"> PAGEREF _Toc16270 \h </w:instrText>
      </w:r>
      <w:r>
        <w:rPr>
          <w:highlight w:val="none"/>
        </w:rPr>
        <w:fldChar w:fldCharType="separate"/>
      </w:r>
      <w:r>
        <w:rPr>
          <w:highlight w:val="none"/>
        </w:rPr>
        <w:t>57</w:t>
      </w:r>
      <w:r>
        <w:rPr>
          <w:highlight w:val="none"/>
        </w:rPr>
        <w:fldChar w:fldCharType="end"/>
      </w:r>
      <w:r>
        <w:rPr>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"_Toc9367" </w:instrText>
      </w:r>
      <w:r>
        <w:rPr>
          <w:highlight w:val="none"/>
        </w:rPr>
        <w:fldChar w:fldCharType="separate"/>
      </w:r>
      <w:r>
        <w:rPr>
          <w:rFonts w:hint="eastAsia" w:ascii="宋体" w:hAnsi="宋体"/>
          <w:bCs/>
          <w:sz w:val="20"/>
          <w:szCs w:val="20"/>
          <w:highlight w:val="none"/>
        </w:rPr>
        <w:t>目录（可加上二级目录）</w:t>
      </w:r>
      <w:r>
        <w:rPr>
          <w:sz w:val="20"/>
          <w:szCs w:val="20"/>
          <w:highlight w:val="none"/>
        </w:rPr>
        <w:tab/>
      </w:r>
      <w:r>
        <w:rPr>
          <w:sz w:val="20"/>
          <w:szCs w:val="20"/>
          <w:highlight w:val="none"/>
        </w:rPr>
        <w:fldChar w:fldCharType="begin"/>
      </w:r>
      <w:r>
        <w:rPr>
          <w:sz w:val="20"/>
          <w:szCs w:val="20"/>
          <w:highlight w:val="none"/>
        </w:rPr>
        <w:instrText xml:space="preserve"> PAGEREF _Toc9367 \h </w:instrText>
      </w:r>
      <w:r>
        <w:rPr>
          <w:sz w:val="20"/>
          <w:szCs w:val="20"/>
          <w:highlight w:val="none"/>
        </w:rPr>
        <w:fldChar w:fldCharType="separate"/>
      </w:r>
      <w:r>
        <w:rPr>
          <w:sz w:val="20"/>
          <w:szCs w:val="20"/>
          <w:highlight w:val="none"/>
        </w:rPr>
        <w:t>59</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"_Toc20588" </w:instrText>
      </w:r>
      <w:r>
        <w:rPr>
          <w:highlight w:val="none"/>
        </w:rPr>
        <w:fldChar w:fldCharType="separate"/>
      </w:r>
      <w:r>
        <w:rPr>
          <w:rFonts w:hint="eastAsia" w:ascii="宋体" w:hAnsi="宋体"/>
          <w:bCs/>
          <w:sz w:val="20"/>
          <w:szCs w:val="20"/>
          <w:highlight w:val="none"/>
        </w:rPr>
        <w:t>一、投标函及投标函附录</w:t>
      </w:r>
      <w:r>
        <w:rPr>
          <w:sz w:val="20"/>
          <w:szCs w:val="20"/>
          <w:highlight w:val="none"/>
        </w:rPr>
        <w:tab/>
      </w:r>
      <w:r>
        <w:rPr>
          <w:sz w:val="20"/>
          <w:szCs w:val="20"/>
          <w:highlight w:val="none"/>
        </w:rPr>
        <w:fldChar w:fldCharType="begin"/>
      </w:r>
      <w:r>
        <w:rPr>
          <w:sz w:val="20"/>
          <w:szCs w:val="20"/>
          <w:highlight w:val="none"/>
        </w:rPr>
        <w:instrText xml:space="preserve"> PAGEREF _Toc20588 \h </w:instrText>
      </w:r>
      <w:r>
        <w:rPr>
          <w:sz w:val="20"/>
          <w:szCs w:val="20"/>
          <w:highlight w:val="none"/>
        </w:rPr>
        <w:fldChar w:fldCharType="separate"/>
      </w:r>
      <w:r>
        <w:rPr>
          <w:sz w:val="20"/>
          <w:szCs w:val="20"/>
          <w:highlight w:val="none"/>
        </w:rPr>
        <w:t>60</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"_Toc17042" </w:instrText>
      </w:r>
      <w:r>
        <w:rPr>
          <w:highlight w:val="none"/>
        </w:rPr>
        <w:fldChar w:fldCharType="separate"/>
      </w:r>
      <w:r>
        <w:rPr>
          <w:rFonts w:hint="eastAsia" w:ascii="宋体" w:hAnsi="宋体"/>
          <w:bCs/>
          <w:sz w:val="20"/>
          <w:szCs w:val="20"/>
          <w:highlight w:val="none"/>
        </w:rPr>
        <w:t>二、法定代表人身份证明</w:t>
      </w:r>
      <w:r>
        <w:rPr>
          <w:sz w:val="20"/>
          <w:szCs w:val="20"/>
          <w:highlight w:val="none"/>
        </w:rPr>
        <w:tab/>
      </w:r>
      <w:r>
        <w:rPr>
          <w:sz w:val="20"/>
          <w:szCs w:val="20"/>
          <w:highlight w:val="none"/>
        </w:rPr>
        <w:fldChar w:fldCharType="begin"/>
      </w:r>
      <w:r>
        <w:rPr>
          <w:sz w:val="20"/>
          <w:szCs w:val="20"/>
          <w:highlight w:val="none"/>
        </w:rPr>
        <w:instrText xml:space="preserve"> PAGEREF _Toc17042 \h </w:instrText>
      </w:r>
      <w:r>
        <w:rPr>
          <w:sz w:val="20"/>
          <w:szCs w:val="20"/>
          <w:highlight w:val="none"/>
        </w:rPr>
        <w:fldChar w:fldCharType="separate"/>
      </w:r>
      <w:r>
        <w:rPr>
          <w:sz w:val="20"/>
          <w:szCs w:val="20"/>
          <w:highlight w:val="none"/>
        </w:rPr>
        <w:t>63</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"_Toc14309" </w:instrText>
      </w:r>
      <w:r>
        <w:rPr>
          <w:highlight w:val="none"/>
        </w:rPr>
        <w:fldChar w:fldCharType="separate"/>
      </w:r>
      <w:r>
        <w:rPr>
          <w:rFonts w:hint="eastAsia" w:ascii="宋体" w:hAnsi="宋体"/>
          <w:bCs/>
          <w:sz w:val="20"/>
          <w:szCs w:val="20"/>
          <w:highlight w:val="none"/>
        </w:rPr>
        <w:t>三、授权委托书</w:t>
      </w:r>
      <w:r>
        <w:rPr>
          <w:sz w:val="20"/>
          <w:szCs w:val="20"/>
          <w:highlight w:val="none"/>
        </w:rPr>
        <w:tab/>
      </w:r>
      <w:r>
        <w:rPr>
          <w:sz w:val="20"/>
          <w:szCs w:val="20"/>
          <w:highlight w:val="none"/>
        </w:rPr>
        <w:fldChar w:fldCharType="begin"/>
      </w:r>
      <w:r>
        <w:rPr>
          <w:sz w:val="20"/>
          <w:szCs w:val="20"/>
          <w:highlight w:val="none"/>
        </w:rPr>
        <w:instrText xml:space="preserve"> PAGEREF _Toc14309 \h </w:instrText>
      </w:r>
      <w:r>
        <w:rPr>
          <w:sz w:val="20"/>
          <w:szCs w:val="20"/>
          <w:highlight w:val="none"/>
        </w:rPr>
        <w:fldChar w:fldCharType="separate"/>
      </w:r>
      <w:r>
        <w:rPr>
          <w:sz w:val="20"/>
          <w:szCs w:val="20"/>
          <w:highlight w:val="none"/>
        </w:rPr>
        <w:t>64</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"_Toc11915" </w:instrText>
      </w:r>
      <w:r>
        <w:rPr>
          <w:highlight w:val="none"/>
        </w:rPr>
        <w:fldChar w:fldCharType="separate"/>
      </w:r>
      <w:r>
        <w:rPr>
          <w:rFonts w:hint="eastAsia" w:ascii="宋体" w:hAnsi="宋体"/>
          <w:bCs/>
          <w:sz w:val="20"/>
          <w:szCs w:val="20"/>
          <w:highlight w:val="none"/>
        </w:rPr>
        <w:t>四、已标价工程量清单</w:t>
      </w:r>
      <w:r>
        <w:rPr>
          <w:sz w:val="20"/>
          <w:szCs w:val="20"/>
          <w:highlight w:val="none"/>
        </w:rPr>
        <w:tab/>
      </w:r>
      <w:r>
        <w:rPr>
          <w:sz w:val="20"/>
          <w:szCs w:val="20"/>
          <w:highlight w:val="none"/>
        </w:rPr>
        <w:fldChar w:fldCharType="begin"/>
      </w:r>
      <w:r>
        <w:rPr>
          <w:sz w:val="20"/>
          <w:szCs w:val="20"/>
          <w:highlight w:val="none"/>
        </w:rPr>
        <w:instrText xml:space="preserve"> PAGEREF _Toc11915 \h </w:instrText>
      </w:r>
      <w:r>
        <w:rPr>
          <w:sz w:val="20"/>
          <w:szCs w:val="20"/>
          <w:highlight w:val="none"/>
        </w:rPr>
        <w:fldChar w:fldCharType="separate"/>
      </w:r>
      <w:r>
        <w:rPr>
          <w:sz w:val="20"/>
          <w:szCs w:val="20"/>
          <w:highlight w:val="none"/>
        </w:rPr>
        <w:t>65</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"_Toc22762" </w:instrText>
      </w:r>
      <w:r>
        <w:rPr>
          <w:highlight w:val="none"/>
        </w:rPr>
        <w:fldChar w:fldCharType="separate"/>
      </w:r>
      <w:r>
        <w:rPr>
          <w:rFonts w:hint="eastAsia" w:ascii="宋体" w:hAnsi="宋体"/>
          <w:bCs/>
          <w:sz w:val="20"/>
          <w:szCs w:val="20"/>
          <w:highlight w:val="none"/>
        </w:rPr>
        <w:t>五、项目管理机构</w:t>
      </w:r>
      <w:r>
        <w:rPr>
          <w:sz w:val="20"/>
          <w:szCs w:val="20"/>
          <w:highlight w:val="none"/>
        </w:rPr>
        <w:tab/>
      </w:r>
      <w:r>
        <w:rPr>
          <w:sz w:val="20"/>
          <w:szCs w:val="20"/>
          <w:highlight w:val="none"/>
        </w:rPr>
        <w:fldChar w:fldCharType="begin"/>
      </w:r>
      <w:r>
        <w:rPr>
          <w:sz w:val="20"/>
          <w:szCs w:val="20"/>
          <w:highlight w:val="none"/>
        </w:rPr>
        <w:instrText xml:space="preserve"> PAGEREF _Toc22762 \h </w:instrText>
      </w:r>
      <w:r>
        <w:rPr>
          <w:sz w:val="20"/>
          <w:szCs w:val="20"/>
          <w:highlight w:val="none"/>
        </w:rPr>
        <w:fldChar w:fldCharType="separate"/>
      </w:r>
      <w:r>
        <w:rPr>
          <w:sz w:val="20"/>
          <w:szCs w:val="20"/>
          <w:highlight w:val="none"/>
        </w:rPr>
        <w:t>66</w:t>
      </w:r>
      <w:r>
        <w:rPr>
          <w:sz w:val="20"/>
          <w:szCs w:val="20"/>
          <w:highlight w:val="none"/>
        </w:rPr>
        <w:fldChar w:fldCharType="end"/>
      </w:r>
      <w:r>
        <w:rPr>
          <w:sz w:val="20"/>
          <w:szCs w:val="20"/>
          <w:highlight w:val="none"/>
        </w:rPr>
        <w:fldChar w:fldCharType="end"/>
      </w:r>
    </w:p>
    <w:p>
      <w:pPr>
        <w:pStyle w:val="12"/>
        <w:tabs>
          <w:tab w:val="right" w:leader="dot" w:pos="9412"/>
        </w:tabs>
        <w:rPr>
          <w:sz w:val="20"/>
          <w:szCs w:val="20"/>
          <w:highlight w:val="none"/>
        </w:rPr>
      </w:pPr>
      <w:r>
        <w:rPr>
          <w:highlight w:val="none"/>
        </w:rPr>
        <w:fldChar w:fldCharType="begin"/>
      </w:r>
      <w:r>
        <w:rPr>
          <w:highlight w:val="none"/>
        </w:rPr>
        <w:instrText xml:space="preserve"> HYPERLINK \l "_Toc14403" </w:instrText>
      </w:r>
      <w:r>
        <w:rPr>
          <w:highlight w:val="none"/>
        </w:rPr>
        <w:fldChar w:fldCharType="separate"/>
      </w:r>
      <w:r>
        <w:rPr>
          <w:rFonts w:hint="eastAsia" w:ascii="宋体" w:hAnsi="宋体"/>
          <w:bCs/>
          <w:sz w:val="20"/>
          <w:szCs w:val="20"/>
          <w:highlight w:val="none"/>
        </w:rPr>
        <w:t>六、资格审查资料</w:t>
      </w:r>
      <w:r>
        <w:rPr>
          <w:sz w:val="20"/>
          <w:szCs w:val="20"/>
          <w:highlight w:val="none"/>
        </w:rPr>
        <w:tab/>
      </w:r>
      <w:r>
        <w:rPr>
          <w:sz w:val="20"/>
          <w:szCs w:val="20"/>
          <w:highlight w:val="none"/>
        </w:rPr>
        <w:fldChar w:fldCharType="begin"/>
      </w:r>
      <w:r>
        <w:rPr>
          <w:sz w:val="20"/>
          <w:szCs w:val="20"/>
          <w:highlight w:val="none"/>
        </w:rPr>
        <w:instrText xml:space="preserve"> PAGEREF _Toc14403 \h </w:instrText>
      </w:r>
      <w:r>
        <w:rPr>
          <w:sz w:val="20"/>
          <w:szCs w:val="20"/>
          <w:highlight w:val="none"/>
        </w:rPr>
        <w:fldChar w:fldCharType="separate"/>
      </w:r>
      <w:r>
        <w:rPr>
          <w:sz w:val="20"/>
          <w:szCs w:val="20"/>
          <w:highlight w:val="none"/>
        </w:rPr>
        <w:t>68</w:t>
      </w:r>
      <w:r>
        <w:rPr>
          <w:sz w:val="20"/>
          <w:szCs w:val="20"/>
          <w:highlight w:val="none"/>
        </w:rPr>
        <w:fldChar w:fldCharType="end"/>
      </w:r>
      <w:r>
        <w:rPr>
          <w:sz w:val="20"/>
          <w:szCs w:val="20"/>
          <w:highlight w:val="none"/>
        </w:rPr>
        <w:fldChar w:fldCharType="end"/>
      </w:r>
    </w:p>
    <w:p>
      <w:pPr>
        <w:pStyle w:val="12"/>
        <w:tabs>
          <w:tab w:val="right" w:leader="dot" w:pos="9412"/>
        </w:tabs>
        <w:rPr>
          <w:highlight w:val="none"/>
        </w:rPr>
      </w:pPr>
      <w:r>
        <w:rPr>
          <w:highlight w:val="none"/>
        </w:rPr>
        <w:fldChar w:fldCharType="begin"/>
      </w:r>
      <w:r>
        <w:rPr>
          <w:highlight w:val="none"/>
        </w:rPr>
        <w:instrText xml:space="preserve"> HYPERLINK \l "_Toc8842" </w:instrText>
      </w:r>
      <w:r>
        <w:rPr>
          <w:highlight w:val="none"/>
        </w:rPr>
        <w:fldChar w:fldCharType="separate"/>
      </w:r>
      <w:r>
        <w:rPr>
          <w:rFonts w:hint="eastAsia" w:ascii="宋体" w:hAnsi="宋体"/>
          <w:bCs/>
          <w:sz w:val="20"/>
          <w:szCs w:val="20"/>
          <w:highlight w:val="none"/>
        </w:rPr>
        <w:t>七、投标人须知前附表规定的其他材料</w:t>
      </w:r>
      <w:r>
        <w:rPr>
          <w:sz w:val="20"/>
          <w:szCs w:val="20"/>
          <w:highlight w:val="none"/>
        </w:rPr>
        <w:tab/>
      </w:r>
      <w:r>
        <w:rPr>
          <w:sz w:val="20"/>
          <w:szCs w:val="20"/>
          <w:highlight w:val="none"/>
        </w:rPr>
        <w:fldChar w:fldCharType="begin"/>
      </w:r>
      <w:r>
        <w:rPr>
          <w:sz w:val="20"/>
          <w:szCs w:val="20"/>
          <w:highlight w:val="none"/>
        </w:rPr>
        <w:instrText xml:space="preserve"> PAGEREF _Toc8842 \h </w:instrText>
      </w:r>
      <w:r>
        <w:rPr>
          <w:sz w:val="20"/>
          <w:szCs w:val="20"/>
          <w:highlight w:val="none"/>
        </w:rPr>
        <w:fldChar w:fldCharType="separate"/>
      </w:r>
      <w:r>
        <w:rPr>
          <w:sz w:val="20"/>
          <w:szCs w:val="20"/>
          <w:highlight w:val="none"/>
        </w:rPr>
        <w:t>75</w:t>
      </w:r>
      <w:r>
        <w:rPr>
          <w:sz w:val="20"/>
          <w:szCs w:val="20"/>
          <w:highlight w:val="none"/>
        </w:rPr>
        <w:fldChar w:fldCharType="end"/>
      </w:r>
      <w:r>
        <w:rPr>
          <w:sz w:val="20"/>
          <w:szCs w:val="20"/>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"_Toc8115" </w:instrText>
      </w:r>
      <w:r>
        <w:rPr>
          <w:highlight w:val="none"/>
        </w:rPr>
        <w:fldChar w:fldCharType="separate"/>
      </w:r>
      <w:r>
        <w:rPr>
          <w:rFonts w:hint="eastAsia" w:ascii="宋体" w:hAnsi="宋体"/>
          <w:bCs/>
          <w:szCs w:val="32"/>
          <w:highlight w:val="none"/>
        </w:rPr>
        <w:t>第九章 否决性条款汇总</w:t>
      </w:r>
      <w:r>
        <w:rPr>
          <w:highlight w:val="none"/>
        </w:rPr>
        <w:tab/>
      </w:r>
      <w:r>
        <w:rPr>
          <w:highlight w:val="none"/>
        </w:rPr>
        <w:fldChar w:fldCharType="begin"/>
      </w:r>
      <w:r>
        <w:rPr>
          <w:highlight w:val="none"/>
        </w:rPr>
        <w:instrText xml:space="preserve"> PAGEREF _Toc8115 \h </w:instrText>
      </w:r>
      <w:r>
        <w:rPr>
          <w:highlight w:val="none"/>
        </w:rPr>
        <w:fldChar w:fldCharType="separate"/>
      </w:r>
      <w:r>
        <w:rPr>
          <w:highlight w:val="none"/>
        </w:rPr>
        <w:t>78</w:t>
      </w:r>
      <w:r>
        <w:rPr>
          <w:highlight w:val="none"/>
        </w:rPr>
        <w:fldChar w:fldCharType="end"/>
      </w:r>
      <w:r>
        <w:rPr>
          <w:highlight w:val="none"/>
        </w:rPr>
        <w:fldChar w:fldCharType="end"/>
      </w:r>
    </w:p>
    <w:p>
      <w:pPr>
        <w:pStyle w:val="17"/>
        <w:tabs>
          <w:tab w:val="right" w:leader="dot" w:pos="9412"/>
          <w:tab w:val="clear" w:pos="8302"/>
        </w:tabs>
        <w:rPr>
          <w:highlight w:val="none"/>
        </w:rPr>
      </w:pPr>
      <w:r>
        <w:rPr>
          <w:highlight w:val="none"/>
        </w:rPr>
        <w:fldChar w:fldCharType="begin"/>
      </w:r>
      <w:r>
        <w:rPr>
          <w:highlight w:val="none"/>
        </w:rPr>
        <w:instrText xml:space="preserve"> HYPERLINK \l "_Toc13675" </w:instrText>
      </w:r>
      <w:r>
        <w:rPr>
          <w:highlight w:val="none"/>
        </w:rPr>
        <w:fldChar w:fldCharType="separate"/>
      </w:r>
      <w:r>
        <w:rPr>
          <w:rFonts w:hint="eastAsia" w:ascii="宋体" w:hAnsi="宋体"/>
          <w:bCs/>
          <w:szCs w:val="32"/>
          <w:highlight w:val="none"/>
        </w:rPr>
        <w:t>第十章 最高投标限价（招标控制价）</w:t>
      </w:r>
      <w:r>
        <w:rPr>
          <w:highlight w:val="none"/>
        </w:rPr>
        <w:tab/>
      </w:r>
      <w:r>
        <w:rPr>
          <w:highlight w:val="none"/>
        </w:rPr>
        <w:fldChar w:fldCharType="begin"/>
      </w:r>
      <w:r>
        <w:rPr>
          <w:highlight w:val="none"/>
        </w:rPr>
        <w:instrText xml:space="preserve"> PAGEREF _Toc13675 \h </w:instrText>
      </w:r>
      <w:r>
        <w:rPr>
          <w:highlight w:val="none"/>
        </w:rPr>
        <w:fldChar w:fldCharType="separate"/>
      </w:r>
      <w:r>
        <w:rPr>
          <w:highlight w:val="none"/>
        </w:rPr>
        <w:t>80</w:t>
      </w:r>
      <w:r>
        <w:rPr>
          <w:highlight w:val="none"/>
        </w:rPr>
        <w:fldChar w:fldCharType="end"/>
      </w:r>
      <w:r>
        <w:rPr>
          <w:highlight w:val="none"/>
        </w:rPr>
        <w:fldChar w:fldCharType="end"/>
      </w:r>
    </w:p>
    <w:p>
      <w:pPr>
        <w:wordWrap w:val="0"/>
        <w:ind w:firstLine="480" w:firstLineChars="200"/>
        <w:rPr>
          <w:rFonts w:ascii="宋体" w:hAnsi="宋体"/>
          <w:highlight w:val="none"/>
        </w:rPr>
      </w:pPr>
      <w:r>
        <w:rPr>
          <w:rFonts w:ascii="宋体" w:hAnsi="宋体"/>
          <w:sz w:val="24"/>
          <w:szCs w:val="24"/>
          <w:highlight w:val="none"/>
        </w:rPr>
        <w:fldChar w:fldCharType="end"/>
      </w:r>
    </w:p>
    <w:p>
      <w:pPr>
        <w:pStyle w:val="6"/>
        <w:wordWrap w:val="0"/>
        <w:rPr>
          <w:rFonts w:ascii="宋体" w:hAnsi="宋体" w:eastAsia="宋体"/>
          <w:highlight w:val="none"/>
        </w:rPr>
        <w:sectPr>
          <w:headerReference r:id="rId3" w:type="default"/>
          <w:footerReference r:id="rId4" w:type="default"/>
          <w:pgSz w:w="11906" w:h="16838"/>
          <w:pgMar w:top="1247" w:right="1247" w:bottom="567" w:left="1247" w:header="851" w:footer="992" w:gutter="0"/>
          <w:cols w:space="720" w:num="1"/>
          <w:docGrid w:linePitch="312" w:charSpace="0"/>
        </w:sectPr>
      </w:pPr>
      <w:bookmarkStart w:id="1" w:name="_Toc17450711"/>
      <w:bookmarkEnd w:id="1"/>
      <w:bookmarkStart w:id="2" w:name="_Toc17556872"/>
      <w:bookmarkEnd w:id="2"/>
      <w:bookmarkStart w:id="3" w:name="_Toc17450716"/>
      <w:bookmarkEnd w:id="3"/>
      <w:bookmarkStart w:id="4" w:name="_Toc17450714"/>
      <w:bookmarkEnd w:id="4"/>
      <w:bookmarkStart w:id="5" w:name="_Toc17450710"/>
      <w:bookmarkEnd w:id="5"/>
      <w:bookmarkStart w:id="6" w:name="_Toc17451092"/>
      <w:bookmarkEnd w:id="6"/>
      <w:bookmarkStart w:id="7" w:name="_Toc17556871"/>
      <w:bookmarkEnd w:id="7"/>
      <w:bookmarkStart w:id="8" w:name="_Toc17451200"/>
      <w:bookmarkEnd w:id="8"/>
      <w:bookmarkStart w:id="9" w:name="_Toc17556865"/>
      <w:bookmarkEnd w:id="9"/>
      <w:bookmarkStart w:id="10" w:name="_Toc17556867"/>
      <w:bookmarkEnd w:id="10"/>
      <w:bookmarkStart w:id="11" w:name="_Toc17556869"/>
      <w:bookmarkEnd w:id="11"/>
      <w:bookmarkStart w:id="12" w:name="_Toc17450717"/>
      <w:bookmarkEnd w:id="12"/>
      <w:bookmarkStart w:id="13" w:name="_Toc17451198"/>
      <w:bookmarkEnd w:id="13"/>
      <w:bookmarkStart w:id="14" w:name="_Toc17451094"/>
      <w:bookmarkEnd w:id="14"/>
      <w:bookmarkStart w:id="15" w:name="_Toc17451095"/>
      <w:bookmarkEnd w:id="15"/>
      <w:bookmarkStart w:id="16" w:name="_Toc17450793"/>
      <w:bookmarkEnd w:id="16"/>
      <w:bookmarkStart w:id="17" w:name="_Toc17450790"/>
      <w:bookmarkEnd w:id="17"/>
      <w:bookmarkStart w:id="18" w:name="_Toc17451097"/>
      <w:bookmarkEnd w:id="18"/>
      <w:bookmarkStart w:id="19" w:name="_Toc17451195"/>
      <w:bookmarkEnd w:id="19"/>
      <w:bookmarkStart w:id="20" w:name="_Toc17450713"/>
      <w:bookmarkEnd w:id="20"/>
      <w:bookmarkStart w:id="21" w:name="_Toc17556774"/>
      <w:bookmarkEnd w:id="21"/>
      <w:bookmarkStart w:id="22" w:name="_Toc17450792"/>
      <w:bookmarkEnd w:id="22"/>
      <w:bookmarkStart w:id="23" w:name="_Toc17451090"/>
      <w:bookmarkEnd w:id="23"/>
      <w:bookmarkStart w:id="24" w:name="_Toc17451199"/>
      <w:bookmarkEnd w:id="24"/>
      <w:bookmarkStart w:id="25" w:name="_Toc17451093"/>
      <w:bookmarkEnd w:id="25"/>
      <w:bookmarkStart w:id="26" w:name="_Toc17450712"/>
      <w:bookmarkEnd w:id="26"/>
      <w:bookmarkStart w:id="27" w:name="_Toc17450794"/>
      <w:bookmarkEnd w:id="27"/>
      <w:bookmarkStart w:id="28" w:name="_Toc17451201"/>
      <w:bookmarkEnd w:id="28"/>
      <w:bookmarkStart w:id="29" w:name="_Toc17450715"/>
      <w:bookmarkEnd w:id="29"/>
      <w:bookmarkStart w:id="30" w:name="_Toc17556868"/>
      <w:bookmarkEnd w:id="30"/>
      <w:bookmarkStart w:id="31" w:name="_Toc17556870"/>
      <w:bookmarkEnd w:id="31"/>
      <w:bookmarkStart w:id="32" w:name="_Toc17450795"/>
      <w:bookmarkEnd w:id="32"/>
      <w:bookmarkStart w:id="33" w:name="_Toc17450797"/>
      <w:bookmarkEnd w:id="33"/>
      <w:bookmarkStart w:id="34" w:name="_Toc17451091"/>
      <w:bookmarkEnd w:id="34"/>
      <w:bookmarkStart w:id="35" w:name="_Toc17451096"/>
      <w:bookmarkEnd w:id="35"/>
      <w:bookmarkStart w:id="36" w:name="_Toc17450796"/>
      <w:bookmarkEnd w:id="36"/>
      <w:bookmarkStart w:id="37" w:name="_Toc17451196"/>
      <w:bookmarkEnd w:id="37"/>
      <w:bookmarkStart w:id="38" w:name="_Toc17556866"/>
      <w:bookmarkEnd w:id="38"/>
      <w:bookmarkStart w:id="39" w:name="_Toc17450791"/>
      <w:bookmarkEnd w:id="39"/>
      <w:bookmarkStart w:id="40" w:name="_Toc17451194"/>
      <w:bookmarkEnd w:id="40"/>
      <w:bookmarkStart w:id="41" w:name="_Toc17451197"/>
      <w:bookmarkEnd w:id="41"/>
      <w:bookmarkStart w:id="42" w:name="_Toc17556873"/>
      <w:bookmarkStart w:id="43" w:name="_Toc17451098"/>
      <w:bookmarkStart w:id="44" w:name="_Toc17451620"/>
      <w:bookmarkStart w:id="45" w:name="_Toc17451575"/>
      <w:bookmarkStart w:id="46" w:name="_Toc17452661"/>
      <w:bookmarkStart w:id="47" w:name="_Toc17454919"/>
      <w:bookmarkStart w:id="48" w:name="_Toc17454868"/>
    </w:p>
    <w:p>
      <w:pPr>
        <w:pStyle w:val="6"/>
        <w:wordWrap w:val="0"/>
        <w:spacing w:before="0" w:after="0" w:line="360" w:lineRule="auto"/>
        <w:rPr>
          <w:rFonts w:ascii="宋体" w:hAnsi="宋体" w:eastAsia="宋体"/>
          <w:b/>
          <w:bCs/>
          <w:sz w:val="44"/>
          <w:szCs w:val="44"/>
          <w:highlight w:val="none"/>
        </w:rPr>
      </w:pPr>
      <w:bookmarkStart w:id="49" w:name="_Toc112854432"/>
      <w:bookmarkStart w:id="50" w:name="_Toc32416"/>
      <w:bookmarkStart w:id="51" w:name="_Toc9702"/>
      <w:bookmarkStart w:id="52" w:name="_Toc29054"/>
      <w:r>
        <w:rPr>
          <w:rFonts w:hint="eastAsia" w:ascii="宋体" w:hAnsi="宋体" w:eastAsia="宋体"/>
          <w:b/>
          <w:bCs/>
          <w:sz w:val="44"/>
          <w:szCs w:val="44"/>
          <w:highlight w:val="none"/>
        </w:rPr>
        <w:t>第一章 招标公告</w:t>
      </w:r>
      <w:bookmarkEnd w:id="42"/>
      <w:bookmarkEnd w:id="43"/>
      <w:bookmarkEnd w:id="44"/>
      <w:bookmarkEnd w:id="45"/>
      <w:bookmarkEnd w:id="46"/>
      <w:bookmarkEnd w:id="47"/>
      <w:bookmarkEnd w:id="48"/>
      <w:bookmarkEnd w:id="49"/>
      <w:r>
        <w:rPr>
          <w:rFonts w:hint="eastAsia" w:ascii="宋体" w:hAnsi="宋体" w:eastAsia="宋体"/>
          <w:b/>
          <w:bCs/>
          <w:sz w:val="44"/>
          <w:szCs w:val="44"/>
          <w:highlight w:val="none"/>
        </w:rPr>
        <w:t>（另册）</w:t>
      </w:r>
      <w:bookmarkEnd w:id="50"/>
      <w:bookmarkEnd w:id="51"/>
      <w:bookmarkEnd w:id="52"/>
    </w:p>
    <w:p>
      <w:pPr>
        <w:wordWrap w:val="0"/>
        <w:spacing w:line="480" w:lineRule="auto"/>
        <w:ind w:firstLine="480" w:firstLineChars="200"/>
        <w:jc w:val="right"/>
        <w:rPr>
          <w:rFonts w:ascii="宋体" w:hAnsi="宋体"/>
          <w:sz w:val="24"/>
          <w:highlight w:val="none"/>
          <w:u w:val="single"/>
        </w:rPr>
      </w:pPr>
    </w:p>
    <w:p>
      <w:pPr>
        <w:widowControl/>
        <w:wordWrap w:val="0"/>
        <w:jc w:val="left"/>
        <w:rPr>
          <w:rFonts w:ascii="宋体" w:hAnsi="宋体"/>
          <w:b/>
          <w:sz w:val="24"/>
          <w:szCs w:val="24"/>
          <w:highlight w:val="none"/>
          <w:u w:val="single"/>
        </w:rPr>
      </w:pPr>
      <w:r>
        <w:rPr>
          <w:rFonts w:hint="eastAsia" w:ascii="宋体" w:hAnsi="宋体" w:cs="宋体"/>
          <w:kern w:val="0"/>
          <w:sz w:val="24"/>
          <w:highlight w:val="none"/>
        </w:rPr>
        <w:br w:type="page"/>
      </w:r>
    </w:p>
    <w:p>
      <w:pPr>
        <w:pStyle w:val="6"/>
        <w:wordWrap w:val="0"/>
        <w:spacing w:before="0" w:after="0" w:line="360" w:lineRule="auto"/>
        <w:rPr>
          <w:rFonts w:ascii="宋体" w:hAnsi="宋体" w:eastAsia="宋体"/>
          <w:b/>
          <w:bCs/>
          <w:sz w:val="44"/>
          <w:szCs w:val="44"/>
          <w:highlight w:val="none"/>
        </w:rPr>
      </w:pPr>
      <w:bookmarkStart w:id="53" w:name="_Toc17451621"/>
      <w:bookmarkStart w:id="54" w:name="_Toc17454869"/>
      <w:bookmarkStart w:id="55" w:name="_Toc7586"/>
      <w:bookmarkStart w:id="56" w:name="_Toc17452662"/>
      <w:bookmarkStart w:id="57" w:name="_Toc17454920"/>
      <w:bookmarkStart w:id="58" w:name="_Toc17451099"/>
      <w:bookmarkStart w:id="59" w:name="_Toc9655"/>
      <w:bookmarkStart w:id="60" w:name="_Toc17451576"/>
      <w:bookmarkStart w:id="61" w:name="_Toc32300"/>
      <w:bookmarkStart w:id="62" w:name="_Toc112854434"/>
      <w:bookmarkStart w:id="63" w:name="_Toc17556874"/>
      <w:bookmarkStart w:id="64" w:name="_Toc221950008"/>
      <w:r>
        <w:rPr>
          <w:rFonts w:hint="eastAsia" w:ascii="宋体" w:hAnsi="宋体" w:eastAsia="宋体"/>
          <w:b/>
          <w:bCs/>
          <w:sz w:val="44"/>
          <w:szCs w:val="44"/>
          <w:highlight w:val="none"/>
        </w:rPr>
        <w:t>第二章 投标须知</w:t>
      </w:r>
      <w:bookmarkEnd w:id="53"/>
      <w:bookmarkEnd w:id="54"/>
      <w:bookmarkEnd w:id="55"/>
      <w:bookmarkEnd w:id="56"/>
      <w:bookmarkEnd w:id="57"/>
      <w:bookmarkEnd w:id="58"/>
      <w:bookmarkEnd w:id="59"/>
      <w:bookmarkEnd w:id="60"/>
      <w:bookmarkEnd w:id="61"/>
      <w:bookmarkEnd w:id="62"/>
      <w:bookmarkEnd w:id="63"/>
    </w:p>
    <w:bookmarkEnd w:id="64"/>
    <w:p>
      <w:pPr>
        <w:wordWrap w:val="0"/>
        <w:spacing w:line="360" w:lineRule="auto"/>
        <w:jc w:val="center"/>
        <w:outlineLvl w:val="2"/>
        <w:rPr>
          <w:rFonts w:ascii="宋体" w:hAnsi="宋体"/>
          <w:b/>
          <w:bCs/>
          <w:sz w:val="32"/>
          <w:szCs w:val="32"/>
          <w:highlight w:val="none"/>
        </w:rPr>
      </w:pPr>
      <w:bookmarkStart w:id="65" w:name="_Toc112854435"/>
      <w:bookmarkStart w:id="66" w:name="_Toc30659"/>
      <w:bookmarkStart w:id="67" w:name="_Toc5410"/>
      <w:bookmarkStart w:id="68" w:name="_Toc17451577"/>
      <w:bookmarkStart w:id="69" w:name="_Toc17454870"/>
      <w:bookmarkStart w:id="70" w:name="_Toc17454921"/>
      <w:bookmarkStart w:id="71" w:name="_Toc17451622"/>
      <w:bookmarkStart w:id="72" w:name="_Toc17452663"/>
      <w:bookmarkStart w:id="73" w:name="_Toc17556875"/>
      <w:bookmarkStart w:id="74" w:name="_Toc15692"/>
      <w:bookmarkStart w:id="75" w:name="_Toc17451100"/>
      <w:bookmarkStart w:id="76" w:name="_Toc17451578"/>
      <w:bookmarkStart w:id="77" w:name="_Toc17454871"/>
      <w:bookmarkStart w:id="78" w:name="_Toc17451623"/>
      <w:bookmarkStart w:id="79" w:name="_Toc17454922"/>
      <w:bookmarkStart w:id="80" w:name="_Toc17451101"/>
      <w:bookmarkStart w:id="81" w:name="_Toc17556876"/>
      <w:bookmarkStart w:id="82" w:name="_Toc262229161"/>
      <w:bookmarkStart w:id="83" w:name="_Toc17452664"/>
      <w:bookmarkStart w:id="84" w:name="_Toc112854436"/>
      <w:r>
        <w:rPr>
          <w:rFonts w:hint="eastAsia" w:ascii="宋体" w:hAnsi="宋体"/>
          <w:b/>
          <w:bCs/>
          <w:sz w:val="32"/>
          <w:szCs w:val="32"/>
          <w:highlight w:val="none"/>
        </w:rPr>
        <w:t>一、投标人须知前附表</w:t>
      </w:r>
      <w:bookmarkEnd w:id="65"/>
      <w:bookmarkEnd w:id="66"/>
      <w:bookmarkEnd w:id="67"/>
      <w:bookmarkEnd w:id="68"/>
      <w:bookmarkEnd w:id="69"/>
      <w:bookmarkEnd w:id="70"/>
      <w:bookmarkEnd w:id="71"/>
      <w:bookmarkEnd w:id="72"/>
      <w:bookmarkEnd w:id="73"/>
      <w:bookmarkEnd w:id="74"/>
      <w:bookmarkEnd w:id="75"/>
    </w:p>
    <w:tbl>
      <w:tblPr>
        <w:tblStyle w:val="22"/>
        <w:tblW w:w="0" w:type="auto"/>
        <w:jc w:val="center"/>
        <w:tblLayout w:type="fixed"/>
        <w:tblCellMar>
          <w:top w:w="0" w:type="dxa"/>
          <w:left w:w="108" w:type="dxa"/>
          <w:bottom w:w="0" w:type="dxa"/>
          <w:right w:w="108" w:type="dxa"/>
        </w:tblCellMar>
      </w:tblPr>
      <w:tblGrid>
        <w:gridCol w:w="1465"/>
        <w:gridCol w:w="2113"/>
        <w:gridCol w:w="6044"/>
      </w:tblGrid>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b/>
                <w:sz w:val="24"/>
                <w:szCs w:val="24"/>
                <w:highlight w:val="none"/>
              </w:rPr>
            </w:pPr>
            <w:bookmarkStart w:id="85" w:name="_Toc221950009"/>
            <w:r>
              <w:rPr>
                <w:rFonts w:hint="eastAsia" w:ascii="宋体" w:hAnsi="宋体" w:cs="宋体"/>
                <w:b/>
                <w:sz w:val="24"/>
                <w:szCs w:val="24"/>
                <w:highlight w:val="none"/>
              </w:rPr>
              <w:t>条款号</w:t>
            </w:r>
            <w:bookmarkEnd w:id="85"/>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b/>
                <w:sz w:val="24"/>
                <w:szCs w:val="24"/>
                <w:highlight w:val="none"/>
              </w:rPr>
            </w:pPr>
            <w:bookmarkStart w:id="86" w:name="_Toc221950010"/>
            <w:r>
              <w:rPr>
                <w:rFonts w:hint="eastAsia" w:ascii="宋体" w:hAnsi="宋体" w:cs="宋体"/>
                <w:b/>
                <w:sz w:val="24"/>
                <w:szCs w:val="24"/>
                <w:highlight w:val="none"/>
              </w:rPr>
              <w:t>条款名称</w:t>
            </w:r>
            <w:bookmarkEnd w:id="86"/>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b/>
                <w:sz w:val="24"/>
                <w:szCs w:val="24"/>
                <w:highlight w:val="none"/>
              </w:rPr>
            </w:pPr>
            <w:bookmarkStart w:id="87" w:name="_Toc221950011"/>
            <w:r>
              <w:rPr>
                <w:rFonts w:hint="eastAsia" w:ascii="宋体" w:hAnsi="宋体" w:cs="宋体"/>
                <w:b/>
                <w:sz w:val="24"/>
                <w:szCs w:val="24"/>
                <w:highlight w:val="none"/>
              </w:rPr>
              <w:t>编列内容</w:t>
            </w:r>
            <w:bookmarkEnd w:id="87"/>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88" w:name="_Toc221950012"/>
            <w:r>
              <w:rPr>
                <w:rFonts w:hint="eastAsia" w:ascii="宋体" w:hAnsi="宋体" w:cs="宋体"/>
                <w:sz w:val="24"/>
                <w:szCs w:val="24"/>
                <w:highlight w:val="none"/>
              </w:rPr>
              <w:t>1.1.2</w:t>
            </w:r>
            <w:bookmarkEnd w:id="88"/>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定义</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招标人：广州市智采资源管理服务有限公司</w:t>
            </w:r>
          </w:p>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建设单位：广州二运集团有限公司、广州长运集团有限公司物业管理分公司（在签订和执行合同阶段称为“发包人（甲方）”）</w:t>
            </w:r>
          </w:p>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 xml:space="preserve">设计单位：  / </w:t>
            </w:r>
          </w:p>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 xml:space="preserve">监理单位：  / </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89" w:name="_Toc221950016"/>
            <w:r>
              <w:rPr>
                <w:rFonts w:hint="eastAsia" w:ascii="宋体" w:hAnsi="宋体" w:cs="宋体"/>
                <w:sz w:val="24"/>
                <w:szCs w:val="24"/>
                <w:highlight w:val="none"/>
              </w:rPr>
              <w:t>1.1.4</w:t>
            </w:r>
            <w:bookmarkEnd w:id="89"/>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90" w:name="_Toc221950017"/>
            <w:r>
              <w:rPr>
                <w:rFonts w:hint="eastAsia" w:ascii="宋体" w:hAnsi="宋体" w:cs="宋体"/>
                <w:sz w:val="24"/>
                <w:szCs w:val="24"/>
                <w:highlight w:val="none"/>
              </w:rPr>
              <w:t>项目名称</w:t>
            </w:r>
            <w:bookmarkEnd w:id="90"/>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hint="eastAsia" w:ascii="宋体" w:hAnsi="宋体" w:eastAsia="宋体" w:cs="宋体"/>
                <w:sz w:val="24"/>
                <w:szCs w:val="24"/>
                <w:highlight w:val="none"/>
                <w:u w:val="single"/>
                <w:lang w:eastAsia="zh-CN"/>
              </w:rPr>
            </w:pPr>
            <w:r>
              <w:rPr>
                <w:rFonts w:hint="eastAsia" w:ascii="宋体" w:hAnsi="宋体" w:cs="宋体"/>
                <w:sz w:val="24"/>
                <w:szCs w:val="24"/>
                <w:highlight w:val="none"/>
                <w:u w:val="single"/>
                <w:lang w:eastAsia="zh-CN"/>
              </w:rPr>
              <w:t>黄埔大道971号大院等5个雨污分流管道改造联合采购项目</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91" w:name="_Toc221950018"/>
            <w:r>
              <w:rPr>
                <w:rFonts w:hint="eastAsia" w:ascii="宋体" w:hAnsi="宋体" w:cs="宋体"/>
                <w:sz w:val="24"/>
                <w:szCs w:val="24"/>
                <w:highlight w:val="none"/>
              </w:rPr>
              <w:t>1.1.5</w:t>
            </w:r>
            <w:bookmarkEnd w:id="91"/>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92" w:name="_Toc221950019"/>
            <w:r>
              <w:rPr>
                <w:rFonts w:hint="eastAsia" w:ascii="宋体" w:hAnsi="宋体" w:cs="宋体"/>
                <w:sz w:val="24"/>
                <w:szCs w:val="24"/>
                <w:highlight w:val="none"/>
              </w:rPr>
              <w:t>建设地点</w:t>
            </w:r>
            <w:bookmarkEnd w:id="92"/>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u w:val="single"/>
              </w:rPr>
            </w:pPr>
            <w:r>
              <w:rPr>
                <w:rFonts w:hint="eastAsia" w:ascii="宋体" w:hAnsi="宋体" w:cs="宋体"/>
                <w:sz w:val="24"/>
                <w:szCs w:val="24"/>
                <w:highlight w:val="none"/>
                <w:u w:val="single"/>
              </w:rPr>
              <w:t>广州市黄埔区鱼珠街道黄埔大道东971号；广州市海珠区晓港中马路132-1号，晓园北路13-27号，南华中路353号；广州市白云区太和镇广州市白云区太和镇北太路1760号白云货运站。</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93" w:name="_Toc221950030"/>
            <w:r>
              <w:rPr>
                <w:rFonts w:hint="eastAsia" w:ascii="宋体" w:hAnsi="宋体" w:cs="宋体"/>
                <w:sz w:val="24"/>
                <w:szCs w:val="24"/>
                <w:highlight w:val="none"/>
              </w:rPr>
              <w:t>1.2.1</w:t>
            </w:r>
            <w:bookmarkEnd w:id="93"/>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94" w:name="_Toc221950031"/>
            <w:r>
              <w:rPr>
                <w:rFonts w:hint="eastAsia" w:ascii="宋体" w:hAnsi="宋体" w:cs="宋体"/>
                <w:sz w:val="24"/>
                <w:szCs w:val="24"/>
                <w:highlight w:val="none"/>
              </w:rPr>
              <w:t>资金来源</w:t>
            </w:r>
            <w:bookmarkEnd w:id="94"/>
            <w:r>
              <w:rPr>
                <w:rFonts w:hint="eastAsia" w:ascii="宋体" w:hAnsi="宋体" w:cs="宋体"/>
                <w:sz w:val="24"/>
                <w:szCs w:val="24"/>
                <w:highlight w:val="none"/>
              </w:rPr>
              <w:t>及比例</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u w:val="single"/>
              </w:rPr>
            </w:pPr>
            <w:r>
              <w:rPr>
                <w:rFonts w:hint="eastAsia" w:ascii="宋体" w:hAnsi="宋体" w:cs="宋体"/>
                <w:sz w:val="24"/>
                <w:szCs w:val="24"/>
                <w:highlight w:val="none"/>
                <w:u w:val="single"/>
              </w:rPr>
              <w:t>企业自筹资金</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95" w:name="_Toc221950036"/>
            <w:r>
              <w:rPr>
                <w:rFonts w:hint="eastAsia" w:ascii="宋体" w:hAnsi="宋体" w:cs="宋体"/>
                <w:sz w:val="24"/>
                <w:szCs w:val="24"/>
                <w:highlight w:val="none"/>
              </w:rPr>
              <w:t>1.3.1</w:t>
            </w:r>
            <w:bookmarkEnd w:id="95"/>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96" w:name="_Toc221950037"/>
            <w:r>
              <w:rPr>
                <w:rFonts w:hint="eastAsia" w:ascii="宋体" w:hAnsi="宋体" w:cs="宋体"/>
                <w:sz w:val="24"/>
                <w:szCs w:val="24"/>
                <w:highlight w:val="none"/>
              </w:rPr>
              <w:t>招标范围</w:t>
            </w:r>
            <w:bookmarkEnd w:id="96"/>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u w:val="single"/>
              </w:rPr>
            </w:pPr>
            <w:r>
              <w:rPr>
                <w:rFonts w:hint="eastAsia" w:ascii="宋体" w:hAnsi="宋体" w:cs="宋体"/>
                <w:sz w:val="24"/>
                <w:szCs w:val="24"/>
                <w:highlight w:val="none"/>
                <w:u w:val="single"/>
              </w:rPr>
              <w:t>详见本项目招标公告。</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97" w:name="_Toc221950038"/>
            <w:r>
              <w:rPr>
                <w:rFonts w:hint="eastAsia" w:ascii="宋体" w:hAnsi="宋体" w:cs="宋体"/>
                <w:sz w:val="24"/>
                <w:szCs w:val="24"/>
                <w:highlight w:val="none"/>
              </w:rPr>
              <w:t>1.3.2</w:t>
            </w:r>
            <w:bookmarkEnd w:id="97"/>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98" w:name="_Toc221950039"/>
            <w:r>
              <w:rPr>
                <w:rFonts w:hint="eastAsia" w:ascii="宋体" w:hAnsi="宋体" w:cs="宋体"/>
                <w:sz w:val="24"/>
                <w:szCs w:val="24"/>
                <w:highlight w:val="none"/>
              </w:rPr>
              <w:t>计划工期</w:t>
            </w:r>
            <w:bookmarkEnd w:id="98"/>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u w:val="single"/>
              </w:rPr>
              <w:t>详见本项目招标公告。</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99" w:name="_Toc221950043"/>
            <w:r>
              <w:rPr>
                <w:rFonts w:hint="eastAsia" w:ascii="宋体" w:hAnsi="宋体" w:cs="宋体"/>
                <w:sz w:val="24"/>
                <w:szCs w:val="24"/>
                <w:highlight w:val="none"/>
              </w:rPr>
              <w:t>1.3.3</w:t>
            </w:r>
            <w:bookmarkEnd w:id="99"/>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100" w:name="_Toc221950044"/>
            <w:r>
              <w:rPr>
                <w:rFonts w:hint="eastAsia" w:ascii="宋体" w:hAnsi="宋体" w:cs="宋体"/>
                <w:sz w:val="24"/>
                <w:szCs w:val="24"/>
                <w:highlight w:val="none"/>
              </w:rPr>
              <w:t>质量要求</w:t>
            </w:r>
            <w:bookmarkEnd w:id="100"/>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u w:val="single"/>
              </w:rPr>
            </w:pPr>
            <w:r>
              <w:rPr>
                <w:rFonts w:hint="eastAsia" w:ascii="宋体" w:hAnsi="宋体" w:cs="宋体"/>
                <w:sz w:val="24"/>
                <w:szCs w:val="24"/>
                <w:highlight w:val="none"/>
              </w:rPr>
              <w:t>■符合国家、省或行业现行的工程建设质量验收标准及规范，须达到合格标准。</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□优良</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1.3.4</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承包方式</w:t>
            </w:r>
          </w:p>
        </w:tc>
        <w:tc>
          <w:tcPr>
            <w:tcW w:w="6044" w:type="dxa"/>
            <w:tcBorders>
              <w:top w:val="single" w:color="auto" w:sz="4" w:space="0"/>
              <w:left w:val="single" w:color="auto" w:sz="4" w:space="0"/>
              <w:bottom w:val="single" w:color="auto" w:sz="4" w:space="0"/>
              <w:right w:val="single" w:color="auto" w:sz="4" w:space="0"/>
            </w:tcBorders>
            <w:vAlign w:val="center"/>
          </w:tcPr>
          <w:p>
            <w:pPr>
              <w:pStyle w:val="10"/>
              <w:wordWrap w:val="0"/>
              <w:topLinePunct/>
              <w:spacing w:before="48" w:beforeLines="20" w:after="4" w:line="300" w:lineRule="auto"/>
              <w:rPr>
                <w:rFonts w:ascii="宋体" w:hAnsi="宋体" w:cs="宋体"/>
                <w:kern w:val="2"/>
                <w:sz w:val="24"/>
                <w:szCs w:val="24"/>
                <w:highlight w:val="none"/>
              </w:rPr>
            </w:pPr>
            <w:r>
              <w:rPr>
                <w:rFonts w:hint="eastAsia" w:ascii="宋体" w:hAnsi="宋体" w:cs="宋体"/>
                <w:kern w:val="2"/>
                <w:sz w:val="24"/>
                <w:szCs w:val="24"/>
                <w:highlight w:val="none"/>
              </w:rPr>
              <w:t>□固定总价</w:t>
            </w:r>
          </w:p>
          <w:p>
            <w:pPr>
              <w:pStyle w:val="10"/>
              <w:wordWrap w:val="0"/>
              <w:topLinePunct/>
              <w:spacing w:before="48" w:beforeLines="20" w:after="4" w:line="300" w:lineRule="auto"/>
              <w:rPr>
                <w:rFonts w:ascii="宋体" w:hAnsi="宋体" w:cs="宋体"/>
                <w:kern w:val="2"/>
                <w:sz w:val="24"/>
                <w:szCs w:val="24"/>
                <w:highlight w:val="none"/>
              </w:rPr>
            </w:pPr>
            <w:r>
              <w:rPr>
                <w:rFonts w:hint="eastAsia" w:ascii="宋体" w:hAnsi="宋体" w:cs="宋体"/>
                <w:kern w:val="2"/>
                <w:sz w:val="24"/>
                <w:szCs w:val="24"/>
                <w:highlight w:val="none"/>
              </w:rPr>
              <w:sym w:font="Wingdings 2" w:char="0052"/>
            </w:r>
            <w:r>
              <w:rPr>
                <w:rFonts w:hint="eastAsia" w:ascii="宋体" w:hAnsi="宋体" w:cs="宋体"/>
                <w:kern w:val="2"/>
                <w:sz w:val="24"/>
                <w:szCs w:val="24"/>
                <w:highlight w:val="none"/>
              </w:rPr>
              <w:t>综合单价</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其他：由中标人根据招标人提供的工程量清单等有关资料，结合工程现场实际情况、工程性质、工程特点等要求，包人工、包材料、包机械、包工期、包质量、包深化设计、包安全生产、包文明施工、包对本工程相关的协调及配合服务、包验收移交、包保修，同时包括成品保护、垃圾外运（按广州市的相关规定进行清运）、清洗施工现场等全部内容，达到规范验收要求。</w:t>
            </w:r>
          </w:p>
          <w:p>
            <w:pPr>
              <w:wordWrap w:val="0"/>
              <w:spacing w:before="48" w:beforeLines="20" w:after="4" w:line="300" w:lineRule="auto"/>
              <w:ind w:firstLine="480" w:firstLineChars="200"/>
              <w:contextualSpacing/>
              <w:rPr>
                <w:rFonts w:ascii="宋体" w:hAnsi="宋体" w:cs="宋体"/>
                <w:sz w:val="24"/>
                <w:szCs w:val="24"/>
                <w:highlight w:val="none"/>
                <w:u w:val="single"/>
              </w:rPr>
            </w:pPr>
            <w:r>
              <w:rPr>
                <w:rFonts w:hint="eastAsia" w:ascii="宋体" w:hAnsi="宋体" w:cs="宋体"/>
                <w:sz w:val="24"/>
                <w:szCs w:val="24"/>
                <w:highlight w:val="none"/>
              </w:rPr>
              <w:t>本工程实行以工程量清单综合单价包干，绿色施工安全防护措施费总价包干，未提及的其他任何费用均不计取。（专用条款另有约定的除外），工程量按实结算。</w:t>
            </w:r>
          </w:p>
          <w:p>
            <w:pPr>
              <w:wordWrap w:val="0"/>
              <w:spacing w:before="48" w:beforeLines="20" w:after="4" w:line="30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u w:val="single"/>
              </w:rPr>
              <w:t>本工程采用的计税方式为：一般计税。</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101" w:name="_Toc221950045"/>
            <w:r>
              <w:rPr>
                <w:rFonts w:hint="eastAsia" w:ascii="宋体" w:hAnsi="宋体" w:cs="宋体"/>
                <w:sz w:val="24"/>
                <w:szCs w:val="24"/>
                <w:highlight w:val="none"/>
              </w:rPr>
              <w:t>1.4.1</w:t>
            </w:r>
            <w:bookmarkEnd w:id="101"/>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102" w:name="_Toc221950046"/>
            <w:r>
              <w:rPr>
                <w:rFonts w:hint="eastAsia" w:ascii="宋体" w:hAnsi="宋体" w:cs="宋体"/>
                <w:sz w:val="24"/>
                <w:szCs w:val="24"/>
                <w:highlight w:val="none"/>
              </w:rPr>
              <w:t>投标人资质条件、能力、信誉</w:t>
            </w:r>
            <w:bookmarkEnd w:id="102"/>
            <w:r>
              <w:rPr>
                <w:rFonts w:hint="eastAsia" w:ascii="宋体" w:hAnsi="宋体" w:cs="宋体"/>
                <w:sz w:val="24"/>
                <w:szCs w:val="24"/>
                <w:highlight w:val="none"/>
              </w:rPr>
              <w:t>（须同招标公告一致）</w:t>
            </w:r>
          </w:p>
        </w:tc>
        <w:tc>
          <w:tcPr>
            <w:tcW w:w="6044" w:type="dxa"/>
            <w:tcBorders>
              <w:top w:val="single" w:color="auto" w:sz="4" w:space="0"/>
              <w:left w:val="single" w:color="auto" w:sz="4" w:space="0"/>
              <w:right w:val="single" w:color="auto" w:sz="4" w:space="0"/>
            </w:tcBorders>
            <w:vAlign w:val="center"/>
          </w:tcPr>
          <w:p>
            <w:pPr>
              <w:pStyle w:val="8"/>
              <w:numPr>
                <w:ilvl w:val="0"/>
                <w:numId w:val="0"/>
              </w:numPr>
              <w:wordWrap w:val="0"/>
              <w:spacing w:before="48" w:beforeLines="20" w:after="4" w:line="300" w:lineRule="auto"/>
              <w:rPr>
                <w:rFonts w:ascii="宋体" w:hAnsi="宋体" w:cs="宋体"/>
                <w:b w:val="0"/>
                <w:bCs/>
                <w:sz w:val="24"/>
                <w:szCs w:val="24"/>
                <w:highlight w:val="none"/>
              </w:rPr>
            </w:pPr>
            <w:r>
              <w:rPr>
                <w:rFonts w:hint="eastAsia" w:ascii="宋体" w:hAnsi="宋体" w:cs="宋体"/>
                <w:b w:val="0"/>
                <w:bCs/>
                <w:sz w:val="24"/>
                <w:szCs w:val="24"/>
                <w:highlight w:val="none"/>
              </w:rPr>
              <w:t>详见招标公告</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1.4.2</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是否接受联合体投标</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■不接受</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□接受，应满足下列要求：_________________</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1.4</w:t>
            </w:r>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资格审查方式</w:t>
            </w:r>
          </w:p>
        </w:tc>
        <w:tc>
          <w:tcPr>
            <w:tcW w:w="6044" w:type="dxa"/>
            <w:tcBorders>
              <w:top w:val="single" w:color="auto" w:sz="4" w:space="0"/>
              <w:left w:val="single" w:color="auto" w:sz="4" w:space="0"/>
              <w:right w:val="single" w:color="auto" w:sz="4" w:space="0"/>
            </w:tcBorders>
            <w:vAlign w:val="center"/>
          </w:tcPr>
          <w:p>
            <w:pPr>
              <w:pStyle w:val="10"/>
              <w:wordWrap w:val="0"/>
              <w:topLinePunct/>
              <w:spacing w:before="48" w:beforeLines="20" w:after="4" w:line="300" w:lineRule="auto"/>
              <w:contextualSpacing/>
              <w:rPr>
                <w:rFonts w:ascii="宋体" w:hAnsi="宋体" w:cs="宋体"/>
                <w:kern w:val="2"/>
                <w:sz w:val="24"/>
                <w:szCs w:val="24"/>
                <w:highlight w:val="none"/>
              </w:rPr>
            </w:pPr>
            <w:r>
              <w:rPr>
                <w:rFonts w:hint="eastAsia" w:ascii="宋体" w:hAnsi="宋体" w:cs="宋体"/>
                <w:kern w:val="2"/>
                <w:sz w:val="24"/>
                <w:szCs w:val="24"/>
                <w:highlight w:val="none"/>
              </w:rPr>
              <w:t>电子化资格后审</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jc w:val="center"/>
              <w:rPr>
                <w:rFonts w:ascii="宋体" w:hAnsi="宋体" w:cs="宋体"/>
                <w:sz w:val="24"/>
                <w:szCs w:val="24"/>
                <w:highlight w:val="none"/>
              </w:rPr>
            </w:pPr>
            <w:r>
              <w:rPr>
                <w:rFonts w:hint="eastAsia" w:ascii="宋体" w:hAnsi="宋体" w:cs="宋体"/>
                <w:sz w:val="24"/>
                <w:szCs w:val="24"/>
                <w:highlight w:val="none"/>
              </w:rPr>
              <w:t>1.9.1</w:t>
            </w:r>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rPr>
                <w:rFonts w:ascii="宋体" w:hAnsi="宋体" w:cs="宋体"/>
                <w:sz w:val="24"/>
                <w:szCs w:val="24"/>
                <w:highlight w:val="none"/>
              </w:rPr>
            </w:pPr>
            <w:r>
              <w:rPr>
                <w:rFonts w:hint="eastAsia" w:ascii="宋体" w:hAnsi="宋体" w:cs="宋体"/>
                <w:sz w:val="24"/>
                <w:szCs w:val="24"/>
                <w:highlight w:val="none"/>
              </w:rPr>
              <w:t>踏勘现场</w:t>
            </w:r>
          </w:p>
        </w:tc>
        <w:tc>
          <w:tcPr>
            <w:tcW w:w="6044" w:type="dxa"/>
            <w:tcBorders>
              <w:top w:val="single" w:color="auto" w:sz="4" w:space="0"/>
              <w:left w:val="single" w:color="auto" w:sz="4" w:space="0"/>
              <w:right w:val="single" w:color="auto" w:sz="4" w:space="0"/>
            </w:tcBorders>
            <w:vAlign w:val="center"/>
          </w:tcPr>
          <w:p>
            <w:pPr>
              <w:wordWrap w:val="0"/>
              <w:spacing w:before="48" w:beforeLines="20" w:after="4" w:line="300" w:lineRule="auto"/>
              <w:rPr>
                <w:rFonts w:ascii="宋体" w:hAnsi="宋体" w:cs="宋体"/>
                <w:sz w:val="24"/>
                <w:szCs w:val="24"/>
                <w:highlight w:val="none"/>
              </w:rPr>
            </w:pPr>
            <w:r>
              <w:rPr>
                <w:rFonts w:hint="eastAsia" w:ascii="宋体" w:hAnsi="宋体" w:cs="宋体"/>
                <w:sz w:val="24"/>
                <w:szCs w:val="24"/>
                <w:highlight w:val="none"/>
              </w:rPr>
              <w:t>招标人不集中组织，由投标人自行踏勘；</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1.11</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偏离</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偏离允许幅度及其处理方法：</w:t>
            </w:r>
            <w:r>
              <w:rPr>
                <w:rFonts w:hint="eastAsia" w:ascii="宋体" w:hAnsi="宋体" w:cs="宋体"/>
                <w:sz w:val="24"/>
                <w:szCs w:val="24"/>
                <w:highlight w:val="none"/>
                <w:u w:val="single"/>
              </w:rPr>
              <w:t>不允许偏离。</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2.2</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招标答疑</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1、方式：网上答疑；</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2、投标人提疑期限：在投标截止日期</w:t>
            </w:r>
            <w:r>
              <w:rPr>
                <w:rFonts w:hint="eastAsia" w:ascii="宋体" w:hAnsi="宋体" w:cs="宋体"/>
                <w:sz w:val="24"/>
                <w:szCs w:val="24"/>
                <w:highlight w:val="none"/>
                <w:u w:val="single"/>
              </w:rPr>
              <w:t>15</w:t>
            </w:r>
            <w:r>
              <w:rPr>
                <w:rFonts w:hint="eastAsia" w:ascii="宋体" w:hAnsi="宋体" w:cs="宋体"/>
                <w:sz w:val="24"/>
                <w:szCs w:val="24"/>
                <w:highlight w:val="none"/>
              </w:rPr>
              <w:t>日前；</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3、招标人答疑期限：在投标截止日期</w:t>
            </w:r>
            <w:r>
              <w:rPr>
                <w:rFonts w:hint="eastAsia" w:ascii="宋体" w:hAnsi="宋体" w:cs="宋体"/>
                <w:sz w:val="24"/>
                <w:szCs w:val="24"/>
                <w:highlight w:val="none"/>
                <w:u w:val="single"/>
              </w:rPr>
              <w:t>7</w:t>
            </w:r>
            <w:r>
              <w:rPr>
                <w:rFonts w:hint="eastAsia" w:ascii="宋体" w:hAnsi="宋体" w:cs="宋体"/>
                <w:sz w:val="24"/>
                <w:szCs w:val="24"/>
                <w:highlight w:val="none"/>
              </w:rPr>
              <w:t>日前。</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4、网上答疑的相关事项详见招标文件2.2款；</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5、答疑纪要在广州交易集团有限公司（广州公共资源交易中心）网站的“招标答疑”专区发布。</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2.3</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招标文件澄清和修改</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招标文件的修改期限：在投标截止日期</w:t>
            </w:r>
            <w:r>
              <w:rPr>
                <w:rFonts w:hint="eastAsia" w:ascii="宋体" w:hAnsi="宋体" w:cs="宋体"/>
                <w:sz w:val="24"/>
                <w:szCs w:val="24"/>
                <w:highlight w:val="none"/>
                <w:u w:val="single"/>
              </w:rPr>
              <w:t>15</w:t>
            </w:r>
            <w:r>
              <w:rPr>
                <w:rFonts w:hint="eastAsia" w:ascii="宋体" w:hAnsi="宋体" w:cs="宋体"/>
                <w:sz w:val="24"/>
                <w:szCs w:val="24"/>
                <w:highlight w:val="none"/>
              </w:rPr>
              <w:t>日前；</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3.1</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投标文件的组成</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采用综合评估法一：投标文件由资格审查文件、商务文件组成。</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3.2.3</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最高投标限价</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最高投标限价：</w:t>
            </w:r>
            <w:r>
              <w:rPr>
                <w:rFonts w:hint="eastAsia" w:ascii="宋体" w:hAnsi="宋体" w:cs="宋体"/>
                <w:sz w:val="24"/>
                <w:szCs w:val="24"/>
                <w:highlight w:val="none"/>
                <w:lang w:val="en-US" w:eastAsia="zh-CN"/>
              </w:rPr>
              <w:t>6226162.00</w:t>
            </w:r>
            <w:r>
              <w:rPr>
                <w:rFonts w:hint="eastAsia" w:ascii="宋体" w:hAnsi="宋体" w:cs="宋体"/>
                <w:sz w:val="24"/>
                <w:szCs w:val="24"/>
                <w:highlight w:val="none"/>
              </w:rPr>
              <w:t>元，绿色施工安全防护措施费为</w:t>
            </w:r>
            <w:r>
              <w:rPr>
                <w:rFonts w:hint="eastAsia" w:ascii="宋体" w:hAnsi="宋体" w:cs="宋体"/>
                <w:sz w:val="24"/>
                <w:szCs w:val="24"/>
                <w:highlight w:val="none"/>
                <w:lang w:val="en-US" w:eastAsia="zh-CN"/>
              </w:rPr>
              <w:t>275590.76</w:t>
            </w:r>
            <w:r>
              <w:rPr>
                <w:rFonts w:hint="eastAsia" w:ascii="宋体" w:hAnsi="宋体" w:cs="宋体"/>
                <w:sz w:val="24"/>
                <w:szCs w:val="24"/>
                <w:highlight w:val="none"/>
              </w:rPr>
              <w:t>元，暂列金额为</w:t>
            </w:r>
            <w:r>
              <w:rPr>
                <w:rFonts w:hint="eastAsia" w:ascii="宋体" w:hAnsi="宋体" w:cs="宋体"/>
                <w:sz w:val="24"/>
                <w:szCs w:val="24"/>
                <w:highlight w:val="none"/>
                <w:lang w:val="en-US" w:eastAsia="zh-CN"/>
              </w:rPr>
              <w:t>350000</w:t>
            </w:r>
            <w:r>
              <w:rPr>
                <w:rFonts w:hint="eastAsia" w:ascii="宋体" w:hAnsi="宋体" w:cs="宋体"/>
                <w:sz w:val="24"/>
                <w:szCs w:val="24"/>
                <w:highlight w:val="none"/>
              </w:rPr>
              <w:t>元，其中各单项工程投标限价：</w:t>
            </w:r>
          </w:p>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1、黄埔大道971号大院雨污分流管道改造项目</w:t>
            </w:r>
            <w:r>
              <w:rPr>
                <w:rFonts w:hint="eastAsia" w:ascii="宋体" w:hAnsi="宋体" w:cs="宋体"/>
                <w:sz w:val="24"/>
                <w:szCs w:val="24"/>
                <w:highlight w:val="none"/>
                <w:lang w:val="en-US" w:eastAsia="zh-CN"/>
              </w:rPr>
              <w:t>1544198.26</w:t>
            </w:r>
            <w:r>
              <w:rPr>
                <w:rFonts w:hint="eastAsia" w:ascii="宋体" w:hAnsi="宋体" w:cs="宋体"/>
                <w:sz w:val="24"/>
                <w:szCs w:val="24"/>
                <w:highlight w:val="none"/>
              </w:rPr>
              <w:t>元，绿色施工安全防护措施费为</w:t>
            </w:r>
            <w:r>
              <w:rPr>
                <w:rFonts w:hint="eastAsia" w:ascii="宋体" w:hAnsi="宋体" w:cs="宋体"/>
                <w:sz w:val="24"/>
                <w:szCs w:val="24"/>
                <w:highlight w:val="none"/>
                <w:lang w:val="en-US" w:eastAsia="zh-CN"/>
              </w:rPr>
              <w:t>55203.44</w:t>
            </w:r>
            <w:r>
              <w:rPr>
                <w:rFonts w:hint="eastAsia" w:ascii="宋体" w:hAnsi="宋体" w:cs="宋体"/>
                <w:sz w:val="24"/>
                <w:szCs w:val="24"/>
                <w:highlight w:val="none"/>
              </w:rPr>
              <w:t>元，暂列金额为</w:t>
            </w:r>
            <w:r>
              <w:rPr>
                <w:rFonts w:hint="eastAsia" w:ascii="宋体" w:hAnsi="宋体" w:cs="宋体"/>
                <w:sz w:val="24"/>
                <w:szCs w:val="24"/>
                <w:highlight w:val="none"/>
                <w:lang w:val="en-US" w:eastAsia="zh-CN"/>
              </w:rPr>
              <w:t>75000</w:t>
            </w:r>
            <w:r>
              <w:rPr>
                <w:rFonts w:hint="eastAsia" w:ascii="宋体" w:hAnsi="宋体" w:cs="宋体"/>
                <w:sz w:val="24"/>
                <w:szCs w:val="24"/>
                <w:highlight w:val="none"/>
              </w:rPr>
              <w:t>元；</w:t>
            </w:r>
          </w:p>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2、晓港中养老院、晓园北商铺、南华中路宝欣幼儿园雨污分流管道改造项目</w:t>
            </w:r>
            <w:r>
              <w:rPr>
                <w:rFonts w:hint="eastAsia" w:ascii="宋体" w:hAnsi="宋体" w:cs="宋体"/>
                <w:sz w:val="24"/>
                <w:szCs w:val="24"/>
                <w:highlight w:val="none"/>
                <w:lang w:val="en-US" w:eastAsia="zh-CN"/>
              </w:rPr>
              <w:t>4232479.2</w:t>
            </w:r>
            <w:r>
              <w:rPr>
                <w:rFonts w:hint="eastAsia" w:ascii="宋体" w:hAnsi="宋体" w:cs="宋体"/>
                <w:sz w:val="24"/>
                <w:szCs w:val="24"/>
                <w:highlight w:val="none"/>
              </w:rPr>
              <w:t>元，绿色施工安全防护措施费为</w:t>
            </w:r>
            <w:r>
              <w:rPr>
                <w:rFonts w:hint="eastAsia" w:ascii="宋体" w:hAnsi="宋体" w:cs="宋体"/>
                <w:sz w:val="24"/>
                <w:szCs w:val="24"/>
                <w:highlight w:val="none"/>
                <w:lang w:val="en-US" w:eastAsia="zh-CN"/>
              </w:rPr>
              <w:t>138876.1</w:t>
            </w:r>
            <w:r>
              <w:rPr>
                <w:rFonts w:hint="eastAsia" w:ascii="宋体" w:hAnsi="宋体" w:cs="宋体"/>
                <w:sz w:val="24"/>
                <w:szCs w:val="24"/>
                <w:highlight w:val="none"/>
              </w:rPr>
              <w:t>元，暂列金额为</w:t>
            </w:r>
            <w:r>
              <w:rPr>
                <w:rFonts w:hint="eastAsia" w:ascii="宋体" w:hAnsi="宋体" w:cs="宋体"/>
                <w:sz w:val="24"/>
                <w:szCs w:val="24"/>
                <w:highlight w:val="none"/>
                <w:lang w:val="en-US" w:eastAsia="zh-CN"/>
              </w:rPr>
              <w:t>275000</w:t>
            </w:r>
            <w:r>
              <w:rPr>
                <w:rFonts w:hint="eastAsia" w:ascii="宋体" w:hAnsi="宋体" w:cs="宋体"/>
                <w:sz w:val="24"/>
                <w:szCs w:val="24"/>
                <w:highlight w:val="none"/>
              </w:rPr>
              <w:t>元；</w:t>
            </w:r>
          </w:p>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3、白云货运站雨污分流改造项目</w:t>
            </w:r>
            <w:r>
              <w:rPr>
                <w:rFonts w:hint="eastAsia" w:ascii="宋体" w:hAnsi="宋体" w:cs="宋体"/>
                <w:sz w:val="24"/>
                <w:szCs w:val="24"/>
                <w:highlight w:val="none"/>
                <w:lang w:val="en-US" w:eastAsia="zh-CN"/>
              </w:rPr>
              <w:t>449484.54</w:t>
            </w:r>
            <w:r>
              <w:rPr>
                <w:rFonts w:hint="eastAsia" w:ascii="宋体" w:hAnsi="宋体" w:cs="宋体"/>
                <w:sz w:val="24"/>
                <w:szCs w:val="24"/>
                <w:highlight w:val="none"/>
              </w:rPr>
              <w:t>元，绿色施工安全防护措施费为81511.22元，暂列金额为0元。</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3.2.4</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成本警示价</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before="48" w:beforeLines="20" w:after="4" w:line="300" w:lineRule="auto"/>
              <w:rPr>
                <w:rFonts w:ascii="宋体" w:hAnsi="宋体" w:cs="宋体"/>
                <w:sz w:val="24"/>
                <w:szCs w:val="24"/>
                <w:highlight w:val="none"/>
              </w:rPr>
            </w:pPr>
            <w:r>
              <w:rPr>
                <w:rFonts w:hint="eastAsia" w:ascii="宋体" w:hAnsi="宋体" w:cs="宋体"/>
                <w:sz w:val="24"/>
                <w:szCs w:val="24"/>
                <w:highlight w:val="none"/>
              </w:rPr>
              <w:t>工程成本警戒价为最高投标限价的</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95</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wordWrap w:val="0"/>
              <w:adjustRightInd w:val="0"/>
              <w:snapToGrid w:val="0"/>
              <w:spacing w:before="48" w:beforeLines="20" w:after="4" w:line="300" w:lineRule="auto"/>
              <w:rPr>
                <w:rFonts w:ascii="宋体" w:hAnsi="宋体" w:cs="宋体"/>
                <w:sz w:val="24"/>
                <w:szCs w:val="24"/>
                <w:highlight w:val="none"/>
              </w:rPr>
            </w:pPr>
            <w:r>
              <w:rPr>
                <w:rFonts w:hint="eastAsia" w:ascii="宋体" w:hAnsi="宋体" w:cs="宋体"/>
                <w:sz w:val="24"/>
                <w:szCs w:val="24"/>
                <w:highlight w:val="none"/>
              </w:rPr>
              <w:t>对低于该警戒价的投标报价，投标人必须提供详细的施工组织设计、单价、措施性费用、单价分析表、主要材料价格表、投标人成本分析供评标委员会评审，由评标委员会判定其是否低于企业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wordWrap w:val="0"/>
              <w:adjustRightInd w:val="0"/>
              <w:snapToGrid w:val="0"/>
              <w:spacing w:before="48" w:beforeLines="20" w:after="4" w:line="300" w:lineRule="auto"/>
              <w:rPr>
                <w:highlight w:val="none"/>
              </w:rPr>
            </w:pPr>
            <w:r>
              <w:rPr>
                <w:rFonts w:hint="eastAsia" w:ascii="宋体" w:hAnsi="宋体" w:cs="宋体"/>
                <w:sz w:val="24"/>
                <w:szCs w:val="24"/>
                <w:highlight w:val="none"/>
              </w:rPr>
              <w:t>注：为充分体现招标人意愿及落实项目业主负责制，警戒价由招标人决定。</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103" w:name="_Toc221950062"/>
            <w:r>
              <w:rPr>
                <w:rFonts w:hint="eastAsia" w:ascii="宋体" w:hAnsi="宋体" w:cs="宋体"/>
                <w:sz w:val="24"/>
                <w:szCs w:val="24"/>
                <w:highlight w:val="none"/>
              </w:rPr>
              <w:t>3.3.1</w:t>
            </w:r>
            <w:bookmarkEnd w:id="103"/>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投标有效期</w:t>
            </w:r>
          </w:p>
        </w:tc>
        <w:tc>
          <w:tcPr>
            <w:tcW w:w="6044" w:type="dxa"/>
            <w:tcBorders>
              <w:top w:val="single" w:color="auto" w:sz="4" w:space="0"/>
              <w:left w:val="single" w:color="auto" w:sz="4" w:space="0"/>
              <w:bottom w:val="single" w:color="auto" w:sz="4" w:space="0"/>
              <w:right w:val="single" w:color="auto" w:sz="4" w:space="0"/>
            </w:tcBorders>
            <w:vAlign w:val="center"/>
          </w:tcPr>
          <w:p>
            <w:pPr>
              <w:pStyle w:val="10"/>
              <w:wordWrap w:val="0"/>
              <w:topLinePunct/>
              <w:spacing w:before="48" w:beforeLines="20" w:after="4" w:line="300" w:lineRule="auto"/>
              <w:contextualSpacing/>
              <w:rPr>
                <w:rFonts w:ascii="宋体" w:hAnsi="宋体" w:cs="宋体"/>
                <w:kern w:val="2"/>
                <w:sz w:val="24"/>
                <w:szCs w:val="24"/>
                <w:highlight w:val="none"/>
              </w:rPr>
            </w:pPr>
            <w:r>
              <w:rPr>
                <w:rFonts w:hint="eastAsia" w:ascii="宋体" w:hAnsi="宋体" w:cs="宋体"/>
                <w:kern w:val="2"/>
                <w:sz w:val="24"/>
                <w:szCs w:val="24"/>
                <w:highlight w:val="none"/>
              </w:rPr>
              <w:t>90日历天（从投标截止之日计起）</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104" w:name="_Toc221950064"/>
            <w:r>
              <w:rPr>
                <w:rFonts w:hint="eastAsia" w:ascii="宋体" w:hAnsi="宋体" w:cs="宋体"/>
                <w:sz w:val="24"/>
                <w:szCs w:val="24"/>
                <w:highlight w:val="none"/>
              </w:rPr>
              <w:t>3.4</w:t>
            </w:r>
            <w:bookmarkEnd w:id="104"/>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105" w:name="_Toc221950065"/>
            <w:r>
              <w:rPr>
                <w:rFonts w:hint="eastAsia" w:ascii="宋体" w:hAnsi="宋体" w:cs="宋体"/>
                <w:sz w:val="24"/>
                <w:szCs w:val="24"/>
                <w:highlight w:val="none"/>
              </w:rPr>
              <w:t>投标保证金</w:t>
            </w:r>
            <w:bookmarkEnd w:id="105"/>
          </w:p>
        </w:tc>
        <w:tc>
          <w:tcPr>
            <w:tcW w:w="6044" w:type="dxa"/>
            <w:tcBorders>
              <w:top w:val="single" w:color="auto" w:sz="4" w:space="0"/>
              <w:left w:val="single" w:color="auto" w:sz="4" w:space="0"/>
              <w:bottom w:val="single" w:color="auto" w:sz="4" w:space="0"/>
              <w:right w:val="single" w:color="auto" w:sz="4" w:space="0"/>
            </w:tcBorders>
          </w:tcPr>
          <w:p>
            <w:pPr>
              <w:wordWrap w:val="0"/>
              <w:spacing w:before="48" w:beforeLines="20" w:after="4" w:line="300" w:lineRule="auto"/>
              <w:rPr>
                <w:rFonts w:ascii="宋体" w:hAnsi="宋体" w:cs="宋体"/>
                <w:sz w:val="24"/>
                <w:szCs w:val="24"/>
                <w:highlight w:val="none"/>
              </w:rPr>
            </w:pPr>
            <w:r>
              <w:rPr>
                <w:rFonts w:hint="eastAsia" w:ascii="宋体" w:hAnsi="宋体" w:cs="宋体"/>
                <w:sz w:val="24"/>
                <w:szCs w:val="24"/>
                <w:highlight w:val="none"/>
              </w:rPr>
              <w:t>是否要求投标人递交投标保证金：</w:t>
            </w:r>
          </w:p>
          <w:p>
            <w:pPr>
              <w:wordWrap w:val="0"/>
              <w:spacing w:before="48" w:beforeLines="20" w:after="4"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☑要求，按以下方式递交：</w:t>
            </w:r>
          </w:p>
          <w:p>
            <w:pPr>
              <w:wordWrap w:val="0"/>
              <w:spacing w:before="48" w:beforeLines="20" w:after="4"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1.广州公共资源交易平台代收</w:t>
            </w:r>
          </w:p>
          <w:p>
            <w:pPr>
              <w:wordWrap w:val="0"/>
              <w:spacing w:before="48" w:beforeLines="20" w:after="4"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2.提供银行投标保函</w:t>
            </w:r>
          </w:p>
          <w:p>
            <w:pPr>
              <w:wordWrap w:val="0"/>
              <w:spacing w:before="48" w:beforeLines="20" w:after="4"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3.提供担保保函</w:t>
            </w:r>
          </w:p>
          <w:p>
            <w:pPr>
              <w:wordWrap w:val="0"/>
              <w:spacing w:before="48" w:beforeLines="20" w:after="4"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4.投标保证保险</w:t>
            </w:r>
          </w:p>
          <w:p>
            <w:pPr>
              <w:wordWrap w:val="0"/>
              <w:spacing w:before="48" w:beforeLines="20" w:after="4"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投标保证金：</w:t>
            </w:r>
            <w:r>
              <w:rPr>
                <w:rFonts w:hint="eastAsia" w:ascii="宋体" w:hAnsi="宋体" w:cs="宋体"/>
                <w:sz w:val="24"/>
                <w:szCs w:val="24"/>
                <w:highlight w:val="none"/>
                <w:u w:val="single"/>
              </w:rPr>
              <w:t xml:space="preserve"> 1</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万元人民币；</w:t>
            </w:r>
          </w:p>
          <w:p>
            <w:pPr>
              <w:wordWrap w:val="0"/>
              <w:spacing w:before="48" w:beforeLines="20" w:after="4"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缴纳时间：在投标截止前。投标人如采用投标保函或投标保证保险的形式递交的，须在投标截止前单独密封递交至开标室。</w:t>
            </w:r>
          </w:p>
          <w:p>
            <w:pPr>
              <w:wordWrap w:val="0"/>
              <w:spacing w:before="48" w:beforeLines="20" w:after="4" w:line="30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□不要求</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3.6.3</w:t>
            </w:r>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签字或盖章要求</w:t>
            </w:r>
          </w:p>
        </w:tc>
        <w:tc>
          <w:tcPr>
            <w:tcW w:w="6044" w:type="dxa"/>
            <w:tcBorders>
              <w:top w:val="single" w:color="auto" w:sz="4" w:space="0"/>
              <w:left w:val="single" w:color="auto" w:sz="4" w:space="0"/>
              <w:right w:val="single" w:color="auto" w:sz="4" w:space="0"/>
            </w:tcBorders>
            <w:vAlign w:val="center"/>
          </w:tcPr>
          <w:p>
            <w:pPr>
              <w:pStyle w:val="10"/>
              <w:wordWrap w:val="0"/>
              <w:topLinePunct/>
              <w:spacing w:before="48" w:beforeLines="20" w:after="4" w:line="300" w:lineRule="auto"/>
              <w:contextualSpacing/>
              <w:jc w:val="left"/>
              <w:rPr>
                <w:rFonts w:ascii="宋体" w:hAnsi="宋体" w:cs="宋体"/>
                <w:kern w:val="2"/>
                <w:sz w:val="24"/>
                <w:szCs w:val="24"/>
                <w:highlight w:val="none"/>
              </w:rPr>
            </w:pPr>
            <w:r>
              <w:rPr>
                <w:rFonts w:hint="eastAsia" w:ascii="宋体" w:hAnsi="宋体" w:cs="宋体"/>
                <w:kern w:val="2"/>
                <w:sz w:val="24"/>
                <w:szCs w:val="24"/>
                <w:highlight w:val="none"/>
              </w:rPr>
              <w:t>投标文件格式规定盖单位章的页面必须盖单位章，规定法定代表人或授权委托人、项目负责人和技术负责人签字的页面必须签字。签字必须由本人在规定页面手写签名</w:t>
            </w:r>
            <w:r>
              <w:rPr>
                <w:rFonts w:hint="eastAsia" w:ascii="宋体" w:hAnsi="宋体" w:cs="宋体"/>
                <w:sz w:val="24"/>
                <w:szCs w:val="24"/>
                <w:highlight w:val="none"/>
              </w:rPr>
              <w:t>或签章</w:t>
            </w:r>
            <w:r>
              <w:rPr>
                <w:rFonts w:hint="eastAsia" w:ascii="宋体" w:hAnsi="宋体" w:cs="宋体"/>
                <w:kern w:val="2"/>
                <w:sz w:val="24"/>
                <w:szCs w:val="24"/>
                <w:highlight w:val="none"/>
              </w:rPr>
              <w:t>后扫描上传。</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4.1.1</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投标文件份数</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投标文件为含电子签章的加密电子投标文件1套。</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106" w:name="_Toc221950069"/>
            <w:r>
              <w:rPr>
                <w:rFonts w:hint="eastAsia" w:ascii="宋体" w:hAnsi="宋体" w:cs="宋体"/>
                <w:sz w:val="24"/>
                <w:szCs w:val="24"/>
                <w:highlight w:val="none"/>
              </w:rPr>
              <w:t>4.2.</w:t>
            </w:r>
            <w:bookmarkEnd w:id="106"/>
            <w:r>
              <w:rPr>
                <w:rFonts w:hint="eastAsia" w:ascii="宋体" w:hAnsi="宋体" w:cs="宋体"/>
                <w:sz w:val="24"/>
                <w:szCs w:val="24"/>
                <w:highlight w:val="none"/>
              </w:rPr>
              <w:t>1</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投标文件的递交时间和地点</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1、递交方式：网上递交投标文件</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2、文件的递交截止时间：</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3、上述时间是否有改变，请密切留意招标答疑纪要的相关信息。</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4.7</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投标文件的解密</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在投标截止时间后</w:t>
            </w:r>
            <w:r>
              <w:rPr>
                <w:rFonts w:hint="eastAsia" w:ascii="宋体" w:hAnsi="宋体" w:cs="宋体"/>
                <w:sz w:val="24"/>
                <w:szCs w:val="24"/>
                <w:highlight w:val="none"/>
                <w:u w:val="single"/>
              </w:rPr>
              <w:t>30</w:t>
            </w:r>
            <w:r>
              <w:rPr>
                <w:rFonts w:hint="eastAsia" w:ascii="宋体" w:hAnsi="宋体" w:cs="宋体"/>
                <w:sz w:val="24"/>
                <w:szCs w:val="24"/>
                <w:highlight w:val="none"/>
              </w:rPr>
              <w:t>分钟内为投标人投标文件解密时间，投标人通过广州公共资源交易平台对已递交的电子投标文件进行解密。</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107" w:name="_Toc221950071"/>
            <w:r>
              <w:rPr>
                <w:rFonts w:hint="eastAsia" w:ascii="宋体" w:hAnsi="宋体" w:cs="宋体"/>
                <w:sz w:val="24"/>
                <w:szCs w:val="24"/>
                <w:highlight w:val="none"/>
              </w:rPr>
              <w:t>5.1</w:t>
            </w:r>
            <w:bookmarkEnd w:id="107"/>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108" w:name="_Toc221950072"/>
            <w:r>
              <w:rPr>
                <w:rFonts w:hint="eastAsia" w:ascii="宋体" w:hAnsi="宋体" w:cs="宋体"/>
                <w:sz w:val="24"/>
                <w:szCs w:val="24"/>
                <w:highlight w:val="none"/>
              </w:rPr>
              <w:t>开标时间和地点</w:t>
            </w:r>
            <w:bookmarkEnd w:id="108"/>
          </w:p>
        </w:tc>
        <w:tc>
          <w:tcPr>
            <w:tcW w:w="6044"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1、开标开始时间：</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2、地点：广州交易集团有限公司（广州公共资源交易中心）第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开标室。</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3、上述时间及地点是否有改变，请密切留意招标答疑纪要的相关信息。</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5.2</w:t>
            </w:r>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开标评标办法</w:t>
            </w:r>
          </w:p>
        </w:tc>
        <w:tc>
          <w:tcPr>
            <w:tcW w:w="6044"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■综合评估法一</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□综合评估法二（以前叫：平均值法（一））</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□综合评估法三（以前叫：平均值法（二））</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□经评审的最低投标价法</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109" w:name="_Toc221950075"/>
            <w:r>
              <w:rPr>
                <w:rFonts w:hint="eastAsia" w:ascii="宋体" w:hAnsi="宋体" w:cs="宋体"/>
                <w:sz w:val="24"/>
                <w:szCs w:val="24"/>
                <w:highlight w:val="none"/>
              </w:rPr>
              <w:t>6.1.1</w:t>
            </w:r>
            <w:bookmarkEnd w:id="109"/>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110" w:name="_Toc221950076"/>
            <w:r>
              <w:rPr>
                <w:rFonts w:hint="eastAsia" w:ascii="宋体" w:hAnsi="宋体" w:cs="宋体"/>
                <w:sz w:val="24"/>
                <w:szCs w:val="24"/>
                <w:highlight w:val="none"/>
              </w:rPr>
              <w:t>评标委员会的组建</w:t>
            </w:r>
            <w:bookmarkEnd w:id="110"/>
          </w:p>
        </w:tc>
        <w:tc>
          <w:tcPr>
            <w:tcW w:w="6044"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评标委员会构成：评标由招标人依法组建的评标委员会负责。</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7.2.1</w:t>
            </w:r>
          </w:p>
        </w:tc>
        <w:tc>
          <w:tcPr>
            <w:tcW w:w="2113"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中标候选人公示媒介</w:t>
            </w:r>
          </w:p>
        </w:tc>
        <w:tc>
          <w:tcPr>
            <w:tcW w:w="6044" w:type="dxa"/>
            <w:tcBorders>
              <w:top w:val="single" w:color="auto" w:sz="4" w:space="0"/>
              <w:left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shd w:val="clear" w:color="auto" w:fill="FFFFFF"/>
              </w:rPr>
              <w:t>广州交易集团有限公司（广州公共资源交易中心）网站（网址：http://www.gzggzy.cn）、广东省招标投标监管网（网址：http://zbtb.gd.gov.cn/）、中国招标投标公共服务平台（网址：http://www.cebpubservice.com/）、广州市智采资源管理服务有限公司官网（www.gzzcs.com）和广州国企阳光采购信息发布平台（http://ygcg.gzggzy.cn/）。</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bookmarkStart w:id="111" w:name="_Toc221950079"/>
            <w:r>
              <w:rPr>
                <w:rFonts w:hint="eastAsia" w:ascii="宋体" w:hAnsi="宋体" w:cs="宋体"/>
                <w:sz w:val="24"/>
                <w:szCs w:val="24"/>
                <w:highlight w:val="none"/>
              </w:rPr>
              <w:t>7.4.1</w:t>
            </w:r>
            <w:bookmarkEnd w:id="111"/>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bookmarkStart w:id="112" w:name="_Toc221950080"/>
            <w:r>
              <w:rPr>
                <w:rFonts w:hint="eastAsia" w:ascii="宋体" w:hAnsi="宋体" w:cs="宋体"/>
                <w:sz w:val="24"/>
                <w:szCs w:val="24"/>
                <w:highlight w:val="none"/>
              </w:rPr>
              <w:t>履约担保</w:t>
            </w:r>
            <w:bookmarkEnd w:id="112"/>
          </w:p>
        </w:tc>
        <w:tc>
          <w:tcPr>
            <w:tcW w:w="6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中标人提供的履约保证金为中标价款的10%。</w:t>
            </w:r>
          </w:p>
          <w:p>
            <w:pPr>
              <w:spacing w:line="360" w:lineRule="auto"/>
              <w:rPr>
                <w:rFonts w:ascii="宋体" w:hAnsi="宋体" w:cs="宋体"/>
                <w:szCs w:val="21"/>
                <w:highlight w:val="none"/>
              </w:rPr>
            </w:pPr>
            <w:r>
              <w:rPr>
                <w:rFonts w:hint="eastAsia" w:ascii="宋体" w:hAnsi="宋体" w:cs="宋体"/>
                <w:szCs w:val="21"/>
                <w:highlight w:val="none"/>
              </w:rPr>
              <w:t>提供时间：在合同签订之日起15天内。</w:t>
            </w:r>
          </w:p>
          <w:p>
            <w:pPr>
              <w:spacing w:line="360" w:lineRule="auto"/>
              <w:rPr>
                <w:rFonts w:ascii="宋体" w:hAnsi="宋体" w:cs="宋体"/>
                <w:szCs w:val="21"/>
                <w:highlight w:val="none"/>
              </w:rPr>
            </w:pPr>
            <w:r>
              <w:rPr>
                <w:rFonts w:hint="eastAsia" w:ascii="宋体" w:hAnsi="宋体" w:cs="宋体"/>
                <w:szCs w:val="21"/>
                <w:highlight w:val="none"/>
              </w:rPr>
              <w:t>提供方式：中标人可选择银行转账形式提供，也可以采用支票、汇票、本票或者金融机构、担保机构、银行出具的</w:t>
            </w:r>
            <w:r>
              <w:rPr>
                <w:rFonts w:hint="eastAsia" w:ascii="宋体" w:hAnsi="宋体" w:cs="宋体"/>
                <w:b/>
                <w:bCs/>
                <w:szCs w:val="21"/>
                <w:highlight w:val="none"/>
              </w:rPr>
              <w:t>无条件、见索即付、不可撤销</w:t>
            </w:r>
            <w:r>
              <w:rPr>
                <w:rFonts w:hint="eastAsia" w:ascii="宋体" w:hAnsi="宋体" w:cs="宋体"/>
                <w:szCs w:val="21"/>
                <w:highlight w:val="none"/>
              </w:rPr>
              <w:t>的保函等形式提供履约银行担保原件。</w:t>
            </w:r>
          </w:p>
          <w:p>
            <w:pPr>
              <w:wordWrap w:val="0"/>
              <w:spacing w:before="48" w:beforeLines="20" w:after="4" w:line="300" w:lineRule="auto"/>
              <w:contextualSpacing/>
              <w:jc w:val="left"/>
              <w:rPr>
                <w:rFonts w:ascii="宋体" w:hAnsi="宋体" w:cs="宋体"/>
                <w:sz w:val="24"/>
                <w:szCs w:val="24"/>
                <w:highlight w:val="none"/>
                <w:u w:val="single"/>
              </w:rPr>
            </w:pPr>
            <w:r>
              <w:rPr>
                <w:rFonts w:hint="eastAsia" w:ascii="宋体" w:hAnsi="宋体" w:cs="宋体"/>
                <w:szCs w:val="21"/>
                <w:highlight w:val="none"/>
              </w:rPr>
              <w:t>退回方式：承包人在本工程完工和完成结算，结清或根据合同扣除违约等费用后，由招标人无息退还承包人。</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10</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需要补充的其他内容</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10.1</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暂列金额的规定</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10.2.1暂列金额的管理使用在不超出经批复的总投资估算的前提下，暂列金额按有关文件计取。</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10.2.2暂列金应为招标人在工程量清单中暂定并包括在合同价款中的一笔款项。用于施工合同签订时尚未确定或者不可预见的所需材料、设备、服务的采购，施工中可能发生的工程变更、合同约定调整因素出现时的工程价款调整以及发生索赔等费用。项目实施过程中要严格按合同、招标文件以及设计变更管理办法等相关规定使用，不得超范围使用。</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10.2</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失信联合惩戒管理</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发出中标通知书前，中标人应未被纳入失信联合惩戒名单，否则招标人将取消其中标资格。</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10.3</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交易服务费</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bookmarkStart w:id="113" w:name="_Hlk151027763"/>
            <w:r>
              <w:rPr>
                <w:rFonts w:hint="eastAsia" w:ascii="宋体" w:hAnsi="宋体" w:cs="宋体"/>
                <w:sz w:val="24"/>
                <w:szCs w:val="24"/>
                <w:highlight w:val="none"/>
              </w:rPr>
              <w:t>中标候选公示后，由中标人向广州交易集团有限公司（广州公共资源交易中心）缴纳交易服务费、向广州交易集团有限公司（广州公共资源交易中心）索取发票，并在取得发票后及时告知招标代理。（该交易服务费为中标金额的0.9‰，具体收费标准招标人可以在广州交易集团有限公司（广州公共资源交易中心）网站查阅，如有变更以广州交易集团有限公司（广州公共资源交易中心）最新发布的标准为准）。</w:t>
            </w:r>
            <w:bookmarkEnd w:id="113"/>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ascii="宋体" w:hAnsi="宋体" w:cs="宋体"/>
                <w:sz w:val="24"/>
                <w:szCs w:val="24"/>
                <w:highlight w:val="none"/>
              </w:rPr>
            </w:pPr>
            <w:r>
              <w:rPr>
                <w:rFonts w:hint="eastAsia" w:ascii="宋体" w:hAnsi="宋体" w:cs="宋体"/>
                <w:sz w:val="24"/>
                <w:szCs w:val="24"/>
                <w:highlight w:val="none"/>
              </w:rPr>
              <w:t>10.4</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ascii="宋体" w:hAnsi="宋体" w:cs="宋体"/>
                <w:sz w:val="24"/>
                <w:szCs w:val="24"/>
                <w:highlight w:val="none"/>
              </w:rPr>
            </w:pPr>
            <w:r>
              <w:rPr>
                <w:rFonts w:hint="eastAsia" w:ascii="宋体" w:hAnsi="宋体" w:cs="宋体"/>
                <w:sz w:val="24"/>
                <w:szCs w:val="24"/>
                <w:highlight w:val="none"/>
              </w:rPr>
              <w:t>采购服务费</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1、中标人在领取中标通知书前，一次性向招标人支付采购服务费。</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采购服务费依据国家计委【2002】1980号文，最终结算以招标人确定的单个项目中标金额为计算基数，费率下浮20%，三个项目累计收取，采购服务费由投标人综合考虑在投标报价中。</w:t>
            </w:r>
          </w:p>
          <w:p>
            <w:pPr>
              <w:wordWrap w:val="0"/>
              <w:spacing w:before="48" w:beforeLines="20" w:after="4" w:line="300" w:lineRule="auto"/>
              <w:contextualSpacing/>
              <w:rPr>
                <w:rFonts w:ascii="宋体" w:hAnsi="宋体" w:cs="宋体"/>
                <w:sz w:val="24"/>
                <w:szCs w:val="24"/>
                <w:highlight w:val="none"/>
              </w:rPr>
            </w:pPr>
            <w:r>
              <w:rPr>
                <w:rFonts w:hint="eastAsia" w:ascii="宋体" w:hAnsi="宋体" w:cs="宋体"/>
                <w:sz w:val="24"/>
                <w:szCs w:val="24"/>
                <w:highlight w:val="none"/>
              </w:rPr>
              <w:t>2、中标人在领取中标通知书前，须按招标人要求向招标人提供盖章的纸质版投标文件（内容与交易平台网上递交的电子投标文件一致）正本1份、副本3份、电子文件信封（内含Word和PDF格式扫描件（盖章后）的电子文件1份（使用U盘），要求提供的电子文件U盘必须无病毒、无加密、可打开、可编辑。</w:t>
            </w:r>
          </w:p>
        </w:tc>
      </w:tr>
      <w:tr>
        <w:tblPrEx>
          <w:tblCellMar>
            <w:top w:w="0" w:type="dxa"/>
            <w:left w:w="108" w:type="dxa"/>
            <w:bottom w:w="0" w:type="dxa"/>
            <w:right w:w="108" w:type="dxa"/>
          </w:tblCellMar>
        </w:tblPrEx>
        <w:trPr>
          <w:trHeight w:val="567"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10.5</w:t>
            </w:r>
          </w:p>
        </w:tc>
        <w:tc>
          <w:tcPr>
            <w:tcW w:w="2113"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合同签订</w:t>
            </w:r>
          </w:p>
        </w:tc>
        <w:tc>
          <w:tcPr>
            <w:tcW w:w="6044" w:type="dxa"/>
            <w:tcBorders>
              <w:top w:val="single" w:color="auto" w:sz="4" w:space="0"/>
              <w:left w:val="single" w:color="auto" w:sz="4" w:space="0"/>
              <w:bottom w:val="single" w:color="auto" w:sz="4" w:space="0"/>
              <w:right w:val="single" w:color="auto" w:sz="4" w:space="0"/>
            </w:tcBorders>
            <w:vAlign w:val="center"/>
          </w:tcPr>
          <w:p>
            <w:pPr>
              <w:wordWrap w:val="0"/>
              <w:spacing w:before="48" w:beforeLines="20" w:after="4" w:line="300" w:lineRule="auto"/>
              <w:contextualSpacing/>
              <w:rPr>
                <w:rFonts w:hint="eastAsia" w:ascii="宋体" w:hAnsi="宋体" w:cs="宋体"/>
                <w:sz w:val="24"/>
                <w:szCs w:val="24"/>
                <w:highlight w:val="none"/>
              </w:rPr>
            </w:pPr>
            <w:r>
              <w:rPr>
                <w:rFonts w:hint="eastAsia" w:ascii="宋体" w:hAnsi="宋体" w:cs="宋体"/>
                <w:sz w:val="24"/>
                <w:szCs w:val="24"/>
                <w:highlight w:val="none"/>
              </w:rPr>
              <w:t>本项目</w:t>
            </w:r>
            <w:r>
              <w:rPr>
                <w:rFonts w:hint="eastAsia" w:ascii="宋体" w:hAnsi="宋体" w:cs="宋体"/>
                <w:sz w:val="24"/>
                <w:szCs w:val="24"/>
                <w:highlight w:val="none"/>
                <w:lang w:val="en-US" w:eastAsia="zh-CN"/>
              </w:rPr>
              <w:t>招标人</w:t>
            </w:r>
            <w:r>
              <w:rPr>
                <w:rFonts w:hint="eastAsia" w:ascii="宋体" w:hAnsi="宋体" w:cs="宋体"/>
                <w:sz w:val="24"/>
                <w:szCs w:val="24"/>
                <w:highlight w:val="none"/>
              </w:rPr>
              <w:t>为广州市智采资源管理服务有限公司，</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后，由</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人分别与</w:t>
            </w:r>
            <w:r>
              <w:rPr>
                <w:rFonts w:hint="eastAsia" w:ascii="宋体" w:hAnsi="宋体" w:cs="宋体"/>
                <w:sz w:val="24"/>
                <w:szCs w:val="24"/>
                <w:highlight w:val="none"/>
                <w:lang w:val="en-US" w:eastAsia="zh-CN"/>
              </w:rPr>
              <w:t>建设单位</w:t>
            </w:r>
            <w:r>
              <w:rPr>
                <w:rFonts w:hint="eastAsia" w:ascii="宋体" w:hAnsi="宋体" w:cs="宋体"/>
                <w:sz w:val="24"/>
                <w:szCs w:val="24"/>
                <w:highlight w:val="none"/>
              </w:rPr>
              <w:t>广州二运集团有限公司和广州长运集团有限公司物业管理分公司签订合同。</w:t>
            </w:r>
          </w:p>
        </w:tc>
      </w:tr>
    </w:tbl>
    <w:p>
      <w:pPr>
        <w:widowControl/>
        <w:wordWrap w:val="0"/>
        <w:ind w:firstLine="482" w:firstLineChars="200"/>
        <w:jc w:val="left"/>
        <w:rPr>
          <w:rFonts w:ascii="宋体" w:hAnsi="宋体"/>
          <w:b/>
          <w:sz w:val="24"/>
          <w:szCs w:val="24"/>
          <w:highlight w:val="none"/>
          <w:u w:val="single"/>
        </w:rPr>
      </w:pPr>
      <w:r>
        <w:rPr>
          <w:rFonts w:ascii="宋体" w:hAnsi="宋体"/>
          <w:b/>
          <w:sz w:val="24"/>
          <w:highlight w:val="none"/>
        </w:rPr>
        <w:br w:type="page"/>
      </w:r>
    </w:p>
    <w:p>
      <w:pPr>
        <w:wordWrap w:val="0"/>
        <w:spacing w:line="360" w:lineRule="auto"/>
        <w:jc w:val="center"/>
        <w:outlineLvl w:val="2"/>
        <w:rPr>
          <w:rFonts w:ascii="宋体" w:hAnsi="宋体"/>
          <w:b/>
          <w:bCs/>
          <w:sz w:val="32"/>
          <w:szCs w:val="32"/>
          <w:highlight w:val="none"/>
        </w:rPr>
      </w:pPr>
      <w:bookmarkStart w:id="114" w:name="_Toc14037"/>
      <w:bookmarkStart w:id="115" w:name="_Toc8493"/>
      <w:bookmarkStart w:id="116" w:name="_Toc940"/>
      <w:r>
        <w:rPr>
          <w:rFonts w:hint="eastAsia" w:ascii="宋体" w:hAnsi="宋体"/>
          <w:b/>
          <w:bCs/>
          <w:sz w:val="32"/>
          <w:szCs w:val="32"/>
          <w:highlight w:val="none"/>
        </w:rPr>
        <w:t>二、投标须知修改表</w:t>
      </w:r>
      <w:bookmarkEnd w:id="76"/>
      <w:bookmarkEnd w:id="77"/>
      <w:bookmarkEnd w:id="78"/>
      <w:bookmarkEnd w:id="79"/>
      <w:bookmarkEnd w:id="80"/>
      <w:bookmarkEnd w:id="81"/>
      <w:bookmarkEnd w:id="82"/>
      <w:bookmarkEnd w:id="83"/>
      <w:bookmarkEnd w:id="84"/>
      <w:bookmarkEnd w:id="114"/>
      <w:bookmarkEnd w:id="115"/>
      <w:bookmarkEnd w:id="116"/>
    </w:p>
    <w:p>
      <w:pPr>
        <w:pStyle w:val="21"/>
        <w:wordWrap w:val="0"/>
        <w:spacing w:after="0"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本投标须知使用SWZB2019-01试行版招标文件范本的投标须知通用条款，与该通用条款不同之处，均在本表中列明，并以现文为准，原文不再有效。</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条款号：1.1.3                                修改类型：删除</w:t>
      </w:r>
    </w:p>
    <w:p>
      <w:pPr>
        <w:pBdr>
          <w:bottom w:val="single" w:color="auto" w:sz="6" w:space="1"/>
        </w:pBdr>
        <w:wordWrap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1.1.3 本标段招标代理机构：见投标人须知前附表。</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条款号：1.4.4                                修改类型：增加</w:t>
      </w:r>
    </w:p>
    <w:p>
      <w:pP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投标人（如为联合体，要求联合体各方）未被纳入“失信联合惩戒名单”，“失信联合惩戒名单”以“信用广州”网站公布的“黑名单”为准。</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注：①以投标人提供自本项目招标公告发布之日起至本项目投标截止日期止任一天在“信用广州”网站查询的截图为准。</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②查询截图的路径如下：查询网址https://credit1.gz.gov.cn/publicity/honourFuzzyList?type=2→黑名单）。</w:t>
      </w:r>
    </w:p>
    <w:p>
      <w:pPr>
        <w:pBdr>
          <w:bottom w:val="single" w:color="auto" w:sz="6" w:space="1"/>
        </w:pBd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③如网站查询结果显示“找不到和您的查询相符的记录”或类似意思的表述，则视为没有上述不良信用记录。</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条款号：2.1.1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本招标文件包括下列文件，以及所有按本须知第7条发出的澄清或修改和按本须知第8条发出的招标答疑会会议纪要：</w:t>
      </w:r>
    </w:p>
    <w:p>
      <w:pPr>
        <w:pBdr>
          <w:bottom w:val="single" w:color="auto" w:sz="6" w:space="1"/>
        </w:pBdr>
        <w:wordWrap w:val="0"/>
        <w:spacing w:line="360" w:lineRule="auto"/>
        <w:ind w:firstLine="482" w:firstLineChars="200"/>
        <w:rPr>
          <w:rFonts w:ascii="宋体" w:hAnsi="宋体" w:cs="宋体"/>
          <w:bCs/>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本招标文件包括下列文件，以及所有按本须知第2.3条发出的澄清或修改和按本须知第2.2条发出的招标答疑会会议纪要：</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条款号：2.1.1                                修改类型：修改</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原文：（5）工程量清单（采用综合评估法三的，应为与最高投标限价相对应的已标价工程量清单）；</w:t>
      </w:r>
    </w:p>
    <w:p>
      <w:pPr>
        <w:pBdr>
          <w:bottom w:val="single" w:color="auto" w:sz="6" w:space="1"/>
        </w:pBdr>
        <w:wordWrap w:val="0"/>
        <w:spacing w:line="360" w:lineRule="auto"/>
        <w:ind w:firstLine="482" w:firstLineChars="200"/>
        <w:rPr>
          <w:rFonts w:ascii="宋体" w:hAnsi="宋体" w:cs="宋体"/>
          <w:bCs/>
          <w:sz w:val="24"/>
          <w:szCs w:val="24"/>
          <w:highlight w:val="none"/>
        </w:rPr>
      </w:pPr>
      <w:r>
        <w:rPr>
          <w:rFonts w:hint="eastAsia" w:ascii="宋体" w:hAnsi="宋体" w:cs="宋体"/>
          <w:b/>
          <w:bCs/>
          <w:sz w:val="24"/>
          <w:szCs w:val="24"/>
          <w:highlight w:val="none"/>
        </w:rPr>
        <w:t>现文：</w:t>
      </w:r>
      <w:r>
        <w:rPr>
          <w:rFonts w:hint="eastAsia" w:ascii="宋体" w:hAnsi="宋体" w:cs="宋体"/>
          <w:bCs/>
          <w:sz w:val="24"/>
          <w:szCs w:val="24"/>
          <w:highlight w:val="none"/>
        </w:rPr>
        <w:t>（5）工程量清单；</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条款号：2.2.1                                修改类型：修改</w:t>
      </w:r>
    </w:p>
    <w:p>
      <w:pP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网上答疑的操作指南为：登陆广州交易集团有限公司（广州公共资源交易中心）网站→进入“项目招标答疑”专区→通过项目编号或名称找到所需的项目→在上述的答疑时间内点击“提问” →输入密码（密码为：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bCs/>
          <w:sz w:val="24"/>
          <w:szCs w:val="24"/>
          <w:highlight w:val="none"/>
        </w:rPr>
        <w:t>进入到提问区域→无记名或匿名提出问题以及查看所有的问题。</w:t>
      </w:r>
    </w:p>
    <w:p>
      <w:pPr>
        <w:pBdr>
          <w:bottom w:val="single" w:color="auto" w:sz="4" w:space="1"/>
        </w:pBd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现文：</w:t>
      </w:r>
    </w:p>
    <w:p>
      <w:pPr>
        <w:pBdr>
          <w:bottom w:val="single" w:color="auto" w:sz="4" w:space="1"/>
        </w:pBdr>
        <w:wordWrap w:val="0"/>
        <w:spacing w:line="360" w:lineRule="auto"/>
        <w:ind w:firstLine="480" w:firstLineChars="200"/>
        <w:rPr>
          <w:rFonts w:ascii="宋体" w:hAnsi="宋体" w:cs="宋体"/>
          <w:bCs/>
          <w:strike/>
          <w:sz w:val="24"/>
          <w:szCs w:val="24"/>
          <w:highlight w:val="none"/>
        </w:rPr>
      </w:pPr>
      <w:r>
        <w:rPr>
          <w:rFonts w:hint="eastAsia" w:ascii="宋体" w:hAnsi="宋体" w:cs="宋体"/>
          <w:sz w:val="24"/>
          <w:szCs w:val="24"/>
          <w:highlight w:val="none"/>
        </w:rPr>
        <w:t>网上答疑的操作指南为：进入广州交易集团有限公司（广州公共资源交易中心）网站→用企业CA证书登录广州交易集团有限公司（广州公共资源交易中心）系统→选择“我是投标人”→在招标答疑项中通过项目编号或名称找到所需的项目→在上述的答疑时间内点击“答疑提问”“新增问题”→进入到提问区域→无记名或匿名提出问题以及查看所有的问题。</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条款号：2.2.2                              修改类型：修改</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投标人应在投标截止时间15日前停止质疑。招标人应在投标截止时间7日前解答投标人对招标文件提出的疑问，形成答疑纪要，在交易中心网站“招标答疑”专区发布。</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投标人应在投标截止时间15日前停止质疑。招标人应在投标截止时间7日前解答投标人对招标文件提出的疑问，形成答疑纪要，在交易中心网站发布，进入“建设工程”专区→项目查询（日程安排、答疑纪要）→通过项目编号或名称找到所需的项目查看该项目答疑纪要文件。</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条款号：3.1.1                              修改类型：修改</w:t>
      </w:r>
    </w:p>
    <w:p>
      <w:pPr>
        <w:pStyle w:val="21"/>
        <w:wordWrap w:val="0"/>
        <w:spacing w:after="0"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sz w:val="24"/>
          <w:szCs w:val="24"/>
          <w:highlight w:val="none"/>
        </w:rPr>
        <w:t>投标文件应包括下列内容：</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（1）投标函及投标函附录；</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（2）法定代表人身份证明或附有法定代表人身份证明的授权委托书；</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（3）联合体协议书（非联合体不提交）；</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bookmarkStart w:id="117" w:name="_Hlk146276926"/>
      <w:r>
        <w:rPr>
          <w:rFonts w:hint="eastAsia" w:ascii="宋体" w:hAnsi="宋体" w:eastAsia="宋体" w:cs="宋体"/>
          <w:sz w:val="24"/>
          <w:szCs w:val="24"/>
          <w:highlight w:val="none"/>
        </w:rPr>
        <w:t>投标保证金（投标保函原件单独提交，投标文件中为原件复印件）</w:t>
      </w:r>
      <w:bookmarkEnd w:id="117"/>
      <w:r>
        <w:rPr>
          <w:rFonts w:hint="eastAsia" w:ascii="宋体" w:hAnsi="宋体" w:eastAsia="宋体" w:cs="宋体"/>
          <w:sz w:val="24"/>
          <w:szCs w:val="24"/>
          <w:highlight w:val="none"/>
        </w:rPr>
        <w:t>；</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（5）已标价工程量清单（采用综合评估法三的，不用提交）；</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（6）施工组织设计（不要求技术标的可不编制，提交施工组织设计要点）； </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（7）项目管理机构；</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（8）资格审查资料；</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（9）其他应提交的材料。</w:t>
      </w:r>
    </w:p>
    <w:p>
      <w:pPr>
        <w:pStyle w:val="21"/>
        <w:wordWrap w:val="0"/>
        <w:spacing w:after="0"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现文：</w:t>
      </w:r>
      <w:r>
        <w:rPr>
          <w:rFonts w:hint="eastAsia" w:ascii="宋体" w:hAnsi="宋体" w:eastAsia="宋体" w:cs="宋体"/>
          <w:sz w:val="24"/>
          <w:szCs w:val="24"/>
          <w:highlight w:val="none"/>
        </w:rPr>
        <w:t>投标文件应包括下列内容：</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（1）投标函及投标函附录；</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（2）法定代表人身份证明或附有法定代表人身份证明的授权委托书；</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（3）已标价工程量清单</w:t>
      </w:r>
      <w:r>
        <w:rPr>
          <w:rFonts w:hint="eastAsia" w:ascii="宋体" w:hAnsi="宋体" w:eastAsia="宋体" w:cs="宋体"/>
          <w:sz w:val="24"/>
          <w:szCs w:val="24"/>
          <w:highlight w:val="none"/>
        </w:rPr>
        <w:t>；</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（4）</w:t>
      </w:r>
      <w:r>
        <w:rPr>
          <w:rFonts w:hint="eastAsia" w:ascii="宋体" w:hAnsi="宋体" w:eastAsia="宋体" w:cs="宋体"/>
          <w:sz w:val="24"/>
          <w:szCs w:val="24"/>
          <w:highlight w:val="none"/>
        </w:rPr>
        <w:t>项目管理机构；</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资格审查资料；</w:t>
      </w:r>
    </w:p>
    <w:p>
      <w:pPr>
        <w:pStyle w:val="21"/>
        <w:pBdr>
          <w:bottom w:val="single" w:color="auto" w:sz="6" w:space="1"/>
        </w:pBdr>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（6）</w:t>
      </w:r>
      <w:r>
        <w:rPr>
          <w:rFonts w:hint="eastAsia" w:ascii="宋体" w:hAnsi="宋体" w:eastAsia="宋体" w:cs="宋体"/>
          <w:sz w:val="24"/>
          <w:szCs w:val="24"/>
          <w:highlight w:val="none"/>
        </w:rPr>
        <w:t>其他应提交的材料。</w:t>
      </w:r>
    </w:p>
    <w:p>
      <w:pPr>
        <w:pStyle w:val="21"/>
        <w:wordWrap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条款号：3.2.2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修改类型：删除</w:t>
      </w:r>
    </w:p>
    <w:p>
      <w:pPr>
        <w:pStyle w:val="21"/>
        <w:wordWrap w:val="0"/>
        <w:spacing w:after="0"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sz w:val="24"/>
          <w:szCs w:val="24"/>
          <w:highlight w:val="none"/>
        </w:rPr>
        <w:t>采用综合评估法三的，投标人在投标截止时间前修改投标函中的投标报价总额，并根据评标办法列明的方法重新计算投标报价下浮率。此修改须符合本章第4.3款的有关要求。</w:t>
      </w:r>
    </w:p>
    <w:p>
      <w:pPr>
        <w:pStyle w:val="21"/>
        <w:pBdr>
          <w:bottom w:val="single" w:color="auto" w:sz="4" w:space="0"/>
        </w:pBdr>
        <w:wordWrap w:val="0"/>
        <w:spacing w:after="0" w:line="360" w:lineRule="auto"/>
        <w:ind w:firstLine="0"/>
        <w:rPr>
          <w:rFonts w:ascii="宋体" w:hAnsi="宋体" w:eastAsia="宋体" w:cs="宋体"/>
          <w:sz w:val="24"/>
          <w:szCs w:val="24"/>
          <w:highlight w:val="none"/>
        </w:rPr>
      </w:pP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条款号：3.5.1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“投标人基本情况表”应附投标人营业执照副本、资质证书副本和安全生产许可证等材料的复印件。</w:t>
      </w:r>
    </w:p>
    <w:p>
      <w:pPr>
        <w:pStyle w:val="21"/>
        <w:pBdr>
          <w:bottom w:val="single" w:color="auto" w:sz="4" w:space="0"/>
        </w:pBdr>
        <w:wordWrap w:val="0"/>
        <w:spacing w:after="0"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现文：</w:t>
      </w:r>
      <w:r>
        <w:rPr>
          <w:rFonts w:hint="eastAsia" w:ascii="宋体" w:hAnsi="宋体" w:eastAsia="宋体" w:cs="宋体"/>
          <w:kern w:val="2"/>
          <w:sz w:val="24"/>
          <w:szCs w:val="24"/>
          <w:highlight w:val="none"/>
        </w:rPr>
        <w:t>“投标人基本情况表”应附投标人营业执照副本、资质证书副本和安全生产许可证等材料的扫描件</w:t>
      </w:r>
      <w:r>
        <w:rPr>
          <w:rFonts w:hint="eastAsia" w:ascii="宋体" w:hAnsi="宋体" w:eastAsia="宋体" w:cs="宋体"/>
          <w:sz w:val="24"/>
          <w:szCs w:val="24"/>
          <w:highlight w:val="none"/>
        </w:rPr>
        <w:t>。</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条款号：3.5.2                              修改类型：修改</w:t>
      </w:r>
    </w:p>
    <w:p>
      <w:pPr>
        <w:pStyle w:val="21"/>
        <w:wordWrap w:val="0"/>
        <w:spacing w:after="0"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sz w:val="24"/>
          <w:szCs w:val="24"/>
          <w:highlight w:val="none"/>
        </w:rPr>
        <w:t>项目负责人建造师证和安全培训考核合格证（B证）复印件。</w:t>
      </w:r>
    </w:p>
    <w:p>
      <w:pPr>
        <w:pStyle w:val="21"/>
        <w:pBdr>
          <w:bottom w:val="single" w:color="auto" w:sz="4" w:space="0"/>
        </w:pBdr>
        <w:wordWrap w:val="0"/>
        <w:spacing w:after="0"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现文：</w:t>
      </w:r>
      <w:r>
        <w:rPr>
          <w:rFonts w:hint="eastAsia" w:ascii="宋体" w:hAnsi="宋体" w:eastAsia="宋体" w:cs="宋体"/>
          <w:sz w:val="24"/>
          <w:szCs w:val="24"/>
          <w:highlight w:val="none"/>
        </w:rPr>
        <w:t>项目负责人建造师证和安全生产考核合格证（B证）或建筑施工企业项目负责人安全生产考核合格证书扫描件。</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条款号：3.5.3                              修改类型：修改</w:t>
      </w:r>
    </w:p>
    <w:p>
      <w:pPr>
        <w:pStyle w:val="21"/>
        <w:wordWrap w:val="0"/>
        <w:spacing w:after="0" w:line="360" w:lineRule="auto"/>
        <w:ind w:firstLine="482" w:firstLineChars="200"/>
        <w:rPr>
          <w:rFonts w:ascii="宋体" w:hAnsi="宋体" w:eastAsia="宋体" w:cs="宋体"/>
          <w:bCs/>
          <w:sz w:val="24"/>
          <w:szCs w:val="24"/>
          <w:highlight w:val="none"/>
        </w:rPr>
      </w:pPr>
      <w:r>
        <w:rPr>
          <w:rFonts w:hint="eastAsia" w:ascii="宋体" w:hAnsi="宋体" w:eastAsia="宋体" w:cs="宋体"/>
          <w:b/>
          <w:sz w:val="24"/>
          <w:szCs w:val="24"/>
          <w:highlight w:val="none"/>
        </w:rPr>
        <w:t>原文：</w:t>
      </w:r>
      <w:r>
        <w:rPr>
          <w:rFonts w:hint="eastAsia" w:ascii="宋体" w:hAnsi="宋体" w:eastAsia="宋体" w:cs="宋体"/>
          <w:bCs/>
          <w:sz w:val="24"/>
          <w:szCs w:val="24"/>
          <w:highlight w:val="none"/>
        </w:rPr>
        <w:t>专职安全员安全培训考核合格证（C证）复印件。</w:t>
      </w:r>
    </w:p>
    <w:p>
      <w:pPr>
        <w:pStyle w:val="21"/>
        <w:wordWrap w:val="0"/>
        <w:spacing w:after="0" w:line="360" w:lineRule="auto"/>
        <w:ind w:firstLine="482" w:firstLineChars="200"/>
        <w:rPr>
          <w:rFonts w:ascii="宋体" w:hAnsi="宋体" w:eastAsia="宋体" w:cs="宋体"/>
          <w:bCs/>
          <w:sz w:val="24"/>
          <w:szCs w:val="24"/>
          <w:highlight w:val="none"/>
        </w:rPr>
      </w:pPr>
      <w:r>
        <w:rPr>
          <w:rFonts w:hint="eastAsia" w:ascii="宋体" w:hAnsi="宋体" w:eastAsia="宋体" w:cs="宋体"/>
          <w:b/>
          <w:sz w:val="24"/>
          <w:szCs w:val="24"/>
          <w:highlight w:val="none"/>
        </w:rPr>
        <w:t>现文：</w:t>
      </w:r>
      <w:r>
        <w:rPr>
          <w:rFonts w:hint="eastAsia" w:ascii="宋体" w:hAnsi="宋体" w:eastAsia="宋体" w:cs="宋体"/>
          <w:sz w:val="24"/>
          <w:szCs w:val="24"/>
          <w:highlight w:val="none"/>
        </w:rPr>
        <w:t>专职安全员须具有有效期内的安全生产考核合格证（C类）或能够提供建筑施工企业专职安全生产管理人员安全生产考核合格证书（C3类）扫描件。</w:t>
      </w:r>
    </w:p>
    <w:p>
      <w:pPr>
        <w:pStyle w:val="21"/>
        <w:pBdr>
          <w:top w:val="single" w:color="auto" w:sz="4" w:space="1"/>
        </w:pBdr>
        <w:wordWrap w:val="0"/>
        <w:adjustRightInd w:val="0"/>
        <w:snapToGrid w:val="0"/>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条款号：3.5.4                              修改类型：删除</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“近年完成的类似项目情况表”应附中标通知书、合同协议书以及合同工程完工证书（或工程竣工证书副本）的复印件。每张表格只填写一个项目，并标明序号。</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条款号：3.5.5</w:t>
      </w:r>
      <w:r>
        <w:rPr>
          <w:rFonts w:hint="eastAsia" w:ascii="宋体" w:hAnsi="宋体" w:cs="宋体"/>
          <w:bCs/>
          <w:sz w:val="24"/>
          <w:szCs w:val="24"/>
          <w:highlight w:val="none"/>
        </w:rPr>
        <w:t xml:space="preserve">                               </w:t>
      </w:r>
      <w:r>
        <w:rPr>
          <w:rFonts w:hint="eastAsia" w:ascii="宋体" w:hAnsi="宋体" w:cs="宋体"/>
          <w:sz w:val="24"/>
          <w:szCs w:val="24"/>
          <w:highlight w:val="none"/>
        </w:rPr>
        <w:t xml:space="preserve"> 修改类型：删除</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投标人须知前附表规定接受联合体投标的，本章第3.5.1项至第3.5.5项规定的表格和资料应包括联合体各方相关情况。</w:t>
      </w:r>
    </w:p>
    <w:p>
      <w:pPr>
        <w:pBdr>
          <w:top w:val="none" w:color="auto" w:sz="0" w:space="1"/>
          <w:left w:val="none" w:color="auto" w:sz="0" w:space="4"/>
          <w:bottom w:val="none" w:color="auto" w:sz="0" w:space="1"/>
          <w:right w:val="none" w:color="auto" w:sz="0" w:space="4"/>
        </w:pBd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条款号：3.6.4                                修改类型：修改</w:t>
      </w:r>
    </w:p>
    <w:p>
      <w:pPr>
        <w:pBdr>
          <w:top w:val="none" w:color="auto" w:sz="0" w:space="1"/>
          <w:left w:val="none" w:color="auto" w:sz="0" w:space="4"/>
          <w:bottom w:val="none" w:color="auto" w:sz="0" w:space="1"/>
          <w:right w:val="none" w:color="auto" w:sz="0" w:space="4"/>
        </w:pBd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除工程量清单报价表相关的内容、《投标函附录》外，投标文件的其他内容均以电子文件（纸质原件的扫描件）编制，其格式要求详见第八章投标文件格式说明。</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除工程量清单报价表相关的内容、《投标函》及《投标函附录》外，投标文件的其他内容均以电子文件（纸质原件的扫描件）编制，其格式要求详见第八章投标文件格式说明</w:t>
      </w:r>
      <w:r>
        <w:rPr>
          <w:rFonts w:hint="eastAsia" w:ascii="宋体" w:hAnsi="宋体" w:cs="宋体"/>
          <w:sz w:val="24"/>
          <w:szCs w:val="24"/>
          <w:highlight w:val="none"/>
        </w:rPr>
        <w:t>。</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条款号：4.2.3                                修改类型：修改</w:t>
      </w:r>
    </w:p>
    <w:p>
      <w:pPr>
        <w:wordWrap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原文：若出现以下情况，招标人将拒绝接收投标文件：</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（1）电子投标文件未在投标截止时间前完整上传并保存在广州交易集团有限公司（广州公共资源交易中心）电子评标系统且取得回执的； </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（2）投标文件未按招标文件要求进行电子签章，并进行加密的；</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（3）电子投标文件中投标人电子签章不完整的；</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（4）电子投标文件损坏或格式不正确的；</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（5）电子投标文件未加密的。</w:t>
      </w:r>
    </w:p>
    <w:p>
      <w:pPr>
        <w:wordWrap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现文：若出现以下情况，招标人将拒绝接收投标文件：</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（1）电子投标文件未在投标截止时间前完整上传并保存在广州交易集团有限公司（广州公共资源交易中心）电子评标系统且取得回执的； </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（2）投标文件未按招标文件要求进行电子签章，并进行加密的；</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条款号：4.3.2                   修改类型：修改</w:t>
      </w:r>
    </w:p>
    <w:p>
      <w:pP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招标人可按本须知第2.4条规定以招标文件修改的方式，酌情延长递交投标文件的截止时间。在此情况下，投标人的所有权利和义务以及投标人受制约的截止时间，均以延长后新的投标截止时间为准。</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招标人可按本须知第2.3条规定以招标文件修改的方式，酌情延长递交投标文件的截止时间。在此情况下，投标人的所有权利和义务以及投标人受制约的截止时间，均以延长后新的投标截止时间为准</w:t>
      </w:r>
      <w:r>
        <w:rPr>
          <w:rFonts w:hint="eastAsia" w:ascii="宋体" w:hAnsi="宋体" w:cs="宋体"/>
          <w:sz w:val="24"/>
          <w:szCs w:val="24"/>
          <w:highlight w:val="none"/>
        </w:rPr>
        <w:t>。</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条款号：4.3.3                   修改类型：修改</w:t>
      </w:r>
    </w:p>
    <w:p>
      <w:pP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到投标截止时间止，招标人收到的投标文件少于3家的，招标人将依法重新组织招标。（当N个标段同时招标且不允许兼中时，若有效投标人不足N+2家，则重新组织招标）。</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当投标登记或递交投标文件或通过资格审查或经评议有效投标的投标人不足3名时，重新组织招标</w:t>
      </w:r>
      <w:r>
        <w:rPr>
          <w:rFonts w:hint="eastAsia" w:ascii="宋体" w:hAnsi="宋体" w:cs="宋体"/>
          <w:sz w:val="24"/>
          <w:szCs w:val="24"/>
          <w:highlight w:val="none"/>
        </w:rPr>
        <w:t>。</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条款号：5.2.1                                修改类型：修改</w:t>
      </w:r>
    </w:p>
    <w:p>
      <w:pP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招标人按投标须知前附表第4.2.1项所规定的时间和地点公开开标，并邀请所有投标人参加，不参加视为认可唱标结果。</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招标人按投标须知前附表第4.2.1项所规定的时间和地点公开开标，并邀请所有投标人参加，不参加视为认可唱标结果。开标方式采用电子开标和现场开标两种模式，投标人可选择在开标室参与开标或准时在线参加开标。参加在线开标的投标人登录交易平台实时查看开标、唱标情况。交易平台生成开标记录并向社会公众公布</w:t>
      </w:r>
      <w:r>
        <w:rPr>
          <w:rFonts w:hint="eastAsia" w:ascii="宋体" w:hAnsi="宋体" w:cs="宋体"/>
          <w:sz w:val="24"/>
          <w:szCs w:val="24"/>
          <w:highlight w:val="none"/>
        </w:rPr>
        <w:t>。</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条款号：5.2.3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招标人在招标文件要求的递交投标文件截止时间前收到的投标文件，在开标前未完成投标人解密的，其投标文件由招标人作废标处理。</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招标人在招标文件要求的递交投标文件截止时间前收到的投标文件，在</w:t>
      </w:r>
      <w:r>
        <w:rPr>
          <w:rFonts w:hint="eastAsia" w:ascii="宋体" w:hAnsi="宋体" w:cs="宋体"/>
          <w:sz w:val="24"/>
          <w:szCs w:val="24"/>
          <w:highlight w:val="none"/>
          <w:u w:val="single"/>
        </w:rPr>
        <w:t>规定时</w:t>
      </w:r>
      <w:r>
        <w:rPr>
          <w:rFonts w:hint="eastAsia" w:ascii="宋体" w:hAnsi="宋体" w:cs="宋体"/>
          <w:bCs/>
          <w:sz w:val="24"/>
          <w:szCs w:val="24"/>
          <w:highlight w:val="none"/>
        </w:rPr>
        <w:t>间前未完成投标人解密的，其视为投标人放弃投标</w:t>
      </w:r>
      <w:r>
        <w:rPr>
          <w:rFonts w:hint="eastAsia" w:ascii="宋体" w:hAnsi="宋体" w:cs="宋体"/>
          <w:sz w:val="24"/>
          <w:szCs w:val="24"/>
          <w:highlight w:val="none"/>
        </w:rPr>
        <w:t>。</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条款号：5.2.7                                修改类型：删除</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原文：投标人没有按要求提供投标保证金的，其投标无效，不参与排序和资格审查</w:t>
      </w:r>
      <w:r>
        <w:rPr>
          <w:rFonts w:hint="eastAsia" w:ascii="宋体" w:hAnsi="宋体" w:cs="宋体"/>
          <w:sz w:val="24"/>
          <w:szCs w:val="24"/>
          <w:highlight w:val="none"/>
        </w:rPr>
        <w:t>。</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款号：5.3.1                              修改类型：修改</w:t>
      </w:r>
    </w:p>
    <w:p>
      <w:pPr>
        <w:tabs>
          <w:tab w:val="left" w:pos="105"/>
        </w:tabs>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投标人对开标有异议的，应当在开标现场提出，招标人当场作出答复，并制作记录。</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投标人对开标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款号：5.3.4</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修改类型：增加</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款号：5.4</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修改类型：修改</w:t>
      </w:r>
    </w:p>
    <w:p>
      <w:pPr>
        <w:tabs>
          <w:tab w:val="left" w:pos="105"/>
        </w:tabs>
        <w:wordWrap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开标时，出现下列情形之一的，不参与资格审查和评标：</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5.4.1未成功递交投标文件的；</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5.4.2因投标人原因造成投标文件未解密的；</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5.4.3未按招标文件要求提供投标保证金的；</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5.4.4两个（含两个）以上的投标人加密打包投标文件电脑机器码一致的；</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5.4.5项目负责人和安全员为同一人的；</w:t>
      </w:r>
    </w:p>
    <w:p>
      <w:pPr>
        <w:tabs>
          <w:tab w:val="left" w:pos="105"/>
        </w:tabs>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5.4.6投标文件中的投标人、项目负责人、安全员与投标登记时的信息不一致的。</w:t>
      </w:r>
    </w:p>
    <w:p>
      <w:pPr>
        <w:tabs>
          <w:tab w:val="left" w:pos="105"/>
        </w:tabs>
        <w:wordWrap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开标时，出现下列情形之一的，不参与资格审查和评标：</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5.4.1因投标人原因造成电子投标文件未解密或逾期解密的。</w:t>
      </w:r>
    </w:p>
    <w:p>
      <w:pP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款号：6.1.1</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评标由招标人依法组建的评标委员会负责。评标委员会由有关技术、经济等方面的专家和招标人代表组成，专家从交易中心符合规定的评标专家库中抽取。评标委员会成员人数以及技术、经济等方面专家的确定方式见投标人须知前附表。</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评标由招标人依法组建的评标委员会负责。评标委员会由有关技术、经济等方面的专家组成，专家从广东省综合评标评审专家库中随机抽取。评标委员会成员人数以及技术、经济等方面专家的确定方式见投标人须知前附表。</w:t>
      </w:r>
    </w:p>
    <w:p>
      <w:pP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款号：7.2.1</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修改类型：修改</w:t>
      </w:r>
    </w:p>
    <w:p>
      <w:pPr>
        <w:wordWrap w:val="0"/>
        <w:spacing w:line="360" w:lineRule="auto"/>
        <w:ind w:firstLine="482" w:firstLineChars="200"/>
        <w:jc w:val="left"/>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招标人在《投标人须知前附表》规定的媒介公示中标候选人，公示期为三天，最后一天应为工作日。</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招标人在《投标人须知前附表》规定的媒介公示中标候选人，公示期为三天，最后一天应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款号：7.4.1</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在本合同签订后28天内，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ascii="宋体" w:hAnsi="宋体" w:cs="宋体"/>
          <w:sz w:val="24"/>
          <w:szCs w:val="24"/>
          <w:highlight w:val="none"/>
        </w:rPr>
        <w:t>10</w:t>
      </w:r>
      <w:r>
        <w:rPr>
          <w:rFonts w:hint="eastAsia" w:ascii="宋体" w:hAnsi="宋体" w:cs="宋体"/>
          <w:sz w:val="24"/>
          <w:szCs w:val="24"/>
          <w:highlight w:val="none"/>
        </w:rPr>
        <w:t>%。</w:t>
      </w:r>
    </w:p>
    <w:p>
      <w:pP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款号：8.2</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修改类型：增加</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重新招标后，仍出现本章第8.1条规定情形之一的，属于必须审批的水务工程建设项目，经行政监督部门批准后不再进行招标。</w:t>
      </w:r>
    </w:p>
    <w:p>
      <w:pP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款号：9.5</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修改类型：增加</w:t>
      </w:r>
    </w:p>
    <w:p>
      <w:pPr>
        <w:wordWrap w:val="0"/>
        <w:snapToGrid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9.5.1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ordWrap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9.5.2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条款号：10.1</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修改类型：增加</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10.1暂列金额的规定</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10.1.1暂列金额计算原则在不超出经批复的总投资估算的前提下，暂列金额按有关文件计取。</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10.1.2暂列金应为招标人在工程量清单中暂定并包括在合同价款中的一笔款项。用于施工合同签订时尚未确定或者不可预见的所需材料、设备、服务的采购，施工中可能发生的工程变更、合同约定调整因素出现时的工程价款调整以及发生索赔等费用。项目实施过程中要严格按合同、招标文件以及设计变更管理办法等相关规定使用，不得超范围使用。</w:t>
      </w:r>
    </w:p>
    <w:p>
      <w:pP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款号：10.2</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修改类型：增加</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10.2</w:t>
      </w:r>
      <w:r>
        <w:rPr>
          <w:rFonts w:hint="eastAsia" w:ascii="宋体" w:hAnsi="宋体" w:cs="宋体"/>
          <w:sz w:val="24"/>
          <w:szCs w:val="24"/>
          <w:highlight w:val="none"/>
        </w:rPr>
        <w:t>发出中标通知书前，中标人应未被纳入失信联合惩戒名单，否则招标人将取消其中标资格。</w:t>
      </w:r>
    </w:p>
    <w:p>
      <w:pP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条</w:t>
      </w:r>
      <w:r>
        <w:rPr>
          <w:rFonts w:hint="eastAsia" w:ascii="宋体" w:hAnsi="宋体" w:cs="宋体"/>
          <w:sz w:val="24"/>
          <w:szCs w:val="24"/>
          <w:highlight w:val="none"/>
        </w:rPr>
        <w:t>款号：10.3</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修改类型：增加</w:t>
      </w:r>
    </w:p>
    <w:p>
      <w:pP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10.3交易服务费</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中标候选公示后，由中标人向广州交易集团有限公司（广州公共资源交易中心）缴纳交易服务费、向广州交易集团有限公司（广州公共资源交易中心）索取发票，并在取得发票后及时告知招标代理。（该交易服务费为中标金额的0.9‰，具体收费标准招标人可以在广州交易集团有限公司（广州公共资源交易中心）网站查阅，如有变更以广州交易集团</w:t>
      </w:r>
      <w:r>
        <w:rPr>
          <w:rFonts w:hint="eastAsia" w:ascii="宋体" w:hAnsi="宋体" w:cs="宋体"/>
          <w:sz w:val="24"/>
          <w:szCs w:val="24"/>
          <w:highlight w:val="none"/>
        </w:rPr>
        <w:t>有限公司（广州公共资源交易中心）最新发布的标准为准）。</w:t>
      </w:r>
    </w:p>
    <w:p>
      <w:pP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条款号：10.4             修改类型：增加</w:t>
      </w:r>
    </w:p>
    <w:p>
      <w:pPr>
        <w:pBdr>
          <w:bottom w:val="single" w:color="auto" w:sz="6" w:space="1"/>
        </w:pBd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10.4采购服务费</w:t>
      </w:r>
    </w:p>
    <w:p>
      <w:pPr>
        <w:pBdr>
          <w:bottom w:val="single" w:color="auto" w:sz="6" w:space="1"/>
        </w:pBd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1、中标人在领取中标通知书前，一次性向招标人支付采购服务费。</w:t>
      </w:r>
    </w:p>
    <w:p>
      <w:pPr>
        <w:pBdr>
          <w:bottom w:val="single" w:color="auto" w:sz="6" w:space="1"/>
        </w:pBd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采购服务费依据国家计委【2002】1980号文，最终结算以招标人确定的单个项目中标金额为计算基数，费率下浮20%，三个项目累计收取，采购服务费由投标人综合考虑在投标报价中。</w:t>
      </w:r>
    </w:p>
    <w:p>
      <w:pPr>
        <w:pBdr>
          <w:bottom w:val="single" w:color="auto" w:sz="6" w:space="1"/>
        </w:pBdr>
        <w:wordWrap w:val="0"/>
        <w:spacing w:line="360" w:lineRule="auto"/>
        <w:ind w:firstLine="480" w:firstLineChars="200"/>
        <w:rPr>
          <w:rFonts w:ascii="宋体" w:hAnsi="宋体" w:cs="宋体"/>
          <w:b/>
          <w:sz w:val="24"/>
          <w:szCs w:val="24"/>
          <w:highlight w:val="none"/>
        </w:rPr>
      </w:pPr>
      <w:r>
        <w:rPr>
          <w:rFonts w:hint="eastAsia" w:ascii="宋体" w:hAnsi="宋体" w:cs="宋体"/>
          <w:bCs/>
          <w:sz w:val="24"/>
          <w:szCs w:val="24"/>
          <w:highlight w:val="none"/>
        </w:rPr>
        <w:t>2、中标人在领取中标通知书前，须按招标人要求向招标人提供盖章的纸质版投标文件（内容与交易平台网上递交的电子投标文件一致）正本1份、副本3份、电子文件信封（内含Word和PDF格式扫描件（盖章后）的电子文件1份（使用U盘），要求提供的电子文件U盘必须无病毒、无加密、可打开、可编辑。</w:t>
      </w:r>
    </w:p>
    <w:p>
      <w:pPr>
        <w:wordWrap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条款号：</w:t>
      </w:r>
      <w:r>
        <w:rPr>
          <w:rFonts w:hint="eastAsia" w:ascii="宋体" w:hAnsi="宋体" w:cs="宋体"/>
          <w:sz w:val="24"/>
          <w:szCs w:val="24"/>
          <w:highlight w:val="none"/>
          <w:lang w:val="en-US" w:eastAsia="zh-CN"/>
        </w:rPr>
        <w:t>10.5</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w:t>
      </w:r>
      <w:r>
        <w:rPr>
          <w:rFonts w:hint="eastAsia" w:ascii="宋体" w:hAnsi="宋体" w:cs="宋体"/>
          <w:sz w:val="24"/>
          <w:szCs w:val="24"/>
          <w:highlight w:val="none"/>
          <w:lang w:val="en-US" w:eastAsia="zh-CN"/>
        </w:rPr>
        <w:t>增加</w:t>
      </w:r>
    </w:p>
    <w:p>
      <w:pPr>
        <w:pBdr>
          <w:bottom w:val="single" w:color="auto" w:sz="6" w:space="1"/>
        </w:pBdr>
        <w:wordWrap w:val="0"/>
        <w:spacing w:line="360" w:lineRule="auto"/>
        <w:ind w:firstLine="482" w:firstLineChars="200"/>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现文</w:t>
      </w:r>
      <w:r>
        <w:rPr>
          <w:rFonts w:hint="eastAsia" w:ascii="宋体" w:hAnsi="宋体" w:cs="宋体"/>
          <w:b/>
          <w:sz w:val="24"/>
          <w:szCs w:val="24"/>
          <w:highlight w:val="none"/>
        </w:rPr>
        <w:t>：</w:t>
      </w:r>
      <w:r>
        <w:rPr>
          <w:rFonts w:hint="eastAsia" w:ascii="宋体" w:hAnsi="宋体" w:cs="宋体"/>
          <w:b w:val="0"/>
          <w:bCs/>
          <w:sz w:val="24"/>
          <w:szCs w:val="24"/>
          <w:highlight w:val="none"/>
          <w:lang w:val="en-US" w:eastAsia="zh-CN"/>
        </w:rPr>
        <w:t>10.5合同签订</w:t>
      </w:r>
    </w:p>
    <w:p>
      <w:pPr>
        <w:pBdr>
          <w:bottom w:val="single" w:color="auto" w:sz="6" w:space="1"/>
        </w:pBd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本项目招标人为广州市智采资源管理服务有限公司，中标后，由中标人分别与建设单位广州二运集团有限公司和广州长运集团有限公司物业管理分公司签订合同。</w:t>
      </w:r>
    </w:p>
    <w:p>
      <w:pPr>
        <w:pStyle w:val="2"/>
        <w:rPr>
          <w:rFonts w:hint="eastAsia"/>
          <w:highlight w:val="none"/>
        </w:rPr>
      </w:pPr>
      <w:r>
        <w:rPr>
          <w:rFonts w:hint="eastAsia"/>
          <w:highlight w:val="none"/>
        </w:rPr>
        <w:t>条款号：附件二                                修改类型：删除</w:t>
      </w:r>
    </w:p>
    <w:p>
      <w:pPr>
        <w:pBdr>
          <w:bottom w:val="single" w:color="auto" w:sz="6" w:space="1"/>
        </w:pBdr>
        <w:wordWrap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val="en-US" w:eastAsia="zh-CN"/>
        </w:rPr>
        <w:t>原文</w:t>
      </w:r>
      <w:r>
        <w:rPr>
          <w:rFonts w:hint="eastAsia" w:ascii="宋体" w:hAnsi="宋体" w:cs="宋体"/>
          <w:b/>
          <w:sz w:val="24"/>
          <w:szCs w:val="24"/>
          <w:highlight w:val="none"/>
        </w:rPr>
        <w:t>：</w:t>
      </w:r>
      <w:r>
        <w:rPr>
          <w:rFonts w:hint="eastAsia" w:ascii="宋体" w:hAnsi="宋体" w:cs="宋体"/>
          <w:b w:val="0"/>
          <w:bCs/>
          <w:sz w:val="24"/>
          <w:szCs w:val="24"/>
          <w:highlight w:val="none"/>
        </w:rPr>
        <w:t>问题澄清通知</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条款号：附件三</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修改类型：删除</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：问题的澄清</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条款号：附件四</w:t>
      </w:r>
      <w:r>
        <w:rPr>
          <w:rFonts w:hint="eastAsia" w:ascii="宋体" w:hAnsi="宋体" w:cs="宋体"/>
          <w:bCs/>
          <w:sz w:val="24"/>
          <w:szCs w:val="24"/>
          <w:highlight w:val="none"/>
        </w:rPr>
        <w:t xml:space="preserve">                                </w:t>
      </w:r>
      <w:r>
        <w:rPr>
          <w:rFonts w:hint="eastAsia" w:ascii="宋体" w:hAnsi="宋体" w:cs="宋体"/>
          <w:sz w:val="24"/>
          <w:szCs w:val="24"/>
          <w:highlight w:val="none"/>
        </w:rPr>
        <w:t>修改类型：删除</w:t>
      </w:r>
    </w:p>
    <w:p>
      <w:pPr>
        <w:pBdr>
          <w:bottom w:val="single" w:color="auto" w:sz="6" w:space="1"/>
        </w:pBdr>
        <w:wordWrap w:val="0"/>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中标通知书</w:t>
      </w:r>
    </w:p>
    <w:p>
      <w:pPr>
        <w:pStyle w:val="2"/>
        <w:rPr>
          <w:highlight w:val="none"/>
        </w:rPr>
      </w:pP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注：以上修改，仅限于本范本中有可供选择条款的情形。</w:t>
      </w:r>
    </w:p>
    <w:p>
      <w:pPr>
        <w:wordWrap w:val="0"/>
        <w:spacing w:line="360" w:lineRule="auto"/>
        <w:ind w:firstLine="480" w:firstLineChars="200"/>
        <w:rPr>
          <w:rFonts w:ascii="宋体" w:hAnsi="宋体" w:cs="宋体"/>
          <w:b/>
          <w:sz w:val="24"/>
          <w:szCs w:val="24"/>
          <w:highlight w:val="none"/>
          <w:u w:val="single"/>
        </w:rPr>
      </w:pPr>
      <w:r>
        <w:rPr>
          <w:rFonts w:hint="eastAsia" w:ascii="宋体" w:hAnsi="宋体" w:cs="宋体"/>
          <w:sz w:val="24"/>
          <w:szCs w:val="24"/>
          <w:highlight w:val="none"/>
        </w:rPr>
        <w:t>（以下无正文）</w:t>
      </w:r>
      <w:r>
        <w:rPr>
          <w:rFonts w:hint="eastAsia" w:ascii="宋体" w:hAnsi="宋体" w:cs="宋体"/>
          <w:b/>
          <w:sz w:val="24"/>
          <w:szCs w:val="24"/>
          <w:highlight w:val="none"/>
        </w:rPr>
        <w:br w:type="page"/>
      </w:r>
    </w:p>
    <w:p>
      <w:pPr>
        <w:wordWrap w:val="0"/>
        <w:spacing w:line="360" w:lineRule="auto"/>
        <w:jc w:val="center"/>
        <w:outlineLvl w:val="2"/>
        <w:rPr>
          <w:rFonts w:ascii="宋体" w:hAnsi="宋体"/>
          <w:b/>
          <w:bCs/>
          <w:sz w:val="32"/>
          <w:szCs w:val="32"/>
          <w:highlight w:val="none"/>
        </w:rPr>
      </w:pPr>
      <w:bookmarkStart w:id="118" w:name="_Toc17454923"/>
      <w:bookmarkStart w:id="119" w:name="_Toc17451624"/>
      <w:bookmarkStart w:id="120" w:name="_Toc11806"/>
      <w:bookmarkStart w:id="121" w:name="_Toc7411"/>
      <w:bookmarkStart w:id="122" w:name="_Toc112854437"/>
      <w:bookmarkStart w:id="123" w:name="_Toc17451579"/>
      <w:bookmarkStart w:id="124" w:name="_Toc17452665"/>
      <w:bookmarkStart w:id="125" w:name="_Toc12920"/>
      <w:bookmarkStart w:id="126" w:name="_Toc17454872"/>
      <w:bookmarkStart w:id="127" w:name="_Toc17556877"/>
      <w:bookmarkStart w:id="128" w:name="_Toc17451102"/>
      <w:r>
        <w:rPr>
          <w:rFonts w:hint="eastAsia" w:ascii="宋体" w:hAnsi="宋体"/>
          <w:b/>
          <w:bCs/>
          <w:sz w:val="32"/>
          <w:szCs w:val="32"/>
          <w:highlight w:val="none"/>
        </w:rPr>
        <w:t>三、投标须知通用条款</w:t>
      </w:r>
      <w:bookmarkEnd w:id="118"/>
      <w:bookmarkEnd w:id="119"/>
      <w:bookmarkEnd w:id="120"/>
      <w:bookmarkEnd w:id="121"/>
      <w:bookmarkEnd w:id="122"/>
      <w:bookmarkEnd w:id="123"/>
      <w:bookmarkEnd w:id="124"/>
      <w:bookmarkEnd w:id="125"/>
      <w:bookmarkEnd w:id="126"/>
      <w:bookmarkEnd w:id="127"/>
      <w:bookmarkEnd w:id="128"/>
    </w:p>
    <w:p>
      <w:pPr>
        <w:wordWrap w:val="0"/>
        <w:spacing w:line="360" w:lineRule="auto"/>
        <w:jc w:val="center"/>
        <w:outlineLvl w:val="3"/>
        <w:rPr>
          <w:rFonts w:ascii="宋体" w:hAnsi="宋体"/>
          <w:b/>
          <w:sz w:val="30"/>
          <w:szCs w:val="30"/>
          <w:highlight w:val="none"/>
        </w:rPr>
      </w:pPr>
      <w:bookmarkStart w:id="129" w:name="_Toc262229163"/>
      <w:bookmarkStart w:id="130" w:name="_Toc85505512"/>
      <w:bookmarkStart w:id="131" w:name="_Toc101777612"/>
      <w:r>
        <w:rPr>
          <w:rFonts w:hint="eastAsia" w:ascii="宋体" w:hAnsi="宋体"/>
          <w:b/>
          <w:sz w:val="30"/>
          <w:szCs w:val="30"/>
          <w:highlight w:val="none"/>
        </w:rPr>
        <w:t>（一）总则</w:t>
      </w:r>
      <w:bookmarkEnd w:id="129"/>
      <w:bookmarkEnd w:id="130"/>
      <w:bookmarkEnd w:id="131"/>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1.1 项目概况</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1.1.1根据《中华人民共和国招标投标法》等有关法律、法规和规章的规定，本招标项目已具备招标条件，现对本标段施工进行招标。</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 本招标项目招标人：见投标人须知前附表。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1.1.3 本标段招标代理机构：见投标人须知前附表。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1.1.4 本招标项目名称：见投标人须知前附表。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1.1.5 本标段建设地点：见投标人须知前附表。</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1.2 资金来源和落实情况</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1.2.1 本招标项目的资金来源及出资比例：见投标人须知前附表。</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1.3 招标范围、计划工期和质量要求</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1.3.1 本次招标范围：见投标人须知前附表。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1.3.2 本标段的计划工期：见投标人须知前附表。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1.3.3 本标段的质量要求：见投标人须知前附表。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1.3.4 本招标项目的承包方式：见投标人须知前附表。</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1.4 投标人资格要求</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1.4.1 投标人应具备承担本项目施工的资质条件、能力和信誉。</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（1）资质条件：见投标人须知前附表； </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（2）项目负责人资格：见投标人须知前附表；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（3）其他要求：</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a)</w:t>
      </w:r>
      <w:r>
        <w:rPr>
          <w:rFonts w:hint="eastAsia" w:ascii="宋体" w:hAnsi="宋体" w:cs="宋体"/>
          <w:bCs/>
          <w:sz w:val="24"/>
          <w:highlight w:val="none"/>
        </w:rPr>
        <w:tab/>
      </w:r>
      <w:r>
        <w:rPr>
          <w:rFonts w:hint="eastAsia" w:ascii="宋体" w:hAnsi="宋体" w:cs="宋体"/>
          <w:bCs/>
          <w:sz w:val="24"/>
          <w:highlight w:val="none"/>
        </w:rPr>
        <w:t>投标人必须具备独立法人资格，具有有效的安全生产许可证。</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b)</w:t>
      </w:r>
      <w:r>
        <w:rPr>
          <w:rFonts w:hint="eastAsia" w:ascii="宋体" w:hAnsi="宋体" w:cs="宋体"/>
          <w:bCs/>
          <w:sz w:val="24"/>
          <w:highlight w:val="none"/>
        </w:rPr>
        <w:tab/>
      </w:r>
      <w:r>
        <w:rPr>
          <w:rFonts w:hint="eastAsia" w:ascii="宋体" w:hAnsi="宋体" w:cs="宋体"/>
          <w:bCs/>
          <w:sz w:val="24"/>
          <w:highlight w:val="none"/>
        </w:rPr>
        <w:t>项目负责人持有有效的安全生产考核合格证（B类）或建筑施工企业项目负责人安全生产考核合格证书。安全生产考核合格证的颁发部门见投标人须知前附表。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c)</w:t>
      </w:r>
      <w:r>
        <w:rPr>
          <w:rFonts w:hint="eastAsia" w:ascii="宋体" w:hAnsi="宋体" w:cs="宋体"/>
          <w:bCs/>
          <w:sz w:val="24"/>
          <w:highlight w:val="none"/>
        </w:rPr>
        <w:tab/>
      </w:r>
      <w:r>
        <w:rPr>
          <w:rFonts w:hint="eastAsia" w:ascii="宋体" w:hAnsi="宋体" w:cs="宋体"/>
          <w:bCs/>
          <w:sz w:val="24"/>
          <w:highlight w:val="none"/>
        </w:rPr>
        <w:t>专职安全员具有有效的建设行政主管部门颁发的安全生产考核合格证（C类）或建筑施工企业专职安全生产管理人员安全生产考核合格证书（C3类）。安全生产考核合格证的颁发部门见投标人须知前附表。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d）业绩要求：根据工程规模和特点设置。</w:t>
      </w:r>
    </w:p>
    <w:p>
      <w:pPr>
        <w:wordWrap w:val="0"/>
        <w:spacing w:line="360" w:lineRule="auto"/>
        <w:ind w:firstLine="480" w:firstLineChars="200"/>
        <w:rPr>
          <w:rFonts w:ascii="宋体" w:hAnsi="宋体" w:cs="宋体"/>
          <w:bCs/>
          <w:i/>
          <w:sz w:val="24"/>
          <w:highlight w:val="none"/>
        </w:rPr>
      </w:pPr>
      <w:r>
        <w:rPr>
          <w:rFonts w:hint="eastAsia" w:ascii="宋体" w:hAnsi="宋体" w:cs="宋体"/>
          <w:bCs/>
          <w:sz w:val="24"/>
          <w:highlight w:val="none"/>
        </w:rPr>
        <w:t>e)其他要求详见投标人须知前附表。</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1.4.2 本招标项目是否接受联合体投标以招标公告为准。</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1.4.3 投标人不得存在下列情形之一：</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（1）为招标人不具有独立法人资格的附属机构（单位）；</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（2）为本次招标项目前期准备提供设计或咨询服务的；</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（3）为本次招标项目的监理人；</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（4）为本次招标项目的代建人；</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（5）为本次招标项目提供招标代理服务的； </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（6）与本次招标项目的监理人或代建人或招标代理机构同为一个法定代表人的；</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（7）与本次招标项目的监理人或代建人或招标代理机构相互控股或参股的；</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（8）与本次招标项目的监理人或代建人或招标代理机构相互任职或工作的；</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（9）被责令停业的；</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（10）被暂停或取消投标资格的；</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（11）财产被接管或冻结的；</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（12）单位负责人为同一人或者存在控股、管理关系的不同单位，同时参加本招标项目投标。</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（13）投标人、投标人主要负责人及拟投入人员在招标投标、合同履行、安全事故方面因违反有关法律、法规规定受到相关行政管理部门的行政处罚，被取消投标资格的。</w:t>
      </w:r>
    </w:p>
    <w:p>
      <w:pPr>
        <w:pStyle w:val="2"/>
        <w:wordWrap w:val="0"/>
        <w:spacing w:after="0"/>
        <w:ind w:firstLine="480" w:firstLineChars="200"/>
        <w:rPr>
          <w:rFonts w:ascii="宋体" w:hAnsi="宋体" w:cs="宋体"/>
          <w:bCs/>
          <w:color w:val="auto"/>
          <w:kern w:val="2"/>
          <w:szCs w:val="22"/>
          <w:highlight w:val="none"/>
        </w:rPr>
      </w:pPr>
      <w:r>
        <w:rPr>
          <w:rFonts w:hint="eastAsia" w:ascii="宋体" w:hAnsi="宋体" w:cs="宋体"/>
          <w:color w:val="auto"/>
          <w:szCs w:val="24"/>
          <w:highlight w:val="none"/>
        </w:rPr>
        <w:t>1.4.4投标人（如为联合体，要求联合体各方）未被纳入“失信联合惩戒名单”，“失信联合惩戒名单”以“信用广州”网站公布的“黑名单”为准。</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注：①以投标人提供自本项目招标公告发布之日起至本项目投标截止日期止任一天在“信用广州”网站查询的截图为准。</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②查询截图的路径如下：查询网址https://credit1.gz.gov.cn/publicity/honourFuzzyList?type=2→黑名单）。</w:t>
      </w:r>
    </w:p>
    <w:p>
      <w:pPr>
        <w:pStyle w:val="2"/>
        <w:wordWrap w:val="0"/>
        <w:spacing w:after="0"/>
        <w:ind w:firstLine="480" w:firstLineChars="200"/>
        <w:rPr>
          <w:rFonts w:ascii="宋体" w:hAnsi="宋体" w:cs="宋体"/>
          <w:bCs/>
          <w:color w:val="auto"/>
          <w:kern w:val="2"/>
          <w:szCs w:val="22"/>
          <w:highlight w:val="none"/>
        </w:rPr>
      </w:pPr>
      <w:r>
        <w:rPr>
          <w:rFonts w:hint="eastAsia" w:ascii="宋体" w:hAnsi="宋体" w:cs="宋体"/>
          <w:bCs/>
          <w:color w:val="auto"/>
          <w:highlight w:val="none"/>
        </w:rPr>
        <w:t>③如网站查询结果显示“找不到和您的查询相符的记录”或类似意思的表述，则视为没有上述不良信用记录。</w:t>
      </w:r>
    </w:p>
    <w:p>
      <w:pPr>
        <w:wordWrap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1.5 费用承担</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投标人准备和参加投标活动发生的费用自理。</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1.6 保密</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参与招标投标活动的各方应对招标文件和投标文件中的商业和技术等秘密保密，违者应对由此造成的后果承担法律责任。</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1.7 语言文字</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除专用术语外，与招标投标有关的语言均使用中文。必要时专用术语应附有中文注释。</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1.8 计量单位</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所有计量均采用中华人民共和国法定计量单位。</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1.9 踏勘现场</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1.9.1 投标人按投标人须知前附表规定的时间、地点自行踏勘项目现场。 </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1.9.2 投标人踏勘现场发生的费用自理。</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1.9.3 除招标人的原因外，投标人自行负责在踏勘现场中所发生的人员伤亡和财产损失。</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1.9.4 招标人在踏勘现场中了解的工程场地和相关的周边环境情况，供投标人在编制投标文件时参考，招标人不对投标人据此作出的判断和决策负责。</w:t>
      </w:r>
    </w:p>
    <w:p>
      <w:pPr>
        <w:tabs>
          <w:tab w:val="left" w:pos="105"/>
        </w:tabs>
        <w:wordWrap w:val="0"/>
        <w:spacing w:line="360" w:lineRule="auto"/>
        <w:ind w:firstLine="482" w:firstLineChars="200"/>
        <w:rPr>
          <w:rFonts w:ascii="宋体" w:hAnsi="宋体" w:cs="宋体"/>
          <w:b/>
          <w:sz w:val="24"/>
          <w:highlight w:val="none"/>
        </w:rPr>
      </w:pPr>
      <w:r>
        <w:rPr>
          <w:rFonts w:hint="eastAsia" w:ascii="宋体" w:hAnsi="宋体" w:cs="宋体"/>
          <w:b/>
          <w:sz w:val="24"/>
          <w:highlight w:val="none"/>
        </w:rPr>
        <w:t>1.10投标预备会</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1.10.1招标人不召开投标预备会，投标人提出的澄清问题通过交易中心网站提交。网上答疑的相关事项详见招标文件2.2款。</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1.10.2 投标人应在投标人须知前附表规定的时间前，在交易中心网站上提出须澄清的问题。</w:t>
      </w:r>
    </w:p>
    <w:p>
      <w:pPr>
        <w:pStyle w:val="21"/>
        <w:wordWrap w:val="0"/>
        <w:spacing w:after="0"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1.11 偏离</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投标人须知前附表允许投标文件偏离招标文件某些要求的，偏离应当符合招标文件规定的偏离范围和幅度。</w:t>
      </w:r>
    </w:p>
    <w:p>
      <w:pPr>
        <w:wordWrap w:val="0"/>
        <w:spacing w:line="360" w:lineRule="auto"/>
        <w:jc w:val="center"/>
        <w:outlineLvl w:val="3"/>
        <w:rPr>
          <w:rFonts w:ascii="宋体" w:hAnsi="宋体"/>
          <w:b/>
          <w:sz w:val="30"/>
          <w:szCs w:val="30"/>
          <w:highlight w:val="none"/>
        </w:rPr>
      </w:pPr>
      <w:bookmarkStart w:id="132" w:name="_Toc262229164"/>
      <w:r>
        <w:rPr>
          <w:rFonts w:hint="eastAsia" w:ascii="宋体" w:hAnsi="宋体"/>
          <w:b/>
          <w:sz w:val="30"/>
          <w:szCs w:val="30"/>
          <w:highlight w:val="none"/>
        </w:rPr>
        <w:t>（二）招标文件</w:t>
      </w:r>
      <w:bookmarkEnd w:id="132"/>
    </w:p>
    <w:p>
      <w:pPr>
        <w:tabs>
          <w:tab w:val="left" w:pos="105"/>
        </w:tabs>
        <w:wordWrap w:val="0"/>
        <w:spacing w:line="360" w:lineRule="auto"/>
        <w:ind w:firstLine="482" w:firstLineChars="200"/>
        <w:rPr>
          <w:rFonts w:ascii="宋体" w:hAnsi="宋体"/>
          <w:b/>
          <w:sz w:val="24"/>
          <w:highlight w:val="none"/>
        </w:rPr>
      </w:pPr>
      <w:r>
        <w:rPr>
          <w:rFonts w:ascii="宋体" w:hAnsi="宋体"/>
          <w:b/>
          <w:sz w:val="24"/>
          <w:highlight w:val="none"/>
        </w:rPr>
        <w:t xml:space="preserve">2.1 </w:t>
      </w:r>
      <w:r>
        <w:rPr>
          <w:rFonts w:hint="eastAsia" w:ascii="宋体" w:hAnsi="宋体"/>
          <w:b/>
          <w:sz w:val="24"/>
          <w:highlight w:val="none"/>
        </w:rPr>
        <w:t>招标文件的组成</w:t>
      </w:r>
    </w:p>
    <w:p>
      <w:pPr>
        <w:wordWrap w:val="0"/>
        <w:spacing w:line="360" w:lineRule="auto"/>
        <w:ind w:firstLine="480" w:firstLineChars="200"/>
        <w:rPr>
          <w:rFonts w:ascii="宋体" w:hAnsi="宋体"/>
          <w:bCs/>
          <w:sz w:val="24"/>
          <w:highlight w:val="none"/>
        </w:rPr>
      </w:pPr>
      <w:r>
        <w:rPr>
          <w:rFonts w:ascii="宋体" w:hAnsi="宋体"/>
          <w:bCs/>
          <w:sz w:val="24"/>
          <w:highlight w:val="none"/>
        </w:rPr>
        <w:t>2.1.1</w:t>
      </w:r>
      <w:r>
        <w:rPr>
          <w:rFonts w:hint="eastAsia" w:ascii="宋体" w:hAnsi="宋体"/>
          <w:sz w:val="24"/>
          <w:highlight w:val="none"/>
        </w:rPr>
        <w:t>本招标文件包括下列文件，以及所有按本须知第2.3条发出的澄清或修改和按本须知第2.2条发出的招标答疑会会议纪要：</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）招标公告（或投标邀请书）；</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2</w:t>
      </w:r>
      <w:r>
        <w:rPr>
          <w:rFonts w:hint="eastAsia" w:ascii="宋体" w:hAnsi="宋体"/>
          <w:bCs/>
          <w:sz w:val="24"/>
          <w:highlight w:val="none"/>
        </w:rPr>
        <w:t>）投标人须知；</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3</w:t>
      </w:r>
      <w:r>
        <w:rPr>
          <w:rFonts w:hint="eastAsia" w:ascii="宋体" w:hAnsi="宋体"/>
          <w:bCs/>
          <w:sz w:val="24"/>
          <w:highlight w:val="none"/>
        </w:rPr>
        <w:t>）评标办法；</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4</w:t>
      </w:r>
      <w:r>
        <w:rPr>
          <w:rFonts w:hint="eastAsia" w:ascii="宋体" w:hAnsi="宋体"/>
          <w:bCs/>
          <w:sz w:val="24"/>
          <w:highlight w:val="none"/>
        </w:rPr>
        <w:t>）合同条款及格式；</w:t>
      </w:r>
    </w:p>
    <w:p>
      <w:pPr>
        <w:wordWrap w:val="0"/>
        <w:spacing w:line="360" w:lineRule="auto"/>
        <w:ind w:firstLine="480" w:firstLineChars="200"/>
        <w:rPr>
          <w:rFonts w:ascii="宋体" w:hAnsi="宋体"/>
          <w:bCs/>
          <w:sz w:val="24"/>
          <w:highlight w:val="none"/>
          <w:u w:val="single"/>
        </w:rPr>
      </w:pPr>
      <w:r>
        <w:rPr>
          <w:rFonts w:hint="eastAsia" w:ascii="宋体" w:hAnsi="宋体"/>
          <w:bCs/>
          <w:sz w:val="24"/>
          <w:highlight w:val="none"/>
          <w:u w:val="single"/>
        </w:rPr>
        <w:t>（</w:t>
      </w:r>
      <w:r>
        <w:rPr>
          <w:rFonts w:ascii="宋体" w:hAnsi="宋体"/>
          <w:bCs/>
          <w:sz w:val="24"/>
          <w:highlight w:val="none"/>
          <w:u w:val="single"/>
        </w:rPr>
        <w:t>5</w:t>
      </w:r>
      <w:r>
        <w:rPr>
          <w:rFonts w:hint="eastAsia" w:ascii="宋体" w:hAnsi="宋体"/>
          <w:bCs/>
          <w:sz w:val="24"/>
          <w:highlight w:val="none"/>
          <w:u w:val="single"/>
        </w:rPr>
        <w:t>）工程量清单</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6</w:t>
      </w:r>
      <w:r>
        <w:rPr>
          <w:rFonts w:hint="eastAsia" w:ascii="宋体" w:hAnsi="宋体"/>
          <w:bCs/>
          <w:sz w:val="24"/>
          <w:highlight w:val="none"/>
        </w:rPr>
        <w:t>）图纸；</w:t>
      </w:r>
      <w:r>
        <w:rPr>
          <w:rFonts w:ascii="宋体" w:hAnsi="宋体"/>
          <w:bCs/>
          <w:sz w:val="24"/>
          <w:highlight w:val="none"/>
        </w:rPr>
        <w:t xml:space="preserve"> </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7</w:t>
      </w:r>
      <w:r>
        <w:rPr>
          <w:rFonts w:hint="eastAsia" w:ascii="宋体" w:hAnsi="宋体"/>
          <w:bCs/>
          <w:sz w:val="24"/>
          <w:highlight w:val="none"/>
        </w:rPr>
        <w:t>）技术标准和要求；</w:t>
      </w:r>
      <w:r>
        <w:rPr>
          <w:rFonts w:ascii="宋体" w:hAnsi="宋体"/>
          <w:bCs/>
          <w:sz w:val="24"/>
          <w:highlight w:val="none"/>
        </w:rPr>
        <w:t xml:space="preserve"> </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8</w:t>
      </w:r>
      <w:r>
        <w:rPr>
          <w:rFonts w:hint="eastAsia" w:ascii="宋体" w:hAnsi="宋体"/>
          <w:bCs/>
          <w:sz w:val="24"/>
          <w:highlight w:val="none"/>
        </w:rPr>
        <w:t>）投标文件格式；</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9</w:t>
      </w:r>
      <w:r>
        <w:rPr>
          <w:rFonts w:hint="eastAsia" w:ascii="宋体" w:hAnsi="宋体"/>
          <w:bCs/>
          <w:sz w:val="24"/>
          <w:highlight w:val="none"/>
        </w:rPr>
        <w:t>）否决性条款汇总</w:t>
      </w:r>
      <w:r>
        <w:rPr>
          <w:rFonts w:ascii="宋体" w:hAnsi="宋体"/>
          <w:bCs/>
          <w:sz w:val="24"/>
          <w:highlight w:val="none"/>
        </w:rPr>
        <w:t>.</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10</w:t>
      </w:r>
      <w:r>
        <w:rPr>
          <w:rFonts w:hint="eastAsia" w:ascii="宋体" w:hAnsi="宋体"/>
          <w:bCs/>
          <w:sz w:val="24"/>
          <w:highlight w:val="none"/>
        </w:rPr>
        <w:t>）</w:t>
      </w:r>
      <w:r>
        <w:rPr>
          <w:rFonts w:hint="eastAsia" w:ascii="宋体" w:hAnsi="宋体"/>
          <w:bCs/>
          <w:sz w:val="24"/>
          <w:szCs w:val="24"/>
          <w:highlight w:val="none"/>
        </w:rPr>
        <w:t>最高投标限价（招标控制价）</w:t>
      </w:r>
      <w:r>
        <w:rPr>
          <w:rFonts w:hint="eastAsia" w:ascii="宋体" w:hAnsi="宋体"/>
          <w:bCs/>
          <w:sz w:val="24"/>
          <w:highlight w:val="none"/>
        </w:rPr>
        <w:t>。</w:t>
      </w:r>
    </w:p>
    <w:p>
      <w:pPr>
        <w:wordWrap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11</w:t>
      </w:r>
      <w:r>
        <w:rPr>
          <w:rFonts w:hint="eastAsia" w:ascii="宋体" w:hAnsi="宋体"/>
          <w:bCs/>
          <w:sz w:val="24"/>
          <w:highlight w:val="none"/>
        </w:rPr>
        <w:t>）投标人须知前附表规定的其他材料。</w:t>
      </w:r>
    </w:p>
    <w:p>
      <w:pPr>
        <w:wordWrap w:val="0"/>
        <w:spacing w:line="360" w:lineRule="auto"/>
        <w:ind w:firstLine="480" w:firstLineChars="200"/>
        <w:rPr>
          <w:rFonts w:ascii="宋体" w:hAnsi="宋体"/>
          <w:bCs/>
          <w:sz w:val="24"/>
          <w:highlight w:val="none"/>
        </w:rPr>
      </w:pPr>
      <w:r>
        <w:rPr>
          <w:rFonts w:ascii="宋体" w:hAnsi="宋体"/>
          <w:bCs/>
          <w:sz w:val="24"/>
          <w:highlight w:val="none"/>
        </w:rPr>
        <w:t>2.1.2</w:t>
      </w:r>
      <w:r>
        <w:rPr>
          <w:rFonts w:hint="eastAsia" w:ascii="宋体" w:hAnsi="宋体"/>
          <w:bCs/>
          <w:sz w:val="24"/>
          <w:highlight w:val="none"/>
        </w:rPr>
        <w:t>根据本章第</w:t>
      </w:r>
      <w:r>
        <w:rPr>
          <w:rFonts w:ascii="宋体" w:hAnsi="宋体"/>
          <w:bCs/>
          <w:sz w:val="24"/>
          <w:highlight w:val="none"/>
        </w:rPr>
        <w:t>1.10</w:t>
      </w:r>
      <w:r>
        <w:rPr>
          <w:rFonts w:hint="eastAsia" w:ascii="宋体" w:hAnsi="宋体"/>
          <w:bCs/>
          <w:sz w:val="24"/>
          <w:highlight w:val="none"/>
        </w:rPr>
        <w:t>款、第</w:t>
      </w:r>
      <w:r>
        <w:rPr>
          <w:rFonts w:ascii="宋体" w:hAnsi="宋体"/>
          <w:bCs/>
          <w:sz w:val="24"/>
          <w:highlight w:val="none"/>
        </w:rPr>
        <w:t>2.2</w:t>
      </w:r>
      <w:r>
        <w:rPr>
          <w:rFonts w:hint="eastAsia" w:ascii="宋体" w:hAnsi="宋体"/>
          <w:bCs/>
          <w:sz w:val="24"/>
          <w:highlight w:val="none"/>
        </w:rPr>
        <w:t>款和第</w:t>
      </w:r>
      <w:r>
        <w:rPr>
          <w:rFonts w:ascii="宋体" w:hAnsi="宋体"/>
          <w:bCs/>
          <w:sz w:val="24"/>
          <w:highlight w:val="none"/>
        </w:rPr>
        <w:t>2.3</w:t>
      </w:r>
      <w:r>
        <w:rPr>
          <w:rFonts w:hint="eastAsia" w:ascii="宋体" w:hAnsi="宋体"/>
          <w:bCs/>
          <w:sz w:val="24"/>
          <w:highlight w:val="none"/>
        </w:rPr>
        <w:t>款对招标文件所作的澄清、修改，构成招标文件的组成部分。</w:t>
      </w:r>
    </w:p>
    <w:p>
      <w:pPr>
        <w:wordWrap w:val="0"/>
        <w:spacing w:line="360" w:lineRule="auto"/>
        <w:ind w:firstLine="480" w:firstLineChars="200"/>
        <w:rPr>
          <w:rFonts w:ascii="宋体" w:hAnsi="宋体"/>
          <w:bCs/>
          <w:sz w:val="24"/>
          <w:highlight w:val="none"/>
        </w:rPr>
      </w:pPr>
      <w:r>
        <w:rPr>
          <w:rFonts w:ascii="宋体" w:hAnsi="宋体"/>
          <w:bCs/>
          <w:sz w:val="24"/>
          <w:highlight w:val="none"/>
        </w:rPr>
        <w:t>2.1.3</w:t>
      </w:r>
      <w:r>
        <w:rPr>
          <w:rFonts w:hint="eastAsia" w:ascii="宋体" w:hAnsi="宋体"/>
          <w:bCs/>
          <w:sz w:val="24"/>
          <w:highlight w:val="none"/>
        </w:rPr>
        <w:t>招标人（或委托招标代理机构）使用广东省内依法设立的电子认证服务机构签发的电子签章认证证书对电子形式的招标文件进行电子签章。该电子签章对招标人手写签名或者盖章同等的法律效力。</w:t>
      </w:r>
    </w:p>
    <w:p>
      <w:pPr>
        <w:wordWrap w:val="0"/>
        <w:spacing w:line="360" w:lineRule="auto"/>
        <w:ind w:firstLine="480" w:firstLineChars="200"/>
        <w:rPr>
          <w:rFonts w:ascii="宋体" w:hAnsi="宋体"/>
          <w:bCs/>
          <w:sz w:val="24"/>
          <w:highlight w:val="none"/>
        </w:rPr>
      </w:pPr>
      <w:r>
        <w:rPr>
          <w:rFonts w:ascii="宋体" w:hAnsi="宋体"/>
          <w:bCs/>
          <w:sz w:val="24"/>
          <w:highlight w:val="none"/>
        </w:rPr>
        <w:t>2.1.4</w:t>
      </w:r>
      <w:r>
        <w:rPr>
          <w:rFonts w:hint="eastAsia" w:ascii="宋体" w:hAnsi="宋体"/>
          <w:bCs/>
          <w:sz w:val="24"/>
          <w:highlight w:val="none"/>
        </w:rPr>
        <w:t>投标人获取电子招标文件后，应仔细检查电子招标文件的合法有效性。合法有效的电子招标文件应具有招标人（或招标代理机构）的电子签章。</w:t>
      </w:r>
    </w:p>
    <w:p>
      <w:pPr>
        <w:wordWrap w:val="0"/>
        <w:spacing w:line="360" w:lineRule="auto"/>
        <w:ind w:firstLine="480" w:firstLineChars="200"/>
        <w:rPr>
          <w:rFonts w:ascii="宋体" w:hAnsi="宋体"/>
          <w:bCs/>
          <w:sz w:val="24"/>
          <w:highlight w:val="none"/>
        </w:rPr>
      </w:pPr>
      <w:r>
        <w:rPr>
          <w:rFonts w:ascii="宋体" w:hAnsi="宋体"/>
          <w:bCs/>
          <w:sz w:val="24"/>
          <w:highlight w:val="none"/>
        </w:rPr>
        <w:t>2.1.5</w:t>
      </w:r>
      <w:r>
        <w:rPr>
          <w:rFonts w:hint="eastAsia" w:ascii="宋体" w:hAnsi="宋体"/>
          <w:bCs/>
          <w:sz w:val="24"/>
          <w:highlight w:val="none"/>
        </w:rPr>
        <w:t>招标人应在招标文件中明确投标文件主要内容编制的格式要求。</w:t>
      </w:r>
    </w:p>
    <w:p>
      <w:pPr>
        <w:widowControl/>
        <w:wordWrap w:val="0"/>
        <w:snapToGrid w:val="0"/>
        <w:spacing w:line="360" w:lineRule="auto"/>
        <w:ind w:firstLine="482" w:firstLineChars="200"/>
        <w:jc w:val="left"/>
        <w:rPr>
          <w:rFonts w:ascii="宋体" w:hAnsi="宋体"/>
          <w:sz w:val="24"/>
          <w:highlight w:val="none"/>
        </w:rPr>
      </w:pPr>
      <w:r>
        <w:rPr>
          <w:rFonts w:ascii="宋体" w:hAnsi="宋体"/>
          <w:b/>
          <w:bCs/>
          <w:sz w:val="24"/>
          <w:highlight w:val="none"/>
        </w:rPr>
        <w:t>2.2</w:t>
      </w:r>
      <w:r>
        <w:rPr>
          <w:rFonts w:hint="eastAsia" w:ascii="宋体" w:hAnsi="宋体"/>
          <w:b/>
          <w:bCs/>
          <w:sz w:val="24"/>
          <w:highlight w:val="none"/>
        </w:rPr>
        <w:t>招标答疑</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szCs w:val="21"/>
          <w:highlight w:val="none"/>
        </w:rPr>
        <w:t>2.2.1</w:t>
      </w:r>
      <w:r>
        <w:rPr>
          <w:rFonts w:ascii="宋体" w:hAnsi="宋体" w:eastAsia="宋体"/>
          <w:sz w:val="24"/>
          <w:highlight w:val="none"/>
        </w:rPr>
        <w:t xml:space="preserve"> </w:t>
      </w:r>
      <w:r>
        <w:rPr>
          <w:rFonts w:hint="eastAsia" w:ascii="宋体" w:hAnsi="宋体" w:eastAsia="宋体"/>
          <w:sz w:val="24"/>
          <w:highlight w:val="none"/>
          <w:u w:val="single"/>
        </w:rPr>
        <w:t>招标答疑采用网上答疑方式进行。投标人若对招标文件（包括招标图纸、清单、招标控制价）有疑问的，可在规定的时间内通过</w:t>
      </w:r>
      <w:r>
        <w:rPr>
          <w:rFonts w:hint="eastAsia" w:ascii="宋体" w:hAnsi="宋体" w:eastAsia="宋体"/>
          <w:sz w:val="24"/>
          <w:szCs w:val="24"/>
          <w:highlight w:val="none"/>
          <w:u w:val="single"/>
        </w:rPr>
        <w:t>广州交易集团有限公司（广州公共资源交易中心）网站</w:t>
      </w:r>
      <w:r>
        <w:rPr>
          <w:rFonts w:hint="eastAsia" w:ascii="宋体" w:hAnsi="宋体" w:eastAsia="宋体"/>
          <w:strike/>
          <w:sz w:val="24"/>
          <w:highlight w:val="none"/>
          <w:u w:val="single"/>
        </w:rPr>
        <w:t>凭密码</w:t>
      </w:r>
      <w:r>
        <w:rPr>
          <w:rFonts w:hint="eastAsia" w:ascii="宋体" w:hAnsi="宋体" w:eastAsia="宋体"/>
          <w:sz w:val="24"/>
          <w:highlight w:val="none"/>
          <w:u w:val="single"/>
        </w:rPr>
        <w:t>进入提问区域将问题提交给招标人或招标代理人，提交问题时一律不得署名</w:t>
      </w:r>
      <w:r>
        <w:rPr>
          <w:rFonts w:hint="eastAsia" w:ascii="宋体" w:hAnsi="宋体" w:eastAsia="宋体"/>
          <w:sz w:val="24"/>
          <w:highlight w:val="none"/>
        </w:rPr>
        <w:t>。</w:t>
      </w:r>
    </w:p>
    <w:p>
      <w:pPr>
        <w:wordWrap w:val="0"/>
        <w:spacing w:line="360" w:lineRule="auto"/>
        <w:ind w:firstLine="480" w:firstLineChars="200"/>
        <w:rPr>
          <w:rFonts w:ascii="宋体" w:hAnsi="宋体"/>
          <w:sz w:val="24"/>
          <w:highlight w:val="none"/>
        </w:rPr>
      </w:pPr>
      <w:r>
        <w:rPr>
          <w:rFonts w:hint="eastAsia" w:ascii="宋体" w:hAnsi="宋体" w:cs="宋体"/>
          <w:sz w:val="24"/>
          <w:highlight w:val="none"/>
          <w:u w:val="single"/>
        </w:rPr>
        <w:t>网上答疑的操作指南为：进入广州交易集团有限公司（广州公共资源交易中心）网站→用企业CA证书登录广州交易集团有限公司（广州公共资源交易中心）系统→选择“我是投标人”→在招标答疑项中通过项目编号或名称找到所需的项目→在上述的答疑时间内点击“答疑提问”“新增问题”→进入到提问区域→无记名或匿名提出问题以及查看所有的问题。</w:t>
      </w:r>
    </w:p>
    <w:p>
      <w:pPr>
        <w:wordWrap w:val="0"/>
        <w:spacing w:line="360" w:lineRule="auto"/>
        <w:ind w:firstLine="480" w:firstLineChars="200"/>
        <w:rPr>
          <w:rFonts w:ascii="宋体" w:hAnsi="宋体"/>
          <w:sz w:val="24"/>
          <w:highlight w:val="none"/>
        </w:rPr>
      </w:pPr>
      <w:r>
        <w:rPr>
          <w:rFonts w:ascii="宋体" w:hAnsi="宋体"/>
          <w:sz w:val="24"/>
          <w:highlight w:val="none"/>
        </w:rPr>
        <w:t>2.2.2</w:t>
      </w:r>
      <w:r>
        <w:rPr>
          <w:rFonts w:hint="eastAsia" w:ascii="宋体" w:hAnsi="宋体"/>
          <w:sz w:val="24"/>
          <w:highlight w:val="none"/>
          <w:u w:val="single"/>
        </w:rPr>
        <w:t>投标人应在投标截止时间</w:t>
      </w:r>
      <w:r>
        <w:rPr>
          <w:rFonts w:ascii="宋体" w:hAnsi="宋体"/>
          <w:sz w:val="24"/>
          <w:highlight w:val="none"/>
          <w:u w:val="single"/>
        </w:rPr>
        <w:t>15</w:t>
      </w:r>
      <w:r>
        <w:rPr>
          <w:rFonts w:hint="eastAsia" w:ascii="宋体" w:hAnsi="宋体"/>
          <w:sz w:val="24"/>
          <w:highlight w:val="none"/>
          <w:u w:val="single"/>
        </w:rPr>
        <w:t>日前停止质疑。招标人应在投标截止时间</w:t>
      </w:r>
      <w:r>
        <w:rPr>
          <w:rFonts w:ascii="宋体" w:hAnsi="宋体"/>
          <w:sz w:val="24"/>
          <w:highlight w:val="none"/>
          <w:u w:val="single"/>
        </w:rPr>
        <w:t>7</w:t>
      </w:r>
      <w:r>
        <w:rPr>
          <w:rFonts w:hint="eastAsia" w:ascii="宋体" w:hAnsi="宋体"/>
          <w:sz w:val="24"/>
          <w:highlight w:val="none"/>
          <w:u w:val="single"/>
        </w:rPr>
        <w:t>日前解答投标人对招标文件提出的疑问，形成答疑纪要，在交易中心网站发布，进入“建设工程”专区→项目查询（日程安排、答疑纪要）→通过项目编号或名称找到所需的项目查看该项目答疑纪要文件。</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szCs w:val="24"/>
          <w:highlight w:val="none"/>
        </w:rPr>
        <w:t>2.2.3</w:t>
      </w:r>
      <w:r>
        <w:rPr>
          <w:rFonts w:hint="eastAsia" w:ascii="宋体" w:hAnsi="宋体" w:eastAsia="宋体"/>
          <w:sz w:val="24"/>
          <w:highlight w:val="none"/>
        </w:rPr>
        <w:t>招标答疑纪要一经在广州交易集团有限公司（广州公共资源交易中心）网站发布，视作已发放给所有投标人。</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2.2.4</w:t>
      </w:r>
      <w:r>
        <w:rPr>
          <w:rFonts w:hint="eastAsia" w:ascii="宋体" w:hAnsi="宋体" w:eastAsia="宋体"/>
          <w:sz w:val="24"/>
          <w:highlight w:val="none"/>
        </w:rPr>
        <w:t>招标答疑纪要为招标文件的一部分。</w:t>
      </w:r>
      <w:r>
        <w:rPr>
          <w:rFonts w:hint="eastAsia" w:ascii="宋体" w:hAnsi="宋体" w:eastAsia="宋体"/>
          <w:sz w:val="24"/>
          <w:szCs w:val="24"/>
          <w:highlight w:val="none"/>
        </w:rPr>
        <w:t>投标人可在广州交易集团有限公司（广州公共资源交易中心）网站浏览、下载招标答疑纪要。</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2.2.5</w:t>
      </w:r>
      <w:r>
        <w:rPr>
          <w:rFonts w:hint="eastAsia" w:ascii="宋体" w:hAnsi="宋体" w:eastAsia="宋体"/>
          <w:sz w:val="24"/>
          <w:highlight w:val="none"/>
        </w:rPr>
        <w:t>若招标答疑纪要与招标文件有矛盾时，以</w:t>
      </w:r>
      <w:r>
        <w:rPr>
          <w:rFonts w:hint="eastAsia" w:ascii="宋体" w:hAnsi="宋体" w:eastAsia="宋体"/>
          <w:sz w:val="24"/>
          <w:szCs w:val="24"/>
          <w:highlight w:val="none"/>
        </w:rPr>
        <w:t>广州交易集团有限公司（广州公共资源交易中心）网站</w:t>
      </w:r>
      <w:r>
        <w:rPr>
          <w:rFonts w:hint="eastAsia" w:ascii="宋体" w:hAnsi="宋体" w:eastAsia="宋体"/>
          <w:sz w:val="24"/>
          <w:highlight w:val="none"/>
        </w:rPr>
        <w:t>最后发布的答疑纪要为准。</w:t>
      </w:r>
    </w:p>
    <w:p>
      <w:pPr>
        <w:tabs>
          <w:tab w:val="left" w:pos="105"/>
        </w:tabs>
        <w:wordWrap w:val="0"/>
        <w:spacing w:line="360" w:lineRule="auto"/>
        <w:ind w:firstLine="482" w:firstLineChars="200"/>
        <w:rPr>
          <w:rFonts w:ascii="宋体" w:hAnsi="宋体"/>
          <w:b/>
          <w:sz w:val="24"/>
          <w:highlight w:val="none"/>
        </w:rPr>
      </w:pPr>
      <w:r>
        <w:rPr>
          <w:rFonts w:ascii="宋体" w:hAnsi="宋体"/>
          <w:b/>
          <w:sz w:val="24"/>
          <w:highlight w:val="none"/>
        </w:rPr>
        <w:t>2.3</w:t>
      </w:r>
      <w:r>
        <w:rPr>
          <w:rFonts w:hint="eastAsia" w:ascii="宋体" w:hAnsi="宋体"/>
          <w:b/>
          <w:sz w:val="24"/>
          <w:szCs w:val="24"/>
          <w:highlight w:val="none"/>
        </w:rPr>
        <w:t>招标文件的澄清与修改</w:t>
      </w:r>
    </w:p>
    <w:p>
      <w:pPr>
        <w:wordWrap w:val="0"/>
        <w:spacing w:line="360" w:lineRule="auto"/>
        <w:ind w:firstLine="480" w:firstLineChars="200"/>
        <w:rPr>
          <w:rFonts w:ascii="宋体" w:hAnsi="宋体"/>
          <w:bCs/>
          <w:sz w:val="24"/>
          <w:highlight w:val="none"/>
        </w:rPr>
      </w:pPr>
      <w:r>
        <w:rPr>
          <w:rFonts w:ascii="宋体" w:hAnsi="宋体"/>
          <w:bCs/>
          <w:sz w:val="24"/>
          <w:highlight w:val="none"/>
        </w:rPr>
        <w:t xml:space="preserve">2.3.1 </w:t>
      </w:r>
      <w:r>
        <w:rPr>
          <w:rFonts w:hint="eastAsia" w:ascii="宋体" w:hAnsi="宋体"/>
          <w:bCs/>
          <w:sz w:val="24"/>
          <w:highlight w:val="none"/>
        </w:rPr>
        <w:t>在投标须知前附表规定的时间前，招标人可以书面形式修改招标文件，并通过广州交易集团有限公司（广州公共资源交易中心）网站发布。如果修改招标文件的时间距投标截止时间不足投标须知前附表规定的时间，并且修改内容影响投标文件编制的，相应延长投标截止时间。</w:t>
      </w:r>
    </w:p>
    <w:p>
      <w:pPr>
        <w:wordWrap w:val="0"/>
        <w:spacing w:line="360" w:lineRule="auto"/>
        <w:ind w:firstLine="480" w:firstLineChars="200"/>
        <w:rPr>
          <w:rFonts w:ascii="宋体" w:hAnsi="宋体"/>
          <w:bCs/>
          <w:sz w:val="24"/>
          <w:highlight w:val="none"/>
        </w:rPr>
      </w:pPr>
      <w:r>
        <w:rPr>
          <w:rFonts w:ascii="宋体" w:hAnsi="宋体"/>
          <w:bCs/>
          <w:sz w:val="24"/>
          <w:highlight w:val="none"/>
        </w:rPr>
        <w:t>2.3.2</w:t>
      </w:r>
      <w:r>
        <w:rPr>
          <w:rFonts w:hint="eastAsia" w:ascii="宋体" w:hAnsi="宋体"/>
          <w:bCs/>
          <w:sz w:val="24"/>
          <w:highlight w:val="none"/>
        </w:rPr>
        <w:t>投标人应及时通过广州交易集团有限公司（广州公共资源交易中心）网站浏览、下载招标文件修改。</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2.3.3</w:t>
      </w:r>
      <w:r>
        <w:rPr>
          <w:rFonts w:hint="eastAsia" w:ascii="宋体" w:hAnsi="宋体" w:eastAsia="宋体"/>
          <w:sz w:val="24"/>
          <w:highlight w:val="none"/>
        </w:rPr>
        <w:t>招标文件的澄清或修改在广州交易集团有限公司（广州公共资源交易中心）网站发布。招标文件的澄清或修改一经在广州交易集团有限公司（广州公共资源交易中心）网站发布，视作已发放给所有投标人。</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2.3.4</w:t>
      </w:r>
      <w:r>
        <w:rPr>
          <w:rFonts w:hint="eastAsia" w:ascii="宋体" w:hAnsi="宋体" w:eastAsia="宋体"/>
          <w:sz w:val="24"/>
          <w:highlight w:val="none"/>
        </w:rPr>
        <w:t>招标文件的澄清、修改作为招标文件的组成部分，具有约束作用。</w:t>
      </w:r>
    </w:p>
    <w:p>
      <w:pPr>
        <w:wordWrap w:val="0"/>
        <w:spacing w:line="360" w:lineRule="auto"/>
        <w:ind w:firstLine="480" w:firstLineChars="200"/>
        <w:rPr>
          <w:rFonts w:ascii="宋体" w:hAnsi="宋体"/>
          <w:bCs/>
          <w:sz w:val="24"/>
          <w:highlight w:val="none"/>
        </w:rPr>
      </w:pPr>
      <w:r>
        <w:rPr>
          <w:rFonts w:ascii="宋体" w:hAnsi="宋体"/>
          <w:sz w:val="24"/>
          <w:highlight w:val="none"/>
        </w:rPr>
        <w:t>2.3.5</w:t>
      </w:r>
      <w:r>
        <w:rPr>
          <w:rFonts w:hint="eastAsia" w:ascii="宋体" w:hAnsi="宋体"/>
          <w:sz w:val="24"/>
          <w:highlight w:val="none"/>
        </w:rPr>
        <w:t>招标文件的澄清、修改均以广州交易集团有限公司（广州公共资源交易中心）网站</w:t>
      </w:r>
      <w:r>
        <w:rPr>
          <w:rFonts w:hint="eastAsia" w:ascii="宋体" w:hAnsi="宋体"/>
          <w:sz w:val="24"/>
          <w:szCs w:val="24"/>
          <w:highlight w:val="none"/>
        </w:rPr>
        <w:t>发布</w:t>
      </w:r>
      <w:r>
        <w:rPr>
          <w:rFonts w:hint="eastAsia" w:ascii="宋体" w:hAnsi="宋体"/>
          <w:sz w:val="24"/>
          <w:highlight w:val="none"/>
        </w:rPr>
        <w:t>的内容为准。当招标文件的澄清、修改在同一内容的表述不一致时，以广州交易集团有限公司（广州公共资源交易中心）网站最后发布的内容为准。</w:t>
      </w:r>
    </w:p>
    <w:p>
      <w:pPr>
        <w:wordWrap w:val="0"/>
        <w:spacing w:line="360" w:lineRule="auto"/>
        <w:jc w:val="center"/>
        <w:outlineLvl w:val="3"/>
        <w:rPr>
          <w:rFonts w:ascii="宋体" w:hAnsi="宋体"/>
          <w:b/>
          <w:sz w:val="30"/>
          <w:szCs w:val="30"/>
          <w:highlight w:val="none"/>
        </w:rPr>
      </w:pPr>
      <w:bookmarkStart w:id="133" w:name="_Toc262229165"/>
      <w:bookmarkStart w:id="134" w:name="_Toc101777614"/>
      <w:r>
        <w:rPr>
          <w:rFonts w:hint="eastAsia" w:ascii="宋体" w:hAnsi="宋体"/>
          <w:b/>
          <w:sz w:val="30"/>
          <w:szCs w:val="30"/>
          <w:highlight w:val="none"/>
        </w:rPr>
        <w:t>（三）投标文件的编制</w:t>
      </w:r>
      <w:bookmarkEnd w:id="133"/>
      <w:bookmarkEnd w:id="134"/>
    </w:p>
    <w:p>
      <w:pPr>
        <w:pStyle w:val="21"/>
        <w:wordWrap w:val="0"/>
        <w:spacing w:after="0" w:line="360" w:lineRule="auto"/>
        <w:ind w:firstLine="482" w:firstLineChars="200"/>
        <w:rPr>
          <w:rFonts w:ascii="宋体" w:hAnsi="宋体" w:eastAsia="宋体"/>
          <w:b/>
          <w:bCs/>
          <w:sz w:val="24"/>
          <w:highlight w:val="none"/>
        </w:rPr>
      </w:pPr>
      <w:r>
        <w:rPr>
          <w:rFonts w:ascii="宋体" w:hAnsi="宋体" w:eastAsia="宋体"/>
          <w:b/>
          <w:bCs/>
          <w:sz w:val="24"/>
          <w:highlight w:val="none"/>
        </w:rPr>
        <w:t xml:space="preserve">3.1 </w:t>
      </w:r>
      <w:r>
        <w:rPr>
          <w:rFonts w:hint="eastAsia" w:ascii="宋体" w:hAnsi="宋体" w:eastAsia="宋体"/>
          <w:b/>
          <w:bCs/>
          <w:sz w:val="24"/>
          <w:highlight w:val="none"/>
        </w:rPr>
        <w:t>投标文件的组成</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3.1.1</w:t>
      </w:r>
      <w:r>
        <w:rPr>
          <w:rFonts w:hint="eastAsia" w:ascii="宋体" w:hAnsi="宋体" w:eastAsia="宋体"/>
          <w:sz w:val="24"/>
          <w:highlight w:val="none"/>
        </w:rPr>
        <w:t>投标文件应包括下列内容：</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（1）投标函及投标函附录；</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（2）法定代表人身份证明或附有法定代表人身份证明的授权委托书；</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（3）已标价工程量清单；</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u w:val="single"/>
        </w:rPr>
        <w:t>（4）</w:t>
      </w:r>
      <w:r>
        <w:rPr>
          <w:rFonts w:hint="eastAsia" w:ascii="宋体" w:hAnsi="宋体" w:eastAsia="宋体"/>
          <w:sz w:val="24"/>
          <w:highlight w:val="none"/>
        </w:rPr>
        <w:t>项目管理机构；</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u w:val="single"/>
        </w:rPr>
        <w:t>（5）</w:t>
      </w:r>
      <w:r>
        <w:rPr>
          <w:rFonts w:hint="eastAsia" w:ascii="宋体" w:hAnsi="宋体" w:eastAsia="宋体"/>
          <w:sz w:val="24"/>
          <w:highlight w:val="none"/>
        </w:rPr>
        <w:t>资格审查资料；</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u w:val="single"/>
        </w:rPr>
        <w:t>（6）</w:t>
      </w:r>
      <w:r>
        <w:rPr>
          <w:rFonts w:hint="eastAsia" w:ascii="宋体" w:hAnsi="宋体" w:eastAsia="宋体"/>
          <w:sz w:val="24"/>
          <w:highlight w:val="none"/>
        </w:rPr>
        <w:t>其他应提交的材料。</w:t>
      </w:r>
    </w:p>
    <w:p>
      <w:pPr>
        <w:pStyle w:val="21"/>
        <w:wordWrap w:val="0"/>
        <w:spacing w:after="0" w:line="360" w:lineRule="auto"/>
        <w:ind w:firstLine="482" w:firstLineChars="200"/>
        <w:rPr>
          <w:rFonts w:ascii="宋体" w:hAnsi="宋体" w:eastAsia="宋体"/>
          <w:b/>
          <w:bCs/>
          <w:sz w:val="24"/>
          <w:highlight w:val="none"/>
        </w:rPr>
      </w:pPr>
      <w:r>
        <w:rPr>
          <w:rFonts w:ascii="宋体" w:hAnsi="宋体" w:eastAsia="宋体"/>
          <w:b/>
          <w:bCs/>
          <w:sz w:val="24"/>
          <w:highlight w:val="none"/>
        </w:rPr>
        <w:t xml:space="preserve">3.2 </w:t>
      </w:r>
      <w:r>
        <w:rPr>
          <w:rFonts w:hint="eastAsia" w:ascii="宋体" w:hAnsi="宋体" w:eastAsia="宋体"/>
          <w:b/>
          <w:bCs/>
          <w:sz w:val="24"/>
          <w:highlight w:val="none"/>
        </w:rPr>
        <w:t>投标报价</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 xml:space="preserve">3.2.1 </w:t>
      </w:r>
      <w:r>
        <w:rPr>
          <w:rFonts w:hint="eastAsia" w:ascii="宋体" w:hAnsi="宋体" w:eastAsia="宋体"/>
          <w:sz w:val="24"/>
          <w:highlight w:val="none"/>
        </w:rPr>
        <w:t>投标人应按第五章“工程量清单”的要求填写相应表格。（此条不适用于综合评估法三）</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cs="宋体"/>
          <w:sz w:val="24"/>
          <w:highlight w:val="none"/>
        </w:rPr>
        <w:t>3.2.2 投标人在投标截止时间前修改投标函中的投标报价总额，应同时修改“已标价工程量清单”中的相应报价，投标报价总额为各分项金额之和。此修改须符合本章第4.3款的有关要求。（此条不适用于综合评估法三）</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3.2.3</w:t>
      </w:r>
      <w:r>
        <w:rPr>
          <w:rFonts w:hint="eastAsia" w:ascii="宋体" w:hAnsi="宋体" w:eastAsia="宋体"/>
          <w:sz w:val="24"/>
          <w:highlight w:val="none"/>
        </w:rPr>
        <w:t>投标人的投标报价不得超过最高投标限价，最高投标限价见投标人须知前附表。</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3.2.4</w:t>
      </w:r>
      <w:r>
        <w:rPr>
          <w:rFonts w:hint="eastAsia" w:ascii="宋体" w:hAnsi="宋体" w:eastAsia="宋体"/>
          <w:sz w:val="24"/>
          <w:highlight w:val="none"/>
        </w:rPr>
        <w:t>成本警示价见投标人须知前附表。对低于该成本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21"/>
        <w:wordWrap w:val="0"/>
        <w:spacing w:after="0" w:line="360" w:lineRule="auto"/>
        <w:ind w:firstLine="482" w:firstLineChars="200"/>
        <w:rPr>
          <w:rFonts w:ascii="宋体" w:hAnsi="宋体" w:eastAsia="宋体"/>
          <w:b/>
          <w:bCs/>
          <w:sz w:val="24"/>
          <w:highlight w:val="none"/>
        </w:rPr>
      </w:pPr>
      <w:r>
        <w:rPr>
          <w:rFonts w:ascii="宋体" w:hAnsi="宋体" w:eastAsia="宋体"/>
          <w:b/>
          <w:bCs/>
          <w:sz w:val="24"/>
          <w:highlight w:val="none"/>
        </w:rPr>
        <w:t xml:space="preserve">3.3 </w:t>
      </w:r>
      <w:r>
        <w:rPr>
          <w:rFonts w:hint="eastAsia" w:ascii="宋体" w:hAnsi="宋体" w:eastAsia="宋体"/>
          <w:b/>
          <w:bCs/>
          <w:sz w:val="24"/>
          <w:highlight w:val="none"/>
        </w:rPr>
        <w:t>投标有效期</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 xml:space="preserve">3.3.1 </w:t>
      </w:r>
      <w:r>
        <w:rPr>
          <w:rFonts w:hint="eastAsia" w:ascii="宋体" w:hAnsi="宋体" w:eastAsia="宋体"/>
          <w:sz w:val="24"/>
          <w:highlight w:val="none"/>
        </w:rPr>
        <w:t>除投标人须知前附表另有规定外，投标有效期为90天。</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3.3.2</w:t>
      </w:r>
      <w:r>
        <w:rPr>
          <w:rFonts w:hint="eastAsia" w:ascii="宋体" w:hAnsi="宋体" w:eastAsia="宋体"/>
          <w:sz w:val="24"/>
          <w:highlight w:val="none"/>
        </w:rPr>
        <w:t>在投标有效期内，投标人撤销或修改其投标文件的，应承担招标文件和法律规定的责任。</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3.3.3</w:t>
      </w:r>
      <w:r>
        <w:rPr>
          <w:rFonts w:hint="eastAsia" w:ascii="宋体" w:hAnsi="宋体" w:eastAsia="宋体"/>
          <w:sz w:val="24"/>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21"/>
        <w:wordWrap w:val="0"/>
        <w:spacing w:after="0" w:line="360" w:lineRule="auto"/>
        <w:ind w:firstLine="482" w:firstLineChars="200"/>
        <w:rPr>
          <w:rFonts w:ascii="宋体" w:hAnsi="宋体" w:eastAsia="宋体"/>
          <w:sz w:val="24"/>
          <w:highlight w:val="none"/>
        </w:rPr>
      </w:pPr>
      <w:r>
        <w:rPr>
          <w:rFonts w:ascii="宋体" w:hAnsi="宋体" w:eastAsia="宋体"/>
          <w:b/>
          <w:bCs/>
          <w:sz w:val="24"/>
          <w:highlight w:val="none"/>
        </w:rPr>
        <w:t>3.4投标保证金</w:t>
      </w:r>
    </w:p>
    <w:p>
      <w:pPr>
        <w:pStyle w:val="21"/>
        <w:wordWrap w:val="0"/>
        <w:spacing w:line="360" w:lineRule="auto"/>
        <w:ind w:firstLine="480" w:firstLineChars="200"/>
        <w:rPr>
          <w:rFonts w:ascii="宋体" w:hAnsi="宋体" w:eastAsia="宋体"/>
          <w:b/>
          <w:bCs/>
          <w:sz w:val="24"/>
          <w:highlight w:val="none"/>
        </w:rPr>
      </w:pPr>
      <w:r>
        <w:rPr>
          <w:rFonts w:ascii="宋体" w:hAnsi="宋体" w:eastAsia="宋体"/>
          <w:sz w:val="24"/>
          <w:highlight w:val="none"/>
        </w:rPr>
        <w:t>3.4.1</w:t>
      </w:r>
      <w:r>
        <w:rPr>
          <w:rFonts w:hint="eastAsia" w:ascii="宋体" w:hAnsi="宋体" w:eastAsia="宋体"/>
          <w:sz w:val="24"/>
          <w:highlight w:val="none"/>
        </w:rPr>
        <w:t>投标人应按投标须知前附表规定的金额和时间递交投标保证金。投标保证金以现金或者支票形式提交的，必须由投标人的银行基本账户转出。投标人如采用投标保函或投标保证保险的形式递交的，须在投标截止单独密封递交至开标室。联合体投标的，其投标担保可以由牵头人递交，并应符合投标人须知前附表的规定。</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3.4.2</w:t>
      </w:r>
      <w:r>
        <w:rPr>
          <w:rFonts w:hint="eastAsia" w:ascii="宋体" w:hAnsi="宋体" w:eastAsia="宋体"/>
          <w:sz w:val="24"/>
          <w:highlight w:val="none"/>
        </w:rPr>
        <w:t>招标人收取的，由招标人在前附表中明确具体要求。</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3.4.3</w:t>
      </w:r>
      <w:r>
        <w:rPr>
          <w:rFonts w:hint="eastAsia" w:ascii="宋体" w:hAnsi="宋体" w:eastAsia="宋体"/>
          <w:sz w:val="24"/>
          <w:highlight w:val="none"/>
        </w:rPr>
        <w:t>要求提交投标保证金的</w:t>
      </w:r>
      <w:r>
        <w:rPr>
          <w:rFonts w:ascii="宋体" w:hAnsi="宋体" w:eastAsia="宋体"/>
          <w:sz w:val="24"/>
          <w:highlight w:val="none"/>
        </w:rPr>
        <w:t>,</w:t>
      </w:r>
      <w:r>
        <w:rPr>
          <w:rFonts w:hint="eastAsia" w:ascii="宋体" w:hAnsi="宋体" w:eastAsia="宋体"/>
          <w:sz w:val="24"/>
          <w:highlight w:val="none"/>
        </w:rPr>
        <w:t>投标人不按本章第</w:t>
      </w:r>
      <w:r>
        <w:rPr>
          <w:rFonts w:ascii="宋体" w:hAnsi="宋体" w:eastAsia="宋体"/>
          <w:sz w:val="24"/>
          <w:highlight w:val="none"/>
        </w:rPr>
        <w:t>3.4.1</w:t>
      </w:r>
      <w:r>
        <w:rPr>
          <w:rFonts w:hint="eastAsia" w:ascii="宋体" w:hAnsi="宋体" w:eastAsia="宋体"/>
          <w:sz w:val="24"/>
          <w:highlight w:val="none"/>
        </w:rPr>
        <w:t>项要求提交投标保证金的，评标委员会将否决其投标。</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 xml:space="preserve">3.4.4 </w:t>
      </w:r>
      <w:r>
        <w:rPr>
          <w:rFonts w:hint="eastAsia" w:ascii="宋体" w:hAnsi="宋体" w:eastAsia="宋体"/>
          <w:sz w:val="24"/>
          <w:highlight w:val="none"/>
        </w:rPr>
        <w:t>招标人与中标人签订合同后</w:t>
      </w:r>
      <w:r>
        <w:rPr>
          <w:rFonts w:ascii="宋体" w:hAnsi="宋体" w:eastAsia="宋体"/>
          <w:sz w:val="24"/>
          <w:highlight w:val="none"/>
        </w:rPr>
        <w:t>5</w:t>
      </w:r>
      <w:r>
        <w:rPr>
          <w:rFonts w:hint="eastAsia" w:ascii="宋体" w:hAnsi="宋体" w:eastAsia="宋体"/>
          <w:sz w:val="24"/>
          <w:highlight w:val="none"/>
        </w:rPr>
        <w:t>个工作日内，向未中标的投标人和中标人退还投标保证金。</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3.4.5 有下列情形之一的，投标保证金将不予退还： </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（1）投标人在规定的投标有效期内撤销或修改其投标文件；</w:t>
      </w:r>
    </w:p>
    <w:p>
      <w:pPr>
        <w:pStyle w:val="21"/>
        <w:wordWrap w:val="0"/>
        <w:spacing w:after="0" w:line="360" w:lineRule="auto"/>
        <w:ind w:firstLine="480" w:firstLineChars="200"/>
        <w:rPr>
          <w:rFonts w:ascii="宋体" w:hAnsi="宋体" w:eastAsia="宋体"/>
          <w:sz w:val="24"/>
          <w:highlight w:val="none"/>
        </w:rPr>
      </w:pPr>
      <w:r>
        <w:rPr>
          <w:rFonts w:hint="eastAsia" w:ascii="宋体" w:hAnsi="宋体" w:eastAsia="宋体"/>
          <w:sz w:val="24"/>
          <w:highlight w:val="none"/>
        </w:rPr>
        <w:t>（2）中标人在收到中标通知书后，无正当理由拒签合同协议书或未按招标文件规定提交履约担保。</w:t>
      </w:r>
    </w:p>
    <w:p>
      <w:pPr>
        <w:pStyle w:val="21"/>
        <w:wordWrap w:val="0"/>
        <w:spacing w:after="0" w:line="360" w:lineRule="auto"/>
        <w:ind w:firstLine="482" w:firstLineChars="200"/>
        <w:rPr>
          <w:rFonts w:ascii="宋体" w:hAnsi="宋体" w:eastAsia="宋体"/>
          <w:b/>
          <w:bCs/>
          <w:sz w:val="24"/>
          <w:highlight w:val="none"/>
        </w:rPr>
      </w:pPr>
      <w:r>
        <w:rPr>
          <w:rFonts w:ascii="宋体" w:hAnsi="宋体" w:eastAsia="宋体"/>
          <w:b/>
          <w:bCs/>
          <w:sz w:val="24"/>
          <w:highlight w:val="none"/>
        </w:rPr>
        <w:t xml:space="preserve">3.5 </w:t>
      </w:r>
      <w:r>
        <w:rPr>
          <w:rFonts w:hint="eastAsia" w:ascii="宋体" w:hAnsi="宋体" w:eastAsia="宋体"/>
          <w:b/>
          <w:bCs/>
          <w:sz w:val="24"/>
          <w:highlight w:val="none"/>
        </w:rPr>
        <w:t>资格审查资料</w:t>
      </w:r>
    </w:p>
    <w:p>
      <w:pPr>
        <w:pStyle w:val="21"/>
        <w:wordWrap w:val="0"/>
        <w:spacing w:after="0" w:line="360" w:lineRule="auto"/>
        <w:ind w:firstLine="480" w:firstLineChars="200"/>
        <w:rPr>
          <w:rFonts w:ascii="宋体" w:hAnsi="宋体" w:eastAsia="宋体"/>
          <w:highlight w:val="none"/>
        </w:rPr>
      </w:pPr>
      <w:r>
        <w:rPr>
          <w:rFonts w:ascii="宋体" w:hAnsi="宋体" w:eastAsia="宋体"/>
          <w:sz w:val="24"/>
          <w:highlight w:val="none"/>
        </w:rPr>
        <w:t xml:space="preserve">3.5.1 </w:t>
      </w:r>
      <w:r>
        <w:rPr>
          <w:rFonts w:hint="eastAsia" w:ascii="宋体" w:hAnsi="宋体" w:eastAsia="宋体"/>
          <w:sz w:val="24"/>
          <w:highlight w:val="none"/>
        </w:rPr>
        <w:t>“投标人基本情况表”应附投标人营业执照副本、资质证书副本和安全生产许可证等材料的</w:t>
      </w:r>
      <w:r>
        <w:rPr>
          <w:rFonts w:hint="eastAsia" w:ascii="宋体" w:hAnsi="宋体" w:eastAsia="宋体" w:cs="宋体"/>
          <w:sz w:val="24"/>
          <w:highlight w:val="none"/>
        </w:rPr>
        <w:t>扫描件</w:t>
      </w:r>
      <w:r>
        <w:rPr>
          <w:rFonts w:hint="eastAsia" w:ascii="宋体" w:hAnsi="宋体" w:eastAsia="宋体"/>
          <w:sz w:val="24"/>
          <w:highlight w:val="none"/>
        </w:rPr>
        <w:t>。</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 xml:space="preserve">3.5.2 </w:t>
      </w:r>
      <w:r>
        <w:rPr>
          <w:rFonts w:hint="eastAsia" w:ascii="宋体" w:hAnsi="宋体" w:eastAsia="宋体" w:cs="宋体"/>
          <w:sz w:val="24"/>
          <w:highlight w:val="none"/>
        </w:rPr>
        <w:t>项目负责人建造师证和安全生产考核合格证（B证）</w:t>
      </w:r>
      <w:r>
        <w:rPr>
          <w:rFonts w:hint="eastAsia" w:ascii="宋体" w:hAnsi="宋体" w:eastAsia="宋体"/>
          <w:sz w:val="24"/>
          <w:szCs w:val="24"/>
          <w:highlight w:val="none"/>
        </w:rPr>
        <w:t>或建筑施工企业项目负责人安全生产考核合格证书</w:t>
      </w:r>
      <w:r>
        <w:rPr>
          <w:rFonts w:hint="eastAsia" w:ascii="宋体" w:hAnsi="宋体" w:eastAsia="宋体" w:cs="宋体"/>
          <w:sz w:val="24"/>
          <w:highlight w:val="none"/>
        </w:rPr>
        <w:t>扫描件。</w:t>
      </w:r>
    </w:p>
    <w:p>
      <w:pPr>
        <w:pStyle w:val="21"/>
        <w:wordWrap w:val="0"/>
        <w:spacing w:after="0" w:line="360" w:lineRule="auto"/>
        <w:ind w:firstLine="480" w:firstLineChars="200"/>
        <w:rPr>
          <w:rFonts w:ascii="宋体" w:hAnsi="宋体" w:eastAsia="宋体" w:cs="宋体"/>
          <w:sz w:val="24"/>
          <w:highlight w:val="none"/>
        </w:rPr>
      </w:pPr>
      <w:r>
        <w:rPr>
          <w:rFonts w:ascii="宋体" w:hAnsi="宋体" w:eastAsia="宋体"/>
          <w:sz w:val="24"/>
          <w:highlight w:val="none"/>
        </w:rPr>
        <w:t>3.5.3</w:t>
      </w:r>
      <w:r>
        <w:rPr>
          <w:rFonts w:hint="eastAsia" w:ascii="宋体" w:hAnsi="宋体" w:eastAsia="宋体"/>
          <w:sz w:val="24"/>
          <w:szCs w:val="24"/>
          <w:highlight w:val="none"/>
        </w:rPr>
        <w:t>专职安全员须具有有效期内的安全生产考核合格证（C类）或能够提供建筑施工企业专职安全生产管理人员安全生产考核合格证书（C3类）扫描</w:t>
      </w:r>
      <w:r>
        <w:rPr>
          <w:rFonts w:ascii="宋体" w:hAnsi="宋体" w:eastAsia="宋体"/>
          <w:sz w:val="24"/>
          <w:szCs w:val="24"/>
          <w:highlight w:val="none"/>
        </w:rPr>
        <w:t>件</w:t>
      </w:r>
      <w:r>
        <w:rPr>
          <w:rFonts w:hint="eastAsia" w:ascii="宋体" w:hAnsi="宋体" w:eastAsia="宋体" w:cs="宋体"/>
          <w:sz w:val="24"/>
          <w:highlight w:val="none"/>
        </w:rPr>
        <w:t>。</w:t>
      </w:r>
    </w:p>
    <w:p>
      <w:pPr>
        <w:pStyle w:val="21"/>
        <w:wordWrap w:val="0"/>
        <w:spacing w:after="0" w:line="360" w:lineRule="auto"/>
        <w:ind w:firstLine="480" w:firstLineChars="200"/>
        <w:rPr>
          <w:rFonts w:ascii="宋体" w:hAnsi="宋体" w:eastAsia="宋体" w:cs="宋体"/>
          <w:strike/>
          <w:sz w:val="24"/>
          <w:highlight w:val="none"/>
        </w:rPr>
      </w:pPr>
      <w:r>
        <w:rPr>
          <w:rFonts w:ascii="宋体" w:hAnsi="宋体" w:eastAsia="宋体" w:cs="宋体"/>
          <w:strike/>
          <w:sz w:val="24"/>
          <w:highlight w:val="none"/>
        </w:rPr>
        <w:t>3.5.4</w:t>
      </w:r>
      <w:r>
        <w:rPr>
          <w:rFonts w:hint="eastAsia" w:ascii="宋体" w:hAnsi="宋体" w:eastAsia="宋体" w:cs="宋体"/>
          <w:strike/>
          <w:sz w:val="24"/>
          <w:highlight w:val="none"/>
        </w:rPr>
        <w:t>“近年完成的类似项目情况表”应附中标通知书、合同协议书以及合同工程完工证书（或工程竣工证书副本）的复印件。每张表格只填写一个项目，并标明序号。</w:t>
      </w:r>
    </w:p>
    <w:p>
      <w:pPr>
        <w:pStyle w:val="21"/>
        <w:wordWrap w:val="0"/>
        <w:spacing w:after="0" w:line="360" w:lineRule="auto"/>
        <w:ind w:firstLine="480" w:firstLineChars="200"/>
        <w:rPr>
          <w:rFonts w:ascii="宋体" w:hAnsi="宋体" w:eastAsia="宋体"/>
          <w:strike/>
          <w:sz w:val="24"/>
          <w:highlight w:val="none"/>
        </w:rPr>
      </w:pPr>
      <w:r>
        <w:rPr>
          <w:rFonts w:hint="eastAsia" w:ascii="宋体" w:hAnsi="宋体" w:eastAsia="宋体" w:cs="宋体"/>
          <w:strike/>
          <w:sz w:val="24"/>
          <w:highlight w:val="none"/>
        </w:rPr>
        <w:t>3</w:t>
      </w:r>
      <w:r>
        <w:rPr>
          <w:rFonts w:ascii="宋体" w:hAnsi="宋体" w:eastAsia="宋体" w:cs="宋体"/>
          <w:strike/>
          <w:sz w:val="24"/>
          <w:highlight w:val="none"/>
        </w:rPr>
        <w:t>.5.5</w:t>
      </w:r>
      <w:r>
        <w:rPr>
          <w:rFonts w:hint="eastAsia" w:ascii="宋体" w:hAnsi="宋体" w:eastAsia="宋体"/>
          <w:strike/>
          <w:sz w:val="24"/>
          <w:highlight w:val="none"/>
        </w:rPr>
        <w:t>投标人须知前附表规定接受联合体投标的，本章第</w:t>
      </w:r>
      <w:r>
        <w:rPr>
          <w:rFonts w:ascii="宋体" w:hAnsi="宋体" w:eastAsia="宋体"/>
          <w:strike/>
          <w:sz w:val="24"/>
          <w:highlight w:val="none"/>
        </w:rPr>
        <w:t>3.5.1</w:t>
      </w:r>
      <w:r>
        <w:rPr>
          <w:rFonts w:hint="eastAsia" w:ascii="宋体" w:hAnsi="宋体" w:eastAsia="宋体"/>
          <w:strike/>
          <w:sz w:val="24"/>
          <w:highlight w:val="none"/>
        </w:rPr>
        <w:t>项至第</w:t>
      </w:r>
      <w:r>
        <w:rPr>
          <w:rFonts w:ascii="宋体" w:hAnsi="宋体" w:eastAsia="宋体"/>
          <w:strike/>
          <w:sz w:val="24"/>
          <w:highlight w:val="none"/>
        </w:rPr>
        <w:t>3.5.5</w:t>
      </w:r>
      <w:r>
        <w:rPr>
          <w:rFonts w:hint="eastAsia" w:ascii="宋体" w:hAnsi="宋体" w:eastAsia="宋体"/>
          <w:strike/>
          <w:sz w:val="24"/>
          <w:highlight w:val="none"/>
        </w:rPr>
        <w:t>项规定的表格和资料应包括联合体各方相关情况。</w:t>
      </w:r>
    </w:p>
    <w:p>
      <w:pPr>
        <w:pStyle w:val="21"/>
        <w:wordWrap w:val="0"/>
        <w:spacing w:after="0" w:line="360" w:lineRule="auto"/>
        <w:ind w:firstLine="480" w:firstLineChars="200"/>
        <w:rPr>
          <w:rFonts w:ascii="宋体" w:hAnsi="宋体" w:eastAsia="宋体"/>
          <w:sz w:val="24"/>
          <w:highlight w:val="none"/>
        </w:rPr>
      </w:pPr>
      <w:r>
        <w:rPr>
          <w:rFonts w:ascii="宋体" w:hAnsi="宋体" w:eastAsia="宋体"/>
          <w:sz w:val="24"/>
          <w:highlight w:val="none"/>
        </w:rPr>
        <w:t>3.5.</w:t>
      </w:r>
      <w:r>
        <w:rPr>
          <w:rFonts w:hint="eastAsia" w:ascii="宋体" w:hAnsi="宋体" w:eastAsia="宋体"/>
          <w:sz w:val="24"/>
          <w:highlight w:val="none"/>
          <w:u w:val="single"/>
        </w:rPr>
        <w:t>4</w:t>
      </w:r>
      <w:r>
        <w:rPr>
          <w:rFonts w:hint="eastAsia" w:ascii="宋体" w:hAnsi="宋体" w:eastAsia="宋体"/>
          <w:sz w:val="24"/>
          <w:highlight w:val="none"/>
        </w:rPr>
        <w:t>资审要求的其他材料。</w:t>
      </w:r>
    </w:p>
    <w:p>
      <w:pPr>
        <w:pStyle w:val="21"/>
        <w:wordWrap w:val="0"/>
        <w:spacing w:after="0" w:line="360" w:lineRule="auto"/>
        <w:ind w:firstLineChars="200"/>
        <w:rPr>
          <w:rFonts w:ascii="宋体" w:hAnsi="宋体" w:eastAsia="宋体"/>
          <w:i/>
          <w:sz w:val="21"/>
          <w:szCs w:val="21"/>
          <w:highlight w:val="none"/>
        </w:rPr>
      </w:pPr>
      <w:r>
        <w:rPr>
          <w:rFonts w:hint="eastAsia" w:ascii="宋体" w:hAnsi="宋体" w:eastAsia="宋体"/>
          <w:i/>
          <w:sz w:val="21"/>
          <w:szCs w:val="21"/>
          <w:highlight w:val="none"/>
        </w:rPr>
        <w:t>（说明：</w:t>
      </w:r>
      <w:r>
        <w:rPr>
          <w:rFonts w:ascii="宋体" w:hAnsi="宋体" w:eastAsia="宋体"/>
          <w:i/>
          <w:sz w:val="21"/>
          <w:szCs w:val="21"/>
          <w:highlight w:val="none"/>
        </w:rPr>
        <w:t>3.5.</w:t>
      </w:r>
      <w:r>
        <w:rPr>
          <w:rFonts w:ascii="宋体" w:hAnsi="宋体" w:eastAsia="宋体"/>
          <w:i/>
          <w:szCs w:val="21"/>
          <w:highlight w:val="none"/>
        </w:rPr>
        <w:t>4</w:t>
      </w:r>
      <w:r>
        <w:rPr>
          <w:rFonts w:ascii="宋体" w:hAnsi="宋体" w:eastAsia="宋体"/>
          <w:i/>
          <w:sz w:val="21"/>
          <w:szCs w:val="21"/>
          <w:highlight w:val="none"/>
        </w:rPr>
        <w:t>~3.5.</w:t>
      </w:r>
      <w:r>
        <w:rPr>
          <w:rFonts w:ascii="宋体" w:hAnsi="宋体" w:eastAsia="宋体"/>
          <w:i/>
          <w:szCs w:val="21"/>
          <w:highlight w:val="none"/>
        </w:rPr>
        <w:t>5</w:t>
      </w:r>
      <w:r>
        <w:rPr>
          <w:rFonts w:hint="eastAsia" w:ascii="宋体" w:hAnsi="宋体" w:eastAsia="宋体"/>
          <w:i/>
          <w:sz w:val="21"/>
          <w:szCs w:val="21"/>
          <w:highlight w:val="none"/>
        </w:rPr>
        <w:t>为可选项。若资格条件里没有业绩等方面的要求，可不做要求）</w:t>
      </w:r>
    </w:p>
    <w:p>
      <w:pPr>
        <w:pStyle w:val="21"/>
        <w:wordWrap w:val="0"/>
        <w:spacing w:after="0" w:line="360" w:lineRule="auto"/>
        <w:ind w:firstLine="482" w:firstLineChars="200"/>
        <w:rPr>
          <w:rFonts w:ascii="宋体" w:hAnsi="宋体" w:eastAsia="宋体"/>
          <w:b/>
          <w:bCs/>
          <w:sz w:val="24"/>
          <w:highlight w:val="none"/>
        </w:rPr>
      </w:pPr>
      <w:r>
        <w:rPr>
          <w:rFonts w:ascii="宋体" w:hAnsi="宋体" w:eastAsia="宋体"/>
          <w:b/>
          <w:bCs/>
          <w:sz w:val="24"/>
          <w:highlight w:val="none"/>
        </w:rPr>
        <w:t xml:space="preserve">3.6 </w:t>
      </w:r>
      <w:r>
        <w:rPr>
          <w:rFonts w:hint="eastAsia" w:ascii="宋体" w:hAnsi="宋体" w:eastAsia="宋体"/>
          <w:b/>
          <w:bCs/>
          <w:sz w:val="24"/>
          <w:highlight w:val="none"/>
        </w:rPr>
        <w:t>投标文件的编制</w:t>
      </w:r>
    </w:p>
    <w:p>
      <w:pPr>
        <w:pStyle w:val="21"/>
        <w:wordWrap w:val="0"/>
        <w:spacing w:after="0"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3.6.1</w:t>
      </w:r>
      <w:r>
        <w:rPr>
          <w:rFonts w:hint="eastAsia" w:ascii="宋体" w:hAnsi="宋体" w:eastAsia="宋体"/>
          <w:sz w:val="24"/>
          <w:szCs w:val="24"/>
          <w:highlight w:val="none"/>
        </w:rPr>
        <w:t>投标人应使用符合《广东省工程造价文件数据交换标准（电子评标部分）</w:t>
      </w:r>
      <w:r>
        <w:rPr>
          <w:rFonts w:ascii="宋体" w:hAnsi="宋体" w:eastAsia="宋体"/>
          <w:sz w:val="24"/>
          <w:szCs w:val="24"/>
          <w:highlight w:val="none"/>
        </w:rPr>
        <w:t xml:space="preserve"> </w:t>
      </w:r>
      <w:r>
        <w:rPr>
          <w:rFonts w:hint="eastAsia" w:ascii="宋体" w:hAnsi="宋体" w:eastAsia="宋体"/>
          <w:sz w:val="24"/>
          <w:szCs w:val="24"/>
          <w:highlight w:val="none"/>
        </w:rPr>
        <w:t>交易中心实施细则》的计价软件制作工程量清单报价表和单价分析表（如本招标文件要求单价分析表）。</w:t>
      </w:r>
    </w:p>
    <w:p>
      <w:pPr>
        <w:wordWrap w:val="0"/>
        <w:spacing w:line="360" w:lineRule="auto"/>
        <w:ind w:firstLine="480" w:firstLineChars="200"/>
        <w:rPr>
          <w:rFonts w:ascii="宋体" w:hAnsi="宋体"/>
          <w:sz w:val="24"/>
          <w:szCs w:val="24"/>
          <w:highlight w:val="none"/>
        </w:rPr>
      </w:pPr>
      <w:r>
        <w:rPr>
          <w:rFonts w:ascii="宋体" w:hAnsi="宋体"/>
          <w:sz w:val="24"/>
          <w:szCs w:val="24"/>
          <w:highlight w:val="none"/>
        </w:rPr>
        <w:t>3.6.2</w:t>
      </w:r>
      <w:r>
        <w:rPr>
          <w:rFonts w:hint="eastAsia" w:ascii="宋体" w:hAnsi="宋体"/>
          <w:sz w:val="24"/>
          <w:szCs w:val="24"/>
          <w:highlight w:val="none"/>
        </w:rPr>
        <w:t>投标人应使用广州市水务工程（给排水专业）的投标文件管理软件进行投标文件的合成、</w:t>
      </w:r>
      <w:r>
        <w:rPr>
          <w:rFonts w:hint="eastAsia" w:ascii="宋体" w:hAnsi="宋体" w:cs="仿宋_GB2312"/>
          <w:sz w:val="24"/>
          <w:szCs w:val="24"/>
          <w:highlight w:val="none"/>
        </w:rPr>
        <w:t>电子签章及加密打包工作，所有电子投标文件不能进行压缩处理。电子投标文件统一采用网络上传的形式，投标人需登录交易中心网站投标人服务区在投标截止时间前完整上传至交易中心的电子评标系统。</w:t>
      </w:r>
    </w:p>
    <w:p>
      <w:pPr>
        <w:pStyle w:val="21"/>
        <w:wordWrap w:val="0"/>
        <w:spacing w:after="0" w:line="360" w:lineRule="auto"/>
        <w:ind w:firstLine="480" w:firstLineChars="200"/>
        <w:rPr>
          <w:rFonts w:ascii="宋体" w:hAnsi="宋体" w:eastAsia="宋体"/>
          <w:bCs/>
          <w:sz w:val="24"/>
          <w:szCs w:val="24"/>
          <w:highlight w:val="none"/>
        </w:rPr>
      </w:pPr>
      <w:r>
        <w:rPr>
          <w:rFonts w:ascii="宋体" w:hAnsi="宋体" w:eastAsia="宋体"/>
          <w:sz w:val="24"/>
          <w:szCs w:val="24"/>
          <w:highlight w:val="none"/>
        </w:rPr>
        <w:t>3.6.3</w:t>
      </w:r>
      <w:r>
        <w:rPr>
          <w:rFonts w:hint="eastAsia" w:ascii="宋体" w:hAnsi="宋体" w:eastAsia="宋体"/>
          <w:bCs/>
          <w:sz w:val="24"/>
          <w:szCs w:val="24"/>
          <w:highlight w:val="none"/>
        </w:rPr>
        <w:t>投标人应使用依法设立的电子认证服务提供者签发的电子</w:t>
      </w:r>
      <w:r>
        <w:rPr>
          <w:rFonts w:hint="eastAsia" w:ascii="宋体" w:hAnsi="宋体" w:eastAsia="宋体" w:cs="仿宋_GB2312"/>
          <w:sz w:val="24"/>
          <w:szCs w:val="24"/>
          <w:highlight w:val="none"/>
        </w:rPr>
        <w:t>签章</w:t>
      </w:r>
      <w:r>
        <w:rPr>
          <w:rFonts w:hint="eastAsia" w:ascii="宋体" w:hAnsi="宋体" w:eastAsia="宋体"/>
          <w:bCs/>
          <w:sz w:val="24"/>
          <w:szCs w:val="24"/>
          <w:highlight w:val="none"/>
        </w:rPr>
        <w:t>认证证书对电子投标文件进行</w:t>
      </w:r>
      <w:r>
        <w:rPr>
          <w:rFonts w:hint="eastAsia" w:ascii="宋体" w:hAnsi="宋体" w:eastAsia="宋体" w:cs="仿宋_GB2312"/>
          <w:sz w:val="24"/>
          <w:szCs w:val="24"/>
          <w:highlight w:val="none"/>
        </w:rPr>
        <w:t>电子签章</w:t>
      </w:r>
      <w:r>
        <w:rPr>
          <w:rFonts w:hint="eastAsia" w:ascii="宋体" w:hAnsi="宋体" w:eastAsia="宋体"/>
          <w:bCs/>
          <w:sz w:val="24"/>
          <w:szCs w:val="24"/>
          <w:highlight w:val="none"/>
        </w:rPr>
        <w:t>。该</w:t>
      </w:r>
      <w:r>
        <w:rPr>
          <w:rFonts w:hint="eastAsia" w:ascii="宋体" w:hAnsi="宋体" w:eastAsia="宋体" w:cs="仿宋_GB2312"/>
          <w:sz w:val="24"/>
          <w:szCs w:val="24"/>
          <w:highlight w:val="none"/>
        </w:rPr>
        <w:t>电子签章</w:t>
      </w:r>
      <w:r>
        <w:rPr>
          <w:rFonts w:hint="eastAsia" w:ascii="宋体" w:hAnsi="宋体" w:eastAsia="宋体"/>
          <w:bCs/>
          <w:sz w:val="24"/>
          <w:szCs w:val="24"/>
          <w:highlight w:val="none"/>
        </w:rPr>
        <w:t>与盖单位章具有同等的法律效力。</w:t>
      </w:r>
    </w:p>
    <w:p>
      <w:pPr>
        <w:wordWrap w:val="0"/>
        <w:spacing w:line="360" w:lineRule="auto"/>
        <w:ind w:firstLine="480" w:firstLineChars="200"/>
        <w:rPr>
          <w:rFonts w:ascii="宋体" w:hAnsi="宋体"/>
          <w:bCs/>
          <w:sz w:val="24"/>
          <w:szCs w:val="24"/>
          <w:highlight w:val="none"/>
        </w:rPr>
      </w:pPr>
      <w:r>
        <w:rPr>
          <w:rFonts w:ascii="宋体" w:hAnsi="宋体"/>
          <w:sz w:val="24"/>
          <w:szCs w:val="24"/>
          <w:highlight w:val="none"/>
        </w:rPr>
        <w:t>3.6.4</w:t>
      </w:r>
      <w:r>
        <w:rPr>
          <w:rFonts w:hint="eastAsia" w:ascii="宋体" w:hAnsi="宋体"/>
          <w:bCs/>
          <w:sz w:val="24"/>
          <w:szCs w:val="24"/>
          <w:highlight w:val="none"/>
          <w:u w:val="single"/>
        </w:rPr>
        <w:t>除工程量清单报价表相关的内容、《投标函》及</w:t>
      </w:r>
      <w:r>
        <w:rPr>
          <w:rFonts w:hint="eastAsia" w:ascii="宋体" w:hAnsi="宋体"/>
          <w:sz w:val="24"/>
          <w:szCs w:val="24"/>
          <w:highlight w:val="none"/>
          <w:u w:val="single"/>
        </w:rPr>
        <w:t>《投标函附录》</w:t>
      </w:r>
      <w:r>
        <w:rPr>
          <w:rFonts w:hint="eastAsia" w:ascii="宋体" w:hAnsi="宋体"/>
          <w:bCs/>
          <w:sz w:val="24"/>
          <w:szCs w:val="24"/>
          <w:highlight w:val="none"/>
          <w:u w:val="single"/>
        </w:rPr>
        <w:t>外，投标文件的其他内容均以电子文件（纸质原件的扫描件）编制，其格式要求详见第八章投标文件格式说明。</w:t>
      </w:r>
    </w:p>
    <w:p>
      <w:pPr>
        <w:pStyle w:val="21"/>
        <w:wordWrap w:val="0"/>
        <w:spacing w:after="0" w:line="360" w:lineRule="auto"/>
        <w:ind w:firstLine="480" w:firstLineChars="200"/>
        <w:rPr>
          <w:rFonts w:ascii="宋体" w:hAnsi="宋体" w:eastAsia="宋体"/>
          <w:bCs/>
          <w:sz w:val="24"/>
          <w:szCs w:val="24"/>
          <w:highlight w:val="none"/>
        </w:rPr>
      </w:pPr>
      <w:r>
        <w:rPr>
          <w:rFonts w:ascii="宋体" w:hAnsi="宋体" w:eastAsia="宋体"/>
          <w:sz w:val="24"/>
          <w:szCs w:val="24"/>
          <w:highlight w:val="none"/>
        </w:rPr>
        <w:t>3.6.5</w:t>
      </w:r>
      <w:r>
        <w:rPr>
          <w:rFonts w:hint="eastAsia" w:ascii="宋体" w:hAnsi="宋体" w:eastAsia="宋体"/>
          <w:bCs/>
          <w:sz w:val="24"/>
          <w:szCs w:val="24"/>
          <w:highlight w:val="none"/>
        </w:rPr>
        <w:t>投标文件应按上述的编排要求编制。如因不按上述编排要求编制而所引起系统无法检索、读取相关信息时，其后果将由投标人自行承担。</w:t>
      </w:r>
    </w:p>
    <w:p>
      <w:pPr>
        <w:pStyle w:val="21"/>
        <w:wordWrap w:val="0"/>
        <w:spacing w:after="0" w:line="360" w:lineRule="auto"/>
        <w:ind w:firstLine="480" w:firstLineChars="200"/>
        <w:rPr>
          <w:rFonts w:ascii="宋体" w:hAnsi="宋体" w:eastAsia="宋体"/>
          <w:i/>
          <w:sz w:val="24"/>
          <w:highlight w:val="none"/>
        </w:rPr>
      </w:pPr>
      <w:r>
        <w:rPr>
          <w:rFonts w:hint="eastAsia" w:ascii="宋体" w:hAnsi="宋体" w:eastAsia="宋体"/>
          <w:i/>
          <w:sz w:val="24"/>
          <w:highlight w:val="none"/>
        </w:rPr>
        <w:t>（</w:t>
      </w:r>
      <w:r>
        <w:rPr>
          <w:rFonts w:hint="eastAsia" w:ascii="宋体" w:hAnsi="宋体" w:eastAsia="宋体"/>
          <w:i/>
          <w:szCs w:val="21"/>
          <w:highlight w:val="none"/>
        </w:rPr>
        <w:t>给排水项目投标文件按交易中心的投标文件制作工具编制</w:t>
      </w:r>
      <w:r>
        <w:rPr>
          <w:rFonts w:hint="eastAsia" w:ascii="宋体" w:hAnsi="宋体" w:eastAsia="宋体"/>
          <w:i/>
          <w:sz w:val="24"/>
          <w:highlight w:val="none"/>
        </w:rPr>
        <w:t>）</w:t>
      </w:r>
    </w:p>
    <w:p>
      <w:pPr>
        <w:wordWrap w:val="0"/>
        <w:spacing w:line="360" w:lineRule="auto"/>
        <w:jc w:val="center"/>
        <w:outlineLvl w:val="3"/>
        <w:rPr>
          <w:rFonts w:ascii="宋体" w:hAnsi="宋体"/>
          <w:b/>
          <w:sz w:val="30"/>
          <w:szCs w:val="30"/>
          <w:highlight w:val="none"/>
        </w:rPr>
      </w:pPr>
      <w:bookmarkStart w:id="135" w:name="_Toc262229166"/>
      <w:bookmarkStart w:id="136" w:name="_Toc101777615"/>
      <w:r>
        <w:rPr>
          <w:rFonts w:hint="eastAsia" w:ascii="宋体" w:hAnsi="宋体"/>
          <w:b/>
          <w:sz w:val="30"/>
          <w:szCs w:val="30"/>
          <w:highlight w:val="none"/>
        </w:rPr>
        <w:t>（四）投标文件的递交</w:t>
      </w:r>
      <w:bookmarkEnd w:id="135"/>
      <w:bookmarkEnd w:id="136"/>
    </w:p>
    <w:p>
      <w:pPr>
        <w:pStyle w:val="21"/>
        <w:wordWrap w:val="0"/>
        <w:spacing w:after="0" w:line="360" w:lineRule="auto"/>
        <w:ind w:firstLine="482" w:firstLineChars="200"/>
        <w:rPr>
          <w:rFonts w:ascii="宋体" w:hAnsi="宋体" w:eastAsia="宋体"/>
          <w:b/>
          <w:bCs/>
          <w:sz w:val="24"/>
          <w:highlight w:val="none"/>
        </w:rPr>
      </w:pPr>
      <w:r>
        <w:rPr>
          <w:rFonts w:ascii="宋体" w:hAnsi="宋体" w:eastAsia="宋体"/>
          <w:b/>
          <w:bCs/>
          <w:sz w:val="24"/>
          <w:highlight w:val="none"/>
        </w:rPr>
        <w:t xml:space="preserve">4.1 </w:t>
      </w:r>
      <w:r>
        <w:rPr>
          <w:rFonts w:hint="eastAsia" w:ascii="宋体" w:hAnsi="宋体" w:eastAsia="宋体"/>
          <w:b/>
          <w:sz w:val="24"/>
          <w:szCs w:val="24"/>
          <w:highlight w:val="none"/>
        </w:rPr>
        <w:t>投标文件的包封、密封和标志</w:t>
      </w:r>
    </w:p>
    <w:p>
      <w:pPr>
        <w:wordWrap w:val="0"/>
        <w:spacing w:line="360" w:lineRule="auto"/>
        <w:ind w:firstLine="480" w:firstLineChars="200"/>
        <w:rPr>
          <w:rFonts w:ascii="宋体" w:hAnsi="宋体"/>
          <w:sz w:val="24"/>
          <w:szCs w:val="21"/>
          <w:highlight w:val="none"/>
        </w:rPr>
      </w:pPr>
      <w:r>
        <w:rPr>
          <w:rFonts w:ascii="宋体" w:hAnsi="宋体"/>
          <w:sz w:val="24"/>
          <w:szCs w:val="21"/>
          <w:highlight w:val="none"/>
        </w:rPr>
        <w:t>4.1.1</w:t>
      </w:r>
      <w:r>
        <w:rPr>
          <w:rFonts w:hint="eastAsia" w:ascii="宋体" w:hAnsi="宋体"/>
          <w:sz w:val="24"/>
          <w:szCs w:val="21"/>
          <w:highlight w:val="none"/>
        </w:rPr>
        <w:t>投标文件的密封要求：投标人应使用</w:t>
      </w:r>
      <w:r>
        <w:rPr>
          <w:rFonts w:hint="eastAsia" w:ascii="宋体" w:hAnsi="宋体"/>
          <w:sz w:val="24"/>
          <w:szCs w:val="24"/>
          <w:highlight w:val="none"/>
        </w:rPr>
        <w:t>广州市水务工程（给排水专业）的投标文件管理软件</w:t>
      </w:r>
      <w:r>
        <w:rPr>
          <w:rFonts w:hint="eastAsia" w:ascii="宋体" w:hAnsi="宋体"/>
          <w:sz w:val="24"/>
          <w:szCs w:val="21"/>
          <w:highlight w:val="none"/>
        </w:rPr>
        <w:t>提供的软件制作电子投标文件并进行电子签章及加密打包。不得修改所生成电子投标文件的文件格式。</w:t>
      </w:r>
    </w:p>
    <w:p>
      <w:pPr>
        <w:wordWrap w:val="0"/>
        <w:spacing w:line="360" w:lineRule="auto"/>
        <w:ind w:firstLine="480" w:firstLineChars="200"/>
        <w:rPr>
          <w:rFonts w:ascii="宋体" w:hAnsi="宋体"/>
          <w:sz w:val="24"/>
          <w:szCs w:val="24"/>
          <w:highlight w:val="none"/>
        </w:rPr>
      </w:pPr>
      <w:r>
        <w:rPr>
          <w:rFonts w:ascii="宋体" w:hAnsi="宋体"/>
          <w:sz w:val="24"/>
          <w:szCs w:val="21"/>
          <w:highlight w:val="none"/>
        </w:rPr>
        <w:t>4.1.2</w:t>
      </w:r>
      <w:r>
        <w:rPr>
          <w:rFonts w:hint="eastAsia" w:ascii="宋体" w:hAnsi="宋体"/>
          <w:sz w:val="24"/>
          <w:szCs w:val="21"/>
          <w:highlight w:val="none"/>
        </w:rPr>
        <w:t>投标文件的电子签章要求：电子投标文件必须包含完整的投标人电子签章</w:t>
      </w:r>
    </w:p>
    <w:p>
      <w:pPr>
        <w:wordWrap w:val="0"/>
        <w:spacing w:line="360" w:lineRule="auto"/>
        <w:ind w:firstLine="482" w:firstLineChars="200"/>
        <w:rPr>
          <w:rFonts w:ascii="宋体" w:hAnsi="宋体"/>
          <w:b/>
          <w:bCs/>
          <w:sz w:val="24"/>
          <w:highlight w:val="none"/>
        </w:rPr>
      </w:pPr>
      <w:r>
        <w:rPr>
          <w:rFonts w:ascii="宋体" w:hAnsi="宋体"/>
          <w:b/>
          <w:bCs/>
          <w:sz w:val="24"/>
          <w:highlight w:val="none"/>
        </w:rPr>
        <w:t>4.2</w:t>
      </w:r>
      <w:r>
        <w:rPr>
          <w:rFonts w:hint="eastAsia" w:ascii="宋体" w:hAnsi="宋体"/>
          <w:b/>
          <w:bCs/>
          <w:sz w:val="24"/>
          <w:highlight w:val="none"/>
        </w:rPr>
        <w:t>投标文件的递交和接收</w:t>
      </w:r>
    </w:p>
    <w:p>
      <w:pPr>
        <w:wordWrap w:val="0"/>
        <w:spacing w:line="360" w:lineRule="auto"/>
        <w:ind w:firstLine="480" w:firstLineChars="200"/>
        <w:rPr>
          <w:rFonts w:ascii="宋体" w:hAnsi="宋体"/>
          <w:sz w:val="24"/>
          <w:szCs w:val="24"/>
          <w:highlight w:val="none"/>
        </w:rPr>
      </w:pPr>
      <w:r>
        <w:rPr>
          <w:rFonts w:ascii="宋体" w:hAnsi="宋体"/>
          <w:sz w:val="24"/>
          <w:szCs w:val="24"/>
          <w:highlight w:val="none"/>
        </w:rPr>
        <w:t>4.2.1</w:t>
      </w:r>
      <w:r>
        <w:rPr>
          <w:rFonts w:hint="eastAsia" w:ascii="宋体" w:hAnsi="宋体"/>
          <w:sz w:val="24"/>
          <w:szCs w:val="24"/>
          <w:highlight w:val="none"/>
        </w:rPr>
        <w:t>投标人代表应按投标须知前附表所规定的时间和地点向招标人递交投标文件。</w:t>
      </w:r>
    </w:p>
    <w:p>
      <w:pPr>
        <w:wordWrap w:val="0"/>
        <w:spacing w:line="360" w:lineRule="auto"/>
        <w:ind w:firstLine="480" w:firstLineChars="200"/>
        <w:rPr>
          <w:rFonts w:ascii="宋体" w:hAnsi="宋体"/>
          <w:sz w:val="24"/>
          <w:szCs w:val="24"/>
          <w:highlight w:val="none"/>
        </w:rPr>
      </w:pPr>
      <w:r>
        <w:rPr>
          <w:rFonts w:ascii="宋体" w:hAnsi="宋体"/>
          <w:sz w:val="24"/>
          <w:szCs w:val="24"/>
          <w:highlight w:val="none"/>
        </w:rPr>
        <w:t>4.2.2</w:t>
      </w:r>
      <w:r>
        <w:rPr>
          <w:rFonts w:hint="eastAsia" w:ascii="宋体" w:hAnsi="宋体"/>
          <w:sz w:val="24"/>
          <w:szCs w:val="24"/>
          <w:highlight w:val="none"/>
        </w:rPr>
        <w:t>投标人应凭以下资料递交投标文件：</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）使用制作该投标文件的投标人电子签章认证证书；</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）投标人应使用制作该投标文件的电子签章认证证书递交投标文件。</w:t>
      </w:r>
    </w:p>
    <w:p>
      <w:pPr>
        <w:wordWrap w:val="0"/>
        <w:spacing w:line="360" w:lineRule="auto"/>
        <w:ind w:firstLine="480" w:firstLineChars="200"/>
        <w:rPr>
          <w:rFonts w:ascii="宋体" w:hAnsi="宋体"/>
          <w:sz w:val="24"/>
          <w:szCs w:val="24"/>
          <w:highlight w:val="none"/>
        </w:rPr>
      </w:pPr>
      <w:r>
        <w:rPr>
          <w:rFonts w:ascii="宋体" w:hAnsi="宋体"/>
          <w:sz w:val="24"/>
          <w:szCs w:val="24"/>
          <w:highlight w:val="none"/>
        </w:rPr>
        <w:t>4.2</w:t>
      </w:r>
      <w:r>
        <w:rPr>
          <w:rFonts w:ascii="宋体" w:hAnsi="宋体"/>
          <w:sz w:val="24"/>
          <w:highlight w:val="none"/>
        </w:rPr>
        <w:t>.3</w:t>
      </w:r>
      <w:r>
        <w:rPr>
          <w:rFonts w:hint="eastAsia" w:ascii="宋体" w:hAnsi="宋体"/>
          <w:sz w:val="24"/>
          <w:szCs w:val="24"/>
          <w:highlight w:val="none"/>
        </w:rPr>
        <w:t>若出现以下情况，招标人将拒绝接收投标文件：</w:t>
      </w:r>
    </w:p>
    <w:p>
      <w:pPr>
        <w:wordWrap w:val="0"/>
        <w:spacing w:line="360" w:lineRule="auto"/>
        <w:ind w:firstLine="480" w:firstLineChars="200"/>
        <w:rPr>
          <w:rFonts w:ascii="宋体" w:hAnsi="宋体" w:cs="仿宋_GB2312"/>
          <w:sz w:val="24"/>
          <w:szCs w:val="24"/>
          <w:highlight w:val="none"/>
          <w:u w:val="single"/>
        </w:rPr>
      </w:pPr>
      <w:r>
        <w:rPr>
          <w:rFonts w:hint="eastAsia" w:ascii="宋体" w:hAnsi="宋体" w:cs="仿宋_GB2312"/>
          <w:sz w:val="24"/>
          <w:szCs w:val="24"/>
          <w:highlight w:val="none"/>
          <w:u w:val="single"/>
        </w:rPr>
        <w:t>（</w:t>
      </w:r>
      <w:r>
        <w:rPr>
          <w:rFonts w:ascii="宋体" w:hAnsi="宋体" w:cs="仿宋_GB2312"/>
          <w:sz w:val="24"/>
          <w:szCs w:val="24"/>
          <w:highlight w:val="none"/>
          <w:u w:val="single"/>
        </w:rPr>
        <w:t>1</w:t>
      </w:r>
      <w:r>
        <w:rPr>
          <w:rFonts w:hint="eastAsia" w:ascii="宋体" w:hAnsi="宋体" w:cs="仿宋_GB2312"/>
          <w:sz w:val="24"/>
          <w:szCs w:val="24"/>
          <w:highlight w:val="none"/>
          <w:u w:val="single"/>
        </w:rPr>
        <w:t>）电子投标文件未在投标截止时间前完整上传并保存在广州交易集团有限公司（广州公共资源交易中心）电子评标系统且取得回执的；</w:t>
      </w:r>
      <w:r>
        <w:rPr>
          <w:rFonts w:ascii="宋体" w:hAnsi="宋体" w:cs="仿宋_GB2312"/>
          <w:sz w:val="24"/>
          <w:szCs w:val="24"/>
          <w:highlight w:val="none"/>
          <w:u w:val="single"/>
        </w:rPr>
        <w:t xml:space="preserve"> </w:t>
      </w:r>
    </w:p>
    <w:p>
      <w:pPr>
        <w:wordWrap w:val="0"/>
        <w:spacing w:line="360" w:lineRule="auto"/>
        <w:ind w:firstLine="480" w:firstLineChars="200"/>
        <w:rPr>
          <w:rFonts w:ascii="宋体" w:hAnsi="宋体" w:cs="仿宋_GB2312"/>
          <w:sz w:val="24"/>
          <w:szCs w:val="24"/>
          <w:highlight w:val="none"/>
          <w:u w:val="single"/>
        </w:rPr>
      </w:pPr>
      <w:r>
        <w:rPr>
          <w:rFonts w:hint="eastAsia" w:ascii="宋体" w:hAnsi="宋体" w:cs="仿宋_GB2312"/>
          <w:sz w:val="24"/>
          <w:szCs w:val="24"/>
          <w:highlight w:val="none"/>
          <w:u w:val="single"/>
        </w:rPr>
        <w:t>（</w:t>
      </w:r>
      <w:r>
        <w:rPr>
          <w:rFonts w:ascii="宋体" w:hAnsi="宋体" w:cs="仿宋_GB2312"/>
          <w:sz w:val="24"/>
          <w:szCs w:val="24"/>
          <w:highlight w:val="none"/>
          <w:u w:val="single"/>
        </w:rPr>
        <w:t>2</w:t>
      </w:r>
      <w:r>
        <w:rPr>
          <w:rFonts w:hint="eastAsia" w:ascii="宋体" w:hAnsi="宋体" w:cs="仿宋_GB2312"/>
          <w:sz w:val="24"/>
          <w:szCs w:val="24"/>
          <w:highlight w:val="none"/>
          <w:u w:val="single"/>
        </w:rPr>
        <w:t>）投标文件未按招标文件要求进行电子签章，并进行加密的；</w:t>
      </w:r>
    </w:p>
    <w:p>
      <w:pPr>
        <w:wordWrap w:val="0"/>
        <w:spacing w:line="360" w:lineRule="auto"/>
        <w:ind w:firstLine="480" w:firstLineChars="200"/>
        <w:rPr>
          <w:rFonts w:ascii="宋体" w:hAnsi="宋体" w:cs="仿宋_GB2312"/>
          <w:sz w:val="24"/>
          <w:szCs w:val="24"/>
          <w:highlight w:val="none"/>
          <w:u w:val="single"/>
        </w:rPr>
      </w:pPr>
      <w:r>
        <w:rPr>
          <w:rFonts w:ascii="宋体" w:hAnsi="宋体"/>
          <w:sz w:val="24"/>
          <w:szCs w:val="24"/>
          <w:highlight w:val="none"/>
        </w:rPr>
        <w:t>4.2.4</w:t>
      </w:r>
      <w:r>
        <w:rPr>
          <w:rFonts w:hint="eastAsia" w:ascii="宋体" w:hAnsi="宋体"/>
          <w:sz w:val="24"/>
          <w:szCs w:val="24"/>
          <w:highlight w:val="none"/>
        </w:rPr>
        <w:t>投标截止前，招标人拒绝接收符合条件的投标文件，投标人可向招标监督机构投诉。</w:t>
      </w:r>
    </w:p>
    <w:p>
      <w:pPr>
        <w:wordWrap w:val="0"/>
        <w:spacing w:line="360" w:lineRule="auto"/>
        <w:ind w:firstLine="480" w:firstLineChars="200"/>
        <w:rPr>
          <w:rFonts w:ascii="宋体" w:hAnsi="宋体"/>
          <w:b/>
          <w:bCs/>
          <w:sz w:val="24"/>
          <w:highlight w:val="none"/>
        </w:rPr>
      </w:pPr>
      <w:r>
        <w:rPr>
          <w:rFonts w:ascii="宋体" w:hAnsi="宋体"/>
          <w:sz w:val="24"/>
          <w:szCs w:val="24"/>
          <w:highlight w:val="none"/>
        </w:rPr>
        <w:t>4.3</w:t>
      </w:r>
      <w:r>
        <w:rPr>
          <w:rFonts w:hint="eastAsia" w:ascii="宋体" w:hAnsi="宋体"/>
          <w:b/>
          <w:bCs/>
          <w:sz w:val="24"/>
          <w:highlight w:val="none"/>
        </w:rPr>
        <w:t>投标文件递交的截止时间</w:t>
      </w:r>
    </w:p>
    <w:p>
      <w:pPr>
        <w:wordWrap w:val="0"/>
        <w:spacing w:line="360" w:lineRule="auto"/>
        <w:ind w:firstLine="480" w:firstLineChars="200"/>
        <w:rPr>
          <w:rFonts w:ascii="宋体" w:hAnsi="宋体"/>
          <w:b/>
          <w:bCs/>
          <w:sz w:val="24"/>
          <w:highlight w:val="none"/>
        </w:rPr>
      </w:pPr>
      <w:r>
        <w:rPr>
          <w:rFonts w:ascii="宋体" w:hAnsi="宋体"/>
          <w:sz w:val="24"/>
          <w:szCs w:val="24"/>
          <w:highlight w:val="none"/>
        </w:rPr>
        <w:t>4.3</w:t>
      </w:r>
      <w:r>
        <w:rPr>
          <w:rFonts w:ascii="宋体" w:hAnsi="宋体"/>
          <w:sz w:val="24"/>
          <w:highlight w:val="none"/>
        </w:rPr>
        <w:t>.1</w:t>
      </w:r>
      <w:r>
        <w:rPr>
          <w:rFonts w:hint="eastAsia" w:ascii="宋体" w:hAnsi="宋体"/>
          <w:sz w:val="24"/>
          <w:highlight w:val="none"/>
        </w:rPr>
        <w:t>投标人应在</w:t>
      </w:r>
      <w:r>
        <w:rPr>
          <w:rFonts w:ascii="宋体" w:hAnsi="宋体"/>
          <w:sz w:val="24"/>
          <w:highlight w:val="none"/>
        </w:rPr>
        <w:t>4.2.1</w:t>
      </w:r>
      <w:r>
        <w:rPr>
          <w:rFonts w:hint="eastAsia" w:ascii="宋体" w:hAnsi="宋体"/>
          <w:sz w:val="24"/>
          <w:highlight w:val="none"/>
        </w:rPr>
        <w:t>所述的时间前递交投标文件。截止时间以广州交易集团有限公司（广州公共资源交易中心）电子评标系统服务器从中国科学院国家授时中心取得的北京时间为准。</w:t>
      </w:r>
    </w:p>
    <w:p>
      <w:pPr>
        <w:wordWrap w:val="0"/>
        <w:spacing w:line="360" w:lineRule="auto"/>
        <w:ind w:firstLine="480" w:firstLineChars="200"/>
        <w:rPr>
          <w:rFonts w:ascii="宋体" w:hAnsi="宋体"/>
          <w:sz w:val="24"/>
          <w:highlight w:val="none"/>
          <w:u w:val="single"/>
        </w:rPr>
      </w:pPr>
      <w:r>
        <w:rPr>
          <w:rFonts w:ascii="宋体" w:hAnsi="宋体"/>
          <w:sz w:val="24"/>
          <w:szCs w:val="24"/>
          <w:highlight w:val="none"/>
        </w:rPr>
        <w:t>4.3</w:t>
      </w:r>
      <w:r>
        <w:rPr>
          <w:rFonts w:ascii="宋体" w:hAnsi="宋体"/>
          <w:sz w:val="24"/>
          <w:highlight w:val="none"/>
        </w:rPr>
        <w:t>.2</w:t>
      </w:r>
      <w:r>
        <w:rPr>
          <w:rFonts w:hint="eastAsia" w:ascii="宋体" w:hAnsi="宋体"/>
          <w:sz w:val="24"/>
          <w:highlight w:val="none"/>
          <w:u w:val="single"/>
        </w:rPr>
        <w:t>招标人可按本须知第</w:t>
      </w:r>
      <w:r>
        <w:rPr>
          <w:rFonts w:ascii="宋体" w:hAnsi="宋体"/>
          <w:sz w:val="24"/>
          <w:highlight w:val="none"/>
          <w:u w:val="single"/>
        </w:rPr>
        <w:t>2.</w:t>
      </w:r>
      <w:r>
        <w:rPr>
          <w:rFonts w:hint="eastAsia" w:ascii="宋体" w:hAnsi="宋体"/>
          <w:sz w:val="24"/>
          <w:highlight w:val="none"/>
          <w:u w:val="single"/>
        </w:rPr>
        <w:t>3条规定以招标文件修改的方式，酌情延长递交投标文件的截止时间。在此情况下，投标人的所有权利和义务以及投标人受制约的截止时间，均以延长后新的投标截止时间为准。</w:t>
      </w:r>
    </w:p>
    <w:p>
      <w:pPr>
        <w:wordWrap w:val="0"/>
        <w:spacing w:line="360" w:lineRule="auto"/>
        <w:ind w:firstLine="480" w:firstLineChars="200"/>
        <w:rPr>
          <w:rFonts w:ascii="宋体" w:hAnsi="宋体"/>
          <w:sz w:val="24"/>
          <w:highlight w:val="none"/>
        </w:rPr>
      </w:pPr>
      <w:r>
        <w:rPr>
          <w:rFonts w:ascii="宋体" w:hAnsi="宋体"/>
          <w:sz w:val="24"/>
          <w:szCs w:val="24"/>
          <w:highlight w:val="none"/>
        </w:rPr>
        <w:t>4.3</w:t>
      </w:r>
      <w:r>
        <w:rPr>
          <w:rFonts w:ascii="宋体" w:hAnsi="宋体"/>
          <w:sz w:val="24"/>
          <w:highlight w:val="none"/>
        </w:rPr>
        <w:t>.3</w:t>
      </w:r>
      <w:r>
        <w:rPr>
          <w:rFonts w:hint="eastAsia" w:ascii="宋体" w:hAnsi="宋体" w:cs="宋体"/>
          <w:sz w:val="24"/>
          <w:highlight w:val="none"/>
          <w:u w:val="single"/>
        </w:rPr>
        <w:t>当投标登记或递交投标文件或通过资格审查或经评议有效投标的投标人不足3名时，重新组织招标。</w:t>
      </w:r>
    </w:p>
    <w:p>
      <w:pPr>
        <w:wordWrap w:val="0"/>
        <w:spacing w:line="360" w:lineRule="auto"/>
        <w:ind w:firstLine="480" w:firstLineChars="200"/>
        <w:rPr>
          <w:rFonts w:ascii="宋体" w:hAnsi="宋体"/>
          <w:b/>
          <w:bCs/>
          <w:sz w:val="24"/>
          <w:highlight w:val="none"/>
        </w:rPr>
      </w:pPr>
      <w:r>
        <w:rPr>
          <w:rFonts w:ascii="宋体" w:hAnsi="宋体"/>
          <w:sz w:val="24"/>
          <w:szCs w:val="24"/>
          <w:highlight w:val="none"/>
        </w:rPr>
        <w:t>4.4</w:t>
      </w:r>
      <w:r>
        <w:rPr>
          <w:rFonts w:ascii="宋体" w:hAnsi="宋体"/>
          <w:b/>
          <w:bCs/>
          <w:sz w:val="24"/>
          <w:highlight w:val="none"/>
        </w:rPr>
        <w:t xml:space="preserve"> </w:t>
      </w:r>
      <w:r>
        <w:rPr>
          <w:rFonts w:hint="eastAsia" w:ascii="宋体" w:hAnsi="宋体"/>
          <w:b/>
          <w:bCs/>
          <w:sz w:val="24"/>
          <w:highlight w:val="none"/>
        </w:rPr>
        <w:t>迟交的投标文件</w:t>
      </w:r>
    </w:p>
    <w:p>
      <w:pPr>
        <w:wordWrap w:val="0"/>
        <w:spacing w:line="360" w:lineRule="auto"/>
        <w:ind w:firstLine="480" w:firstLineChars="200"/>
        <w:rPr>
          <w:rFonts w:ascii="宋体" w:hAnsi="宋体"/>
          <w:sz w:val="24"/>
          <w:highlight w:val="none"/>
        </w:rPr>
      </w:pPr>
      <w:r>
        <w:rPr>
          <w:rFonts w:ascii="宋体" w:hAnsi="宋体"/>
          <w:sz w:val="24"/>
          <w:szCs w:val="24"/>
          <w:highlight w:val="none"/>
        </w:rPr>
        <w:t>4.4</w:t>
      </w:r>
      <w:r>
        <w:rPr>
          <w:rFonts w:ascii="宋体" w:hAnsi="宋体"/>
          <w:sz w:val="24"/>
          <w:highlight w:val="none"/>
        </w:rPr>
        <w:t>.1</w:t>
      </w:r>
      <w:r>
        <w:rPr>
          <w:rFonts w:hint="eastAsia" w:ascii="宋体" w:hAnsi="宋体"/>
          <w:sz w:val="24"/>
          <w:highlight w:val="none"/>
        </w:rPr>
        <w:t>投标截止时间到达后，电子评标系统将不允许投标人上传投标文件。</w:t>
      </w:r>
    </w:p>
    <w:p>
      <w:pPr>
        <w:wordWrap w:val="0"/>
        <w:spacing w:line="360" w:lineRule="auto"/>
        <w:ind w:firstLine="480" w:firstLineChars="200"/>
        <w:rPr>
          <w:rFonts w:ascii="宋体" w:hAnsi="宋体"/>
          <w:b/>
          <w:bCs/>
          <w:sz w:val="24"/>
          <w:highlight w:val="none"/>
        </w:rPr>
      </w:pPr>
      <w:r>
        <w:rPr>
          <w:rFonts w:ascii="宋体" w:hAnsi="宋体"/>
          <w:sz w:val="24"/>
          <w:szCs w:val="24"/>
          <w:highlight w:val="none"/>
        </w:rPr>
        <w:t>4.5</w:t>
      </w:r>
      <w:r>
        <w:rPr>
          <w:rFonts w:ascii="宋体" w:hAnsi="宋体"/>
          <w:b/>
          <w:bCs/>
          <w:sz w:val="24"/>
          <w:highlight w:val="none"/>
        </w:rPr>
        <w:t xml:space="preserve"> </w:t>
      </w:r>
      <w:r>
        <w:rPr>
          <w:rFonts w:hint="eastAsia" w:ascii="宋体" w:hAnsi="宋体"/>
          <w:b/>
          <w:bCs/>
          <w:sz w:val="24"/>
          <w:highlight w:val="none"/>
        </w:rPr>
        <w:t>投标文件的补充、修改与撤回</w:t>
      </w:r>
    </w:p>
    <w:p>
      <w:pPr>
        <w:wordWrap w:val="0"/>
        <w:spacing w:line="360" w:lineRule="auto"/>
        <w:ind w:firstLine="480" w:firstLineChars="200"/>
        <w:rPr>
          <w:rFonts w:ascii="宋体" w:hAnsi="宋体"/>
          <w:sz w:val="24"/>
          <w:highlight w:val="none"/>
        </w:rPr>
      </w:pPr>
      <w:r>
        <w:rPr>
          <w:rFonts w:ascii="宋体" w:hAnsi="宋体"/>
          <w:sz w:val="24"/>
          <w:szCs w:val="24"/>
          <w:highlight w:val="none"/>
        </w:rPr>
        <w:t>4.5</w:t>
      </w:r>
      <w:r>
        <w:rPr>
          <w:rFonts w:ascii="宋体" w:hAnsi="宋体"/>
          <w:sz w:val="24"/>
          <w:highlight w:val="none"/>
        </w:rPr>
        <w:t xml:space="preserve">.1 </w:t>
      </w:r>
      <w:r>
        <w:rPr>
          <w:rFonts w:hint="eastAsia" w:ascii="宋体" w:hAnsi="宋体"/>
          <w:sz w:val="24"/>
          <w:highlight w:val="none"/>
        </w:rPr>
        <w:t>投标人在递交投标文件以后，在规定的投标截止时间之前，可以撤回或替换已递交的投标文件。</w:t>
      </w:r>
    </w:p>
    <w:p>
      <w:pPr>
        <w:wordWrap w:val="0"/>
        <w:spacing w:line="360" w:lineRule="auto"/>
        <w:ind w:firstLine="480" w:firstLineChars="200"/>
        <w:rPr>
          <w:rFonts w:ascii="宋体" w:hAnsi="宋体"/>
          <w:sz w:val="24"/>
          <w:highlight w:val="none"/>
        </w:rPr>
      </w:pPr>
      <w:r>
        <w:rPr>
          <w:rFonts w:ascii="宋体" w:hAnsi="宋体"/>
          <w:sz w:val="24"/>
          <w:szCs w:val="24"/>
          <w:highlight w:val="none"/>
        </w:rPr>
        <w:t>4.5</w:t>
      </w:r>
      <w:r>
        <w:rPr>
          <w:rFonts w:ascii="宋体" w:hAnsi="宋体"/>
          <w:sz w:val="24"/>
          <w:highlight w:val="none"/>
        </w:rPr>
        <w:t xml:space="preserve">.3 </w:t>
      </w:r>
      <w:r>
        <w:rPr>
          <w:rFonts w:hint="eastAsia" w:ascii="宋体" w:hAnsi="宋体"/>
          <w:sz w:val="24"/>
          <w:highlight w:val="none"/>
        </w:rPr>
        <w:t>在投标截止时间之后，投标人不得补充、修改和更换投标文件。</w:t>
      </w:r>
    </w:p>
    <w:p>
      <w:pPr>
        <w:wordWrap w:val="0"/>
        <w:snapToGrid w:val="0"/>
        <w:spacing w:line="360" w:lineRule="auto"/>
        <w:ind w:firstLine="480" w:firstLineChars="200"/>
        <w:rPr>
          <w:rFonts w:ascii="宋体" w:hAnsi="宋体"/>
          <w:sz w:val="24"/>
          <w:highlight w:val="none"/>
        </w:rPr>
      </w:pPr>
      <w:r>
        <w:rPr>
          <w:rFonts w:ascii="宋体" w:hAnsi="宋体"/>
          <w:sz w:val="24"/>
          <w:szCs w:val="24"/>
          <w:highlight w:val="none"/>
        </w:rPr>
        <w:t>4.5</w:t>
      </w:r>
      <w:r>
        <w:rPr>
          <w:rFonts w:ascii="宋体" w:hAnsi="宋体"/>
          <w:sz w:val="24"/>
          <w:highlight w:val="none"/>
        </w:rPr>
        <w:t>.4</w:t>
      </w:r>
      <w:r>
        <w:rPr>
          <w:rFonts w:hint="eastAsia" w:ascii="宋体" w:hAnsi="宋体"/>
          <w:sz w:val="24"/>
          <w:highlight w:val="none"/>
        </w:rPr>
        <w:t>在投标截止后，投标人在投标文件格式中规定的有效期终止日前，投标人不能撤回投标文件，否则其投标保证金将被没收，且招标人有权就其撤回行为报告政府主管部门载入不良信用记录。</w:t>
      </w:r>
    </w:p>
    <w:p>
      <w:pPr>
        <w:wordWrap w:val="0"/>
        <w:snapToGrid w:val="0"/>
        <w:spacing w:line="360" w:lineRule="auto"/>
        <w:ind w:firstLine="480" w:firstLineChars="200"/>
        <w:rPr>
          <w:rFonts w:ascii="宋体" w:hAnsi="宋体"/>
          <w:b/>
          <w:sz w:val="24"/>
          <w:highlight w:val="none"/>
        </w:rPr>
      </w:pPr>
      <w:r>
        <w:rPr>
          <w:rFonts w:ascii="宋体" w:hAnsi="宋体"/>
          <w:sz w:val="24"/>
          <w:szCs w:val="24"/>
          <w:highlight w:val="none"/>
        </w:rPr>
        <w:t>4.6</w:t>
      </w:r>
      <w:r>
        <w:rPr>
          <w:rFonts w:ascii="宋体" w:hAnsi="宋体"/>
          <w:b/>
          <w:sz w:val="24"/>
          <w:highlight w:val="none"/>
        </w:rPr>
        <w:t xml:space="preserve"> </w:t>
      </w:r>
      <w:r>
        <w:rPr>
          <w:rFonts w:hint="eastAsia" w:ascii="宋体" w:hAnsi="宋体"/>
          <w:b/>
          <w:sz w:val="24"/>
          <w:highlight w:val="none"/>
        </w:rPr>
        <w:t>投标信息录入</w:t>
      </w:r>
    </w:p>
    <w:p>
      <w:pPr>
        <w:wordWrap w:val="0"/>
        <w:spacing w:line="360" w:lineRule="auto"/>
        <w:ind w:firstLine="480" w:firstLineChars="200"/>
        <w:rPr>
          <w:rFonts w:ascii="宋体" w:hAnsi="宋体"/>
          <w:sz w:val="24"/>
          <w:highlight w:val="none"/>
        </w:rPr>
      </w:pPr>
      <w:r>
        <w:rPr>
          <w:rFonts w:ascii="宋体" w:hAnsi="宋体"/>
          <w:sz w:val="24"/>
          <w:szCs w:val="24"/>
          <w:highlight w:val="none"/>
        </w:rPr>
        <w:t>4.6</w:t>
      </w:r>
      <w:r>
        <w:rPr>
          <w:rFonts w:ascii="宋体" w:hAnsi="宋体"/>
          <w:sz w:val="24"/>
          <w:highlight w:val="none"/>
        </w:rPr>
        <w:t xml:space="preserve">.1 </w:t>
      </w:r>
      <w:r>
        <w:rPr>
          <w:rFonts w:hint="eastAsia" w:ascii="宋体" w:hAnsi="宋体"/>
          <w:sz w:val="24"/>
          <w:highlight w:val="none"/>
        </w:rPr>
        <w:t>投标人应在上传电子投标文件前将广州交易集团有限公司（广州公共资源交易中心）交易服务系统要求的相关信息在广州交易集团有限公司（广州公共资源交易中心）交易服务系统中录入完毕。</w:t>
      </w:r>
    </w:p>
    <w:p>
      <w:pPr>
        <w:wordWrap w:val="0"/>
        <w:spacing w:line="360" w:lineRule="auto"/>
        <w:ind w:firstLine="480" w:firstLineChars="200"/>
        <w:rPr>
          <w:rFonts w:ascii="宋体" w:hAnsi="宋体"/>
          <w:b/>
          <w:sz w:val="24"/>
          <w:highlight w:val="none"/>
        </w:rPr>
      </w:pPr>
      <w:r>
        <w:rPr>
          <w:rFonts w:ascii="宋体" w:hAnsi="宋体"/>
          <w:sz w:val="24"/>
          <w:szCs w:val="24"/>
          <w:highlight w:val="none"/>
        </w:rPr>
        <w:t>4.7</w:t>
      </w:r>
      <w:r>
        <w:rPr>
          <w:rFonts w:ascii="宋体" w:hAnsi="宋体"/>
          <w:b/>
          <w:sz w:val="24"/>
          <w:highlight w:val="none"/>
        </w:rPr>
        <w:t xml:space="preserve"> </w:t>
      </w:r>
      <w:r>
        <w:rPr>
          <w:rFonts w:hint="eastAsia" w:ascii="宋体" w:hAnsi="宋体"/>
          <w:b/>
          <w:sz w:val="24"/>
          <w:highlight w:val="none"/>
        </w:rPr>
        <w:t>投标文件的解密</w:t>
      </w:r>
    </w:p>
    <w:p>
      <w:pPr>
        <w:tabs>
          <w:tab w:val="left" w:pos="105"/>
        </w:tabs>
        <w:wordWrap w:val="0"/>
        <w:spacing w:line="360" w:lineRule="auto"/>
        <w:ind w:firstLine="480" w:firstLineChars="200"/>
        <w:rPr>
          <w:rFonts w:ascii="宋体" w:hAnsi="宋体"/>
          <w:sz w:val="24"/>
          <w:szCs w:val="24"/>
          <w:highlight w:val="none"/>
        </w:rPr>
      </w:pPr>
      <w:r>
        <w:rPr>
          <w:rFonts w:ascii="宋体" w:hAnsi="宋体"/>
          <w:sz w:val="24"/>
          <w:szCs w:val="24"/>
          <w:highlight w:val="none"/>
        </w:rPr>
        <w:t>4.7</w:t>
      </w:r>
      <w:r>
        <w:rPr>
          <w:rFonts w:ascii="宋体" w:hAnsi="宋体" w:cs="仿宋_GB2312"/>
          <w:sz w:val="24"/>
          <w:szCs w:val="24"/>
          <w:highlight w:val="none"/>
        </w:rPr>
        <w:t>.1</w:t>
      </w:r>
      <w:r>
        <w:rPr>
          <w:rFonts w:hint="eastAsia" w:ascii="宋体" w:hAnsi="宋体" w:cs="仿宋_GB2312"/>
          <w:sz w:val="24"/>
          <w:szCs w:val="24"/>
          <w:highlight w:val="none"/>
        </w:rPr>
        <w:t>投标人须对在投标须知前附表规定的时间内完成电子投标文件解密。超过时间未解密的投标文件将作为放弃投标处理。</w:t>
      </w:r>
    </w:p>
    <w:p>
      <w:pPr>
        <w:wordWrap w:val="0"/>
        <w:spacing w:line="360" w:lineRule="auto"/>
        <w:ind w:firstLine="602" w:firstLineChars="200"/>
        <w:jc w:val="center"/>
        <w:outlineLvl w:val="3"/>
        <w:rPr>
          <w:rFonts w:ascii="宋体" w:hAnsi="宋体"/>
          <w:b/>
          <w:sz w:val="30"/>
          <w:szCs w:val="30"/>
          <w:highlight w:val="none"/>
        </w:rPr>
      </w:pPr>
      <w:r>
        <w:rPr>
          <w:rFonts w:hint="eastAsia" w:ascii="宋体" w:hAnsi="宋体"/>
          <w:b/>
          <w:sz w:val="30"/>
          <w:szCs w:val="30"/>
          <w:highlight w:val="none"/>
        </w:rPr>
        <w:t>（五）开标</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 xml:space="preserve">5.1 </w:t>
      </w:r>
      <w:r>
        <w:rPr>
          <w:rFonts w:hint="eastAsia" w:ascii="宋体" w:hAnsi="宋体"/>
          <w:b/>
          <w:sz w:val="24"/>
          <w:szCs w:val="24"/>
          <w:highlight w:val="none"/>
        </w:rPr>
        <w:t>开标时间和地点</w:t>
      </w:r>
    </w:p>
    <w:p>
      <w:pPr>
        <w:tabs>
          <w:tab w:val="left" w:pos="105"/>
        </w:tabs>
        <w:wordWrap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投标人在本章第</w:t>
      </w:r>
      <w:r>
        <w:rPr>
          <w:rFonts w:ascii="宋体" w:hAnsi="宋体" w:cs="仿宋_GB2312"/>
          <w:sz w:val="24"/>
          <w:szCs w:val="24"/>
          <w:highlight w:val="none"/>
        </w:rPr>
        <w:t>4.2.1</w:t>
      </w:r>
      <w:r>
        <w:rPr>
          <w:rFonts w:hint="eastAsia" w:ascii="宋体" w:hAnsi="宋体" w:cs="仿宋_GB2312"/>
          <w:sz w:val="24"/>
          <w:szCs w:val="24"/>
          <w:highlight w:val="none"/>
        </w:rPr>
        <w:t>款规定的投标截止时间（开标时间）和投标人须知前附表规定的地点公开开标，并邀请所有投标人的法定代表人或其委托代理人准时参加。</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 xml:space="preserve">5.2 </w:t>
      </w:r>
      <w:r>
        <w:rPr>
          <w:rFonts w:hint="eastAsia" w:ascii="宋体" w:hAnsi="宋体"/>
          <w:b/>
          <w:sz w:val="24"/>
          <w:szCs w:val="24"/>
          <w:highlight w:val="none"/>
        </w:rPr>
        <w:t>开标程序</w:t>
      </w:r>
    </w:p>
    <w:p>
      <w:pPr>
        <w:tabs>
          <w:tab w:val="left" w:pos="105"/>
        </w:tabs>
        <w:wordWrap w:val="0"/>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 xml:space="preserve">5.2.1 </w:t>
      </w:r>
      <w:r>
        <w:rPr>
          <w:rFonts w:hint="eastAsia" w:ascii="宋体" w:hAnsi="宋体" w:cs="仿宋_GB2312"/>
          <w:sz w:val="24"/>
          <w:szCs w:val="24"/>
          <w:highlight w:val="none"/>
          <w:u w:val="single"/>
        </w:rPr>
        <w:t>招标人按投标须知前附表第</w:t>
      </w:r>
      <w:r>
        <w:rPr>
          <w:rFonts w:ascii="宋体" w:hAnsi="宋体" w:cs="仿宋_GB2312"/>
          <w:sz w:val="24"/>
          <w:szCs w:val="24"/>
          <w:highlight w:val="none"/>
          <w:u w:val="single"/>
        </w:rPr>
        <w:t>4.2.1</w:t>
      </w:r>
      <w:r>
        <w:rPr>
          <w:rFonts w:hint="eastAsia" w:ascii="宋体" w:hAnsi="宋体" w:cs="仿宋_GB2312"/>
          <w:sz w:val="24"/>
          <w:szCs w:val="24"/>
          <w:highlight w:val="none"/>
          <w:u w:val="single"/>
        </w:rPr>
        <w:t>项所规定的时间和地点公开开标，并邀请所有投标人参加，不参加视为认可唱标结果。开标方式采用电子开标和现场开标两种模式，投标人可选择在开标室参与开标或准时在线参加开标。参加在线开标的投标人登录交易平台实时查看开标、唱标情况。交易平台生成开标记录并向社会公众公布。</w:t>
      </w:r>
    </w:p>
    <w:p>
      <w:pPr>
        <w:tabs>
          <w:tab w:val="left" w:pos="105"/>
        </w:tabs>
        <w:wordWrap w:val="0"/>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5.2.2</w:t>
      </w:r>
      <w:r>
        <w:rPr>
          <w:rFonts w:hint="eastAsia" w:ascii="宋体" w:hAnsi="宋体" w:cs="仿宋_GB2312"/>
          <w:sz w:val="24"/>
          <w:szCs w:val="24"/>
          <w:highlight w:val="none"/>
        </w:rPr>
        <w:t>唱标前公开摇取评标基准价下浮率（下浮率取值范围在</w:t>
      </w:r>
      <w:r>
        <w:rPr>
          <w:rFonts w:ascii="宋体" w:hAnsi="宋体" w:cs="仿宋_GB2312"/>
          <w:sz w:val="24"/>
          <w:szCs w:val="24"/>
          <w:highlight w:val="none"/>
        </w:rPr>
        <w:t>2%~5%</w:t>
      </w:r>
      <w:r>
        <w:rPr>
          <w:rFonts w:hint="eastAsia" w:ascii="宋体" w:hAnsi="宋体" w:cs="仿宋_GB2312"/>
          <w:sz w:val="24"/>
          <w:szCs w:val="24"/>
          <w:highlight w:val="none"/>
        </w:rPr>
        <w:t>，按</w:t>
      </w:r>
      <w:r>
        <w:rPr>
          <w:rFonts w:ascii="宋体" w:hAnsi="宋体" w:cs="仿宋_GB2312"/>
          <w:sz w:val="24"/>
          <w:szCs w:val="24"/>
          <w:highlight w:val="none"/>
        </w:rPr>
        <w:t>0.5%</w:t>
      </w:r>
      <w:r>
        <w:rPr>
          <w:rFonts w:hint="eastAsia" w:ascii="宋体" w:hAnsi="宋体" w:cs="仿宋_GB2312"/>
          <w:sz w:val="24"/>
          <w:szCs w:val="24"/>
          <w:highlight w:val="none"/>
        </w:rPr>
        <w:t>设定级差）（</w:t>
      </w:r>
      <w:r>
        <w:rPr>
          <w:rFonts w:hint="eastAsia" w:ascii="宋体" w:hAnsi="宋体"/>
          <w:sz w:val="24"/>
          <w:szCs w:val="24"/>
          <w:highlight w:val="none"/>
        </w:rPr>
        <w:t>经评审的最低投标价法</w:t>
      </w:r>
      <w:r>
        <w:rPr>
          <w:rFonts w:hint="eastAsia" w:ascii="宋体" w:hAnsi="宋体" w:cs="仿宋_GB2312"/>
          <w:sz w:val="24"/>
          <w:szCs w:val="24"/>
          <w:highlight w:val="none"/>
        </w:rPr>
        <w:t>不需要摇评标基准价下浮率）。</w:t>
      </w:r>
    </w:p>
    <w:p>
      <w:pPr>
        <w:tabs>
          <w:tab w:val="left" w:pos="105"/>
        </w:tabs>
        <w:wordWrap w:val="0"/>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 xml:space="preserve">5.2.3 </w:t>
      </w:r>
      <w:r>
        <w:rPr>
          <w:rFonts w:hint="eastAsia" w:ascii="宋体" w:hAnsi="宋体" w:cs="仿宋_GB2312"/>
          <w:sz w:val="24"/>
          <w:szCs w:val="24"/>
          <w:highlight w:val="none"/>
        </w:rPr>
        <w:t>招标人在招标文件要求的递交投标文件截止时间前收到的投标文件，在</w:t>
      </w:r>
      <w:r>
        <w:rPr>
          <w:rFonts w:hint="eastAsia" w:ascii="宋体" w:hAnsi="宋体" w:cs="仿宋_GB2312"/>
          <w:sz w:val="24"/>
          <w:szCs w:val="24"/>
          <w:highlight w:val="none"/>
          <w:u w:val="single"/>
        </w:rPr>
        <w:t>规定时间</w:t>
      </w:r>
      <w:r>
        <w:rPr>
          <w:rFonts w:hint="eastAsia" w:ascii="宋体" w:hAnsi="宋体" w:cs="仿宋_GB2312"/>
          <w:sz w:val="24"/>
          <w:szCs w:val="24"/>
          <w:highlight w:val="none"/>
        </w:rPr>
        <w:t>前未完成投标人解密的，其</w:t>
      </w:r>
      <w:r>
        <w:rPr>
          <w:rFonts w:hint="eastAsia" w:ascii="宋体" w:hAnsi="宋体"/>
          <w:sz w:val="24"/>
          <w:szCs w:val="24"/>
          <w:highlight w:val="none"/>
        </w:rPr>
        <w:t>视为投标人放弃投标。</w:t>
      </w:r>
    </w:p>
    <w:p>
      <w:pPr>
        <w:tabs>
          <w:tab w:val="left" w:pos="105"/>
        </w:tabs>
        <w:wordWrap w:val="0"/>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5.2.4</w:t>
      </w:r>
      <w:r>
        <w:rPr>
          <w:rFonts w:hint="eastAsia" w:ascii="宋体" w:hAnsi="宋体" w:cs="仿宋_GB2312"/>
          <w:sz w:val="24"/>
          <w:szCs w:val="24"/>
          <w:highlight w:val="none"/>
        </w:rPr>
        <w:t>招标人在开标开始时间后，使用制作该招标文件的机构业务数字证书对所有投标人电子投标文件进行招标人解密。</w:t>
      </w:r>
    </w:p>
    <w:p>
      <w:pPr>
        <w:tabs>
          <w:tab w:val="left" w:pos="105"/>
        </w:tabs>
        <w:wordWrap w:val="0"/>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5.2.5</w:t>
      </w:r>
      <w:r>
        <w:rPr>
          <w:rFonts w:hint="eastAsia" w:ascii="宋体" w:hAnsi="宋体" w:cs="仿宋_GB2312"/>
          <w:sz w:val="24"/>
          <w:szCs w:val="24"/>
          <w:highlight w:val="none"/>
        </w:rPr>
        <w:t>招标人完成解密后按开标记录表规定的内容进行唱标。</w:t>
      </w:r>
    </w:p>
    <w:p>
      <w:pPr>
        <w:tabs>
          <w:tab w:val="left" w:pos="105"/>
        </w:tabs>
        <w:wordWrap w:val="0"/>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5.2.6</w:t>
      </w:r>
      <w:r>
        <w:rPr>
          <w:rFonts w:hint="eastAsia" w:ascii="宋体" w:hAnsi="宋体" w:cs="仿宋_GB2312"/>
          <w:sz w:val="24"/>
          <w:szCs w:val="24"/>
          <w:highlight w:val="none"/>
        </w:rPr>
        <w:t>唱标结束，参与开标的招标人、招标代理、投标人及有关人员对开标记录表进行签字确认。</w:t>
      </w:r>
    </w:p>
    <w:p>
      <w:pPr>
        <w:tabs>
          <w:tab w:val="left" w:pos="105"/>
        </w:tabs>
        <w:wordWrap w:val="0"/>
        <w:spacing w:line="360" w:lineRule="auto"/>
        <w:ind w:firstLine="480" w:firstLineChars="200"/>
        <w:rPr>
          <w:rFonts w:ascii="宋体" w:hAnsi="宋体" w:cs="仿宋_GB2312"/>
          <w:strike/>
          <w:sz w:val="24"/>
          <w:szCs w:val="24"/>
          <w:highlight w:val="none"/>
        </w:rPr>
      </w:pPr>
      <w:r>
        <w:rPr>
          <w:rFonts w:ascii="宋体" w:hAnsi="宋体" w:cs="仿宋_GB2312"/>
          <w:strike/>
          <w:sz w:val="24"/>
          <w:szCs w:val="24"/>
          <w:highlight w:val="none"/>
        </w:rPr>
        <w:t>5.2.7</w:t>
      </w:r>
      <w:r>
        <w:rPr>
          <w:rFonts w:hint="eastAsia" w:ascii="宋体" w:hAnsi="宋体" w:cs="仿宋_GB2312"/>
          <w:strike/>
          <w:sz w:val="24"/>
          <w:szCs w:val="24"/>
          <w:highlight w:val="none"/>
        </w:rPr>
        <w:t>投标人没有按要求提供投标保证金的，其投标无效，不参与排序和资格审查。</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 xml:space="preserve">5.3 </w:t>
      </w:r>
      <w:r>
        <w:rPr>
          <w:rFonts w:hint="eastAsia" w:ascii="宋体" w:hAnsi="宋体"/>
          <w:b/>
          <w:sz w:val="24"/>
          <w:szCs w:val="24"/>
          <w:highlight w:val="none"/>
        </w:rPr>
        <w:t>开标异议</w:t>
      </w:r>
    </w:p>
    <w:p>
      <w:pPr>
        <w:pStyle w:val="19"/>
        <w:shd w:val="clear" w:color="auto" w:fill="FFFFFF"/>
        <w:wordWrap w:val="0"/>
        <w:spacing w:before="0" w:beforeAutospacing="0" w:after="0" w:afterAutospacing="0" w:line="360" w:lineRule="auto"/>
        <w:ind w:firstLine="480" w:firstLineChars="200"/>
        <w:rPr>
          <w:rFonts w:ascii="宋体" w:hAnsi="宋体"/>
          <w:highlight w:val="none"/>
          <w:u w:val="single"/>
        </w:rPr>
      </w:pPr>
      <w:r>
        <w:rPr>
          <w:rFonts w:ascii="宋体" w:hAnsi="宋体"/>
          <w:highlight w:val="none"/>
        </w:rPr>
        <w:t>5.3.1</w:t>
      </w:r>
      <w:r>
        <w:rPr>
          <w:rFonts w:hint="eastAsia" w:ascii="宋体" w:hAnsi="宋体"/>
          <w:highlight w:val="none"/>
          <w:u w:val="single"/>
        </w:rPr>
        <w:t>投标人对开标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widowControl/>
        <w:shd w:val="clear" w:color="auto" w:fill="FFFFFF"/>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5.3.2</w:t>
      </w:r>
      <w:r>
        <w:rPr>
          <w:rFonts w:hint="eastAsia" w:ascii="宋体" w:hAnsi="宋体" w:cs="宋体"/>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p>
    <w:p>
      <w:pPr>
        <w:widowControl/>
        <w:shd w:val="clear" w:color="auto" w:fill="FFFFFF"/>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5.3.3</w:t>
      </w:r>
      <w:r>
        <w:rPr>
          <w:rFonts w:hint="eastAsia" w:ascii="宋体" w:hAnsi="宋体" w:cs="宋体"/>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p>
    <w:p>
      <w:pPr>
        <w:pStyle w:val="2"/>
        <w:wordWrap w:val="0"/>
        <w:spacing w:after="0"/>
        <w:ind w:firstLine="480" w:firstLineChars="200"/>
        <w:rPr>
          <w:rFonts w:ascii="宋体" w:hAnsi="宋体" w:cs="宋体"/>
          <w:color w:val="auto"/>
          <w:szCs w:val="24"/>
          <w:highlight w:val="none"/>
        </w:rPr>
      </w:pPr>
      <w:r>
        <w:rPr>
          <w:rFonts w:hint="eastAsia" w:ascii="宋体" w:hAnsi="宋体" w:cs="宋体"/>
          <w:color w:val="auto"/>
          <w:szCs w:val="24"/>
          <w:highlight w:val="none"/>
        </w:rPr>
        <w:t>5.3.4</w:t>
      </w:r>
      <w:r>
        <w:rPr>
          <w:rFonts w:hint="eastAsia" w:ascii="宋体" w:hAnsi="宋体" w:cs="宋体"/>
          <w:color w:val="auto"/>
          <w:szCs w:val="24"/>
          <w:highlight w:val="none"/>
          <w:u w:val="singl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tabs>
          <w:tab w:val="left" w:pos="105"/>
        </w:tabs>
        <w:wordWrap w:val="0"/>
        <w:spacing w:line="360" w:lineRule="auto"/>
        <w:ind w:firstLine="482" w:firstLineChars="200"/>
        <w:rPr>
          <w:rFonts w:ascii="宋体" w:hAnsi="宋体" w:cs="仿宋_GB2312"/>
          <w:b/>
          <w:sz w:val="24"/>
          <w:szCs w:val="24"/>
          <w:highlight w:val="none"/>
        </w:rPr>
      </w:pPr>
      <w:r>
        <w:rPr>
          <w:rFonts w:ascii="宋体" w:hAnsi="宋体" w:cs="仿宋_GB2312"/>
          <w:b/>
          <w:sz w:val="24"/>
          <w:szCs w:val="24"/>
          <w:highlight w:val="none"/>
        </w:rPr>
        <w:t>5.4</w:t>
      </w:r>
      <w:r>
        <w:rPr>
          <w:rFonts w:hint="eastAsia" w:ascii="宋体" w:hAnsi="宋体" w:cs="仿宋_GB2312"/>
          <w:b/>
          <w:sz w:val="24"/>
          <w:szCs w:val="24"/>
          <w:highlight w:val="none"/>
        </w:rPr>
        <w:t>开标时，出现下列情形之一的，不参与资格审查和评标：</w:t>
      </w:r>
    </w:p>
    <w:p>
      <w:pPr>
        <w:tabs>
          <w:tab w:val="left" w:pos="105"/>
        </w:tabs>
        <w:wordWrap w:val="0"/>
        <w:spacing w:line="360" w:lineRule="auto"/>
        <w:ind w:firstLine="480" w:firstLineChars="200"/>
        <w:rPr>
          <w:rFonts w:ascii="宋体" w:hAnsi="宋体" w:cs="仿宋_GB2312"/>
          <w:sz w:val="24"/>
          <w:szCs w:val="24"/>
          <w:highlight w:val="none"/>
          <w:u w:val="single"/>
        </w:rPr>
      </w:pPr>
      <w:r>
        <w:rPr>
          <w:rFonts w:ascii="宋体" w:hAnsi="宋体" w:cs="仿宋_GB2312"/>
          <w:sz w:val="24"/>
          <w:szCs w:val="24"/>
          <w:highlight w:val="none"/>
          <w:u w:val="single"/>
        </w:rPr>
        <w:t>5.4.1</w:t>
      </w:r>
      <w:r>
        <w:rPr>
          <w:rFonts w:hint="eastAsia" w:ascii="宋体" w:hAnsi="宋体" w:cs="仿宋_GB2312"/>
          <w:sz w:val="24"/>
          <w:szCs w:val="24"/>
          <w:highlight w:val="none"/>
          <w:u w:val="single"/>
        </w:rPr>
        <w:t>因投标人原因造成电子投标文件未解密或逾期解密的</w:t>
      </w:r>
      <w:r>
        <w:rPr>
          <w:rFonts w:hint="eastAsia" w:ascii="宋体" w:hAnsi="宋体" w:cs="宋体"/>
          <w:kern w:val="0"/>
          <w:sz w:val="24"/>
          <w:szCs w:val="24"/>
          <w:highlight w:val="none"/>
          <w:u w:val="single"/>
        </w:rPr>
        <w:t>。</w:t>
      </w:r>
    </w:p>
    <w:p>
      <w:pPr>
        <w:wordWrap w:val="0"/>
        <w:spacing w:line="360" w:lineRule="auto"/>
        <w:jc w:val="center"/>
        <w:outlineLvl w:val="3"/>
        <w:rPr>
          <w:rFonts w:ascii="宋体" w:hAnsi="宋体"/>
          <w:b/>
          <w:sz w:val="30"/>
          <w:szCs w:val="30"/>
          <w:highlight w:val="none"/>
        </w:rPr>
      </w:pPr>
      <w:r>
        <w:rPr>
          <w:rFonts w:hint="eastAsia" w:ascii="宋体" w:hAnsi="宋体"/>
          <w:b/>
          <w:sz w:val="30"/>
          <w:szCs w:val="30"/>
          <w:highlight w:val="none"/>
        </w:rPr>
        <w:t>（六）评标</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6.1 </w:t>
      </w:r>
      <w:r>
        <w:rPr>
          <w:rFonts w:hint="eastAsia" w:ascii="宋体" w:hAnsi="宋体"/>
          <w:b/>
          <w:sz w:val="24"/>
          <w:highlight w:val="none"/>
        </w:rPr>
        <w:t>评标委员会</w:t>
      </w:r>
    </w:p>
    <w:p>
      <w:pPr>
        <w:wordWrap w:val="0"/>
        <w:spacing w:line="360" w:lineRule="auto"/>
        <w:ind w:firstLine="480" w:firstLineChars="200"/>
        <w:rPr>
          <w:rFonts w:ascii="宋体" w:hAnsi="宋体"/>
          <w:sz w:val="24"/>
          <w:szCs w:val="24"/>
          <w:highlight w:val="none"/>
        </w:rPr>
      </w:pPr>
      <w:r>
        <w:rPr>
          <w:rFonts w:ascii="宋体" w:hAnsi="宋体"/>
          <w:sz w:val="24"/>
          <w:highlight w:val="none"/>
        </w:rPr>
        <w:t>6.1.1</w:t>
      </w:r>
      <w:r>
        <w:rPr>
          <w:rFonts w:hint="eastAsia" w:ascii="宋体" w:hAnsi="宋体"/>
          <w:sz w:val="24"/>
          <w:highlight w:val="none"/>
          <w:u w:val="single"/>
        </w:rPr>
        <w:t>评标由招标人依法组建的评标委员会负责。评标委员会由有关技术、经济等方面的专家组成，专家从广东省综合评标评审专家库中随机抽取。评标委员会成员人数以及技术、经济等方面专家的确定方式见投标人须知前附表。</w:t>
      </w:r>
    </w:p>
    <w:p>
      <w:pPr>
        <w:wordWrap w:val="0"/>
        <w:snapToGrid w:val="0"/>
        <w:spacing w:line="360" w:lineRule="auto"/>
        <w:ind w:firstLine="480" w:firstLineChars="200"/>
        <w:rPr>
          <w:rFonts w:ascii="宋体" w:hAnsi="宋体"/>
          <w:sz w:val="24"/>
          <w:highlight w:val="none"/>
        </w:rPr>
      </w:pPr>
      <w:r>
        <w:rPr>
          <w:rFonts w:ascii="宋体" w:hAnsi="宋体"/>
          <w:sz w:val="24"/>
          <w:highlight w:val="none"/>
        </w:rPr>
        <w:t xml:space="preserve">6.1.2 </w:t>
      </w:r>
      <w:r>
        <w:rPr>
          <w:rFonts w:hint="eastAsia" w:ascii="宋体" w:hAnsi="宋体"/>
          <w:sz w:val="24"/>
          <w:highlight w:val="none"/>
        </w:rPr>
        <w:t>评标委员会成员有下列情形之一的，应当回避：</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）招标人或投标人的主要负责人的近亲属；</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）项目主管部门或者行政监督部门的人员；</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）与投标人有经济利益关系，可能影响对投标公正评审的；</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）曾因在招标、评标以及其他与招标投标有关活动中从事违法行为而受过行政处罚或刑事处罚的。</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）与投标人有其他利害关系。</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6.2 </w:t>
      </w:r>
      <w:r>
        <w:rPr>
          <w:rFonts w:hint="eastAsia" w:ascii="宋体" w:hAnsi="宋体"/>
          <w:b/>
          <w:sz w:val="24"/>
          <w:highlight w:val="none"/>
        </w:rPr>
        <w:t>评标原则</w:t>
      </w:r>
      <w:r>
        <w:rPr>
          <w:rFonts w:ascii="宋体" w:hAnsi="宋体"/>
          <w:b/>
          <w:sz w:val="24"/>
          <w:highlight w:val="none"/>
        </w:rPr>
        <w:tab/>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评标活动遵循公平、公正、科学和择优的原则。</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6.3 </w:t>
      </w:r>
      <w:r>
        <w:rPr>
          <w:rFonts w:hint="eastAsia" w:ascii="宋体" w:hAnsi="宋体"/>
          <w:b/>
          <w:sz w:val="24"/>
          <w:highlight w:val="none"/>
        </w:rPr>
        <w:t>评标</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评标委员会按照第三章“评标办法”规定的方法、评审因素、标准和程序对投标文件进行评审。第三章“评标办法”没有规定的方法、评审因素和标准，不作为评标依据。</w:t>
      </w:r>
    </w:p>
    <w:p>
      <w:pPr>
        <w:wordWrap w:val="0"/>
        <w:spacing w:line="360" w:lineRule="auto"/>
        <w:ind w:firstLine="602" w:firstLineChars="200"/>
        <w:jc w:val="center"/>
        <w:outlineLvl w:val="3"/>
        <w:rPr>
          <w:rFonts w:ascii="宋体" w:hAnsi="宋体"/>
          <w:b/>
          <w:sz w:val="30"/>
          <w:szCs w:val="30"/>
          <w:highlight w:val="none"/>
        </w:rPr>
      </w:pPr>
      <w:r>
        <w:rPr>
          <w:rFonts w:hint="eastAsia" w:ascii="宋体" w:hAnsi="宋体"/>
          <w:b/>
          <w:sz w:val="30"/>
          <w:szCs w:val="30"/>
          <w:highlight w:val="none"/>
        </w:rPr>
        <w:t>（七）合同授予</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7.1 </w:t>
      </w:r>
      <w:r>
        <w:rPr>
          <w:rFonts w:hint="eastAsia" w:ascii="宋体" w:hAnsi="宋体"/>
          <w:b/>
          <w:sz w:val="24"/>
          <w:highlight w:val="none"/>
        </w:rPr>
        <w:t>定标方式</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招标人根据评标委员会推荐的中标候选人确定中标人，评标委员会推荐中标候选人的人数为</w:t>
      </w:r>
      <w:r>
        <w:rPr>
          <w:rFonts w:ascii="宋体" w:hAnsi="宋体"/>
          <w:sz w:val="24"/>
          <w:highlight w:val="none"/>
        </w:rPr>
        <w:t>3</w:t>
      </w:r>
      <w:r>
        <w:rPr>
          <w:rFonts w:hint="eastAsia" w:ascii="宋体" w:hAnsi="宋体"/>
          <w:sz w:val="24"/>
          <w:highlight w:val="none"/>
        </w:rPr>
        <w:t>个。</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7.2 </w:t>
      </w:r>
      <w:r>
        <w:rPr>
          <w:rFonts w:hint="eastAsia" w:ascii="宋体" w:hAnsi="宋体"/>
          <w:b/>
          <w:sz w:val="24"/>
          <w:highlight w:val="none"/>
        </w:rPr>
        <w:t>中标候选人公示</w:t>
      </w:r>
    </w:p>
    <w:p>
      <w:pPr>
        <w:wordWrap w:val="0"/>
        <w:spacing w:line="360" w:lineRule="auto"/>
        <w:ind w:firstLine="480" w:firstLineChars="200"/>
        <w:jc w:val="left"/>
        <w:rPr>
          <w:rFonts w:ascii="宋体" w:hAnsi="宋体"/>
          <w:sz w:val="24"/>
          <w:highlight w:val="none"/>
        </w:rPr>
      </w:pPr>
      <w:r>
        <w:rPr>
          <w:rFonts w:ascii="宋体" w:hAnsi="宋体"/>
          <w:sz w:val="24"/>
          <w:highlight w:val="none"/>
        </w:rPr>
        <w:t>7.2.1</w:t>
      </w:r>
      <w:r>
        <w:rPr>
          <w:rFonts w:hint="eastAsia" w:ascii="宋体" w:hAnsi="宋体" w:cs="宋体"/>
          <w:sz w:val="24"/>
          <w:highlight w:val="none"/>
          <w:u w:val="single"/>
        </w:rPr>
        <w:t>招标人在《投标人须知前附表》规定的媒介公示中标候选人，公示期为三天，最后一天应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wordWrap w:val="0"/>
        <w:snapToGrid w:val="0"/>
        <w:spacing w:line="360" w:lineRule="auto"/>
        <w:ind w:firstLine="480" w:firstLineChars="200"/>
        <w:rPr>
          <w:rFonts w:ascii="宋体" w:hAnsi="宋体"/>
          <w:sz w:val="24"/>
          <w:highlight w:val="none"/>
        </w:rPr>
      </w:pPr>
      <w:r>
        <w:rPr>
          <w:rFonts w:ascii="宋体" w:hAnsi="宋体"/>
          <w:sz w:val="24"/>
          <w:highlight w:val="none"/>
        </w:rPr>
        <w:t>7.2.2</w:t>
      </w:r>
      <w:r>
        <w:rPr>
          <w:rFonts w:hint="eastAsia" w:ascii="宋体" w:hAnsi="宋体"/>
          <w:sz w:val="24"/>
          <w:highlight w:val="none"/>
        </w:rPr>
        <w:t>中标候选人公示时，招标人将同时公示中标候选人的投标文件商务部分文件的所有内容（包括人员、业绩、奖项等资料）。</w:t>
      </w:r>
    </w:p>
    <w:p>
      <w:pPr>
        <w:wordWrap w:val="0"/>
        <w:snapToGrid w:val="0"/>
        <w:spacing w:line="360" w:lineRule="auto"/>
        <w:ind w:firstLine="480" w:firstLineChars="200"/>
        <w:rPr>
          <w:rFonts w:ascii="宋体" w:hAnsi="宋体"/>
          <w:sz w:val="24"/>
          <w:highlight w:val="none"/>
        </w:rPr>
      </w:pPr>
      <w:r>
        <w:rPr>
          <w:rFonts w:ascii="宋体" w:hAnsi="宋体"/>
          <w:sz w:val="24"/>
          <w:highlight w:val="none"/>
        </w:rPr>
        <w:t>7.2.3</w:t>
      </w:r>
      <w:r>
        <w:rPr>
          <w:rFonts w:hint="eastAsia"/>
          <w:sz w:val="24"/>
          <w:highlight w:val="none"/>
        </w:rPr>
        <w:t>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7.3 </w:t>
      </w:r>
      <w:r>
        <w:rPr>
          <w:rFonts w:hint="eastAsia" w:ascii="宋体" w:hAnsi="宋体"/>
          <w:b/>
          <w:sz w:val="24"/>
          <w:highlight w:val="none"/>
        </w:rPr>
        <w:t>中标通知</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在法规规定的时间内，招标人以书面形式向中标人发出中标通知书。在</w:t>
      </w:r>
      <w:r>
        <w:rPr>
          <w:rFonts w:hint="eastAsia" w:ascii="宋体" w:hAnsi="宋体"/>
          <w:sz w:val="24"/>
          <w:szCs w:val="24"/>
          <w:highlight w:val="none"/>
        </w:rPr>
        <w:t>广州公共资源交易网</w:t>
      </w:r>
      <w:r>
        <w:rPr>
          <w:rFonts w:hint="eastAsia" w:ascii="宋体" w:hAnsi="宋体"/>
          <w:sz w:val="24"/>
          <w:highlight w:val="none"/>
        </w:rPr>
        <w:t>发布中标信息，视同将中标结果通知未中标的投标人。</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7.4 </w:t>
      </w:r>
      <w:r>
        <w:rPr>
          <w:rFonts w:hint="eastAsia" w:ascii="宋体" w:hAnsi="宋体"/>
          <w:b/>
          <w:sz w:val="24"/>
          <w:highlight w:val="none"/>
        </w:rPr>
        <w:t>履约担保</w:t>
      </w:r>
    </w:p>
    <w:p>
      <w:pPr>
        <w:wordWrap w:val="0"/>
        <w:snapToGrid w:val="0"/>
        <w:spacing w:line="360" w:lineRule="auto"/>
        <w:ind w:firstLine="480" w:firstLineChars="200"/>
        <w:rPr>
          <w:rFonts w:ascii="宋体" w:hAnsi="宋体"/>
          <w:sz w:val="24"/>
          <w:highlight w:val="none"/>
        </w:rPr>
      </w:pPr>
      <w:r>
        <w:rPr>
          <w:rFonts w:ascii="宋体" w:hAnsi="宋体"/>
          <w:sz w:val="24"/>
          <w:highlight w:val="none"/>
        </w:rPr>
        <w:t>7.4.1</w:t>
      </w:r>
      <w:r>
        <w:rPr>
          <w:rFonts w:hint="eastAsia" w:ascii="宋体" w:hAnsi="宋体"/>
          <w:sz w:val="24"/>
          <w:highlight w:val="none"/>
          <w:u w:val="single"/>
        </w:rPr>
        <w:t>在本合同签订后28天内，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pPr>
        <w:wordWrap w:val="0"/>
        <w:snapToGrid w:val="0"/>
        <w:spacing w:line="360" w:lineRule="auto"/>
        <w:ind w:firstLine="480" w:firstLineChars="200"/>
        <w:rPr>
          <w:rFonts w:ascii="宋体" w:hAnsi="宋体"/>
          <w:sz w:val="24"/>
          <w:highlight w:val="none"/>
        </w:rPr>
      </w:pPr>
      <w:r>
        <w:rPr>
          <w:rFonts w:ascii="宋体" w:hAnsi="宋体"/>
          <w:sz w:val="24"/>
          <w:highlight w:val="none"/>
        </w:rPr>
        <w:t xml:space="preserve">7.4.2 </w:t>
      </w:r>
      <w:r>
        <w:rPr>
          <w:rFonts w:hint="eastAsia" w:ascii="宋体" w:hAnsi="宋体"/>
          <w:sz w:val="24"/>
          <w:highlight w:val="none"/>
        </w:rPr>
        <w:t>中标人不能按本章第</w:t>
      </w:r>
      <w:r>
        <w:rPr>
          <w:rFonts w:ascii="宋体" w:hAnsi="宋体"/>
          <w:sz w:val="24"/>
          <w:highlight w:val="none"/>
        </w:rPr>
        <w:t>7.4.1</w:t>
      </w:r>
      <w:r>
        <w:rPr>
          <w:rFonts w:hint="eastAsia" w:ascii="宋体" w:hAnsi="宋体"/>
          <w:sz w:val="24"/>
          <w:highlight w:val="none"/>
        </w:rPr>
        <w:t>项要求提交履约担保的，视为放弃中标，其投标保证金不予退还，给招标人造成的损失超过投标保证金数额的，中标人还应当对超过部分予以赔偿。</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7.5 </w:t>
      </w:r>
      <w:r>
        <w:rPr>
          <w:rFonts w:hint="eastAsia" w:ascii="宋体" w:hAnsi="宋体"/>
          <w:b/>
          <w:sz w:val="24"/>
          <w:highlight w:val="none"/>
        </w:rPr>
        <w:t>签订合同</w:t>
      </w:r>
    </w:p>
    <w:p>
      <w:pPr>
        <w:wordWrap w:val="0"/>
        <w:snapToGrid w:val="0"/>
        <w:spacing w:line="360" w:lineRule="auto"/>
        <w:ind w:firstLine="480" w:firstLineChars="200"/>
        <w:rPr>
          <w:rFonts w:ascii="宋体" w:hAnsi="宋体"/>
          <w:sz w:val="24"/>
          <w:highlight w:val="none"/>
        </w:rPr>
      </w:pPr>
      <w:r>
        <w:rPr>
          <w:rFonts w:ascii="宋体" w:hAnsi="宋体"/>
          <w:sz w:val="24"/>
          <w:highlight w:val="none"/>
        </w:rPr>
        <w:t>7.5.1</w:t>
      </w:r>
      <w:r>
        <w:rPr>
          <w:rFonts w:hint="eastAsia" w:ascii="宋体" w:hAnsi="宋体"/>
          <w:sz w:val="24"/>
          <w:highlight w:val="none"/>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ordWrap w:val="0"/>
        <w:snapToGrid w:val="0"/>
        <w:spacing w:line="360" w:lineRule="auto"/>
        <w:ind w:firstLine="480" w:firstLineChars="200"/>
        <w:rPr>
          <w:rFonts w:ascii="宋体" w:hAnsi="宋体"/>
          <w:sz w:val="24"/>
          <w:highlight w:val="none"/>
        </w:rPr>
      </w:pPr>
      <w:r>
        <w:rPr>
          <w:rFonts w:ascii="宋体" w:hAnsi="宋体"/>
          <w:sz w:val="24"/>
          <w:highlight w:val="none"/>
        </w:rPr>
        <w:t xml:space="preserve">7.5.2 </w:t>
      </w:r>
      <w:r>
        <w:rPr>
          <w:rFonts w:hint="eastAsia" w:ascii="宋体" w:hAnsi="宋体"/>
          <w:sz w:val="24"/>
          <w:highlight w:val="none"/>
        </w:rPr>
        <w:t>发出中标通知书后，招标人无正当理由拒签合同的，招标人向中标人退还投标保证金；给中标人造成损失的，还应当赔偿损失。</w:t>
      </w:r>
    </w:p>
    <w:p>
      <w:pPr>
        <w:wordWrap w:val="0"/>
        <w:spacing w:line="360" w:lineRule="auto"/>
        <w:ind w:firstLine="602" w:firstLineChars="200"/>
        <w:jc w:val="center"/>
        <w:outlineLvl w:val="3"/>
        <w:rPr>
          <w:rFonts w:ascii="宋体" w:hAnsi="宋体"/>
          <w:b/>
          <w:sz w:val="30"/>
          <w:szCs w:val="30"/>
          <w:highlight w:val="none"/>
        </w:rPr>
      </w:pPr>
      <w:r>
        <w:rPr>
          <w:rFonts w:hint="eastAsia" w:ascii="宋体" w:hAnsi="宋体"/>
          <w:b/>
          <w:sz w:val="30"/>
          <w:szCs w:val="30"/>
          <w:highlight w:val="none"/>
        </w:rPr>
        <w:t>（八）重新招标</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8.1 </w:t>
      </w:r>
      <w:r>
        <w:rPr>
          <w:rFonts w:hint="eastAsia" w:ascii="宋体" w:hAnsi="宋体"/>
          <w:b/>
          <w:sz w:val="24"/>
          <w:highlight w:val="none"/>
        </w:rPr>
        <w:t>重新招标</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有下列情形之一的，招标人将重新招标；</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）投标截止时间止，投标人少于</w:t>
      </w:r>
      <w:r>
        <w:rPr>
          <w:rFonts w:ascii="宋体" w:hAnsi="宋体"/>
          <w:sz w:val="24"/>
          <w:highlight w:val="none"/>
        </w:rPr>
        <w:t>3</w:t>
      </w:r>
      <w:r>
        <w:rPr>
          <w:rFonts w:hint="eastAsia" w:ascii="宋体" w:hAnsi="宋体"/>
          <w:sz w:val="24"/>
          <w:highlight w:val="none"/>
        </w:rPr>
        <w:t>个的；</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）经评标委员会评审后否决所有投标的；</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）资审合格的投标人少于</w:t>
      </w:r>
      <w:r>
        <w:rPr>
          <w:rFonts w:ascii="宋体" w:hAnsi="宋体"/>
          <w:sz w:val="24"/>
          <w:highlight w:val="none"/>
        </w:rPr>
        <w:t>3</w:t>
      </w:r>
      <w:r>
        <w:rPr>
          <w:rFonts w:hint="eastAsia" w:ascii="宋体" w:hAnsi="宋体"/>
          <w:sz w:val="24"/>
          <w:highlight w:val="none"/>
        </w:rPr>
        <w:t>家或经评审有效标少于</w:t>
      </w:r>
      <w:r>
        <w:rPr>
          <w:rFonts w:ascii="宋体" w:hAnsi="宋体"/>
          <w:sz w:val="24"/>
          <w:highlight w:val="none"/>
        </w:rPr>
        <w:t>3</w:t>
      </w:r>
      <w:r>
        <w:rPr>
          <w:rFonts w:hint="eastAsia" w:ascii="宋体" w:hAnsi="宋体"/>
          <w:sz w:val="24"/>
          <w:highlight w:val="none"/>
        </w:rPr>
        <w:t>家的；</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）同意延长投标有效期的投标人少于</w:t>
      </w:r>
      <w:r>
        <w:rPr>
          <w:rFonts w:ascii="宋体" w:hAnsi="宋体"/>
          <w:sz w:val="24"/>
          <w:highlight w:val="none"/>
        </w:rPr>
        <w:t>3</w:t>
      </w:r>
      <w:r>
        <w:rPr>
          <w:rFonts w:hint="eastAsia" w:ascii="宋体" w:hAnsi="宋体"/>
          <w:sz w:val="24"/>
          <w:highlight w:val="none"/>
        </w:rPr>
        <w:t>个的；</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）中标候选人均未与招标人签订合同的。</w:t>
      </w:r>
    </w:p>
    <w:p>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）当</w:t>
      </w:r>
      <w:r>
        <w:rPr>
          <w:rFonts w:ascii="宋体" w:hAnsi="宋体"/>
          <w:sz w:val="24"/>
          <w:highlight w:val="none"/>
        </w:rPr>
        <w:t>N</w:t>
      </w:r>
      <w:r>
        <w:rPr>
          <w:rFonts w:hint="eastAsia" w:ascii="宋体" w:hAnsi="宋体"/>
          <w:sz w:val="24"/>
          <w:highlight w:val="none"/>
        </w:rPr>
        <w:t>个标段同时招标且不允许兼中时，若有效投标人不足</w:t>
      </w:r>
      <w:r>
        <w:rPr>
          <w:rFonts w:ascii="宋体" w:hAnsi="宋体"/>
          <w:sz w:val="24"/>
          <w:highlight w:val="none"/>
        </w:rPr>
        <w:t>N+2</w:t>
      </w:r>
      <w:r>
        <w:rPr>
          <w:rFonts w:hint="eastAsia" w:ascii="宋体" w:hAnsi="宋体"/>
          <w:sz w:val="24"/>
          <w:highlight w:val="none"/>
        </w:rPr>
        <w:t>家，则重新组织招标</w:t>
      </w:r>
    </w:p>
    <w:p>
      <w:pPr>
        <w:wordWrap w:val="0"/>
        <w:spacing w:line="360" w:lineRule="auto"/>
        <w:ind w:firstLine="482" w:firstLineChars="200"/>
        <w:rPr>
          <w:rFonts w:ascii="宋体" w:hAnsi="宋体"/>
          <w:b/>
          <w:sz w:val="24"/>
          <w:highlight w:val="none"/>
        </w:rPr>
      </w:pPr>
      <w:r>
        <w:rPr>
          <w:rFonts w:ascii="宋体" w:hAnsi="宋体"/>
          <w:b/>
          <w:sz w:val="24"/>
          <w:highlight w:val="none"/>
        </w:rPr>
        <w:t xml:space="preserve">8.2 </w:t>
      </w:r>
      <w:r>
        <w:rPr>
          <w:rFonts w:hint="eastAsia" w:ascii="宋体" w:hAnsi="宋体"/>
          <w:b/>
          <w:sz w:val="24"/>
          <w:highlight w:val="none"/>
        </w:rPr>
        <w:t>不再招标</w:t>
      </w:r>
    </w:p>
    <w:p>
      <w:pPr>
        <w:wordWrap w:val="0"/>
        <w:snapToGrid w:val="0"/>
        <w:spacing w:line="360" w:lineRule="auto"/>
        <w:ind w:firstLine="480" w:firstLineChars="200"/>
        <w:rPr>
          <w:rFonts w:ascii="宋体" w:hAnsi="宋体"/>
          <w:sz w:val="24"/>
          <w:highlight w:val="none"/>
          <w:u w:val="single"/>
        </w:rPr>
      </w:pPr>
      <w:r>
        <w:rPr>
          <w:rFonts w:hint="eastAsia" w:ascii="宋体" w:hAnsi="宋体"/>
          <w:sz w:val="24"/>
          <w:highlight w:val="none"/>
          <w:u w:val="single"/>
        </w:rPr>
        <w:t>重新招标后，仍出现本章第</w:t>
      </w:r>
      <w:r>
        <w:rPr>
          <w:rFonts w:ascii="宋体" w:hAnsi="宋体"/>
          <w:sz w:val="24"/>
          <w:highlight w:val="none"/>
          <w:u w:val="single"/>
        </w:rPr>
        <w:t>8.1</w:t>
      </w:r>
      <w:r>
        <w:rPr>
          <w:rFonts w:hint="eastAsia" w:ascii="宋体" w:hAnsi="宋体"/>
          <w:sz w:val="24"/>
          <w:highlight w:val="none"/>
          <w:u w:val="single"/>
        </w:rPr>
        <w:t>条规定情形之一的，属于必须审批的水务工程建设项目，经行政监督部门批准后不再进行招标。</w:t>
      </w:r>
    </w:p>
    <w:p>
      <w:pPr>
        <w:wordWrap w:val="0"/>
        <w:spacing w:line="360" w:lineRule="auto"/>
        <w:jc w:val="center"/>
        <w:outlineLvl w:val="3"/>
        <w:rPr>
          <w:rFonts w:ascii="宋体" w:hAnsi="宋体"/>
          <w:b/>
          <w:sz w:val="30"/>
          <w:szCs w:val="30"/>
          <w:highlight w:val="none"/>
        </w:rPr>
      </w:pPr>
      <w:r>
        <w:rPr>
          <w:rFonts w:hint="eastAsia" w:ascii="宋体" w:hAnsi="宋体"/>
          <w:b/>
          <w:sz w:val="30"/>
          <w:szCs w:val="30"/>
          <w:highlight w:val="none"/>
        </w:rPr>
        <w:t>（九）纪律和监督</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9.1</w:t>
      </w:r>
      <w:r>
        <w:rPr>
          <w:rFonts w:hint="eastAsia" w:ascii="宋体" w:hAnsi="宋体"/>
          <w:b/>
          <w:sz w:val="24"/>
          <w:szCs w:val="24"/>
          <w:highlight w:val="none"/>
        </w:rPr>
        <w:t>对招标人的纪律要求</w:t>
      </w:r>
    </w:p>
    <w:p>
      <w:pPr>
        <w:wordWrap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招标人不得泄漏招标投标活动中应当保密的情况和资料，不得与投标人串通损害国家利益、社会公共利益或者他人合法权益。</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 xml:space="preserve">9.2 </w:t>
      </w:r>
      <w:r>
        <w:rPr>
          <w:rFonts w:hint="eastAsia" w:ascii="宋体" w:hAnsi="宋体"/>
          <w:b/>
          <w:sz w:val="24"/>
          <w:szCs w:val="24"/>
          <w:highlight w:val="none"/>
        </w:rPr>
        <w:t>对投标人的纪律要求</w:t>
      </w:r>
    </w:p>
    <w:p>
      <w:pPr>
        <w:wordWrap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 xml:space="preserve">9.3 </w:t>
      </w:r>
      <w:r>
        <w:rPr>
          <w:rFonts w:hint="eastAsia" w:ascii="宋体" w:hAnsi="宋体"/>
          <w:b/>
          <w:sz w:val="24"/>
          <w:szCs w:val="24"/>
          <w:highlight w:val="none"/>
        </w:rPr>
        <w:t>对评标委员会成员的纪律要求</w:t>
      </w:r>
    </w:p>
    <w:p>
      <w:pPr>
        <w:wordWrap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 xml:space="preserve">9.4 </w:t>
      </w:r>
      <w:r>
        <w:rPr>
          <w:rFonts w:hint="eastAsia" w:ascii="宋体" w:hAnsi="宋体"/>
          <w:b/>
          <w:sz w:val="24"/>
          <w:szCs w:val="24"/>
          <w:highlight w:val="none"/>
        </w:rPr>
        <w:t>对与评标活动有关的工作人员的纪律要求</w:t>
      </w:r>
    </w:p>
    <w:p>
      <w:pPr>
        <w:wordWrap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val="0"/>
        <w:spacing w:line="360" w:lineRule="auto"/>
        <w:ind w:firstLine="482" w:firstLineChars="200"/>
        <w:rPr>
          <w:rFonts w:ascii="宋体" w:hAnsi="宋体"/>
          <w:b/>
          <w:sz w:val="24"/>
          <w:szCs w:val="24"/>
          <w:highlight w:val="none"/>
        </w:rPr>
      </w:pPr>
      <w:r>
        <w:rPr>
          <w:rFonts w:ascii="宋体" w:hAnsi="宋体"/>
          <w:b/>
          <w:sz w:val="24"/>
          <w:szCs w:val="24"/>
          <w:highlight w:val="none"/>
        </w:rPr>
        <w:t xml:space="preserve">9.5 </w:t>
      </w:r>
      <w:r>
        <w:rPr>
          <w:rFonts w:hint="eastAsia" w:ascii="宋体" w:hAnsi="宋体"/>
          <w:b/>
          <w:sz w:val="24"/>
          <w:szCs w:val="24"/>
          <w:highlight w:val="none"/>
        </w:rPr>
        <w:t>投诉</w:t>
      </w:r>
    </w:p>
    <w:p>
      <w:pPr>
        <w:wordWrap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pPr>
        <w:wordWrap w:val="0"/>
        <w:snapToGrid w:val="0"/>
        <w:spacing w:line="360" w:lineRule="auto"/>
        <w:ind w:firstLine="480" w:firstLineChars="200"/>
        <w:rPr>
          <w:rFonts w:ascii="宋体" w:hAnsi="宋体"/>
          <w:sz w:val="24"/>
          <w:szCs w:val="24"/>
          <w:highlight w:val="none"/>
          <w:u w:val="single"/>
        </w:rPr>
      </w:pPr>
      <w:r>
        <w:rPr>
          <w:rFonts w:ascii="宋体" w:hAnsi="宋体"/>
          <w:sz w:val="24"/>
          <w:szCs w:val="24"/>
          <w:highlight w:val="none"/>
          <w:u w:val="single"/>
        </w:rPr>
        <w:t>9.5.1</w:t>
      </w:r>
      <w:r>
        <w:rPr>
          <w:rFonts w:hint="eastAsia" w:ascii="宋体" w:hAnsi="宋体"/>
          <w:sz w:val="24"/>
          <w:szCs w:val="24"/>
          <w:highlight w:val="none"/>
          <w:u w:val="singl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ordWrap w:val="0"/>
        <w:snapToGrid w:val="0"/>
        <w:spacing w:line="360" w:lineRule="auto"/>
        <w:ind w:firstLine="480" w:firstLineChars="200"/>
        <w:rPr>
          <w:rFonts w:ascii="宋体" w:hAnsi="宋体"/>
          <w:sz w:val="24"/>
          <w:szCs w:val="24"/>
          <w:highlight w:val="none"/>
          <w:u w:val="single"/>
        </w:rPr>
      </w:pPr>
      <w:r>
        <w:rPr>
          <w:rFonts w:ascii="宋体" w:hAnsi="宋体"/>
          <w:sz w:val="24"/>
          <w:szCs w:val="24"/>
          <w:highlight w:val="none"/>
          <w:u w:val="single"/>
        </w:rPr>
        <w:t>9.5.2</w:t>
      </w:r>
      <w:r>
        <w:rPr>
          <w:rFonts w:hint="eastAsia" w:ascii="宋体" w:hAnsi="宋体"/>
          <w:sz w:val="24"/>
          <w:szCs w:val="24"/>
          <w:highlight w:val="none"/>
          <w:u w:val="singl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ordWrap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u w:val="singl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ordWrap w:val="0"/>
        <w:spacing w:line="360" w:lineRule="auto"/>
        <w:jc w:val="center"/>
        <w:outlineLvl w:val="3"/>
        <w:rPr>
          <w:rFonts w:ascii="宋体" w:hAnsi="宋体"/>
          <w:b/>
          <w:sz w:val="30"/>
          <w:szCs w:val="30"/>
          <w:highlight w:val="none"/>
        </w:rPr>
      </w:pPr>
      <w:r>
        <w:rPr>
          <w:rFonts w:hint="eastAsia" w:ascii="宋体" w:hAnsi="宋体"/>
          <w:b/>
          <w:sz w:val="30"/>
          <w:szCs w:val="30"/>
          <w:highlight w:val="none"/>
        </w:rPr>
        <w:t>（十）需要补充的其他内容</w:t>
      </w:r>
    </w:p>
    <w:p>
      <w:pPr>
        <w:wordWrap w:val="0"/>
        <w:spacing w:line="360" w:lineRule="auto"/>
        <w:ind w:firstLine="480" w:firstLineChars="200"/>
        <w:rPr>
          <w:rFonts w:ascii="宋体" w:hAnsi="宋体" w:cs="宋体"/>
          <w:sz w:val="24"/>
          <w:szCs w:val="24"/>
          <w:highlight w:val="none"/>
          <w:u w:val="single"/>
        </w:rPr>
      </w:pPr>
      <w:r>
        <w:rPr>
          <w:rFonts w:ascii="宋体" w:hAnsi="宋体"/>
          <w:sz w:val="24"/>
          <w:szCs w:val="24"/>
          <w:highlight w:val="none"/>
          <w:u w:val="single"/>
        </w:rPr>
        <w:t>10.</w:t>
      </w:r>
      <w:r>
        <w:rPr>
          <w:rFonts w:hint="eastAsia" w:ascii="宋体" w:hAnsi="宋体"/>
          <w:sz w:val="24"/>
          <w:szCs w:val="24"/>
          <w:highlight w:val="none"/>
          <w:u w:val="single"/>
        </w:rPr>
        <w:t>1</w:t>
      </w:r>
      <w:r>
        <w:rPr>
          <w:rFonts w:hint="eastAsia" w:ascii="宋体" w:hAnsi="宋体" w:cs="宋体"/>
          <w:sz w:val="24"/>
          <w:szCs w:val="24"/>
          <w:highlight w:val="none"/>
          <w:u w:val="single"/>
        </w:rPr>
        <w:t>暂列金额的规定</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10.1.1暂列金额计算原则在不超出经批复的总投资估算的前提下，暂列金额按有关文件计取。</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10.1.2暂列金应为招标人在工程量清单中暂定并包括在合同价款中的一笔款项。用于施工合同签订时尚未确定或者不可预见的所需材料、设备、服务的采购，施工中可能发生的工程变更、合同约定调整因素出现时的工程价款调整以及发生索赔等费用。项目实施过程中要严格按合同、招标文件以及设计变更管理办法等相关规定使用，不得超范围使用。</w:t>
      </w:r>
    </w:p>
    <w:p>
      <w:pPr>
        <w:wordWrap w:val="0"/>
        <w:spacing w:line="360" w:lineRule="auto"/>
        <w:ind w:firstLine="480" w:firstLineChars="200"/>
        <w:rPr>
          <w:rFonts w:ascii="宋体" w:hAnsi="宋体" w:cs="宋体"/>
          <w:kern w:val="0"/>
          <w:sz w:val="24"/>
          <w:szCs w:val="24"/>
          <w:highlight w:val="none"/>
          <w:u w:val="single"/>
        </w:rPr>
      </w:pPr>
      <w:r>
        <w:rPr>
          <w:rFonts w:ascii="宋体" w:hAnsi="宋体"/>
          <w:sz w:val="24"/>
          <w:szCs w:val="24"/>
          <w:highlight w:val="none"/>
          <w:u w:val="single"/>
        </w:rPr>
        <w:t>10.</w:t>
      </w:r>
      <w:r>
        <w:rPr>
          <w:rFonts w:hint="eastAsia" w:ascii="宋体" w:hAnsi="宋体"/>
          <w:sz w:val="24"/>
          <w:szCs w:val="24"/>
          <w:highlight w:val="none"/>
          <w:u w:val="single"/>
        </w:rPr>
        <w:t>2</w:t>
      </w:r>
      <w:r>
        <w:rPr>
          <w:rFonts w:ascii="宋体" w:hAnsi="宋体"/>
          <w:sz w:val="24"/>
          <w:szCs w:val="24"/>
          <w:highlight w:val="none"/>
          <w:u w:val="single"/>
        </w:rPr>
        <w:t>发出中标通知书前，中标人应未被纳入失信联合惩戒名单，否则招标人将取消其中标资格。</w:t>
      </w:r>
    </w:p>
    <w:p>
      <w:pPr>
        <w:wordWrap w:val="0"/>
        <w:spacing w:line="360" w:lineRule="auto"/>
        <w:ind w:firstLine="480" w:firstLineChars="200"/>
        <w:rPr>
          <w:rFonts w:ascii="宋体" w:hAnsi="宋体" w:cs="宋体"/>
          <w:sz w:val="24"/>
          <w:szCs w:val="24"/>
          <w:highlight w:val="none"/>
          <w:u w:val="single"/>
        </w:rPr>
      </w:pPr>
      <w:r>
        <w:rPr>
          <w:rFonts w:ascii="宋体" w:hAnsi="宋体" w:cs="宋体"/>
          <w:sz w:val="24"/>
          <w:szCs w:val="24"/>
          <w:highlight w:val="none"/>
          <w:u w:val="single"/>
        </w:rPr>
        <w:t>10.</w:t>
      </w:r>
      <w:r>
        <w:rPr>
          <w:rFonts w:hint="eastAsia" w:ascii="宋体" w:hAnsi="宋体" w:cs="宋体"/>
          <w:sz w:val="24"/>
          <w:szCs w:val="24"/>
          <w:highlight w:val="none"/>
          <w:u w:val="single"/>
        </w:rPr>
        <w:t>3</w:t>
      </w:r>
      <w:r>
        <w:rPr>
          <w:rFonts w:ascii="宋体" w:hAnsi="宋体" w:cs="宋体"/>
          <w:sz w:val="24"/>
          <w:szCs w:val="24"/>
          <w:highlight w:val="none"/>
          <w:u w:val="single"/>
        </w:rPr>
        <w:t>交易服务费</w:t>
      </w:r>
    </w:p>
    <w:p>
      <w:pPr>
        <w:pStyle w:val="2"/>
        <w:wordWrap w:val="0"/>
        <w:spacing w:after="0"/>
        <w:ind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中标候选公示后，由中标人向广州交易集团有限公司（广州公共资源交易中心）缴纳交易服务费、向广州交易集团有限公司（广州公共资源交易中心）索取发票，并在取得发票后及时告知招标代理。（该交易服务费为中标金额的</w:t>
      </w:r>
      <w:r>
        <w:rPr>
          <w:rFonts w:ascii="宋体" w:hAnsi="宋体" w:cs="宋体"/>
          <w:color w:val="auto"/>
          <w:szCs w:val="24"/>
          <w:highlight w:val="none"/>
          <w:u w:val="single"/>
        </w:rPr>
        <w:t>0.9‰，具体收费标准招标人可以在</w:t>
      </w:r>
      <w:r>
        <w:rPr>
          <w:rFonts w:hint="eastAsia" w:ascii="宋体" w:hAnsi="宋体" w:cs="宋体"/>
          <w:color w:val="auto"/>
          <w:szCs w:val="24"/>
          <w:highlight w:val="none"/>
          <w:u w:val="single"/>
        </w:rPr>
        <w:t>广州交易集团有限公司（广州公共资源交易中心）</w:t>
      </w:r>
      <w:r>
        <w:rPr>
          <w:rFonts w:ascii="宋体" w:hAnsi="宋体" w:cs="宋体"/>
          <w:color w:val="auto"/>
          <w:szCs w:val="24"/>
          <w:highlight w:val="none"/>
          <w:u w:val="single"/>
        </w:rPr>
        <w:t>网站查阅，如有变更以</w:t>
      </w:r>
      <w:r>
        <w:rPr>
          <w:rFonts w:hint="eastAsia" w:ascii="宋体" w:hAnsi="宋体" w:cs="宋体"/>
          <w:color w:val="auto"/>
          <w:szCs w:val="24"/>
          <w:highlight w:val="none"/>
          <w:u w:val="single"/>
        </w:rPr>
        <w:t>广州交易集团有限公司（广州公共资源交易中心）</w:t>
      </w:r>
      <w:r>
        <w:rPr>
          <w:rFonts w:ascii="宋体" w:hAnsi="宋体" w:cs="宋体"/>
          <w:color w:val="auto"/>
          <w:szCs w:val="24"/>
          <w:highlight w:val="none"/>
          <w:u w:val="single"/>
        </w:rPr>
        <w:t>最新发布的标准为准）。</w:t>
      </w:r>
    </w:p>
    <w:p>
      <w:pPr>
        <w:pStyle w:val="2"/>
        <w:wordWrap w:val="0"/>
        <w:spacing w:after="0"/>
        <w:ind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10.4采购服务费</w:t>
      </w:r>
    </w:p>
    <w:p>
      <w:pPr>
        <w:pStyle w:val="2"/>
        <w:wordWrap w:val="0"/>
        <w:spacing w:after="0"/>
        <w:ind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1、中标人在领取中标通知书前，一次性向招标人支付采购服务费。</w:t>
      </w:r>
    </w:p>
    <w:p>
      <w:pPr>
        <w:pStyle w:val="2"/>
        <w:wordWrap w:val="0"/>
        <w:spacing w:after="0"/>
        <w:ind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采购服务费依据国家计委【2002】1980号文，最终结算以招标人确定的单个项目中标金额为计算基数，费率下浮20%，三个项目累计收取。采购服务费由投标人综合考虑在投标报价中。</w:t>
      </w:r>
    </w:p>
    <w:p>
      <w:pPr>
        <w:pStyle w:val="2"/>
        <w:wordWrap w:val="0"/>
        <w:spacing w:after="0"/>
        <w:ind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2、中标人在领取中标通知书前，须按招标人要求向招标人提供盖章的纸质版投标文件（内容与交易平台网上递交的电子投标文件一致）正本1份、副本3份、电子文件信封（内含Word和PDF格式扫描件（盖章后）的电子文件1份（使用U盘），要求提供的电子文件U盘必须无病毒、无加密、可打开、可编辑。</w:t>
      </w:r>
    </w:p>
    <w:p>
      <w:pPr>
        <w:widowControl/>
        <w:wordWrap w:val="0"/>
        <w:ind w:firstLine="480" w:firstLineChars="200"/>
        <w:jc w:val="left"/>
        <w:rPr>
          <w:rFonts w:ascii="宋体" w:hAnsi="宋体"/>
          <w:sz w:val="24"/>
          <w:highlight w:val="none"/>
        </w:rPr>
      </w:pPr>
      <w:r>
        <w:rPr>
          <w:rFonts w:ascii="宋体" w:hAnsi="宋体"/>
          <w:sz w:val="24"/>
          <w:highlight w:val="none"/>
        </w:rPr>
        <w:br w:type="page"/>
      </w:r>
    </w:p>
    <w:p>
      <w:pPr>
        <w:wordWrap w:val="0"/>
        <w:spacing w:line="360" w:lineRule="auto"/>
        <w:jc w:val="left"/>
        <w:outlineLvl w:val="2"/>
        <w:rPr>
          <w:rFonts w:ascii="宋体" w:hAnsi="宋体"/>
          <w:sz w:val="24"/>
          <w:szCs w:val="24"/>
          <w:highlight w:val="none"/>
        </w:rPr>
      </w:pPr>
      <w:bookmarkStart w:id="137" w:name="_Toc17451103"/>
      <w:bookmarkStart w:id="138" w:name="_Toc9670"/>
      <w:bookmarkStart w:id="139" w:name="_Toc17451625"/>
      <w:bookmarkStart w:id="140" w:name="_Toc17454924"/>
      <w:bookmarkStart w:id="141" w:name="_Toc332641306"/>
      <w:bookmarkStart w:id="142" w:name="_Toc144974548"/>
      <w:bookmarkStart w:id="143" w:name="_Toc17451580"/>
      <w:bookmarkStart w:id="144" w:name="_Toc11526"/>
      <w:bookmarkStart w:id="145" w:name="_Toc152042358"/>
      <w:bookmarkStart w:id="146" w:name="_Toc112854438"/>
      <w:bookmarkStart w:id="147" w:name="_Toc247085739"/>
      <w:bookmarkStart w:id="148" w:name="_Toc17454873"/>
      <w:bookmarkStart w:id="149" w:name="_Toc152045581"/>
      <w:bookmarkStart w:id="150" w:name="_Toc17556878"/>
      <w:bookmarkStart w:id="151" w:name="_Toc30667"/>
      <w:bookmarkStart w:id="152" w:name="_Toc179632599"/>
      <w:bookmarkStart w:id="153" w:name="_Toc17452666"/>
      <w:r>
        <w:rPr>
          <w:rFonts w:hint="eastAsia" w:ascii="宋体" w:hAnsi="宋体"/>
          <w:sz w:val="24"/>
          <w:szCs w:val="24"/>
          <w:highlight w:val="none"/>
        </w:rPr>
        <w:t>附件一：开标记录表</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wordWrap w:val="0"/>
        <w:spacing w:line="400" w:lineRule="exact"/>
        <w:ind w:firstLine="562" w:firstLineChars="200"/>
        <w:jc w:val="center"/>
        <w:rPr>
          <w:rFonts w:ascii="宋体" w:hAnsi="宋体"/>
          <w:b/>
          <w:sz w:val="28"/>
          <w:szCs w:val="28"/>
          <w:highlight w:val="none"/>
        </w:rPr>
      </w:pPr>
      <w:r>
        <w:rPr>
          <w:rFonts w:ascii="宋体" w:hAnsi="宋体"/>
          <w:b/>
          <w:sz w:val="28"/>
          <w:szCs w:val="28"/>
          <w:highlight w:val="none"/>
          <w:u w:val="single"/>
        </w:rPr>
        <w:t xml:space="preserve">        </w:t>
      </w:r>
      <w:r>
        <w:rPr>
          <w:rFonts w:hint="eastAsia" w:ascii="宋体" w:hAnsi="宋体"/>
          <w:b/>
          <w:sz w:val="28"/>
          <w:szCs w:val="28"/>
          <w:highlight w:val="none"/>
        </w:rPr>
        <w:t>（项目名称）开标记录表</w:t>
      </w:r>
    </w:p>
    <w:p>
      <w:pPr>
        <w:wordWrap w:val="0"/>
        <w:spacing w:line="500" w:lineRule="exact"/>
        <w:rPr>
          <w:rFonts w:ascii="宋体" w:hAnsi="宋体"/>
          <w:highlight w:val="none"/>
        </w:rPr>
      </w:pPr>
      <w:r>
        <w:rPr>
          <w:rFonts w:hint="eastAsia" w:ascii="宋体" w:hAnsi="宋体"/>
          <w:szCs w:val="21"/>
          <w:highlight w:val="none"/>
        </w:rPr>
        <w:t>评标参考价下浮率：</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开标时间：</w:t>
      </w:r>
      <w:r>
        <w:rPr>
          <w:rFonts w:ascii="宋体" w:hAnsi="宋体"/>
          <w:sz w:val="28"/>
          <w:szCs w:val="28"/>
          <w:highlight w:val="none"/>
          <w:u w:val="single"/>
        </w:rPr>
        <w:t xml:space="preserve">    </w:t>
      </w:r>
      <w:r>
        <w:rPr>
          <w:rFonts w:hint="eastAsia" w:ascii="宋体" w:hAnsi="宋体"/>
          <w:szCs w:val="21"/>
          <w:highlight w:val="none"/>
        </w:rPr>
        <w:t>年</w:t>
      </w:r>
      <w:r>
        <w:rPr>
          <w:rFonts w:ascii="宋体" w:hAnsi="宋体"/>
          <w:sz w:val="28"/>
          <w:szCs w:val="28"/>
          <w:highlight w:val="none"/>
          <w:u w:val="single"/>
        </w:rPr>
        <w:t xml:space="preserve">    </w:t>
      </w:r>
      <w:r>
        <w:rPr>
          <w:rFonts w:hint="eastAsia" w:ascii="宋体" w:hAnsi="宋体"/>
          <w:szCs w:val="21"/>
          <w:highlight w:val="none"/>
        </w:rPr>
        <w:t>月</w:t>
      </w:r>
      <w:r>
        <w:rPr>
          <w:rFonts w:ascii="宋体" w:hAnsi="宋体"/>
          <w:sz w:val="28"/>
          <w:szCs w:val="28"/>
          <w:highlight w:val="none"/>
          <w:u w:val="single"/>
        </w:rPr>
        <w:t xml:space="preserve">    </w:t>
      </w:r>
      <w:r>
        <w:rPr>
          <w:rFonts w:hint="eastAsia" w:ascii="宋体" w:hAnsi="宋体"/>
          <w:szCs w:val="21"/>
          <w:highlight w:val="none"/>
        </w:rPr>
        <w:t>日</w:t>
      </w:r>
      <w:r>
        <w:rPr>
          <w:rFonts w:ascii="宋体" w:hAnsi="宋体"/>
          <w:sz w:val="28"/>
          <w:szCs w:val="28"/>
          <w:highlight w:val="none"/>
          <w:u w:val="single"/>
        </w:rPr>
        <w:t xml:space="preserve">    </w:t>
      </w:r>
      <w:r>
        <w:rPr>
          <w:rFonts w:hint="eastAsia" w:ascii="宋体" w:hAnsi="宋体"/>
          <w:szCs w:val="21"/>
          <w:highlight w:val="none"/>
        </w:rPr>
        <w:t>时</w:t>
      </w:r>
      <w:r>
        <w:rPr>
          <w:rFonts w:ascii="宋体" w:hAnsi="宋体"/>
          <w:sz w:val="28"/>
          <w:szCs w:val="28"/>
          <w:highlight w:val="none"/>
          <w:u w:val="single"/>
        </w:rPr>
        <w:t xml:space="preserve">    </w:t>
      </w:r>
      <w:r>
        <w:rPr>
          <w:rFonts w:hint="eastAsia" w:ascii="宋体" w:hAnsi="宋体"/>
          <w:szCs w:val="21"/>
          <w:highlight w:val="none"/>
        </w:rPr>
        <w:t>分</w:t>
      </w:r>
    </w:p>
    <w:tbl>
      <w:tblPr>
        <w:tblStyle w:val="22"/>
        <w:tblW w:w="0" w:type="auto"/>
        <w:jc w:val="center"/>
        <w:tblLayout w:type="fixed"/>
        <w:tblCellMar>
          <w:top w:w="0" w:type="dxa"/>
          <w:left w:w="108" w:type="dxa"/>
          <w:bottom w:w="0" w:type="dxa"/>
          <w:right w:w="108" w:type="dxa"/>
        </w:tblCellMar>
      </w:tblPr>
      <w:tblGrid>
        <w:gridCol w:w="579"/>
        <w:gridCol w:w="985"/>
        <w:gridCol w:w="820"/>
        <w:gridCol w:w="1062"/>
        <w:gridCol w:w="760"/>
        <w:gridCol w:w="924"/>
        <w:gridCol w:w="514"/>
        <w:gridCol w:w="496"/>
        <w:gridCol w:w="545"/>
        <w:gridCol w:w="516"/>
        <w:gridCol w:w="802"/>
        <w:gridCol w:w="752"/>
        <w:gridCol w:w="865"/>
      </w:tblGrid>
      <w:tr>
        <w:tblPrEx>
          <w:tblCellMar>
            <w:top w:w="0" w:type="dxa"/>
            <w:left w:w="108" w:type="dxa"/>
            <w:bottom w:w="0" w:type="dxa"/>
            <w:right w:w="108" w:type="dxa"/>
          </w:tblCellMar>
        </w:tblPrEx>
        <w:trPr>
          <w:trHeight w:val="567" w:hRule="atLeast"/>
          <w:jc w:val="center"/>
        </w:trPr>
        <w:tc>
          <w:tcPr>
            <w:tcW w:w="579"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序号</w:t>
            </w:r>
          </w:p>
        </w:tc>
        <w:tc>
          <w:tcPr>
            <w:tcW w:w="985"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投标人</w:t>
            </w:r>
          </w:p>
        </w:tc>
        <w:tc>
          <w:tcPr>
            <w:tcW w:w="820"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解密情况</w:t>
            </w:r>
          </w:p>
        </w:tc>
        <w:tc>
          <w:tcPr>
            <w:tcW w:w="1062"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投标报价（元）</w:t>
            </w:r>
          </w:p>
        </w:tc>
        <w:tc>
          <w:tcPr>
            <w:tcW w:w="760"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质量标准</w:t>
            </w:r>
          </w:p>
        </w:tc>
        <w:tc>
          <w:tcPr>
            <w:tcW w:w="924"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工期（天）</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项目负责人</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专职安全员</w:t>
            </w:r>
          </w:p>
        </w:tc>
        <w:tc>
          <w:tcPr>
            <w:tcW w:w="802"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投标须知</w:t>
            </w:r>
            <w:r>
              <w:rPr>
                <w:rFonts w:ascii="宋体" w:hAnsi="宋体"/>
                <w:szCs w:val="21"/>
                <w:highlight w:val="none"/>
              </w:rPr>
              <w:t>5.4</w:t>
            </w:r>
            <w:r>
              <w:rPr>
                <w:rFonts w:hint="eastAsia" w:ascii="宋体" w:hAnsi="宋体"/>
                <w:szCs w:val="21"/>
                <w:highlight w:val="none"/>
              </w:rPr>
              <w:t>的条款</w:t>
            </w:r>
          </w:p>
        </w:tc>
        <w:tc>
          <w:tcPr>
            <w:tcW w:w="752"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签名</w:t>
            </w:r>
          </w:p>
        </w:tc>
        <w:tc>
          <w:tcPr>
            <w:tcW w:w="865" w:type="dxa"/>
            <w:vMerge w:val="restart"/>
            <w:tcBorders>
              <w:top w:val="single" w:color="auto" w:sz="4" w:space="0"/>
              <w:left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备注</w:t>
            </w:r>
          </w:p>
        </w:tc>
      </w:tr>
      <w:tr>
        <w:tblPrEx>
          <w:tblCellMar>
            <w:top w:w="0" w:type="dxa"/>
            <w:left w:w="108" w:type="dxa"/>
            <w:bottom w:w="0" w:type="dxa"/>
            <w:right w:w="108" w:type="dxa"/>
          </w:tblCellMar>
        </w:tblPrEx>
        <w:trPr>
          <w:trHeight w:val="567" w:hRule="atLeast"/>
          <w:jc w:val="center"/>
        </w:trPr>
        <w:tc>
          <w:tcPr>
            <w:tcW w:w="579"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登记时</w:t>
            </w: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投标时</w:t>
            </w: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登记时</w:t>
            </w: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投标时</w:t>
            </w:r>
          </w:p>
        </w:tc>
        <w:tc>
          <w:tcPr>
            <w:tcW w:w="802"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vMerge w:val="continue"/>
            <w:tcBorders>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5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r>
        <w:tblPrEx>
          <w:tblCellMar>
            <w:top w:w="0" w:type="dxa"/>
            <w:left w:w="108" w:type="dxa"/>
            <w:bottom w:w="0" w:type="dxa"/>
            <w:right w:w="108" w:type="dxa"/>
          </w:tblCellMar>
        </w:tblPrEx>
        <w:trPr>
          <w:trHeight w:val="567" w:hRule="atLeast"/>
          <w:jc w:val="center"/>
        </w:trPr>
        <w:tc>
          <w:tcPr>
            <w:tcW w:w="4206" w:type="dxa"/>
            <w:gridSpan w:val="5"/>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r>
              <w:rPr>
                <w:rFonts w:hint="eastAsia" w:ascii="宋体" w:hAnsi="宋体"/>
                <w:szCs w:val="21"/>
                <w:highlight w:val="none"/>
              </w:rPr>
              <w:t>招标人编制最高投标限价（单位：元）</w:t>
            </w:r>
          </w:p>
        </w:tc>
        <w:tc>
          <w:tcPr>
            <w:tcW w:w="5414" w:type="dxa"/>
            <w:gridSpan w:val="8"/>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highlight w:val="none"/>
              </w:rPr>
            </w:pPr>
          </w:p>
        </w:tc>
      </w:tr>
    </w:tbl>
    <w:p>
      <w:pPr>
        <w:wordWrap w:val="0"/>
        <w:spacing w:line="440" w:lineRule="exact"/>
        <w:rPr>
          <w:rFonts w:ascii="宋体" w:hAnsi="宋体"/>
          <w:highlight w:val="none"/>
        </w:rPr>
      </w:pPr>
    </w:p>
    <w:p>
      <w:pPr>
        <w:wordWrap w:val="0"/>
        <w:spacing w:line="440" w:lineRule="exact"/>
        <w:ind w:firstLine="420" w:firstLineChars="200"/>
        <w:rPr>
          <w:rFonts w:ascii="宋体" w:hAnsi="宋体"/>
          <w:highlight w:val="none"/>
          <w:u w:val="single"/>
        </w:rPr>
      </w:pPr>
      <w:r>
        <w:rPr>
          <w:rFonts w:hint="eastAsia" w:ascii="宋体" w:hAnsi="宋体"/>
          <w:highlight w:val="none"/>
        </w:rPr>
        <w:t>招标人代表：</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记录人：</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监标人：</w:t>
      </w:r>
      <w:r>
        <w:rPr>
          <w:rFonts w:ascii="宋体" w:hAnsi="宋体"/>
          <w:highlight w:val="none"/>
          <w:u w:val="single"/>
        </w:rPr>
        <w:t xml:space="preserve">                 </w:t>
      </w:r>
    </w:p>
    <w:p>
      <w:pPr>
        <w:wordWrap w:val="0"/>
        <w:spacing w:line="440" w:lineRule="exact"/>
        <w:ind w:firstLine="420" w:firstLineChars="200"/>
        <w:jc w:val="right"/>
        <w:rPr>
          <w:rFonts w:ascii="宋体" w:hAnsi="宋体"/>
          <w:highlight w:val="none"/>
          <w:u w:val="single"/>
        </w:rPr>
      </w:pP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日</w:t>
      </w:r>
    </w:p>
    <w:p>
      <w:pPr>
        <w:wordWrap w:val="0"/>
        <w:spacing w:line="360" w:lineRule="auto"/>
        <w:ind w:firstLine="643" w:firstLineChars="200"/>
        <w:jc w:val="center"/>
        <w:rPr>
          <w:rFonts w:ascii="宋体" w:hAnsi="宋体"/>
          <w:b/>
          <w:sz w:val="32"/>
          <w:szCs w:val="32"/>
          <w:highlight w:val="none"/>
        </w:rPr>
      </w:pPr>
    </w:p>
    <w:p>
      <w:pPr>
        <w:wordWrap w:val="0"/>
        <w:rPr>
          <w:rFonts w:ascii="宋体" w:hAnsi="宋体"/>
          <w:b/>
          <w:sz w:val="32"/>
          <w:szCs w:val="32"/>
          <w:highlight w:val="none"/>
        </w:rPr>
      </w:pPr>
      <w:r>
        <w:rPr>
          <w:rFonts w:hint="eastAsia" w:ascii="宋体" w:hAnsi="宋体"/>
          <w:b/>
          <w:sz w:val="32"/>
          <w:szCs w:val="32"/>
          <w:highlight w:val="none"/>
        </w:rPr>
        <w:br w:type="page"/>
      </w:r>
    </w:p>
    <w:p>
      <w:pPr>
        <w:wordWrap w:val="0"/>
        <w:spacing w:line="360" w:lineRule="auto"/>
        <w:ind w:firstLine="643" w:firstLineChars="200"/>
        <w:jc w:val="center"/>
        <w:rPr>
          <w:rFonts w:ascii="宋体" w:hAnsi="宋体"/>
          <w:b/>
          <w:sz w:val="32"/>
          <w:szCs w:val="32"/>
          <w:highlight w:val="none"/>
        </w:rPr>
      </w:pPr>
      <w:r>
        <w:rPr>
          <w:rFonts w:hint="eastAsia" w:ascii="宋体" w:hAnsi="宋体"/>
          <w:b/>
          <w:sz w:val="32"/>
          <w:szCs w:val="32"/>
          <w:highlight w:val="none"/>
        </w:rPr>
        <w:t>抽取评标基准价的下浮率记录表</w:t>
      </w:r>
    </w:p>
    <w:p>
      <w:pPr>
        <w:wordWrap w:val="0"/>
        <w:spacing w:line="360" w:lineRule="auto"/>
        <w:rPr>
          <w:rFonts w:ascii="宋体" w:hAnsi="宋体"/>
          <w:b/>
          <w:szCs w:val="21"/>
          <w:highlight w:val="none"/>
        </w:rPr>
      </w:pPr>
      <w:r>
        <w:rPr>
          <w:rFonts w:hint="eastAsia" w:ascii="宋体" w:hAnsi="宋体"/>
          <w:b/>
          <w:szCs w:val="21"/>
          <w:highlight w:val="none"/>
        </w:rPr>
        <w:t>工程名称：</w:t>
      </w:r>
    </w:p>
    <w:p>
      <w:pPr>
        <w:tabs>
          <w:tab w:val="left" w:pos="720"/>
        </w:tabs>
        <w:wordWrap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抽取评标基准价的下浮率记录表</w:t>
      </w:r>
    </w:p>
    <w:p>
      <w:pPr>
        <w:tabs>
          <w:tab w:val="left" w:pos="720"/>
        </w:tabs>
        <w:wordWrap w:val="0"/>
        <w:snapToGrid w:val="0"/>
        <w:spacing w:line="360" w:lineRule="auto"/>
        <w:jc w:val="left"/>
        <w:rPr>
          <w:rFonts w:ascii="宋体" w:hAnsi="宋体"/>
          <w:sz w:val="24"/>
          <w:highlight w:val="none"/>
        </w:rPr>
      </w:pPr>
      <w:r>
        <w:rPr>
          <w:rFonts w:hint="eastAsia" w:ascii="宋体" w:hAnsi="宋体"/>
          <w:sz w:val="24"/>
          <w:highlight w:val="none"/>
        </w:rPr>
        <w:t>项目名称：</w:t>
      </w:r>
    </w:p>
    <w:p>
      <w:pPr>
        <w:tabs>
          <w:tab w:val="left" w:pos="720"/>
        </w:tabs>
        <w:wordWrap w:val="0"/>
        <w:snapToGrid w:val="0"/>
        <w:spacing w:line="360" w:lineRule="auto"/>
        <w:jc w:val="left"/>
        <w:rPr>
          <w:rFonts w:ascii="宋体" w:hAnsi="宋体"/>
          <w:sz w:val="24"/>
          <w:highlight w:val="none"/>
        </w:rPr>
      </w:pPr>
      <w:r>
        <w:rPr>
          <w:rFonts w:hint="eastAsia" w:ascii="宋体" w:hAnsi="宋体"/>
          <w:sz w:val="24"/>
          <w:highlight w:val="none"/>
        </w:rPr>
        <w:t>开标地点：</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0"/>
        <w:gridCol w:w="1768"/>
        <w:gridCol w:w="1868"/>
        <w:gridCol w:w="4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r>
              <w:rPr>
                <w:rFonts w:hint="eastAsia" w:ascii="宋体" w:hAnsi="宋体"/>
                <w:sz w:val="24"/>
                <w:highlight w:val="none"/>
              </w:rPr>
              <w:t>球号</w:t>
            </w:r>
          </w:p>
        </w:tc>
        <w:tc>
          <w:tcPr>
            <w:tcW w:w="1768" w:type="dxa"/>
            <w:vAlign w:val="center"/>
          </w:tcPr>
          <w:p>
            <w:pPr>
              <w:tabs>
                <w:tab w:val="left" w:pos="720"/>
              </w:tabs>
              <w:wordWrap w:val="0"/>
              <w:snapToGrid w:val="0"/>
              <w:jc w:val="center"/>
              <w:rPr>
                <w:rFonts w:ascii="宋体" w:hAnsi="宋体"/>
                <w:sz w:val="24"/>
                <w:highlight w:val="none"/>
              </w:rPr>
            </w:pPr>
            <w:r>
              <w:rPr>
                <w:rFonts w:hint="eastAsia" w:ascii="宋体" w:hAnsi="宋体"/>
                <w:sz w:val="24"/>
                <w:highlight w:val="none"/>
              </w:rPr>
              <w:t>代表下浮率（</w:t>
            </w:r>
            <w:r>
              <w:rPr>
                <w:rFonts w:ascii="宋体" w:hAnsi="宋体"/>
                <w:sz w:val="24"/>
                <w:highlight w:val="none"/>
              </w:rPr>
              <w:t>%</w:t>
            </w:r>
            <w:r>
              <w:rPr>
                <w:rFonts w:hint="eastAsia" w:ascii="宋体" w:hAnsi="宋体"/>
                <w:sz w:val="24"/>
                <w:highlight w:val="none"/>
              </w:rPr>
              <w:t>）</w:t>
            </w:r>
          </w:p>
        </w:tc>
        <w:tc>
          <w:tcPr>
            <w:tcW w:w="1868" w:type="dxa"/>
            <w:vAlign w:val="center"/>
          </w:tcPr>
          <w:p>
            <w:pPr>
              <w:tabs>
                <w:tab w:val="left" w:pos="720"/>
              </w:tabs>
              <w:wordWrap w:val="0"/>
              <w:snapToGrid w:val="0"/>
              <w:jc w:val="center"/>
              <w:rPr>
                <w:rFonts w:ascii="宋体" w:hAnsi="宋体"/>
                <w:sz w:val="24"/>
                <w:highlight w:val="none"/>
              </w:rPr>
            </w:pPr>
            <w:r>
              <w:rPr>
                <w:rFonts w:hint="eastAsia" w:ascii="宋体" w:hAnsi="宋体"/>
                <w:sz w:val="24"/>
                <w:highlight w:val="none"/>
              </w:rPr>
              <w:t>摇出球号</w:t>
            </w:r>
          </w:p>
        </w:tc>
        <w:tc>
          <w:tcPr>
            <w:tcW w:w="4928" w:type="dxa"/>
            <w:vAlign w:val="center"/>
          </w:tcPr>
          <w:p>
            <w:pPr>
              <w:tabs>
                <w:tab w:val="left" w:pos="720"/>
              </w:tabs>
              <w:wordWrap w:val="0"/>
              <w:snapToGrid w:val="0"/>
              <w:jc w:val="center"/>
              <w:rPr>
                <w:rFonts w:ascii="宋体" w:hAnsi="宋体"/>
                <w:sz w:val="24"/>
                <w:highlight w:val="none"/>
              </w:rPr>
            </w:pPr>
            <w:r>
              <w:rPr>
                <w:rFonts w:hint="eastAsia" w:ascii="宋体" w:hAnsi="宋体"/>
                <w:sz w:val="24"/>
                <w:highlight w:val="none"/>
              </w:rPr>
              <w:t>随机抽取的评标基准价的下浮率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p>
        </w:tc>
        <w:tc>
          <w:tcPr>
            <w:tcW w:w="1768" w:type="dxa"/>
            <w:vAlign w:val="center"/>
          </w:tcPr>
          <w:p>
            <w:pPr>
              <w:tabs>
                <w:tab w:val="left" w:pos="720"/>
              </w:tabs>
              <w:wordWrap w:val="0"/>
              <w:snapToGrid w:val="0"/>
              <w:jc w:val="center"/>
              <w:rPr>
                <w:rFonts w:ascii="宋体" w:hAnsi="宋体"/>
                <w:sz w:val="24"/>
                <w:highlight w:val="none"/>
              </w:rPr>
            </w:pPr>
            <w:r>
              <w:rPr>
                <w:rFonts w:ascii="宋体" w:hAnsi="宋体"/>
                <w:sz w:val="24"/>
                <w:highlight w:val="none"/>
              </w:rPr>
              <w:t>2</w:t>
            </w:r>
          </w:p>
        </w:tc>
        <w:tc>
          <w:tcPr>
            <w:tcW w:w="1868" w:type="dxa"/>
            <w:vMerge w:val="restart"/>
            <w:vAlign w:val="center"/>
          </w:tcPr>
          <w:p>
            <w:pPr>
              <w:tabs>
                <w:tab w:val="left" w:pos="720"/>
              </w:tabs>
              <w:wordWrap w:val="0"/>
              <w:snapToGrid w:val="0"/>
              <w:jc w:val="center"/>
              <w:rPr>
                <w:rFonts w:ascii="宋体" w:hAnsi="宋体"/>
                <w:sz w:val="24"/>
                <w:highlight w:val="none"/>
              </w:rPr>
            </w:pPr>
          </w:p>
        </w:tc>
        <w:tc>
          <w:tcPr>
            <w:tcW w:w="4928" w:type="dxa"/>
            <w:vMerge w:val="restart"/>
            <w:vAlign w:val="center"/>
          </w:tcPr>
          <w:p>
            <w:pPr>
              <w:tabs>
                <w:tab w:val="left" w:pos="720"/>
              </w:tabs>
              <w:wordWrap w:val="0"/>
              <w:snapToGrid w:val="0"/>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p>
        </w:tc>
        <w:tc>
          <w:tcPr>
            <w:tcW w:w="1768" w:type="dxa"/>
            <w:vAlign w:val="center"/>
          </w:tcPr>
          <w:p>
            <w:pPr>
              <w:tabs>
                <w:tab w:val="left" w:pos="720"/>
              </w:tabs>
              <w:wordWrap w:val="0"/>
              <w:snapToGrid w:val="0"/>
              <w:jc w:val="center"/>
              <w:rPr>
                <w:rFonts w:ascii="宋体" w:hAnsi="宋体"/>
                <w:sz w:val="24"/>
                <w:highlight w:val="none"/>
              </w:rPr>
            </w:pPr>
            <w:r>
              <w:rPr>
                <w:rFonts w:ascii="宋体" w:hAnsi="宋体"/>
                <w:sz w:val="24"/>
                <w:highlight w:val="none"/>
              </w:rPr>
              <w:t>2.5</w:t>
            </w:r>
          </w:p>
        </w:tc>
        <w:tc>
          <w:tcPr>
            <w:tcW w:w="1868" w:type="dxa"/>
            <w:vMerge w:val="continue"/>
            <w:vAlign w:val="center"/>
          </w:tcPr>
          <w:p>
            <w:pPr>
              <w:tabs>
                <w:tab w:val="left" w:pos="720"/>
              </w:tabs>
              <w:wordWrap w:val="0"/>
              <w:snapToGrid w:val="0"/>
              <w:jc w:val="center"/>
              <w:rPr>
                <w:rFonts w:ascii="宋体" w:hAnsi="宋体"/>
                <w:sz w:val="24"/>
                <w:highlight w:val="none"/>
              </w:rPr>
            </w:pPr>
          </w:p>
        </w:tc>
        <w:tc>
          <w:tcPr>
            <w:tcW w:w="4928" w:type="dxa"/>
            <w:vMerge w:val="continue"/>
            <w:vAlign w:val="center"/>
          </w:tcPr>
          <w:p>
            <w:pPr>
              <w:tabs>
                <w:tab w:val="left" w:pos="720"/>
              </w:tabs>
              <w:wordWrap w:val="0"/>
              <w:snapToGrid w:val="0"/>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p>
        </w:tc>
        <w:tc>
          <w:tcPr>
            <w:tcW w:w="1768" w:type="dxa"/>
            <w:vAlign w:val="center"/>
          </w:tcPr>
          <w:p>
            <w:pPr>
              <w:tabs>
                <w:tab w:val="left" w:pos="720"/>
              </w:tabs>
              <w:wordWrap w:val="0"/>
              <w:snapToGrid w:val="0"/>
              <w:jc w:val="center"/>
              <w:rPr>
                <w:rFonts w:ascii="宋体" w:hAnsi="宋体"/>
                <w:sz w:val="24"/>
                <w:highlight w:val="none"/>
              </w:rPr>
            </w:pPr>
            <w:r>
              <w:rPr>
                <w:rFonts w:ascii="宋体" w:hAnsi="宋体"/>
                <w:sz w:val="24"/>
                <w:highlight w:val="none"/>
              </w:rPr>
              <w:t>3</w:t>
            </w:r>
          </w:p>
        </w:tc>
        <w:tc>
          <w:tcPr>
            <w:tcW w:w="1868" w:type="dxa"/>
            <w:vMerge w:val="continue"/>
            <w:vAlign w:val="center"/>
          </w:tcPr>
          <w:p>
            <w:pPr>
              <w:tabs>
                <w:tab w:val="left" w:pos="720"/>
              </w:tabs>
              <w:wordWrap w:val="0"/>
              <w:snapToGrid w:val="0"/>
              <w:jc w:val="center"/>
              <w:rPr>
                <w:rFonts w:ascii="宋体" w:hAnsi="宋体"/>
                <w:sz w:val="24"/>
                <w:highlight w:val="none"/>
              </w:rPr>
            </w:pPr>
          </w:p>
        </w:tc>
        <w:tc>
          <w:tcPr>
            <w:tcW w:w="4928" w:type="dxa"/>
            <w:vMerge w:val="continue"/>
            <w:vAlign w:val="center"/>
          </w:tcPr>
          <w:p>
            <w:pPr>
              <w:tabs>
                <w:tab w:val="left" w:pos="720"/>
              </w:tabs>
              <w:wordWrap w:val="0"/>
              <w:snapToGrid w:val="0"/>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p>
        </w:tc>
        <w:tc>
          <w:tcPr>
            <w:tcW w:w="1768" w:type="dxa"/>
            <w:vAlign w:val="center"/>
          </w:tcPr>
          <w:p>
            <w:pPr>
              <w:tabs>
                <w:tab w:val="left" w:pos="720"/>
              </w:tabs>
              <w:wordWrap w:val="0"/>
              <w:snapToGrid w:val="0"/>
              <w:jc w:val="center"/>
              <w:rPr>
                <w:rFonts w:ascii="宋体" w:hAnsi="宋体"/>
                <w:sz w:val="24"/>
                <w:highlight w:val="none"/>
              </w:rPr>
            </w:pPr>
            <w:r>
              <w:rPr>
                <w:rFonts w:ascii="宋体" w:hAnsi="宋体"/>
                <w:sz w:val="24"/>
                <w:highlight w:val="none"/>
              </w:rPr>
              <w:t>3.5</w:t>
            </w:r>
          </w:p>
        </w:tc>
        <w:tc>
          <w:tcPr>
            <w:tcW w:w="1868" w:type="dxa"/>
            <w:vMerge w:val="continue"/>
            <w:vAlign w:val="center"/>
          </w:tcPr>
          <w:p>
            <w:pPr>
              <w:tabs>
                <w:tab w:val="left" w:pos="720"/>
              </w:tabs>
              <w:wordWrap w:val="0"/>
              <w:snapToGrid w:val="0"/>
              <w:jc w:val="center"/>
              <w:rPr>
                <w:rFonts w:ascii="宋体" w:hAnsi="宋体"/>
                <w:sz w:val="24"/>
                <w:highlight w:val="none"/>
              </w:rPr>
            </w:pPr>
          </w:p>
        </w:tc>
        <w:tc>
          <w:tcPr>
            <w:tcW w:w="4928" w:type="dxa"/>
            <w:vMerge w:val="continue"/>
            <w:vAlign w:val="center"/>
          </w:tcPr>
          <w:p>
            <w:pPr>
              <w:tabs>
                <w:tab w:val="left" w:pos="720"/>
              </w:tabs>
              <w:wordWrap w:val="0"/>
              <w:snapToGrid w:val="0"/>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p>
        </w:tc>
        <w:tc>
          <w:tcPr>
            <w:tcW w:w="1768" w:type="dxa"/>
            <w:vAlign w:val="center"/>
          </w:tcPr>
          <w:p>
            <w:pPr>
              <w:tabs>
                <w:tab w:val="left" w:pos="720"/>
              </w:tabs>
              <w:wordWrap w:val="0"/>
              <w:snapToGrid w:val="0"/>
              <w:jc w:val="center"/>
              <w:rPr>
                <w:rFonts w:ascii="宋体" w:hAnsi="宋体"/>
                <w:sz w:val="24"/>
                <w:highlight w:val="none"/>
              </w:rPr>
            </w:pPr>
            <w:r>
              <w:rPr>
                <w:rFonts w:ascii="宋体" w:hAnsi="宋体"/>
                <w:sz w:val="24"/>
                <w:highlight w:val="none"/>
              </w:rPr>
              <w:t>4</w:t>
            </w:r>
          </w:p>
        </w:tc>
        <w:tc>
          <w:tcPr>
            <w:tcW w:w="1868" w:type="dxa"/>
            <w:vMerge w:val="continue"/>
            <w:vAlign w:val="center"/>
          </w:tcPr>
          <w:p>
            <w:pPr>
              <w:tabs>
                <w:tab w:val="left" w:pos="720"/>
              </w:tabs>
              <w:wordWrap w:val="0"/>
              <w:snapToGrid w:val="0"/>
              <w:jc w:val="center"/>
              <w:rPr>
                <w:rFonts w:ascii="宋体" w:hAnsi="宋体"/>
                <w:sz w:val="24"/>
                <w:highlight w:val="none"/>
              </w:rPr>
            </w:pPr>
          </w:p>
        </w:tc>
        <w:tc>
          <w:tcPr>
            <w:tcW w:w="4928" w:type="dxa"/>
            <w:vMerge w:val="continue"/>
            <w:vAlign w:val="center"/>
          </w:tcPr>
          <w:p>
            <w:pPr>
              <w:tabs>
                <w:tab w:val="left" w:pos="720"/>
              </w:tabs>
              <w:wordWrap w:val="0"/>
              <w:snapToGrid w:val="0"/>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p>
        </w:tc>
        <w:tc>
          <w:tcPr>
            <w:tcW w:w="1768" w:type="dxa"/>
            <w:vAlign w:val="center"/>
          </w:tcPr>
          <w:p>
            <w:pPr>
              <w:tabs>
                <w:tab w:val="left" w:pos="720"/>
              </w:tabs>
              <w:wordWrap w:val="0"/>
              <w:snapToGrid w:val="0"/>
              <w:jc w:val="center"/>
              <w:rPr>
                <w:rFonts w:ascii="宋体" w:hAnsi="宋体"/>
                <w:sz w:val="24"/>
                <w:highlight w:val="none"/>
              </w:rPr>
            </w:pPr>
            <w:r>
              <w:rPr>
                <w:rFonts w:ascii="宋体" w:hAnsi="宋体"/>
                <w:sz w:val="24"/>
                <w:highlight w:val="none"/>
              </w:rPr>
              <w:t>4.5</w:t>
            </w:r>
          </w:p>
        </w:tc>
        <w:tc>
          <w:tcPr>
            <w:tcW w:w="1868" w:type="dxa"/>
            <w:vMerge w:val="continue"/>
            <w:vAlign w:val="center"/>
          </w:tcPr>
          <w:p>
            <w:pPr>
              <w:tabs>
                <w:tab w:val="left" w:pos="720"/>
              </w:tabs>
              <w:wordWrap w:val="0"/>
              <w:snapToGrid w:val="0"/>
              <w:jc w:val="center"/>
              <w:rPr>
                <w:rFonts w:ascii="宋体" w:hAnsi="宋体"/>
                <w:sz w:val="24"/>
                <w:highlight w:val="none"/>
              </w:rPr>
            </w:pPr>
          </w:p>
        </w:tc>
        <w:tc>
          <w:tcPr>
            <w:tcW w:w="4928" w:type="dxa"/>
            <w:vMerge w:val="continue"/>
            <w:vAlign w:val="center"/>
          </w:tcPr>
          <w:p>
            <w:pPr>
              <w:tabs>
                <w:tab w:val="left" w:pos="720"/>
              </w:tabs>
              <w:wordWrap w:val="0"/>
              <w:snapToGrid w:val="0"/>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0" w:type="dxa"/>
            <w:vAlign w:val="center"/>
          </w:tcPr>
          <w:p>
            <w:pPr>
              <w:tabs>
                <w:tab w:val="left" w:pos="720"/>
              </w:tabs>
              <w:wordWrap w:val="0"/>
              <w:snapToGrid w:val="0"/>
              <w:jc w:val="center"/>
              <w:rPr>
                <w:rFonts w:ascii="宋体" w:hAnsi="宋体"/>
                <w:sz w:val="24"/>
                <w:highlight w:val="none"/>
              </w:rPr>
            </w:pPr>
          </w:p>
        </w:tc>
        <w:tc>
          <w:tcPr>
            <w:tcW w:w="1768" w:type="dxa"/>
            <w:vAlign w:val="center"/>
          </w:tcPr>
          <w:p>
            <w:pPr>
              <w:tabs>
                <w:tab w:val="left" w:pos="720"/>
              </w:tabs>
              <w:wordWrap w:val="0"/>
              <w:snapToGrid w:val="0"/>
              <w:jc w:val="center"/>
              <w:rPr>
                <w:rFonts w:ascii="宋体" w:hAnsi="宋体"/>
                <w:sz w:val="24"/>
                <w:highlight w:val="none"/>
              </w:rPr>
            </w:pPr>
            <w:r>
              <w:rPr>
                <w:rFonts w:ascii="宋体" w:hAnsi="宋体"/>
                <w:sz w:val="24"/>
                <w:highlight w:val="none"/>
              </w:rPr>
              <w:t>5</w:t>
            </w:r>
          </w:p>
        </w:tc>
        <w:tc>
          <w:tcPr>
            <w:tcW w:w="1868" w:type="dxa"/>
            <w:vMerge w:val="continue"/>
            <w:vAlign w:val="center"/>
          </w:tcPr>
          <w:p>
            <w:pPr>
              <w:tabs>
                <w:tab w:val="left" w:pos="720"/>
              </w:tabs>
              <w:wordWrap w:val="0"/>
              <w:snapToGrid w:val="0"/>
              <w:jc w:val="center"/>
              <w:rPr>
                <w:rFonts w:ascii="宋体" w:hAnsi="宋体"/>
                <w:sz w:val="24"/>
                <w:highlight w:val="none"/>
              </w:rPr>
            </w:pPr>
          </w:p>
        </w:tc>
        <w:tc>
          <w:tcPr>
            <w:tcW w:w="4928" w:type="dxa"/>
            <w:vMerge w:val="continue"/>
            <w:vAlign w:val="center"/>
          </w:tcPr>
          <w:p>
            <w:pPr>
              <w:tabs>
                <w:tab w:val="left" w:pos="720"/>
              </w:tabs>
              <w:wordWrap w:val="0"/>
              <w:snapToGrid w:val="0"/>
              <w:jc w:val="center"/>
              <w:rPr>
                <w:rFonts w:ascii="宋体" w:hAnsi="宋体"/>
                <w:sz w:val="24"/>
                <w:highlight w:val="none"/>
              </w:rPr>
            </w:pPr>
          </w:p>
        </w:tc>
      </w:tr>
    </w:tbl>
    <w:p>
      <w:pPr>
        <w:wordWrap w:val="0"/>
        <w:spacing w:line="440" w:lineRule="exact"/>
        <w:ind w:firstLine="422" w:firstLineChars="200"/>
        <w:rPr>
          <w:rFonts w:ascii="宋体" w:hAnsi="宋体"/>
          <w:b/>
          <w:szCs w:val="21"/>
          <w:highlight w:val="none"/>
        </w:rPr>
      </w:pPr>
      <w:r>
        <w:rPr>
          <w:rFonts w:hint="eastAsia" w:ascii="宋体" w:hAnsi="宋体"/>
          <w:b/>
          <w:szCs w:val="21"/>
          <w:highlight w:val="none"/>
        </w:rPr>
        <w:t>注：</w:t>
      </w:r>
      <w:r>
        <w:rPr>
          <w:rFonts w:ascii="宋体" w:hAnsi="宋体"/>
          <w:b/>
          <w:szCs w:val="21"/>
          <w:highlight w:val="none"/>
        </w:rPr>
        <w:t>1</w:t>
      </w:r>
      <w:r>
        <w:rPr>
          <w:rFonts w:hint="eastAsia" w:ascii="宋体" w:hAnsi="宋体"/>
          <w:b/>
          <w:szCs w:val="21"/>
          <w:highlight w:val="none"/>
        </w:rPr>
        <w:t>、计算评标基准价的下浮率从</w:t>
      </w:r>
      <w:r>
        <w:rPr>
          <w:rFonts w:ascii="宋体" w:hAnsi="宋体"/>
          <w:b/>
          <w:szCs w:val="21"/>
          <w:highlight w:val="none"/>
        </w:rPr>
        <w:t>2%</w:t>
      </w:r>
      <w:r>
        <w:rPr>
          <w:rFonts w:hint="eastAsia" w:ascii="宋体" w:hAnsi="宋体"/>
          <w:b/>
          <w:szCs w:val="21"/>
          <w:highlight w:val="none"/>
        </w:rPr>
        <w:t>、</w:t>
      </w:r>
      <w:r>
        <w:rPr>
          <w:rFonts w:ascii="宋体" w:hAnsi="宋体"/>
          <w:b/>
          <w:szCs w:val="21"/>
          <w:highlight w:val="none"/>
        </w:rPr>
        <w:t>2.5%</w:t>
      </w: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ascii="宋体" w:hAnsi="宋体"/>
          <w:b/>
          <w:szCs w:val="21"/>
          <w:highlight w:val="none"/>
        </w:rPr>
        <w:t>3.5%</w:t>
      </w: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
          <w:szCs w:val="21"/>
          <w:highlight w:val="none"/>
        </w:rPr>
        <w:t>4.5%</w:t>
      </w:r>
      <w:r>
        <w:rPr>
          <w:rFonts w:hint="eastAsia" w:ascii="宋体" w:hAnsi="宋体"/>
          <w:b/>
          <w:szCs w:val="21"/>
          <w:highlight w:val="none"/>
        </w:rPr>
        <w:t>、</w:t>
      </w:r>
      <w:r>
        <w:rPr>
          <w:rFonts w:ascii="宋体" w:hAnsi="宋体"/>
          <w:b/>
          <w:szCs w:val="21"/>
          <w:highlight w:val="none"/>
        </w:rPr>
        <w:t>5%</w:t>
      </w:r>
      <w:r>
        <w:rPr>
          <w:rFonts w:hint="eastAsia" w:ascii="宋体" w:hAnsi="宋体"/>
          <w:b/>
          <w:szCs w:val="21"/>
          <w:highlight w:val="none"/>
        </w:rPr>
        <w:t>中随机抽取</w:t>
      </w:r>
    </w:p>
    <w:p>
      <w:pPr>
        <w:wordWrap w:val="0"/>
        <w:spacing w:line="440" w:lineRule="exact"/>
        <w:ind w:firstLine="422" w:firstLineChars="200"/>
        <w:rPr>
          <w:rFonts w:ascii="宋体" w:hAnsi="宋体"/>
          <w:szCs w:val="21"/>
          <w:highlight w:val="none"/>
        </w:rPr>
      </w:pPr>
      <w:r>
        <w:rPr>
          <w:rFonts w:ascii="宋体" w:hAnsi="宋体"/>
          <w:b/>
          <w:szCs w:val="21"/>
          <w:highlight w:val="none"/>
        </w:rPr>
        <w:t xml:space="preserve">    2</w:t>
      </w:r>
      <w:r>
        <w:rPr>
          <w:rFonts w:hint="eastAsia" w:ascii="宋体" w:hAnsi="宋体"/>
          <w:b/>
          <w:szCs w:val="21"/>
          <w:highlight w:val="none"/>
        </w:rPr>
        <w:t>、球号根据交易中心提供号球填写，如提供的球为</w:t>
      </w:r>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
          <w:szCs w:val="21"/>
          <w:highlight w:val="none"/>
        </w:rPr>
        <w:t>5</w:t>
      </w:r>
      <w:r>
        <w:rPr>
          <w:rFonts w:hint="eastAsia" w:ascii="宋体" w:hAnsi="宋体"/>
          <w:b/>
          <w:szCs w:val="21"/>
          <w:highlight w:val="none"/>
        </w:rPr>
        <w:t>、</w:t>
      </w:r>
      <w:r>
        <w:rPr>
          <w:rFonts w:ascii="宋体" w:hAnsi="宋体"/>
          <w:b/>
          <w:szCs w:val="21"/>
          <w:highlight w:val="none"/>
        </w:rPr>
        <w:t>6</w:t>
      </w:r>
      <w:r>
        <w:rPr>
          <w:rFonts w:hint="eastAsia" w:ascii="宋体" w:hAnsi="宋体"/>
          <w:b/>
          <w:szCs w:val="21"/>
          <w:highlight w:val="none"/>
        </w:rPr>
        <w:t>、</w:t>
      </w:r>
      <w:r>
        <w:rPr>
          <w:rFonts w:ascii="宋体" w:hAnsi="宋体"/>
          <w:b/>
          <w:szCs w:val="21"/>
          <w:highlight w:val="none"/>
        </w:rPr>
        <w:t>7</w:t>
      </w:r>
      <w:r>
        <w:rPr>
          <w:rFonts w:hint="eastAsia" w:ascii="宋体" w:hAnsi="宋体"/>
          <w:b/>
          <w:szCs w:val="21"/>
          <w:highlight w:val="none"/>
        </w:rPr>
        <w:t>，则按从小到大的顺序对应填写</w:t>
      </w:r>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
          <w:szCs w:val="21"/>
          <w:highlight w:val="none"/>
        </w:rPr>
        <w:t>5</w:t>
      </w:r>
      <w:r>
        <w:rPr>
          <w:rFonts w:hint="eastAsia" w:ascii="宋体" w:hAnsi="宋体"/>
          <w:b/>
          <w:szCs w:val="21"/>
          <w:highlight w:val="none"/>
        </w:rPr>
        <w:t>、</w:t>
      </w:r>
      <w:r>
        <w:rPr>
          <w:rFonts w:ascii="宋体" w:hAnsi="宋体"/>
          <w:b/>
          <w:szCs w:val="21"/>
          <w:highlight w:val="none"/>
        </w:rPr>
        <w:t>6</w:t>
      </w:r>
      <w:r>
        <w:rPr>
          <w:rFonts w:hint="eastAsia" w:ascii="宋体" w:hAnsi="宋体"/>
          <w:b/>
          <w:szCs w:val="21"/>
          <w:highlight w:val="none"/>
        </w:rPr>
        <w:t>、</w:t>
      </w:r>
      <w:r>
        <w:rPr>
          <w:rFonts w:ascii="宋体" w:hAnsi="宋体"/>
          <w:b/>
          <w:szCs w:val="21"/>
          <w:highlight w:val="none"/>
        </w:rPr>
        <w:t>7</w:t>
      </w:r>
      <w:r>
        <w:rPr>
          <w:rFonts w:hint="eastAsia" w:ascii="宋体" w:hAnsi="宋体"/>
          <w:b/>
          <w:szCs w:val="21"/>
          <w:highlight w:val="none"/>
        </w:rPr>
        <w:t>；如提供的球号</w:t>
      </w:r>
      <w:r>
        <w:rPr>
          <w:rFonts w:ascii="宋体" w:hAnsi="宋体"/>
          <w:b/>
          <w:szCs w:val="21"/>
          <w:highlight w:val="none"/>
        </w:rPr>
        <w:t>2</w:t>
      </w:r>
      <w:r>
        <w:rPr>
          <w:rFonts w:hint="eastAsia" w:ascii="宋体" w:hAnsi="宋体"/>
          <w:b/>
          <w:szCs w:val="21"/>
          <w:highlight w:val="none"/>
        </w:rPr>
        <w:t>、</w:t>
      </w:r>
      <w:r>
        <w:rPr>
          <w:rFonts w:ascii="宋体" w:hAnsi="宋体"/>
          <w:b/>
          <w:szCs w:val="21"/>
          <w:highlight w:val="none"/>
        </w:rPr>
        <w:t>2.5</w:t>
      </w: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ascii="宋体" w:hAnsi="宋体"/>
          <w:b/>
          <w:szCs w:val="21"/>
          <w:highlight w:val="none"/>
        </w:rPr>
        <w:t>3.5</w:t>
      </w: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
          <w:szCs w:val="21"/>
          <w:highlight w:val="none"/>
        </w:rPr>
        <w:t>4.5</w:t>
      </w:r>
      <w:r>
        <w:rPr>
          <w:rFonts w:hint="eastAsia" w:ascii="宋体" w:hAnsi="宋体"/>
          <w:b/>
          <w:szCs w:val="21"/>
          <w:highlight w:val="none"/>
        </w:rPr>
        <w:t>、</w:t>
      </w:r>
      <w:r>
        <w:rPr>
          <w:rFonts w:ascii="宋体" w:hAnsi="宋体"/>
          <w:b/>
          <w:szCs w:val="21"/>
          <w:highlight w:val="none"/>
        </w:rPr>
        <w:t>5</w:t>
      </w:r>
      <w:r>
        <w:rPr>
          <w:rFonts w:hint="eastAsia" w:ascii="宋体" w:hAnsi="宋体"/>
          <w:b/>
          <w:szCs w:val="21"/>
          <w:highlight w:val="none"/>
        </w:rPr>
        <w:t>，则对应填写</w:t>
      </w:r>
      <w:r>
        <w:rPr>
          <w:rFonts w:ascii="宋体" w:hAnsi="宋体"/>
          <w:b/>
          <w:szCs w:val="21"/>
          <w:highlight w:val="none"/>
        </w:rPr>
        <w:t>2</w:t>
      </w:r>
      <w:r>
        <w:rPr>
          <w:rFonts w:hint="eastAsia" w:ascii="宋体" w:hAnsi="宋体"/>
          <w:b/>
          <w:szCs w:val="21"/>
          <w:highlight w:val="none"/>
        </w:rPr>
        <w:t>、</w:t>
      </w:r>
      <w:r>
        <w:rPr>
          <w:rFonts w:ascii="宋体" w:hAnsi="宋体"/>
          <w:b/>
          <w:szCs w:val="21"/>
          <w:highlight w:val="none"/>
        </w:rPr>
        <w:t>2.5</w:t>
      </w: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ascii="宋体" w:hAnsi="宋体"/>
          <w:b/>
          <w:szCs w:val="21"/>
          <w:highlight w:val="none"/>
        </w:rPr>
        <w:t>3.5</w:t>
      </w: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
          <w:szCs w:val="21"/>
          <w:highlight w:val="none"/>
        </w:rPr>
        <w:t>4.5</w:t>
      </w:r>
      <w:r>
        <w:rPr>
          <w:rFonts w:hint="eastAsia" w:ascii="宋体" w:hAnsi="宋体"/>
          <w:b/>
          <w:szCs w:val="21"/>
          <w:highlight w:val="none"/>
        </w:rPr>
        <w:t>、</w:t>
      </w:r>
      <w:r>
        <w:rPr>
          <w:rFonts w:ascii="宋体" w:hAnsi="宋体"/>
          <w:b/>
          <w:szCs w:val="21"/>
          <w:highlight w:val="none"/>
        </w:rPr>
        <w:t>5</w:t>
      </w:r>
      <w:r>
        <w:rPr>
          <w:rFonts w:hint="eastAsia" w:ascii="宋体" w:hAnsi="宋体"/>
          <w:b/>
          <w:szCs w:val="21"/>
          <w:highlight w:val="none"/>
        </w:rPr>
        <w:t>。</w:t>
      </w:r>
    </w:p>
    <w:p>
      <w:pPr>
        <w:wordWrap w:val="0"/>
        <w:spacing w:line="440" w:lineRule="exact"/>
        <w:rPr>
          <w:rFonts w:ascii="宋体" w:hAnsi="宋体"/>
          <w:szCs w:val="21"/>
          <w:highlight w:val="none"/>
        </w:rPr>
      </w:pPr>
    </w:p>
    <w:p>
      <w:pPr>
        <w:wordWrap w:val="0"/>
        <w:spacing w:line="440" w:lineRule="exact"/>
        <w:ind w:firstLine="420" w:firstLineChars="200"/>
        <w:rPr>
          <w:rFonts w:ascii="宋体" w:hAnsi="宋体"/>
          <w:szCs w:val="21"/>
          <w:highlight w:val="none"/>
        </w:rPr>
      </w:pPr>
      <w:r>
        <w:rPr>
          <w:rFonts w:hint="eastAsia" w:ascii="宋体" w:hAnsi="宋体"/>
          <w:szCs w:val="21"/>
          <w:highlight w:val="none"/>
        </w:rPr>
        <w:t>监标人：</w:t>
      </w:r>
    </w:p>
    <w:p>
      <w:pPr>
        <w:wordWrap w:val="0"/>
        <w:spacing w:line="440" w:lineRule="exact"/>
        <w:rPr>
          <w:rFonts w:ascii="宋体" w:hAnsi="宋体"/>
          <w:szCs w:val="21"/>
          <w:highlight w:val="none"/>
        </w:rPr>
      </w:pPr>
    </w:p>
    <w:p>
      <w:pPr>
        <w:wordWrap w:val="0"/>
        <w:spacing w:line="440" w:lineRule="exact"/>
        <w:ind w:firstLine="420" w:firstLineChars="200"/>
        <w:rPr>
          <w:rFonts w:ascii="宋体" w:hAnsi="宋体"/>
          <w:szCs w:val="21"/>
          <w:highlight w:val="none"/>
        </w:rPr>
      </w:pPr>
      <w:r>
        <w:rPr>
          <w:rFonts w:hint="eastAsia" w:ascii="宋体" w:hAnsi="宋体"/>
          <w:szCs w:val="21"/>
          <w:highlight w:val="none"/>
        </w:rPr>
        <w:t>记录人：</w:t>
      </w:r>
    </w:p>
    <w:p>
      <w:pPr>
        <w:wordWrap w:val="0"/>
        <w:spacing w:line="440" w:lineRule="exact"/>
        <w:rPr>
          <w:rFonts w:ascii="宋体" w:hAnsi="宋体"/>
          <w:szCs w:val="21"/>
          <w:highlight w:val="none"/>
        </w:rPr>
      </w:pPr>
    </w:p>
    <w:p>
      <w:pPr>
        <w:wordWrap w:val="0"/>
        <w:spacing w:line="440" w:lineRule="exact"/>
        <w:ind w:firstLine="420" w:firstLineChars="200"/>
        <w:rPr>
          <w:rFonts w:ascii="宋体" w:hAnsi="宋体"/>
          <w:szCs w:val="21"/>
          <w:highlight w:val="none"/>
        </w:rPr>
      </w:pPr>
      <w:r>
        <w:rPr>
          <w:rFonts w:hint="eastAsia" w:ascii="宋体" w:hAnsi="宋体"/>
          <w:szCs w:val="21"/>
          <w:highlight w:val="none"/>
        </w:rPr>
        <w:t>唱标人</w:t>
      </w:r>
      <w:r>
        <w:rPr>
          <w:rFonts w:ascii="宋体" w:hAnsi="宋体"/>
          <w:szCs w:val="21"/>
          <w:highlight w:val="none"/>
        </w:rPr>
        <w:t xml:space="preserve">:               </w:t>
      </w:r>
    </w:p>
    <w:p>
      <w:pPr>
        <w:wordWrap w:val="0"/>
        <w:spacing w:line="440" w:lineRule="exact"/>
        <w:rPr>
          <w:rFonts w:ascii="宋体" w:hAnsi="宋体"/>
          <w:szCs w:val="21"/>
          <w:highlight w:val="none"/>
        </w:rPr>
      </w:pPr>
    </w:p>
    <w:p>
      <w:pPr>
        <w:wordWrap w:val="0"/>
        <w:spacing w:line="440" w:lineRule="exact"/>
        <w:ind w:firstLine="420" w:firstLineChars="200"/>
        <w:rPr>
          <w:rFonts w:ascii="宋体" w:hAnsi="宋体"/>
          <w:szCs w:val="21"/>
          <w:highlight w:val="none"/>
        </w:rPr>
      </w:pPr>
      <w:r>
        <w:rPr>
          <w:rFonts w:hint="eastAsia" w:ascii="宋体" w:hAnsi="宋体"/>
          <w:szCs w:val="21"/>
          <w:highlight w:val="none"/>
        </w:rPr>
        <w:t>见证人</w:t>
      </w:r>
      <w:r>
        <w:rPr>
          <w:rFonts w:ascii="宋体" w:hAnsi="宋体"/>
          <w:szCs w:val="21"/>
          <w:highlight w:val="none"/>
        </w:rPr>
        <w:t xml:space="preserve">:              </w:t>
      </w:r>
    </w:p>
    <w:p>
      <w:pPr>
        <w:wordWrap w:val="0"/>
        <w:spacing w:line="440" w:lineRule="exact"/>
        <w:rPr>
          <w:rFonts w:ascii="宋体" w:hAnsi="宋体"/>
          <w:szCs w:val="21"/>
          <w:highlight w:val="none"/>
        </w:rPr>
      </w:pPr>
    </w:p>
    <w:p>
      <w:pPr>
        <w:wordWrap w:val="0"/>
        <w:spacing w:line="440" w:lineRule="exact"/>
        <w:ind w:firstLine="420" w:firstLineChars="200"/>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wordWrap w:val="0"/>
        <w:spacing w:line="440" w:lineRule="exact"/>
        <w:ind w:firstLine="420" w:firstLineChars="200"/>
        <w:rPr>
          <w:rFonts w:ascii="宋体" w:hAnsi="宋体"/>
          <w:sz w:val="32"/>
          <w:szCs w:val="27"/>
          <w:highlight w:val="none"/>
        </w:rPr>
      </w:pPr>
      <w:r>
        <w:rPr>
          <w:rFonts w:hint="eastAsia" w:ascii="宋体" w:hAnsi="宋体"/>
          <w:szCs w:val="21"/>
          <w:highlight w:val="none"/>
        </w:rPr>
        <w:br w:type="page"/>
      </w:r>
      <w:bookmarkStart w:id="154" w:name="_Toc155150492"/>
      <w:bookmarkStart w:id="155" w:name="_Toc262229168"/>
    </w:p>
    <w:p>
      <w:pPr>
        <w:pStyle w:val="6"/>
        <w:wordWrap w:val="0"/>
        <w:spacing w:before="0" w:after="0" w:line="360" w:lineRule="auto"/>
        <w:rPr>
          <w:rFonts w:ascii="宋体" w:hAnsi="宋体" w:eastAsia="宋体"/>
          <w:b/>
          <w:bCs/>
          <w:sz w:val="44"/>
          <w:szCs w:val="44"/>
          <w:highlight w:val="none"/>
        </w:rPr>
      </w:pPr>
      <w:bookmarkStart w:id="156" w:name="_Toc17556882"/>
      <w:bookmarkStart w:id="157" w:name="_Toc17451107"/>
      <w:bookmarkStart w:id="158" w:name="_Toc112854439"/>
      <w:bookmarkStart w:id="159" w:name="_Toc4293"/>
      <w:bookmarkStart w:id="160" w:name="_Toc17451584"/>
      <w:bookmarkStart w:id="161" w:name="_Toc17452670"/>
      <w:bookmarkStart w:id="162" w:name="_Toc17454928"/>
      <w:bookmarkStart w:id="163" w:name="_Toc6680"/>
      <w:bookmarkStart w:id="164" w:name="_Toc17454877"/>
      <w:bookmarkStart w:id="165" w:name="_Toc17451629"/>
      <w:bookmarkStart w:id="166" w:name="_Toc16383"/>
      <w:r>
        <w:rPr>
          <w:rFonts w:hint="eastAsia" w:ascii="宋体" w:hAnsi="宋体" w:eastAsia="宋体"/>
          <w:b/>
          <w:bCs/>
          <w:sz w:val="44"/>
          <w:szCs w:val="44"/>
          <w:highlight w:val="none"/>
        </w:rPr>
        <w:t>第三章 评标及定标办法</w:t>
      </w:r>
      <w:bookmarkEnd w:id="154"/>
      <w:bookmarkEnd w:id="155"/>
      <w:bookmarkEnd w:id="156"/>
      <w:bookmarkEnd w:id="157"/>
      <w:bookmarkEnd w:id="158"/>
      <w:bookmarkEnd w:id="159"/>
      <w:bookmarkEnd w:id="160"/>
      <w:bookmarkEnd w:id="161"/>
      <w:bookmarkEnd w:id="162"/>
      <w:bookmarkEnd w:id="163"/>
      <w:bookmarkEnd w:id="164"/>
      <w:bookmarkEnd w:id="165"/>
      <w:bookmarkEnd w:id="166"/>
    </w:p>
    <w:p>
      <w:pPr>
        <w:wordWrap w:val="0"/>
        <w:spacing w:line="360" w:lineRule="auto"/>
        <w:jc w:val="center"/>
        <w:outlineLvl w:val="2"/>
        <w:rPr>
          <w:rFonts w:ascii="宋体" w:hAnsi="宋体"/>
          <w:b/>
          <w:bCs/>
          <w:sz w:val="32"/>
          <w:szCs w:val="32"/>
          <w:highlight w:val="none"/>
        </w:rPr>
      </w:pPr>
      <w:bookmarkStart w:id="167" w:name="_Toc17451585"/>
      <w:bookmarkStart w:id="168" w:name="_Toc17452671"/>
      <w:bookmarkStart w:id="169" w:name="_Toc29326"/>
      <w:bookmarkStart w:id="170" w:name="_Toc17454929"/>
      <w:bookmarkStart w:id="171" w:name="_Toc17454878"/>
      <w:bookmarkStart w:id="172" w:name="_Toc19301"/>
      <w:bookmarkStart w:id="173" w:name="_Toc17451108"/>
      <w:bookmarkStart w:id="174" w:name="_Toc17451630"/>
      <w:bookmarkStart w:id="175" w:name="_Toc262229169"/>
      <w:bookmarkStart w:id="176" w:name="_Toc6104"/>
      <w:bookmarkStart w:id="177" w:name="_Toc155150493"/>
      <w:bookmarkStart w:id="178" w:name="_Toc17556883"/>
      <w:bookmarkStart w:id="179" w:name="_Toc112854440"/>
      <w:r>
        <w:rPr>
          <w:rFonts w:hint="eastAsia" w:ascii="宋体" w:hAnsi="宋体"/>
          <w:b/>
          <w:bCs/>
          <w:sz w:val="32"/>
          <w:szCs w:val="32"/>
          <w:highlight w:val="none"/>
        </w:rPr>
        <w:t>一、评标及定标办法修改表</w:t>
      </w:r>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21"/>
        <w:wordWrap w:val="0"/>
        <w:spacing w:after="0"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本修改表是对评标及定标办法通用条款的修改，与该通用条款不同之处，均在本表中列明，并以现文为准，原文不再有效。</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条款号：方法二：方法三：方法四：修改类型：删除</w:t>
      </w:r>
    </w:p>
    <w:p>
      <w:pPr>
        <w:wordWrap w:val="0"/>
        <w:spacing w:line="360" w:lineRule="auto"/>
        <w:ind w:firstLine="482" w:firstLineChars="200"/>
        <w:rPr>
          <w:rFonts w:ascii="宋体" w:hAnsi="宋体" w:cs="宋体"/>
          <w:strike/>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方法二：综合评估法二（需要编制技术文件）</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方法三：综合评估法三（不需要编制技术文件）</w:t>
      </w:r>
    </w:p>
    <w:p>
      <w:pPr>
        <w:pBdr>
          <w:bottom w:val="single" w:color="auto" w:sz="6" w:space="1"/>
        </w:pBdr>
        <w:wordWrap w:val="0"/>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方法四：经评审的最低投标价法：</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条款号：评标办法前附表2.1.1                    修改类型：增加</w:t>
      </w:r>
    </w:p>
    <w:p>
      <w:pPr>
        <w:pBdr>
          <w:bottom w:val="single" w:color="auto" w:sz="6" w:space="0"/>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投标申请人在投标文件中按招标文件要求提交签署盖章的《投标人廉洁承诺书》</w:t>
      </w:r>
    </w:p>
    <w:p>
      <w:pPr>
        <w:pStyle w:val="2"/>
        <w:rPr>
          <w:highlight w:val="none"/>
        </w:rPr>
      </w:pPr>
      <w:r>
        <w:rPr>
          <w:rFonts w:hint="eastAsia"/>
          <w:highlight w:val="none"/>
        </w:rPr>
        <w:t>方条款号：评标办法前附表2.1.1                    修改类型：修改</w:t>
      </w:r>
    </w:p>
    <w:p>
      <w:pPr>
        <w:pStyle w:val="2"/>
        <w:rPr>
          <w:highlight w:val="none"/>
        </w:rPr>
      </w:pPr>
      <w:r>
        <w:rPr>
          <w:rFonts w:hint="eastAsia"/>
          <w:highlight w:val="none"/>
        </w:rPr>
        <w:t>原文：安全培训考核合格证：项目负责人及专职安全员具备有效的符合符合第二章“投标人须知”第1.4.1项规定的行政主管部门颁发的安全培训考核合格证。</w:t>
      </w:r>
    </w:p>
    <w:p>
      <w:pPr>
        <w:pBdr>
          <w:bottom w:val="single" w:color="auto" w:sz="6" w:space="0"/>
        </w:pBdr>
        <w:wordWrap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安全生产考核合格证：项目负责人及专职安全员具备有效的符合第二章“投标人须知”第1.4.1项规定的行政主管部门颁发的安全生产考核合格证。</w:t>
      </w:r>
    </w:p>
    <w:p>
      <w:pPr>
        <w:pStyle w:val="2"/>
        <w:rPr>
          <w:highlight w:val="none"/>
        </w:rPr>
      </w:pPr>
      <w:r>
        <w:rPr>
          <w:rFonts w:hint="eastAsia"/>
          <w:highlight w:val="none"/>
        </w:rPr>
        <w:t>条款号：评标办法前附表2.1.1                    修改类型：修改</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条款号：评标办法前附表2.1.1                     修改类型：修改</w:t>
      </w:r>
    </w:p>
    <w:p>
      <w:pPr>
        <w:pBdr>
          <w:bottom w:val="single" w:color="auto" w:sz="6" w:space="0"/>
        </w:pBd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项目负责人、技术负责人签字：投标人声明有项目负责人、技术负责人签名</w:t>
      </w:r>
    </w:p>
    <w:p>
      <w:pPr>
        <w:pBdr>
          <w:bottom w:val="single" w:color="auto" w:sz="6" w:space="0"/>
        </w:pBd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法定代表人、项目负责人、技术负责人签字：投标人声明有法定代表人、项目负责人、技术负责人签名。</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条款号：评标办法前附表2.1.1                     修改类型：增加</w:t>
      </w:r>
    </w:p>
    <w:p>
      <w:pPr>
        <w:pBdr>
          <w:bottom w:val="single" w:color="auto" w:sz="6" w:space="0"/>
        </w:pBd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投标登记时的信息：投标文件中的投标人、项目负责人、专职安全员与企业库、投标登记时的信息一致。</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条款号：评标办法前附表2.1.1                     修改类型：增加</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未被纳入失信联合惩戒名单：投标人</w:t>
      </w:r>
      <w:r>
        <w:rPr>
          <w:rFonts w:hint="eastAsia" w:ascii="宋体" w:hAnsi="宋体" w:cs="宋体"/>
          <w:strike/>
          <w:sz w:val="24"/>
          <w:szCs w:val="24"/>
          <w:highlight w:val="none"/>
        </w:rPr>
        <w:t>（如为联合体，要求联合体各方）</w:t>
      </w:r>
      <w:r>
        <w:rPr>
          <w:rFonts w:hint="eastAsia" w:ascii="宋体" w:hAnsi="宋体" w:cs="宋体"/>
          <w:sz w:val="24"/>
          <w:szCs w:val="24"/>
          <w:highlight w:val="none"/>
        </w:rPr>
        <w:t>未被纳入失信联合惩戒名单，失信联合惩戒名单以 “信用广州” 网站公布的“黑名单”为准。</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注：①以投标人提供自本项目招标公告发布之日起至本项目投标截止日期止任一天在“信用广州”网站查询的截图为准。</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②查询截图的路径如下：查询网址https://credit1.gz.gov.cn/publicity/honourFuzzyList?type=2→黑名单）。</w:t>
      </w:r>
    </w:p>
    <w:p>
      <w:pPr>
        <w:pBdr>
          <w:bottom w:val="single" w:color="auto" w:sz="6" w:space="1"/>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③如网站查询结果显示“找不到和您的查询相符的记录”或类似意思的表述，则视为没有上述不良信用记录。</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条款号：评标办法前附表2.1.1                                修改类型：增加</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投标人按招标文件规定的格式及内容要求提交《投标函》。</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条款号：评标办法前附表2.1.2                     修改类型：删除</w:t>
      </w:r>
    </w:p>
    <w:p>
      <w:pPr>
        <w:pBdr>
          <w:bottom w:val="single" w:color="auto" w:sz="6" w:space="0"/>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联合体申请人提交联合体协议书，并明确联合体牵头人（如有）</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条款号：条款号：评标办法前附表2.1.3                     修改类型：修改</w:t>
      </w:r>
    </w:p>
    <w:p>
      <w:pPr>
        <w:pBdr>
          <w:bottom w:val="single" w:color="auto" w:sz="6" w:space="0"/>
        </w:pBdr>
        <w:wordWrap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技术标准和要求：符合第七章“技术标准和要求”规定</w:t>
      </w:r>
    </w:p>
    <w:p>
      <w:pPr>
        <w:pBdr>
          <w:bottom w:val="single" w:color="auto" w:sz="6" w:space="0"/>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技术标准和要求：符合第七章“技术标准和要求”规定。(注:需提供投标文件符合招标文件第七章“技术标准和要求”的承诺函，承诺函格式自拟。)</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条款号：评标办法前附表2.1.3                     修改类型：增加</w:t>
      </w:r>
    </w:p>
    <w:p>
      <w:pPr>
        <w:pBdr>
          <w:bottom w:val="single" w:color="auto" w:sz="6" w:space="0"/>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机器码唯一：机器码唯一：</w:t>
      </w:r>
    </w:p>
    <w:p>
      <w:pPr>
        <w:pBdr>
          <w:bottom w:val="single" w:color="auto" w:sz="6" w:space="0"/>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不存在以下情形之一：</w:t>
      </w:r>
    </w:p>
    <w:p>
      <w:pPr>
        <w:pBdr>
          <w:bottom w:val="single" w:color="auto" w:sz="6" w:space="0"/>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①投标人与本项目其他投标人加密打包投标文件电脑机器特征码一致的（以交易平台评标系统的检索信息为准)；</w:t>
      </w:r>
    </w:p>
    <w:p>
      <w:pPr>
        <w:pBdr>
          <w:bottom w:val="single" w:color="auto" w:sz="6" w:space="0"/>
        </w:pBd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②投标人与本项目其他投标人的投标文件工程量清单编制机器硬件信息一致的（以交易平台评标系统的检索信息为准）。</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条款号：评标办法前附表2.2.1 分值构成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原文：</w:t>
      </w:r>
      <w:r>
        <w:rPr>
          <w:rFonts w:hint="eastAsia" w:ascii="宋体" w:hAnsi="宋体" w:cs="宋体"/>
          <w:sz w:val="24"/>
          <w:szCs w:val="24"/>
          <w:highlight w:val="none"/>
        </w:rPr>
        <w:t>商务部分权重：</w:t>
      </w:r>
      <w:r>
        <w:rPr>
          <w:rFonts w:hint="eastAsia" w:ascii="宋体" w:hAnsi="宋体" w:cs="宋体"/>
          <w:sz w:val="24"/>
          <w:szCs w:val="24"/>
          <w:highlight w:val="none"/>
          <w:u w:val="single"/>
        </w:rPr>
        <w:t xml:space="preserve">       </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技术部分权重：</w:t>
      </w:r>
      <w:r>
        <w:rPr>
          <w:rFonts w:hint="eastAsia" w:ascii="宋体" w:hAnsi="宋体" w:cs="宋体"/>
          <w:sz w:val="24"/>
          <w:szCs w:val="24"/>
          <w:highlight w:val="none"/>
          <w:u w:val="single"/>
        </w:rPr>
        <w:t xml:space="preserve">       </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投标报价权重：_</w:t>
      </w:r>
      <w:r>
        <w:rPr>
          <w:rFonts w:hint="eastAsia" w:ascii="宋体" w:hAnsi="宋体" w:cs="宋体"/>
          <w:sz w:val="24"/>
          <w:szCs w:val="24"/>
          <w:highlight w:val="none"/>
          <w:u w:val="single"/>
        </w:rPr>
        <w:t xml:space="preserve">      </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（注：投标报价权重不少于商务、技术、投标报价三者之和的60%或80%，特殊性工程不少于60%，一般性工程不少于80%。）</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诚信得分：</w:t>
      </w:r>
      <w:r>
        <w:rPr>
          <w:rFonts w:hint="eastAsia" w:ascii="宋体" w:hAnsi="宋体" w:cs="宋体"/>
          <w:sz w:val="24"/>
          <w:szCs w:val="24"/>
          <w:highlight w:val="none"/>
          <w:u w:val="single"/>
        </w:rPr>
        <w:t xml:space="preserve">     </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（注：诚信得分应根据省市相关规定设置分值权重）</w:t>
      </w:r>
    </w:p>
    <w:p>
      <w:pPr>
        <w:wordWrap w:val="0"/>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现文：</w:t>
      </w:r>
      <w:r>
        <w:rPr>
          <w:rFonts w:hint="eastAsia" w:ascii="宋体" w:hAnsi="宋体" w:cs="宋体"/>
          <w:sz w:val="24"/>
          <w:szCs w:val="24"/>
          <w:highlight w:val="none"/>
        </w:rPr>
        <w:t>商务部分权重：</w:t>
      </w:r>
      <w:r>
        <w:rPr>
          <w:rFonts w:hint="eastAsia" w:ascii="宋体" w:hAnsi="宋体" w:cs="宋体"/>
          <w:sz w:val="24"/>
          <w:szCs w:val="24"/>
          <w:highlight w:val="none"/>
          <w:u w:val="single"/>
          <w:lang w:val="en-US" w:eastAsia="zh-CN"/>
        </w:rPr>
        <w:t>100</w:t>
      </w:r>
      <w:r>
        <w:rPr>
          <w:rFonts w:hint="eastAsia" w:ascii="宋体" w:hAnsi="宋体" w:cs="宋体"/>
          <w:sz w:val="24"/>
          <w:szCs w:val="24"/>
          <w:highlight w:val="none"/>
          <w:u w:val="single"/>
        </w:rPr>
        <w:t>%</w:t>
      </w:r>
      <w:r>
        <w:rPr>
          <w:rFonts w:hint="eastAsia" w:ascii="宋体" w:hAnsi="宋体" w:cs="宋体"/>
          <w:sz w:val="24"/>
          <w:szCs w:val="24"/>
          <w:highlight w:val="none"/>
        </w:rPr>
        <w:t xml:space="preserve"> </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投标报价权重：</w:t>
      </w:r>
      <w:r>
        <w:rPr>
          <w:rFonts w:hint="eastAsia" w:ascii="宋体" w:hAnsi="宋体" w:cs="宋体"/>
          <w:sz w:val="24"/>
          <w:szCs w:val="24"/>
          <w:highlight w:val="none"/>
          <w:u w:val="single"/>
          <w:lang w:val="en-US" w:eastAsia="zh-CN"/>
        </w:rPr>
        <w:t>80</w:t>
      </w:r>
      <w:r>
        <w:rPr>
          <w:rFonts w:hint="eastAsia" w:ascii="宋体" w:hAnsi="宋体" w:cs="宋体"/>
          <w:sz w:val="24"/>
          <w:szCs w:val="24"/>
          <w:highlight w:val="none"/>
          <w:u w:val="single"/>
        </w:rPr>
        <w:t>%</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（注：投标报价权重不少于商务、技术、投标报价三者之和的60%或80%，特殊性工程不少于60%，一般性工程不少于80%。）</w:t>
      </w:r>
    </w:p>
    <w:p>
      <w:pPr>
        <w:wordWrap w:val="0"/>
        <w:spacing w:line="360" w:lineRule="auto"/>
        <w:ind w:firstLine="480" w:firstLineChars="200"/>
        <w:rPr>
          <w:rFonts w:ascii="宋体" w:hAnsi="宋体" w:cs="宋体"/>
          <w:strike/>
          <w:sz w:val="24"/>
          <w:szCs w:val="24"/>
          <w:highlight w:val="none"/>
        </w:rPr>
      </w:pPr>
      <w:r>
        <w:rPr>
          <w:rFonts w:hint="eastAsia" w:ascii="宋体" w:hAnsi="宋体" w:cs="宋体"/>
          <w:strike/>
          <w:sz w:val="24"/>
          <w:szCs w:val="24"/>
          <w:highlight w:val="none"/>
        </w:rPr>
        <w:t>诚信得分：</w:t>
      </w:r>
      <w:r>
        <w:rPr>
          <w:rFonts w:hint="eastAsia" w:ascii="宋体" w:hAnsi="宋体" w:cs="宋体"/>
          <w:strike/>
          <w:sz w:val="24"/>
          <w:szCs w:val="24"/>
          <w:highlight w:val="none"/>
          <w:u w:val="single"/>
        </w:rPr>
        <w:t xml:space="preserve">  </w:t>
      </w:r>
    </w:p>
    <w:p>
      <w:pPr>
        <w:pBdr>
          <w:bottom w:val="single" w:color="auto" w:sz="6" w:space="0"/>
        </w:pBdr>
        <w:wordWrap w:val="0"/>
        <w:spacing w:line="360" w:lineRule="auto"/>
        <w:ind w:firstLine="480" w:firstLineChars="200"/>
        <w:rPr>
          <w:rFonts w:ascii="宋体" w:hAnsi="宋体" w:cs="宋体"/>
          <w:sz w:val="24"/>
          <w:szCs w:val="24"/>
          <w:highlight w:val="none"/>
        </w:rPr>
      </w:pPr>
      <w:r>
        <w:rPr>
          <w:rFonts w:hint="eastAsia" w:ascii="宋体" w:hAnsi="宋体" w:cs="宋体"/>
          <w:strike/>
          <w:sz w:val="24"/>
          <w:szCs w:val="24"/>
          <w:highlight w:val="none"/>
        </w:rPr>
        <w:t>（注：诚信得分应根据省市相关规定设置分值权重）</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条款号：1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评标方法</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wordWrap w:val="0"/>
        <w:spacing w:line="360" w:lineRule="auto"/>
        <w:ind w:firstLine="482" w:firstLineChars="200"/>
        <w:jc w:val="left"/>
        <w:rPr>
          <w:rFonts w:ascii="宋体" w:hAnsi="宋体" w:cs="宋体"/>
          <w:bCs/>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评标办法</w:t>
      </w:r>
    </w:p>
    <w:p>
      <w:pPr>
        <w:wordWrap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本次评标采用综合评估法。评标委员会对满足招标文件实质性要求的投标文件，按照本章第2.2款规定的评分标准进行打分，并按得分由高到低顺序推荐中标候选人，投标人总得分由高到低排序前3名作为第一、第二、第三中标候选人。综合评分相等时，以投标报价低的优先；投标报价也相等的，通过评标委员会采取记名投票方式，以得票多的优先。</w:t>
      </w:r>
    </w:p>
    <w:p>
      <w:pPr>
        <w:pStyle w:val="13"/>
        <w:wordWrap w:val="0"/>
        <w:spacing w:line="360" w:lineRule="auto"/>
        <w:ind w:firstLine="480" w:firstLineChars="200"/>
        <w:rPr>
          <w:rFonts w:hAnsi="宋体" w:eastAsia="宋体" w:cs="宋体"/>
          <w:bCs/>
          <w:kern w:val="2"/>
          <w:szCs w:val="24"/>
          <w:highlight w:val="none"/>
        </w:rPr>
      </w:pPr>
      <w:r>
        <w:rPr>
          <w:rFonts w:hint="eastAsia" w:hAnsi="宋体" w:eastAsia="宋体" w:cs="宋体"/>
          <w:bCs/>
          <w:kern w:val="2"/>
          <w:szCs w:val="24"/>
          <w:highlight w:val="none"/>
        </w:rPr>
        <w:t>记名投票方式确定排序的具体步骤为：由评标委员会对出现该情况的投标人采用记名投票的方式确定，按得票数高低进行排序，根据得票数高低确定中标候选人排序。</w:t>
      </w:r>
    </w:p>
    <w:p>
      <w:pPr>
        <w:pBdr>
          <w:bottom w:val="single" w:color="auto" w:sz="6" w:space="0"/>
        </w:pBdr>
        <w:wordWrap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若投标登记或递交投标文件的投标人数量、或通过初步评审的合格投标人家属不足3家的，则该招标失败。</w:t>
      </w:r>
    </w:p>
    <w:p>
      <w:pPr>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条款号：2.2.1                          修改类型：修改</w:t>
      </w:r>
    </w:p>
    <w:p>
      <w:pPr>
        <w:wordWrap w:val="0"/>
        <w:spacing w:line="360" w:lineRule="auto"/>
        <w:ind w:firstLine="482" w:firstLineChars="200"/>
        <w:rPr>
          <w:rFonts w:ascii="宋体" w:hAnsi="宋体"/>
          <w:sz w:val="24"/>
          <w:highlight w:val="none"/>
        </w:rPr>
      </w:pPr>
      <w:r>
        <w:rPr>
          <w:rFonts w:hint="eastAsia" w:ascii="宋体" w:hAnsi="宋体" w:cs="宋体"/>
          <w:b/>
          <w:bCs/>
          <w:sz w:val="24"/>
          <w:szCs w:val="24"/>
          <w:highlight w:val="none"/>
        </w:rPr>
        <w:t>原文：</w:t>
      </w:r>
      <w:r>
        <w:rPr>
          <w:rFonts w:hint="eastAsia" w:ascii="宋体" w:hAnsi="宋体"/>
          <w:sz w:val="24"/>
          <w:highlight w:val="none"/>
        </w:rPr>
        <w:t>分值构成</w:t>
      </w:r>
    </w:p>
    <w:p>
      <w:pPr>
        <w:wordWrap w:val="0"/>
        <w:spacing w:line="360" w:lineRule="auto"/>
        <w:ind w:firstLine="480" w:firstLineChars="200"/>
        <w:rPr>
          <w:rFonts w:ascii="宋体" w:hAnsi="宋体"/>
          <w:sz w:val="24"/>
          <w:highlight w:val="none"/>
        </w:rPr>
      </w:pPr>
      <w:r>
        <w:rPr>
          <w:rFonts w:hint="eastAsia" w:ascii="宋体" w:hAnsi="宋体"/>
          <w:sz w:val="24"/>
          <w:highlight w:val="none"/>
        </w:rPr>
        <w:t>（1）技术部分：见评标办法前附表；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（2）商务部分：见评标办法前附表；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（3）投标报价：见评标办法前附表；</w:t>
      </w:r>
    </w:p>
    <w:p>
      <w:pPr>
        <w:wordWrap w:val="0"/>
        <w:spacing w:line="360" w:lineRule="auto"/>
        <w:ind w:firstLine="480" w:firstLineChars="200"/>
        <w:rPr>
          <w:rFonts w:ascii="宋体" w:hAnsi="宋体" w:cs="宋体"/>
          <w:b/>
          <w:bCs/>
          <w:sz w:val="24"/>
          <w:szCs w:val="24"/>
          <w:highlight w:val="none"/>
        </w:rPr>
      </w:pPr>
      <w:r>
        <w:rPr>
          <w:rFonts w:hint="eastAsia" w:ascii="宋体" w:hAnsi="宋体"/>
          <w:sz w:val="24"/>
          <w:highlight w:val="none"/>
        </w:rPr>
        <w:t>（4）诚信得分：见评标办法前附表；</w:t>
      </w:r>
    </w:p>
    <w:p>
      <w:pPr>
        <w:wordWrap w:val="0"/>
        <w:spacing w:line="360" w:lineRule="auto"/>
        <w:ind w:firstLine="482" w:firstLineChars="200"/>
        <w:rPr>
          <w:rFonts w:ascii="宋体" w:hAnsi="宋体"/>
          <w:sz w:val="24"/>
          <w:highlight w:val="none"/>
        </w:rPr>
      </w:pPr>
      <w:r>
        <w:rPr>
          <w:rFonts w:hint="eastAsia" w:ascii="宋体" w:hAnsi="宋体" w:cs="宋体"/>
          <w:b/>
          <w:sz w:val="24"/>
          <w:szCs w:val="24"/>
          <w:highlight w:val="none"/>
        </w:rPr>
        <w:t>现文：</w:t>
      </w:r>
      <w:r>
        <w:rPr>
          <w:rFonts w:hint="eastAsia" w:ascii="宋体" w:hAnsi="宋体"/>
          <w:sz w:val="24"/>
          <w:highlight w:val="none"/>
        </w:rPr>
        <w:t>分值构成</w:t>
      </w:r>
    </w:p>
    <w:p>
      <w:pPr>
        <w:wordWrap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1）技术部分：见评标办法前附表；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（2）商务部分：见评标办法前附表；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（3）投标报价：见评标办法前附表；</w:t>
      </w:r>
    </w:p>
    <w:p>
      <w:pPr>
        <w:pBdr>
          <w:bottom w:val="single" w:color="auto" w:sz="6" w:space="0"/>
        </w:pBdr>
        <w:wordWrap w:val="0"/>
        <w:spacing w:line="360" w:lineRule="auto"/>
        <w:ind w:firstLine="480" w:firstLineChars="200"/>
        <w:rPr>
          <w:rFonts w:ascii="宋体" w:hAnsi="宋体" w:cs="宋体"/>
          <w:bCs/>
          <w:sz w:val="24"/>
          <w:szCs w:val="24"/>
          <w:highlight w:val="none"/>
        </w:rPr>
      </w:pPr>
      <w:r>
        <w:rPr>
          <w:rFonts w:hint="eastAsia" w:ascii="宋体" w:hAnsi="宋体"/>
          <w:strike/>
          <w:sz w:val="24"/>
          <w:highlight w:val="none"/>
        </w:rPr>
        <w:t>（4）诚信得分：见评标办法前附表；</w:t>
      </w:r>
    </w:p>
    <w:p>
      <w:pPr>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条款号：2.2.3                          修改类型：修改</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原文：评标基准价计算</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评标基准价可按以下方式确定（招标人以下两种方式任选一）：</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方式一</w:t>
      </w:r>
      <w:r>
        <w:rPr>
          <w:rFonts w:hint="eastAsia" w:ascii="宋体" w:hAnsi="宋体" w:cs="宋体"/>
          <w:sz w:val="24"/>
          <w:szCs w:val="24"/>
          <w:highlight w:val="none"/>
        </w:rPr>
        <w:t>：以全部或随机抽取的有效投标报价的算术平均值按随机抽取的评标基准价下浮率（2～5%，0.5一个级别）下浮作为评标基准价。具体确定方法如下：</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a、当有效投标报价的投标人少于或等于5个时，取全部有效投标报价的算术平均按随机抽取的评标基准价下浮率（2～5%，0.5一个级别）下浮作为评标基准价。</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b、当有效投标报价的投标人为6至10个时，从全部有效投标报价中去掉一个最大值和最小值，其他有效投标报价的算术平均值按随机抽取的评标基准价下浮率（2～5%，0.5一个级别）下浮作为评标基准价。</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c、当有效投标报价的投标人大于10个时，随机抽取10个有效投标报价并从中去掉一个最大值和最小值后计算算术平均值，该平均值按随机抽取的评标基准价下浮率（2～5%，0.5一个级别）下浮作为评标基准价。</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方式二</w:t>
      </w:r>
      <w:r>
        <w:rPr>
          <w:rFonts w:hint="eastAsia" w:ascii="宋体" w:hAnsi="宋体" w:cs="宋体"/>
          <w:sz w:val="24"/>
          <w:szCs w:val="24"/>
          <w:highlight w:val="none"/>
        </w:rPr>
        <w:t>：以有效投标报价的算术平均值按随机抽取的评标基准价下浮率（2～5%，0.5一个级别）下浮作为评标基准价。</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在首次评标过程中，投标人未被发现存在串通投标、弄虚作假、行贿等情形的，无论是否重评，经确定的评标基准价不变。</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评标基准价计算</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评标基准价可按以下方式确定：</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方式一</w:t>
      </w:r>
      <w:r>
        <w:rPr>
          <w:rFonts w:hint="eastAsia" w:ascii="宋体" w:hAnsi="宋体" w:cs="宋体"/>
          <w:sz w:val="24"/>
          <w:szCs w:val="24"/>
          <w:highlight w:val="none"/>
        </w:rPr>
        <w:t>：以全部或随机抽取的有效投标报价的算术平均值按随机抽取的评标基准价下浮率（2～5%，0.5一个级别）下浮作为评标基准价。具体确定方法如下：</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a、当有效投标报价的投标人少于或等于5个时，取全部有效投标报价的算术平均按随机抽取的评标基准价下浮率（2～5%，0.5一个级别）下浮作为评标基准价。</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b、当有效投标报价的投标人为6至10个时，从全部有效投标报价中去掉一个最大值和最小值，其他有效投标报价的算术平均值按随机抽取的评标基准价下浮率（2～5%，0.5一个级别）下浮作为评标基准价。</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c、当有效投标报价的投标人大于10个时，随机抽取10个有效投标报价并从中去掉一个最大值和最小值后计算算术平均值，该平均值按随机抽取的评标基准价下浮率（2～5%，0.5一个级别）下浮作为评标基准价。</w:t>
      </w:r>
    </w:p>
    <w:p>
      <w:pPr>
        <w:pBdr>
          <w:bottom w:val="single" w:color="auto" w:sz="6" w:space="1"/>
        </w:pBdr>
        <w:wordWrap w:val="0"/>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在首次评标过程中，投标人未被发现存在串通投标、弄虚作假、行贿等情形的，无论是否重评，经确定的评标基准价不变。</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条款号：2.2.5                     修改类型：删除</w:t>
      </w:r>
    </w:p>
    <w:p>
      <w:pPr>
        <w:wordWrap w:val="0"/>
        <w:spacing w:line="360" w:lineRule="auto"/>
        <w:ind w:firstLine="482" w:firstLineChars="200"/>
        <w:rPr>
          <w:rFonts w:ascii="宋体" w:hAnsi="宋体"/>
          <w:sz w:val="24"/>
          <w:highlight w:val="none"/>
        </w:rPr>
      </w:pPr>
      <w:r>
        <w:rPr>
          <w:rFonts w:hint="eastAsia" w:ascii="宋体" w:hAnsi="宋体" w:cs="宋体"/>
          <w:b/>
          <w:sz w:val="24"/>
          <w:szCs w:val="24"/>
          <w:highlight w:val="none"/>
        </w:rPr>
        <w:t>原文：</w:t>
      </w:r>
      <w:r>
        <w:rPr>
          <w:rFonts w:hint="eastAsia" w:ascii="宋体" w:hAnsi="宋体"/>
          <w:sz w:val="24"/>
          <w:highlight w:val="none"/>
        </w:rPr>
        <w:t>2.2.</w:t>
      </w:r>
      <w:r>
        <w:rPr>
          <w:rFonts w:ascii="宋体" w:hAnsi="宋体"/>
          <w:sz w:val="24"/>
          <w:highlight w:val="none"/>
        </w:rPr>
        <w:t>5</w:t>
      </w:r>
      <w:r>
        <w:rPr>
          <w:rFonts w:hint="eastAsia" w:ascii="宋体" w:hAnsi="宋体"/>
          <w:sz w:val="24"/>
          <w:highlight w:val="none"/>
        </w:rPr>
        <w:t xml:space="preserve"> 评分标准</w:t>
      </w:r>
    </w:p>
    <w:p>
      <w:pPr>
        <w:wordWrap w:val="0"/>
        <w:spacing w:line="360" w:lineRule="auto"/>
        <w:ind w:firstLine="480" w:firstLineChars="200"/>
        <w:rPr>
          <w:rFonts w:ascii="宋体" w:hAnsi="宋体"/>
          <w:sz w:val="24"/>
          <w:highlight w:val="none"/>
        </w:rPr>
      </w:pPr>
      <w:r>
        <w:rPr>
          <w:rFonts w:hint="eastAsia" w:ascii="宋体" w:hAnsi="宋体"/>
          <w:sz w:val="24"/>
          <w:highlight w:val="none"/>
        </w:rPr>
        <w:t>（1）技术部分评分标准：见评标办法前附表；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（2）商务部分评分标准：见评标办法前附表；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（3）投标报价评分标准：见评标办法前附表；</w:t>
      </w:r>
    </w:p>
    <w:p>
      <w:pPr>
        <w:wordWrap w:val="0"/>
        <w:spacing w:line="360" w:lineRule="auto"/>
        <w:ind w:firstLine="480" w:firstLineChars="200"/>
        <w:rPr>
          <w:rFonts w:ascii="宋体" w:hAnsi="宋体" w:cs="宋体"/>
          <w:b/>
          <w:sz w:val="24"/>
          <w:szCs w:val="24"/>
          <w:highlight w:val="none"/>
        </w:rPr>
      </w:pPr>
      <w:r>
        <w:rPr>
          <w:rFonts w:hint="eastAsia" w:ascii="宋体" w:hAnsi="宋体"/>
          <w:sz w:val="24"/>
          <w:highlight w:val="none"/>
        </w:rPr>
        <w:t>（4）诚信得分评分标准：见本章第4节的内容；</w:t>
      </w:r>
    </w:p>
    <w:p>
      <w:pPr>
        <w:wordWrap w:val="0"/>
        <w:spacing w:line="360" w:lineRule="auto"/>
        <w:ind w:firstLine="482" w:firstLineChars="200"/>
        <w:rPr>
          <w:rFonts w:ascii="宋体" w:hAnsi="宋体"/>
          <w:sz w:val="24"/>
          <w:highlight w:val="none"/>
        </w:rPr>
      </w:pPr>
      <w:r>
        <w:rPr>
          <w:rFonts w:hint="eastAsia" w:ascii="宋体" w:hAnsi="宋体" w:cs="宋体"/>
          <w:b/>
          <w:sz w:val="24"/>
          <w:szCs w:val="24"/>
          <w:highlight w:val="none"/>
        </w:rPr>
        <w:t>现文：</w:t>
      </w:r>
      <w:r>
        <w:rPr>
          <w:rFonts w:hint="eastAsia" w:ascii="宋体" w:hAnsi="宋体"/>
          <w:sz w:val="24"/>
          <w:highlight w:val="none"/>
        </w:rPr>
        <w:t>2.2.</w:t>
      </w:r>
      <w:r>
        <w:rPr>
          <w:rFonts w:ascii="宋体" w:hAnsi="宋体"/>
          <w:sz w:val="24"/>
          <w:highlight w:val="none"/>
        </w:rPr>
        <w:t>5</w:t>
      </w:r>
      <w:r>
        <w:rPr>
          <w:rFonts w:hint="eastAsia" w:ascii="宋体" w:hAnsi="宋体"/>
          <w:sz w:val="24"/>
          <w:highlight w:val="none"/>
        </w:rPr>
        <w:t xml:space="preserve"> 评分标准</w:t>
      </w:r>
    </w:p>
    <w:p>
      <w:pPr>
        <w:wordWrap w:val="0"/>
        <w:spacing w:line="360" w:lineRule="auto"/>
        <w:ind w:firstLine="480" w:firstLineChars="200"/>
        <w:rPr>
          <w:rFonts w:ascii="宋体" w:hAnsi="宋体"/>
          <w:strike/>
          <w:sz w:val="24"/>
          <w:highlight w:val="none"/>
        </w:rPr>
      </w:pPr>
      <w:r>
        <w:rPr>
          <w:rFonts w:hint="eastAsia" w:ascii="宋体" w:hAnsi="宋体"/>
          <w:strike/>
          <w:sz w:val="24"/>
          <w:highlight w:val="none"/>
        </w:rPr>
        <w:t>（</w:t>
      </w:r>
      <w:r>
        <w:rPr>
          <w:rFonts w:ascii="宋体" w:hAnsi="宋体"/>
          <w:strike/>
          <w:sz w:val="24"/>
          <w:highlight w:val="none"/>
        </w:rPr>
        <w:t>1）技术部分评分标准：见评标办法前附表；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（2）商务部分评分标准：见评标办法前附表；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（3）投标报价评分标准：见评标办法前附表；</w:t>
      </w:r>
    </w:p>
    <w:p>
      <w:pPr>
        <w:wordWrap w:val="0"/>
        <w:spacing w:line="360" w:lineRule="auto"/>
        <w:ind w:firstLine="480" w:firstLineChars="200"/>
        <w:rPr>
          <w:rFonts w:ascii="宋体" w:hAnsi="宋体"/>
          <w:strike/>
          <w:sz w:val="24"/>
          <w:highlight w:val="none"/>
        </w:rPr>
      </w:pPr>
      <w:r>
        <w:rPr>
          <w:rFonts w:hint="eastAsia" w:ascii="宋体" w:hAnsi="宋体"/>
          <w:strike/>
          <w:sz w:val="24"/>
          <w:highlight w:val="none"/>
        </w:rPr>
        <w:t>（4）诚信得分评分标准：见本章第4节的内容；</w:t>
      </w:r>
    </w:p>
    <w:p>
      <w:pPr>
        <w:pBdr>
          <w:bottom w:val="single" w:color="auto" w:sz="6" w:space="1"/>
        </w:pBdr>
        <w:wordWrap w:val="0"/>
        <w:spacing w:line="360" w:lineRule="auto"/>
        <w:ind w:firstLine="480" w:firstLineChars="200"/>
        <w:rPr>
          <w:rFonts w:ascii="宋体" w:hAnsi="宋体" w:cs="宋体"/>
          <w:sz w:val="24"/>
          <w:szCs w:val="24"/>
          <w:highlight w:val="none"/>
        </w:rPr>
      </w:pPr>
    </w:p>
    <w:p>
      <w:pPr>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条款号：3.1.1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评标委员会可以要求投标人提交第二章“投标人须知”第3.5节规定的有关证明和证件的原件，以便核验。评标委员会依据本章第2.1节规定的标准对投标文件进行初步评审。有一项不符合评审标准的，评标委员会应当否决其投标。通过资格审查的单位少于3家的或通过初步评审的单位少于3家的，重新招标。</w:t>
      </w:r>
    </w:p>
    <w:p>
      <w:pPr>
        <w:pBdr>
          <w:bottom w:val="single" w:color="auto" w:sz="6" w:space="1"/>
        </w:pBdr>
        <w:wordWrap w:val="0"/>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评标委员会可以要求投标人提交第二章“投标人须知”第3.5节规定的有关证明和证件的原件，以便核验。评标委员会依据本章第2.1节规定的标准对投标文件进行初步评审。有一项不符合评审标准的，评标委员会应当否决其投标。在进行初步评审(资格评审、形式评审、响应性评审)过程中，若评委意见不一致时，则按少数服从多数的原则，决定该投标人是否通过相应阶段的评审，进入下一阶段评审。只有通过初步评审合格的投标人才能进入详细评审阶段。</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条款号：3.1.2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投标人有以下情形之一的，评标委员会应当否决其投标。：</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（1）第二章“投标人须知”第1.4.3项规定的任何一种情形的；</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（2）串通投标或弄虚作假或有其他违法行为的；</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（3）不按评标委员会要求澄清、说明或补正的。</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投标人有以下情形之一的，评标委员会应当否决其投标：</w:t>
      </w:r>
    </w:p>
    <w:p>
      <w:pPr>
        <w:numPr>
          <w:ilvl w:val="0"/>
          <w:numId w:val="2"/>
        </w:num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第二章“投标人须知”第1.4.3项规定的任何一种情形的；</w:t>
      </w:r>
    </w:p>
    <w:p>
      <w:pPr>
        <w:numPr>
          <w:ilvl w:val="0"/>
          <w:numId w:val="2"/>
        </w:num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串通投标或弄虚作假或有其他违法行为的；</w:t>
      </w:r>
    </w:p>
    <w:p>
      <w:pPr>
        <w:numPr>
          <w:ilvl w:val="0"/>
          <w:numId w:val="2"/>
        </w:num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不按评标委员会要求澄清、说明或补正的；</w:t>
      </w:r>
    </w:p>
    <w:p>
      <w:pPr>
        <w:numPr>
          <w:ilvl w:val="0"/>
          <w:numId w:val="2"/>
        </w:num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投标文件不符合招标文件评标办法中形式评审标准、资格评审标准、响应性评审标准的要求；</w:t>
      </w:r>
    </w:p>
    <w:p>
      <w:pPr>
        <w:numPr>
          <w:ilvl w:val="0"/>
          <w:numId w:val="2"/>
        </w:num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项目负责人和专职安全员为同一人的；</w:t>
      </w:r>
    </w:p>
    <w:p>
      <w:pPr>
        <w:numPr>
          <w:ilvl w:val="0"/>
          <w:numId w:val="2"/>
        </w:num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投标文件中的投标人、项目负责人、专职安全员与投标登记时的信息不一致的；</w:t>
      </w:r>
    </w:p>
    <w:p>
      <w:pPr>
        <w:numPr>
          <w:ilvl w:val="0"/>
          <w:numId w:val="2"/>
        </w:num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投标人的报价明显低于其他投标报价，或者低于成本警示价的报价，投标人不能合理说明或者不能提供相应证明材料的；</w:t>
      </w:r>
    </w:p>
    <w:p>
      <w:pPr>
        <w:pBdr>
          <w:bottom w:val="single" w:color="auto" w:sz="6" w:space="1"/>
        </w:pBdr>
        <w:wordWrap w:val="0"/>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（8）不对评标委员会修正后的价格进行书面确认。</w:t>
      </w:r>
    </w:p>
    <w:p>
      <w:pPr>
        <w:pStyle w:val="9"/>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条款号：3.2.1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评标委员会按本章第2.2款规定的评审因素和分值进行打分，并计算出综合评估得分。</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（1）按本章第2.2.5（1）目规定的评审因素和分值对技术部分计算出得分A；技术部分得分为从各评标专家打分中去掉一个最高分和去掉一个最低分后的剩余评标专家打分的平均值。</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（2）按本章第2.2.5（2）目规定的评审因素和分值对商务部分计算出得分B；商务部分得分为从各评标专家打分中去掉一个最高分和去掉一个最低分后的剩余评标专家打分的平均值。</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（3）按本章第2.2.5（3）目规定的评审因素和分值对投标报价计算出得分C；</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（4）按本章第2.2.5（4）目规定的评审因素和分值对诚信评价计算出得分D；</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评标委员会按本章第2.2款规定的量化因素和分值进行打分，并计算出综合评估得分。</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（1）按本章第2.2.5（1）目规定的评审因素和分值对商务部分计算出得分A；商务部分得分为各评标专家的平均值。</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（2）按本章第2.2.5（2）目规定的评审因素和分值对投标报价计算出得分B；</w:t>
      </w:r>
    </w:p>
    <w:p>
      <w:pPr>
        <w:pBdr>
          <w:bottom w:val="single" w:color="auto" w:sz="6" w:space="1"/>
        </w:pBdr>
        <w:wordWrap w:val="0"/>
        <w:spacing w:line="360" w:lineRule="auto"/>
        <w:ind w:firstLine="480" w:firstLineChars="200"/>
        <w:rPr>
          <w:rFonts w:ascii="宋体" w:hAnsi="宋体" w:cs="宋体"/>
          <w:bCs/>
          <w:strike/>
          <w:sz w:val="24"/>
          <w:szCs w:val="24"/>
          <w:highlight w:val="none"/>
        </w:rPr>
      </w:pPr>
      <w:r>
        <w:rPr>
          <w:rFonts w:hint="eastAsia" w:ascii="宋体" w:hAnsi="宋体" w:cs="宋体"/>
          <w:strike/>
          <w:sz w:val="24"/>
          <w:szCs w:val="24"/>
          <w:highlight w:val="none"/>
        </w:rPr>
        <w:t>（4）按本章第2.2.5（4）目规定的评审因素和分值对诚信评价计算出得分D；。</w:t>
      </w:r>
    </w:p>
    <w:p>
      <w:pPr>
        <w:pStyle w:val="9"/>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条款号：3.2.3                           修改类型：修改</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的得分为技术部分得分、商务部分得分、投标报价得分和诚信得分之和。评标委员会应按照得分从高至低的顺序，确定得分前三名的投标人为第一中标候选人、第二中标候选人和第三中标候选人。当中标候选人得分相同时，按投标报价由低至高的顺序确定排名；当得分和投标报价均相同时，以记名投票表决等其他可行的方式确定排序。计分采用百分制，得分计算方法：评标总得分=技术部分得分（A）×得分权重+商务部分得分（B）×得分权重+投标报价得分(C)×得分权重+诚信评价分（D）×得分权重。</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投标人的得分为</w:t>
      </w:r>
      <w:r>
        <w:rPr>
          <w:rFonts w:hint="eastAsia" w:ascii="宋体" w:hAnsi="宋体" w:cs="宋体"/>
          <w:strike/>
          <w:sz w:val="24"/>
          <w:szCs w:val="24"/>
          <w:highlight w:val="none"/>
        </w:rPr>
        <w:t>技术部分得分、</w:t>
      </w:r>
      <w:r>
        <w:rPr>
          <w:rFonts w:hint="eastAsia" w:ascii="宋体" w:hAnsi="宋体" w:cs="宋体"/>
          <w:sz w:val="24"/>
          <w:szCs w:val="24"/>
          <w:highlight w:val="none"/>
        </w:rPr>
        <w:t>商务部分得分和投标报价得分</w:t>
      </w:r>
      <w:r>
        <w:rPr>
          <w:rFonts w:hint="eastAsia" w:ascii="宋体" w:hAnsi="宋体" w:cs="宋体"/>
          <w:strike/>
          <w:sz w:val="24"/>
          <w:szCs w:val="24"/>
          <w:highlight w:val="none"/>
        </w:rPr>
        <w:t>和诚信得分</w:t>
      </w:r>
      <w:r>
        <w:rPr>
          <w:rFonts w:hint="eastAsia" w:ascii="宋体" w:hAnsi="宋体" w:cs="宋体"/>
          <w:sz w:val="24"/>
          <w:szCs w:val="24"/>
          <w:highlight w:val="none"/>
        </w:rPr>
        <w:t>之和。评标委员会应按照得分从高至低的顺序，确定得分前三名的投标人为第一中标候选人、第二中标候选人和第三中标候选人。当中标候选人得分相同时，按投标报价由低至高的顺序确定排名；当得分和投标报价均相同时，以记名投票表决等其他可行的方式确定排序。计分采用百分制，得分计算方法：评标总得分=</w:t>
      </w:r>
      <w:r>
        <w:rPr>
          <w:rFonts w:hint="eastAsia" w:ascii="宋体" w:hAnsi="宋体" w:cs="宋体"/>
          <w:strike/>
          <w:sz w:val="24"/>
          <w:szCs w:val="24"/>
          <w:highlight w:val="none"/>
        </w:rPr>
        <w:t>技术部分得分（</w:t>
      </w:r>
      <w:r>
        <w:rPr>
          <w:rFonts w:ascii="宋体" w:hAnsi="宋体" w:cs="宋体"/>
          <w:strike/>
          <w:sz w:val="24"/>
          <w:szCs w:val="24"/>
          <w:highlight w:val="none"/>
        </w:rPr>
        <w:t>A）×得分权重+</w:t>
      </w:r>
      <w:r>
        <w:rPr>
          <w:rFonts w:hint="eastAsia" w:ascii="宋体" w:hAnsi="宋体" w:cs="宋体"/>
          <w:sz w:val="24"/>
          <w:szCs w:val="24"/>
          <w:highlight w:val="none"/>
        </w:rPr>
        <w:t>商务部分得分（A）×得分权重+投标报价得分(B)×得分权重</w:t>
      </w:r>
      <w:r>
        <w:rPr>
          <w:rFonts w:hint="eastAsia" w:ascii="宋体" w:hAnsi="宋体" w:cs="宋体"/>
          <w:strike/>
          <w:sz w:val="24"/>
          <w:szCs w:val="24"/>
          <w:highlight w:val="none"/>
        </w:rPr>
        <w:t>+诚信评价分（D）×得分权重</w:t>
      </w:r>
      <w:r>
        <w:rPr>
          <w:rFonts w:hint="eastAsia" w:ascii="宋体" w:hAnsi="宋体" w:cs="宋体"/>
          <w:sz w:val="24"/>
          <w:szCs w:val="24"/>
          <w:highlight w:val="none"/>
        </w:rPr>
        <w:t>。</w:t>
      </w:r>
    </w:p>
    <w:p>
      <w:pPr>
        <w:wordWrap w:val="0"/>
        <w:spacing w:line="360" w:lineRule="auto"/>
        <w:ind w:firstLine="480" w:firstLineChars="200"/>
        <w:rPr>
          <w:rFonts w:ascii="宋体" w:hAnsi="宋体" w:cs="宋体"/>
          <w:sz w:val="24"/>
          <w:szCs w:val="24"/>
          <w:highlight w:val="none"/>
        </w:rPr>
      </w:pP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条款号：4 诚信得分                    修改类型：删除</w:t>
      </w:r>
    </w:p>
    <w:p>
      <w:pP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 诚信评价分</w:t>
      </w:r>
    </w:p>
    <w:p>
      <w:pPr>
        <w:wordWrap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4.1 投标人诚信评价分取自本项目招标公告第1天所在季度的上一季度广州市水务工程企业信息库及诚信中心网站（http://120.236.111.11:8001/#/website/integrity?type=1）中的“诚信排名&gt;&gt;施工—给排水”中“诚信综合评价”分，未入库企业或在广州市水务工程企业信息库及诚信中心网中尚无诚信排名“施工－给排水”得分的投标人，其诚信评价分按40分计算。本项目诚信评价得分=水务诚信综合评价分×5%。</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4.2两个或者两个以上水务建设市场主体组成联合体投标时，按联合体中诚信评价得分低的市场主体作为联合体的诚信评价得分。</w:t>
      </w:r>
    </w:p>
    <w:p>
      <w:pPr>
        <w:pBdr>
          <w:bottom w:val="single" w:color="auto" w:sz="6" w:space="1"/>
        </w:pBdr>
        <w:wordWrap w:val="0"/>
        <w:spacing w:line="360" w:lineRule="auto"/>
        <w:rPr>
          <w:rFonts w:ascii="宋体" w:hAnsi="宋体" w:cs="宋体"/>
          <w:bCs/>
          <w:sz w:val="24"/>
          <w:szCs w:val="24"/>
          <w:highlight w:val="none"/>
        </w:rPr>
      </w:pPr>
    </w:p>
    <w:p>
      <w:pPr>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条款号：平均值法评标基准价计算表（适用于直接选取）修改类型：删除</w:t>
      </w:r>
    </w:p>
    <w:p>
      <w:pPr>
        <w:pBdr>
          <w:bottom w:val="single" w:color="auto" w:sz="6" w:space="1"/>
        </w:pBdr>
        <w:wordWrap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平均值法评标基准价计算表（适用于直接选取）</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注：以上修改，仅限于本范本中有可供选择条款的情形。</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（以下无正文）</w:t>
      </w:r>
    </w:p>
    <w:p>
      <w:pPr>
        <w:widowControl/>
        <w:wordWrap w:val="0"/>
        <w:spacing w:line="360" w:lineRule="auto"/>
        <w:ind w:firstLine="480" w:firstLineChars="200"/>
        <w:jc w:val="left"/>
        <w:rPr>
          <w:rFonts w:ascii="宋体" w:hAnsi="宋体" w:cs="宋体"/>
          <w:sz w:val="24"/>
          <w:szCs w:val="24"/>
          <w:highlight w:val="none"/>
        </w:rPr>
      </w:pPr>
    </w:p>
    <w:p>
      <w:pPr>
        <w:wordWrap w:val="0"/>
        <w:spacing w:line="360" w:lineRule="auto"/>
        <w:ind w:firstLine="560" w:firstLineChars="200"/>
        <w:jc w:val="center"/>
        <w:outlineLvl w:val="2"/>
        <w:rPr>
          <w:rFonts w:ascii="宋体" w:hAnsi="宋体"/>
          <w:b/>
          <w:bCs/>
          <w:sz w:val="32"/>
          <w:szCs w:val="32"/>
          <w:highlight w:val="none"/>
        </w:rPr>
      </w:pPr>
      <w:bookmarkStart w:id="180" w:name="_Toc112854441"/>
      <w:bookmarkStart w:id="181" w:name="_Toc17454930"/>
      <w:bookmarkStart w:id="182" w:name="_Toc17451109"/>
      <w:bookmarkStart w:id="183" w:name="_Toc17452672"/>
      <w:bookmarkStart w:id="184" w:name="_Toc17451586"/>
      <w:bookmarkStart w:id="185" w:name="_Toc17556884"/>
      <w:bookmarkStart w:id="186" w:name="_Toc17451631"/>
      <w:bookmarkStart w:id="187" w:name="_Toc17454879"/>
      <w:r>
        <w:rPr>
          <w:rFonts w:ascii="宋体" w:hAnsi="宋体"/>
          <w:sz w:val="28"/>
          <w:szCs w:val="27"/>
          <w:highlight w:val="none"/>
        </w:rPr>
        <w:br w:type="page"/>
      </w:r>
      <w:bookmarkStart w:id="188" w:name="_Toc23251"/>
      <w:bookmarkStart w:id="189" w:name="_Toc21488"/>
      <w:bookmarkStart w:id="190" w:name="_Toc7382"/>
      <w:r>
        <w:rPr>
          <w:rFonts w:hint="eastAsia" w:ascii="宋体" w:hAnsi="宋体"/>
          <w:b/>
          <w:bCs/>
          <w:sz w:val="32"/>
          <w:szCs w:val="32"/>
          <w:highlight w:val="none"/>
        </w:rPr>
        <w:t>二、评标及定标办法通用条款</w:t>
      </w:r>
      <w:bookmarkEnd w:id="180"/>
      <w:bookmarkEnd w:id="181"/>
      <w:bookmarkEnd w:id="182"/>
      <w:bookmarkEnd w:id="183"/>
      <w:bookmarkEnd w:id="184"/>
      <w:bookmarkEnd w:id="185"/>
      <w:bookmarkEnd w:id="186"/>
      <w:bookmarkEnd w:id="187"/>
      <w:bookmarkEnd w:id="188"/>
      <w:bookmarkEnd w:id="189"/>
      <w:bookmarkEnd w:id="190"/>
    </w:p>
    <w:p>
      <w:pPr>
        <w:wordWrap w:val="0"/>
        <w:spacing w:line="360" w:lineRule="auto"/>
        <w:jc w:val="center"/>
        <w:outlineLvl w:val="2"/>
        <w:rPr>
          <w:rFonts w:ascii="宋体" w:hAnsi="宋体"/>
          <w:b/>
          <w:bCs/>
          <w:sz w:val="28"/>
          <w:szCs w:val="27"/>
          <w:highlight w:val="none"/>
        </w:rPr>
      </w:pPr>
      <w:bookmarkStart w:id="191" w:name="_Toc17451632"/>
      <w:bookmarkStart w:id="192" w:name="_Toc17451110"/>
      <w:bookmarkStart w:id="193" w:name="_Toc17452673"/>
      <w:bookmarkStart w:id="194" w:name="_Toc17451587"/>
      <w:bookmarkStart w:id="195" w:name="_Toc17454880"/>
      <w:bookmarkStart w:id="196" w:name="_Toc17454931"/>
      <w:bookmarkStart w:id="197" w:name="_Toc17556885"/>
      <w:bookmarkStart w:id="198" w:name="_Toc6934"/>
      <w:bookmarkStart w:id="199" w:name="_Toc17556940"/>
      <w:bookmarkStart w:id="200" w:name="_Toc112854442"/>
      <w:bookmarkStart w:id="201" w:name="_Toc28462"/>
      <w:bookmarkStart w:id="202" w:name="_Toc11948"/>
      <w:bookmarkStart w:id="203" w:name="_Toc17452674"/>
      <w:bookmarkStart w:id="204" w:name="_Toc17454932"/>
      <w:bookmarkStart w:id="205" w:name="_Toc17451633"/>
      <w:bookmarkStart w:id="206" w:name="_Toc17451111"/>
      <w:bookmarkStart w:id="207" w:name="_Toc17451588"/>
      <w:bookmarkStart w:id="208" w:name="_Toc17556886"/>
      <w:bookmarkStart w:id="209" w:name="_Toc17454881"/>
      <w:r>
        <w:rPr>
          <w:rFonts w:hint="eastAsia" w:ascii="宋体" w:hAnsi="宋体"/>
          <w:b/>
          <w:bCs/>
          <w:sz w:val="28"/>
          <w:szCs w:val="27"/>
          <w:highlight w:val="none"/>
        </w:rPr>
        <w:t>方法一：</w:t>
      </w:r>
      <w:bookmarkEnd w:id="191"/>
      <w:bookmarkEnd w:id="192"/>
      <w:bookmarkEnd w:id="193"/>
      <w:bookmarkEnd w:id="194"/>
      <w:r>
        <w:rPr>
          <w:rFonts w:hint="eastAsia" w:ascii="宋体" w:hAnsi="宋体"/>
          <w:b/>
          <w:bCs/>
          <w:sz w:val="28"/>
          <w:szCs w:val="27"/>
          <w:highlight w:val="none"/>
        </w:rPr>
        <w:t>综合评估法</w:t>
      </w:r>
      <w:bookmarkEnd w:id="195"/>
      <w:r>
        <w:rPr>
          <w:rFonts w:hint="eastAsia" w:ascii="宋体" w:hAnsi="宋体"/>
          <w:b/>
          <w:bCs/>
          <w:sz w:val="28"/>
          <w:szCs w:val="27"/>
          <w:highlight w:val="none"/>
        </w:rPr>
        <w:t>一</w:t>
      </w:r>
      <w:bookmarkEnd w:id="196"/>
      <w:bookmarkEnd w:id="197"/>
      <w:bookmarkEnd w:id="198"/>
      <w:bookmarkEnd w:id="199"/>
      <w:bookmarkEnd w:id="200"/>
      <w:bookmarkEnd w:id="201"/>
      <w:bookmarkEnd w:id="202"/>
    </w:p>
    <w:p>
      <w:pPr>
        <w:wordWrap w:val="0"/>
        <w:spacing w:line="360" w:lineRule="auto"/>
        <w:jc w:val="center"/>
        <w:rPr>
          <w:rFonts w:ascii="宋体" w:hAnsi="宋体"/>
          <w:b/>
          <w:sz w:val="28"/>
          <w:highlight w:val="none"/>
        </w:rPr>
      </w:pPr>
      <w:bookmarkStart w:id="210" w:name="_Toc144974566"/>
      <w:bookmarkStart w:id="211" w:name="_Toc152042376"/>
      <w:bookmarkStart w:id="212" w:name="_Toc152045599"/>
      <w:bookmarkStart w:id="213" w:name="_Toc179632617"/>
      <w:r>
        <w:rPr>
          <w:rFonts w:hint="eastAsia" w:ascii="宋体" w:hAnsi="宋体"/>
          <w:b/>
          <w:sz w:val="28"/>
          <w:highlight w:val="none"/>
        </w:rPr>
        <w:t>评标办法前附表</w:t>
      </w:r>
      <w:bookmarkEnd w:id="210"/>
      <w:bookmarkEnd w:id="211"/>
      <w:bookmarkEnd w:id="212"/>
      <w:bookmarkEnd w:id="21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4"/>
        <w:gridCol w:w="687"/>
        <w:gridCol w:w="399"/>
        <w:gridCol w:w="1066"/>
        <w:gridCol w:w="18"/>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5" w:type="dxa"/>
            <w:gridSpan w:val="4"/>
            <w:vAlign w:val="center"/>
          </w:tcPr>
          <w:p>
            <w:pPr>
              <w:wordWrap w:val="0"/>
              <w:jc w:val="center"/>
              <w:rPr>
                <w:rFonts w:ascii="宋体" w:hAnsi="宋体" w:cs="宋体"/>
                <w:b/>
                <w:highlight w:val="none"/>
              </w:rPr>
            </w:pPr>
            <w:r>
              <w:rPr>
                <w:rFonts w:hint="eastAsia" w:ascii="宋体" w:hAnsi="宋体" w:cs="宋体"/>
                <w:b/>
                <w:highlight w:val="none"/>
                <w:lang w:bidi="ar"/>
              </w:rPr>
              <w:t>条款号</w:t>
            </w:r>
          </w:p>
        </w:tc>
        <w:tc>
          <w:tcPr>
            <w:tcW w:w="1066" w:type="dxa"/>
            <w:vAlign w:val="center"/>
          </w:tcPr>
          <w:p>
            <w:pPr>
              <w:wordWrap w:val="0"/>
              <w:jc w:val="center"/>
              <w:rPr>
                <w:rFonts w:ascii="宋体" w:hAnsi="宋体" w:cs="宋体"/>
                <w:b/>
                <w:highlight w:val="none"/>
              </w:rPr>
            </w:pPr>
            <w:r>
              <w:rPr>
                <w:rFonts w:hint="eastAsia" w:ascii="宋体" w:hAnsi="宋体" w:cs="宋体"/>
                <w:b/>
                <w:highlight w:val="none"/>
                <w:lang w:bidi="ar"/>
              </w:rPr>
              <w:t>评审因素</w:t>
            </w:r>
          </w:p>
        </w:tc>
        <w:tc>
          <w:tcPr>
            <w:tcW w:w="6184" w:type="dxa"/>
            <w:gridSpan w:val="2"/>
            <w:vAlign w:val="center"/>
          </w:tcPr>
          <w:p>
            <w:pPr>
              <w:wordWrap w:val="0"/>
              <w:jc w:val="center"/>
              <w:rPr>
                <w:rFonts w:ascii="宋体" w:hAnsi="宋体" w:cs="宋体"/>
                <w:b/>
                <w:highlight w:val="none"/>
              </w:rPr>
            </w:pPr>
            <w:r>
              <w:rPr>
                <w:rFonts w:hint="eastAsia" w:ascii="宋体" w:hAnsi="宋体" w:cs="宋体"/>
                <w:b/>
                <w:highlight w:val="none"/>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restart"/>
            <w:vAlign w:val="center"/>
          </w:tcPr>
          <w:p>
            <w:pPr>
              <w:wordWrap w:val="0"/>
              <w:spacing w:line="360" w:lineRule="auto"/>
              <w:jc w:val="center"/>
              <w:rPr>
                <w:rFonts w:ascii="宋体" w:hAnsi="宋体" w:cs="宋体"/>
                <w:szCs w:val="21"/>
                <w:highlight w:val="none"/>
              </w:rPr>
            </w:pPr>
            <w:r>
              <w:rPr>
                <w:rFonts w:hint="eastAsia" w:ascii="宋体" w:hAnsi="宋体" w:cs="宋体"/>
                <w:szCs w:val="21"/>
                <w:highlight w:val="none"/>
                <w:lang w:bidi="ar"/>
              </w:rPr>
              <w:t>2.1.1</w:t>
            </w:r>
          </w:p>
        </w:tc>
        <w:tc>
          <w:tcPr>
            <w:tcW w:w="1086" w:type="dxa"/>
            <w:gridSpan w:val="2"/>
            <w:vMerge w:val="restart"/>
            <w:vAlign w:val="center"/>
          </w:tcPr>
          <w:p>
            <w:pPr>
              <w:wordWrap w:val="0"/>
              <w:jc w:val="left"/>
              <w:rPr>
                <w:rFonts w:ascii="宋体" w:hAnsi="宋体" w:cs="宋体"/>
                <w:szCs w:val="21"/>
                <w:highlight w:val="none"/>
              </w:rPr>
            </w:pPr>
            <w:r>
              <w:rPr>
                <w:rFonts w:hint="eastAsia" w:ascii="宋体" w:hAnsi="宋体" w:cs="宋体"/>
                <w:szCs w:val="21"/>
                <w:highlight w:val="none"/>
                <w:lang w:bidi="ar"/>
              </w:rPr>
              <w:t>资格评审标准（营业执照、安全生产许可证、资质等级、项目负责人资格、专职安全员等信息取自交易中心信息库，其他在投标文件中提交）</w:t>
            </w: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营业执照</w:t>
            </w:r>
          </w:p>
        </w:tc>
        <w:tc>
          <w:tcPr>
            <w:tcW w:w="6184" w:type="dxa"/>
            <w:gridSpan w:val="2"/>
            <w:vAlign w:val="center"/>
          </w:tcPr>
          <w:p>
            <w:pPr>
              <w:wordWrap w:val="0"/>
              <w:rPr>
                <w:rFonts w:ascii="宋体" w:hAnsi="宋体" w:cs="宋体"/>
                <w:szCs w:val="21"/>
                <w:highlight w:val="none"/>
                <w:lang w:bidi="ar"/>
              </w:rPr>
            </w:pPr>
            <w:r>
              <w:rPr>
                <w:rFonts w:hint="eastAsia" w:ascii="宋体" w:hAnsi="宋体" w:cs="宋体"/>
                <w:szCs w:val="21"/>
                <w:highlight w:val="none"/>
                <w:lang w:bidi="ar"/>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安全生产许可证</w:t>
            </w:r>
          </w:p>
        </w:tc>
        <w:tc>
          <w:tcPr>
            <w:tcW w:w="6184" w:type="dxa"/>
            <w:gridSpan w:val="2"/>
            <w:vAlign w:val="center"/>
          </w:tcPr>
          <w:p>
            <w:pPr>
              <w:wordWrap w:val="0"/>
              <w:rPr>
                <w:rFonts w:ascii="宋体" w:hAnsi="宋体" w:cs="宋体"/>
                <w:szCs w:val="21"/>
                <w:highlight w:val="none"/>
                <w:lang w:bidi="ar"/>
              </w:rPr>
            </w:pPr>
            <w:r>
              <w:rPr>
                <w:rFonts w:hint="eastAsia" w:ascii="宋体" w:hAnsi="宋体" w:cs="宋体"/>
                <w:szCs w:val="21"/>
                <w:highlight w:val="none"/>
                <w:lang w:bidi="ar"/>
              </w:rPr>
              <w:t>具有有效的建设行政主管部门颁发的安全生产许可证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资质等级</w:t>
            </w:r>
          </w:p>
        </w:tc>
        <w:tc>
          <w:tcPr>
            <w:tcW w:w="6184" w:type="dxa"/>
            <w:gridSpan w:val="2"/>
            <w:vAlign w:val="center"/>
          </w:tcPr>
          <w:p>
            <w:pPr>
              <w:wordWrap w:val="0"/>
              <w:rPr>
                <w:rFonts w:ascii="宋体" w:hAnsi="宋体" w:cs="宋体"/>
                <w:szCs w:val="21"/>
                <w:highlight w:val="none"/>
                <w:lang w:bidi="ar"/>
              </w:rPr>
            </w:pPr>
            <w:r>
              <w:rPr>
                <w:rFonts w:hint="eastAsia" w:ascii="宋体" w:hAnsi="宋体" w:cs="宋体"/>
                <w:szCs w:val="21"/>
                <w:highlight w:val="none"/>
                <w:lang w:bidi="ar"/>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项目负责人资格</w:t>
            </w:r>
          </w:p>
        </w:tc>
        <w:tc>
          <w:tcPr>
            <w:tcW w:w="6184" w:type="dxa"/>
            <w:gridSpan w:val="2"/>
            <w:vAlign w:val="center"/>
          </w:tcPr>
          <w:p>
            <w:pPr>
              <w:wordWrap w:val="0"/>
              <w:rPr>
                <w:rFonts w:ascii="宋体" w:hAnsi="宋体" w:cs="宋体"/>
                <w:szCs w:val="21"/>
                <w:highlight w:val="none"/>
                <w:lang w:bidi="ar"/>
              </w:rPr>
            </w:pPr>
            <w:r>
              <w:rPr>
                <w:rFonts w:hint="eastAsia" w:ascii="宋体" w:hAnsi="宋体" w:cs="宋体"/>
                <w:szCs w:val="21"/>
                <w:highlight w:val="none"/>
                <w:lang w:bidi="ar"/>
              </w:rPr>
              <w:t>符合第二章“投标人须知”第1.4.1项规定，且未被广州交易集团有限公司（广州公共资源交易中心）锁定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安全培训考核合格证</w:t>
            </w:r>
          </w:p>
        </w:tc>
        <w:tc>
          <w:tcPr>
            <w:tcW w:w="6184" w:type="dxa"/>
            <w:gridSpan w:val="2"/>
            <w:vAlign w:val="center"/>
          </w:tcPr>
          <w:p>
            <w:pPr>
              <w:wordWrap w:val="0"/>
              <w:rPr>
                <w:rFonts w:ascii="宋体" w:hAnsi="宋体" w:cs="宋体"/>
                <w:szCs w:val="21"/>
                <w:highlight w:val="none"/>
                <w:lang w:bidi="ar"/>
              </w:rPr>
            </w:pPr>
            <w:r>
              <w:rPr>
                <w:rFonts w:hint="eastAsia" w:ascii="宋体" w:hAnsi="宋体" w:cs="宋体"/>
                <w:szCs w:val="21"/>
                <w:highlight w:val="none"/>
                <w:lang w:bidi="ar"/>
              </w:rPr>
              <w:t>项目负责人及专职安全员具备有效的符合第二章“投标人须知”第1.4.1项规定的行政主管部门颁发的安全培训考核合格证。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社保要求</w:t>
            </w:r>
          </w:p>
        </w:tc>
        <w:tc>
          <w:tcPr>
            <w:tcW w:w="6184" w:type="dxa"/>
            <w:gridSpan w:val="2"/>
            <w:vAlign w:val="center"/>
          </w:tcPr>
          <w:p>
            <w:pPr>
              <w:wordWrap w:val="0"/>
              <w:rPr>
                <w:rFonts w:ascii="宋体" w:hAnsi="宋体" w:cs="宋体"/>
                <w:szCs w:val="21"/>
                <w:highlight w:val="none"/>
              </w:rPr>
            </w:pPr>
            <w:r>
              <w:rPr>
                <w:rFonts w:hint="eastAsia" w:ascii="宋体" w:hAnsi="宋体" w:cs="宋体"/>
                <w:szCs w:val="21"/>
                <w:highlight w:val="none"/>
                <w:lang w:bidi="ar"/>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trike/>
                <w:szCs w:val="21"/>
                <w:highlight w:val="none"/>
              </w:rPr>
            </w:pPr>
            <w:r>
              <w:rPr>
                <w:rFonts w:hint="eastAsia" w:ascii="宋体" w:hAnsi="宋体" w:cs="宋体"/>
                <w:strike/>
                <w:szCs w:val="21"/>
                <w:highlight w:val="none"/>
                <w:lang w:bidi="ar"/>
              </w:rPr>
              <w:t>类似项目业绩</w:t>
            </w:r>
          </w:p>
        </w:tc>
        <w:tc>
          <w:tcPr>
            <w:tcW w:w="6184" w:type="dxa"/>
            <w:gridSpan w:val="2"/>
            <w:vAlign w:val="center"/>
          </w:tcPr>
          <w:p>
            <w:pPr>
              <w:wordWrap w:val="0"/>
              <w:rPr>
                <w:rFonts w:ascii="宋体" w:hAnsi="宋体" w:cs="宋体"/>
                <w:strike/>
                <w:szCs w:val="21"/>
                <w:highlight w:val="none"/>
              </w:rPr>
            </w:pPr>
            <w:r>
              <w:rPr>
                <w:rFonts w:hint="eastAsia" w:ascii="宋体" w:hAnsi="宋体" w:cs="宋体"/>
                <w:strike/>
                <w:szCs w:val="21"/>
                <w:highlight w:val="none"/>
                <w:lang w:bidi="ar"/>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联合体投标</w:t>
            </w:r>
          </w:p>
        </w:tc>
        <w:tc>
          <w:tcPr>
            <w:tcW w:w="6184" w:type="dxa"/>
            <w:gridSpan w:val="2"/>
            <w:vAlign w:val="center"/>
          </w:tcPr>
          <w:p>
            <w:pPr>
              <w:wordWrap w:val="0"/>
              <w:rPr>
                <w:rFonts w:ascii="宋体" w:hAnsi="宋体" w:cs="宋体"/>
                <w:szCs w:val="21"/>
                <w:highlight w:val="none"/>
              </w:rPr>
            </w:pPr>
            <w:r>
              <w:rPr>
                <w:rFonts w:hint="eastAsia" w:ascii="宋体" w:hAnsi="宋体" w:cs="宋体"/>
                <w:szCs w:val="21"/>
                <w:highlight w:val="none"/>
                <w:lang w:bidi="ar"/>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u w:val="single"/>
              </w:rPr>
            </w:pPr>
            <w:r>
              <w:rPr>
                <w:rFonts w:hint="eastAsia" w:ascii="宋体" w:hAnsi="宋体" w:cs="宋体"/>
                <w:szCs w:val="21"/>
                <w:highlight w:val="none"/>
                <w:u w:val="single"/>
                <w:lang w:bidi="ar"/>
              </w:rPr>
              <w:t>法定代表人、</w:t>
            </w:r>
            <w:r>
              <w:rPr>
                <w:rFonts w:hint="eastAsia" w:ascii="宋体" w:hAnsi="宋体" w:cs="宋体"/>
                <w:szCs w:val="21"/>
                <w:highlight w:val="none"/>
                <w:lang w:bidi="ar"/>
              </w:rPr>
              <w:t>项目负责人、技术负责人签字</w:t>
            </w:r>
          </w:p>
        </w:tc>
        <w:tc>
          <w:tcPr>
            <w:tcW w:w="6184" w:type="dxa"/>
            <w:gridSpan w:val="2"/>
            <w:vAlign w:val="center"/>
          </w:tcPr>
          <w:p>
            <w:pPr>
              <w:wordWrap w:val="0"/>
              <w:rPr>
                <w:rFonts w:ascii="宋体" w:hAnsi="宋体" w:cs="宋体"/>
                <w:szCs w:val="21"/>
                <w:highlight w:val="none"/>
                <w:u w:val="single"/>
              </w:rPr>
            </w:pPr>
            <w:r>
              <w:rPr>
                <w:rFonts w:hint="eastAsia" w:ascii="宋体" w:hAnsi="宋体" w:cs="宋体"/>
                <w:szCs w:val="21"/>
                <w:highlight w:val="none"/>
              </w:rPr>
              <w:t>投标文件中《投标人声明》有</w:t>
            </w:r>
            <w:r>
              <w:rPr>
                <w:rFonts w:hint="eastAsia" w:ascii="宋体" w:hAnsi="宋体" w:cs="宋体"/>
                <w:szCs w:val="21"/>
                <w:highlight w:val="none"/>
                <w:u w:val="single"/>
              </w:rPr>
              <w:t>法定代表人、</w:t>
            </w:r>
            <w:r>
              <w:rPr>
                <w:rFonts w:hint="eastAsia" w:ascii="宋体" w:hAnsi="宋体" w:cs="宋体"/>
                <w:szCs w:val="21"/>
                <w:highlight w:val="none"/>
              </w:rPr>
              <w:t>项目负责人、技术负责人签名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u w:val="single"/>
                <w:lang w:bidi="ar"/>
              </w:rPr>
            </w:pPr>
            <w:r>
              <w:rPr>
                <w:rFonts w:hint="eastAsia" w:ascii="宋体" w:hAnsi="宋体" w:cs="宋体"/>
                <w:szCs w:val="21"/>
                <w:highlight w:val="none"/>
                <w:u w:val="single"/>
                <w:lang w:bidi="ar"/>
              </w:rPr>
              <w:t>落实失信联合惩戒措施</w:t>
            </w:r>
          </w:p>
        </w:tc>
        <w:tc>
          <w:tcPr>
            <w:tcW w:w="6184" w:type="dxa"/>
            <w:gridSpan w:val="2"/>
            <w:vAlign w:val="center"/>
          </w:tcPr>
          <w:p>
            <w:pPr>
              <w:wordWrap w:val="0"/>
              <w:rPr>
                <w:rFonts w:ascii="宋体" w:hAnsi="宋体" w:cs="宋体"/>
                <w:highlight w:val="none"/>
                <w:u w:val="single"/>
              </w:rPr>
            </w:pPr>
            <w:r>
              <w:rPr>
                <w:rFonts w:hint="eastAsia" w:ascii="宋体" w:hAnsi="宋体" w:cs="宋体"/>
                <w:highlight w:val="none"/>
                <w:u w:val="single"/>
              </w:rPr>
              <w:t>投标人未被纳入“失信联合惩戒名单”，“失信联合惩戒名单”以“信用广州”网站公布的“黑名单”为准。</w:t>
            </w:r>
          </w:p>
          <w:p>
            <w:pPr>
              <w:wordWrap w:val="0"/>
              <w:rPr>
                <w:rFonts w:ascii="宋体" w:hAnsi="宋体" w:cs="宋体"/>
                <w:szCs w:val="21"/>
                <w:highlight w:val="none"/>
                <w:u w:val="single"/>
              </w:rPr>
            </w:pPr>
            <w:r>
              <w:rPr>
                <w:rFonts w:hint="eastAsia" w:ascii="宋体" w:hAnsi="宋体" w:cs="宋体"/>
                <w:szCs w:val="21"/>
                <w:highlight w:val="none"/>
                <w:u w:val="single"/>
              </w:rPr>
              <w:t>注：①以投标人提供自本项目招标公告发布之日起至本项目投标截止日期止任一天在“信用广州”网站查询的截图为准。</w:t>
            </w:r>
          </w:p>
          <w:p>
            <w:pPr>
              <w:wordWrap w:val="0"/>
              <w:rPr>
                <w:rFonts w:ascii="宋体" w:hAnsi="宋体" w:cs="宋体"/>
                <w:szCs w:val="21"/>
                <w:highlight w:val="none"/>
                <w:u w:val="single"/>
              </w:rPr>
            </w:pPr>
            <w:r>
              <w:rPr>
                <w:rFonts w:hint="eastAsia" w:ascii="宋体" w:hAnsi="宋体" w:cs="宋体"/>
                <w:szCs w:val="21"/>
                <w:highlight w:val="none"/>
                <w:u w:val="single"/>
              </w:rPr>
              <w:t>②查询截图的路径如下：查询网址https://credit1.gz.gov.cn/publicity/honourFuzzyList?type=2→黑名单）。</w:t>
            </w:r>
          </w:p>
          <w:p>
            <w:pPr>
              <w:wordWrap w:val="0"/>
              <w:rPr>
                <w:rFonts w:ascii="宋体" w:hAnsi="宋体" w:cs="宋体"/>
                <w:szCs w:val="21"/>
                <w:highlight w:val="none"/>
                <w:u w:val="single"/>
                <w:lang w:bidi="ar"/>
              </w:rPr>
            </w:pPr>
            <w:r>
              <w:rPr>
                <w:rFonts w:hint="eastAsia" w:ascii="宋体" w:hAnsi="宋体" w:cs="宋体"/>
                <w:szCs w:val="21"/>
                <w:highlight w:val="none"/>
                <w:u w:val="single"/>
              </w:rPr>
              <w:t>③如网站查询结果显示“找不到和您的查询相符的记录”或类似意思的表述，则视为没有上述不良信用记录。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u w:val="single"/>
                <w:lang w:bidi="ar"/>
              </w:rPr>
            </w:pPr>
            <w:r>
              <w:rPr>
                <w:rFonts w:hint="eastAsia" w:ascii="宋体" w:hAnsi="宋体" w:cs="宋体"/>
                <w:szCs w:val="21"/>
                <w:highlight w:val="none"/>
                <w:u w:val="single"/>
              </w:rPr>
              <w:t>《投标人廉洁承诺书》</w:t>
            </w:r>
          </w:p>
        </w:tc>
        <w:tc>
          <w:tcPr>
            <w:tcW w:w="6184" w:type="dxa"/>
            <w:gridSpan w:val="2"/>
            <w:vAlign w:val="center"/>
          </w:tcPr>
          <w:p>
            <w:pPr>
              <w:wordWrap w:val="0"/>
              <w:rPr>
                <w:rFonts w:ascii="宋体" w:hAnsi="宋体" w:cs="宋体"/>
                <w:szCs w:val="21"/>
                <w:highlight w:val="none"/>
                <w:u w:val="single"/>
                <w:lang w:bidi="ar"/>
              </w:rPr>
            </w:pPr>
            <w:r>
              <w:rPr>
                <w:rFonts w:hint="eastAsia" w:ascii="宋体" w:hAnsi="宋体" w:cs="宋体"/>
                <w:szCs w:val="21"/>
                <w:highlight w:val="none"/>
                <w:u w:val="single"/>
              </w:rPr>
              <w:t>投标申请人在投标文件中按招标文件要求提交签署盖章的《投标人廉洁承诺书》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u w:val="single"/>
              </w:rPr>
            </w:pPr>
            <w:r>
              <w:rPr>
                <w:rFonts w:hint="eastAsia" w:ascii="宋体" w:hAnsi="宋体" w:cs="宋体"/>
                <w:szCs w:val="21"/>
                <w:highlight w:val="none"/>
                <w:u w:val="single"/>
              </w:rPr>
              <w:t>投标人不得存在下列情形</w:t>
            </w:r>
          </w:p>
        </w:tc>
        <w:tc>
          <w:tcPr>
            <w:tcW w:w="6184" w:type="dxa"/>
            <w:gridSpan w:val="2"/>
            <w:vAlign w:val="center"/>
          </w:tcPr>
          <w:p>
            <w:pPr>
              <w:wordWrap w:val="0"/>
              <w:rPr>
                <w:rFonts w:ascii="宋体" w:hAnsi="宋体" w:cs="宋体"/>
                <w:szCs w:val="21"/>
                <w:highlight w:val="none"/>
                <w:u w:val="single"/>
              </w:rPr>
            </w:pPr>
            <w:r>
              <w:rPr>
                <w:rFonts w:hint="eastAsia" w:ascii="宋体" w:hAnsi="宋体" w:cs="宋体"/>
                <w:szCs w:val="21"/>
                <w:highlight w:val="none"/>
                <w:u w:val="single"/>
              </w:rPr>
              <w:t>投标人按招标文件规定的格式及内容要求提交《投标函》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u w:val="single"/>
              </w:rPr>
            </w:pPr>
            <w:r>
              <w:rPr>
                <w:rFonts w:hint="eastAsia" w:ascii="宋体" w:hAnsi="宋体" w:cs="宋体"/>
                <w:szCs w:val="21"/>
                <w:highlight w:val="none"/>
                <w:u w:val="single"/>
              </w:rPr>
              <w:t>投标登记时的信息</w:t>
            </w:r>
          </w:p>
        </w:tc>
        <w:tc>
          <w:tcPr>
            <w:tcW w:w="6184" w:type="dxa"/>
            <w:gridSpan w:val="2"/>
            <w:vAlign w:val="center"/>
          </w:tcPr>
          <w:p>
            <w:pPr>
              <w:wordWrap w:val="0"/>
              <w:rPr>
                <w:rFonts w:ascii="宋体" w:hAnsi="宋体" w:cs="宋体"/>
                <w:szCs w:val="21"/>
                <w:highlight w:val="none"/>
                <w:u w:val="single"/>
              </w:rPr>
            </w:pPr>
            <w:r>
              <w:rPr>
                <w:rFonts w:hint="eastAsia" w:ascii="宋体" w:hAnsi="宋体" w:cs="宋体"/>
                <w:szCs w:val="21"/>
                <w:highlight w:val="none"/>
                <w:u w:val="single"/>
              </w:rPr>
              <w:t>投标文件中的投标人应与企业库信息库中的信息一致，项目负责人、专职安全员应与投标登记时的信息一致。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restart"/>
            <w:vAlign w:val="center"/>
          </w:tcPr>
          <w:p>
            <w:pPr>
              <w:wordWrap w:val="0"/>
              <w:spacing w:line="360" w:lineRule="auto"/>
              <w:jc w:val="center"/>
              <w:rPr>
                <w:rFonts w:ascii="宋体" w:hAnsi="宋体" w:cs="宋体"/>
                <w:szCs w:val="21"/>
                <w:highlight w:val="none"/>
              </w:rPr>
            </w:pPr>
            <w:r>
              <w:rPr>
                <w:rFonts w:hint="eastAsia" w:ascii="宋体" w:hAnsi="宋体" w:cs="宋体"/>
                <w:szCs w:val="21"/>
                <w:highlight w:val="none"/>
                <w:lang w:bidi="ar"/>
              </w:rPr>
              <w:t>2.1.2</w:t>
            </w:r>
          </w:p>
        </w:tc>
        <w:tc>
          <w:tcPr>
            <w:tcW w:w="1086" w:type="dxa"/>
            <w:gridSpan w:val="2"/>
            <w:vMerge w:val="restart"/>
            <w:vAlign w:val="center"/>
          </w:tcPr>
          <w:p>
            <w:pPr>
              <w:wordWrap w:val="0"/>
              <w:rPr>
                <w:rFonts w:ascii="宋体" w:hAnsi="宋体" w:cs="宋体"/>
                <w:szCs w:val="21"/>
                <w:highlight w:val="none"/>
              </w:rPr>
            </w:pPr>
            <w:r>
              <w:rPr>
                <w:rFonts w:hint="eastAsia" w:ascii="宋体" w:hAnsi="宋体" w:cs="宋体"/>
                <w:szCs w:val="21"/>
                <w:highlight w:val="none"/>
                <w:lang w:bidi="ar"/>
              </w:rPr>
              <w:t>形式评审标准</w:t>
            </w:r>
          </w:p>
        </w:tc>
        <w:tc>
          <w:tcPr>
            <w:tcW w:w="1066" w:type="dxa"/>
            <w:vAlign w:val="center"/>
          </w:tcPr>
          <w:p>
            <w:pPr>
              <w:wordWrap w:val="0"/>
              <w:rPr>
                <w:rFonts w:ascii="宋体" w:hAnsi="宋体" w:cs="宋体"/>
                <w:strike/>
                <w:szCs w:val="21"/>
                <w:highlight w:val="none"/>
              </w:rPr>
            </w:pPr>
            <w:r>
              <w:rPr>
                <w:rFonts w:hint="eastAsia" w:ascii="宋体" w:hAnsi="宋体" w:cs="宋体"/>
                <w:szCs w:val="21"/>
                <w:highlight w:val="none"/>
                <w:lang w:bidi="ar"/>
              </w:rPr>
              <w:t>投标文件格式</w:t>
            </w:r>
          </w:p>
        </w:tc>
        <w:tc>
          <w:tcPr>
            <w:tcW w:w="6184" w:type="dxa"/>
            <w:gridSpan w:val="2"/>
            <w:vAlign w:val="center"/>
          </w:tcPr>
          <w:p>
            <w:pPr>
              <w:wordWrap w:val="0"/>
              <w:rPr>
                <w:rFonts w:ascii="宋体" w:hAnsi="宋体" w:cs="宋体"/>
                <w:strike/>
                <w:szCs w:val="21"/>
                <w:highlight w:val="none"/>
              </w:rPr>
            </w:pPr>
            <w:r>
              <w:rPr>
                <w:rFonts w:hint="eastAsia" w:ascii="宋体" w:hAnsi="宋体" w:cs="宋体"/>
                <w:szCs w:val="21"/>
                <w:highlight w:val="none"/>
                <w:lang w:bidi="ar"/>
              </w:rPr>
              <w:t>《投标函及投标函附录》符合第八章“投标文件格式”的要求。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投标函盖章</w:t>
            </w:r>
          </w:p>
        </w:tc>
        <w:tc>
          <w:tcPr>
            <w:tcW w:w="6184" w:type="dxa"/>
            <w:gridSpan w:val="2"/>
            <w:vAlign w:val="center"/>
          </w:tcPr>
          <w:p>
            <w:pPr>
              <w:wordWrap w:val="0"/>
              <w:rPr>
                <w:rFonts w:ascii="宋体" w:hAnsi="宋体" w:cs="宋体"/>
                <w:szCs w:val="21"/>
                <w:highlight w:val="none"/>
              </w:rPr>
            </w:pPr>
            <w:r>
              <w:rPr>
                <w:rFonts w:hint="eastAsia" w:ascii="宋体" w:hAnsi="宋体" w:cs="宋体"/>
                <w:szCs w:val="21"/>
                <w:highlight w:val="none"/>
                <w:lang w:bidi="ar"/>
              </w:rPr>
              <w:t>有加盖单位公章；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报价唯一</w:t>
            </w:r>
          </w:p>
        </w:tc>
        <w:tc>
          <w:tcPr>
            <w:tcW w:w="6184" w:type="dxa"/>
            <w:gridSpan w:val="2"/>
            <w:vAlign w:val="center"/>
          </w:tcPr>
          <w:p>
            <w:pPr>
              <w:wordWrap w:val="0"/>
              <w:rPr>
                <w:rFonts w:ascii="宋体" w:hAnsi="宋体" w:cs="宋体"/>
                <w:szCs w:val="21"/>
                <w:highlight w:val="none"/>
              </w:rPr>
            </w:pPr>
            <w:r>
              <w:rPr>
                <w:rFonts w:hint="eastAsia" w:ascii="宋体" w:hAnsi="宋体" w:cs="宋体"/>
                <w:szCs w:val="21"/>
                <w:highlight w:val="none"/>
                <w:lang w:bidi="ar"/>
              </w:rPr>
              <w:t>只能有一个有效报价（指符合第三章“评标办法”2.2.2规定的有效投标报价）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restart"/>
            <w:vAlign w:val="center"/>
          </w:tcPr>
          <w:p>
            <w:pPr>
              <w:wordWrap w:val="0"/>
              <w:spacing w:line="360" w:lineRule="auto"/>
              <w:jc w:val="center"/>
              <w:rPr>
                <w:rFonts w:ascii="宋体" w:hAnsi="宋体" w:cs="宋体"/>
                <w:szCs w:val="21"/>
                <w:highlight w:val="none"/>
              </w:rPr>
            </w:pPr>
            <w:r>
              <w:rPr>
                <w:rFonts w:hint="eastAsia" w:ascii="宋体" w:hAnsi="宋体" w:cs="宋体"/>
                <w:szCs w:val="21"/>
                <w:highlight w:val="none"/>
                <w:lang w:bidi="ar"/>
              </w:rPr>
              <w:t>2.1.3</w:t>
            </w:r>
          </w:p>
        </w:tc>
        <w:tc>
          <w:tcPr>
            <w:tcW w:w="1086" w:type="dxa"/>
            <w:gridSpan w:val="2"/>
            <w:vMerge w:val="restart"/>
            <w:vAlign w:val="center"/>
          </w:tcPr>
          <w:p>
            <w:pPr>
              <w:wordWrap w:val="0"/>
              <w:jc w:val="center"/>
              <w:rPr>
                <w:rFonts w:ascii="宋体" w:hAnsi="宋体" w:cs="宋体"/>
                <w:szCs w:val="21"/>
                <w:highlight w:val="none"/>
              </w:rPr>
            </w:pPr>
            <w:r>
              <w:rPr>
                <w:rFonts w:hint="eastAsia" w:ascii="宋体" w:hAnsi="宋体" w:cs="宋体"/>
                <w:szCs w:val="21"/>
                <w:highlight w:val="none"/>
                <w:lang w:bidi="ar"/>
              </w:rPr>
              <w:t>响应性评审标准</w:t>
            </w: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投标报价</w:t>
            </w:r>
          </w:p>
        </w:tc>
        <w:tc>
          <w:tcPr>
            <w:tcW w:w="6184" w:type="dxa"/>
            <w:gridSpan w:val="2"/>
            <w:vAlign w:val="center"/>
          </w:tcPr>
          <w:p>
            <w:pPr>
              <w:wordWrap w:val="0"/>
              <w:rPr>
                <w:rFonts w:ascii="宋体" w:hAnsi="宋体" w:cs="宋体"/>
                <w:szCs w:val="21"/>
                <w:highlight w:val="none"/>
              </w:rPr>
            </w:pPr>
            <w:r>
              <w:rPr>
                <w:rFonts w:hint="eastAsia" w:ascii="宋体" w:hAnsi="宋体" w:cs="宋体"/>
                <w:szCs w:val="21"/>
                <w:highlight w:val="none"/>
                <w:lang w:bidi="ar"/>
              </w:rPr>
              <w:t>符合第二章“投标人须知”第3.2.3项规定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计划工期</w:t>
            </w:r>
          </w:p>
        </w:tc>
        <w:tc>
          <w:tcPr>
            <w:tcW w:w="6184" w:type="dxa"/>
            <w:gridSpan w:val="2"/>
            <w:vAlign w:val="center"/>
          </w:tcPr>
          <w:p>
            <w:pPr>
              <w:wordWrap w:val="0"/>
              <w:rPr>
                <w:rFonts w:ascii="宋体" w:hAnsi="宋体" w:cs="宋体"/>
                <w:szCs w:val="21"/>
                <w:highlight w:val="none"/>
              </w:rPr>
            </w:pPr>
            <w:r>
              <w:rPr>
                <w:rFonts w:hint="eastAsia" w:ascii="宋体" w:hAnsi="宋体" w:cs="宋体"/>
                <w:szCs w:val="21"/>
                <w:highlight w:val="none"/>
                <w:lang w:bidi="ar"/>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工程质量</w:t>
            </w:r>
          </w:p>
        </w:tc>
        <w:tc>
          <w:tcPr>
            <w:tcW w:w="6184" w:type="dxa"/>
            <w:gridSpan w:val="2"/>
            <w:vAlign w:val="center"/>
          </w:tcPr>
          <w:p>
            <w:pPr>
              <w:wordWrap w:val="0"/>
              <w:rPr>
                <w:rFonts w:ascii="宋体" w:hAnsi="宋体" w:cs="宋体"/>
                <w:szCs w:val="21"/>
                <w:highlight w:val="none"/>
              </w:rPr>
            </w:pPr>
            <w:r>
              <w:rPr>
                <w:rFonts w:hint="eastAsia" w:ascii="宋体" w:hAnsi="宋体" w:cs="宋体"/>
                <w:szCs w:val="21"/>
                <w:highlight w:val="none"/>
                <w:lang w:bidi="ar"/>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spacing w:beforeLines="0" w:afterLines="0"/>
              <w:rPr>
                <w:rFonts w:hint="eastAsia" w:ascii="宋体" w:hAnsi="宋体" w:cs="宋体"/>
                <w:szCs w:val="21"/>
                <w:highlight w:val="none"/>
                <w:lang w:bidi="ar"/>
              </w:rPr>
            </w:pPr>
            <w:r>
              <w:rPr>
                <w:rFonts w:hint="eastAsia" w:ascii="宋体" w:hAnsi="宋体" w:cs="宋体"/>
                <w:sz w:val="21"/>
                <w:szCs w:val="21"/>
                <w:lang w:bidi="ar"/>
              </w:rPr>
              <w:t>投标保证金</w:t>
            </w:r>
          </w:p>
        </w:tc>
        <w:tc>
          <w:tcPr>
            <w:tcW w:w="6184" w:type="dxa"/>
            <w:gridSpan w:val="2"/>
            <w:vAlign w:val="center"/>
          </w:tcPr>
          <w:p>
            <w:pPr>
              <w:wordWrap w:val="0"/>
              <w:spacing w:beforeLines="0" w:afterLines="0"/>
              <w:rPr>
                <w:rFonts w:hint="eastAsia" w:ascii="宋体" w:hAnsi="宋体" w:cs="宋体"/>
                <w:szCs w:val="21"/>
                <w:highlight w:val="none"/>
                <w:lang w:bidi="ar"/>
              </w:rPr>
            </w:pPr>
            <w:r>
              <w:rPr>
                <w:rFonts w:hint="eastAsia" w:ascii="宋体" w:hAnsi="宋体" w:cs="宋体"/>
                <w:sz w:val="21"/>
                <w:szCs w:val="21"/>
                <w:lang w:bidi="ar"/>
              </w:rPr>
              <w:t>符合第二章“投标人须知”第3.4项规定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已标价工程量清单</w:t>
            </w:r>
          </w:p>
        </w:tc>
        <w:tc>
          <w:tcPr>
            <w:tcW w:w="6184" w:type="dxa"/>
            <w:gridSpan w:val="2"/>
            <w:vAlign w:val="center"/>
          </w:tcPr>
          <w:p>
            <w:pPr>
              <w:wordWrap w:val="0"/>
              <w:rPr>
                <w:rFonts w:ascii="宋体" w:hAnsi="宋体" w:cs="宋体"/>
                <w:szCs w:val="21"/>
                <w:highlight w:val="none"/>
                <w:lang w:bidi="ar"/>
              </w:rPr>
            </w:pPr>
            <w:r>
              <w:rPr>
                <w:rFonts w:hint="eastAsia" w:ascii="宋体" w:hAnsi="宋体" w:cs="宋体"/>
                <w:szCs w:val="21"/>
                <w:highlight w:val="none"/>
                <w:lang w:bidi="ar"/>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rPr>
                <w:rFonts w:ascii="宋体" w:hAnsi="宋体" w:cs="宋体"/>
                <w:szCs w:val="21"/>
                <w:highlight w:val="none"/>
              </w:rPr>
            </w:pPr>
            <w:r>
              <w:rPr>
                <w:rFonts w:hint="eastAsia" w:ascii="宋体" w:hAnsi="宋体" w:cs="宋体"/>
                <w:szCs w:val="21"/>
                <w:highlight w:val="none"/>
                <w:lang w:bidi="ar"/>
              </w:rPr>
              <w:t>技术标准和要求</w:t>
            </w:r>
          </w:p>
        </w:tc>
        <w:tc>
          <w:tcPr>
            <w:tcW w:w="6184" w:type="dxa"/>
            <w:gridSpan w:val="2"/>
            <w:vAlign w:val="center"/>
          </w:tcPr>
          <w:p>
            <w:pPr>
              <w:wordWrap w:val="0"/>
              <w:rPr>
                <w:rFonts w:ascii="宋体" w:hAnsi="宋体" w:cs="宋体"/>
                <w:szCs w:val="21"/>
                <w:highlight w:val="none"/>
                <w:lang w:bidi="ar"/>
              </w:rPr>
            </w:pPr>
            <w:r>
              <w:rPr>
                <w:rFonts w:hint="eastAsia" w:ascii="宋体" w:hAnsi="宋体" w:cs="宋体"/>
                <w:szCs w:val="21"/>
                <w:highlight w:val="none"/>
                <w:lang w:bidi="ar"/>
              </w:rPr>
              <w:t>符合第七章“技术标准和要求”规定（注:需提供投标文件符合招标文件第七章“技术标准和要求”的承诺函，承诺函格式自拟。）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gridSpan w:val="2"/>
            <w:vMerge w:val="continue"/>
            <w:vAlign w:val="center"/>
          </w:tcPr>
          <w:p>
            <w:pPr>
              <w:wordWrap w:val="0"/>
              <w:rPr>
                <w:rFonts w:ascii="宋体" w:hAnsi="宋体" w:cs="宋体"/>
                <w:sz w:val="20"/>
                <w:szCs w:val="20"/>
                <w:highlight w:val="none"/>
              </w:rPr>
            </w:pPr>
          </w:p>
        </w:tc>
        <w:tc>
          <w:tcPr>
            <w:tcW w:w="1086" w:type="dxa"/>
            <w:gridSpan w:val="2"/>
            <w:vMerge w:val="continue"/>
            <w:vAlign w:val="center"/>
          </w:tcPr>
          <w:p>
            <w:pPr>
              <w:wordWrap w:val="0"/>
              <w:rPr>
                <w:rFonts w:ascii="宋体" w:hAnsi="宋体" w:cs="宋体"/>
                <w:sz w:val="20"/>
                <w:szCs w:val="20"/>
                <w:highlight w:val="none"/>
              </w:rPr>
            </w:pPr>
          </w:p>
        </w:tc>
        <w:tc>
          <w:tcPr>
            <w:tcW w:w="1066" w:type="dxa"/>
            <w:vAlign w:val="center"/>
          </w:tcPr>
          <w:p>
            <w:pPr>
              <w:wordWrap w:val="0"/>
              <w:adjustRightInd w:val="0"/>
              <w:snapToGrid w:val="0"/>
              <w:rPr>
                <w:rFonts w:ascii="宋体" w:hAnsi="宋体" w:cs="宋体"/>
                <w:szCs w:val="21"/>
                <w:highlight w:val="none"/>
              </w:rPr>
            </w:pPr>
            <w:r>
              <w:rPr>
                <w:rFonts w:hint="eastAsia" w:ascii="宋体" w:hAnsi="宋体" w:cs="宋体"/>
                <w:szCs w:val="21"/>
                <w:highlight w:val="none"/>
              </w:rPr>
              <w:t>机器码唯一</w:t>
            </w:r>
          </w:p>
        </w:tc>
        <w:tc>
          <w:tcPr>
            <w:tcW w:w="6184" w:type="dxa"/>
            <w:gridSpan w:val="2"/>
            <w:vAlign w:val="center"/>
          </w:tcPr>
          <w:p>
            <w:pPr>
              <w:wordWrap w:val="0"/>
              <w:adjustRightInd w:val="0"/>
              <w:snapToGrid w:val="0"/>
              <w:rPr>
                <w:rFonts w:ascii="宋体" w:hAnsi="宋体" w:cs="宋体"/>
                <w:szCs w:val="21"/>
                <w:highlight w:val="none"/>
              </w:rPr>
            </w:pPr>
            <w:r>
              <w:rPr>
                <w:rFonts w:hint="eastAsia" w:ascii="宋体" w:hAnsi="宋体" w:cs="宋体"/>
                <w:szCs w:val="21"/>
                <w:highlight w:val="none"/>
              </w:rPr>
              <w:t>不存在以下情形之一：</w:t>
            </w:r>
          </w:p>
          <w:p>
            <w:pPr>
              <w:wordWrap w:val="0"/>
              <w:adjustRightInd w:val="0"/>
              <w:snapToGrid w:val="0"/>
              <w:rPr>
                <w:rFonts w:ascii="宋体" w:hAnsi="宋体" w:cs="宋体"/>
                <w:szCs w:val="21"/>
                <w:highlight w:val="none"/>
              </w:rPr>
            </w:pPr>
            <w:r>
              <w:rPr>
                <w:rFonts w:hint="eastAsia" w:ascii="宋体" w:hAnsi="宋体" w:cs="宋体"/>
                <w:szCs w:val="21"/>
                <w:highlight w:val="none"/>
              </w:rPr>
              <w:t>①投标人与本项目其他投标人加密打包投标文件电脑机器特征码一致的（以交易平台评标系统的检索信息为准)；</w:t>
            </w:r>
          </w:p>
          <w:p>
            <w:pPr>
              <w:wordWrap w:val="0"/>
              <w:adjustRightInd w:val="0"/>
              <w:snapToGrid w:val="0"/>
              <w:rPr>
                <w:rFonts w:ascii="宋体" w:hAnsi="宋体" w:cs="宋体"/>
                <w:szCs w:val="21"/>
                <w:highlight w:val="none"/>
              </w:rPr>
            </w:pPr>
            <w:r>
              <w:rPr>
                <w:rFonts w:hint="eastAsia" w:ascii="宋体" w:hAnsi="宋体" w:cs="宋体"/>
                <w:szCs w:val="21"/>
                <w:highlight w:val="none"/>
              </w:rPr>
              <w:t>②投标人与本项目其他投标人的投标文件工程量清单编制机器硬件信息一致的（以交易平台评标系统的检索信息为准）。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6" w:type="dxa"/>
            <w:gridSpan w:val="3"/>
            <w:tcBorders>
              <w:top w:val="single" w:color="auto" w:sz="4" w:space="0"/>
              <w:bottom w:val="single" w:color="auto" w:sz="4" w:space="0"/>
              <w:right w:val="single" w:color="auto" w:sz="4" w:space="0"/>
            </w:tcBorders>
            <w:vAlign w:val="center"/>
          </w:tcPr>
          <w:p>
            <w:pPr>
              <w:wordWrap w:val="0"/>
              <w:spacing w:line="276" w:lineRule="auto"/>
              <w:jc w:val="center"/>
              <w:rPr>
                <w:rFonts w:ascii="宋体" w:hAnsi="宋体" w:cs="宋体"/>
                <w:b/>
                <w:szCs w:val="21"/>
                <w:highlight w:val="none"/>
              </w:rPr>
            </w:pPr>
            <w:r>
              <w:rPr>
                <w:rFonts w:hint="eastAsia" w:ascii="宋体" w:hAnsi="宋体" w:cs="宋体"/>
                <w:b/>
                <w:szCs w:val="21"/>
                <w:highlight w:val="none"/>
              </w:rPr>
              <w:t>条款号</w:t>
            </w:r>
          </w:p>
        </w:tc>
        <w:tc>
          <w:tcPr>
            <w:tcW w:w="1483" w:type="dxa"/>
            <w:gridSpan w:val="3"/>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宋体" w:hAnsi="宋体" w:cs="宋体"/>
                <w:b/>
                <w:szCs w:val="21"/>
                <w:highlight w:val="none"/>
              </w:rPr>
            </w:pPr>
            <w:r>
              <w:rPr>
                <w:rFonts w:hint="eastAsia" w:ascii="宋体" w:hAnsi="宋体" w:cs="宋体"/>
                <w:b/>
                <w:szCs w:val="21"/>
                <w:highlight w:val="none"/>
              </w:rPr>
              <w:t>条款内容</w:t>
            </w:r>
          </w:p>
        </w:tc>
        <w:tc>
          <w:tcPr>
            <w:tcW w:w="6166" w:type="dxa"/>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6" w:type="dxa"/>
            <w:gridSpan w:val="3"/>
            <w:tcBorders>
              <w:bottom w:val="single" w:color="auto" w:sz="4" w:space="0"/>
              <w:right w:val="single" w:color="auto" w:sz="4" w:space="0"/>
            </w:tcBorders>
            <w:vAlign w:val="center"/>
          </w:tcPr>
          <w:p>
            <w:pPr>
              <w:wordWrap w:val="0"/>
              <w:spacing w:line="276" w:lineRule="auto"/>
              <w:jc w:val="center"/>
              <w:rPr>
                <w:rFonts w:ascii="宋体" w:hAnsi="宋体" w:cs="宋体"/>
                <w:szCs w:val="21"/>
                <w:highlight w:val="none"/>
              </w:rPr>
            </w:pPr>
            <w:r>
              <w:rPr>
                <w:rFonts w:hint="eastAsia" w:ascii="宋体" w:hAnsi="宋体" w:cs="宋体"/>
                <w:szCs w:val="21"/>
                <w:highlight w:val="none"/>
              </w:rPr>
              <w:t>2.2.1</w:t>
            </w:r>
          </w:p>
        </w:tc>
        <w:tc>
          <w:tcPr>
            <w:tcW w:w="1483" w:type="dxa"/>
            <w:gridSpan w:val="3"/>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cs="宋体"/>
                <w:szCs w:val="21"/>
                <w:highlight w:val="none"/>
              </w:rPr>
            </w:pPr>
            <w:r>
              <w:rPr>
                <w:rFonts w:hint="eastAsia" w:ascii="宋体" w:hAnsi="宋体" w:cs="宋体"/>
                <w:szCs w:val="21"/>
                <w:highlight w:val="none"/>
              </w:rPr>
              <w:t>分值构成</w:t>
            </w:r>
          </w:p>
          <w:p>
            <w:pPr>
              <w:wordWrap w:val="0"/>
              <w:spacing w:line="276" w:lineRule="auto"/>
              <w:rPr>
                <w:rFonts w:ascii="宋体" w:hAnsi="宋体" w:cs="宋体"/>
                <w:szCs w:val="21"/>
                <w:highlight w:val="none"/>
              </w:rPr>
            </w:pPr>
            <w:r>
              <w:rPr>
                <w:rFonts w:hint="eastAsia" w:ascii="宋体" w:hAnsi="宋体" w:cs="宋体"/>
                <w:szCs w:val="21"/>
                <w:highlight w:val="none"/>
              </w:rPr>
              <w:t>(总分100分)</w:t>
            </w:r>
          </w:p>
        </w:tc>
        <w:tc>
          <w:tcPr>
            <w:tcW w:w="6166"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cs="宋体"/>
                <w:szCs w:val="21"/>
                <w:highlight w:val="none"/>
                <w:u w:val="single"/>
              </w:rPr>
            </w:pPr>
            <w:r>
              <w:rPr>
                <w:rFonts w:hint="eastAsia" w:ascii="宋体" w:hAnsi="宋体" w:cs="宋体"/>
                <w:szCs w:val="21"/>
                <w:highlight w:val="none"/>
              </w:rPr>
              <w:t>1.商务评审权重：</w:t>
            </w:r>
            <w:r>
              <w:rPr>
                <w:rFonts w:hint="eastAsia" w:ascii="宋体" w:hAnsi="宋体" w:cs="宋体"/>
                <w:b/>
                <w:szCs w:val="21"/>
                <w:highlight w:val="none"/>
                <w:u w:val="single"/>
                <w:lang w:val="en-US" w:eastAsia="zh-CN"/>
              </w:rPr>
              <w:t>100</w:t>
            </w:r>
            <w:r>
              <w:rPr>
                <w:rFonts w:hint="eastAsia" w:ascii="宋体" w:hAnsi="宋体" w:cs="宋体"/>
                <w:b/>
                <w:szCs w:val="21"/>
                <w:highlight w:val="none"/>
              </w:rPr>
              <w:t>%</w:t>
            </w:r>
          </w:p>
          <w:p>
            <w:pPr>
              <w:wordWrap w:val="0"/>
              <w:rPr>
                <w:rFonts w:ascii="宋体" w:hAnsi="宋体" w:cs="宋体"/>
                <w:szCs w:val="21"/>
                <w:highlight w:val="none"/>
              </w:rPr>
            </w:pPr>
            <w:r>
              <w:rPr>
                <w:rFonts w:hint="eastAsia" w:ascii="宋体" w:hAnsi="宋体" w:cs="宋体"/>
                <w:szCs w:val="21"/>
                <w:highlight w:val="none"/>
              </w:rPr>
              <w:t>2.投标报价权重：</w:t>
            </w:r>
            <w:r>
              <w:rPr>
                <w:rFonts w:hint="eastAsia" w:ascii="宋体" w:hAnsi="宋体" w:cs="宋体"/>
                <w:b/>
                <w:szCs w:val="21"/>
                <w:highlight w:val="none"/>
                <w:u w:val="single"/>
                <w:lang w:val="en-US" w:eastAsia="zh-CN"/>
              </w:rPr>
              <w:t>80</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6" w:type="dxa"/>
            <w:gridSpan w:val="3"/>
            <w:tcBorders>
              <w:top w:val="nil"/>
              <w:bottom w:val="single" w:color="auto" w:sz="4" w:space="0"/>
              <w:right w:val="single" w:color="auto" w:sz="4" w:space="0"/>
            </w:tcBorders>
            <w:vAlign w:val="center"/>
          </w:tcPr>
          <w:p>
            <w:pPr>
              <w:wordWrap w:val="0"/>
              <w:spacing w:line="276" w:lineRule="auto"/>
              <w:jc w:val="center"/>
              <w:rPr>
                <w:rFonts w:ascii="宋体" w:hAnsi="宋体" w:cs="宋体"/>
                <w:b/>
                <w:szCs w:val="21"/>
                <w:highlight w:val="none"/>
              </w:rPr>
            </w:pPr>
            <w:r>
              <w:rPr>
                <w:rFonts w:hint="eastAsia" w:ascii="宋体" w:hAnsi="宋体" w:cs="宋体"/>
                <w:b/>
                <w:szCs w:val="21"/>
                <w:highlight w:val="none"/>
              </w:rPr>
              <w:t>条款号</w:t>
            </w:r>
          </w:p>
        </w:tc>
        <w:tc>
          <w:tcPr>
            <w:tcW w:w="1483" w:type="dxa"/>
            <w:gridSpan w:val="3"/>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cs="宋体"/>
                <w:b/>
                <w:szCs w:val="21"/>
                <w:highlight w:val="none"/>
              </w:rPr>
            </w:pPr>
            <w:r>
              <w:rPr>
                <w:rFonts w:hint="eastAsia" w:ascii="宋体" w:hAnsi="宋体" w:cs="宋体"/>
                <w:b/>
                <w:szCs w:val="21"/>
                <w:highlight w:val="none"/>
              </w:rPr>
              <w:t>评审因素</w:t>
            </w:r>
          </w:p>
        </w:tc>
        <w:tc>
          <w:tcPr>
            <w:tcW w:w="6166" w:type="dxa"/>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6" w:type="dxa"/>
            <w:gridSpan w:val="3"/>
            <w:tcBorders>
              <w:top w:val="nil"/>
              <w:bottom w:val="single" w:color="auto" w:sz="4" w:space="0"/>
              <w:right w:val="single" w:color="auto" w:sz="4" w:space="0"/>
            </w:tcBorders>
            <w:vAlign w:val="center"/>
          </w:tcPr>
          <w:p>
            <w:pPr>
              <w:wordWrap w:val="0"/>
              <w:spacing w:line="276" w:lineRule="auto"/>
              <w:jc w:val="center"/>
              <w:rPr>
                <w:rFonts w:ascii="宋体" w:hAnsi="宋体" w:cs="宋体"/>
                <w:b/>
                <w:szCs w:val="21"/>
                <w:highlight w:val="none"/>
              </w:rPr>
            </w:pPr>
            <w:r>
              <w:rPr>
                <w:rFonts w:hint="eastAsia" w:ascii="宋体" w:hAnsi="宋体" w:cs="宋体"/>
                <w:b/>
                <w:szCs w:val="21"/>
                <w:highlight w:val="none"/>
              </w:rPr>
              <w:t>2.2.3</w:t>
            </w:r>
          </w:p>
        </w:tc>
        <w:tc>
          <w:tcPr>
            <w:tcW w:w="1483" w:type="dxa"/>
            <w:gridSpan w:val="3"/>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cs="宋体"/>
                <w:b/>
                <w:szCs w:val="21"/>
                <w:highlight w:val="none"/>
              </w:rPr>
            </w:pPr>
            <w:r>
              <w:rPr>
                <w:rFonts w:hint="eastAsia" w:ascii="宋体" w:hAnsi="宋体" w:cs="宋体"/>
                <w:highlight w:val="none"/>
              </w:rPr>
              <w:t>评标基准价计算</w:t>
            </w:r>
          </w:p>
        </w:tc>
        <w:tc>
          <w:tcPr>
            <w:tcW w:w="6166" w:type="dxa"/>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Cs w:val="21"/>
                <w:highlight w:val="none"/>
              </w:rPr>
            </w:pPr>
            <w:r>
              <w:rPr>
                <w:rFonts w:hint="eastAsia" w:ascii="宋体" w:hAnsi="宋体" w:cs="宋体"/>
                <w:szCs w:val="21"/>
                <w:highlight w:val="none"/>
              </w:rPr>
              <w:t>以通过初步评审的投标人的有效投标报价的算术平均值按随机抽取的评标基准价下浮率（2～5%，0.5一个级别）下浮作为评标基准价。</w:t>
            </w:r>
          </w:p>
          <w:p>
            <w:pPr>
              <w:wordWrap w:val="0"/>
              <w:jc w:val="left"/>
              <w:rPr>
                <w:rFonts w:ascii="宋体" w:hAnsi="宋体" w:cs="宋体"/>
                <w:b/>
                <w:szCs w:val="21"/>
                <w:highlight w:val="none"/>
              </w:rPr>
            </w:pPr>
            <w:r>
              <w:rPr>
                <w:rFonts w:hint="eastAsia" w:ascii="宋体" w:hAnsi="宋体" w:cs="宋体"/>
                <w:szCs w:val="21"/>
                <w:highlight w:val="none"/>
              </w:rPr>
              <w:t>在首次评标过程中，投标人未被发现存在串通投标、弄虚作假、行贿等情形的，无论是否重评，经确定的评标基准价不变。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6" w:type="dxa"/>
            <w:gridSpan w:val="3"/>
            <w:tcBorders>
              <w:top w:val="nil"/>
              <w:bottom w:val="single" w:color="auto" w:sz="4" w:space="0"/>
              <w:right w:val="single" w:color="auto" w:sz="4" w:space="0"/>
            </w:tcBorders>
            <w:vAlign w:val="center"/>
          </w:tcPr>
          <w:p>
            <w:pPr>
              <w:wordWrap w:val="0"/>
              <w:spacing w:line="276" w:lineRule="auto"/>
              <w:jc w:val="center"/>
              <w:rPr>
                <w:rFonts w:ascii="宋体" w:hAnsi="宋体" w:cs="宋体"/>
                <w:b/>
                <w:szCs w:val="21"/>
                <w:highlight w:val="none"/>
              </w:rPr>
            </w:pPr>
            <w:r>
              <w:rPr>
                <w:rFonts w:hint="eastAsia" w:ascii="宋体" w:hAnsi="宋体" w:cs="宋体"/>
                <w:b/>
                <w:szCs w:val="21"/>
                <w:highlight w:val="none"/>
              </w:rPr>
              <w:t>2.2.4</w:t>
            </w:r>
          </w:p>
        </w:tc>
        <w:tc>
          <w:tcPr>
            <w:tcW w:w="1483" w:type="dxa"/>
            <w:gridSpan w:val="3"/>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cs="宋体"/>
                <w:highlight w:val="none"/>
              </w:rPr>
            </w:pPr>
            <w:r>
              <w:rPr>
                <w:rFonts w:hint="eastAsia" w:ascii="宋体" w:hAnsi="宋体" w:cs="宋体"/>
                <w:szCs w:val="21"/>
                <w:highlight w:val="none"/>
              </w:rPr>
              <w:t>投标报价偏差率计算公式</w:t>
            </w:r>
          </w:p>
        </w:tc>
        <w:tc>
          <w:tcPr>
            <w:tcW w:w="6166" w:type="dxa"/>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cs="宋体"/>
                <w:szCs w:val="21"/>
                <w:highlight w:val="none"/>
              </w:rPr>
            </w:pPr>
            <w:r>
              <w:rPr>
                <w:rFonts w:hint="eastAsia" w:ascii="宋体" w:hAnsi="宋体" w:cs="宋体"/>
                <w:szCs w:val="21"/>
                <w:highlight w:val="none"/>
              </w:rPr>
              <w:t>偏差率=（投标报价-评标基准价）/评标基准价×100%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6" w:type="dxa"/>
            <w:gridSpan w:val="3"/>
            <w:tcBorders>
              <w:top w:val="nil"/>
              <w:bottom w:val="single" w:color="auto" w:sz="4" w:space="0"/>
              <w:right w:val="single" w:color="auto" w:sz="4" w:space="0"/>
            </w:tcBorders>
            <w:vAlign w:val="center"/>
          </w:tcPr>
          <w:p>
            <w:pPr>
              <w:wordWrap w:val="0"/>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1483"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szCs w:val="21"/>
                <w:highlight w:val="none"/>
              </w:rPr>
            </w:pPr>
            <w:r>
              <w:rPr>
                <w:rFonts w:hint="eastAsia" w:ascii="宋体" w:hAnsi="宋体" w:cs="宋体"/>
                <w:b/>
                <w:szCs w:val="21"/>
                <w:highlight w:val="none"/>
              </w:rPr>
              <w:t>评分因素</w:t>
            </w:r>
          </w:p>
        </w:tc>
        <w:tc>
          <w:tcPr>
            <w:tcW w:w="616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25" w:type="dxa"/>
            <w:vMerge w:val="restart"/>
            <w:tcBorders>
              <w:top w:val="single" w:color="auto" w:sz="4" w:space="0"/>
              <w:right w:val="single" w:color="auto" w:sz="4" w:space="0"/>
            </w:tcBorders>
            <w:vAlign w:val="center"/>
          </w:tcPr>
          <w:p>
            <w:pPr>
              <w:wordWrap w:val="0"/>
              <w:spacing w:line="276" w:lineRule="auto"/>
              <w:jc w:val="center"/>
              <w:rPr>
                <w:rFonts w:ascii="宋体" w:hAnsi="宋体" w:cs="宋体"/>
                <w:szCs w:val="21"/>
                <w:highlight w:val="none"/>
              </w:rPr>
            </w:pPr>
            <w:r>
              <w:rPr>
                <w:rFonts w:hint="eastAsia" w:ascii="宋体" w:hAnsi="宋体" w:cs="宋体"/>
                <w:szCs w:val="21"/>
                <w:highlight w:val="none"/>
              </w:rPr>
              <w:t>2.2.5(1)</w:t>
            </w:r>
          </w:p>
        </w:tc>
        <w:tc>
          <w:tcPr>
            <w:tcW w:w="1021" w:type="dxa"/>
            <w:gridSpan w:val="2"/>
            <w:vMerge w:val="restart"/>
            <w:tcBorders>
              <w:top w:val="single" w:color="auto" w:sz="4" w:space="0"/>
              <w:left w:val="single" w:color="auto" w:sz="4" w:space="0"/>
              <w:right w:val="single" w:color="auto" w:sz="4" w:space="0"/>
            </w:tcBorders>
            <w:vAlign w:val="center"/>
          </w:tcPr>
          <w:p>
            <w:pPr>
              <w:wordWrap w:val="0"/>
              <w:spacing w:line="276" w:lineRule="auto"/>
              <w:jc w:val="center"/>
              <w:rPr>
                <w:rFonts w:ascii="宋体" w:hAnsi="宋体" w:cs="宋体"/>
                <w:spacing w:val="1"/>
                <w:kern w:val="0"/>
                <w:szCs w:val="21"/>
                <w:highlight w:val="none"/>
              </w:rPr>
            </w:pPr>
            <w:r>
              <w:rPr>
                <w:rFonts w:hint="eastAsia" w:ascii="宋体" w:hAnsi="宋体" w:cs="宋体"/>
                <w:szCs w:val="21"/>
                <w:highlight w:val="none"/>
              </w:rPr>
              <w:t>商务评审（20分）</w:t>
            </w:r>
          </w:p>
        </w:tc>
        <w:tc>
          <w:tcPr>
            <w:tcW w:w="1483"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rPr>
              <w:t>企业资信</w:t>
            </w:r>
          </w:p>
          <w:p>
            <w:pPr>
              <w:spacing w:line="300" w:lineRule="exact"/>
              <w:jc w:val="center"/>
              <w:rPr>
                <w:rFonts w:ascii="宋体" w:hAnsi="宋体" w:cs="宋体"/>
                <w:szCs w:val="21"/>
                <w:highlight w:val="none"/>
              </w:rPr>
            </w:pPr>
            <w:r>
              <w:rPr>
                <w:rFonts w:hint="eastAsia" w:ascii="宋体" w:hAnsi="宋体" w:cs="宋体"/>
                <w:szCs w:val="21"/>
                <w:highlight w:val="none"/>
              </w:rPr>
              <w:t>（6分）</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
                <w:bCs/>
                <w:szCs w:val="21"/>
                <w:highlight w:val="none"/>
              </w:rPr>
            </w:pPr>
            <w:r>
              <w:rPr>
                <w:rFonts w:hint="eastAsia" w:ascii="宋体" w:hAnsi="宋体" w:cs="宋体"/>
                <w:b/>
                <w:bCs/>
                <w:szCs w:val="21"/>
                <w:highlight w:val="none"/>
              </w:rPr>
              <w:t>类似业绩（1.5分）：</w:t>
            </w:r>
          </w:p>
          <w:p>
            <w:pPr>
              <w:spacing w:line="300" w:lineRule="exact"/>
              <w:rPr>
                <w:rFonts w:ascii="宋体" w:hAnsi="宋体" w:cs="宋体"/>
                <w:highlight w:val="none"/>
              </w:rPr>
            </w:pPr>
            <w:r>
              <w:rPr>
                <w:rFonts w:hint="eastAsia" w:ascii="宋体" w:hAnsi="宋体" w:cs="宋体"/>
                <w:szCs w:val="21"/>
                <w:highlight w:val="none"/>
              </w:rPr>
              <w:t>投标人自</w:t>
            </w:r>
            <w:r>
              <w:rPr>
                <w:rFonts w:eastAsia="Arial Unicode MS"/>
                <w:szCs w:val="21"/>
                <w:highlight w:val="none"/>
              </w:rPr>
              <w:t>2021</w:t>
            </w:r>
            <w:r>
              <w:rPr>
                <w:rFonts w:hint="eastAsia" w:ascii="宋体" w:hAnsi="宋体" w:cs="宋体"/>
                <w:szCs w:val="21"/>
                <w:highlight w:val="none"/>
              </w:rPr>
              <w:t>年</w:t>
            </w:r>
            <w:r>
              <w:rPr>
                <w:rFonts w:eastAsia="Arial Unicode MS"/>
                <w:szCs w:val="21"/>
                <w:highlight w:val="none"/>
              </w:rPr>
              <w:t>1</w:t>
            </w:r>
            <w:r>
              <w:rPr>
                <w:rFonts w:hint="eastAsia" w:ascii="宋体" w:hAnsi="宋体" w:cs="宋体"/>
                <w:szCs w:val="21"/>
                <w:highlight w:val="none"/>
              </w:rPr>
              <w:t>月</w:t>
            </w:r>
            <w:r>
              <w:rPr>
                <w:rFonts w:eastAsia="Arial Unicode MS"/>
                <w:szCs w:val="21"/>
                <w:highlight w:val="none"/>
              </w:rPr>
              <w:t>1</w:t>
            </w:r>
            <w:r>
              <w:rPr>
                <w:rFonts w:hint="eastAsia" w:ascii="宋体" w:hAnsi="宋体" w:cs="宋体"/>
                <w:szCs w:val="21"/>
                <w:highlight w:val="none"/>
              </w:rPr>
              <w:t>日至今完成过质量合格且中标价为</w:t>
            </w:r>
            <w:r>
              <w:rPr>
                <w:rFonts w:eastAsia="Arial Unicode MS"/>
                <w:szCs w:val="21"/>
                <w:highlight w:val="none"/>
              </w:rPr>
              <w:t>4</w:t>
            </w:r>
            <w:r>
              <w:rPr>
                <w:rFonts w:hint="eastAsia" w:eastAsia="Arial Unicode MS"/>
                <w:szCs w:val="21"/>
                <w:highlight w:val="none"/>
              </w:rPr>
              <w:t>00</w:t>
            </w:r>
            <w:r>
              <w:rPr>
                <w:rFonts w:hint="eastAsia" w:ascii="宋体" w:hAnsi="宋体" w:cs="宋体"/>
                <w:szCs w:val="21"/>
                <w:highlight w:val="none"/>
              </w:rPr>
              <w:t>万元或以上类似工程施工总承包业绩，每提供一个业绩得</w:t>
            </w:r>
            <w:r>
              <w:rPr>
                <w:rFonts w:eastAsia="Arial Unicode MS"/>
                <w:szCs w:val="21"/>
                <w:highlight w:val="none"/>
              </w:rPr>
              <w:t>0.15</w:t>
            </w:r>
            <w:r>
              <w:rPr>
                <w:rFonts w:hint="eastAsia" w:ascii="宋体" w:hAnsi="宋体" w:cs="宋体"/>
                <w:szCs w:val="21"/>
                <w:highlight w:val="none"/>
              </w:rPr>
              <w:t>分，最多得</w:t>
            </w:r>
            <w:r>
              <w:rPr>
                <w:rFonts w:eastAsia="Arial Unicode MS"/>
                <w:szCs w:val="21"/>
                <w:highlight w:val="none"/>
              </w:rPr>
              <w:t>1.5</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25" w:type="dxa"/>
            <w:vMerge w:val="continue"/>
            <w:tcBorders>
              <w:right w:val="single" w:color="auto" w:sz="4" w:space="0"/>
            </w:tcBorders>
            <w:vAlign w:val="center"/>
          </w:tcPr>
          <w:p>
            <w:pPr>
              <w:wordWrap w:val="0"/>
              <w:spacing w:line="276" w:lineRule="auto"/>
              <w:jc w:val="center"/>
              <w:rPr>
                <w:rFonts w:ascii="宋体" w:hAnsi="宋体" w:cs="宋体"/>
                <w:szCs w:val="21"/>
                <w:highlight w:val="none"/>
              </w:rPr>
            </w:pPr>
          </w:p>
        </w:tc>
        <w:tc>
          <w:tcPr>
            <w:tcW w:w="1021" w:type="dxa"/>
            <w:gridSpan w:val="2"/>
            <w:vMerge w:val="continue"/>
            <w:tcBorders>
              <w:left w:val="single" w:color="auto" w:sz="4" w:space="0"/>
              <w:right w:val="single" w:color="auto" w:sz="4" w:space="0"/>
            </w:tcBorders>
            <w:vAlign w:val="center"/>
          </w:tcPr>
          <w:p>
            <w:pPr>
              <w:wordWrap w:val="0"/>
              <w:spacing w:line="276" w:lineRule="auto"/>
              <w:jc w:val="left"/>
              <w:rPr>
                <w:rFonts w:ascii="宋体" w:hAnsi="宋体" w:cs="宋体"/>
                <w:spacing w:val="1"/>
                <w:kern w:val="0"/>
                <w:szCs w:val="21"/>
                <w:highlight w:val="none"/>
              </w:rPr>
            </w:pPr>
          </w:p>
        </w:tc>
        <w:tc>
          <w:tcPr>
            <w:tcW w:w="1483" w:type="dxa"/>
            <w:gridSpan w:val="3"/>
            <w:vMerge w:val="continue"/>
            <w:tcBorders>
              <w:left w:val="single" w:color="auto" w:sz="4" w:space="0"/>
              <w:right w:val="single" w:color="auto" w:sz="4" w:space="0"/>
            </w:tcBorders>
            <w:vAlign w:val="center"/>
          </w:tcPr>
          <w:p>
            <w:pPr>
              <w:wordWrap w:val="0"/>
              <w:jc w:val="center"/>
              <w:rPr>
                <w:rFonts w:ascii="宋体" w:hAnsi="宋体" w:cs="宋体"/>
                <w:szCs w:val="21"/>
                <w:highlight w:val="none"/>
              </w:rPr>
            </w:pPr>
          </w:p>
        </w:tc>
        <w:tc>
          <w:tcPr>
            <w:tcW w:w="616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b/>
                <w:bCs/>
                <w:szCs w:val="21"/>
                <w:highlight w:val="none"/>
              </w:rPr>
            </w:pPr>
            <w:r>
              <w:rPr>
                <w:rFonts w:hint="eastAsia" w:ascii="宋体" w:hAnsi="宋体" w:cs="宋体"/>
                <w:b/>
                <w:bCs/>
                <w:szCs w:val="21"/>
                <w:highlight w:val="none"/>
              </w:rPr>
              <w:t>工程奖项（1.5分）：</w:t>
            </w:r>
          </w:p>
          <w:p>
            <w:pPr>
              <w:spacing w:line="300" w:lineRule="exact"/>
              <w:jc w:val="left"/>
              <w:rPr>
                <w:rFonts w:ascii="宋体" w:hAnsi="宋体" w:cs="宋体"/>
                <w:highlight w:val="none"/>
                <w:lang w:val="zh-CN" w:bidi="zh-CN"/>
              </w:rPr>
            </w:pPr>
            <w:r>
              <w:rPr>
                <w:rFonts w:hint="eastAsia" w:ascii="宋体" w:hAnsi="宋体" w:cs="宋体"/>
                <w:szCs w:val="21"/>
                <w:highlight w:val="none"/>
              </w:rPr>
              <w:t>投标人自2021年1月1日至今（以证书颁发时间为准）承接的市政公用工程获得过：国家级质量奖项的，得</w:t>
            </w:r>
            <w:r>
              <w:rPr>
                <w:rFonts w:ascii="宋体" w:hAnsi="宋体" w:cs="宋体"/>
                <w:szCs w:val="21"/>
                <w:highlight w:val="none"/>
              </w:rPr>
              <w:t>1.5分；</w:t>
            </w:r>
            <w:r>
              <w:rPr>
                <w:rFonts w:hint="eastAsia" w:ascii="宋体" w:hAnsi="宋体" w:cs="宋体"/>
                <w:szCs w:val="21"/>
                <w:highlight w:val="none"/>
              </w:rPr>
              <w:t>省级质量奖项的，得</w:t>
            </w:r>
            <w:r>
              <w:rPr>
                <w:rFonts w:ascii="宋体" w:hAnsi="宋体" w:cs="宋体"/>
                <w:szCs w:val="21"/>
                <w:highlight w:val="none"/>
              </w:rPr>
              <w:t>1分；</w:t>
            </w:r>
            <w:r>
              <w:rPr>
                <w:rFonts w:hint="eastAsia" w:ascii="宋体" w:hAnsi="宋体" w:cs="宋体"/>
                <w:szCs w:val="21"/>
                <w:highlight w:val="none"/>
              </w:rPr>
              <w:t>市级质量奖项的，得</w:t>
            </w:r>
            <w:r>
              <w:rPr>
                <w:rFonts w:ascii="宋体" w:hAnsi="宋体" w:cs="宋体"/>
                <w:szCs w:val="21"/>
                <w:highlight w:val="none"/>
              </w:rPr>
              <w:t>0.5分</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vMerge w:val="continue"/>
            <w:tcBorders>
              <w:right w:val="single" w:color="auto" w:sz="4" w:space="0"/>
            </w:tcBorders>
          </w:tcPr>
          <w:p>
            <w:pPr>
              <w:wordWrap w:val="0"/>
              <w:spacing w:line="276" w:lineRule="auto"/>
              <w:jc w:val="center"/>
              <w:rPr>
                <w:rFonts w:ascii="宋体" w:hAnsi="宋体" w:cs="宋体"/>
                <w:szCs w:val="21"/>
                <w:highlight w:val="none"/>
              </w:rPr>
            </w:pPr>
          </w:p>
        </w:tc>
        <w:tc>
          <w:tcPr>
            <w:tcW w:w="1021" w:type="dxa"/>
            <w:gridSpan w:val="2"/>
            <w:vMerge w:val="continue"/>
            <w:tcBorders>
              <w:left w:val="single" w:color="auto" w:sz="4" w:space="0"/>
              <w:right w:val="single" w:color="auto" w:sz="4" w:space="0"/>
            </w:tcBorders>
          </w:tcPr>
          <w:p>
            <w:pPr>
              <w:wordWrap w:val="0"/>
              <w:spacing w:line="276" w:lineRule="auto"/>
              <w:jc w:val="center"/>
              <w:rPr>
                <w:rFonts w:ascii="宋体" w:hAnsi="宋体" w:cs="宋体"/>
                <w:szCs w:val="21"/>
                <w:highlight w:val="none"/>
              </w:rPr>
            </w:pPr>
          </w:p>
        </w:tc>
        <w:tc>
          <w:tcPr>
            <w:tcW w:w="1483" w:type="dxa"/>
            <w:gridSpan w:val="3"/>
            <w:vMerge w:val="continue"/>
            <w:tcBorders>
              <w:left w:val="single" w:color="auto" w:sz="4" w:space="0"/>
              <w:right w:val="single" w:color="auto" w:sz="4" w:space="0"/>
            </w:tcBorders>
            <w:vAlign w:val="center"/>
          </w:tcPr>
          <w:p>
            <w:pPr>
              <w:pStyle w:val="46"/>
              <w:jc w:val="center"/>
              <w:rPr>
                <w:highlight w:val="none"/>
              </w:rPr>
            </w:pPr>
          </w:p>
        </w:tc>
        <w:tc>
          <w:tcPr>
            <w:tcW w:w="616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b/>
                <w:bCs/>
                <w:szCs w:val="21"/>
                <w:highlight w:val="none"/>
                <w:lang w:val="zh-CN"/>
              </w:rPr>
            </w:pPr>
            <w:r>
              <w:rPr>
                <w:rFonts w:hint="eastAsia" w:ascii="宋体" w:hAnsi="宋体" w:cs="宋体"/>
                <w:b/>
                <w:bCs/>
                <w:szCs w:val="21"/>
                <w:highlight w:val="none"/>
                <w:lang w:val="zh-CN"/>
              </w:rPr>
              <w:t>工程研发能力（1.5分）：</w:t>
            </w:r>
          </w:p>
          <w:p>
            <w:pPr>
              <w:spacing w:line="300" w:lineRule="exact"/>
              <w:jc w:val="left"/>
              <w:rPr>
                <w:rFonts w:ascii="宋体" w:hAnsi="宋体" w:cs="宋体"/>
                <w:szCs w:val="21"/>
                <w:highlight w:val="none"/>
              </w:rPr>
            </w:pPr>
            <w:r>
              <w:rPr>
                <w:rFonts w:hint="eastAsia" w:ascii="宋体" w:hAnsi="宋体" w:cs="宋体"/>
                <w:szCs w:val="21"/>
                <w:highlight w:val="none"/>
                <w:lang w:val="zh-CN"/>
              </w:rPr>
              <w:t>投标人自2019年1月1日至今获得科学技术奖：</w:t>
            </w:r>
            <w:r>
              <w:rPr>
                <w:rFonts w:hint="eastAsia" w:ascii="宋体" w:hAnsi="宋体" w:cs="宋体"/>
                <w:szCs w:val="21"/>
                <w:highlight w:val="none"/>
              </w:rPr>
              <w:t>获评国家级的，得</w:t>
            </w:r>
            <w:r>
              <w:rPr>
                <w:rFonts w:ascii="宋体" w:hAnsi="宋体" w:cs="宋体"/>
                <w:szCs w:val="21"/>
                <w:highlight w:val="none"/>
              </w:rPr>
              <w:t>1.5分；</w:t>
            </w:r>
            <w:r>
              <w:rPr>
                <w:rFonts w:hint="eastAsia" w:ascii="宋体" w:hAnsi="宋体" w:cs="宋体"/>
                <w:szCs w:val="21"/>
                <w:highlight w:val="none"/>
              </w:rPr>
              <w:t>获评省级的，得</w:t>
            </w:r>
            <w:r>
              <w:rPr>
                <w:rFonts w:ascii="宋体" w:hAnsi="宋体" w:cs="宋体"/>
                <w:szCs w:val="21"/>
                <w:highlight w:val="none"/>
              </w:rPr>
              <w:t>1分；</w:t>
            </w:r>
            <w:r>
              <w:rPr>
                <w:rFonts w:hint="eastAsia" w:ascii="宋体" w:hAnsi="宋体" w:cs="宋体"/>
                <w:szCs w:val="21"/>
                <w:highlight w:val="none"/>
              </w:rPr>
              <w:t>获评市级（含副省级）的，得</w:t>
            </w:r>
            <w:r>
              <w:rPr>
                <w:rFonts w:ascii="宋体" w:hAnsi="宋体" w:cs="宋体"/>
                <w:szCs w:val="21"/>
                <w:highlight w:val="none"/>
              </w:rPr>
              <w:t>0.5分</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vMerge w:val="continue"/>
            <w:tcBorders>
              <w:right w:val="single" w:color="auto" w:sz="4" w:space="0"/>
            </w:tcBorders>
          </w:tcPr>
          <w:p>
            <w:pPr>
              <w:wordWrap w:val="0"/>
              <w:spacing w:line="276" w:lineRule="auto"/>
              <w:jc w:val="center"/>
              <w:rPr>
                <w:rFonts w:ascii="宋体" w:hAnsi="宋体" w:cs="宋体"/>
                <w:szCs w:val="21"/>
                <w:highlight w:val="none"/>
              </w:rPr>
            </w:pPr>
          </w:p>
        </w:tc>
        <w:tc>
          <w:tcPr>
            <w:tcW w:w="1021" w:type="dxa"/>
            <w:gridSpan w:val="2"/>
            <w:vMerge w:val="continue"/>
            <w:tcBorders>
              <w:left w:val="single" w:color="auto" w:sz="4" w:space="0"/>
              <w:right w:val="single" w:color="auto" w:sz="4" w:space="0"/>
            </w:tcBorders>
          </w:tcPr>
          <w:p>
            <w:pPr>
              <w:wordWrap w:val="0"/>
              <w:spacing w:line="276" w:lineRule="auto"/>
              <w:jc w:val="center"/>
              <w:rPr>
                <w:rFonts w:ascii="宋体" w:hAnsi="宋体" w:cs="宋体"/>
                <w:szCs w:val="21"/>
                <w:highlight w:val="none"/>
              </w:rPr>
            </w:pPr>
          </w:p>
        </w:tc>
        <w:tc>
          <w:tcPr>
            <w:tcW w:w="1465" w:type="dxa"/>
            <w:gridSpan w:val="2"/>
            <w:tcBorders>
              <w:left w:val="single" w:color="auto" w:sz="4" w:space="0"/>
              <w:right w:val="single" w:color="auto" w:sz="4" w:space="0"/>
            </w:tcBorders>
            <w:vAlign w:val="center"/>
          </w:tcPr>
          <w:p>
            <w:pPr>
              <w:pStyle w:val="46"/>
              <w:jc w:val="center"/>
              <w:rPr>
                <w:highlight w:val="none"/>
              </w:rPr>
            </w:pPr>
          </w:p>
        </w:tc>
        <w:tc>
          <w:tcPr>
            <w:tcW w:w="618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b/>
                <w:bCs/>
                <w:szCs w:val="21"/>
                <w:highlight w:val="none"/>
              </w:rPr>
            </w:pPr>
            <w:r>
              <w:rPr>
                <w:rFonts w:hint="eastAsia" w:ascii="宋体" w:hAnsi="宋体" w:cs="宋体"/>
                <w:b/>
                <w:bCs/>
                <w:szCs w:val="21"/>
                <w:highlight w:val="none"/>
              </w:rPr>
              <w:t>第三方评价（1.5分）：</w:t>
            </w:r>
          </w:p>
          <w:p>
            <w:pPr>
              <w:spacing w:line="300" w:lineRule="exact"/>
              <w:jc w:val="left"/>
              <w:rPr>
                <w:rFonts w:ascii="宋体" w:hAnsi="宋体" w:cs="宋体"/>
                <w:szCs w:val="21"/>
                <w:highlight w:val="none"/>
              </w:rPr>
            </w:pPr>
            <w:r>
              <w:rPr>
                <w:rFonts w:hint="eastAsia" w:ascii="宋体" w:hAnsi="宋体" w:cs="宋体"/>
                <w:szCs w:val="21"/>
                <w:highlight w:val="none"/>
              </w:rPr>
              <w:t>投标人获得过省级或以上行业行政主管部门</w:t>
            </w:r>
            <w:r>
              <w:rPr>
                <w:rFonts w:hint="eastAsia" w:ascii="宋体" w:hAnsi="宋体" w:cs="宋体"/>
                <w:b/>
                <w:bCs/>
                <w:szCs w:val="21"/>
                <w:highlight w:val="none"/>
              </w:rPr>
              <w:t>或经民政部门批准成立的相关行业协会</w:t>
            </w:r>
            <w:r>
              <w:rPr>
                <w:rFonts w:hint="eastAsia" w:ascii="宋体" w:hAnsi="宋体" w:cs="宋体"/>
                <w:szCs w:val="21"/>
                <w:highlight w:val="none"/>
              </w:rPr>
              <w:t>颁发施工企业诚信评价或信用等级评价：获得AAAAA 级证书且在有效期内的得1.5分；获得AAAA级证书且在有效期内的得1分；获得AAA级证书且在有效期内的得0.5分。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vMerge w:val="continue"/>
            <w:tcBorders>
              <w:right w:val="single" w:color="auto" w:sz="4" w:space="0"/>
            </w:tcBorders>
          </w:tcPr>
          <w:p>
            <w:pPr>
              <w:wordWrap w:val="0"/>
              <w:spacing w:line="276" w:lineRule="auto"/>
              <w:jc w:val="center"/>
              <w:rPr>
                <w:rFonts w:ascii="宋体" w:hAnsi="宋体" w:cs="宋体"/>
                <w:szCs w:val="21"/>
                <w:highlight w:val="none"/>
              </w:rPr>
            </w:pPr>
          </w:p>
        </w:tc>
        <w:tc>
          <w:tcPr>
            <w:tcW w:w="1021" w:type="dxa"/>
            <w:gridSpan w:val="2"/>
            <w:vMerge w:val="continue"/>
            <w:tcBorders>
              <w:left w:val="single" w:color="auto" w:sz="4" w:space="0"/>
              <w:right w:val="single" w:color="auto" w:sz="4" w:space="0"/>
            </w:tcBorders>
          </w:tcPr>
          <w:p>
            <w:pPr>
              <w:wordWrap w:val="0"/>
              <w:spacing w:line="276" w:lineRule="auto"/>
              <w:jc w:val="center"/>
              <w:rPr>
                <w:rFonts w:ascii="宋体" w:hAnsi="宋体" w:cs="宋体"/>
                <w:szCs w:val="21"/>
                <w:highlight w:val="none"/>
              </w:rPr>
            </w:pPr>
          </w:p>
        </w:tc>
        <w:tc>
          <w:tcPr>
            <w:tcW w:w="1465"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rPr>
              <w:t>项目管理机构能力（14分）</w:t>
            </w:r>
          </w:p>
        </w:tc>
        <w:tc>
          <w:tcPr>
            <w:tcW w:w="6184" w:type="dxa"/>
            <w:gridSpan w:val="2"/>
            <w:tcBorders>
              <w:top w:val="single" w:color="auto" w:sz="4" w:space="0"/>
              <w:left w:val="single" w:color="auto" w:sz="4" w:space="0"/>
              <w:bottom w:val="single" w:color="auto" w:sz="4" w:space="0"/>
              <w:right w:val="single" w:color="auto" w:sz="4" w:space="0"/>
            </w:tcBorders>
          </w:tcPr>
          <w:p>
            <w:pPr>
              <w:spacing w:line="300" w:lineRule="exact"/>
              <w:jc w:val="left"/>
              <w:rPr>
                <w:rFonts w:ascii="宋体" w:hAnsi="宋体" w:cs="宋体"/>
                <w:b/>
                <w:bCs/>
                <w:szCs w:val="21"/>
                <w:highlight w:val="none"/>
              </w:rPr>
            </w:pPr>
            <w:r>
              <w:rPr>
                <w:rFonts w:hint="eastAsia" w:ascii="宋体" w:hAnsi="宋体" w:cs="宋体"/>
                <w:b/>
                <w:bCs/>
                <w:szCs w:val="21"/>
                <w:highlight w:val="none"/>
              </w:rPr>
              <w:t>项目负责人（5分）：</w:t>
            </w:r>
          </w:p>
          <w:p>
            <w:pPr>
              <w:spacing w:line="300" w:lineRule="exact"/>
              <w:jc w:val="left"/>
              <w:rPr>
                <w:rFonts w:ascii="宋体" w:hAnsi="宋体" w:cs="宋体"/>
                <w:szCs w:val="21"/>
                <w:highlight w:val="none"/>
              </w:rPr>
            </w:pPr>
            <w:r>
              <w:rPr>
                <w:rFonts w:hint="eastAsia" w:ascii="宋体" w:hAnsi="宋体" w:cs="宋体"/>
                <w:szCs w:val="21"/>
                <w:highlight w:val="none"/>
              </w:rPr>
              <w:t>（1）从业能力：具有市政公用类专业副高级或以上技术职称，得 2 分；具有市政公用类专业中级技术职称，得 1 分。</w:t>
            </w:r>
          </w:p>
          <w:p>
            <w:pPr>
              <w:spacing w:line="300" w:lineRule="exact"/>
              <w:jc w:val="left"/>
              <w:rPr>
                <w:rFonts w:ascii="宋体" w:hAnsi="宋体" w:cs="宋体"/>
                <w:szCs w:val="21"/>
                <w:highlight w:val="none"/>
              </w:rPr>
            </w:pPr>
            <w:r>
              <w:rPr>
                <w:rFonts w:hint="eastAsia" w:ascii="宋体" w:hAnsi="宋体" w:cs="宋体"/>
                <w:szCs w:val="21"/>
                <w:highlight w:val="none"/>
              </w:rPr>
              <w:t>（2）业绩：项目负责人自2019年1月1日（近五年）至今完成过质量合格的类似市政公用工程施工业绩（类似工程是指工程造价大于或等于400万元的市政公用工程业绩），得3分。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vMerge w:val="continue"/>
            <w:tcBorders>
              <w:right w:val="single" w:color="auto" w:sz="4" w:space="0"/>
            </w:tcBorders>
          </w:tcPr>
          <w:p>
            <w:pPr>
              <w:wordWrap w:val="0"/>
              <w:spacing w:line="276" w:lineRule="auto"/>
              <w:jc w:val="center"/>
              <w:rPr>
                <w:rFonts w:ascii="宋体" w:hAnsi="宋体" w:cs="宋体"/>
                <w:szCs w:val="21"/>
                <w:highlight w:val="none"/>
              </w:rPr>
            </w:pPr>
          </w:p>
        </w:tc>
        <w:tc>
          <w:tcPr>
            <w:tcW w:w="1021" w:type="dxa"/>
            <w:gridSpan w:val="2"/>
            <w:vMerge w:val="continue"/>
            <w:tcBorders>
              <w:left w:val="single" w:color="auto" w:sz="4" w:space="0"/>
              <w:right w:val="single" w:color="auto" w:sz="4" w:space="0"/>
            </w:tcBorders>
          </w:tcPr>
          <w:p>
            <w:pPr>
              <w:wordWrap w:val="0"/>
              <w:spacing w:line="276" w:lineRule="auto"/>
              <w:jc w:val="center"/>
              <w:rPr>
                <w:rFonts w:ascii="宋体" w:hAnsi="宋体" w:cs="宋体"/>
                <w:szCs w:val="21"/>
                <w:highlight w:val="none"/>
              </w:rPr>
            </w:pPr>
          </w:p>
        </w:tc>
        <w:tc>
          <w:tcPr>
            <w:tcW w:w="1465" w:type="dxa"/>
            <w:gridSpan w:val="2"/>
            <w:vMerge w:val="continue"/>
            <w:tcBorders>
              <w:left w:val="single" w:color="auto" w:sz="4" w:space="0"/>
              <w:right w:val="single" w:color="auto" w:sz="4" w:space="0"/>
            </w:tcBorders>
            <w:vAlign w:val="center"/>
          </w:tcPr>
          <w:p>
            <w:pPr>
              <w:wordWrap w:val="0"/>
              <w:jc w:val="center"/>
              <w:rPr>
                <w:rFonts w:ascii="宋体" w:hAnsi="宋体" w:cs="宋体"/>
                <w:szCs w:val="21"/>
                <w:highlight w:val="none"/>
              </w:rPr>
            </w:pPr>
          </w:p>
        </w:tc>
        <w:tc>
          <w:tcPr>
            <w:tcW w:w="6184" w:type="dxa"/>
            <w:gridSpan w:val="2"/>
            <w:tcBorders>
              <w:top w:val="single" w:color="auto" w:sz="4" w:space="0"/>
              <w:left w:val="single" w:color="auto" w:sz="4" w:space="0"/>
              <w:bottom w:val="single" w:color="auto" w:sz="4" w:space="0"/>
              <w:right w:val="single" w:color="auto" w:sz="4" w:space="0"/>
            </w:tcBorders>
          </w:tcPr>
          <w:p>
            <w:pPr>
              <w:spacing w:line="300" w:lineRule="exact"/>
              <w:jc w:val="left"/>
              <w:rPr>
                <w:rFonts w:ascii="宋体" w:hAnsi="宋体" w:cs="宋体"/>
                <w:b/>
                <w:bCs/>
                <w:szCs w:val="21"/>
                <w:highlight w:val="none"/>
              </w:rPr>
            </w:pPr>
            <w:r>
              <w:rPr>
                <w:rFonts w:hint="eastAsia" w:ascii="宋体" w:hAnsi="宋体" w:cs="宋体"/>
                <w:b/>
                <w:bCs/>
                <w:szCs w:val="21"/>
                <w:highlight w:val="none"/>
              </w:rPr>
              <w:t>技术负责人（3分）：</w:t>
            </w:r>
          </w:p>
          <w:p>
            <w:pPr>
              <w:spacing w:line="300" w:lineRule="exact"/>
              <w:jc w:val="left"/>
              <w:rPr>
                <w:rFonts w:ascii="宋体" w:hAnsi="宋体" w:cs="宋体"/>
                <w:szCs w:val="21"/>
                <w:highlight w:val="none"/>
              </w:rPr>
            </w:pPr>
            <w:r>
              <w:rPr>
                <w:rFonts w:hint="eastAsia" w:ascii="宋体" w:hAnsi="宋体" w:cs="宋体"/>
                <w:szCs w:val="21"/>
                <w:highlight w:val="none"/>
              </w:rPr>
              <w:t>（1）技术负责人具有市政类专业副高级或以上技术职称，得2分；具有市政类专业中级技术职称，得1分；</w:t>
            </w:r>
          </w:p>
          <w:p>
            <w:pPr>
              <w:spacing w:line="300" w:lineRule="exact"/>
              <w:jc w:val="left"/>
              <w:rPr>
                <w:rFonts w:ascii="宋体" w:hAnsi="宋体" w:cs="宋体"/>
                <w:szCs w:val="21"/>
                <w:highlight w:val="none"/>
              </w:rPr>
            </w:pPr>
            <w:r>
              <w:rPr>
                <w:rFonts w:hint="eastAsia" w:ascii="宋体" w:hAnsi="宋体" w:cs="宋体"/>
                <w:szCs w:val="21"/>
                <w:highlight w:val="none"/>
              </w:rPr>
              <w:t>（2）技术负责人具有10年或以上（含10年）施工管理工作经验，得1分；具有5年（含5年）至10年（不含10年）施工管理工作经验，得0.5分；具有1（含1年）至5年（不含5年）施工管理工作经验，得0.25分。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25" w:type="dxa"/>
            <w:vMerge w:val="continue"/>
            <w:tcBorders>
              <w:right w:val="single" w:color="auto" w:sz="4" w:space="0"/>
            </w:tcBorders>
          </w:tcPr>
          <w:p>
            <w:pPr>
              <w:wordWrap w:val="0"/>
              <w:spacing w:line="276" w:lineRule="auto"/>
              <w:jc w:val="center"/>
              <w:rPr>
                <w:rFonts w:ascii="宋体" w:hAnsi="宋体" w:cs="宋体"/>
                <w:szCs w:val="21"/>
                <w:highlight w:val="none"/>
              </w:rPr>
            </w:pPr>
          </w:p>
        </w:tc>
        <w:tc>
          <w:tcPr>
            <w:tcW w:w="1021" w:type="dxa"/>
            <w:gridSpan w:val="2"/>
            <w:vMerge w:val="continue"/>
            <w:tcBorders>
              <w:left w:val="single" w:color="auto" w:sz="4" w:space="0"/>
              <w:right w:val="single" w:color="auto" w:sz="4" w:space="0"/>
            </w:tcBorders>
          </w:tcPr>
          <w:p>
            <w:pPr>
              <w:wordWrap w:val="0"/>
              <w:spacing w:line="276" w:lineRule="auto"/>
              <w:jc w:val="center"/>
              <w:rPr>
                <w:rFonts w:ascii="宋体" w:hAnsi="宋体" w:cs="宋体"/>
                <w:szCs w:val="21"/>
                <w:highlight w:val="none"/>
              </w:rPr>
            </w:pPr>
          </w:p>
        </w:tc>
        <w:tc>
          <w:tcPr>
            <w:tcW w:w="1465" w:type="dxa"/>
            <w:gridSpan w:val="2"/>
            <w:vMerge w:val="continue"/>
            <w:tcBorders>
              <w:left w:val="single" w:color="auto" w:sz="4" w:space="0"/>
              <w:right w:val="single" w:color="auto" w:sz="4" w:space="0"/>
            </w:tcBorders>
            <w:vAlign w:val="center"/>
          </w:tcPr>
          <w:p>
            <w:pPr>
              <w:wordWrap w:val="0"/>
              <w:jc w:val="center"/>
              <w:rPr>
                <w:rFonts w:ascii="宋体" w:hAnsi="宋体" w:cs="宋体"/>
                <w:szCs w:val="21"/>
                <w:highlight w:val="none"/>
              </w:rPr>
            </w:pPr>
          </w:p>
        </w:tc>
        <w:tc>
          <w:tcPr>
            <w:tcW w:w="6184" w:type="dxa"/>
            <w:gridSpan w:val="2"/>
            <w:tcBorders>
              <w:top w:val="single" w:color="auto" w:sz="4" w:space="0"/>
              <w:left w:val="single" w:color="auto" w:sz="4" w:space="0"/>
              <w:bottom w:val="single" w:color="auto" w:sz="4" w:space="0"/>
              <w:right w:val="single" w:color="auto" w:sz="4" w:space="0"/>
            </w:tcBorders>
          </w:tcPr>
          <w:p>
            <w:pPr>
              <w:spacing w:line="300" w:lineRule="exact"/>
              <w:jc w:val="left"/>
              <w:rPr>
                <w:rFonts w:ascii="宋体" w:hAnsi="宋体" w:cs="宋体"/>
                <w:b/>
                <w:bCs/>
                <w:szCs w:val="21"/>
                <w:highlight w:val="none"/>
              </w:rPr>
            </w:pPr>
            <w:r>
              <w:rPr>
                <w:rFonts w:hint="eastAsia" w:ascii="宋体" w:hAnsi="宋体" w:cs="宋体"/>
                <w:b/>
                <w:bCs/>
                <w:szCs w:val="21"/>
                <w:highlight w:val="none"/>
              </w:rPr>
              <w:t>质量负责人（3分）：</w:t>
            </w:r>
          </w:p>
          <w:p>
            <w:pPr>
              <w:spacing w:line="300" w:lineRule="exact"/>
              <w:jc w:val="left"/>
              <w:rPr>
                <w:rFonts w:ascii="宋体" w:hAnsi="宋体" w:cs="宋体"/>
                <w:szCs w:val="21"/>
                <w:highlight w:val="none"/>
              </w:rPr>
            </w:pPr>
            <w:r>
              <w:rPr>
                <w:rFonts w:hint="eastAsia" w:ascii="宋体" w:hAnsi="宋体" w:cs="宋体"/>
                <w:szCs w:val="21"/>
                <w:highlight w:val="none"/>
              </w:rPr>
              <w:t>（1）质量负责人具有市政类专业副高级或以上技术职称，得2分；具有市政类专业中级技术职称，得1分；</w:t>
            </w:r>
          </w:p>
          <w:p>
            <w:pPr>
              <w:spacing w:line="300" w:lineRule="exact"/>
              <w:jc w:val="left"/>
              <w:rPr>
                <w:rFonts w:ascii="宋体" w:hAnsi="宋体" w:cs="宋体"/>
                <w:szCs w:val="21"/>
                <w:highlight w:val="none"/>
              </w:rPr>
            </w:pPr>
            <w:r>
              <w:rPr>
                <w:rFonts w:hint="eastAsia" w:ascii="宋体" w:hAnsi="宋体" w:cs="宋体"/>
                <w:szCs w:val="21"/>
                <w:highlight w:val="none"/>
              </w:rPr>
              <w:t>（2）质量负责人具有10年或以上（含10年）施工管理工作经验，得1分；具有5年（含5年）至10年（不含10年）施工管理工作经验，得0.5分；具有1（含1年）至5年（不含5年）施工管理工作经验，得0.25分。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vMerge w:val="continue"/>
            <w:tcBorders>
              <w:right w:val="single" w:color="auto" w:sz="4" w:space="0"/>
            </w:tcBorders>
          </w:tcPr>
          <w:p>
            <w:pPr>
              <w:wordWrap w:val="0"/>
              <w:spacing w:line="276" w:lineRule="auto"/>
              <w:jc w:val="center"/>
              <w:rPr>
                <w:rFonts w:ascii="宋体" w:hAnsi="宋体" w:cs="宋体"/>
                <w:szCs w:val="21"/>
                <w:highlight w:val="none"/>
              </w:rPr>
            </w:pPr>
          </w:p>
        </w:tc>
        <w:tc>
          <w:tcPr>
            <w:tcW w:w="1021" w:type="dxa"/>
            <w:gridSpan w:val="2"/>
            <w:vMerge w:val="continue"/>
            <w:tcBorders>
              <w:left w:val="single" w:color="auto" w:sz="4" w:space="0"/>
              <w:right w:val="single" w:color="auto" w:sz="4" w:space="0"/>
            </w:tcBorders>
          </w:tcPr>
          <w:p>
            <w:pPr>
              <w:wordWrap w:val="0"/>
              <w:spacing w:line="276" w:lineRule="auto"/>
              <w:jc w:val="center"/>
              <w:rPr>
                <w:rFonts w:ascii="宋体" w:hAnsi="宋体" w:cs="宋体"/>
                <w:szCs w:val="21"/>
                <w:highlight w:val="none"/>
              </w:rPr>
            </w:pPr>
          </w:p>
        </w:tc>
        <w:tc>
          <w:tcPr>
            <w:tcW w:w="1465" w:type="dxa"/>
            <w:gridSpan w:val="2"/>
            <w:vMerge w:val="continue"/>
            <w:tcBorders>
              <w:left w:val="single" w:color="auto" w:sz="4" w:space="0"/>
              <w:bottom w:val="single" w:color="auto" w:sz="4" w:space="0"/>
              <w:right w:val="single" w:color="auto" w:sz="4" w:space="0"/>
            </w:tcBorders>
            <w:vAlign w:val="center"/>
          </w:tcPr>
          <w:p>
            <w:pPr>
              <w:wordWrap w:val="0"/>
              <w:jc w:val="center"/>
              <w:rPr>
                <w:rFonts w:ascii="宋体" w:hAnsi="宋体" w:cs="宋体"/>
                <w:szCs w:val="21"/>
                <w:highlight w:val="none"/>
              </w:rPr>
            </w:pPr>
          </w:p>
        </w:tc>
        <w:tc>
          <w:tcPr>
            <w:tcW w:w="6184" w:type="dxa"/>
            <w:gridSpan w:val="2"/>
            <w:tcBorders>
              <w:top w:val="single" w:color="auto" w:sz="4" w:space="0"/>
              <w:left w:val="single" w:color="auto" w:sz="4" w:space="0"/>
              <w:bottom w:val="single" w:color="auto" w:sz="4" w:space="0"/>
              <w:right w:val="single" w:color="auto" w:sz="4" w:space="0"/>
            </w:tcBorders>
          </w:tcPr>
          <w:p>
            <w:pPr>
              <w:spacing w:line="300" w:lineRule="exact"/>
              <w:jc w:val="left"/>
              <w:rPr>
                <w:rFonts w:ascii="宋体" w:hAnsi="宋体" w:cs="宋体"/>
                <w:b/>
                <w:bCs/>
                <w:szCs w:val="21"/>
                <w:highlight w:val="none"/>
              </w:rPr>
            </w:pPr>
            <w:r>
              <w:rPr>
                <w:rFonts w:hint="eastAsia" w:ascii="宋体" w:hAnsi="宋体" w:cs="宋体"/>
                <w:b/>
                <w:bCs/>
                <w:szCs w:val="21"/>
                <w:highlight w:val="none"/>
              </w:rPr>
              <w:t>安全负责人（3分）：</w:t>
            </w:r>
          </w:p>
          <w:p>
            <w:pPr>
              <w:spacing w:line="300" w:lineRule="exact"/>
              <w:jc w:val="left"/>
              <w:rPr>
                <w:rFonts w:ascii="宋体" w:hAnsi="宋体" w:cs="宋体"/>
                <w:szCs w:val="21"/>
                <w:highlight w:val="none"/>
              </w:rPr>
            </w:pPr>
            <w:r>
              <w:rPr>
                <w:rFonts w:hint="eastAsia" w:ascii="宋体" w:hAnsi="宋体" w:cs="宋体"/>
                <w:szCs w:val="21"/>
                <w:highlight w:val="none"/>
              </w:rPr>
              <w:t>（1）安全负责人持有有效期内的注册安全工程师证书的，得1分。</w:t>
            </w:r>
          </w:p>
          <w:p>
            <w:pPr>
              <w:spacing w:line="300" w:lineRule="exact"/>
              <w:jc w:val="left"/>
              <w:rPr>
                <w:rFonts w:ascii="宋体" w:hAnsi="宋体" w:cs="宋体"/>
                <w:szCs w:val="21"/>
                <w:highlight w:val="none"/>
              </w:rPr>
            </w:pPr>
            <w:r>
              <w:rPr>
                <w:rFonts w:hint="eastAsia" w:ascii="宋体" w:hAnsi="宋体" w:cs="宋体"/>
                <w:szCs w:val="21"/>
                <w:highlight w:val="none"/>
              </w:rPr>
              <w:t>（2）安全负责人具有安全生产考核合格证（C类）或建筑施工企业专职安全生产管理人员安全生产考核合格证书（C3），得1分。</w:t>
            </w:r>
          </w:p>
          <w:p>
            <w:pPr>
              <w:spacing w:line="300" w:lineRule="exact"/>
              <w:jc w:val="left"/>
              <w:rPr>
                <w:rFonts w:ascii="宋体" w:hAnsi="宋体" w:cs="宋体"/>
                <w:szCs w:val="21"/>
                <w:highlight w:val="none"/>
              </w:rPr>
            </w:pPr>
            <w:r>
              <w:rPr>
                <w:rFonts w:hint="eastAsia" w:ascii="宋体" w:hAnsi="宋体" w:cs="宋体"/>
                <w:szCs w:val="21"/>
                <w:highlight w:val="none"/>
              </w:rPr>
              <w:t>（3）安全负责人具有10年或以上（含10年）施工管理工作经验，得1分；具有5年（含5年）至10年（不含10年）施工管理工作经验，得0.5分；具有1（含1年）至5年（不含5年）施工管理工作经验，得0.25分。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1846" w:type="dxa"/>
            <w:gridSpan w:val="3"/>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宋体" w:hAnsi="宋体" w:cs="宋体"/>
                <w:szCs w:val="21"/>
                <w:highlight w:val="none"/>
              </w:rPr>
            </w:pPr>
            <w:r>
              <w:rPr>
                <w:rFonts w:hint="eastAsia" w:ascii="宋体" w:hAnsi="宋体" w:cs="宋体"/>
                <w:szCs w:val="21"/>
                <w:highlight w:val="none"/>
              </w:rPr>
              <w:t>2.2.5（2）</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宋体" w:hAnsi="宋体" w:cs="宋体"/>
                <w:szCs w:val="21"/>
                <w:highlight w:val="none"/>
              </w:rPr>
            </w:pPr>
            <w:r>
              <w:rPr>
                <w:rFonts w:hint="eastAsia" w:ascii="宋体" w:hAnsi="宋体" w:cs="宋体"/>
                <w:szCs w:val="21"/>
                <w:highlight w:val="none"/>
              </w:rPr>
              <w:t>投标报价评分标准（100*权重）</w:t>
            </w:r>
          </w:p>
        </w:tc>
        <w:tc>
          <w:tcPr>
            <w:tcW w:w="6184" w:type="dxa"/>
            <w:gridSpan w:val="2"/>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Cs w:val="21"/>
                <w:highlight w:val="none"/>
              </w:rPr>
            </w:pPr>
            <w:r>
              <w:rPr>
                <w:rFonts w:hint="eastAsia" w:ascii="宋体" w:hAnsi="宋体"/>
                <w:szCs w:val="21"/>
                <w:highlight w:val="none"/>
              </w:rPr>
              <w:t>投标报价等于评标基准价的得</w:t>
            </w:r>
            <w:r>
              <w:rPr>
                <w:rFonts w:ascii="宋体" w:hAnsi="宋体"/>
                <w:szCs w:val="21"/>
                <w:highlight w:val="none"/>
              </w:rPr>
              <w:t>100分</w:t>
            </w:r>
            <w:r>
              <w:rPr>
                <w:rFonts w:hint="eastAsia" w:ascii="宋体" w:hAnsi="宋体" w:cs="宋体"/>
                <w:szCs w:val="21"/>
                <w:highlight w:val="none"/>
              </w:rPr>
              <w:t>（权重</w:t>
            </w:r>
            <w:r>
              <w:rPr>
                <w:rFonts w:ascii="宋体" w:hAnsi="宋体" w:cs="宋体"/>
                <w:szCs w:val="21"/>
                <w:highlight w:val="none"/>
              </w:rPr>
              <w:t>80%）</w:t>
            </w:r>
            <w:r>
              <w:rPr>
                <w:rFonts w:hint="eastAsia" w:ascii="宋体" w:hAnsi="宋体"/>
                <w:szCs w:val="21"/>
                <w:highlight w:val="none"/>
              </w:rPr>
              <w:t>，投标报价比评标基准价每高</w:t>
            </w:r>
            <w:r>
              <w:rPr>
                <w:rFonts w:ascii="宋体" w:hAnsi="宋体"/>
                <w:szCs w:val="21"/>
                <w:highlight w:val="none"/>
              </w:rPr>
              <w:t>1%扣</w:t>
            </w:r>
            <w:r>
              <w:rPr>
                <w:rFonts w:hint="eastAsia" w:ascii="宋体" w:hAnsi="宋体"/>
                <w:b w:val="0"/>
                <w:szCs w:val="21"/>
                <w:highlight w:val="none"/>
              </w:rPr>
              <w:t>0.</w:t>
            </w:r>
            <w:r>
              <w:rPr>
                <w:rFonts w:hint="eastAsia" w:ascii="宋体" w:hAnsi="宋体"/>
                <w:b w:val="0"/>
                <w:szCs w:val="21"/>
                <w:highlight w:val="none"/>
                <w:lang w:eastAsia="zh-CN"/>
              </w:rPr>
              <w:t>5</w:t>
            </w:r>
            <w:r>
              <w:rPr>
                <w:rFonts w:hint="eastAsia" w:ascii="宋体" w:hAnsi="宋体"/>
                <w:szCs w:val="21"/>
                <w:highlight w:val="none"/>
              </w:rPr>
              <w:t>分，每低</w:t>
            </w:r>
            <w:r>
              <w:rPr>
                <w:rFonts w:ascii="宋体" w:hAnsi="宋体"/>
                <w:szCs w:val="21"/>
                <w:highlight w:val="none"/>
              </w:rPr>
              <w:t>1%扣</w:t>
            </w:r>
            <w:r>
              <w:rPr>
                <w:rFonts w:hint="eastAsia" w:ascii="宋体" w:hAnsi="宋体"/>
                <w:b w:val="0"/>
                <w:szCs w:val="21"/>
                <w:highlight w:val="none"/>
              </w:rPr>
              <w:t>0.</w:t>
            </w:r>
            <w:r>
              <w:rPr>
                <w:rFonts w:hint="eastAsia" w:ascii="宋体" w:hAnsi="宋体"/>
                <w:b w:val="0"/>
                <w:szCs w:val="21"/>
                <w:highlight w:val="none"/>
                <w:lang w:eastAsia="zh-CN"/>
              </w:rPr>
              <w:t>3</w:t>
            </w:r>
            <w:r>
              <w:rPr>
                <w:rFonts w:hint="eastAsia" w:ascii="宋体" w:hAnsi="宋体"/>
                <w:szCs w:val="21"/>
                <w:highlight w:val="none"/>
              </w:rPr>
              <w:t>分，扣至</w:t>
            </w:r>
            <w:r>
              <w:rPr>
                <w:rFonts w:ascii="宋体" w:hAnsi="宋体"/>
                <w:szCs w:val="21"/>
                <w:highlight w:val="none"/>
              </w:rPr>
              <w:t>0分为止。投标报价偏差率=（投标报价-评标基准价）/评标基准价×100%。</w:t>
            </w:r>
          </w:p>
        </w:tc>
      </w:tr>
    </w:tbl>
    <w:p>
      <w:pPr>
        <w:wordWrap w:val="0"/>
        <w:spacing w:line="360" w:lineRule="auto"/>
        <w:ind w:right="-506" w:rightChars="-241"/>
        <w:jc w:val="left"/>
        <w:rPr>
          <w:rFonts w:ascii="宋体" w:hAnsi="宋体" w:cs="宋体"/>
          <w:b/>
          <w:bCs/>
          <w:sz w:val="20"/>
          <w:szCs w:val="20"/>
          <w:highlight w:val="none"/>
        </w:rPr>
      </w:pPr>
      <w:bookmarkStart w:id="214" w:name="_Toc152042377"/>
      <w:bookmarkStart w:id="215" w:name="_Toc179632618"/>
      <w:bookmarkStart w:id="216" w:name="_Toc152045600"/>
      <w:bookmarkStart w:id="217" w:name="_Toc144974567"/>
      <w:r>
        <w:rPr>
          <w:rFonts w:hint="eastAsia" w:ascii="宋体" w:hAnsi="宋体" w:cs="宋体"/>
          <w:b/>
          <w:bCs/>
          <w:sz w:val="20"/>
          <w:szCs w:val="20"/>
          <w:highlight w:val="none"/>
        </w:rPr>
        <w:t>备注：</w:t>
      </w:r>
    </w:p>
    <w:p>
      <w:pPr>
        <w:wordWrap w:val="0"/>
        <w:spacing w:line="360" w:lineRule="auto"/>
        <w:ind w:right="-506" w:rightChars="-241"/>
        <w:jc w:val="left"/>
        <w:rPr>
          <w:rFonts w:ascii="宋体" w:hAnsi="宋体" w:cs="宋体"/>
          <w:b/>
          <w:bCs/>
          <w:sz w:val="20"/>
          <w:szCs w:val="20"/>
          <w:highlight w:val="none"/>
        </w:rPr>
      </w:pPr>
      <w:r>
        <w:rPr>
          <w:rFonts w:hint="eastAsia" w:ascii="宋体" w:hAnsi="宋体" w:cs="宋体"/>
          <w:b/>
          <w:bCs/>
          <w:sz w:val="20"/>
          <w:szCs w:val="20"/>
          <w:highlight w:val="none"/>
        </w:rPr>
        <w:t>1、评委对业绩认定意见不一致时，则由招标人解释招标文件后，评委讨论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wordWrap w:val="0"/>
        <w:spacing w:line="360" w:lineRule="auto"/>
        <w:ind w:right="-506" w:rightChars="-241"/>
        <w:jc w:val="left"/>
        <w:rPr>
          <w:rFonts w:ascii="宋体" w:hAnsi="宋体" w:cs="宋体"/>
          <w:b/>
          <w:bCs/>
          <w:sz w:val="20"/>
          <w:szCs w:val="20"/>
          <w:highlight w:val="none"/>
        </w:rPr>
      </w:pPr>
      <w:r>
        <w:rPr>
          <w:rFonts w:hint="eastAsia" w:ascii="宋体" w:hAnsi="宋体" w:cs="宋体"/>
          <w:b/>
          <w:bCs/>
          <w:sz w:val="20"/>
          <w:szCs w:val="20"/>
          <w:highlight w:val="none"/>
        </w:rPr>
        <w:t>2、类似业绩：业绩须提供相关证明材料。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业绩金额以业绩中标通知书（其中工程总承包业绩以施工费中标金额）为准，若中标通知书没有显示中标金额或免招标的，以施工合同或工程总承包合同（不含补充合同，其中工程总承包业绩以施工费合同金额）为准。上述资料显示的内容须一致且工程业绩须为市政公用工程施工总承包资质方能承接的业绩（工程总承包业绩以施工资质为准）。工程总承包业绩包括勘察设计施工总承包或设计施工总承包或设计采购施工总承包或勘察设计采购施工总承包业绩等。不符合上述条件或提供的资料不齐全的业绩不予评审。评标委员会对业绩的评审以投标人提供的完整的证明资料原件扫描件或网页截图为依据（提供相关证明材料的，中标单位须准备相关证明材料的原件待查，如原件不齐或与投标文件不符的，招标人有权取消其中标人资格，并上报建设行政主管部门）。</w:t>
      </w:r>
    </w:p>
    <w:p>
      <w:pPr>
        <w:wordWrap w:val="0"/>
        <w:spacing w:line="360" w:lineRule="auto"/>
        <w:ind w:right="-506" w:rightChars="-241"/>
        <w:jc w:val="left"/>
        <w:rPr>
          <w:rFonts w:ascii="宋体" w:hAnsi="宋体" w:cs="宋体"/>
          <w:b/>
          <w:bCs/>
          <w:sz w:val="20"/>
          <w:szCs w:val="20"/>
          <w:highlight w:val="none"/>
        </w:rPr>
      </w:pPr>
      <w:r>
        <w:rPr>
          <w:rFonts w:hint="eastAsia" w:ascii="宋体" w:hAnsi="宋体" w:cs="宋体"/>
          <w:b/>
          <w:bCs/>
          <w:sz w:val="20"/>
          <w:szCs w:val="20"/>
          <w:highlight w:val="none"/>
        </w:rPr>
        <w:t>3、企业工程项目获奖情况：需提供奖项证书扫描件，时间以发证时间为准。其中国家级奖项包括：中国建设工程鲁班奖、国家优质工程（金质奖）、国家优质工程（银质奖）、国家优质工程奖、中国土木工程詹天佑奖。</w:t>
      </w:r>
    </w:p>
    <w:p>
      <w:pPr>
        <w:wordWrap w:val="0"/>
        <w:spacing w:line="360" w:lineRule="auto"/>
        <w:ind w:right="-506" w:rightChars="-241"/>
        <w:jc w:val="left"/>
        <w:rPr>
          <w:rFonts w:ascii="宋体" w:hAnsi="宋体" w:cs="宋体"/>
          <w:b/>
          <w:bCs/>
          <w:sz w:val="20"/>
          <w:szCs w:val="20"/>
          <w:highlight w:val="none"/>
        </w:rPr>
      </w:pPr>
      <w:r>
        <w:rPr>
          <w:rFonts w:hint="eastAsia" w:ascii="宋体" w:hAnsi="宋体" w:cs="宋体"/>
          <w:b/>
          <w:bCs/>
          <w:sz w:val="20"/>
          <w:szCs w:val="20"/>
          <w:highlight w:val="none"/>
        </w:rPr>
        <w:t>只计算一次工程奖项得分，按最高级别的奖项得分计算，不重复计算，以发证日期为准。获奖得分只计算承建单位，参建单位不计算，提供获奖业绩的中标通知书（或免招标证明）、合同（仅需附协议书部分）、工程竣工验收报告的相关证明材料。不符合上述条件的不得分。</w:t>
      </w:r>
    </w:p>
    <w:p>
      <w:pPr>
        <w:wordWrap w:val="0"/>
        <w:spacing w:line="360" w:lineRule="auto"/>
        <w:ind w:right="-506" w:rightChars="-241"/>
        <w:jc w:val="left"/>
        <w:rPr>
          <w:rFonts w:ascii="宋体" w:hAnsi="宋体" w:cs="宋体"/>
          <w:b/>
          <w:bCs/>
          <w:sz w:val="20"/>
          <w:szCs w:val="20"/>
          <w:highlight w:val="none"/>
        </w:rPr>
      </w:pPr>
      <w:r>
        <w:rPr>
          <w:rFonts w:hint="eastAsia" w:ascii="宋体" w:hAnsi="宋体" w:cs="宋体"/>
          <w:b/>
          <w:bCs/>
          <w:sz w:val="20"/>
          <w:szCs w:val="20"/>
          <w:highlight w:val="none"/>
        </w:rPr>
        <w:t>4.工程研发能力：①须提供获奖证书扫描件，时间以证书颁发时间为准，不同机构颁发的奖项或不同奖项的其连续年度不累计。②需提供政府机构或建设职能部门或主管的行业协会出具的科学技术成果鉴定证书扫描件，并在科学技术成果鉴定证书中反映该科学技术奖励的研究背景项目为市政类项目。③其中奖项颁发单位若是协会、学会颁发的，要求发证协会、学会必须经民政部门备案，且提供其在“中国社会组织政务服务平台”网站（https://chinanpo.mca.gov.cn/）查询结果的网页信息，不符合条件或无提供证书扫描件的不计分。</w:t>
      </w:r>
    </w:p>
    <w:p>
      <w:pPr>
        <w:wordWrap w:val="0"/>
        <w:spacing w:line="360" w:lineRule="auto"/>
        <w:ind w:right="-506" w:rightChars="-241"/>
        <w:jc w:val="left"/>
        <w:rPr>
          <w:rFonts w:ascii="宋体" w:hAnsi="宋体" w:cs="宋体"/>
          <w:b/>
          <w:bCs/>
          <w:sz w:val="20"/>
          <w:szCs w:val="20"/>
          <w:highlight w:val="none"/>
        </w:rPr>
      </w:pPr>
      <w:r>
        <w:rPr>
          <w:rFonts w:hint="eastAsia" w:ascii="宋体" w:hAnsi="宋体" w:cs="宋体"/>
          <w:b/>
          <w:bCs/>
          <w:sz w:val="20"/>
          <w:szCs w:val="20"/>
          <w:highlight w:val="none"/>
        </w:rPr>
        <w:t>5、第三方评价：投标人须提供省级或以上行业行政主管部门或经民政部门批准成立的相关行业协会颁发的施工企业诚信评价或信用等级评价的相关获奖证明材料，需提供获奖证书扫描件或获奖证明材料扫描件并加盖投标单位电子印章，时间以证书或获奖证明材料评价（评定）年度为准。如提供相关行业协会颁发的获奖证书，若颁发机构非政府相关部门，还需提供该组织在“全国社会组织信用信息公示平台（试运行）”网站（https://xxgs.chinanpo.mca.gov.cn/gsxt/newList）（注：由于全国社会组织信用信息公示平台（试运行）属于试运行，平台名称及网址若有更新，以最新发布的为准。）“全国社会组织信用信息公示平台”栏查询结果截图，证明其有登记备案，否则不得分。只计算投标人自身（不含投标人的子公司或分公司），不满足上述要求或无提交上述资料不得分。</w:t>
      </w:r>
    </w:p>
    <w:p>
      <w:pPr>
        <w:pStyle w:val="9"/>
        <w:wordWrap w:val="0"/>
        <w:spacing w:line="360" w:lineRule="auto"/>
        <w:ind w:right="-506" w:rightChars="-241"/>
        <w:rPr>
          <w:rFonts w:ascii="宋体" w:hAnsi="宋体" w:cs="宋体"/>
          <w:b/>
          <w:bCs/>
          <w:highlight w:val="none"/>
        </w:rPr>
      </w:pPr>
      <w:r>
        <w:rPr>
          <w:rFonts w:hint="eastAsia" w:ascii="宋体" w:hAnsi="宋体" w:cs="宋体"/>
          <w:b/>
          <w:bCs/>
          <w:highlight w:val="none"/>
        </w:rPr>
        <w:t>6、项目管理机构能力：项目管理机构人员的从业经历以毕业证发证时间为准，上述人员岗位不能相互兼任，项目管理机构人员仅指投标人自身人员，不含子母公司人员，如投标申请人为集团公司，则不含集团下属分公司，专指集团本部人员，同样下属公司也不得使用集团公司的人员；项目管理机构人员须提供相应职称证书和注册证书、安全生产考核合格证书、毕业证和2024年</w:t>
      </w:r>
      <w:r>
        <w:rPr>
          <w:rFonts w:hint="eastAsia" w:ascii="宋体" w:hAnsi="宋体" w:cs="宋体"/>
          <w:b/>
          <w:bCs/>
          <w:highlight w:val="none"/>
          <w:lang w:val="en-US" w:eastAsia="zh-CN"/>
        </w:rPr>
        <w:t>6</w:t>
      </w:r>
      <w:bookmarkStart w:id="659" w:name="_GoBack"/>
      <w:bookmarkEnd w:id="659"/>
      <w:r>
        <w:rPr>
          <w:rFonts w:hint="eastAsia" w:ascii="宋体" w:hAnsi="宋体" w:cs="宋体"/>
          <w:b/>
          <w:bCs/>
          <w:highlight w:val="none"/>
        </w:rPr>
        <w:t>月的社保缴纳证明材料复印件并加盖投标人公章。中标后需提供投标文件中人员的社保补缴情况相关证明报招标人核实。未提供或所提供的证明资料不符合要求的，则该评分节点不予评审。</w:t>
      </w:r>
    </w:p>
    <w:p>
      <w:pPr>
        <w:wordWrap w:val="0"/>
        <w:spacing w:line="360" w:lineRule="auto"/>
        <w:ind w:right="-506" w:rightChars="-241"/>
        <w:jc w:val="left"/>
        <w:rPr>
          <w:rFonts w:ascii="宋体" w:hAnsi="宋体" w:cs="宋体"/>
          <w:b/>
          <w:bCs/>
          <w:sz w:val="20"/>
          <w:szCs w:val="20"/>
          <w:highlight w:val="none"/>
        </w:rPr>
      </w:pPr>
      <w:r>
        <w:rPr>
          <w:rFonts w:hint="eastAsia" w:ascii="宋体" w:hAnsi="宋体" w:cs="宋体"/>
          <w:b/>
          <w:bCs/>
          <w:sz w:val="20"/>
          <w:szCs w:val="20"/>
          <w:highlight w:val="none"/>
        </w:rPr>
        <w:t>7、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p>
    <w:p>
      <w:pPr>
        <w:wordWrap w:val="0"/>
        <w:rPr>
          <w:rFonts w:ascii="宋体" w:hAnsi="宋体"/>
          <w:b/>
          <w:bCs/>
          <w:sz w:val="24"/>
          <w:szCs w:val="24"/>
          <w:highlight w:val="none"/>
        </w:rPr>
      </w:pPr>
      <w:r>
        <w:rPr>
          <w:rFonts w:hint="eastAsia" w:ascii="宋体" w:hAnsi="宋体"/>
          <w:b/>
          <w:bCs/>
          <w:sz w:val="24"/>
          <w:szCs w:val="24"/>
          <w:highlight w:val="none"/>
        </w:rPr>
        <w:br w:type="page"/>
      </w:r>
    </w:p>
    <w:p>
      <w:pPr>
        <w:pStyle w:val="21"/>
        <w:wordWrap w:val="0"/>
        <w:spacing w:after="0"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1. 评标方法</w:t>
      </w:r>
      <w:bookmarkEnd w:id="214"/>
      <w:bookmarkEnd w:id="215"/>
      <w:bookmarkEnd w:id="216"/>
      <w:bookmarkEnd w:id="217"/>
    </w:p>
    <w:p>
      <w:pPr>
        <w:wordWrap w:val="0"/>
        <w:spacing w:line="360" w:lineRule="auto"/>
        <w:ind w:firstLine="480" w:firstLineChars="200"/>
        <w:jc w:val="left"/>
        <w:rPr>
          <w:rFonts w:ascii="宋体" w:hAnsi="宋体" w:cs="宋体"/>
          <w:sz w:val="24"/>
          <w:szCs w:val="24"/>
          <w:highlight w:val="none"/>
          <w:u w:val="single"/>
        </w:rPr>
      </w:pPr>
      <w:r>
        <w:rPr>
          <w:rFonts w:hint="eastAsia" w:ascii="宋体" w:hAnsi="宋体" w:cs="宋体"/>
          <w:sz w:val="24"/>
          <w:highlight w:val="none"/>
          <w:u w:val="single"/>
        </w:rPr>
        <w:t>本次评标采用综合评估法。评标委员会对满足招标文件实质性要求的投标文件，按照本章第2.2款规定的评分标准进行打分，并按得分由高到低顺序推荐中标候选人，投标人总得分由高到低排序前3名作为第一、第二、第三中标候选人。综合评分相等时，以投标报价低的优先；投标报价也相等的，</w:t>
      </w:r>
      <w:r>
        <w:rPr>
          <w:rFonts w:hint="eastAsia" w:ascii="宋体" w:hAnsi="宋体" w:cs="宋体"/>
          <w:sz w:val="24"/>
          <w:szCs w:val="24"/>
          <w:highlight w:val="none"/>
          <w:u w:val="single"/>
        </w:rPr>
        <w:t>通过评标委员会采取记名投票方式，以得票多的优先。</w:t>
      </w:r>
    </w:p>
    <w:p>
      <w:pPr>
        <w:pStyle w:val="13"/>
        <w:wordWrap w:val="0"/>
        <w:spacing w:line="360" w:lineRule="auto"/>
        <w:ind w:firstLine="480" w:firstLineChars="200"/>
        <w:rPr>
          <w:rFonts w:hAnsi="宋体" w:eastAsia="宋体" w:cs="宋体"/>
          <w:kern w:val="2"/>
          <w:szCs w:val="22"/>
          <w:highlight w:val="none"/>
          <w:u w:val="single"/>
        </w:rPr>
      </w:pPr>
      <w:r>
        <w:rPr>
          <w:rFonts w:hint="eastAsia" w:hAnsi="宋体" w:eastAsia="宋体" w:cs="宋体"/>
          <w:kern w:val="2"/>
          <w:szCs w:val="22"/>
          <w:highlight w:val="none"/>
          <w:u w:val="single"/>
        </w:rPr>
        <w:t>记名投票方式确定排序的具体步骤为：由评标委员会对出现该情况的投标人采用记名投票的方式确定，按得票数高低进行排序，根据得票数高低确定中标候选人排序。</w:t>
      </w:r>
    </w:p>
    <w:p>
      <w:pPr>
        <w:wordWrap w:val="0"/>
        <w:spacing w:line="360" w:lineRule="auto"/>
        <w:ind w:firstLine="480" w:firstLineChars="200"/>
        <w:rPr>
          <w:rFonts w:ascii="宋体" w:hAnsi="宋体"/>
          <w:sz w:val="24"/>
          <w:highlight w:val="none"/>
        </w:rPr>
      </w:pPr>
      <w:r>
        <w:rPr>
          <w:rFonts w:hint="eastAsia" w:ascii="宋体" w:hAnsi="宋体" w:cs="宋体"/>
          <w:sz w:val="24"/>
          <w:highlight w:val="none"/>
          <w:u w:val="single"/>
        </w:rPr>
        <w:t>若投标登记或递交投标文件的投标人数量、或通过初步评审的合格投标人家属不足3家的，则该招标失败。</w:t>
      </w:r>
    </w:p>
    <w:p>
      <w:pPr>
        <w:pStyle w:val="21"/>
        <w:wordWrap w:val="0"/>
        <w:spacing w:after="0" w:line="360" w:lineRule="auto"/>
        <w:ind w:firstLine="482" w:firstLineChars="200"/>
        <w:rPr>
          <w:rFonts w:ascii="宋体" w:hAnsi="宋体" w:eastAsia="宋体"/>
          <w:b/>
          <w:bCs/>
          <w:sz w:val="24"/>
          <w:szCs w:val="24"/>
          <w:highlight w:val="none"/>
        </w:rPr>
      </w:pPr>
      <w:bookmarkStart w:id="218" w:name="_Toc144974568"/>
      <w:bookmarkStart w:id="219" w:name="_Toc152045601"/>
      <w:bookmarkStart w:id="220" w:name="_Toc179632619"/>
      <w:bookmarkStart w:id="221" w:name="_Toc152042378"/>
      <w:r>
        <w:rPr>
          <w:rFonts w:hint="eastAsia" w:ascii="宋体" w:hAnsi="宋体" w:eastAsia="宋体"/>
          <w:b/>
          <w:bCs/>
          <w:sz w:val="24"/>
          <w:szCs w:val="24"/>
          <w:highlight w:val="none"/>
        </w:rPr>
        <w:t>2. 评审标准</w:t>
      </w:r>
      <w:bookmarkEnd w:id="218"/>
      <w:bookmarkEnd w:id="219"/>
      <w:bookmarkEnd w:id="220"/>
      <w:bookmarkEnd w:id="221"/>
    </w:p>
    <w:p>
      <w:pPr>
        <w:wordWrap w:val="0"/>
        <w:spacing w:line="360" w:lineRule="auto"/>
        <w:ind w:firstLine="480" w:firstLineChars="200"/>
        <w:rPr>
          <w:rFonts w:ascii="宋体" w:hAnsi="宋体"/>
          <w:sz w:val="24"/>
          <w:highlight w:val="none"/>
        </w:rPr>
      </w:pPr>
      <w:bookmarkStart w:id="222" w:name="_Toc152042379"/>
      <w:bookmarkStart w:id="223" w:name="_Toc144974569"/>
      <w:bookmarkStart w:id="224" w:name="_Toc152045602"/>
      <w:bookmarkStart w:id="225" w:name="_Toc179632620"/>
      <w:r>
        <w:rPr>
          <w:rFonts w:hint="eastAsia" w:ascii="宋体" w:hAnsi="宋体"/>
          <w:sz w:val="24"/>
          <w:highlight w:val="none"/>
        </w:rPr>
        <w:t>2.1 初步评审标准</w:t>
      </w:r>
      <w:bookmarkEnd w:id="222"/>
      <w:bookmarkEnd w:id="223"/>
      <w:bookmarkEnd w:id="224"/>
      <w:bookmarkEnd w:id="225"/>
    </w:p>
    <w:p>
      <w:pPr>
        <w:wordWrap w:val="0"/>
        <w:spacing w:line="360" w:lineRule="auto"/>
        <w:ind w:firstLine="480" w:firstLineChars="200"/>
        <w:rPr>
          <w:rFonts w:ascii="宋体" w:hAnsi="宋体"/>
          <w:sz w:val="24"/>
          <w:highlight w:val="none"/>
        </w:rPr>
      </w:pPr>
      <w:r>
        <w:rPr>
          <w:rFonts w:hint="eastAsia" w:ascii="宋体" w:hAnsi="宋体"/>
          <w:sz w:val="24"/>
          <w:highlight w:val="none"/>
        </w:rPr>
        <w:t>2.1.1 资格评审标准：见评标办法前附表。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2.1.2 形式评审标准：见评标办法前附表。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2.1.3 响应性评审标准：见评标办法前附表。</w:t>
      </w:r>
    </w:p>
    <w:p>
      <w:pPr>
        <w:wordWrap w:val="0"/>
        <w:spacing w:line="360" w:lineRule="auto"/>
        <w:ind w:firstLine="480" w:firstLineChars="200"/>
        <w:rPr>
          <w:rFonts w:ascii="宋体" w:hAnsi="宋体"/>
          <w:sz w:val="24"/>
          <w:highlight w:val="none"/>
        </w:rPr>
      </w:pPr>
      <w:bookmarkStart w:id="226" w:name="_Toc152042380"/>
      <w:bookmarkStart w:id="227" w:name="_Toc144974570"/>
      <w:bookmarkStart w:id="228" w:name="_Toc179632621"/>
      <w:bookmarkStart w:id="229" w:name="_Toc152045603"/>
      <w:r>
        <w:rPr>
          <w:rFonts w:hint="eastAsia" w:ascii="宋体" w:hAnsi="宋体"/>
          <w:sz w:val="24"/>
          <w:highlight w:val="none"/>
        </w:rPr>
        <w:t>2.2 分值构成与评分标准</w:t>
      </w:r>
      <w:bookmarkEnd w:id="226"/>
      <w:bookmarkEnd w:id="227"/>
      <w:bookmarkEnd w:id="228"/>
      <w:bookmarkEnd w:id="229"/>
    </w:p>
    <w:p>
      <w:pPr>
        <w:wordWrap w:val="0"/>
        <w:spacing w:line="360" w:lineRule="auto"/>
        <w:ind w:firstLine="480" w:firstLineChars="200"/>
        <w:rPr>
          <w:rFonts w:ascii="宋体" w:hAnsi="宋体"/>
          <w:sz w:val="24"/>
          <w:highlight w:val="none"/>
        </w:rPr>
      </w:pPr>
      <w:r>
        <w:rPr>
          <w:rFonts w:hint="eastAsia" w:ascii="宋体" w:hAnsi="宋体"/>
          <w:sz w:val="24"/>
          <w:highlight w:val="none"/>
        </w:rPr>
        <w:t>2.2.1 分值构成</w:t>
      </w:r>
    </w:p>
    <w:p>
      <w:pPr>
        <w:wordWrap w:val="0"/>
        <w:spacing w:line="360" w:lineRule="auto"/>
        <w:ind w:firstLine="480" w:firstLineChars="200"/>
        <w:rPr>
          <w:rFonts w:ascii="宋体" w:hAnsi="宋体"/>
          <w:strike/>
          <w:sz w:val="24"/>
          <w:highlight w:val="none"/>
        </w:rPr>
      </w:pPr>
      <w:r>
        <w:rPr>
          <w:rFonts w:hint="eastAsia" w:ascii="宋体" w:hAnsi="宋体"/>
          <w:strike/>
          <w:sz w:val="24"/>
          <w:highlight w:val="none"/>
        </w:rPr>
        <w:t>（1）技术部分：见评标办法前附表；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（2）商务部分：见评标办法前附表；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（3）投标报价：见评标办法前附表；</w:t>
      </w:r>
    </w:p>
    <w:p>
      <w:pPr>
        <w:wordWrap w:val="0"/>
        <w:spacing w:line="360" w:lineRule="auto"/>
        <w:ind w:firstLine="480" w:firstLineChars="200"/>
        <w:rPr>
          <w:rFonts w:ascii="宋体" w:hAnsi="宋体"/>
          <w:strike/>
          <w:sz w:val="24"/>
          <w:highlight w:val="none"/>
        </w:rPr>
      </w:pPr>
      <w:r>
        <w:rPr>
          <w:rFonts w:hint="eastAsia" w:ascii="宋体" w:hAnsi="宋体"/>
          <w:strike/>
          <w:sz w:val="24"/>
          <w:highlight w:val="none"/>
        </w:rPr>
        <w:t>（4）诚信得分：见评标办法前附表；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2.2.2</w:t>
      </w:r>
      <w:r>
        <w:rPr>
          <w:rFonts w:ascii="宋体" w:hAnsi="宋体"/>
          <w:sz w:val="24"/>
          <w:highlight w:val="none"/>
        </w:rPr>
        <w:t xml:space="preserve"> </w:t>
      </w:r>
      <w:r>
        <w:rPr>
          <w:rFonts w:hint="eastAsia" w:ascii="宋体" w:hAnsi="宋体"/>
          <w:sz w:val="24"/>
          <w:highlight w:val="none"/>
        </w:rPr>
        <w:t>有效投标报价</w:t>
      </w:r>
    </w:p>
    <w:p>
      <w:pPr>
        <w:wordWrap w:val="0"/>
        <w:spacing w:line="360" w:lineRule="auto"/>
        <w:ind w:firstLine="480" w:firstLineChars="200"/>
        <w:rPr>
          <w:rFonts w:ascii="宋体" w:hAnsi="宋体"/>
          <w:sz w:val="24"/>
          <w:highlight w:val="none"/>
        </w:rPr>
      </w:pPr>
      <w:r>
        <w:rPr>
          <w:rFonts w:hint="eastAsia" w:ascii="宋体" w:hAnsi="宋体"/>
          <w:sz w:val="24"/>
          <w:highlight w:val="none"/>
        </w:rPr>
        <w:t>通过初步评审且不高于最高投标限价的投标报价为有效投标报价，高于最高投标限价的投标报价无效。投标报价不得低于成本价，否则投标报价为无效投标报价。非竞争性费用须与招标人发布的金额一致，不一致的投标报价无效。评标时，评标委员会发现投标人的报价明显低于其他投标报价，或者低于成本警示价的报价，使得其投标报价可能低于其成本的，应当要求该投标人作出书面说明并提供相应的证明材料。投标人不能合理说明或者不能提供相应证明材料的，由评标委员会认定该投标人以低于成本报价竞标，评标委员会应当否决其投标。</w:t>
      </w:r>
    </w:p>
    <w:p>
      <w:pPr>
        <w:wordWrap w:val="0"/>
        <w:spacing w:line="360" w:lineRule="auto"/>
        <w:ind w:firstLine="480" w:firstLineChars="200"/>
        <w:rPr>
          <w:rFonts w:ascii="宋体" w:hAnsi="宋体"/>
          <w:sz w:val="24"/>
          <w:highlight w:val="none"/>
          <w:u w:val="single"/>
        </w:rPr>
      </w:pPr>
      <w:r>
        <w:rPr>
          <w:rFonts w:hint="eastAsia" w:ascii="宋体" w:hAnsi="宋体"/>
          <w:sz w:val="24"/>
          <w:highlight w:val="none"/>
        </w:rPr>
        <w:t>对低于第二章投标须知3.2.4规定的成本警示价的投标报价，招标人可以在要求投标人在投标文件中提供其成本价分析（内容包括成本价的详细计算过程、计算依据及计算依据的证明材料，材料单价、人工单价、机械台班费的确定依据及其计算过程；管理费率、税金、利润率的确定依据及其计算过程应包括在成本价分析内容中），以方便评标委员会评标。</w:t>
      </w:r>
    </w:p>
    <w:p>
      <w:pPr>
        <w:wordWrap w:val="0"/>
        <w:spacing w:line="360" w:lineRule="auto"/>
        <w:ind w:firstLine="480" w:firstLineChars="200"/>
        <w:rPr>
          <w:rFonts w:ascii="宋体" w:hAnsi="宋体"/>
          <w:sz w:val="24"/>
          <w:highlight w:val="none"/>
        </w:rPr>
      </w:pPr>
      <w:r>
        <w:rPr>
          <w:rFonts w:hint="eastAsia" w:ascii="宋体" w:hAnsi="宋体"/>
          <w:sz w:val="24"/>
          <w:highlight w:val="none"/>
        </w:rPr>
        <w:t>2.2.</w:t>
      </w:r>
      <w:r>
        <w:rPr>
          <w:rFonts w:ascii="宋体" w:hAnsi="宋体"/>
          <w:sz w:val="24"/>
          <w:highlight w:val="none"/>
        </w:rPr>
        <w:t>3</w:t>
      </w:r>
      <w:r>
        <w:rPr>
          <w:rFonts w:hint="eastAsia" w:ascii="宋体" w:hAnsi="宋体"/>
          <w:sz w:val="24"/>
          <w:highlight w:val="none"/>
        </w:rPr>
        <w:t xml:space="preserve"> 评标基准价计算</w:t>
      </w:r>
    </w:p>
    <w:p>
      <w:pPr>
        <w:wordWrap w:val="0"/>
        <w:spacing w:line="360" w:lineRule="auto"/>
        <w:ind w:firstLine="480" w:firstLineChars="200"/>
        <w:rPr>
          <w:rFonts w:ascii="宋体" w:hAnsi="宋体"/>
          <w:sz w:val="24"/>
          <w:highlight w:val="none"/>
        </w:rPr>
      </w:pPr>
      <w:r>
        <w:rPr>
          <w:rFonts w:hint="eastAsia" w:ascii="宋体" w:hAnsi="宋体"/>
          <w:sz w:val="24"/>
          <w:highlight w:val="none"/>
        </w:rPr>
        <w:t>评标基准价可按以下方式确定</w:t>
      </w:r>
      <w:r>
        <w:rPr>
          <w:rFonts w:hint="eastAsia" w:ascii="宋体" w:hAnsi="宋体"/>
          <w:strike/>
          <w:sz w:val="24"/>
          <w:highlight w:val="none"/>
        </w:rPr>
        <w:t>（招标人以下两种方式任选一）</w:t>
      </w:r>
      <w:r>
        <w:rPr>
          <w:rFonts w:hint="eastAsia" w:ascii="宋体" w:hAnsi="宋体"/>
          <w:sz w:val="24"/>
          <w:highlight w:val="none"/>
        </w:rPr>
        <w:t>：</w:t>
      </w:r>
    </w:p>
    <w:p>
      <w:pPr>
        <w:wordWrap w:val="0"/>
        <w:spacing w:line="360" w:lineRule="auto"/>
        <w:ind w:firstLine="482" w:firstLineChars="200"/>
        <w:rPr>
          <w:rFonts w:ascii="宋体" w:hAnsi="宋体"/>
          <w:sz w:val="24"/>
          <w:highlight w:val="none"/>
        </w:rPr>
      </w:pPr>
      <w:r>
        <w:rPr>
          <w:rFonts w:hint="eastAsia" w:ascii="宋体" w:hAnsi="宋体"/>
          <w:b/>
          <w:sz w:val="24"/>
          <w:highlight w:val="none"/>
        </w:rPr>
        <w:t>方式一</w:t>
      </w:r>
      <w:r>
        <w:rPr>
          <w:rFonts w:hint="eastAsia" w:ascii="宋体" w:hAnsi="宋体"/>
          <w:sz w:val="24"/>
          <w:highlight w:val="none"/>
        </w:rPr>
        <w:t>：以全部或随机抽取的有效投标报价的算术平均值按随机抽取的评标基准价下浮率（2～5%，0.5一个级别）下浮作为评标基准价。具体确定方法如下：</w:t>
      </w:r>
    </w:p>
    <w:p>
      <w:pPr>
        <w:wordWrap w:val="0"/>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、当有效投标报价的投标人少于或等于5个时，取全部有效投标报价的算术平均</w:t>
      </w:r>
      <w:r>
        <w:rPr>
          <w:rFonts w:hint="eastAsia"/>
          <w:highlight w:val="none"/>
        </w:rPr>
        <w:t>按</w:t>
      </w:r>
      <w:r>
        <w:rPr>
          <w:rFonts w:hint="eastAsia" w:ascii="宋体" w:hAnsi="宋体"/>
          <w:sz w:val="24"/>
          <w:highlight w:val="none"/>
        </w:rPr>
        <w:t>随机抽取的评标基准价下浮率（2～5%，0.5一个级别）下浮作为评标基准价。</w:t>
      </w:r>
    </w:p>
    <w:p>
      <w:pPr>
        <w:wordWrap w:val="0"/>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、当有效投标报价的投标人为6至10个时，从全部有效投标报价中去掉一个最大值和最小值，其他有效投标报价的算术平均值</w:t>
      </w:r>
      <w:r>
        <w:rPr>
          <w:rFonts w:hint="eastAsia"/>
          <w:sz w:val="24"/>
          <w:szCs w:val="24"/>
          <w:highlight w:val="none"/>
        </w:rPr>
        <w:t>按</w:t>
      </w:r>
      <w:r>
        <w:rPr>
          <w:rFonts w:hint="eastAsia" w:ascii="宋体" w:hAnsi="宋体"/>
          <w:sz w:val="24"/>
          <w:highlight w:val="none"/>
        </w:rPr>
        <w:t>随机抽取的评标基准价下浮率（2～5%，0.5一个级别）下浮作为评标基准价。</w:t>
      </w:r>
    </w:p>
    <w:p>
      <w:pPr>
        <w:wordWrap w:val="0"/>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、当有效投标报价的投标人大于10个时，随机抽取10个有效投标报价并从中去掉一个最大值和最小值后计算算术平均值，该平均值</w:t>
      </w:r>
      <w:r>
        <w:rPr>
          <w:rFonts w:hint="eastAsia"/>
          <w:highlight w:val="none"/>
        </w:rPr>
        <w:t>按</w:t>
      </w:r>
      <w:r>
        <w:rPr>
          <w:rFonts w:hint="eastAsia" w:ascii="宋体" w:hAnsi="宋体"/>
          <w:sz w:val="24"/>
          <w:highlight w:val="none"/>
        </w:rPr>
        <w:t>随机抽取的评标基准价下浮率（2～5%，0.5一个级别）下浮作为评标基准价。</w:t>
      </w:r>
    </w:p>
    <w:p>
      <w:pPr>
        <w:wordWrap w:val="0"/>
        <w:spacing w:line="360" w:lineRule="auto"/>
        <w:ind w:firstLine="482" w:firstLineChars="200"/>
        <w:rPr>
          <w:rFonts w:ascii="宋体" w:hAnsi="宋体"/>
          <w:strike/>
          <w:sz w:val="24"/>
          <w:highlight w:val="none"/>
        </w:rPr>
      </w:pPr>
      <w:r>
        <w:rPr>
          <w:rFonts w:hint="eastAsia" w:ascii="宋体" w:hAnsi="宋体"/>
          <w:b/>
          <w:strike/>
          <w:sz w:val="24"/>
          <w:highlight w:val="none"/>
        </w:rPr>
        <w:t>方式二</w:t>
      </w:r>
      <w:r>
        <w:rPr>
          <w:rFonts w:hint="eastAsia" w:ascii="宋体" w:hAnsi="宋体"/>
          <w:strike/>
          <w:sz w:val="24"/>
          <w:highlight w:val="none"/>
        </w:rPr>
        <w:t>：以有效投标报价的算术平均值按随机抽取的评标基准价下浮率（2～5%，0.5一个级别）下浮作为评标基准价。</w:t>
      </w:r>
    </w:p>
    <w:p>
      <w:pPr>
        <w:wordWrap w:val="0"/>
        <w:spacing w:line="360" w:lineRule="auto"/>
        <w:ind w:firstLine="480" w:firstLineChars="200"/>
        <w:rPr>
          <w:rFonts w:ascii="宋体" w:hAnsi="宋体"/>
          <w:sz w:val="24"/>
          <w:highlight w:val="none"/>
        </w:rPr>
      </w:pPr>
      <w:r>
        <w:rPr>
          <w:rFonts w:hint="eastAsia" w:ascii="宋体" w:hAnsi="宋体"/>
          <w:sz w:val="24"/>
          <w:highlight w:val="none"/>
        </w:rPr>
        <w:t>在首次评标过程中，投标人未被发现存在串通投标、弄虚作假、行贿等情形的，无论是否重评，经确定的评标基准价不变。</w:t>
      </w:r>
    </w:p>
    <w:p>
      <w:pPr>
        <w:wordWrap w:val="0"/>
        <w:spacing w:line="360" w:lineRule="auto"/>
        <w:ind w:firstLine="480" w:firstLineChars="200"/>
        <w:rPr>
          <w:rFonts w:ascii="宋体" w:hAnsi="宋体"/>
          <w:sz w:val="24"/>
          <w:highlight w:val="none"/>
        </w:rPr>
      </w:pPr>
      <w:r>
        <w:rPr>
          <w:rFonts w:hint="eastAsia" w:ascii="宋体" w:hAnsi="宋体"/>
          <w:sz w:val="24"/>
          <w:highlight w:val="none"/>
        </w:rPr>
        <w:t>2.2.</w:t>
      </w:r>
      <w:r>
        <w:rPr>
          <w:rFonts w:ascii="宋体" w:hAnsi="宋体"/>
          <w:sz w:val="24"/>
          <w:highlight w:val="none"/>
        </w:rPr>
        <w:t>4</w:t>
      </w:r>
      <w:r>
        <w:rPr>
          <w:rFonts w:hint="eastAsia" w:ascii="宋体" w:hAnsi="宋体"/>
          <w:sz w:val="24"/>
          <w:highlight w:val="none"/>
        </w:rPr>
        <w:t xml:space="preserve"> 投标报价的得分计算</w:t>
      </w:r>
    </w:p>
    <w:p>
      <w:pPr>
        <w:wordWrap w:val="0"/>
        <w:spacing w:line="360" w:lineRule="auto"/>
        <w:ind w:firstLine="480" w:firstLineChars="200"/>
        <w:rPr>
          <w:rFonts w:ascii="宋体" w:hAnsi="宋体"/>
          <w:sz w:val="24"/>
          <w:highlight w:val="none"/>
        </w:rPr>
      </w:pPr>
      <w:r>
        <w:rPr>
          <w:rFonts w:hint="eastAsia" w:ascii="宋体" w:hAnsi="宋体"/>
          <w:sz w:val="24"/>
          <w:highlight w:val="none"/>
        </w:rPr>
        <w:t>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2.2.</w:t>
      </w:r>
      <w:r>
        <w:rPr>
          <w:rFonts w:ascii="宋体" w:hAnsi="宋体"/>
          <w:sz w:val="24"/>
          <w:highlight w:val="none"/>
        </w:rPr>
        <w:t>5</w:t>
      </w:r>
      <w:r>
        <w:rPr>
          <w:rFonts w:hint="eastAsia" w:ascii="宋体" w:hAnsi="宋体"/>
          <w:sz w:val="24"/>
          <w:highlight w:val="none"/>
        </w:rPr>
        <w:t xml:space="preserve"> 评分标准</w:t>
      </w:r>
    </w:p>
    <w:p>
      <w:pPr>
        <w:wordWrap w:val="0"/>
        <w:spacing w:line="360" w:lineRule="auto"/>
        <w:ind w:firstLine="480" w:firstLineChars="200"/>
        <w:rPr>
          <w:rFonts w:ascii="宋体" w:hAnsi="宋体"/>
          <w:strike/>
          <w:sz w:val="24"/>
          <w:highlight w:val="none"/>
        </w:rPr>
      </w:pPr>
      <w:r>
        <w:rPr>
          <w:rFonts w:hint="eastAsia" w:ascii="宋体" w:hAnsi="宋体"/>
          <w:strike/>
          <w:sz w:val="24"/>
          <w:highlight w:val="none"/>
        </w:rPr>
        <w:t>（1）技术部分评分标准：见评标办法前附表；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（2）商务部分评分标准：见评标办法前附表；</w:t>
      </w:r>
    </w:p>
    <w:p>
      <w:pPr>
        <w:wordWrap w:val="0"/>
        <w:spacing w:line="360" w:lineRule="auto"/>
        <w:ind w:firstLine="480" w:firstLineChars="200"/>
        <w:rPr>
          <w:rFonts w:ascii="宋体" w:hAnsi="宋体"/>
          <w:sz w:val="24"/>
          <w:highlight w:val="none"/>
        </w:rPr>
      </w:pPr>
      <w:r>
        <w:rPr>
          <w:rFonts w:hint="eastAsia" w:ascii="宋体" w:hAnsi="宋体"/>
          <w:sz w:val="24"/>
          <w:highlight w:val="none"/>
        </w:rPr>
        <w:t>（3）投标报价评分标准：见评标办法前附表；</w:t>
      </w:r>
    </w:p>
    <w:p>
      <w:pPr>
        <w:wordWrap w:val="0"/>
        <w:spacing w:line="360" w:lineRule="auto"/>
        <w:ind w:firstLine="480" w:firstLineChars="200"/>
        <w:rPr>
          <w:rFonts w:ascii="宋体" w:hAnsi="宋体"/>
          <w:strike/>
          <w:sz w:val="24"/>
          <w:highlight w:val="none"/>
        </w:rPr>
      </w:pPr>
      <w:r>
        <w:rPr>
          <w:rFonts w:hint="eastAsia" w:ascii="宋体" w:hAnsi="宋体"/>
          <w:strike/>
          <w:sz w:val="24"/>
          <w:highlight w:val="none"/>
        </w:rPr>
        <w:t>（4）诚信得分评分标准：见本章第4节的内容；</w:t>
      </w:r>
    </w:p>
    <w:p>
      <w:pPr>
        <w:pStyle w:val="21"/>
        <w:wordWrap w:val="0"/>
        <w:spacing w:after="0" w:line="360" w:lineRule="auto"/>
        <w:ind w:firstLine="482" w:firstLineChars="200"/>
        <w:rPr>
          <w:rFonts w:ascii="宋体" w:hAnsi="宋体" w:eastAsia="宋体"/>
          <w:b/>
          <w:bCs/>
          <w:sz w:val="24"/>
          <w:szCs w:val="24"/>
          <w:highlight w:val="none"/>
        </w:rPr>
      </w:pPr>
      <w:bookmarkStart w:id="230" w:name="_Toc152045604"/>
      <w:bookmarkStart w:id="231" w:name="_Toc152042381"/>
      <w:bookmarkStart w:id="232" w:name="_Toc144974571"/>
      <w:bookmarkStart w:id="233" w:name="_Toc179632622"/>
      <w:r>
        <w:rPr>
          <w:rFonts w:hint="eastAsia" w:ascii="宋体" w:hAnsi="宋体" w:eastAsia="宋体"/>
          <w:b/>
          <w:bCs/>
          <w:sz w:val="24"/>
          <w:szCs w:val="24"/>
          <w:highlight w:val="none"/>
        </w:rPr>
        <w:t>3. 评标程序</w:t>
      </w:r>
      <w:bookmarkEnd w:id="230"/>
      <w:bookmarkEnd w:id="231"/>
      <w:bookmarkEnd w:id="232"/>
      <w:bookmarkEnd w:id="233"/>
    </w:p>
    <w:p>
      <w:pPr>
        <w:wordWrap w:val="0"/>
        <w:spacing w:line="360" w:lineRule="auto"/>
        <w:ind w:firstLine="480" w:firstLineChars="200"/>
        <w:rPr>
          <w:rFonts w:ascii="宋体" w:hAnsi="宋体"/>
          <w:sz w:val="24"/>
          <w:highlight w:val="none"/>
        </w:rPr>
      </w:pPr>
      <w:bookmarkStart w:id="234" w:name="_Toc179632623"/>
      <w:bookmarkStart w:id="235" w:name="_Toc144974572"/>
      <w:bookmarkStart w:id="236" w:name="_Toc152042382"/>
      <w:bookmarkStart w:id="237" w:name="_Toc152045605"/>
      <w:r>
        <w:rPr>
          <w:rFonts w:hint="eastAsia" w:ascii="宋体" w:hAnsi="宋体"/>
          <w:sz w:val="24"/>
          <w:highlight w:val="none"/>
        </w:rPr>
        <w:t>3.1 初步评审</w:t>
      </w:r>
      <w:bookmarkEnd w:id="234"/>
      <w:bookmarkEnd w:id="235"/>
      <w:bookmarkEnd w:id="236"/>
      <w:bookmarkEnd w:id="237"/>
    </w:p>
    <w:p>
      <w:pPr>
        <w:wordWrap w:val="0"/>
        <w:spacing w:line="360" w:lineRule="auto"/>
        <w:ind w:firstLine="480" w:firstLineChars="200"/>
        <w:rPr>
          <w:rFonts w:ascii="宋体" w:hAnsi="宋体"/>
          <w:sz w:val="24"/>
          <w:highlight w:val="none"/>
        </w:rPr>
      </w:pPr>
      <w:r>
        <w:rPr>
          <w:rFonts w:hint="eastAsia" w:ascii="宋体" w:hAnsi="宋体"/>
          <w:sz w:val="24"/>
          <w:highlight w:val="none"/>
        </w:rPr>
        <w:t xml:space="preserve">3.1.1 </w:t>
      </w:r>
      <w:r>
        <w:rPr>
          <w:rFonts w:hint="eastAsia" w:ascii="宋体" w:hAnsi="宋体"/>
          <w:sz w:val="24"/>
          <w:highlight w:val="none"/>
          <w:u w:val="single"/>
        </w:rPr>
        <w:t>评标委员会可以要求投标人提交第二章“投标人须知”第3.5节规定的有关证明和证件的原件，以便核验。</w:t>
      </w:r>
      <w:r>
        <w:rPr>
          <w:rFonts w:hint="eastAsia" w:ascii="宋体" w:hAnsi="宋体" w:cs="宋体"/>
          <w:sz w:val="24"/>
          <w:szCs w:val="24"/>
          <w:highlight w:val="none"/>
          <w:u w:val="single"/>
        </w:rPr>
        <w:t>评标委员会依据本章第2.1节规定的标准对投标文件进行初步评审。有一项不符合评审标准的，评标委员会应当否决其投标。在进行初步评审(资格评审、形式评审、响应性评审)过程中，若评委意见不一致时，则按少数服从多数的原则，决定该投标人是否通过相应阶段的评审，进入下一阶段评审。只有通过初步评审合格的投标人才能进入详细评审阶段。</w:t>
      </w:r>
    </w:p>
    <w:p>
      <w:pPr>
        <w:wordWrap w:val="0"/>
        <w:spacing w:line="360" w:lineRule="auto"/>
        <w:ind w:firstLine="480" w:firstLineChars="200"/>
        <w:rPr>
          <w:rFonts w:ascii="宋体" w:hAnsi="宋体"/>
          <w:sz w:val="24"/>
          <w:highlight w:val="none"/>
        </w:rPr>
      </w:pPr>
      <w:r>
        <w:rPr>
          <w:rFonts w:hint="eastAsia" w:ascii="宋体" w:hAnsi="宋体"/>
          <w:sz w:val="24"/>
          <w:highlight w:val="none"/>
        </w:rPr>
        <w:t>3.1.2 投标人有以下情形之一的，评标委员会应当否决其投标：</w:t>
      </w:r>
    </w:p>
    <w:p>
      <w:pPr>
        <w:wordWrap w:val="0"/>
        <w:spacing w:line="360" w:lineRule="auto"/>
        <w:ind w:firstLine="480" w:firstLineChars="200"/>
        <w:rPr>
          <w:rFonts w:ascii="宋体" w:hAnsi="宋体"/>
          <w:sz w:val="24"/>
          <w:highlight w:val="none"/>
        </w:rPr>
      </w:pPr>
      <w:r>
        <w:rPr>
          <w:rFonts w:hint="eastAsia" w:ascii="宋体" w:hAnsi="宋体"/>
          <w:sz w:val="24"/>
          <w:highlight w:val="none"/>
        </w:rPr>
        <w:t>（1）第二章“投标人须知”第1.4.3项规定的任何一种情形的；</w:t>
      </w:r>
    </w:p>
    <w:p>
      <w:pPr>
        <w:wordWrap w:val="0"/>
        <w:spacing w:line="360" w:lineRule="auto"/>
        <w:ind w:firstLine="480" w:firstLineChars="200"/>
        <w:rPr>
          <w:rFonts w:ascii="宋体" w:hAnsi="宋体"/>
          <w:sz w:val="24"/>
          <w:highlight w:val="none"/>
        </w:rPr>
      </w:pPr>
      <w:r>
        <w:rPr>
          <w:rFonts w:hint="eastAsia" w:ascii="宋体" w:hAnsi="宋体"/>
          <w:sz w:val="24"/>
          <w:highlight w:val="none"/>
        </w:rPr>
        <w:t>（2）串通投标或弄虚作假或有其他违法行为的；</w:t>
      </w:r>
    </w:p>
    <w:p>
      <w:pPr>
        <w:wordWrap w:val="0"/>
        <w:spacing w:line="360" w:lineRule="auto"/>
        <w:ind w:firstLine="480" w:firstLineChars="200"/>
        <w:rPr>
          <w:rFonts w:ascii="宋体" w:hAnsi="宋体"/>
          <w:sz w:val="24"/>
          <w:highlight w:val="none"/>
        </w:rPr>
      </w:pPr>
      <w:r>
        <w:rPr>
          <w:rFonts w:hint="eastAsia" w:ascii="宋体" w:hAnsi="宋体"/>
          <w:sz w:val="24"/>
          <w:highlight w:val="none"/>
        </w:rPr>
        <w:t>（3）不按评标委员会要求澄清、说明或补正的；</w:t>
      </w:r>
    </w:p>
    <w:p>
      <w:pPr>
        <w:wordWrap w:val="0"/>
        <w:spacing w:line="360" w:lineRule="auto"/>
        <w:ind w:firstLine="480" w:firstLineChars="200"/>
        <w:rPr>
          <w:rFonts w:ascii="宋体" w:hAnsi="宋体"/>
          <w:sz w:val="24"/>
          <w:highlight w:val="none"/>
        </w:rPr>
      </w:pPr>
      <w:r>
        <w:rPr>
          <w:rFonts w:hint="eastAsia" w:ascii="宋体" w:hAnsi="宋体"/>
          <w:sz w:val="24"/>
          <w:highlight w:val="none"/>
        </w:rPr>
        <w:t>（4）投标文件不符合招标文件评标办法中形式评审标准、资格评审标准、响应性评审标准的要求；</w:t>
      </w:r>
    </w:p>
    <w:p>
      <w:pPr>
        <w:wordWrap w:val="0"/>
        <w:spacing w:line="360" w:lineRule="auto"/>
        <w:ind w:firstLine="480" w:firstLineChars="200"/>
        <w:rPr>
          <w:rFonts w:ascii="宋体" w:hAnsi="宋体"/>
          <w:sz w:val="24"/>
          <w:highlight w:val="none"/>
        </w:rPr>
      </w:pPr>
      <w:r>
        <w:rPr>
          <w:rFonts w:hint="eastAsia" w:ascii="宋体" w:hAnsi="宋体"/>
          <w:sz w:val="24"/>
          <w:highlight w:val="none"/>
        </w:rPr>
        <w:t>（5）项目负责人和专职安全员为同一人的；</w:t>
      </w:r>
    </w:p>
    <w:p>
      <w:pPr>
        <w:wordWrap w:val="0"/>
        <w:spacing w:line="360" w:lineRule="auto"/>
        <w:ind w:firstLine="480" w:firstLineChars="200"/>
        <w:rPr>
          <w:rFonts w:ascii="宋体" w:hAnsi="宋体"/>
          <w:sz w:val="24"/>
          <w:highlight w:val="none"/>
        </w:rPr>
      </w:pPr>
      <w:r>
        <w:rPr>
          <w:rFonts w:hint="eastAsia" w:ascii="宋体" w:hAnsi="宋体"/>
          <w:sz w:val="24"/>
          <w:highlight w:val="none"/>
        </w:rPr>
        <w:t>（6）投标文件中的投标人、项目负责人、专职安全员与投标登记时的信息不一致的；</w:t>
      </w:r>
    </w:p>
    <w:p>
      <w:pPr>
        <w:wordWrap w:val="0"/>
        <w:spacing w:line="360" w:lineRule="auto"/>
        <w:ind w:firstLine="480" w:firstLineChars="200"/>
        <w:rPr>
          <w:rFonts w:ascii="宋体" w:hAnsi="宋体"/>
          <w:sz w:val="24"/>
          <w:highlight w:val="none"/>
        </w:rPr>
      </w:pPr>
      <w:r>
        <w:rPr>
          <w:rFonts w:hint="eastAsia" w:ascii="宋体" w:hAnsi="宋体"/>
          <w:sz w:val="24"/>
          <w:highlight w:val="none"/>
        </w:rPr>
        <w:t>（7）投标人的报价明显低于其他投标报价，或者低于成本警示价的报价，投标人不能合理说明或者不能提供相应证明材料的；</w:t>
      </w:r>
    </w:p>
    <w:p>
      <w:pPr>
        <w:wordWrap w:val="0"/>
        <w:spacing w:line="360" w:lineRule="auto"/>
        <w:ind w:firstLine="480" w:firstLineChars="200"/>
        <w:rPr>
          <w:rFonts w:ascii="宋体" w:hAnsi="宋体"/>
          <w:sz w:val="24"/>
          <w:highlight w:val="none"/>
        </w:rPr>
      </w:pPr>
      <w:r>
        <w:rPr>
          <w:rFonts w:hint="eastAsia" w:ascii="宋体" w:hAnsi="宋体"/>
          <w:sz w:val="24"/>
          <w:highlight w:val="none"/>
        </w:rPr>
        <w:t>（8）不对评标委员会修正后的价格进行书面确认。</w:t>
      </w:r>
    </w:p>
    <w:p>
      <w:pPr>
        <w:wordWrap w:val="0"/>
        <w:spacing w:line="360" w:lineRule="auto"/>
        <w:ind w:firstLine="480" w:firstLineChars="200"/>
        <w:rPr>
          <w:rFonts w:ascii="宋体" w:hAnsi="宋体"/>
          <w:sz w:val="24"/>
          <w:highlight w:val="none"/>
        </w:rPr>
      </w:pPr>
      <w:r>
        <w:rPr>
          <w:rFonts w:hint="eastAsia" w:ascii="宋体" w:hAnsi="宋体"/>
          <w:sz w:val="24"/>
          <w:highlight w:val="none"/>
        </w:rPr>
        <w:t>3.1.3投标报价有算术错误的，评标委员会按以下原则对投标报价进行修正，修正的价格经投标人书面确认后具有约束力。投标人不接受修正价格的，评标委员会应当否决其投标。</w:t>
      </w:r>
    </w:p>
    <w:p>
      <w:pPr>
        <w:wordWrap w:val="0"/>
        <w:spacing w:line="360" w:lineRule="auto"/>
        <w:ind w:firstLine="480" w:firstLineChars="200"/>
        <w:rPr>
          <w:rFonts w:ascii="宋体" w:hAnsi="宋体"/>
          <w:sz w:val="24"/>
          <w:highlight w:val="none"/>
        </w:rPr>
      </w:pPr>
      <w:bookmarkStart w:id="238" w:name="_Toc152042383"/>
      <w:r>
        <w:rPr>
          <w:rFonts w:hint="eastAsia" w:ascii="宋体" w:hAnsi="宋体"/>
          <w:sz w:val="24"/>
          <w:highlight w:val="none"/>
        </w:rPr>
        <w:t>（1）投标文件中的大写金额与小写金额不一致的，以大写金额为准；</w:t>
      </w:r>
      <w:bookmarkEnd w:id="238"/>
    </w:p>
    <w:p>
      <w:pPr>
        <w:wordWrap w:val="0"/>
        <w:spacing w:line="360" w:lineRule="auto"/>
        <w:ind w:firstLine="480" w:firstLineChars="200"/>
        <w:rPr>
          <w:rFonts w:ascii="宋体" w:hAnsi="宋体"/>
          <w:sz w:val="24"/>
          <w:highlight w:val="none"/>
        </w:rPr>
      </w:pPr>
      <w:r>
        <w:rPr>
          <w:rFonts w:hint="eastAsia" w:ascii="宋体" w:hAnsi="宋体"/>
          <w:sz w:val="24"/>
          <w:highlight w:val="none"/>
        </w:rPr>
        <w:t>（2）总价金额与依据单价计算出的结果不一致的，以单价金额为准修正总价，但单价金额小数点有明显错误的除外。</w:t>
      </w:r>
    </w:p>
    <w:p>
      <w:pPr>
        <w:wordWrap w:val="0"/>
        <w:spacing w:line="360" w:lineRule="auto"/>
        <w:ind w:firstLine="480" w:firstLineChars="200"/>
        <w:rPr>
          <w:rFonts w:ascii="宋体" w:hAnsi="宋体"/>
          <w:sz w:val="24"/>
          <w:highlight w:val="none"/>
        </w:rPr>
      </w:pPr>
      <w:bookmarkStart w:id="239" w:name="_Toc152042384"/>
      <w:bookmarkStart w:id="240" w:name="_Toc152045606"/>
      <w:bookmarkStart w:id="241" w:name="_Toc179632624"/>
      <w:bookmarkStart w:id="242" w:name="_Toc144974573"/>
      <w:r>
        <w:rPr>
          <w:rFonts w:hint="eastAsia" w:ascii="宋体" w:hAnsi="宋体"/>
          <w:sz w:val="24"/>
          <w:highlight w:val="none"/>
        </w:rPr>
        <w:t>3.2 详细评审</w:t>
      </w:r>
      <w:bookmarkEnd w:id="239"/>
      <w:bookmarkEnd w:id="240"/>
      <w:bookmarkEnd w:id="241"/>
      <w:bookmarkEnd w:id="242"/>
    </w:p>
    <w:p>
      <w:pPr>
        <w:wordWrap w:val="0"/>
        <w:spacing w:line="360" w:lineRule="auto"/>
        <w:ind w:firstLine="480" w:firstLineChars="200"/>
        <w:rPr>
          <w:rFonts w:ascii="宋体" w:hAnsi="宋体" w:cs="宋体"/>
          <w:sz w:val="24"/>
          <w:szCs w:val="24"/>
          <w:highlight w:val="none"/>
          <w:u w:val="single"/>
        </w:rPr>
      </w:pPr>
      <w:r>
        <w:rPr>
          <w:rFonts w:hint="eastAsia" w:ascii="宋体" w:hAnsi="宋体"/>
          <w:sz w:val="24"/>
          <w:highlight w:val="none"/>
        </w:rPr>
        <w:t xml:space="preserve">3.2.1 </w:t>
      </w:r>
      <w:r>
        <w:rPr>
          <w:rFonts w:hint="eastAsia" w:ascii="宋体" w:hAnsi="宋体" w:cs="宋体"/>
          <w:sz w:val="24"/>
          <w:szCs w:val="24"/>
          <w:highlight w:val="none"/>
          <w:u w:val="single"/>
        </w:rPr>
        <w:t>评标委员会按本章第2.2款规定的量化因素和分值进行打分，并计算出综合评估得分。</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（1）按本章第2.2.5（1）目规定的评审因素和分值对商务部分计算出得分A；商务部分得分为各评标专家的商务部分评分的平均值。</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（3）按本章第2.2.5（2）目规定的评审因素和分值对投标报价计算出得分B；</w:t>
      </w:r>
    </w:p>
    <w:p>
      <w:pPr>
        <w:wordWrap w:val="0"/>
        <w:spacing w:line="360" w:lineRule="auto"/>
        <w:ind w:firstLine="480" w:firstLineChars="200"/>
        <w:rPr>
          <w:rFonts w:ascii="宋体" w:hAnsi="宋体"/>
          <w:strike/>
          <w:sz w:val="24"/>
          <w:highlight w:val="none"/>
        </w:rPr>
      </w:pPr>
      <w:r>
        <w:rPr>
          <w:rFonts w:hint="eastAsia" w:ascii="宋体" w:hAnsi="宋体" w:cs="宋体"/>
          <w:strike/>
          <w:sz w:val="24"/>
          <w:szCs w:val="24"/>
          <w:highlight w:val="none"/>
        </w:rPr>
        <w:t>（4）按本章第2.2.5（4）目规定的评审因素和分值对诚信评价计算出得分D；</w:t>
      </w:r>
    </w:p>
    <w:p>
      <w:pPr>
        <w:wordWrap w:val="0"/>
        <w:spacing w:line="360" w:lineRule="auto"/>
        <w:ind w:firstLine="480" w:firstLineChars="200"/>
        <w:rPr>
          <w:rFonts w:ascii="宋体" w:hAnsi="宋体"/>
          <w:sz w:val="24"/>
          <w:highlight w:val="none"/>
        </w:rPr>
      </w:pPr>
      <w:r>
        <w:rPr>
          <w:rFonts w:hint="eastAsia" w:ascii="宋体" w:hAnsi="宋体"/>
          <w:sz w:val="24"/>
          <w:highlight w:val="none"/>
        </w:rPr>
        <w:t>3.2.2 评分分值计算保留小数点后两位，小数点后第三位“四舍五入”。</w:t>
      </w:r>
    </w:p>
    <w:p>
      <w:pPr>
        <w:wordWrap w:val="0"/>
        <w:spacing w:line="360" w:lineRule="auto"/>
        <w:ind w:firstLine="480" w:firstLineChars="200"/>
        <w:rPr>
          <w:rFonts w:ascii="宋体" w:hAnsi="宋体"/>
          <w:sz w:val="24"/>
          <w:highlight w:val="none"/>
        </w:rPr>
      </w:pPr>
      <w:r>
        <w:rPr>
          <w:rFonts w:hint="eastAsia" w:ascii="宋体" w:hAnsi="宋体"/>
          <w:sz w:val="24"/>
          <w:highlight w:val="none"/>
        </w:rPr>
        <w:t>3.2.3</w:t>
      </w:r>
      <w:r>
        <w:rPr>
          <w:rFonts w:ascii="宋体" w:hAnsi="宋体"/>
          <w:sz w:val="24"/>
          <w:highlight w:val="none"/>
        </w:rPr>
        <w:t xml:space="preserve"> </w:t>
      </w:r>
      <w:r>
        <w:rPr>
          <w:rFonts w:hint="eastAsia" w:ascii="宋体" w:hAnsi="宋体" w:cs="宋体"/>
          <w:sz w:val="24"/>
          <w:szCs w:val="24"/>
          <w:highlight w:val="none"/>
        </w:rPr>
        <w:t>投标人的得分为</w:t>
      </w:r>
      <w:r>
        <w:rPr>
          <w:rFonts w:hint="eastAsia" w:ascii="宋体" w:hAnsi="宋体" w:cs="宋体"/>
          <w:strike/>
          <w:sz w:val="24"/>
          <w:szCs w:val="24"/>
          <w:highlight w:val="none"/>
        </w:rPr>
        <w:t>技术部分得分、</w:t>
      </w:r>
      <w:r>
        <w:rPr>
          <w:rFonts w:hint="eastAsia" w:ascii="宋体" w:hAnsi="宋体" w:cs="宋体"/>
          <w:sz w:val="24"/>
          <w:szCs w:val="24"/>
          <w:highlight w:val="none"/>
        </w:rPr>
        <w:t>商务部分得分和投标报价得分</w:t>
      </w:r>
      <w:r>
        <w:rPr>
          <w:rFonts w:hint="eastAsia" w:ascii="宋体" w:hAnsi="宋体" w:cs="宋体"/>
          <w:strike/>
          <w:sz w:val="24"/>
          <w:szCs w:val="24"/>
          <w:highlight w:val="none"/>
        </w:rPr>
        <w:t>和诚信得分</w:t>
      </w:r>
      <w:r>
        <w:rPr>
          <w:rFonts w:hint="eastAsia" w:ascii="宋体" w:hAnsi="宋体" w:cs="宋体"/>
          <w:sz w:val="24"/>
          <w:szCs w:val="24"/>
          <w:highlight w:val="none"/>
        </w:rPr>
        <w:t>之和。评标委员会应按照得分从高至低的顺序，确定得分前三名的投标人为第一中标候选人、第二中标候选人和第三中标候选人。当中标候选人得分相同时，按投标报价由低至高的顺序确定排名；当得分和投标报价均相同时，以记名投票表决等其他可行的方式确定排序。计分采用百分制，得分计算方法：评标总得分=</w:t>
      </w:r>
      <w:r>
        <w:rPr>
          <w:rFonts w:hint="eastAsia" w:ascii="宋体" w:hAnsi="宋体" w:cs="宋体"/>
          <w:strike/>
          <w:sz w:val="24"/>
          <w:szCs w:val="24"/>
          <w:highlight w:val="none"/>
        </w:rPr>
        <w:t>技术部分得分（</w:t>
      </w:r>
      <w:r>
        <w:rPr>
          <w:rFonts w:ascii="宋体" w:hAnsi="宋体" w:cs="宋体"/>
          <w:strike/>
          <w:sz w:val="24"/>
          <w:szCs w:val="24"/>
          <w:highlight w:val="none"/>
        </w:rPr>
        <w:t>A）×得分权重+</w:t>
      </w:r>
      <w:r>
        <w:rPr>
          <w:rFonts w:hint="eastAsia" w:ascii="宋体" w:hAnsi="宋体" w:cs="宋体"/>
          <w:sz w:val="24"/>
          <w:szCs w:val="24"/>
          <w:highlight w:val="none"/>
        </w:rPr>
        <w:t>商务部分得分（A）×得分权重+投标报价得分(B)×得分权重</w:t>
      </w:r>
      <w:r>
        <w:rPr>
          <w:rFonts w:hint="eastAsia" w:ascii="宋体" w:hAnsi="宋体" w:cs="宋体"/>
          <w:strike/>
          <w:sz w:val="24"/>
          <w:szCs w:val="24"/>
          <w:highlight w:val="none"/>
        </w:rPr>
        <w:t>+诚信评价分（D）×得分权重</w:t>
      </w:r>
      <w:r>
        <w:rPr>
          <w:rFonts w:hint="eastAsia" w:ascii="宋体" w:hAnsi="宋体" w:cs="宋体"/>
          <w:sz w:val="24"/>
          <w:szCs w:val="24"/>
          <w:highlight w:val="none"/>
        </w:rPr>
        <w:t>。</w:t>
      </w:r>
    </w:p>
    <w:p>
      <w:pPr>
        <w:wordWrap w:val="0"/>
        <w:spacing w:line="360" w:lineRule="auto"/>
        <w:ind w:firstLine="480" w:firstLineChars="200"/>
        <w:rPr>
          <w:rFonts w:ascii="宋体" w:hAnsi="宋体"/>
          <w:sz w:val="24"/>
          <w:highlight w:val="none"/>
        </w:rPr>
      </w:pPr>
      <w:bookmarkStart w:id="243" w:name="_Toc144974575"/>
      <w:bookmarkStart w:id="244" w:name="_Toc152042385"/>
      <w:bookmarkStart w:id="245" w:name="_Toc152045607"/>
      <w:bookmarkStart w:id="246" w:name="_Toc179632625"/>
      <w:r>
        <w:rPr>
          <w:rFonts w:hint="eastAsia" w:ascii="宋体" w:hAnsi="宋体"/>
          <w:sz w:val="24"/>
          <w:highlight w:val="none"/>
        </w:rPr>
        <w:t>3.3 投标文件的澄清</w:t>
      </w:r>
      <w:bookmarkEnd w:id="243"/>
      <w:r>
        <w:rPr>
          <w:rFonts w:hint="eastAsia" w:ascii="宋体" w:hAnsi="宋体"/>
          <w:sz w:val="24"/>
          <w:highlight w:val="none"/>
        </w:rPr>
        <w:t>和补正</w:t>
      </w:r>
      <w:bookmarkEnd w:id="244"/>
      <w:bookmarkEnd w:id="245"/>
      <w:bookmarkEnd w:id="246"/>
    </w:p>
    <w:p>
      <w:pPr>
        <w:wordWrap w:val="0"/>
        <w:spacing w:line="360" w:lineRule="auto"/>
        <w:ind w:firstLine="480" w:firstLineChars="200"/>
        <w:rPr>
          <w:rFonts w:ascii="宋体" w:hAnsi="宋体"/>
          <w:sz w:val="24"/>
          <w:highlight w:val="none"/>
        </w:rPr>
      </w:pPr>
      <w:r>
        <w:rPr>
          <w:rFonts w:hint="eastAsia" w:ascii="宋体" w:hAnsi="宋体"/>
          <w:sz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wordWrap w:val="0"/>
        <w:spacing w:line="360" w:lineRule="auto"/>
        <w:ind w:firstLine="480" w:firstLineChars="200"/>
        <w:rPr>
          <w:rFonts w:ascii="宋体" w:hAnsi="宋体"/>
          <w:sz w:val="24"/>
          <w:highlight w:val="none"/>
        </w:rPr>
      </w:pPr>
      <w:r>
        <w:rPr>
          <w:rFonts w:hint="eastAsia" w:ascii="宋体" w:hAnsi="宋体"/>
          <w:sz w:val="24"/>
          <w:highlight w:val="none"/>
        </w:rPr>
        <w:t>3.3.2 澄清、说明和补正不得改变投标文件的实质性内容（算术性错误修正的除外）。投标人的书面澄清、说明和补正属于投标文件的组成部分。</w:t>
      </w:r>
    </w:p>
    <w:p>
      <w:pPr>
        <w:wordWrap w:val="0"/>
        <w:spacing w:line="360" w:lineRule="auto"/>
        <w:ind w:firstLine="480" w:firstLineChars="200"/>
        <w:rPr>
          <w:rFonts w:ascii="宋体" w:hAnsi="宋体"/>
          <w:sz w:val="24"/>
          <w:highlight w:val="none"/>
        </w:rPr>
      </w:pPr>
      <w:r>
        <w:rPr>
          <w:rFonts w:hint="eastAsia" w:ascii="宋体" w:hAnsi="宋体"/>
          <w:sz w:val="24"/>
          <w:highlight w:val="none"/>
        </w:rPr>
        <w:t>3.3.3 评标委员会对投标人提交的澄清、说明或补正有疑问的，可以要求投标人进一步澄清、说明或补正，直至满足评标委员会的要求。</w:t>
      </w:r>
    </w:p>
    <w:p>
      <w:pPr>
        <w:wordWrap w:val="0"/>
        <w:spacing w:line="360" w:lineRule="auto"/>
        <w:ind w:firstLine="480" w:firstLineChars="200"/>
        <w:rPr>
          <w:rFonts w:ascii="宋体" w:hAnsi="宋体"/>
          <w:sz w:val="24"/>
          <w:highlight w:val="none"/>
        </w:rPr>
      </w:pPr>
      <w:bookmarkStart w:id="247" w:name="_Toc152045608"/>
      <w:bookmarkStart w:id="248" w:name="_Toc179632626"/>
      <w:bookmarkStart w:id="249" w:name="_Toc152042386"/>
      <w:bookmarkStart w:id="250" w:name="_Toc144974576"/>
      <w:r>
        <w:rPr>
          <w:rFonts w:hint="eastAsia" w:ascii="宋体" w:hAnsi="宋体"/>
          <w:sz w:val="24"/>
          <w:highlight w:val="none"/>
        </w:rPr>
        <w:t>3.4 评标结果</w:t>
      </w:r>
      <w:bookmarkEnd w:id="247"/>
      <w:bookmarkEnd w:id="248"/>
      <w:bookmarkEnd w:id="249"/>
      <w:bookmarkEnd w:id="250"/>
    </w:p>
    <w:p>
      <w:pPr>
        <w:wordWrap w:val="0"/>
        <w:spacing w:line="360" w:lineRule="auto"/>
        <w:ind w:firstLine="480" w:firstLineChars="200"/>
        <w:rPr>
          <w:rFonts w:ascii="宋体" w:hAnsi="宋体"/>
          <w:sz w:val="24"/>
          <w:highlight w:val="none"/>
        </w:rPr>
      </w:pPr>
      <w:r>
        <w:rPr>
          <w:rFonts w:hint="eastAsia" w:ascii="宋体" w:hAnsi="宋体"/>
          <w:sz w:val="24"/>
          <w:highlight w:val="none"/>
        </w:rPr>
        <w:t>3.4.1 评标委员会依据本章第2.2条评分标准进行评分，按评标办法前附表的约定计算投标人最终得分，评标委员会应按照得分从高至低的顺序，确定得分前三名的投标人为第一中标候选人、第二中标候选人和第三中标候选人。出现中标候选人得分相同的，以记名投票表决等其他可行的方式确定排序。</w:t>
      </w:r>
    </w:p>
    <w:p>
      <w:pPr>
        <w:wordWrap w:val="0"/>
        <w:spacing w:line="360" w:lineRule="auto"/>
        <w:ind w:firstLine="480" w:firstLineChars="200"/>
        <w:rPr>
          <w:rFonts w:ascii="宋体" w:hAnsi="宋体"/>
          <w:sz w:val="24"/>
          <w:highlight w:val="none"/>
        </w:rPr>
      </w:pPr>
      <w:r>
        <w:rPr>
          <w:rFonts w:hint="eastAsia" w:ascii="宋体" w:hAnsi="宋体"/>
          <w:sz w:val="24"/>
          <w:highlight w:val="none"/>
        </w:rPr>
        <w:t>3.4.2 评标委员会完成评标后，应当向招标人提交书面评标报告。</w:t>
      </w:r>
    </w:p>
    <w:p>
      <w:pPr>
        <w:pStyle w:val="21"/>
        <w:wordWrap w:val="0"/>
        <w:spacing w:after="0" w:line="360" w:lineRule="auto"/>
        <w:ind w:firstLine="482" w:firstLineChars="200"/>
        <w:rPr>
          <w:rFonts w:ascii="宋体" w:hAnsi="宋体" w:eastAsia="宋体"/>
          <w:b/>
          <w:bCs/>
          <w:strike/>
          <w:sz w:val="24"/>
          <w:szCs w:val="24"/>
          <w:highlight w:val="none"/>
        </w:rPr>
      </w:pPr>
      <w:r>
        <w:rPr>
          <w:rFonts w:hint="eastAsia" w:ascii="宋体" w:hAnsi="宋体" w:eastAsia="宋体"/>
          <w:b/>
          <w:bCs/>
          <w:strike/>
          <w:sz w:val="24"/>
          <w:szCs w:val="24"/>
          <w:highlight w:val="none"/>
        </w:rPr>
        <w:t xml:space="preserve">4. </w:t>
      </w:r>
      <w:r>
        <w:rPr>
          <w:rFonts w:ascii="宋体" w:hAnsi="宋体" w:eastAsia="宋体"/>
          <w:b/>
          <w:strike/>
          <w:sz w:val="24"/>
          <w:szCs w:val="24"/>
          <w:highlight w:val="none"/>
        </w:rPr>
        <w:t>诚信</w:t>
      </w:r>
      <w:r>
        <w:rPr>
          <w:rFonts w:hint="eastAsia" w:ascii="宋体" w:hAnsi="宋体" w:eastAsia="宋体"/>
          <w:b/>
          <w:strike/>
          <w:sz w:val="24"/>
          <w:szCs w:val="24"/>
          <w:highlight w:val="none"/>
        </w:rPr>
        <w:t>得</w:t>
      </w:r>
      <w:r>
        <w:rPr>
          <w:rFonts w:hint="eastAsia" w:ascii="宋体" w:hAnsi="宋体" w:eastAsia="宋体"/>
          <w:b/>
          <w:bCs/>
          <w:strike/>
          <w:sz w:val="24"/>
          <w:szCs w:val="24"/>
          <w:highlight w:val="none"/>
        </w:rPr>
        <w:t>分</w:t>
      </w:r>
    </w:p>
    <w:p>
      <w:pPr>
        <w:wordWrap w:val="0"/>
        <w:spacing w:line="360" w:lineRule="auto"/>
        <w:ind w:firstLine="480" w:firstLineChars="200"/>
        <w:rPr>
          <w:rFonts w:ascii="宋体" w:hAnsi="宋体"/>
          <w:strike/>
          <w:sz w:val="24"/>
          <w:szCs w:val="24"/>
          <w:highlight w:val="none"/>
        </w:rPr>
      </w:pPr>
      <w:r>
        <w:rPr>
          <w:rFonts w:hint="eastAsia" w:ascii="宋体" w:hAnsi="宋体"/>
          <w:strike/>
          <w:kern w:val="0"/>
          <w:sz w:val="24"/>
          <w:szCs w:val="24"/>
          <w:highlight w:val="none"/>
        </w:rPr>
        <w:t xml:space="preserve">4.1 </w:t>
      </w:r>
      <w:r>
        <w:rPr>
          <w:rFonts w:hint="eastAsia" w:ascii="宋体" w:hAnsi="宋体" w:cs="宋体"/>
          <w:strike/>
          <w:kern w:val="0"/>
          <w:sz w:val="24"/>
          <w:szCs w:val="24"/>
          <w:highlight w:val="none"/>
        </w:rPr>
        <w:t>投标人诚信评价分取自本项目招标公告第1天所在季度的上一季度广州市水务工程企业信息库及诚信中心网站（http://120.236.111.11:8001/#/website/integrity?type=1）中的“诚信排名&gt;&gt;施工—给排水”中“诚信综合评价”分，未入库企业或在广州市水务工程企业信息库及诚信中心网中尚无诚信排名“施工－给排水”得分的投标人，其诚信评价分按40分计算。本项目诚信评价得分=水务诚信综合评价分×5%。</w:t>
      </w:r>
    </w:p>
    <w:p>
      <w:pPr>
        <w:wordWrap w:val="0"/>
        <w:spacing w:line="360" w:lineRule="auto"/>
        <w:ind w:firstLine="480" w:firstLineChars="200"/>
        <w:rPr>
          <w:rFonts w:ascii="宋体" w:hAnsi="宋体"/>
          <w:strike/>
          <w:sz w:val="24"/>
          <w:szCs w:val="24"/>
          <w:highlight w:val="none"/>
        </w:rPr>
      </w:pPr>
      <w:r>
        <w:rPr>
          <w:rFonts w:hint="eastAsia" w:ascii="宋体" w:hAnsi="宋体"/>
          <w:strike/>
          <w:sz w:val="24"/>
          <w:szCs w:val="24"/>
          <w:highlight w:val="none"/>
        </w:rPr>
        <w:t>4.2两个或者两个以上水务建设市场主体组成联合体投标时，按联合体中诚信评价得分低的市场主体作为联合体的诚信评价得分。</w:t>
      </w:r>
    </w:p>
    <w:p>
      <w:pPr>
        <w:widowControl/>
        <w:wordWrap w:val="0"/>
        <w:spacing w:line="36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5.评标应急预案</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5.1</w:t>
      </w:r>
      <w:r>
        <w:rPr>
          <w:rFonts w:ascii="宋体" w:hAnsi="宋体" w:cs="宋体"/>
          <w:kern w:val="0"/>
          <w:sz w:val="24"/>
          <w:szCs w:val="24"/>
          <w:highlight w:val="none"/>
        </w:rPr>
        <w:t>在评标过程中，当采用电子评标系统评标发生评审故障时，若</w:t>
      </w:r>
      <w:r>
        <w:rPr>
          <w:rFonts w:hint="eastAsia" w:ascii="宋体" w:hAnsi="宋体" w:cs="宋体"/>
          <w:kern w:val="0"/>
          <w:sz w:val="24"/>
          <w:szCs w:val="24"/>
          <w:highlight w:val="none"/>
        </w:rPr>
        <w:t>广州交易集团有限公司（广州公共资源交易中心）</w:t>
      </w:r>
      <w:r>
        <w:rPr>
          <w:rFonts w:ascii="宋体" w:hAnsi="宋体" w:cs="宋体"/>
          <w:kern w:val="0"/>
          <w:sz w:val="24"/>
          <w:szCs w:val="24"/>
          <w:highlight w:val="none"/>
        </w:rPr>
        <w:t>当天可解除评审故障，则继续采用电子评标系统评标；若</w:t>
      </w:r>
      <w:r>
        <w:rPr>
          <w:rFonts w:hint="eastAsia" w:ascii="宋体" w:hAnsi="宋体" w:cs="宋体"/>
          <w:kern w:val="0"/>
          <w:sz w:val="24"/>
          <w:szCs w:val="24"/>
          <w:highlight w:val="none"/>
        </w:rPr>
        <w:t>广州交易集团有限公司（广州公共资源交易中心）</w:t>
      </w:r>
      <w:r>
        <w:rPr>
          <w:rFonts w:ascii="宋体" w:hAnsi="宋体" w:cs="宋体"/>
          <w:kern w:val="0"/>
          <w:sz w:val="24"/>
          <w:szCs w:val="24"/>
          <w:highlight w:val="none"/>
        </w:rPr>
        <w:t>当天无法解除评审故障，则评标委员会依据电子投标文件对未完成的评标活动采用手动评审，提交包含已完成电子评审成果在内的纸质评标报告。评审故障以</w:t>
      </w:r>
      <w:r>
        <w:rPr>
          <w:rFonts w:hint="eastAsia" w:ascii="宋体" w:hAnsi="宋体" w:cs="宋体"/>
          <w:kern w:val="0"/>
          <w:sz w:val="24"/>
          <w:szCs w:val="24"/>
          <w:highlight w:val="none"/>
        </w:rPr>
        <w:t>广州交易集团有限公司（广州公共资源交易中心）</w:t>
      </w:r>
      <w:r>
        <w:rPr>
          <w:rFonts w:ascii="宋体" w:hAnsi="宋体" w:cs="宋体"/>
          <w:kern w:val="0"/>
          <w:sz w:val="24"/>
          <w:szCs w:val="24"/>
          <w:highlight w:val="none"/>
        </w:rPr>
        <w:t>的认定为准。当</w:t>
      </w:r>
      <w:r>
        <w:rPr>
          <w:rFonts w:hint="eastAsia" w:ascii="宋体" w:hAnsi="宋体" w:cs="宋体"/>
          <w:kern w:val="0"/>
          <w:sz w:val="24"/>
          <w:szCs w:val="24"/>
          <w:highlight w:val="none"/>
        </w:rPr>
        <w:t>广州交易集团有限公司（广州公共资源交易中心）</w:t>
      </w:r>
      <w:r>
        <w:rPr>
          <w:rFonts w:ascii="宋体" w:hAnsi="宋体" w:cs="宋体"/>
          <w:kern w:val="0"/>
          <w:sz w:val="24"/>
          <w:szCs w:val="24"/>
          <w:highlight w:val="none"/>
        </w:rPr>
        <w:t>的系统维护人员在评标室告知评标委员会当天无法解除评审故障后，评标委员会即可对未完成的评标活动启动手动评审。</w:t>
      </w:r>
    </w:p>
    <w:p>
      <w:pPr>
        <w:widowControl/>
        <w:wordWrap w:val="0"/>
        <w:spacing w:line="360" w:lineRule="auto"/>
        <w:ind w:firstLine="480" w:firstLineChars="200"/>
        <w:jc w:val="left"/>
        <w:rPr>
          <w:rFonts w:ascii="宋体" w:hAnsi="宋体"/>
          <w:sz w:val="24"/>
          <w:highlight w:val="none"/>
        </w:rPr>
      </w:pPr>
      <w:r>
        <w:rPr>
          <w:rFonts w:hint="eastAsia" w:ascii="宋体" w:hAnsi="宋体" w:cs="宋体"/>
          <w:kern w:val="0"/>
          <w:sz w:val="24"/>
          <w:szCs w:val="24"/>
          <w:highlight w:val="none"/>
        </w:rPr>
        <w:t>5.2</w:t>
      </w:r>
      <w:r>
        <w:rPr>
          <w:rFonts w:ascii="宋体" w:hAnsi="宋体" w:cs="宋体"/>
          <w:kern w:val="0"/>
          <w:sz w:val="24"/>
          <w:szCs w:val="24"/>
          <w:highlight w:val="none"/>
        </w:rPr>
        <w:t>在电子评标过程中，无论遇到任何系统异常或故障，评标委员会均应出具评标报告。</w:t>
      </w:r>
    </w:p>
    <w:p>
      <w:pPr>
        <w:pStyle w:val="2"/>
        <w:wordWrap w:val="0"/>
        <w:rPr>
          <w:rFonts w:ascii="宋体" w:hAnsi="宋体"/>
          <w:color w:val="auto"/>
          <w:sz w:val="28"/>
          <w:szCs w:val="27"/>
          <w:highlight w:val="none"/>
        </w:rPr>
      </w:pPr>
    </w:p>
    <w:bookmarkEnd w:id="203"/>
    <w:bookmarkEnd w:id="204"/>
    <w:bookmarkEnd w:id="205"/>
    <w:bookmarkEnd w:id="206"/>
    <w:bookmarkEnd w:id="207"/>
    <w:bookmarkEnd w:id="208"/>
    <w:bookmarkEnd w:id="209"/>
    <w:p>
      <w:pPr>
        <w:widowControl/>
        <w:wordWrap w:val="0"/>
        <w:spacing w:line="360" w:lineRule="auto"/>
        <w:ind w:firstLine="480" w:firstLineChars="200"/>
        <w:jc w:val="left"/>
        <w:rPr>
          <w:rFonts w:ascii="宋体" w:hAnsi="宋体"/>
          <w:sz w:val="24"/>
          <w:highlight w:val="none"/>
        </w:rPr>
        <w:sectPr>
          <w:pgSz w:w="11906" w:h="16838"/>
          <w:pgMar w:top="1247" w:right="1247" w:bottom="567" w:left="1247" w:header="851" w:footer="992" w:gutter="0"/>
          <w:cols w:space="720" w:num="1"/>
          <w:docGrid w:linePitch="312" w:charSpace="0"/>
        </w:sectPr>
      </w:pPr>
    </w:p>
    <w:p>
      <w:pPr>
        <w:pageBreakBefore/>
        <w:wordWrap w:val="0"/>
        <w:spacing w:line="360" w:lineRule="auto"/>
        <w:jc w:val="center"/>
        <w:rPr>
          <w:rFonts w:ascii="宋体" w:hAnsi="宋体"/>
          <w:b/>
          <w:sz w:val="36"/>
          <w:szCs w:val="36"/>
          <w:highlight w:val="none"/>
        </w:rPr>
      </w:pPr>
      <w:r>
        <w:rPr>
          <w:rFonts w:hint="eastAsia" w:ascii="宋体" w:hAnsi="宋体"/>
          <w:b/>
          <w:sz w:val="36"/>
          <w:szCs w:val="36"/>
          <w:highlight w:val="none"/>
        </w:rPr>
        <w:t>平均值法评标基准价计算表（适用于随机抽取）</w:t>
      </w:r>
    </w:p>
    <w:p>
      <w:pPr>
        <w:wordWrap w:val="0"/>
        <w:spacing w:line="360" w:lineRule="auto"/>
        <w:rPr>
          <w:rFonts w:ascii="宋体" w:hAnsi="宋体" w:cs="宋体"/>
          <w:b/>
          <w:sz w:val="24"/>
          <w:szCs w:val="24"/>
          <w:highlight w:val="none"/>
        </w:rPr>
      </w:pPr>
      <w:r>
        <w:rPr>
          <w:rFonts w:hint="eastAsia" w:ascii="宋体" w:hAnsi="宋体" w:cs="宋体"/>
          <w:b/>
          <w:sz w:val="24"/>
          <w:szCs w:val="24"/>
          <w:highlight w:val="none"/>
        </w:rPr>
        <w:t>工程名称：最高投标限价：元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893"/>
        <w:gridCol w:w="1621"/>
        <w:gridCol w:w="745"/>
        <w:gridCol w:w="900"/>
        <w:gridCol w:w="1800"/>
        <w:gridCol w:w="1836"/>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9" w:type="dxa"/>
            <w:vMerge w:val="restart"/>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序号</w:t>
            </w:r>
          </w:p>
        </w:tc>
        <w:tc>
          <w:tcPr>
            <w:tcW w:w="1893" w:type="dxa"/>
            <w:vMerge w:val="restart"/>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投标人名称</w:t>
            </w:r>
          </w:p>
        </w:tc>
        <w:tc>
          <w:tcPr>
            <w:tcW w:w="1621" w:type="dxa"/>
            <w:vMerge w:val="restart"/>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投标价C</w:t>
            </w:r>
          </w:p>
        </w:tc>
        <w:tc>
          <w:tcPr>
            <w:tcW w:w="1645" w:type="dxa"/>
            <w:gridSpan w:val="2"/>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摇珠结果</w:t>
            </w:r>
          </w:p>
        </w:tc>
        <w:tc>
          <w:tcPr>
            <w:tcW w:w="1800" w:type="dxa"/>
            <w:vMerge w:val="restart"/>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是否参与基准价计算【去掉最低及最高】</w:t>
            </w:r>
          </w:p>
        </w:tc>
        <w:tc>
          <w:tcPr>
            <w:tcW w:w="1836" w:type="dxa"/>
            <w:vMerge w:val="restart"/>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计算评标基准价的下浮率X</w:t>
            </w:r>
          </w:p>
        </w:tc>
        <w:tc>
          <w:tcPr>
            <w:tcW w:w="5462" w:type="dxa"/>
            <w:vMerge w:val="restart"/>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评标基准价（元）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29" w:type="dxa"/>
            <w:vMerge w:val="continue"/>
            <w:vAlign w:val="center"/>
          </w:tcPr>
          <w:p>
            <w:pPr>
              <w:wordWrap w:val="0"/>
              <w:jc w:val="center"/>
              <w:rPr>
                <w:rFonts w:ascii="宋体" w:hAnsi="宋体" w:cs="宋体"/>
                <w:sz w:val="24"/>
                <w:szCs w:val="24"/>
                <w:highlight w:val="none"/>
              </w:rPr>
            </w:pPr>
          </w:p>
        </w:tc>
        <w:tc>
          <w:tcPr>
            <w:tcW w:w="1893" w:type="dxa"/>
            <w:vMerge w:val="continue"/>
            <w:vAlign w:val="center"/>
          </w:tcPr>
          <w:p>
            <w:pPr>
              <w:wordWrap w:val="0"/>
              <w:jc w:val="center"/>
              <w:rPr>
                <w:rFonts w:ascii="宋体" w:hAnsi="宋体" w:cs="宋体"/>
                <w:sz w:val="24"/>
                <w:szCs w:val="24"/>
                <w:highlight w:val="none"/>
              </w:rPr>
            </w:pPr>
          </w:p>
        </w:tc>
        <w:tc>
          <w:tcPr>
            <w:tcW w:w="1621" w:type="dxa"/>
            <w:vMerge w:val="continue"/>
            <w:vAlign w:val="center"/>
          </w:tcPr>
          <w:p>
            <w:pPr>
              <w:wordWrap w:val="0"/>
              <w:jc w:val="center"/>
              <w:rPr>
                <w:rFonts w:ascii="宋体" w:hAnsi="宋体" w:cs="宋体"/>
                <w:sz w:val="24"/>
                <w:szCs w:val="24"/>
                <w:highlight w:val="none"/>
              </w:rPr>
            </w:pPr>
          </w:p>
        </w:tc>
        <w:tc>
          <w:tcPr>
            <w:tcW w:w="745" w:type="dxa"/>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号球号码</w:t>
            </w:r>
          </w:p>
        </w:tc>
        <w:tc>
          <w:tcPr>
            <w:tcW w:w="900" w:type="dxa"/>
            <w:vAlign w:val="center"/>
          </w:tcPr>
          <w:p>
            <w:pPr>
              <w:wordWrap w:val="0"/>
              <w:jc w:val="center"/>
              <w:rPr>
                <w:rFonts w:ascii="宋体" w:hAnsi="宋体" w:cs="宋体"/>
                <w:sz w:val="24"/>
                <w:szCs w:val="24"/>
                <w:highlight w:val="none"/>
              </w:rPr>
            </w:pPr>
            <w:r>
              <w:rPr>
                <w:rFonts w:hint="eastAsia" w:ascii="宋体" w:hAnsi="宋体" w:cs="宋体"/>
                <w:sz w:val="24"/>
                <w:szCs w:val="24"/>
                <w:highlight w:val="none"/>
              </w:rPr>
              <w:t>是否被摇中</w:t>
            </w:r>
          </w:p>
        </w:tc>
        <w:tc>
          <w:tcPr>
            <w:tcW w:w="1800" w:type="dxa"/>
            <w:vMerge w:val="continue"/>
          </w:tcPr>
          <w:p>
            <w:pPr>
              <w:wordWrap w:val="0"/>
              <w:jc w:val="center"/>
              <w:rPr>
                <w:rFonts w:ascii="宋体" w:hAnsi="宋体" w:cs="宋体"/>
                <w:sz w:val="24"/>
                <w:szCs w:val="24"/>
                <w:highlight w:val="none"/>
              </w:rPr>
            </w:pPr>
          </w:p>
        </w:tc>
        <w:tc>
          <w:tcPr>
            <w:tcW w:w="1836" w:type="dxa"/>
            <w:vMerge w:val="continue"/>
          </w:tcPr>
          <w:p>
            <w:pPr>
              <w:wordWrap w:val="0"/>
              <w:jc w:val="center"/>
              <w:rPr>
                <w:rFonts w:ascii="宋体" w:hAnsi="宋体" w:cs="宋体"/>
                <w:sz w:val="24"/>
                <w:szCs w:val="24"/>
                <w:highlight w:val="none"/>
              </w:rPr>
            </w:pPr>
          </w:p>
        </w:tc>
        <w:tc>
          <w:tcPr>
            <w:tcW w:w="5462" w:type="dxa"/>
            <w:vMerge w:val="continue"/>
            <w:vAlign w:val="center"/>
          </w:tcPr>
          <w:p>
            <w:pPr>
              <w:wordWrap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wordWrap w:val="0"/>
              <w:spacing w:line="560" w:lineRule="exact"/>
              <w:rPr>
                <w:rFonts w:ascii="宋体" w:hAnsi="宋体" w:cs="宋体"/>
                <w:sz w:val="24"/>
                <w:szCs w:val="24"/>
                <w:highlight w:val="none"/>
              </w:rPr>
            </w:pPr>
          </w:p>
        </w:tc>
        <w:tc>
          <w:tcPr>
            <w:tcW w:w="1893" w:type="dxa"/>
          </w:tcPr>
          <w:p>
            <w:pPr>
              <w:wordWrap w:val="0"/>
              <w:spacing w:line="560" w:lineRule="exact"/>
              <w:rPr>
                <w:rFonts w:ascii="宋体" w:hAnsi="宋体" w:cs="宋体"/>
                <w:sz w:val="24"/>
                <w:szCs w:val="24"/>
                <w:highlight w:val="none"/>
              </w:rPr>
            </w:pPr>
          </w:p>
        </w:tc>
        <w:tc>
          <w:tcPr>
            <w:tcW w:w="1621" w:type="dxa"/>
          </w:tcPr>
          <w:p>
            <w:pPr>
              <w:wordWrap w:val="0"/>
              <w:spacing w:line="560" w:lineRule="exact"/>
              <w:rPr>
                <w:rFonts w:ascii="宋体" w:hAnsi="宋体" w:cs="宋体"/>
                <w:sz w:val="24"/>
                <w:szCs w:val="24"/>
                <w:highlight w:val="none"/>
              </w:rPr>
            </w:pPr>
          </w:p>
        </w:tc>
        <w:tc>
          <w:tcPr>
            <w:tcW w:w="745" w:type="dxa"/>
            <w:vMerge w:val="restart"/>
          </w:tcPr>
          <w:p>
            <w:pPr>
              <w:wordWrap w:val="0"/>
              <w:spacing w:line="560" w:lineRule="exact"/>
              <w:rPr>
                <w:rFonts w:ascii="宋体" w:hAnsi="宋体" w:cs="宋体"/>
                <w:sz w:val="24"/>
                <w:szCs w:val="24"/>
                <w:highlight w:val="none"/>
              </w:rPr>
            </w:pPr>
          </w:p>
        </w:tc>
        <w:tc>
          <w:tcPr>
            <w:tcW w:w="900" w:type="dxa"/>
          </w:tcPr>
          <w:p>
            <w:pPr>
              <w:wordWrap w:val="0"/>
              <w:spacing w:line="560" w:lineRule="exact"/>
              <w:rPr>
                <w:rFonts w:ascii="宋体" w:hAnsi="宋体" w:cs="宋体"/>
                <w:sz w:val="24"/>
                <w:szCs w:val="24"/>
                <w:highlight w:val="none"/>
              </w:rPr>
            </w:pPr>
          </w:p>
        </w:tc>
        <w:tc>
          <w:tcPr>
            <w:tcW w:w="1800" w:type="dxa"/>
          </w:tcPr>
          <w:p>
            <w:pPr>
              <w:wordWrap w:val="0"/>
              <w:spacing w:line="560" w:lineRule="exact"/>
              <w:rPr>
                <w:rFonts w:ascii="宋体" w:hAnsi="宋体" w:cs="宋体"/>
                <w:sz w:val="24"/>
                <w:szCs w:val="24"/>
                <w:highlight w:val="none"/>
              </w:rPr>
            </w:pPr>
          </w:p>
        </w:tc>
        <w:tc>
          <w:tcPr>
            <w:tcW w:w="1836" w:type="dxa"/>
            <w:vMerge w:val="restart"/>
          </w:tcPr>
          <w:p>
            <w:pPr>
              <w:wordWrap w:val="0"/>
              <w:spacing w:line="560" w:lineRule="exact"/>
              <w:rPr>
                <w:rFonts w:ascii="宋体" w:hAnsi="宋体" w:cs="宋体"/>
                <w:sz w:val="24"/>
                <w:szCs w:val="24"/>
                <w:highlight w:val="none"/>
              </w:rPr>
            </w:pPr>
          </w:p>
        </w:tc>
        <w:tc>
          <w:tcPr>
            <w:tcW w:w="5462" w:type="dxa"/>
            <w:vMerge w:val="restart"/>
          </w:tcPr>
          <w:p>
            <w:pPr>
              <w:wordWrap w:val="0"/>
              <w:spacing w:line="5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wordWrap w:val="0"/>
              <w:spacing w:line="560" w:lineRule="exact"/>
              <w:rPr>
                <w:rFonts w:ascii="宋体" w:hAnsi="宋体" w:cs="宋体"/>
                <w:sz w:val="24"/>
                <w:szCs w:val="24"/>
                <w:highlight w:val="none"/>
              </w:rPr>
            </w:pPr>
          </w:p>
        </w:tc>
        <w:tc>
          <w:tcPr>
            <w:tcW w:w="1893" w:type="dxa"/>
          </w:tcPr>
          <w:p>
            <w:pPr>
              <w:wordWrap w:val="0"/>
              <w:spacing w:line="560" w:lineRule="exact"/>
              <w:rPr>
                <w:rFonts w:ascii="宋体" w:hAnsi="宋体" w:cs="宋体"/>
                <w:sz w:val="24"/>
                <w:szCs w:val="24"/>
                <w:highlight w:val="none"/>
              </w:rPr>
            </w:pPr>
          </w:p>
        </w:tc>
        <w:tc>
          <w:tcPr>
            <w:tcW w:w="1621" w:type="dxa"/>
          </w:tcPr>
          <w:p>
            <w:pPr>
              <w:wordWrap w:val="0"/>
              <w:spacing w:line="560" w:lineRule="exact"/>
              <w:rPr>
                <w:rFonts w:ascii="宋体" w:hAnsi="宋体" w:cs="宋体"/>
                <w:sz w:val="24"/>
                <w:szCs w:val="24"/>
                <w:highlight w:val="none"/>
              </w:rPr>
            </w:pPr>
          </w:p>
        </w:tc>
        <w:tc>
          <w:tcPr>
            <w:tcW w:w="745" w:type="dxa"/>
            <w:vMerge w:val="continue"/>
          </w:tcPr>
          <w:p>
            <w:pPr>
              <w:wordWrap w:val="0"/>
              <w:spacing w:line="560" w:lineRule="exact"/>
              <w:rPr>
                <w:rFonts w:ascii="宋体" w:hAnsi="宋体" w:cs="宋体"/>
                <w:sz w:val="24"/>
                <w:szCs w:val="24"/>
                <w:highlight w:val="none"/>
              </w:rPr>
            </w:pPr>
          </w:p>
        </w:tc>
        <w:tc>
          <w:tcPr>
            <w:tcW w:w="900" w:type="dxa"/>
          </w:tcPr>
          <w:p>
            <w:pPr>
              <w:wordWrap w:val="0"/>
              <w:spacing w:line="560" w:lineRule="exact"/>
              <w:rPr>
                <w:rFonts w:ascii="宋体" w:hAnsi="宋体" w:cs="宋体"/>
                <w:sz w:val="24"/>
                <w:szCs w:val="24"/>
                <w:highlight w:val="none"/>
              </w:rPr>
            </w:pPr>
          </w:p>
        </w:tc>
        <w:tc>
          <w:tcPr>
            <w:tcW w:w="1800" w:type="dxa"/>
          </w:tcPr>
          <w:p>
            <w:pPr>
              <w:wordWrap w:val="0"/>
              <w:spacing w:line="560" w:lineRule="exact"/>
              <w:rPr>
                <w:rFonts w:ascii="宋体" w:hAnsi="宋体" w:cs="宋体"/>
                <w:sz w:val="24"/>
                <w:szCs w:val="24"/>
                <w:highlight w:val="none"/>
              </w:rPr>
            </w:pPr>
          </w:p>
        </w:tc>
        <w:tc>
          <w:tcPr>
            <w:tcW w:w="1836" w:type="dxa"/>
            <w:vMerge w:val="continue"/>
          </w:tcPr>
          <w:p>
            <w:pPr>
              <w:wordWrap w:val="0"/>
              <w:spacing w:line="560" w:lineRule="exact"/>
              <w:rPr>
                <w:rFonts w:ascii="宋体" w:hAnsi="宋体" w:cs="宋体"/>
                <w:sz w:val="24"/>
                <w:szCs w:val="24"/>
                <w:highlight w:val="none"/>
              </w:rPr>
            </w:pPr>
          </w:p>
        </w:tc>
        <w:tc>
          <w:tcPr>
            <w:tcW w:w="5462" w:type="dxa"/>
            <w:vMerge w:val="continue"/>
          </w:tcPr>
          <w:p>
            <w:pPr>
              <w:wordWrap w:val="0"/>
              <w:spacing w:line="5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wordWrap w:val="0"/>
              <w:spacing w:line="560" w:lineRule="exact"/>
              <w:rPr>
                <w:rFonts w:ascii="宋体" w:hAnsi="宋体" w:cs="宋体"/>
                <w:sz w:val="24"/>
                <w:szCs w:val="24"/>
                <w:highlight w:val="none"/>
              </w:rPr>
            </w:pPr>
          </w:p>
        </w:tc>
        <w:tc>
          <w:tcPr>
            <w:tcW w:w="1893" w:type="dxa"/>
          </w:tcPr>
          <w:p>
            <w:pPr>
              <w:wordWrap w:val="0"/>
              <w:spacing w:line="560" w:lineRule="exact"/>
              <w:rPr>
                <w:rFonts w:ascii="宋体" w:hAnsi="宋体" w:cs="宋体"/>
                <w:sz w:val="24"/>
                <w:szCs w:val="24"/>
                <w:highlight w:val="none"/>
              </w:rPr>
            </w:pPr>
          </w:p>
        </w:tc>
        <w:tc>
          <w:tcPr>
            <w:tcW w:w="1621" w:type="dxa"/>
          </w:tcPr>
          <w:p>
            <w:pPr>
              <w:wordWrap w:val="0"/>
              <w:spacing w:line="560" w:lineRule="exact"/>
              <w:rPr>
                <w:rFonts w:ascii="宋体" w:hAnsi="宋体" w:cs="宋体"/>
                <w:sz w:val="24"/>
                <w:szCs w:val="24"/>
                <w:highlight w:val="none"/>
              </w:rPr>
            </w:pPr>
          </w:p>
        </w:tc>
        <w:tc>
          <w:tcPr>
            <w:tcW w:w="745" w:type="dxa"/>
            <w:vMerge w:val="continue"/>
          </w:tcPr>
          <w:p>
            <w:pPr>
              <w:wordWrap w:val="0"/>
              <w:spacing w:line="560" w:lineRule="exact"/>
              <w:rPr>
                <w:rFonts w:ascii="宋体" w:hAnsi="宋体" w:cs="宋体"/>
                <w:sz w:val="24"/>
                <w:szCs w:val="24"/>
                <w:highlight w:val="none"/>
              </w:rPr>
            </w:pPr>
          </w:p>
        </w:tc>
        <w:tc>
          <w:tcPr>
            <w:tcW w:w="900" w:type="dxa"/>
          </w:tcPr>
          <w:p>
            <w:pPr>
              <w:wordWrap w:val="0"/>
              <w:spacing w:line="560" w:lineRule="exact"/>
              <w:rPr>
                <w:rFonts w:ascii="宋体" w:hAnsi="宋体" w:cs="宋体"/>
                <w:sz w:val="24"/>
                <w:szCs w:val="24"/>
                <w:highlight w:val="none"/>
              </w:rPr>
            </w:pPr>
          </w:p>
        </w:tc>
        <w:tc>
          <w:tcPr>
            <w:tcW w:w="1800" w:type="dxa"/>
          </w:tcPr>
          <w:p>
            <w:pPr>
              <w:wordWrap w:val="0"/>
              <w:spacing w:line="560" w:lineRule="exact"/>
              <w:rPr>
                <w:rFonts w:ascii="宋体" w:hAnsi="宋体" w:cs="宋体"/>
                <w:sz w:val="24"/>
                <w:szCs w:val="24"/>
                <w:highlight w:val="none"/>
              </w:rPr>
            </w:pPr>
          </w:p>
        </w:tc>
        <w:tc>
          <w:tcPr>
            <w:tcW w:w="1836" w:type="dxa"/>
            <w:vMerge w:val="continue"/>
          </w:tcPr>
          <w:p>
            <w:pPr>
              <w:wordWrap w:val="0"/>
              <w:spacing w:line="560" w:lineRule="exact"/>
              <w:rPr>
                <w:rFonts w:ascii="宋体" w:hAnsi="宋体" w:cs="宋体"/>
                <w:sz w:val="24"/>
                <w:szCs w:val="24"/>
                <w:highlight w:val="none"/>
              </w:rPr>
            </w:pPr>
          </w:p>
        </w:tc>
        <w:tc>
          <w:tcPr>
            <w:tcW w:w="5462" w:type="dxa"/>
            <w:vMerge w:val="continue"/>
          </w:tcPr>
          <w:p>
            <w:pPr>
              <w:wordWrap w:val="0"/>
              <w:spacing w:line="5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wordWrap w:val="0"/>
              <w:spacing w:line="560" w:lineRule="exact"/>
              <w:rPr>
                <w:rFonts w:ascii="宋体" w:hAnsi="宋体" w:cs="宋体"/>
                <w:sz w:val="24"/>
                <w:szCs w:val="24"/>
                <w:highlight w:val="none"/>
              </w:rPr>
            </w:pPr>
          </w:p>
        </w:tc>
        <w:tc>
          <w:tcPr>
            <w:tcW w:w="1893" w:type="dxa"/>
          </w:tcPr>
          <w:p>
            <w:pPr>
              <w:wordWrap w:val="0"/>
              <w:spacing w:line="560" w:lineRule="exact"/>
              <w:rPr>
                <w:rFonts w:ascii="宋体" w:hAnsi="宋体" w:cs="宋体"/>
                <w:sz w:val="24"/>
                <w:szCs w:val="24"/>
                <w:highlight w:val="none"/>
              </w:rPr>
            </w:pPr>
          </w:p>
        </w:tc>
        <w:tc>
          <w:tcPr>
            <w:tcW w:w="1621" w:type="dxa"/>
          </w:tcPr>
          <w:p>
            <w:pPr>
              <w:wordWrap w:val="0"/>
              <w:spacing w:line="560" w:lineRule="exact"/>
              <w:rPr>
                <w:rFonts w:ascii="宋体" w:hAnsi="宋体" w:cs="宋体"/>
                <w:sz w:val="24"/>
                <w:szCs w:val="24"/>
                <w:highlight w:val="none"/>
              </w:rPr>
            </w:pPr>
          </w:p>
        </w:tc>
        <w:tc>
          <w:tcPr>
            <w:tcW w:w="745" w:type="dxa"/>
            <w:vMerge w:val="continue"/>
          </w:tcPr>
          <w:p>
            <w:pPr>
              <w:wordWrap w:val="0"/>
              <w:spacing w:line="560" w:lineRule="exact"/>
              <w:rPr>
                <w:rFonts w:ascii="宋体" w:hAnsi="宋体" w:cs="宋体"/>
                <w:sz w:val="24"/>
                <w:szCs w:val="24"/>
                <w:highlight w:val="none"/>
              </w:rPr>
            </w:pPr>
          </w:p>
        </w:tc>
        <w:tc>
          <w:tcPr>
            <w:tcW w:w="900" w:type="dxa"/>
          </w:tcPr>
          <w:p>
            <w:pPr>
              <w:wordWrap w:val="0"/>
              <w:spacing w:line="560" w:lineRule="exact"/>
              <w:rPr>
                <w:rFonts w:ascii="宋体" w:hAnsi="宋体" w:cs="宋体"/>
                <w:sz w:val="24"/>
                <w:szCs w:val="24"/>
                <w:highlight w:val="none"/>
              </w:rPr>
            </w:pPr>
          </w:p>
        </w:tc>
        <w:tc>
          <w:tcPr>
            <w:tcW w:w="1800" w:type="dxa"/>
          </w:tcPr>
          <w:p>
            <w:pPr>
              <w:wordWrap w:val="0"/>
              <w:spacing w:line="560" w:lineRule="exact"/>
              <w:rPr>
                <w:rFonts w:ascii="宋体" w:hAnsi="宋体" w:cs="宋体"/>
                <w:sz w:val="24"/>
                <w:szCs w:val="24"/>
                <w:highlight w:val="none"/>
              </w:rPr>
            </w:pPr>
          </w:p>
        </w:tc>
        <w:tc>
          <w:tcPr>
            <w:tcW w:w="1836" w:type="dxa"/>
            <w:vMerge w:val="continue"/>
          </w:tcPr>
          <w:p>
            <w:pPr>
              <w:wordWrap w:val="0"/>
              <w:spacing w:line="560" w:lineRule="exact"/>
              <w:rPr>
                <w:rFonts w:ascii="宋体" w:hAnsi="宋体" w:cs="宋体"/>
                <w:sz w:val="24"/>
                <w:szCs w:val="24"/>
                <w:highlight w:val="none"/>
              </w:rPr>
            </w:pPr>
          </w:p>
        </w:tc>
        <w:tc>
          <w:tcPr>
            <w:tcW w:w="5462" w:type="dxa"/>
            <w:vMerge w:val="continue"/>
          </w:tcPr>
          <w:p>
            <w:pPr>
              <w:wordWrap w:val="0"/>
              <w:spacing w:line="5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wordWrap w:val="0"/>
              <w:spacing w:line="560" w:lineRule="exact"/>
              <w:rPr>
                <w:rFonts w:ascii="宋体" w:hAnsi="宋体" w:cs="宋体"/>
                <w:sz w:val="24"/>
                <w:szCs w:val="24"/>
                <w:highlight w:val="none"/>
              </w:rPr>
            </w:pPr>
          </w:p>
        </w:tc>
        <w:tc>
          <w:tcPr>
            <w:tcW w:w="1893" w:type="dxa"/>
          </w:tcPr>
          <w:p>
            <w:pPr>
              <w:wordWrap w:val="0"/>
              <w:spacing w:line="560" w:lineRule="exact"/>
              <w:rPr>
                <w:rFonts w:ascii="宋体" w:hAnsi="宋体" w:cs="宋体"/>
                <w:sz w:val="24"/>
                <w:szCs w:val="24"/>
                <w:highlight w:val="none"/>
              </w:rPr>
            </w:pPr>
          </w:p>
        </w:tc>
        <w:tc>
          <w:tcPr>
            <w:tcW w:w="1621" w:type="dxa"/>
          </w:tcPr>
          <w:p>
            <w:pPr>
              <w:wordWrap w:val="0"/>
              <w:spacing w:line="560" w:lineRule="exact"/>
              <w:rPr>
                <w:rFonts w:ascii="宋体" w:hAnsi="宋体" w:cs="宋体"/>
                <w:sz w:val="24"/>
                <w:szCs w:val="24"/>
                <w:highlight w:val="none"/>
              </w:rPr>
            </w:pPr>
          </w:p>
        </w:tc>
        <w:tc>
          <w:tcPr>
            <w:tcW w:w="745" w:type="dxa"/>
            <w:vMerge w:val="continue"/>
          </w:tcPr>
          <w:p>
            <w:pPr>
              <w:wordWrap w:val="0"/>
              <w:spacing w:line="560" w:lineRule="exact"/>
              <w:rPr>
                <w:rFonts w:ascii="宋体" w:hAnsi="宋体" w:cs="宋体"/>
                <w:sz w:val="24"/>
                <w:szCs w:val="24"/>
                <w:highlight w:val="none"/>
              </w:rPr>
            </w:pPr>
          </w:p>
        </w:tc>
        <w:tc>
          <w:tcPr>
            <w:tcW w:w="900" w:type="dxa"/>
          </w:tcPr>
          <w:p>
            <w:pPr>
              <w:wordWrap w:val="0"/>
              <w:spacing w:line="560" w:lineRule="exact"/>
              <w:rPr>
                <w:rFonts w:ascii="宋体" w:hAnsi="宋体" w:cs="宋体"/>
                <w:sz w:val="24"/>
                <w:szCs w:val="24"/>
                <w:highlight w:val="none"/>
              </w:rPr>
            </w:pPr>
          </w:p>
        </w:tc>
        <w:tc>
          <w:tcPr>
            <w:tcW w:w="1800" w:type="dxa"/>
          </w:tcPr>
          <w:p>
            <w:pPr>
              <w:wordWrap w:val="0"/>
              <w:spacing w:line="560" w:lineRule="exact"/>
              <w:rPr>
                <w:rFonts w:ascii="宋体" w:hAnsi="宋体" w:cs="宋体"/>
                <w:sz w:val="24"/>
                <w:szCs w:val="24"/>
                <w:highlight w:val="none"/>
              </w:rPr>
            </w:pPr>
          </w:p>
        </w:tc>
        <w:tc>
          <w:tcPr>
            <w:tcW w:w="1836" w:type="dxa"/>
            <w:vMerge w:val="continue"/>
          </w:tcPr>
          <w:p>
            <w:pPr>
              <w:wordWrap w:val="0"/>
              <w:spacing w:line="560" w:lineRule="exact"/>
              <w:rPr>
                <w:rFonts w:ascii="宋体" w:hAnsi="宋体" w:cs="宋体"/>
                <w:sz w:val="24"/>
                <w:szCs w:val="24"/>
                <w:highlight w:val="none"/>
              </w:rPr>
            </w:pPr>
          </w:p>
        </w:tc>
        <w:tc>
          <w:tcPr>
            <w:tcW w:w="5462" w:type="dxa"/>
            <w:vMerge w:val="continue"/>
          </w:tcPr>
          <w:p>
            <w:pPr>
              <w:wordWrap w:val="0"/>
              <w:spacing w:line="5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wordWrap w:val="0"/>
              <w:spacing w:line="560" w:lineRule="exact"/>
              <w:rPr>
                <w:rFonts w:ascii="宋体" w:hAnsi="宋体" w:cs="宋体"/>
                <w:sz w:val="24"/>
                <w:szCs w:val="24"/>
                <w:highlight w:val="none"/>
              </w:rPr>
            </w:pPr>
          </w:p>
        </w:tc>
        <w:tc>
          <w:tcPr>
            <w:tcW w:w="1893" w:type="dxa"/>
          </w:tcPr>
          <w:p>
            <w:pPr>
              <w:wordWrap w:val="0"/>
              <w:spacing w:line="560" w:lineRule="exact"/>
              <w:rPr>
                <w:rFonts w:ascii="宋体" w:hAnsi="宋体" w:cs="宋体"/>
                <w:sz w:val="24"/>
                <w:szCs w:val="24"/>
                <w:highlight w:val="none"/>
              </w:rPr>
            </w:pPr>
          </w:p>
        </w:tc>
        <w:tc>
          <w:tcPr>
            <w:tcW w:w="1621" w:type="dxa"/>
          </w:tcPr>
          <w:p>
            <w:pPr>
              <w:wordWrap w:val="0"/>
              <w:spacing w:line="560" w:lineRule="exact"/>
              <w:rPr>
                <w:rFonts w:ascii="宋体" w:hAnsi="宋体" w:cs="宋体"/>
                <w:sz w:val="24"/>
                <w:szCs w:val="24"/>
                <w:highlight w:val="none"/>
              </w:rPr>
            </w:pPr>
          </w:p>
        </w:tc>
        <w:tc>
          <w:tcPr>
            <w:tcW w:w="745" w:type="dxa"/>
            <w:vMerge w:val="continue"/>
          </w:tcPr>
          <w:p>
            <w:pPr>
              <w:wordWrap w:val="0"/>
              <w:spacing w:line="560" w:lineRule="exact"/>
              <w:rPr>
                <w:rFonts w:ascii="宋体" w:hAnsi="宋体" w:cs="宋体"/>
                <w:sz w:val="24"/>
                <w:szCs w:val="24"/>
                <w:highlight w:val="none"/>
              </w:rPr>
            </w:pPr>
          </w:p>
        </w:tc>
        <w:tc>
          <w:tcPr>
            <w:tcW w:w="900" w:type="dxa"/>
          </w:tcPr>
          <w:p>
            <w:pPr>
              <w:wordWrap w:val="0"/>
              <w:spacing w:line="560" w:lineRule="exact"/>
              <w:rPr>
                <w:rFonts w:ascii="宋体" w:hAnsi="宋体" w:cs="宋体"/>
                <w:sz w:val="24"/>
                <w:szCs w:val="24"/>
                <w:highlight w:val="none"/>
              </w:rPr>
            </w:pPr>
          </w:p>
        </w:tc>
        <w:tc>
          <w:tcPr>
            <w:tcW w:w="1800" w:type="dxa"/>
          </w:tcPr>
          <w:p>
            <w:pPr>
              <w:wordWrap w:val="0"/>
              <w:spacing w:line="560" w:lineRule="exact"/>
              <w:rPr>
                <w:rFonts w:ascii="宋体" w:hAnsi="宋体" w:cs="宋体"/>
                <w:sz w:val="24"/>
                <w:szCs w:val="24"/>
                <w:highlight w:val="none"/>
              </w:rPr>
            </w:pPr>
          </w:p>
        </w:tc>
        <w:tc>
          <w:tcPr>
            <w:tcW w:w="1836" w:type="dxa"/>
            <w:vMerge w:val="continue"/>
          </w:tcPr>
          <w:p>
            <w:pPr>
              <w:wordWrap w:val="0"/>
              <w:spacing w:line="560" w:lineRule="exact"/>
              <w:rPr>
                <w:rFonts w:ascii="宋体" w:hAnsi="宋体" w:cs="宋体"/>
                <w:sz w:val="24"/>
                <w:szCs w:val="24"/>
                <w:highlight w:val="none"/>
              </w:rPr>
            </w:pPr>
          </w:p>
        </w:tc>
        <w:tc>
          <w:tcPr>
            <w:tcW w:w="5462" w:type="dxa"/>
            <w:vMerge w:val="continue"/>
          </w:tcPr>
          <w:p>
            <w:pPr>
              <w:wordWrap w:val="0"/>
              <w:spacing w:line="5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pPr>
              <w:wordWrap w:val="0"/>
              <w:spacing w:line="560" w:lineRule="exact"/>
              <w:rPr>
                <w:rFonts w:ascii="宋体" w:hAnsi="宋体" w:cs="宋体"/>
                <w:sz w:val="24"/>
                <w:szCs w:val="24"/>
                <w:highlight w:val="none"/>
              </w:rPr>
            </w:pPr>
          </w:p>
        </w:tc>
        <w:tc>
          <w:tcPr>
            <w:tcW w:w="1893" w:type="dxa"/>
          </w:tcPr>
          <w:p>
            <w:pPr>
              <w:wordWrap w:val="0"/>
              <w:spacing w:line="560" w:lineRule="exact"/>
              <w:rPr>
                <w:rFonts w:ascii="宋体" w:hAnsi="宋体" w:cs="宋体"/>
                <w:sz w:val="24"/>
                <w:szCs w:val="24"/>
                <w:highlight w:val="none"/>
              </w:rPr>
            </w:pPr>
          </w:p>
        </w:tc>
        <w:tc>
          <w:tcPr>
            <w:tcW w:w="1621" w:type="dxa"/>
          </w:tcPr>
          <w:p>
            <w:pPr>
              <w:wordWrap w:val="0"/>
              <w:spacing w:line="560" w:lineRule="exact"/>
              <w:rPr>
                <w:rFonts w:ascii="宋体" w:hAnsi="宋体" w:cs="宋体"/>
                <w:sz w:val="24"/>
                <w:szCs w:val="24"/>
                <w:highlight w:val="none"/>
              </w:rPr>
            </w:pPr>
          </w:p>
        </w:tc>
        <w:tc>
          <w:tcPr>
            <w:tcW w:w="745" w:type="dxa"/>
            <w:vMerge w:val="continue"/>
          </w:tcPr>
          <w:p>
            <w:pPr>
              <w:wordWrap w:val="0"/>
              <w:spacing w:line="560" w:lineRule="exact"/>
              <w:rPr>
                <w:rFonts w:ascii="宋体" w:hAnsi="宋体" w:cs="宋体"/>
                <w:sz w:val="24"/>
                <w:szCs w:val="24"/>
                <w:highlight w:val="none"/>
              </w:rPr>
            </w:pPr>
          </w:p>
        </w:tc>
        <w:tc>
          <w:tcPr>
            <w:tcW w:w="900" w:type="dxa"/>
          </w:tcPr>
          <w:p>
            <w:pPr>
              <w:wordWrap w:val="0"/>
              <w:spacing w:line="560" w:lineRule="exact"/>
              <w:rPr>
                <w:rFonts w:ascii="宋体" w:hAnsi="宋体" w:cs="宋体"/>
                <w:sz w:val="24"/>
                <w:szCs w:val="24"/>
                <w:highlight w:val="none"/>
              </w:rPr>
            </w:pPr>
          </w:p>
        </w:tc>
        <w:tc>
          <w:tcPr>
            <w:tcW w:w="1800" w:type="dxa"/>
          </w:tcPr>
          <w:p>
            <w:pPr>
              <w:wordWrap w:val="0"/>
              <w:spacing w:line="560" w:lineRule="exact"/>
              <w:rPr>
                <w:rFonts w:ascii="宋体" w:hAnsi="宋体" w:cs="宋体"/>
                <w:sz w:val="24"/>
                <w:szCs w:val="24"/>
                <w:highlight w:val="none"/>
              </w:rPr>
            </w:pPr>
          </w:p>
        </w:tc>
        <w:tc>
          <w:tcPr>
            <w:tcW w:w="1836" w:type="dxa"/>
            <w:vMerge w:val="continue"/>
          </w:tcPr>
          <w:p>
            <w:pPr>
              <w:wordWrap w:val="0"/>
              <w:spacing w:line="560" w:lineRule="exact"/>
              <w:rPr>
                <w:rFonts w:ascii="宋体" w:hAnsi="宋体" w:cs="宋体"/>
                <w:sz w:val="24"/>
                <w:szCs w:val="24"/>
                <w:highlight w:val="none"/>
              </w:rPr>
            </w:pPr>
          </w:p>
        </w:tc>
        <w:tc>
          <w:tcPr>
            <w:tcW w:w="5462" w:type="dxa"/>
            <w:vMerge w:val="continue"/>
          </w:tcPr>
          <w:p>
            <w:pPr>
              <w:wordWrap w:val="0"/>
              <w:spacing w:line="560" w:lineRule="exact"/>
              <w:rPr>
                <w:rFonts w:ascii="宋体" w:hAnsi="宋体" w:cs="宋体"/>
                <w:sz w:val="24"/>
                <w:szCs w:val="24"/>
                <w:highlight w:val="none"/>
              </w:rPr>
            </w:pPr>
          </w:p>
        </w:tc>
      </w:tr>
    </w:tbl>
    <w:p>
      <w:pPr>
        <w:wordWrap w:val="0"/>
        <w:rPr>
          <w:rFonts w:ascii="宋体" w:hAnsi="宋体" w:cs="宋体"/>
          <w:sz w:val="24"/>
          <w:szCs w:val="24"/>
          <w:highlight w:val="none"/>
        </w:rPr>
      </w:pPr>
      <w:r>
        <w:rPr>
          <w:rFonts w:hint="eastAsia" w:ascii="宋体" w:hAnsi="宋体" w:cs="宋体"/>
          <w:sz w:val="24"/>
          <w:szCs w:val="24"/>
          <w:highlight w:val="none"/>
        </w:rPr>
        <w:t xml:space="preserve"> 注：</w:t>
      </w:r>
      <w:r>
        <w:rPr>
          <w:rFonts w:hint="eastAsia" w:ascii="宋体" w:hAnsi="宋体" w:cs="宋体"/>
          <w:b/>
          <w:sz w:val="24"/>
          <w:szCs w:val="24"/>
          <w:highlight w:val="none"/>
        </w:rPr>
        <w:t>1.该表格适用于以有效投标价为基础计算并根据抽取的计算评标基准价的下浮率下浮后确定评标基准价。</w:t>
      </w:r>
    </w:p>
    <w:p>
      <w:pPr>
        <w:wordWrap w:val="0"/>
        <w:ind w:firstLine="600" w:firstLineChars="25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b/>
          <w:sz w:val="24"/>
          <w:szCs w:val="24"/>
          <w:highlight w:val="none"/>
        </w:rPr>
        <w:t>使用此表时，对于已经确定为无效报价的，不得在本计算表中列出。投标人的序号按开标时的顺序从小到大排列。</w:t>
      </w:r>
    </w:p>
    <w:p>
      <w:pPr>
        <w:wordWrap w:val="0"/>
        <w:rPr>
          <w:rFonts w:ascii="宋体" w:hAnsi="宋体" w:cs="宋体"/>
          <w:sz w:val="24"/>
          <w:szCs w:val="24"/>
          <w:highlight w:val="none"/>
        </w:rPr>
      </w:pPr>
      <w:r>
        <w:rPr>
          <w:rFonts w:hint="eastAsia" w:ascii="宋体" w:hAnsi="宋体" w:cs="宋体"/>
          <w:sz w:val="24"/>
          <w:szCs w:val="24"/>
          <w:highlight w:val="none"/>
        </w:rPr>
        <w:t>评标委员会全体评委签名：</w:t>
      </w:r>
    </w:p>
    <w:p>
      <w:pPr>
        <w:wordWrap w:val="0"/>
        <w:jc w:val="right"/>
        <w:rPr>
          <w:rFonts w:ascii="宋体" w:hAnsi="宋体" w:cs="宋体"/>
          <w:kern w:val="0"/>
          <w:sz w:val="24"/>
          <w:szCs w:val="24"/>
          <w:highlight w:val="none"/>
        </w:rPr>
      </w:pPr>
      <w:r>
        <w:rPr>
          <w:rFonts w:hint="eastAsia" w:ascii="宋体" w:hAnsi="宋体" w:cs="宋体"/>
          <w:kern w:val="0"/>
          <w:sz w:val="24"/>
          <w:szCs w:val="24"/>
          <w:highlight w:val="none"/>
        </w:rPr>
        <w:t>日期：年月日</w:t>
      </w:r>
    </w:p>
    <w:p>
      <w:pPr>
        <w:pStyle w:val="2"/>
        <w:wordWrap w:val="0"/>
        <w:rPr>
          <w:rFonts w:ascii="宋体" w:hAnsi="宋体" w:cs="宋体"/>
          <w:color w:val="auto"/>
          <w:szCs w:val="24"/>
          <w:highlight w:val="none"/>
        </w:rPr>
        <w:sectPr>
          <w:pgSz w:w="16838" w:h="11905" w:orient="landscape"/>
          <w:pgMar w:top="1247" w:right="1247" w:bottom="567" w:left="1247" w:header="851" w:footer="992" w:gutter="0"/>
          <w:cols w:space="720" w:num="1"/>
          <w:docGrid w:linePitch="312" w:charSpace="0"/>
        </w:sectPr>
      </w:pPr>
    </w:p>
    <w:p>
      <w:pPr>
        <w:pStyle w:val="2"/>
        <w:wordWrap w:val="0"/>
        <w:rPr>
          <w:rFonts w:ascii="宋体" w:hAnsi="宋体"/>
          <w:color w:val="auto"/>
          <w:highlight w:val="none"/>
        </w:rPr>
      </w:pPr>
    </w:p>
    <w:p>
      <w:pPr>
        <w:wordWrap w:val="0"/>
        <w:spacing w:line="360" w:lineRule="auto"/>
        <w:ind w:firstLine="723" w:firstLineChars="200"/>
        <w:jc w:val="center"/>
        <w:rPr>
          <w:rFonts w:ascii="宋体" w:hAnsi="宋体"/>
          <w:b/>
          <w:strike/>
          <w:sz w:val="36"/>
          <w:szCs w:val="36"/>
          <w:highlight w:val="none"/>
        </w:rPr>
      </w:pPr>
      <w:bookmarkStart w:id="251" w:name="_Toc262229174"/>
      <w:r>
        <w:rPr>
          <w:rFonts w:hint="eastAsia" w:ascii="宋体" w:hAnsi="宋体"/>
          <w:b/>
          <w:strike/>
          <w:sz w:val="36"/>
          <w:szCs w:val="36"/>
          <w:highlight w:val="none"/>
        </w:rPr>
        <w:t>诚信得分表</w:t>
      </w:r>
    </w:p>
    <w:p>
      <w:pPr>
        <w:wordWrap w:val="0"/>
        <w:spacing w:line="360" w:lineRule="auto"/>
        <w:ind w:firstLine="422" w:firstLineChars="200"/>
        <w:rPr>
          <w:rFonts w:ascii="宋体" w:hAnsi="宋体"/>
          <w:b/>
          <w:strike/>
          <w:szCs w:val="21"/>
          <w:highlight w:val="none"/>
        </w:rPr>
      </w:pPr>
      <w:r>
        <w:rPr>
          <w:rFonts w:hint="eastAsia" w:ascii="宋体" w:hAnsi="宋体"/>
          <w:b/>
          <w:strike/>
          <w:szCs w:val="21"/>
          <w:highlight w:val="none"/>
        </w:rPr>
        <w:t>工程名称：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5029"/>
        <w:gridCol w:w="1620"/>
        <w:gridCol w:w="153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序号</w:t>
            </w:r>
          </w:p>
        </w:tc>
        <w:tc>
          <w:tcPr>
            <w:tcW w:w="5029"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投标单位</w:t>
            </w:r>
          </w:p>
        </w:tc>
        <w:tc>
          <w:tcPr>
            <w:tcW w:w="1620"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诚信类别</w:t>
            </w:r>
          </w:p>
        </w:tc>
        <w:tc>
          <w:tcPr>
            <w:tcW w:w="1537"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水务诚信综合评价分</w:t>
            </w:r>
          </w:p>
        </w:tc>
        <w:tc>
          <w:tcPr>
            <w:tcW w:w="1537"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诚信评价分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1</w:t>
            </w:r>
          </w:p>
        </w:tc>
        <w:tc>
          <w:tcPr>
            <w:tcW w:w="5029" w:type="dxa"/>
          </w:tcPr>
          <w:p>
            <w:pPr>
              <w:wordWrap w:val="0"/>
              <w:rPr>
                <w:rFonts w:ascii="宋体" w:hAnsi="宋体" w:cs="宋体"/>
                <w:strike/>
                <w:szCs w:val="21"/>
                <w:highlight w:val="none"/>
              </w:rPr>
            </w:pPr>
          </w:p>
        </w:tc>
        <w:tc>
          <w:tcPr>
            <w:tcW w:w="1620" w:type="dxa"/>
            <w:vMerge w:val="restart"/>
            <w:vAlign w:val="center"/>
          </w:tcPr>
          <w:p>
            <w:pPr>
              <w:wordWrap w:val="0"/>
              <w:rPr>
                <w:rFonts w:ascii="宋体" w:hAnsi="宋体" w:cs="宋体"/>
                <w:strike/>
                <w:szCs w:val="21"/>
                <w:highlight w:val="none"/>
              </w:rPr>
            </w:pPr>
            <w:r>
              <w:rPr>
                <w:rFonts w:hint="eastAsia" w:ascii="宋体" w:hAnsi="宋体" w:cs="宋体"/>
                <w:strike/>
                <w:szCs w:val="21"/>
                <w:highlight w:val="none"/>
              </w:rPr>
              <w:t>施工-给排水</w:t>
            </w:r>
          </w:p>
        </w:tc>
        <w:tc>
          <w:tcPr>
            <w:tcW w:w="1537" w:type="dxa"/>
          </w:tcPr>
          <w:p>
            <w:pPr>
              <w:wordWrap w:val="0"/>
              <w:jc w:val="center"/>
              <w:rPr>
                <w:rFonts w:ascii="宋体" w:hAnsi="宋体" w:cs="宋体"/>
                <w:strike/>
                <w:szCs w:val="21"/>
                <w:highlight w:val="none"/>
              </w:rPr>
            </w:pPr>
          </w:p>
        </w:tc>
        <w:tc>
          <w:tcPr>
            <w:tcW w:w="1537" w:type="dxa"/>
          </w:tcPr>
          <w:p>
            <w:pPr>
              <w:wordWrap w:val="0"/>
              <w:jc w:val="center"/>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2</w:t>
            </w:r>
          </w:p>
        </w:tc>
        <w:tc>
          <w:tcPr>
            <w:tcW w:w="5029" w:type="dxa"/>
          </w:tcPr>
          <w:p>
            <w:pPr>
              <w:wordWrap w:val="0"/>
              <w:rPr>
                <w:rFonts w:ascii="宋体" w:hAnsi="宋体" w:cs="宋体"/>
                <w:strike/>
                <w:szCs w:val="21"/>
                <w:highlight w:val="none"/>
              </w:rPr>
            </w:pPr>
          </w:p>
        </w:tc>
        <w:tc>
          <w:tcPr>
            <w:tcW w:w="1620" w:type="dxa"/>
            <w:vMerge w:val="continue"/>
          </w:tcPr>
          <w:p>
            <w:pPr>
              <w:wordWrap w:val="0"/>
              <w:jc w:val="center"/>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3</w:t>
            </w:r>
          </w:p>
        </w:tc>
        <w:tc>
          <w:tcPr>
            <w:tcW w:w="5029" w:type="dxa"/>
          </w:tcPr>
          <w:p>
            <w:pPr>
              <w:wordWrap w:val="0"/>
              <w:rPr>
                <w:rFonts w:ascii="宋体" w:hAnsi="宋体" w:cs="宋体"/>
                <w:strike/>
                <w:szCs w:val="21"/>
                <w:highlight w:val="none"/>
              </w:rPr>
            </w:pPr>
          </w:p>
        </w:tc>
        <w:tc>
          <w:tcPr>
            <w:tcW w:w="1620" w:type="dxa"/>
            <w:vMerge w:val="continue"/>
          </w:tcPr>
          <w:p>
            <w:pPr>
              <w:wordWrap w:val="0"/>
              <w:jc w:val="center"/>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4</w:t>
            </w:r>
          </w:p>
        </w:tc>
        <w:tc>
          <w:tcPr>
            <w:tcW w:w="5029" w:type="dxa"/>
          </w:tcPr>
          <w:p>
            <w:pPr>
              <w:wordWrap w:val="0"/>
              <w:rPr>
                <w:rFonts w:ascii="宋体" w:hAnsi="宋体" w:cs="宋体"/>
                <w:strike/>
                <w:szCs w:val="21"/>
                <w:highlight w:val="none"/>
              </w:rPr>
            </w:pPr>
          </w:p>
        </w:tc>
        <w:tc>
          <w:tcPr>
            <w:tcW w:w="1620" w:type="dxa"/>
            <w:vMerge w:val="continue"/>
          </w:tcPr>
          <w:p>
            <w:pPr>
              <w:wordWrap w:val="0"/>
              <w:jc w:val="center"/>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5</w:t>
            </w:r>
          </w:p>
        </w:tc>
        <w:tc>
          <w:tcPr>
            <w:tcW w:w="5029" w:type="dxa"/>
          </w:tcPr>
          <w:p>
            <w:pPr>
              <w:wordWrap w:val="0"/>
              <w:rPr>
                <w:rFonts w:ascii="宋体" w:hAnsi="宋体" w:cs="宋体"/>
                <w:strike/>
                <w:szCs w:val="21"/>
                <w:highlight w:val="none"/>
              </w:rPr>
            </w:pPr>
          </w:p>
        </w:tc>
        <w:tc>
          <w:tcPr>
            <w:tcW w:w="1620" w:type="dxa"/>
            <w:vMerge w:val="continue"/>
          </w:tcPr>
          <w:p>
            <w:pPr>
              <w:wordWrap w:val="0"/>
              <w:jc w:val="center"/>
              <w:rPr>
                <w:rFonts w:ascii="宋体" w:hAnsi="宋体" w:cs="宋体"/>
                <w:strike/>
                <w:szCs w:val="21"/>
                <w:highlight w:val="none"/>
              </w:rPr>
            </w:pPr>
          </w:p>
        </w:tc>
        <w:tc>
          <w:tcPr>
            <w:tcW w:w="1537" w:type="dxa"/>
          </w:tcPr>
          <w:p>
            <w:pPr>
              <w:wordWrap w:val="0"/>
              <w:jc w:val="center"/>
              <w:rPr>
                <w:rFonts w:ascii="宋体" w:hAnsi="宋体" w:cs="宋体"/>
                <w:strike/>
                <w:szCs w:val="21"/>
                <w:highlight w:val="none"/>
              </w:rPr>
            </w:pPr>
          </w:p>
        </w:tc>
        <w:tc>
          <w:tcPr>
            <w:tcW w:w="1537" w:type="dxa"/>
          </w:tcPr>
          <w:p>
            <w:pPr>
              <w:widowControl/>
              <w:wordWrap w:val="0"/>
              <w:jc w:val="left"/>
              <w:rPr>
                <w:rFonts w:ascii="宋体" w:hAnsi="宋体" w:cs="宋体"/>
                <w:strike/>
                <w:szCs w:val="21"/>
                <w:highlight w:val="none"/>
              </w:rPr>
            </w:pPr>
          </w:p>
          <w:p>
            <w:pPr>
              <w:wordWrap w:val="0"/>
              <w:jc w:val="center"/>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6</w:t>
            </w: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7</w:t>
            </w: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8</w:t>
            </w: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r>
              <w:rPr>
                <w:rFonts w:hint="eastAsia" w:ascii="宋体" w:hAnsi="宋体" w:cs="宋体"/>
                <w:strike/>
                <w:szCs w:val="21"/>
                <w:highlight w:val="none"/>
              </w:rPr>
              <w:t>9</w:t>
            </w: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6" w:type="dxa"/>
            <w:vAlign w:val="center"/>
          </w:tcPr>
          <w:p>
            <w:pPr>
              <w:wordWrap w:val="0"/>
              <w:jc w:val="center"/>
              <w:rPr>
                <w:rFonts w:ascii="宋体" w:hAnsi="宋体" w:cs="宋体"/>
                <w:strike/>
                <w:szCs w:val="21"/>
                <w:highlight w:val="none"/>
              </w:rPr>
            </w:pPr>
          </w:p>
        </w:tc>
        <w:tc>
          <w:tcPr>
            <w:tcW w:w="5029" w:type="dxa"/>
          </w:tcPr>
          <w:p>
            <w:pPr>
              <w:wordWrap w:val="0"/>
              <w:rPr>
                <w:rFonts w:ascii="宋体" w:hAnsi="宋体" w:cs="宋体"/>
                <w:strike/>
                <w:szCs w:val="21"/>
                <w:highlight w:val="none"/>
              </w:rPr>
            </w:pPr>
          </w:p>
        </w:tc>
        <w:tc>
          <w:tcPr>
            <w:tcW w:w="1620" w:type="dxa"/>
            <w:vMerge w:val="continue"/>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c>
          <w:tcPr>
            <w:tcW w:w="1537" w:type="dxa"/>
          </w:tcPr>
          <w:p>
            <w:pPr>
              <w:wordWrap w:val="0"/>
              <w:rPr>
                <w:rFonts w:ascii="宋体" w:hAnsi="宋体" w:cs="宋体"/>
                <w:strike/>
                <w:szCs w:val="21"/>
                <w:highlight w:val="none"/>
              </w:rPr>
            </w:pPr>
          </w:p>
        </w:tc>
      </w:tr>
    </w:tbl>
    <w:p>
      <w:pPr>
        <w:wordWrap w:val="0"/>
        <w:spacing w:line="360" w:lineRule="auto"/>
        <w:ind w:firstLine="420" w:firstLineChars="200"/>
        <w:rPr>
          <w:rFonts w:ascii="宋体" w:hAnsi="宋体"/>
          <w:strike/>
          <w:szCs w:val="21"/>
          <w:highlight w:val="none"/>
        </w:rPr>
      </w:pPr>
    </w:p>
    <w:p>
      <w:pPr>
        <w:wordWrap w:val="0"/>
        <w:spacing w:line="360" w:lineRule="auto"/>
        <w:ind w:firstLine="420" w:firstLineChars="200"/>
        <w:rPr>
          <w:rFonts w:ascii="宋体" w:hAnsi="宋体"/>
          <w:b/>
          <w:strike/>
          <w:sz w:val="24"/>
          <w:szCs w:val="24"/>
          <w:highlight w:val="none"/>
        </w:rPr>
      </w:pPr>
      <w:r>
        <w:rPr>
          <w:rFonts w:hint="eastAsia" w:ascii="宋体" w:hAnsi="宋体"/>
          <w:strike/>
          <w:szCs w:val="21"/>
          <w:highlight w:val="none"/>
        </w:rPr>
        <w:t>评标委员会全体评委签名：</w:t>
      </w:r>
      <w:r>
        <w:rPr>
          <w:rFonts w:ascii="宋体" w:hAnsi="宋体"/>
          <w:strike/>
          <w:szCs w:val="21"/>
          <w:highlight w:val="none"/>
        </w:rPr>
        <w:t xml:space="preserve">                              </w:t>
      </w:r>
      <w:r>
        <w:rPr>
          <w:rFonts w:hint="eastAsia" w:ascii="宋体" w:hAnsi="宋体"/>
          <w:strike/>
          <w:kern w:val="0"/>
          <w:highlight w:val="none"/>
        </w:rPr>
        <w:t>日期：</w:t>
      </w:r>
      <w:r>
        <w:rPr>
          <w:rFonts w:ascii="宋体" w:hAnsi="宋体"/>
          <w:strike/>
          <w:kern w:val="0"/>
          <w:highlight w:val="none"/>
        </w:rPr>
        <w:t xml:space="preserve">   </w:t>
      </w:r>
      <w:r>
        <w:rPr>
          <w:rFonts w:hint="eastAsia" w:ascii="宋体" w:hAnsi="宋体"/>
          <w:strike/>
          <w:kern w:val="0"/>
          <w:highlight w:val="none"/>
        </w:rPr>
        <w:t>年</w:t>
      </w:r>
      <w:r>
        <w:rPr>
          <w:rFonts w:ascii="宋体" w:hAnsi="宋体"/>
          <w:strike/>
          <w:kern w:val="0"/>
          <w:highlight w:val="none"/>
        </w:rPr>
        <w:t xml:space="preserve">    </w:t>
      </w:r>
      <w:r>
        <w:rPr>
          <w:rFonts w:hint="eastAsia" w:ascii="宋体" w:hAnsi="宋体"/>
          <w:strike/>
          <w:kern w:val="0"/>
          <w:highlight w:val="none"/>
        </w:rPr>
        <w:t>月</w:t>
      </w:r>
      <w:r>
        <w:rPr>
          <w:rFonts w:ascii="宋体" w:hAnsi="宋体"/>
          <w:strike/>
          <w:kern w:val="0"/>
          <w:highlight w:val="none"/>
        </w:rPr>
        <w:t xml:space="preserve">    </w:t>
      </w:r>
      <w:r>
        <w:rPr>
          <w:rFonts w:hint="eastAsia" w:ascii="宋体" w:hAnsi="宋体"/>
          <w:strike/>
          <w:kern w:val="0"/>
          <w:highlight w:val="none"/>
        </w:rPr>
        <w:t>日</w:t>
      </w:r>
    </w:p>
    <w:p>
      <w:pPr>
        <w:wordWrap w:val="0"/>
        <w:spacing w:line="360" w:lineRule="auto"/>
        <w:jc w:val="center"/>
        <w:rPr>
          <w:rFonts w:ascii="宋体" w:hAnsi="宋体"/>
          <w:b/>
          <w:sz w:val="36"/>
          <w:szCs w:val="36"/>
          <w:highlight w:val="none"/>
        </w:rPr>
      </w:pPr>
    </w:p>
    <w:p>
      <w:pPr>
        <w:pageBreakBefore/>
        <w:wordWrap w:val="0"/>
        <w:spacing w:line="360" w:lineRule="auto"/>
        <w:ind w:firstLine="723" w:firstLineChars="200"/>
        <w:jc w:val="center"/>
        <w:rPr>
          <w:rFonts w:ascii="宋体" w:hAnsi="宋体"/>
          <w:b/>
          <w:sz w:val="36"/>
          <w:szCs w:val="36"/>
          <w:highlight w:val="none"/>
        </w:rPr>
      </w:pPr>
      <w:r>
        <w:rPr>
          <w:rFonts w:hint="eastAsia" w:ascii="宋体" w:hAnsi="宋体"/>
          <w:b/>
          <w:sz w:val="36"/>
          <w:szCs w:val="36"/>
          <w:highlight w:val="none"/>
        </w:rPr>
        <w:t>总得分及排序表</w:t>
      </w:r>
    </w:p>
    <w:p>
      <w:pPr>
        <w:wordWrap w:val="0"/>
        <w:spacing w:line="360" w:lineRule="auto"/>
        <w:ind w:firstLine="422" w:firstLineChars="200"/>
        <w:rPr>
          <w:rFonts w:ascii="宋体" w:hAnsi="宋体"/>
          <w:b/>
          <w:szCs w:val="21"/>
          <w:highlight w:val="none"/>
        </w:rPr>
      </w:pPr>
      <w:r>
        <w:rPr>
          <w:rFonts w:hint="eastAsia" w:ascii="宋体" w:hAnsi="宋体"/>
          <w:b/>
          <w:szCs w:val="21"/>
          <w:highlight w:val="none"/>
        </w:rPr>
        <w:t>工程名称：</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564"/>
        <w:gridCol w:w="1159"/>
        <w:gridCol w:w="1227"/>
        <w:gridCol w:w="790"/>
        <w:gridCol w:w="809"/>
        <w:gridCol w:w="716"/>
        <w:gridCol w:w="716"/>
        <w:gridCol w:w="716"/>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wordWrap w:val="0"/>
              <w:jc w:val="center"/>
              <w:rPr>
                <w:rFonts w:ascii="宋体" w:hAnsi="宋体" w:cs="宋体"/>
                <w:szCs w:val="21"/>
                <w:highlight w:val="none"/>
              </w:rPr>
            </w:pPr>
            <w:r>
              <w:rPr>
                <w:rFonts w:hint="eastAsia" w:ascii="宋体" w:hAnsi="宋体" w:cs="宋体"/>
                <w:szCs w:val="21"/>
                <w:highlight w:val="none"/>
              </w:rPr>
              <w:t>序号</w:t>
            </w:r>
          </w:p>
        </w:tc>
        <w:tc>
          <w:tcPr>
            <w:tcW w:w="812" w:type="pct"/>
            <w:vAlign w:val="center"/>
          </w:tcPr>
          <w:p>
            <w:pPr>
              <w:wordWrap w:val="0"/>
              <w:jc w:val="center"/>
              <w:rPr>
                <w:rFonts w:ascii="宋体" w:hAnsi="宋体" w:cs="宋体"/>
                <w:szCs w:val="21"/>
                <w:highlight w:val="none"/>
              </w:rPr>
            </w:pPr>
            <w:r>
              <w:rPr>
                <w:rFonts w:hint="eastAsia" w:ascii="宋体" w:hAnsi="宋体" w:cs="宋体"/>
                <w:szCs w:val="21"/>
                <w:highlight w:val="none"/>
              </w:rPr>
              <w:t>投标人名称</w:t>
            </w:r>
          </w:p>
        </w:tc>
        <w:tc>
          <w:tcPr>
            <w:tcW w:w="602" w:type="pct"/>
            <w:vAlign w:val="center"/>
          </w:tcPr>
          <w:p>
            <w:pPr>
              <w:wordWrap w:val="0"/>
              <w:jc w:val="center"/>
              <w:rPr>
                <w:rFonts w:ascii="宋体" w:hAnsi="宋体" w:cs="宋体"/>
                <w:szCs w:val="21"/>
                <w:highlight w:val="none"/>
              </w:rPr>
            </w:pPr>
            <w:r>
              <w:rPr>
                <w:rFonts w:hint="eastAsia" w:ascii="宋体" w:hAnsi="宋体" w:cs="宋体"/>
                <w:szCs w:val="21"/>
                <w:highlight w:val="none"/>
              </w:rPr>
              <w:t>投标价C（元）</w:t>
            </w:r>
          </w:p>
        </w:tc>
        <w:tc>
          <w:tcPr>
            <w:tcW w:w="637" w:type="pct"/>
          </w:tcPr>
          <w:p>
            <w:pPr>
              <w:wordWrap w:val="0"/>
              <w:jc w:val="center"/>
              <w:rPr>
                <w:rFonts w:ascii="宋体" w:hAnsi="宋体" w:cs="宋体"/>
                <w:szCs w:val="21"/>
                <w:highlight w:val="none"/>
              </w:rPr>
            </w:pPr>
            <w:r>
              <w:rPr>
                <w:rFonts w:hint="eastAsia" w:ascii="宋体" w:hAnsi="宋体" w:cs="宋体"/>
                <w:szCs w:val="21"/>
                <w:highlight w:val="none"/>
              </w:rPr>
              <w:t>评标基准价（元）</w:t>
            </w:r>
          </w:p>
        </w:tc>
        <w:tc>
          <w:tcPr>
            <w:tcW w:w="410" w:type="pct"/>
            <w:vAlign w:val="center"/>
          </w:tcPr>
          <w:p>
            <w:pPr>
              <w:wordWrap w:val="0"/>
              <w:jc w:val="center"/>
              <w:rPr>
                <w:rFonts w:ascii="宋体" w:hAnsi="宋体" w:cs="宋体"/>
                <w:szCs w:val="21"/>
                <w:highlight w:val="none"/>
              </w:rPr>
            </w:pPr>
            <w:r>
              <w:rPr>
                <w:rFonts w:hint="eastAsia" w:ascii="宋体" w:hAnsi="宋体" w:cs="宋体"/>
                <w:szCs w:val="21"/>
                <w:highlight w:val="none"/>
              </w:rPr>
              <w:t>偏差</w:t>
            </w:r>
          </w:p>
        </w:tc>
        <w:tc>
          <w:tcPr>
            <w:tcW w:w="420" w:type="pct"/>
          </w:tcPr>
          <w:p>
            <w:pPr>
              <w:wordWrap w:val="0"/>
              <w:jc w:val="center"/>
              <w:rPr>
                <w:rFonts w:ascii="宋体" w:hAnsi="宋体" w:cs="宋体"/>
                <w:szCs w:val="21"/>
                <w:highlight w:val="none"/>
              </w:rPr>
            </w:pPr>
            <w:r>
              <w:rPr>
                <w:rFonts w:hint="eastAsia" w:ascii="宋体" w:hAnsi="宋体" w:cs="宋体"/>
                <w:szCs w:val="21"/>
                <w:highlight w:val="none"/>
              </w:rPr>
              <w:t>投标报价分</w:t>
            </w:r>
          </w:p>
        </w:tc>
        <w:tc>
          <w:tcPr>
            <w:tcW w:w="372" w:type="pct"/>
          </w:tcPr>
          <w:p>
            <w:pPr>
              <w:wordWrap w:val="0"/>
              <w:jc w:val="center"/>
              <w:rPr>
                <w:rFonts w:ascii="宋体" w:hAnsi="宋体" w:cs="宋体"/>
                <w:strike/>
                <w:szCs w:val="21"/>
                <w:highlight w:val="none"/>
              </w:rPr>
            </w:pPr>
            <w:r>
              <w:rPr>
                <w:rFonts w:hint="eastAsia" w:ascii="宋体" w:hAnsi="宋体" w:cs="宋体"/>
                <w:strike/>
                <w:szCs w:val="21"/>
                <w:highlight w:val="none"/>
              </w:rPr>
              <w:t>技术部分得分</w:t>
            </w:r>
          </w:p>
        </w:tc>
        <w:tc>
          <w:tcPr>
            <w:tcW w:w="372" w:type="pct"/>
          </w:tcPr>
          <w:p>
            <w:pPr>
              <w:wordWrap w:val="0"/>
              <w:jc w:val="center"/>
              <w:rPr>
                <w:rFonts w:ascii="宋体" w:hAnsi="宋体" w:cs="宋体"/>
                <w:szCs w:val="21"/>
                <w:highlight w:val="none"/>
              </w:rPr>
            </w:pPr>
            <w:r>
              <w:rPr>
                <w:rFonts w:hint="eastAsia" w:ascii="宋体" w:hAnsi="宋体" w:cs="宋体"/>
                <w:szCs w:val="21"/>
                <w:highlight w:val="none"/>
              </w:rPr>
              <w:t>商务部分得分</w:t>
            </w:r>
          </w:p>
        </w:tc>
        <w:tc>
          <w:tcPr>
            <w:tcW w:w="372" w:type="pct"/>
          </w:tcPr>
          <w:p>
            <w:pPr>
              <w:wordWrap w:val="0"/>
              <w:jc w:val="center"/>
              <w:rPr>
                <w:rFonts w:ascii="宋体" w:hAnsi="宋体" w:cs="宋体"/>
                <w:szCs w:val="21"/>
                <w:highlight w:val="none"/>
              </w:rPr>
            </w:pPr>
            <w:r>
              <w:rPr>
                <w:rFonts w:hint="eastAsia" w:ascii="宋体" w:hAnsi="宋体" w:cs="宋体"/>
                <w:strike/>
                <w:szCs w:val="21"/>
                <w:highlight w:val="none"/>
              </w:rPr>
              <w:t>诚信得分</w:t>
            </w:r>
          </w:p>
        </w:tc>
        <w:tc>
          <w:tcPr>
            <w:tcW w:w="372" w:type="pct"/>
          </w:tcPr>
          <w:p>
            <w:pPr>
              <w:wordWrap w:val="0"/>
              <w:jc w:val="center"/>
              <w:rPr>
                <w:rFonts w:ascii="宋体" w:hAnsi="宋体" w:cs="宋体"/>
                <w:szCs w:val="21"/>
                <w:highlight w:val="none"/>
              </w:rPr>
            </w:pPr>
            <w:r>
              <w:rPr>
                <w:rFonts w:hint="eastAsia" w:ascii="宋体" w:hAnsi="宋体" w:cs="宋体"/>
                <w:szCs w:val="21"/>
                <w:highlight w:val="none"/>
              </w:rPr>
              <w:t>总得分</w:t>
            </w:r>
          </w:p>
        </w:tc>
        <w:tc>
          <w:tcPr>
            <w:tcW w:w="372" w:type="pct"/>
            <w:vAlign w:val="center"/>
          </w:tcPr>
          <w:p>
            <w:pPr>
              <w:wordWrap w:val="0"/>
              <w:jc w:val="center"/>
              <w:rPr>
                <w:rFonts w:ascii="宋体" w:hAnsi="宋体" w:cs="宋体"/>
                <w:szCs w:val="21"/>
                <w:highlight w:val="none"/>
              </w:rPr>
            </w:pPr>
            <w:r>
              <w:rPr>
                <w:rFonts w:hint="eastAsia" w:ascii="宋体" w:hAnsi="宋体" w:cs="宋体"/>
                <w:szCs w:val="21"/>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restart"/>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tcPr>
          <w:p>
            <w:pPr>
              <w:wordWrap w:val="0"/>
              <w:spacing w:line="560" w:lineRule="exact"/>
              <w:rPr>
                <w:rFonts w:ascii="宋体" w:hAnsi="宋体" w:cs="宋体"/>
                <w:szCs w:val="21"/>
                <w:highlight w:val="none"/>
              </w:rPr>
            </w:pPr>
          </w:p>
        </w:tc>
        <w:tc>
          <w:tcPr>
            <w:tcW w:w="812" w:type="pct"/>
          </w:tcPr>
          <w:p>
            <w:pPr>
              <w:wordWrap w:val="0"/>
              <w:spacing w:line="560" w:lineRule="exact"/>
              <w:rPr>
                <w:rFonts w:ascii="宋体" w:hAnsi="宋体" w:cs="宋体"/>
                <w:szCs w:val="21"/>
                <w:highlight w:val="none"/>
              </w:rPr>
            </w:pPr>
          </w:p>
        </w:tc>
        <w:tc>
          <w:tcPr>
            <w:tcW w:w="602" w:type="pct"/>
          </w:tcPr>
          <w:p>
            <w:pPr>
              <w:wordWrap w:val="0"/>
              <w:spacing w:line="560" w:lineRule="exact"/>
              <w:rPr>
                <w:rFonts w:ascii="宋体" w:hAnsi="宋体" w:cs="宋体"/>
                <w:szCs w:val="21"/>
                <w:highlight w:val="none"/>
              </w:rPr>
            </w:pPr>
          </w:p>
        </w:tc>
        <w:tc>
          <w:tcPr>
            <w:tcW w:w="637" w:type="pct"/>
            <w:vMerge w:val="continue"/>
          </w:tcPr>
          <w:p>
            <w:pPr>
              <w:wordWrap w:val="0"/>
              <w:spacing w:line="560" w:lineRule="exact"/>
              <w:rPr>
                <w:rFonts w:ascii="宋体" w:hAnsi="宋体" w:cs="宋体"/>
                <w:szCs w:val="21"/>
                <w:highlight w:val="none"/>
              </w:rPr>
            </w:pPr>
          </w:p>
        </w:tc>
        <w:tc>
          <w:tcPr>
            <w:tcW w:w="410" w:type="pct"/>
          </w:tcPr>
          <w:p>
            <w:pPr>
              <w:wordWrap w:val="0"/>
              <w:spacing w:line="560" w:lineRule="exact"/>
              <w:rPr>
                <w:rFonts w:ascii="宋体" w:hAnsi="宋体" w:cs="宋体"/>
                <w:szCs w:val="21"/>
                <w:highlight w:val="none"/>
              </w:rPr>
            </w:pPr>
          </w:p>
        </w:tc>
        <w:tc>
          <w:tcPr>
            <w:tcW w:w="420"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c>
          <w:tcPr>
            <w:tcW w:w="372" w:type="pct"/>
          </w:tcPr>
          <w:p>
            <w:pPr>
              <w:wordWrap w:val="0"/>
              <w:spacing w:line="560" w:lineRule="exact"/>
              <w:rPr>
                <w:rFonts w:ascii="宋体" w:hAnsi="宋体" w:cs="宋体"/>
                <w:szCs w:val="21"/>
                <w:highlight w:val="none"/>
              </w:rPr>
            </w:pPr>
          </w:p>
        </w:tc>
      </w:tr>
    </w:tbl>
    <w:p>
      <w:pPr>
        <w:wordWrap w:val="0"/>
        <w:ind w:firstLine="420" w:firstLineChars="200"/>
        <w:rPr>
          <w:rFonts w:ascii="宋体" w:hAnsi="宋体"/>
          <w:szCs w:val="21"/>
          <w:highlight w:val="none"/>
        </w:rPr>
      </w:pPr>
    </w:p>
    <w:p>
      <w:pPr>
        <w:wordWrap w:val="0"/>
        <w:ind w:firstLine="420" w:firstLineChars="200"/>
        <w:rPr>
          <w:rFonts w:ascii="宋体" w:hAnsi="宋体"/>
          <w:szCs w:val="21"/>
          <w:highlight w:val="none"/>
        </w:rPr>
      </w:pPr>
      <w:r>
        <w:rPr>
          <w:rFonts w:hint="eastAsia" w:ascii="宋体" w:hAnsi="宋体"/>
          <w:szCs w:val="21"/>
          <w:highlight w:val="none"/>
        </w:rPr>
        <w:t>评标委员会全体评委签名：</w:t>
      </w:r>
      <w:r>
        <w:rPr>
          <w:rFonts w:ascii="宋体" w:hAnsi="宋体"/>
          <w:szCs w:val="21"/>
          <w:highlight w:val="none"/>
        </w:rPr>
        <w:t xml:space="preserve">                                </w:t>
      </w:r>
      <w:r>
        <w:rPr>
          <w:rFonts w:hint="eastAsia" w:ascii="宋体" w:hAnsi="宋体"/>
          <w:kern w:val="0"/>
          <w:highlight w:val="none"/>
        </w:rPr>
        <w:t>日期：</w:t>
      </w:r>
      <w:r>
        <w:rPr>
          <w:rFonts w:ascii="宋体" w:hAnsi="宋体"/>
          <w:kern w:val="0"/>
          <w:highlight w:val="none"/>
        </w:rPr>
        <w:t xml:space="preserve">   </w:t>
      </w:r>
      <w:r>
        <w:rPr>
          <w:rFonts w:hint="eastAsia" w:ascii="宋体" w:hAnsi="宋体"/>
          <w:kern w:val="0"/>
          <w:highlight w:val="none"/>
        </w:rPr>
        <w:t>年</w:t>
      </w:r>
      <w:r>
        <w:rPr>
          <w:rFonts w:ascii="宋体" w:hAnsi="宋体"/>
          <w:kern w:val="0"/>
          <w:highlight w:val="none"/>
        </w:rPr>
        <w:t xml:space="preserve">   </w:t>
      </w:r>
      <w:r>
        <w:rPr>
          <w:rFonts w:hint="eastAsia" w:ascii="宋体" w:hAnsi="宋体"/>
          <w:kern w:val="0"/>
          <w:highlight w:val="none"/>
        </w:rPr>
        <w:t>月</w:t>
      </w:r>
      <w:r>
        <w:rPr>
          <w:rFonts w:ascii="宋体" w:hAnsi="宋体"/>
          <w:kern w:val="0"/>
          <w:highlight w:val="none"/>
        </w:rPr>
        <w:t xml:space="preserve">   </w:t>
      </w:r>
      <w:r>
        <w:rPr>
          <w:rFonts w:hint="eastAsia" w:ascii="宋体" w:hAnsi="宋体"/>
          <w:kern w:val="0"/>
          <w:highlight w:val="none"/>
        </w:rPr>
        <w:t>日</w:t>
      </w:r>
    </w:p>
    <w:p>
      <w:pPr>
        <w:wordWrap w:val="0"/>
        <w:rPr>
          <w:rFonts w:ascii="宋体" w:hAnsi="宋体"/>
          <w:highlight w:val="none"/>
        </w:rPr>
      </w:pPr>
    </w:p>
    <w:p>
      <w:pPr>
        <w:wordWrap w:val="0"/>
        <w:rPr>
          <w:rFonts w:ascii="宋体" w:hAnsi="宋体"/>
          <w:sz w:val="32"/>
          <w:szCs w:val="27"/>
          <w:highlight w:val="none"/>
        </w:rPr>
      </w:pPr>
    </w:p>
    <w:p>
      <w:pPr>
        <w:pageBreakBefore/>
        <w:wordWrap w:val="0"/>
        <w:spacing w:line="360" w:lineRule="auto"/>
        <w:jc w:val="center"/>
        <w:outlineLvl w:val="1"/>
        <w:rPr>
          <w:rFonts w:ascii="宋体" w:hAnsi="宋体"/>
          <w:sz w:val="32"/>
          <w:szCs w:val="27"/>
          <w:highlight w:val="none"/>
        </w:rPr>
        <w:sectPr>
          <w:pgSz w:w="11906" w:h="16838"/>
          <w:pgMar w:top="1247" w:right="1247" w:bottom="567" w:left="1247" w:header="851" w:footer="992" w:gutter="0"/>
          <w:cols w:space="720" w:num="1"/>
          <w:docGrid w:linePitch="312" w:charSpace="0"/>
        </w:sectPr>
      </w:pPr>
    </w:p>
    <w:p>
      <w:pPr>
        <w:pStyle w:val="6"/>
        <w:wordWrap w:val="0"/>
        <w:spacing w:before="0" w:after="0" w:line="360" w:lineRule="auto"/>
        <w:rPr>
          <w:rFonts w:ascii="宋体" w:hAnsi="宋体" w:eastAsia="宋体"/>
          <w:b/>
          <w:bCs/>
          <w:sz w:val="44"/>
          <w:szCs w:val="44"/>
          <w:highlight w:val="none"/>
        </w:rPr>
      </w:pPr>
      <w:bookmarkStart w:id="252" w:name="_Toc17454936"/>
      <w:bookmarkStart w:id="253" w:name="_Toc17451592"/>
      <w:bookmarkStart w:id="254" w:name="_Toc112854443"/>
      <w:bookmarkStart w:id="255" w:name="_Toc17451637"/>
      <w:bookmarkStart w:id="256" w:name="_Toc17556890"/>
      <w:bookmarkStart w:id="257" w:name="_Toc17452678"/>
      <w:bookmarkStart w:id="258" w:name="_Toc17454885"/>
      <w:bookmarkStart w:id="259" w:name="_Toc17451115"/>
      <w:bookmarkStart w:id="260" w:name="_Toc8086"/>
      <w:bookmarkStart w:id="261" w:name="_Toc1056"/>
      <w:bookmarkStart w:id="262" w:name="_Toc18762"/>
      <w:r>
        <w:rPr>
          <w:rFonts w:hint="eastAsia" w:ascii="宋体" w:hAnsi="宋体" w:eastAsia="宋体"/>
          <w:b/>
          <w:bCs/>
          <w:sz w:val="44"/>
          <w:szCs w:val="44"/>
          <w:highlight w:val="none"/>
        </w:rPr>
        <w:t>第四章 合同条款</w:t>
      </w:r>
      <w:bookmarkEnd w:id="251"/>
      <w:bookmarkEnd w:id="252"/>
      <w:bookmarkEnd w:id="253"/>
      <w:bookmarkEnd w:id="254"/>
      <w:bookmarkEnd w:id="255"/>
      <w:bookmarkEnd w:id="256"/>
      <w:bookmarkEnd w:id="257"/>
      <w:bookmarkEnd w:id="258"/>
      <w:bookmarkEnd w:id="259"/>
      <w:bookmarkEnd w:id="260"/>
      <w:bookmarkEnd w:id="261"/>
      <w:bookmarkEnd w:id="262"/>
    </w:p>
    <w:p>
      <w:pPr>
        <w:wordWrap w:val="0"/>
        <w:jc w:val="center"/>
        <w:rPr>
          <w:highlight w:val="none"/>
        </w:rPr>
      </w:pPr>
      <w:bookmarkStart w:id="263" w:name="_Toc259524404"/>
      <w:bookmarkStart w:id="264" w:name="_Toc229305436"/>
      <w:bookmarkStart w:id="265" w:name="_Toc221948392"/>
      <w:bookmarkStart w:id="266" w:name="_Toc222029576"/>
      <w:bookmarkStart w:id="267" w:name="_Toc221952224"/>
      <w:bookmarkStart w:id="268" w:name="_Toc222031078"/>
      <w:bookmarkStart w:id="269" w:name="_Toc222032745"/>
      <w:bookmarkStart w:id="270" w:name="_Toc222033927"/>
      <w:r>
        <w:rPr>
          <w:rFonts w:hint="eastAsia"/>
          <w:highlight w:val="none"/>
        </w:rPr>
        <w:t>（另册）</w:t>
      </w:r>
    </w:p>
    <w:p>
      <w:pPr>
        <w:pStyle w:val="7"/>
        <w:rPr>
          <w:highlight w:val="none"/>
        </w:rPr>
      </w:pPr>
    </w:p>
    <w:p>
      <w:pPr>
        <w:pStyle w:val="2"/>
        <w:wordWrap w:val="0"/>
        <w:ind w:firstLine="480"/>
        <w:jc w:val="center"/>
        <w:rPr>
          <w:rFonts w:ascii="宋体" w:hAnsi="宋体" w:cs="方正小标宋简体"/>
          <w:color w:val="auto"/>
          <w:sz w:val="44"/>
          <w:szCs w:val="44"/>
          <w:highlight w:val="none"/>
        </w:rPr>
        <w:sectPr>
          <w:headerReference r:id="rId5" w:type="default"/>
          <w:pgSz w:w="11906" w:h="16838"/>
          <w:pgMar w:top="1247" w:right="1247" w:bottom="567" w:left="1247" w:header="851" w:footer="992" w:gutter="0"/>
          <w:cols w:space="720" w:num="1"/>
          <w:docGrid w:linePitch="312" w:charSpace="0"/>
        </w:sectPr>
      </w:pPr>
    </w:p>
    <w:p>
      <w:pPr>
        <w:pStyle w:val="6"/>
        <w:wordWrap w:val="0"/>
        <w:spacing w:before="0" w:after="0" w:line="360" w:lineRule="auto"/>
        <w:rPr>
          <w:rFonts w:ascii="宋体" w:hAnsi="宋体" w:eastAsia="宋体"/>
          <w:b/>
          <w:bCs/>
          <w:sz w:val="44"/>
          <w:szCs w:val="44"/>
          <w:highlight w:val="none"/>
        </w:rPr>
      </w:pPr>
      <w:bookmarkStart w:id="271" w:name="_Toc11163"/>
      <w:bookmarkStart w:id="272" w:name="_Toc19089"/>
      <w:bookmarkStart w:id="273" w:name="_Toc112854504"/>
      <w:bookmarkStart w:id="274" w:name="_Toc8996"/>
      <w:r>
        <w:rPr>
          <w:rFonts w:hint="eastAsia" w:ascii="宋体" w:hAnsi="宋体" w:eastAsia="宋体"/>
          <w:b/>
          <w:bCs/>
          <w:sz w:val="44"/>
          <w:szCs w:val="44"/>
          <w:highlight w:val="none"/>
        </w:rPr>
        <w:t>第五章 工程量清单（综合单价承包）</w:t>
      </w:r>
      <w:bookmarkEnd w:id="271"/>
      <w:bookmarkEnd w:id="272"/>
      <w:bookmarkEnd w:id="273"/>
      <w:bookmarkEnd w:id="274"/>
    </w:p>
    <w:p>
      <w:pPr>
        <w:wordWrap w:val="0"/>
        <w:spacing w:line="360" w:lineRule="auto"/>
        <w:jc w:val="center"/>
        <w:outlineLvl w:val="2"/>
        <w:rPr>
          <w:rFonts w:ascii="宋体" w:hAnsi="宋体"/>
          <w:b/>
          <w:bCs/>
          <w:sz w:val="28"/>
          <w:szCs w:val="27"/>
          <w:highlight w:val="none"/>
        </w:rPr>
      </w:pPr>
      <w:bookmarkStart w:id="275" w:name="_Toc17451598"/>
      <w:bookmarkStart w:id="276" w:name="_Toc17556896"/>
      <w:bookmarkStart w:id="277" w:name="_Toc17454942"/>
      <w:bookmarkStart w:id="278" w:name="_Toc17451121"/>
      <w:bookmarkStart w:id="279" w:name="_Toc17452684"/>
      <w:bookmarkStart w:id="280" w:name="_Toc112854505"/>
      <w:bookmarkStart w:id="281" w:name="_Toc17454891"/>
      <w:bookmarkStart w:id="282" w:name="_Toc11204"/>
      <w:bookmarkStart w:id="283" w:name="_Toc17451643"/>
      <w:bookmarkStart w:id="284" w:name="_Toc5089"/>
      <w:bookmarkStart w:id="285" w:name="_Toc19980"/>
      <w:r>
        <w:rPr>
          <w:rFonts w:hint="eastAsia" w:ascii="宋体" w:hAnsi="宋体"/>
          <w:b/>
          <w:bCs/>
          <w:sz w:val="28"/>
          <w:szCs w:val="27"/>
          <w:highlight w:val="none"/>
        </w:rPr>
        <w:t>一、工程量清单说明</w:t>
      </w:r>
      <w:bookmarkEnd w:id="275"/>
      <w:bookmarkEnd w:id="276"/>
      <w:bookmarkEnd w:id="277"/>
      <w:bookmarkEnd w:id="278"/>
      <w:bookmarkEnd w:id="279"/>
      <w:bookmarkEnd w:id="280"/>
      <w:bookmarkEnd w:id="281"/>
      <w:bookmarkEnd w:id="282"/>
      <w:bookmarkEnd w:id="283"/>
      <w:bookmarkEnd w:id="284"/>
      <w:bookmarkEnd w:id="285"/>
    </w:p>
    <w:p>
      <w:pPr>
        <w:wordWrap w:val="0"/>
        <w:spacing w:line="360" w:lineRule="auto"/>
        <w:ind w:firstLine="480" w:firstLineChars="200"/>
        <w:rPr>
          <w:rFonts w:ascii="宋体" w:hAnsi="宋体"/>
          <w:i/>
          <w:sz w:val="24"/>
          <w:highlight w:val="none"/>
        </w:rPr>
      </w:pPr>
      <w:r>
        <w:rPr>
          <w:rFonts w:hint="eastAsia" w:ascii="宋体" w:hAnsi="宋体"/>
          <w:i/>
          <w:sz w:val="24"/>
          <w:highlight w:val="none"/>
        </w:rPr>
        <w:t>（说明：本说明内容仅供参考，招标人可以根据项目情况修改。）</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1.2 </w:t>
      </w:r>
      <w:r>
        <w:rPr>
          <w:rFonts w:hint="eastAsia" w:ascii="宋体" w:hAnsi="宋体"/>
          <w:sz w:val="24"/>
          <w:highlight w:val="none"/>
        </w:rPr>
        <w:t>本工程量清单应与招标文件中的投标人须知、通用合同条款、专用合同条款、技术标准和要求及图纸等一起阅读和理解。</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1.3 </w:t>
      </w:r>
      <w:r>
        <w:rPr>
          <w:rFonts w:hint="eastAsia" w:ascii="宋体" w:hAnsi="宋体"/>
          <w:sz w:val="24"/>
          <w:highlight w:val="none"/>
        </w:rPr>
        <w:t>本工程量清单仅是投标报价的共同基础，实际工程计量和工程价款的支付应遵循合同条款的约定和第七章“技术标准和要求”的有关规定。</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1.4 </w:t>
      </w:r>
      <w:r>
        <w:rPr>
          <w:rFonts w:hint="eastAsia" w:ascii="宋体" w:hAnsi="宋体"/>
          <w:sz w:val="24"/>
          <w:highlight w:val="none"/>
        </w:rPr>
        <w:t>补充子目工程量计算规则及子目工作内容说明：   。</w:t>
      </w:r>
    </w:p>
    <w:p>
      <w:pPr>
        <w:wordWrap w:val="0"/>
        <w:spacing w:line="360" w:lineRule="auto"/>
        <w:jc w:val="center"/>
        <w:outlineLvl w:val="2"/>
        <w:rPr>
          <w:rFonts w:ascii="宋体" w:hAnsi="宋体"/>
          <w:b/>
          <w:bCs/>
          <w:sz w:val="28"/>
          <w:szCs w:val="27"/>
          <w:highlight w:val="none"/>
        </w:rPr>
      </w:pPr>
      <w:bookmarkStart w:id="286" w:name="_Toc17451644"/>
      <w:bookmarkStart w:id="287" w:name="_Toc17556897"/>
      <w:bookmarkStart w:id="288" w:name="_Toc17454943"/>
      <w:bookmarkStart w:id="289" w:name="_Toc17451599"/>
      <w:bookmarkStart w:id="290" w:name="_Toc17451122"/>
      <w:bookmarkStart w:id="291" w:name="_Toc6779"/>
      <w:bookmarkStart w:id="292" w:name="_Toc954"/>
      <w:bookmarkStart w:id="293" w:name="_Toc17454892"/>
      <w:bookmarkStart w:id="294" w:name="_Toc4036"/>
      <w:bookmarkStart w:id="295" w:name="_Toc112854506"/>
      <w:bookmarkStart w:id="296" w:name="_Toc296602589"/>
      <w:bookmarkStart w:id="297" w:name="_Toc17452685"/>
      <w:r>
        <w:rPr>
          <w:rFonts w:hint="eastAsia" w:ascii="宋体" w:hAnsi="宋体"/>
          <w:b/>
          <w:bCs/>
          <w:sz w:val="28"/>
          <w:szCs w:val="27"/>
          <w:highlight w:val="none"/>
        </w:rPr>
        <w:t>二、投标报价说明</w:t>
      </w:r>
      <w:bookmarkEnd w:id="286"/>
      <w:bookmarkEnd w:id="287"/>
      <w:bookmarkEnd w:id="288"/>
      <w:bookmarkEnd w:id="289"/>
      <w:bookmarkEnd w:id="290"/>
      <w:bookmarkEnd w:id="291"/>
      <w:bookmarkEnd w:id="292"/>
      <w:bookmarkEnd w:id="293"/>
      <w:bookmarkEnd w:id="294"/>
      <w:bookmarkEnd w:id="295"/>
      <w:bookmarkEnd w:id="296"/>
      <w:bookmarkEnd w:id="297"/>
    </w:p>
    <w:p>
      <w:pPr>
        <w:wordWrap w:val="0"/>
        <w:spacing w:line="360" w:lineRule="auto"/>
        <w:ind w:firstLine="480" w:firstLineChars="200"/>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工程量清单中的每一子目须填入单价或价格，且只允许有一个报价。</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2.2 </w:t>
      </w:r>
      <w:r>
        <w:rPr>
          <w:rFonts w:hint="eastAsia" w:ascii="宋体" w:hAnsi="宋体"/>
          <w:sz w:val="24"/>
          <w:highlight w:val="none"/>
        </w:rPr>
        <w:t>工程量清单中标价的单价或金额，应包括所需的人工费、材料和施工机具使用费和企业管理费、利润以及一定范围内的风险费用等。</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2.3 </w:t>
      </w:r>
      <w:r>
        <w:rPr>
          <w:rFonts w:hint="eastAsia" w:ascii="宋体" w:hAnsi="宋体"/>
          <w:sz w:val="24"/>
          <w:highlight w:val="none"/>
        </w:rPr>
        <w:t>工程量清单中投标人没有填入单价或价格的子目，其费用视为已分摊在工程量清单中其他相关子目的单价或价格之中。</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2.4 </w:t>
      </w:r>
      <w:r>
        <w:rPr>
          <w:rFonts w:hint="eastAsia" w:ascii="宋体" w:hAnsi="宋体"/>
          <w:sz w:val="24"/>
          <w:highlight w:val="none"/>
        </w:rPr>
        <w:t>暂列金额的数量及拟用子目的说明：具体详见招标工程量清单。</w:t>
      </w:r>
    </w:p>
    <w:p>
      <w:pPr>
        <w:wordWrap w:val="0"/>
        <w:spacing w:line="360" w:lineRule="auto"/>
        <w:ind w:firstLine="480" w:firstLineChars="200"/>
        <w:rPr>
          <w:rFonts w:ascii="宋体" w:hAnsi="宋体"/>
          <w:i/>
          <w:strike/>
          <w:sz w:val="24"/>
          <w:highlight w:val="none"/>
        </w:rPr>
      </w:pPr>
      <w:r>
        <w:rPr>
          <w:rFonts w:hint="eastAsia" w:ascii="宋体" w:hAnsi="宋体"/>
          <w:i/>
          <w:strike/>
          <w:sz w:val="24"/>
          <w:highlight w:val="none"/>
        </w:rPr>
        <w:t>（说明：由招标人根据项目情况拟订，对投标报价采用的定额、取费标准等进行说明）</w:t>
      </w:r>
    </w:p>
    <w:p>
      <w:pPr>
        <w:numPr>
          <w:ilvl w:val="0"/>
          <w:numId w:val="3"/>
        </w:numPr>
        <w:wordWrap w:val="0"/>
        <w:spacing w:line="360" w:lineRule="auto"/>
        <w:jc w:val="center"/>
        <w:outlineLvl w:val="2"/>
        <w:rPr>
          <w:rFonts w:ascii="宋体" w:hAnsi="宋体"/>
          <w:b/>
          <w:bCs/>
          <w:sz w:val="28"/>
          <w:szCs w:val="27"/>
          <w:highlight w:val="none"/>
        </w:rPr>
      </w:pPr>
      <w:bookmarkStart w:id="298" w:name="_Toc17454944"/>
      <w:bookmarkStart w:id="299" w:name="_Toc17451645"/>
      <w:bookmarkStart w:id="300" w:name="_Toc112854507"/>
      <w:bookmarkStart w:id="301" w:name="_Toc30511"/>
      <w:bookmarkStart w:id="302" w:name="_Toc17556898"/>
      <w:bookmarkStart w:id="303" w:name="_Toc17451123"/>
      <w:bookmarkStart w:id="304" w:name="_Toc7527"/>
      <w:bookmarkStart w:id="305" w:name="_Toc17452686"/>
      <w:bookmarkStart w:id="306" w:name="_Toc17451600"/>
      <w:bookmarkStart w:id="307" w:name="_Toc25427"/>
      <w:bookmarkStart w:id="308" w:name="_Toc17454893"/>
      <w:bookmarkStart w:id="309" w:name="_Toc296602590"/>
      <w:r>
        <w:rPr>
          <w:rFonts w:hint="eastAsia" w:ascii="宋体" w:hAnsi="宋体"/>
          <w:b/>
          <w:bCs/>
          <w:sz w:val="28"/>
          <w:szCs w:val="27"/>
          <w:highlight w:val="none"/>
        </w:rPr>
        <w:t>其他说明</w:t>
      </w:r>
      <w:bookmarkEnd w:id="298"/>
      <w:bookmarkEnd w:id="299"/>
      <w:bookmarkEnd w:id="300"/>
      <w:bookmarkEnd w:id="301"/>
      <w:bookmarkEnd w:id="302"/>
      <w:bookmarkEnd w:id="303"/>
      <w:bookmarkEnd w:id="304"/>
      <w:bookmarkEnd w:id="305"/>
      <w:bookmarkEnd w:id="306"/>
      <w:bookmarkEnd w:id="307"/>
      <w:bookmarkEnd w:id="308"/>
    </w:p>
    <w:p>
      <w:pPr>
        <w:pStyle w:val="33"/>
        <w:wordWrap w:val="0"/>
        <w:ind w:firstLine="0"/>
        <w:jc w:val="center"/>
        <w:rPr>
          <w:rFonts w:hint="default"/>
          <w:b/>
          <w:bCs/>
          <w:highlight w:val="none"/>
        </w:rPr>
      </w:pPr>
      <w:r>
        <w:rPr>
          <w:b/>
          <w:bCs/>
          <w:highlight w:val="none"/>
        </w:rPr>
        <w:t>无</w:t>
      </w:r>
      <w:bookmarkStart w:id="310" w:name="_Toc17451646"/>
      <w:bookmarkStart w:id="311" w:name="_Toc17454945"/>
      <w:bookmarkStart w:id="312" w:name="_Toc17452687"/>
      <w:bookmarkStart w:id="313" w:name="_Toc296602591"/>
      <w:bookmarkStart w:id="314" w:name="_Toc112854508"/>
      <w:bookmarkStart w:id="315" w:name="_Toc17451124"/>
      <w:bookmarkStart w:id="316" w:name="_Toc17556899"/>
      <w:bookmarkStart w:id="317" w:name="_Toc17454894"/>
      <w:bookmarkStart w:id="318" w:name="_Toc17451601"/>
    </w:p>
    <w:p>
      <w:pPr>
        <w:pStyle w:val="33"/>
        <w:wordWrap w:val="0"/>
        <w:ind w:firstLine="0"/>
        <w:jc w:val="center"/>
        <w:rPr>
          <w:rFonts w:hint="default"/>
          <w:b/>
          <w:bCs/>
          <w:highlight w:val="none"/>
        </w:rPr>
      </w:pPr>
    </w:p>
    <w:p>
      <w:pPr>
        <w:pStyle w:val="33"/>
        <w:wordWrap w:val="0"/>
        <w:ind w:firstLine="0"/>
        <w:jc w:val="center"/>
        <w:rPr>
          <w:rFonts w:hint="default"/>
          <w:b/>
          <w:bCs/>
          <w:highlight w:val="none"/>
        </w:rPr>
      </w:pPr>
    </w:p>
    <w:p>
      <w:pPr>
        <w:numPr>
          <w:ilvl w:val="0"/>
          <w:numId w:val="3"/>
        </w:numPr>
        <w:wordWrap w:val="0"/>
        <w:spacing w:line="360" w:lineRule="auto"/>
        <w:jc w:val="center"/>
        <w:outlineLvl w:val="2"/>
        <w:rPr>
          <w:rFonts w:ascii="宋体" w:hAnsi="宋体"/>
          <w:b/>
          <w:bCs/>
          <w:sz w:val="28"/>
          <w:szCs w:val="27"/>
          <w:highlight w:val="none"/>
        </w:rPr>
      </w:pPr>
      <w:bookmarkStart w:id="319" w:name="_Toc5699"/>
      <w:bookmarkStart w:id="320" w:name="_Toc25100"/>
      <w:bookmarkStart w:id="321" w:name="_Toc30790"/>
      <w:r>
        <w:rPr>
          <w:rFonts w:hint="eastAsia" w:ascii="宋体" w:hAnsi="宋体"/>
          <w:b/>
          <w:bCs/>
          <w:sz w:val="28"/>
          <w:szCs w:val="27"/>
          <w:highlight w:val="none"/>
        </w:rPr>
        <w:t>工程量清单</w:t>
      </w:r>
      <w:bookmarkEnd w:id="309"/>
      <w:bookmarkEnd w:id="310"/>
      <w:bookmarkEnd w:id="311"/>
      <w:bookmarkEnd w:id="312"/>
      <w:bookmarkEnd w:id="313"/>
      <w:bookmarkEnd w:id="314"/>
      <w:bookmarkEnd w:id="315"/>
      <w:bookmarkEnd w:id="316"/>
      <w:bookmarkEnd w:id="317"/>
      <w:bookmarkEnd w:id="318"/>
      <w:bookmarkEnd w:id="319"/>
      <w:bookmarkEnd w:id="320"/>
      <w:bookmarkEnd w:id="321"/>
    </w:p>
    <w:p>
      <w:pPr>
        <w:wordWrap w:val="0"/>
        <w:spacing w:line="360" w:lineRule="auto"/>
        <w:jc w:val="left"/>
        <w:outlineLvl w:val="1"/>
        <w:rPr>
          <w:rFonts w:ascii="宋体" w:hAnsi="宋体"/>
          <w:sz w:val="32"/>
          <w:szCs w:val="27"/>
          <w:highlight w:val="none"/>
        </w:rPr>
      </w:pPr>
      <w:bookmarkStart w:id="322" w:name="_Toc28433"/>
      <w:bookmarkStart w:id="323" w:name="_Toc13650"/>
      <w:bookmarkStart w:id="324" w:name="_Toc112854217"/>
      <w:bookmarkStart w:id="325" w:name="_Toc6739"/>
      <w:bookmarkStart w:id="326" w:name="_Toc112854509"/>
      <w:r>
        <w:rPr>
          <w:rFonts w:hint="eastAsia" w:ascii="宋体" w:hAnsi="宋体"/>
          <w:sz w:val="24"/>
          <w:szCs w:val="24"/>
          <w:highlight w:val="none"/>
        </w:rPr>
        <w:t>注：</w:t>
      </w:r>
      <w:r>
        <w:rPr>
          <w:rFonts w:hint="eastAsia" w:ascii="宋体" w:hAnsi="宋体" w:cs="宋体"/>
          <w:sz w:val="24"/>
          <w:szCs w:val="24"/>
          <w:highlight w:val="none"/>
        </w:rPr>
        <w:t>工程量清单详见本项目电子招标文件（</w:t>
      </w:r>
      <w:r>
        <w:rPr>
          <w:rFonts w:ascii="宋体" w:hAnsi="宋体" w:cs="宋体"/>
          <w:sz w:val="24"/>
          <w:szCs w:val="24"/>
          <w:highlight w:val="none"/>
        </w:rPr>
        <w:t>GZZ</w:t>
      </w:r>
      <w:r>
        <w:rPr>
          <w:rFonts w:hint="eastAsia" w:ascii="宋体" w:hAnsi="宋体" w:cs="宋体"/>
          <w:sz w:val="24"/>
          <w:szCs w:val="24"/>
          <w:highlight w:val="none"/>
        </w:rPr>
        <w:t>B</w:t>
      </w:r>
      <w:r>
        <w:rPr>
          <w:rFonts w:ascii="宋体" w:hAnsi="宋体" w:cs="宋体"/>
          <w:sz w:val="24"/>
          <w:szCs w:val="24"/>
          <w:highlight w:val="none"/>
        </w:rPr>
        <w:t>）版本中“工程量清单”，电子招标文件（GZZ</w:t>
      </w:r>
      <w:r>
        <w:rPr>
          <w:rFonts w:hint="eastAsia" w:ascii="宋体" w:hAnsi="宋体" w:cs="宋体"/>
          <w:sz w:val="24"/>
          <w:szCs w:val="24"/>
          <w:highlight w:val="none"/>
        </w:rPr>
        <w:t>B</w:t>
      </w:r>
      <w:r>
        <w:rPr>
          <w:rFonts w:ascii="宋体" w:hAnsi="宋体" w:cs="宋体"/>
          <w:sz w:val="24"/>
          <w:szCs w:val="24"/>
          <w:highlight w:val="none"/>
        </w:rPr>
        <w:t>）可导出工程量清单cos版。</w:t>
      </w:r>
      <w:bookmarkEnd w:id="322"/>
      <w:bookmarkEnd w:id="323"/>
      <w:bookmarkEnd w:id="324"/>
      <w:bookmarkEnd w:id="325"/>
      <w:bookmarkEnd w:id="326"/>
    </w:p>
    <w:p>
      <w:pPr>
        <w:wordWrap w:val="0"/>
        <w:spacing w:line="360" w:lineRule="auto"/>
        <w:ind w:firstLine="480" w:firstLineChars="200"/>
        <w:rPr>
          <w:rFonts w:ascii="宋体" w:hAnsi="宋体"/>
          <w:i/>
          <w:sz w:val="24"/>
          <w:highlight w:val="none"/>
        </w:rPr>
      </w:pPr>
    </w:p>
    <w:p>
      <w:pPr>
        <w:wordWrap w:val="0"/>
        <w:spacing w:line="360" w:lineRule="auto"/>
        <w:ind w:firstLine="480" w:firstLineChars="200"/>
        <w:rPr>
          <w:rFonts w:ascii="宋体" w:hAnsi="宋体"/>
          <w:i/>
          <w:strike/>
          <w:sz w:val="24"/>
          <w:highlight w:val="none"/>
        </w:rPr>
      </w:pPr>
      <w:r>
        <w:rPr>
          <w:rFonts w:hint="eastAsia" w:ascii="宋体" w:hAnsi="宋体"/>
          <w:i/>
          <w:strike/>
          <w:sz w:val="24"/>
          <w:highlight w:val="none"/>
        </w:rPr>
        <w:t>（说明：由招标人根据项目情况自定）</w:t>
      </w:r>
    </w:p>
    <w:p>
      <w:pPr>
        <w:wordWrap w:val="0"/>
        <w:spacing w:line="360" w:lineRule="auto"/>
        <w:jc w:val="center"/>
        <w:outlineLvl w:val="1"/>
        <w:rPr>
          <w:rFonts w:ascii="宋体" w:hAnsi="宋体"/>
          <w:b/>
          <w:bCs/>
          <w:sz w:val="44"/>
          <w:szCs w:val="44"/>
          <w:highlight w:val="none"/>
        </w:rPr>
      </w:pPr>
      <w:bookmarkStart w:id="327" w:name="_Toc17452688"/>
      <w:bookmarkStart w:id="328" w:name="_Toc17454946"/>
      <w:bookmarkStart w:id="329" w:name="_Toc17451125"/>
      <w:bookmarkStart w:id="330" w:name="_Toc17454895"/>
      <w:bookmarkStart w:id="331" w:name="_Toc17451647"/>
      <w:bookmarkStart w:id="332" w:name="_Toc17451602"/>
      <w:bookmarkStart w:id="333" w:name="_Toc17556900"/>
      <w:r>
        <w:rPr>
          <w:rFonts w:ascii="宋体" w:hAnsi="宋体"/>
          <w:sz w:val="32"/>
          <w:szCs w:val="27"/>
          <w:highlight w:val="none"/>
        </w:rPr>
        <w:br w:type="page"/>
      </w:r>
      <w:bookmarkStart w:id="334" w:name="_Toc1642"/>
      <w:bookmarkStart w:id="335" w:name="_Toc112854510"/>
      <w:bookmarkStart w:id="336" w:name="_Toc11686"/>
      <w:bookmarkStart w:id="337" w:name="_Toc1322"/>
      <w:r>
        <w:rPr>
          <w:rFonts w:hint="eastAsia" w:ascii="宋体" w:hAnsi="宋体"/>
          <w:b/>
          <w:bCs/>
          <w:sz w:val="44"/>
          <w:szCs w:val="44"/>
          <w:highlight w:val="none"/>
        </w:rPr>
        <w:t>第六章 图纸</w:t>
      </w:r>
      <w:bookmarkEnd w:id="263"/>
      <w:r>
        <w:rPr>
          <w:rFonts w:hint="eastAsia" w:ascii="宋体" w:hAnsi="宋体"/>
          <w:b/>
          <w:bCs/>
          <w:sz w:val="44"/>
          <w:szCs w:val="44"/>
          <w:highlight w:val="none"/>
        </w:rPr>
        <w:t>（招标图纸</w:t>
      </w:r>
      <w:bookmarkEnd w:id="264"/>
      <w:bookmarkEnd w:id="265"/>
      <w:bookmarkEnd w:id="266"/>
      <w:bookmarkEnd w:id="267"/>
      <w:bookmarkEnd w:id="268"/>
      <w:bookmarkEnd w:id="269"/>
      <w:bookmarkEnd w:id="270"/>
      <w:r>
        <w:rPr>
          <w:rFonts w:hint="eastAsia" w:ascii="宋体" w:hAnsi="宋体"/>
          <w:b/>
          <w:bCs/>
          <w:sz w:val="44"/>
          <w:szCs w:val="44"/>
          <w:highlight w:val="none"/>
        </w:rPr>
        <w:t>）</w:t>
      </w:r>
      <w:bookmarkEnd w:id="327"/>
      <w:bookmarkEnd w:id="328"/>
      <w:bookmarkEnd w:id="329"/>
      <w:bookmarkEnd w:id="330"/>
      <w:bookmarkEnd w:id="331"/>
      <w:bookmarkEnd w:id="332"/>
      <w:bookmarkEnd w:id="333"/>
      <w:bookmarkEnd w:id="334"/>
      <w:bookmarkEnd w:id="335"/>
      <w:bookmarkEnd w:id="336"/>
      <w:bookmarkEnd w:id="337"/>
    </w:p>
    <w:p>
      <w:pPr>
        <w:wordWrap w:val="0"/>
        <w:ind w:firstLine="480" w:firstLineChars="200"/>
        <w:jc w:val="center"/>
        <w:rPr>
          <w:rFonts w:ascii="宋体" w:hAnsi="宋体"/>
          <w:b/>
          <w:sz w:val="24"/>
          <w:szCs w:val="24"/>
          <w:highlight w:val="none"/>
        </w:rPr>
      </w:pPr>
      <w:bookmarkStart w:id="338" w:name="_Toc259524407"/>
      <w:bookmarkStart w:id="339" w:name="_Toc17451126"/>
      <w:bookmarkStart w:id="340" w:name="_Toc17556901"/>
      <w:bookmarkStart w:id="341" w:name="_Toc17454896"/>
      <w:bookmarkStart w:id="342" w:name="_Toc17451603"/>
      <w:bookmarkStart w:id="343" w:name="_Toc17454947"/>
      <w:bookmarkStart w:id="344" w:name="_Toc17452689"/>
      <w:bookmarkStart w:id="345" w:name="_Toc17451648"/>
      <w:r>
        <w:rPr>
          <w:rFonts w:hint="eastAsia" w:ascii="宋体" w:hAnsi="宋体"/>
          <w:sz w:val="24"/>
          <w:szCs w:val="24"/>
          <w:highlight w:val="none"/>
        </w:rPr>
        <w:t>注：</w:t>
      </w:r>
      <w:r>
        <w:rPr>
          <w:rFonts w:hint="eastAsia" w:ascii="宋体" w:hAnsi="宋体" w:cs="宋体"/>
          <w:sz w:val="24"/>
          <w:szCs w:val="24"/>
          <w:highlight w:val="none"/>
        </w:rPr>
        <w:t>本章详见招标公告发布网页附件</w:t>
      </w:r>
      <w:r>
        <w:rPr>
          <w:rFonts w:hint="eastAsia" w:ascii="宋体" w:hAnsi="宋体"/>
          <w:sz w:val="24"/>
          <w:szCs w:val="24"/>
          <w:highlight w:val="none"/>
        </w:rPr>
        <w:t>。</w:t>
      </w:r>
    </w:p>
    <w:bookmarkEnd w:id="338"/>
    <w:bookmarkEnd w:id="339"/>
    <w:bookmarkEnd w:id="340"/>
    <w:bookmarkEnd w:id="341"/>
    <w:bookmarkEnd w:id="342"/>
    <w:bookmarkEnd w:id="343"/>
    <w:bookmarkEnd w:id="344"/>
    <w:bookmarkEnd w:id="345"/>
    <w:p>
      <w:pPr>
        <w:widowControl/>
        <w:wordWrap w:val="0"/>
        <w:ind w:firstLine="420" w:firstLineChars="200"/>
        <w:jc w:val="left"/>
        <w:rPr>
          <w:rFonts w:ascii="宋体" w:hAnsi="宋体"/>
          <w:szCs w:val="21"/>
          <w:highlight w:val="none"/>
        </w:rPr>
      </w:pPr>
      <w:r>
        <w:rPr>
          <w:rFonts w:ascii="宋体" w:hAnsi="宋体"/>
          <w:szCs w:val="21"/>
          <w:highlight w:val="none"/>
        </w:rPr>
        <w:br w:type="page"/>
      </w:r>
    </w:p>
    <w:p>
      <w:pPr>
        <w:wordWrap w:val="0"/>
        <w:spacing w:line="360" w:lineRule="auto"/>
        <w:jc w:val="center"/>
        <w:outlineLvl w:val="1"/>
        <w:rPr>
          <w:rFonts w:ascii="宋体" w:hAnsi="宋体"/>
          <w:b/>
          <w:bCs/>
          <w:sz w:val="44"/>
          <w:szCs w:val="44"/>
          <w:highlight w:val="none"/>
        </w:rPr>
      </w:pPr>
      <w:bookmarkStart w:id="346" w:name="_Toc259524409"/>
      <w:bookmarkStart w:id="347" w:name="_Toc17451649"/>
      <w:bookmarkStart w:id="348" w:name="_Toc17454948"/>
      <w:bookmarkStart w:id="349" w:name="_Toc26845"/>
      <w:bookmarkStart w:id="350" w:name="_Toc17454897"/>
      <w:bookmarkStart w:id="351" w:name="_Toc32105"/>
      <w:bookmarkStart w:id="352" w:name="_Toc17556902"/>
      <w:bookmarkStart w:id="353" w:name="_Toc17451127"/>
      <w:bookmarkStart w:id="354" w:name="_Toc17452690"/>
      <w:bookmarkStart w:id="355" w:name="_Toc17451604"/>
      <w:bookmarkStart w:id="356" w:name="_Toc19651"/>
      <w:bookmarkStart w:id="357" w:name="_Toc112854511"/>
      <w:r>
        <w:rPr>
          <w:rFonts w:hint="eastAsia" w:ascii="宋体" w:hAnsi="宋体"/>
          <w:b/>
          <w:bCs/>
          <w:sz w:val="44"/>
          <w:szCs w:val="44"/>
          <w:highlight w:val="none"/>
        </w:rPr>
        <w:t>第七章 技术标准和要求</w:t>
      </w:r>
      <w:bookmarkEnd w:id="346"/>
      <w:r>
        <w:rPr>
          <w:rFonts w:hint="eastAsia" w:ascii="宋体" w:hAnsi="宋体"/>
          <w:b/>
          <w:bCs/>
          <w:sz w:val="44"/>
          <w:szCs w:val="44"/>
          <w:highlight w:val="none"/>
        </w:rPr>
        <w:t>（合同技术条款）</w:t>
      </w:r>
      <w:bookmarkEnd w:id="347"/>
      <w:bookmarkEnd w:id="348"/>
      <w:bookmarkEnd w:id="349"/>
      <w:bookmarkEnd w:id="350"/>
      <w:bookmarkEnd w:id="351"/>
      <w:bookmarkEnd w:id="352"/>
      <w:bookmarkEnd w:id="353"/>
      <w:bookmarkEnd w:id="354"/>
      <w:bookmarkEnd w:id="355"/>
      <w:bookmarkEnd w:id="356"/>
      <w:bookmarkEnd w:id="357"/>
    </w:p>
    <w:p>
      <w:pPr>
        <w:pStyle w:val="2"/>
        <w:wordWrap w:val="0"/>
        <w:ind w:firstLine="0"/>
        <w:jc w:val="center"/>
        <w:rPr>
          <w:rFonts w:ascii="宋体" w:hAnsi="宋体"/>
          <w:color w:val="auto"/>
          <w:szCs w:val="22"/>
          <w:highlight w:val="none"/>
          <w:u w:val="single"/>
        </w:rPr>
      </w:pPr>
      <w:r>
        <w:rPr>
          <w:rFonts w:hint="eastAsia" w:ascii="宋体" w:hAnsi="宋体"/>
          <w:color w:val="auto"/>
          <w:szCs w:val="22"/>
          <w:highlight w:val="none"/>
          <w:u w:val="single"/>
        </w:rPr>
        <w:t>符合本招标文件所要求的设计规范、标准的要求和国家、地方行业有关标准。</w:t>
      </w:r>
    </w:p>
    <w:p>
      <w:pPr>
        <w:widowControl/>
        <w:wordWrap w:val="0"/>
        <w:ind w:firstLine="480" w:firstLineChars="200"/>
        <w:jc w:val="left"/>
        <w:rPr>
          <w:rFonts w:ascii="宋体" w:hAnsi="宋体"/>
          <w:sz w:val="24"/>
          <w:highlight w:val="none"/>
        </w:rPr>
      </w:pPr>
      <w:r>
        <w:rPr>
          <w:rFonts w:ascii="宋体" w:hAnsi="宋体"/>
          <w:sz w:val="24"/>
          <w:highlight w:val="none"/>
        </w:rPr>
        <w:br w:type="page"/>
      </w:r>
    </w:p>
    <w:p>
      <w:pPr>
        <w:wordWrap w:val="0"/>
        <w:spacing w:line="360" w:lineRule="auto"/>
        <w:jc w:val="center"/>
        <w:outlineLvl w:val="1"/>
        <w:rPr>
          <w:rFonts w:ascii="宋体" w:hAnsi="宋体"/>
          <w:b/>
          <w:bCs/>
          <w:sz w:val="44"/>
          <w:szCs w:val="44"/>
          <w:highlight w:val="none"/>
        </w:rPr>
      </w:pPr>
      <w:bookmarkStart w:id="358" w:name="_Toc112854512"/>
      <w:bookmarkStart w:id="359" w:name="_Toc17451605"/>
      <w:bookmarkStart w:id="360" w:name="_Toc17556903"/>
      <w:bookmarkStart w:id="361" w:name="_Toc17451650"/>
      <w:bookmarkStart w:id="362" w:name="_Toc17454949"/>
      <w:bookmarkStart w:id="363" w:name="_Toc17451128"/>
      <w:bookmarkStart w:id="364" w:name="_Toc259524411"/>
      <w:bookmarkStart w:id="365" w:name="_Toc17452691"/>
      <w:bookmarkStart w:id="366" w:name="_Toc16270"/>
      <w:bookmarkStart w:id="367" w:name="_Toc19330"/>
      <w:bookmarkStart w:id="368" w:name="_Toc17454898"/>
      <w:bookmarkStart w:id="369" w:name="_Toc30279"/>
      <w:r>
        <w:rPr>
          <w:rFonts w:hint="eastAsia" w:ascii="宋体" w:hAnsi="宋体"/>
          <w:b/>
          <w:bCs/>
          <w:sz w:val="44"/>
          <w:szCs w:val="44"/>
          <w:highlight w:val="none"/>
        </w:rPr>
        <w:t>第八章 投标文件格式</w:t>
      </w:r>
      <w:bookmarkEnd w:id="358"/>
      <w:bookmarkEnd w:id="359"/>
      <w:bookmarkEnd w:id="360"/>
      <w:bookmarkEnd w:id="361"/>
      <w:bookmarkEnd w:id="362"/>
      <w:bookmarkEnd w:id="363"/>
      <w:bookmarkEnd w:id="364"/>
      <w:bookmarkEnd w:id="365"/>
      <w:bookmarkEnd w:id="366"/>
      <w:bookmarkEnd w:id="367"/>
      <w:bookmarkEnd w:id="368"/>
      <w:bookmarkEnd w:id="369"/>
    </w:p>
    <w:p>
      <w:pPr>
        <w:wordWrap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投标人应按以下规定的格式及要求编制投标文件，如电子投标文件没有按招标文件规定的格式及要求编制，因其所引起系统无法检索、读取电子投标文件中的数据时，其结果将由投标人自行承担。本格式及要求规定适用于电子评标项目的投标文件的编制。</w:t>
      </w:r>
    </w:p>
    <w:p>
      <w:pPr>
        <w:wordWrap w:val="0"/>
        <w:spacing w:line="360" w:lineRule="auto"/>
        <w:ind w:firstLine="480" w:firstLineChars="200"/>
        <w:rPr>
          <w:rFonts w:ascii="宋体" w:hAnsi="宋体"/>
          <w:sz w:val="24"/>
          <w:highlight w:val="none"/>
        </w:rPr>
      </w:pPr>
      <w:r>
        <w:rPr>
          <w:rFonts w:ascii="宋体" w:hAnsi="宋体"/>
          <w:sz w:val="24"/>
          <w:highlight w:val="none"/>
        </w:rPr>
        <w:t>1.1</w:t>
      </w:r>
      <w:r>
        <w:rPr>
          <w:rFonts w:hint="eastAsia" w:ascii="宋体" w:hAnsi="宋体"/>
          <w:sz w:val="24"/>
          <w:highlight w:val="none"/>
        </w:rPr>
        <w:t>《投标函附录》是投标文件的重要组成部分，其内容是投标人开标信息的主要来源，投标人应准确填写《投标函附录》的相关内容。</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1.2  </w:t>
      </w:r>
      <w:r>
        <w:rPr>
          <w:rFonts w:hint="eastAsia" w:ascii="宋体" w:hAnsi="宋体"/>
          <w:sz w:val="24"/>
          <w:highlight w:val="none"/>
        </w:rPr>
        <w:t>《投标函附录》内容按以下表述填写。</w:t>
      </w:r>
    </w:p>
    <w:p>
      <w:pPr>
        <w:wordWrap w:val="0"/>
        <w:spacing w:line="360" w:lineRule="auto"/>
        <w:ind w:firstLine="480" w:firstLineChars="200"/>
        <w:rPr>
          <w:rFonts w:ascii="宋体" w:hAnsi="宋体"/>
          <w:sz w:val="24"/>
          <w:highlight w:val="none"/>
        </w:rPr>
      </w:pPr>
      <w:r>
        <w:rPr>
          <w:rFonts w:hint="eastAsia" w:ascii="宋体" w:hAnsi="宋体"/>
          <w:sz w:val="24"/>
          <w:highlight w:val="none"/>
        </w:rPr>
        <w:t>投标总工期：“＿日历天”或“按招标文件的要求”；</w:t>
      </w:r>
    </w:p>
    <w:p>
      <w:pPr>
        <w:wordWrap w:val="0"/>
        <w:spacing w:line="360" w:lineRule="auto"/>
        <w:ind w:firstLine="480" w:firstLineChars="200"/>
        <w:rPr>
          <w:rFonts w:ascii="宋体" w:hAnsi="宋体"/>
          <w:sz w:val="24"/>
          <w:highlight w:val="none"/>
        </w:rPr>
      </w:pPr>
      <w:r>
        <w:rPr>
          <w:rFonts w:hint="eastAsia" w:ascii="宋体" w:hAnsi="宋体"/>
          <w:sz w:val="24"/>
          <w:highlight w:val="none"/>
        </w:rPr>
        <w:t>工程质量标准：“按招标文件的要求”；</w:t>
      </w:r>
    </w:p>
    <w:p>
      <w:pPr>
        <w:wordWrap w:val="0"/>
        <w:spacing w:line="360" w:lineRule="auto"/>
        <w:ind w:firstLine="480" w:firstLineChars="200"/>
        <w:rPr>
          <w:rFonts w:ascii="宋体" w:hAnsi="宋体"/>
          <w:sz w:val="24"/>
          <w:highlight w:val="none"/>
        </w:rPr>
      </w:pPr>
      <w:r>
        <w:rPr>
          <w:rFonts w:hint="eastAsia" w:ascii="宋体" w:hAnsi="宋体"/>
          <w:sz w:val="24"/>
          <w:highlight w:val="none"/>
        </w:rPr>
        <w:t>保修期限：“按《建设工程质量管理条例》规定”。</w:t>
      </w:r>
    </w:p>
    <w:p>
      <w:pPr>
        <w:wordWrap w:val="0"/>
        <w:spacing w:line="360" w:lineRule="auto"/>
        <w:ind w:firstLine="480" w:firstLineChars="200"/>
        <w:rPr>
          <w:rFonts w:ascii="宋体" w:hAnsi="宋体"/>
          <w:sz w:val="24"/>
          <w:highlight w:val="none"/>
        </w:rPr>
      </w:pPr>
      <w:r>
        <w:rPr>
          <w:rFonts w:ascii="宋体" w:hAnsi="宋体"/>
          <w:sz w:val="24"/>
          <w:highlight w:val="none"/>
        </w:rPr>
        <w:t>1.3</w:t>
      </w:r>
      <w:r>
        <w:rPr>
          <w:rFonts w:hint="eastAsia" w:ascii="宋体" w:hAnsi="宋体"/>
          <w:sz w:val="24"/>
          <w:highlight w:val="none"/>
        </w:rPr>
        <w:t>工程量清单报价表</w:t>
      </w:r>
      <w:r>
        <w:rPr>
          <w:rFonts w:hint="eastAsia" w:ascii="宋体" w:hAnsi="宋体"/>
          <w:sz w:val="24"/>
          <w:szCs w:val="24"/>
          <w:highlight w:val="none"/>
        </w:rPr>
        <w:t>工程量清单报价表应使用符合广东省标准《建设工程政府投资项目造价数据标准（</w:t>
      </w:r>
      <w:r>
        <w:rPr>
          <w:rFonts w:ascii="宋体" w:hAnsi="宋体"/>
          <w:sz w:val="24"/>
          <w:szCs w:val="24"/>
          <w:highlight w:val="none"/>
        </w:rPr>
        <w:t>DBJ/T15-145-2018</w:t>
      </w:r>
      <w:r>
        <w:rPr>
          <w:rFonts w:hint="eastAsia" w:ascii="宋体" w:hAnsi="宋体"/>
          <w:sz w:val="24"/>
          <w:szCs w:val="24"/>
          <w:highlight w:val="none"/>
        </w:rPr>
        <w:t>）》及后续版本的有关规定的</w:t>
      </w:r>
      <w:r>
        <w:rPr>
          <w:rFonts w:ascii="宋体" w:hAnsi="宋体"/>
          <w:sz w:val="24"/>
          <w:szCs w:val="24"/>
          <w:highlight w:val="none"/>
        </w:rPr>
        <w:t>cos</w:t>
      </w:r>
      <w:r>
        <w:rPr>
          <w:rFonts w:hint="eastAsia" w:ascii="宋体" w:hAnsi="宋体"/>
          <w:sz w:val="24"/>
          <w:szCs w:val="24"/>
          <w:highlight w:val="none"/>
        </w:rPr>
        <w:t>文件或者投标文件编制工具要求的文件格式，</w:t>
      </w:r>
      <w:r>
        <w:rPr>
          <w:rFonts w:hint="eastAsia" w:ascii="宋体" w:hAnsi="宋体"/>
          <w:sz w:val="24"/>
          <w:highlight w:val="none"/>
        </w:rPr>
        <w:t>《投标函附录》使用广州交易集团有限公司（广州公共资源交易中心）提供的电子投标文件管理软件直接填写，投标文件的其他内容均以电子文件编制。扫描图片电子文件要求为从扫描原纸质文件所形成的电子图片。图片文件格式要求为</w:t>
      </w:r>
      <w:r>
        <w:rPr>
          <w:rFonts w:ascii="宋体" w:hAnsi="宋体"/>
          <w:sz w:val="24"/>
          <w:highlight w:val="none"/>
        </w:rPr>
        <w:t>JPG</w:t>
      </w:r>
      <w:r>
        <w:rPr>
          <w:rFonts w:hint="eastAsia" w:ascii="宋体" w:hAnsi="宋体"/>
          <w:sz w:val="24"/>
          <w:highlight w:val="none"/>
        </w:rPr>
        <w:t>格式，文件名称要求与上述对应名称一致且唯一，文件内容（即扫描图片内容）要求与文件名称相符，电子图片要求清晰可辨，每个</w:t>
      </w:r>
      <w:r>
        <w:rPr>
          <w:rFonts w:ascii="宋体" w:hAnsi="宋体"/>
          <w:sz w:val="24"/>
          <w:highlight w:val="none"/>
        </w:rPr>
        <w:t>JPG</w:t>
      </w:r>
      <w:r>
        <w:rPr>
          <w:rFonts w:hint="eastAsia" w:ascii="宋体" w:hAnsi="宋体"/>
          <w:sz w:val="24"/>
          <w:highlight w:val="none"/>
        </w:rPr>
        <w:t>文件可包含多张扫描图片，单个</w:t>
      </w:r>
      <w:r>
        <w:rPr>
          <w:rFonts w:ascii="宋体" w:hAnsi="宋体"/>
          <w:sz w:val="24"/>
          <w:highlight w:val="none"/>
        </w:rPr>
        <w:t>JPG</w:t>
      </w:r>
      <w:r>
        <w:rPr>
          <w:rFonts w:hint="eastAsia" w:ascii="宋体" w:hAnsi="宋体"/>
          <w:sz w:val="24"/>
          <w:highlight w:val="none"/>
        </w:rPr>
        <w:t>文件大小要求在</w:t>
      </w:r>
      <w:r>
        <w:rPr>
          <w:rFonts w:ascii="宋体" w:hAnsi="宋体"/>
          <w:sz w:val="24"/>
          <w:highlight w:val="none"/>
        </w:rPr>
        <w:t>1M</w:t>
      </w:r>
      <w:r>
        <w:rPr>
          <w:rFonts w:hint="eastAsia" w:ascii="宋体" w:hAnsi="宋体"/>
          <w:sz w:val="24"/>
          <w:highlight w:val="none"/>
        </w:rPr>
        <w:t>以下。</w:t>
      </w:r>
    </w:p>
    <w:p>
      <w:pPr>
        <w:wordWrap w:val="0"/>
        <w:spacing w:line="360" w:lineRule="auto"/>
        <w:ind w:firstLine="480" w:firstLineChars="200"/>
        <w:rPr>
          <w:rFonts w:ascii="宋体" w:hAnsi="宋体"/>
          <w:sz w:val="24"/>
          <w:highlight w:val="none"/>
        </w:rPr>
      </w:pPr>
      <w:r>
        <w:rPr>
          <w:rFonts w:ascii="宋体" w:hAnsi="宋体"/>
          <w:sz w:val="24"/>
          <w:highlight w:val="none"/>
        </w:rPr>
        <w:t xml:space="preserve">1.4 </w:t>
      </w:r>
      <w:r>
        <w:rPr>
          <w:rFonts w:hint="eastAsia" w:ascii="宋体" w:hAnsi="宋体"/>
          <w:sz w:val="24"/>
          <w:highlight w:val="none"/>
        </w:rPr>
        <w:t>投标人为联合体投标时，应按以下规定填写。</w:t>
      </w:r>
    </w:p>
    <w:p>
      <w:pPr>
        <w:wordWrap w:val="0"/>
        <w:spacing w:line="360" w:lineRule="auto"/>
        <w:ind w:firstLine="480" w:firstLineChars="200"/>
        <w:rPr>
          <w:rFonts w:ascii="宋体" w:hAnsi="宋体"/>
          <w:sz w:val="24"/>
          <w:highlight w:val="none"/>
        </w:rPr>
      </w:pPr>
      <w:r>
        <w:rPr>
          <w:rFonts w:ascii="宋体" w:hAnsi="宋体"/>
          <w:sz w:val="24"/>
          <w:highlight w:val="none"/>
        </w:rPr>
        <w:t>1.4.1</w:t>
      </w:r>
      <w:r>
        <w:rPr>
          <w:rFonts w:hint="eastAsia" w:ascii="宋体" w:hAnsi="宋体"/>
          <w:sz w:val="24"/>
          <w:highlight w:val="none"/>
        </w:rPr>
        <w:t>投标人在广州交易集团有限公司（广州公共资源交易中心）信息登记时，必须将联合体的所有成员单位的全称填写完整。</w:t>
      </w:r>
    </w:p>
    <w:p>
      <w:pPr>
        <w:wordWrap w:val="0"/>
        <w:spacing w:line="360" w:lineRule="auto"/>
        <w:ind w:firstLine="480" w:firstLineChars="200"/>
        <w:rPr>
          <w:rFonts w:ascii="宋体" w:hAnsi="宋体"/>
          <w:sz w:val="24"/>
          <w:highlight w:val="none"/>
        </w:rPr>
      </w:pPr>
      <w:r>
        <w:rPr>
          <w:rFonts w:ascii="宋体" w:hAnsi="宋体"/>
          <w:sz w:val="24"/>
          <w:highlight w:val="none"/>
        </w:rPr>
        <w:t>1.4.2</w:t>
      </w:r>
      <w:r>
        <w:rPr>
          <w:rFonts w:hint="eastAsia" w:ascii="宋体" w:hAnsi="宋体"/>
          <w:sz w:val="24"/>
          <w:highlight w:val="none"/>
        </w:rPr>
        <w:t>投标人在编制工程量清单时应只填写主体单位全称，且要求填写的全称与广州交易集团有限公司（广州公共资源交易中心）登记名称完全一致。</w:t>
      </w:r>
    </w:p>
    <w:p>
      <w:pPr>
        <w:wordWrap w:val="0"/>
        <w:spacing w:line="360" w:lineRule="auto"/>
        <w:ind w:firstLine="480" w:firstLineChars="200"/>
        <w:rPr>
          <w:rFonts w:ascii="宋体" w:hAnsi="宋体"/>
          <w:sz w:val="24"/>
          <w:highlight w:val="none"/>
        </w:rPr>
      </w:pPr>
      <w:r>
        <w:rPr>
          <w:rFonts w:ascii="宋体" w:hAnsi="宋体"/>
          <w:sz w:val="24"/>
          <w:highlight w:val="none"/>
        </w:rPr>
        <w:t>1.5</w:t>
      </w:r>
      <w:r>
        <w:rPr>
          <w:rFonts w:hint="eastAsia" w:ascii="宋体" w:hAnsi="宋体"/>
          <w:sz w:val="24"/>
          <w:highlight w:val="none"/>
        </w:rPr>
        <w:t>投标文件中要求盖单位章的，均以盖电子签章为准。要求</w:t>
      </w:r>
      <w:r>
        <w:rPr>
          <w:rFonts w:hint="eastAsia" w:ascii="宋体" w:hAnsi="宋体"/>
          <w:sz w:val="24"/>
          <w:szCs w:val="24"/>
          <w:highlight w:val="none"/>
        </w:rPr>
        <w:t>规定法定代表人或授权委托人人、项目负责人和技术负责人签字的页面必须签字。签字必须由本人在规定页面手写签名或签章后扫描上传。</w:t>
      </w:r>
    </w:p>
    <w:p>
      <w:pPr>
        <w:widowControl/>
        <w:wordWrap w:val="0"/>
        <w:ind w:firstLine="480" w:firstLineChars="200"/>
        <w:jc w:val="left"/>
        <w:rPr>
          <w:rFonts w:ascii="宋体" w:hAnsi="宋体"/>
          <w:sz w:val="24"/>
          <w:highlight w:val="none"/>
        </w:rPr>
      </w:pPr>
      <w:r>
        <w:rPr>
          <w:rFonts w:ascii="宋体" w:hAnsi="宋体"/>
          <w:sz w:val="24"/>
          <w:highlight w:val="none"/>
        </w:rPr>
        <w:br w:type="page"/>
      </w:r>
    </w:p>
    <w:p>
      <w:pPr>
        <w:pStyle w:val="7"/>
        <w:wordWrap w:val="0"/>
        <w:ind w:firstLine="0" w:firstLineChars="0"/>
        <w:rPr>
          <w:highlight w:val="none"/>
        </w:rPr>
      </w:pPr>
    </w:p>
    <w:p>
      <w:pPr>
        <w:wordWrap w:val="0"/>
        <w:spacing w:line="400" w:lineRule="exact"/>
        <w:rPr>
          <w:rFonts w:ascii="宋体" w:hAnsi="宋体"/>
          <w:sz w:val="19"/>
          <w:szCs w:val="19"/>
          <w:highlight w:val="none"/>
        </w:rPr>
      </w:pPr>
    </w:p>
    <w:p>
      <w:pPr>
        <w:pStyle w:val="18"/>
        <w:wordWrap w:val="0"/>
        <w:spacing w:line="360" w:lineRule="auto"/>
        <w:jc w:val="center"/>
        <w:rPr>
          <w:rFonts w:hint="eastAsia" w:eastAsia="宋体"/>
          <w:b/>
          <w:sz w:val="44"/>
          <w:szCs w:val="44"/>
          <w:highlight w:val="none"/>
          <w:u w:val="none"/>
          <w:lang w:eastAsia="zh-CN"/>
        </w:rPr>
      </w:pPr>
      <w:bookmarkStart w:id="370" w:name="_Toc221951910"/>
      <w:r>
        <w:rPr>
          <w:rFonts w:hint="eastAsia" w:eastAsia="宋体"/>
          <w:b/>
          <w:sz w:val="44"/>
          <w:szCs w:val="44"/>
          <w:highlight w:val="none"/>
          <w:u w:val="none"/>
          <w:lang w:eastAsia="zh-CN"/>
        </w:rPr>
        <w:t>黄埔大道971号大院等5个雨污分流管道改造联合采购项目</w:t>
      </w:r>
    </w:p>
    <w:bookmarkEnd w:id="370"/>
    <w:p>
      <w:pPr>
        <w:pStyle w:val="7"/>
        <w:wordWrap w:val="0"/>
        <w:ind w:firstLine="0" w:firstLineChars="0"/>
        <w:rPr>
          <w:highlight w:val="none"/>
        </w:rPr>
      </w:pPr>
      <w:bookmarkStart w:id="371" w:name="_Toc221951911"/>
    </w:p>
    <w:p>
      <w:pPr>
        <w:wordWrap w:val="0"/>
        <w:spacing w:line="400" w:lineRule="exact"/>
        <w:rPr>
          <w:rFonts w:ascii="宋体" w:hAnsi="宋体"/>
          <w:sz w:val="19"/>
          <w:szCs w:val="19"/>
          <w:highlight w:val="none"/>
        </w:rPr>
      </w:pPr>
    </w:p>
    <w:p>
      <w:pPr>
        <w:pStyle w:val="7"/>
        <w:wordWrap w:val="0"/>
        <w:ind w:firstLine="0" w:firstLineChars="0"/>
        <w:rPr>
          <w:highlight w:val="none"/>
        </w:rPr>
      </w:pPr>
    </w:p>
    <w:p>
      <w:pPr>
        <w:wordWrap w:val="0"/>
        <w:spacing w:line="400" w:lineRule="exact"/>
        <w:rPr>
          <w:rFonts w:ascii="宋体" w:hAnsi="宋体"/>
          <w:sz w:val="19"/>
          <w:szCs w:val="19"/>
          <w:highlight w:val="none"/>
        </w:rPr>
      </w:pPr>
    </w:p>
    <w:p>
      <w:pPr>
        <w:pStyle w:val="7"/>
        <w:wordWrap w:val="0"/>
        <w:ind w:firstLine="0" w:firstLineChars="0"/>
        <w:rPr>
          <w:highlight w:val="none"/>
        </w:rPr>
      </w:pPr>
    </w:p>
    <w:p>
      <w:pPr>
        <w:wordWrap w:val="0"/>
        <w:spacing w:line="400" w:lineRule="exact"/>
        <w:rPr>
          <w:rFonts w:ascii="宋体" w:hAnsi="宋体"/>
          <w:sz w:val="19"/>
          <w:szCs w:val="19"/>
          <w:highlight w:val="none"/>
        </w:rPr>
      </w:pPr>
    </w:p>
    <w:p>
      <w:pPr>
        <w:pStyle w:val="7"/>
        <w:wordWrap w:val="0"/>
        <w:ind w:firstLine="0" w:firstLineChars="0"/>
        <w:rPr>
          <w:highlight w:val="none"/>
        </w:rPr>
      </w:pPr>
    </w:p>
    <w:p>
      <w:pPr>
        <w:wordWrap w:val="0"/>
        <w:spacing w:line="400" w:lineRule="exact"/>
        <w:rPr>
          <w:rFonts w:ascii="宋体" w:hAnsi="宋体"/>
          <w:sz w:val="19"/>
          <w:szCs w:val="19"/>
          <w:highlight w:val="none"/>
        </w:rPr>
      </w:pPr>
    </w:p>
    <w:p>
      <w:pPr>
        <w:wordWrap w:val="0"/>
        <w:spacing w:line="360" w:lineRule="auto"/>
        <w:jc w:val="center"/>
        <w:rPr>
          <w:rFonts w:ascii="宋体" w:hAnsi="宋体"/>
          <w:sz w:val="72"/>
          <w:szCs w:val="72"/>
          <w:highlight w:val="none"/>
        </w:rPr>
      </w:pPr>
      <w:r>
        <w:rPr>
          <w:rFonts w:hint="eastAsia" w:ascii="宋体" w:hAnsi="宋体"/>
          <w:sz w:val="72"/>
          <w:szCs w:val="72"/>
          <w:highlight w:val="none"/>
        </w:rPr>
        <w:t>投标文件</w:t>
      </w:r>
      <w:bookmarkEnd w:id="371"/>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rPr>
          <w:rFonts w:ascii="宋体" w:hAnsi="宋体"/>
          <w:sz w:val="27"/>
          <w:szCs w:val="27"/>
          <w:highlight w:val="none"/>
        </w:rPr>
      </w:pPr>
    </w:p>
    <w:p>
      <w:pPr>
        <w:wordWrap w:val="0"/>
        <w:spacing w:line="400" w:lineRule="exact"/>
        <w:ind w:firstLine="540" w:firstLineChars="200"/>
        <w:jc w:val="center"/>
        <w:rPr>
          <w:rFonts w:ascii="宋体" w:hAnsi="宋体"/>
          <w:sz w:val="27"/>
          <w:szCs w:val="27"/>
          <w:highlight w:val="none"/>
        </w:rPr>
      </w:pPr>
      <w:bookmarkStart w:id="372" w:name="_Toc221951912"/>
      <w:r>
        <w:rPr>
          <w:rFonts w:hint="eastAsia" w:ascii="宋体" w:hAnsi="宋体"/>
          <w:sz w:val="27"/>
          <w:szCs w:val="27"/>
          <w:highlight w:val="none"/>
        </w:rPr>
        <w:t>投标人：（盖单位章）</w:t>
      </w:r>
      <w:bookmarkEnd w:id="372"/>
    </w:p>
    <w:p>
      <w:pPr>
        <w:wordWrap w:val="0"/>
        <w:spacing w:line="400" w:lineRule="exact"/>
        <w:jc w:val="center"/>
        <w:rPr>
          <w:rFonts w:ascii="宋体" w:hAnsi="宋体"/>
          <w:sz w:val="27"/>
          <w:szCs w:val="27"/>
          <w:highlight w:val="none"/>
          <w:u w:val="single"/>
        </w:rPr>
      </w:pPr>
    </w:p>
    <w:p>
      <w:pPr>
        <w:wordWrap w:val="0"/>
        <w:spacing w:line="400" w:lineRule="exact"/>
        <w:ind w:firstLine="540" w:firstLineChars="200"/>
        <w:jc w:val="center"/>
        <w:rPr>
          <w:rFonts w:ascii="宋体" w:hAnsi="宋体"/>
          <w:sz w:val="27"/>
          <w:szCs w:val="27"/>
          <w:highlight w:val="none"/>
        </w:rPr>
      </w:pPr>
      <w:bookmarkStart w:id="373" w:name="_Toc221951914"/>
      <w:r>
        <w:rPr>
          <w:rFonts w:hint="eastAsia" w:ascii="宋体" w:hAnsi="宋体"/>
          <w:sz w:val="27"/>
          <w:szCs w:val="27"/>
          <w:highlight w:val="none"/>
        </w:rPr>
        <w:t>年  月  日</w:t>
      </w:r>
      <w:bookmarkEnd w:id="373"/>
    </w:p>
    <w:p>
      <w:pPr>
        <w:wordWrap w:val="0"/>
        <w:spacing w:line="400" w:lineRule="exact"/>
        <w:ind w:firstLine="400" w:firstLineChars="200"/>
        <w:rPr>
          <w:rFonts w:ascii="宋体" w:hAnsi="宋体"/>
          <w:sz w:val="20"/>
          <w:szCs w:val="20"/>
          <w:highlight w:val="none"/>
        </w:rPr>
      </w:pPr>
      <w:r>
        <w:rPr>
          <w:rFonts w:ascii="宋体" w:hAnsi="宋体"/>
          <w:sz w:val="20"/>
          <w:szCs w:val="20"/>
          <w:highlight w:val="none"/>
        </w:rPr>
        <w:br w:type="page"/>
      </w:r>
    </w:p>
    <w:p>
      <w:pPr>
        <w:wordWrap w:val="0"/>
        <w:spacing w:line="360" w:lineRule="auto"/>
        <w:ind w:firstLine="562" w:firstLineChars="200"/>
        <w:jc w:val="center"/>
        <w:outlineLvl w:val="2"/>
        <w:rPr>
          <w:rFonts w:ascii="宋体" w:hAnsi="宋体"/>
          <w:b/>
          <w:bCs/>
          <w:sz w:val="28"/>
          <w:szCs w:val="27"/>
          <w:highlight w:val="none"/>
        </w:rPr>
      </w:pPr>
      <w:bookmarkStart w:id="374" w:name="_Toc229305419"/>
      <w:bookmarkStart w:id="375" w:name="_Toc259524413"/>
      <w:bookmarkStart w:id="376" w:name="_Toc17451606"/>
      <w:bookmarkStart w:id="377" w:name="_Toc17556904"/>
      <w:bookmarkStart w:id="378" w:name="_Toc17451129"/>
      <w:bookmarkStart w:id="379" w:name="_Toc17454899"/>
      <w:bookmarkStart w:id="380" w:name="_Toc29479"/>
      <w:bookmarkStart w:id="381" w:name="_Toc9367"/>
      <w:bookmarkStart w:id="382" w:name="_Toc17452692"/>
      <w:bookmarkStart w:id="383" w:name="_Toc17451651"/>
      <w:bookmarkStart w:id="384" w:name="_Toc9222"/>
      <w:bookmarkStart w:id="385" w:name="_Toc112854513"/>
      <w:bookmarkStart w:id="386" w:name="_Toc17454950"/>
      <w:r>
        <w:rPr>
          <w:rFonts w:hint="eastAsia" w:ascii="宋体" w:hAnsi="宋体"/>
          <w:b/>
          <w:bCs/>
          <w:sz w:val="28"/>
          <w:szCs w:val="27"/>
          <w:highlight w:val="none"/>
        </w:rPr>
        <w:t>目录</w:t>
      </w:r>
      <w:bookmarkEnd w:id="374"/>
      <w:bookmarkEnd w:id="375"/>
      <w:r>
        <w:rPr>
          <w:rFonts w:hint="eastAsia" w:ascii="宋体" w:hAnsi="宋体"/>
          <w:b/>
          <w:bCs/>
          <w:szCs w:val="21"/>
          <w:highlight w:val="none"/>
        </w:rPr>
        <w:t>（可加上二级目录）</w:t>
      </w:r>
      <w:bookmarkEnd w:id="376"/>
      <w:bookmarkEnd w:id="377"/>
      <w:bookmarkEnd w:id="378"/>
      <w:bookmarkEnd w:id="379"/>
      <w:bookmarkEnd w:id="380"/>
      <w:bookmarkEnd w:id="381"/>
      <w:bookmarkEnd w:id="382"/>
      <w:bookmarkEnd w:id="383"/>
      <w:bookmarkEnd w:id="384"/>
      <w:bookmarkEnd w:id="385"/>
      <w:bookmarkEnd w:id="386"/>
    </w:p>
    <w:p>
      <w:pPr>
        <w:wordWrap w:val="0"/>
        <w:spacing w:line="400" w:lineRule="exact"/>
        <w:rPr>
          <w:rFonts w:ascii="宋体" w:hAnsi="宋体"/>
          <w:sz w:val="20"/>
          <w:szCs w:val="20"/>
          <w:highlight w:val="none"/>
        </w:rPr>
      </w:pPr>
    </w:p>
    <w:p>
      <w:pPr>
        <w:wordWrap w:val="0"/>
        <w:spacing w:line="360" w:lineRule="auto"/>
        <w:ind w:firstLine="480" w:firstLineChars="200"/>
        <w:rPr>
          <w:rFonts w:ascii="宋体" w:hAnsi="宋体"/>
          <w:sz w:val="24"/>
          <w:szCs w:val="24"/>
          <w:highlight w:val="none"/>
        </w:rPr>
      </w:pPr>
      <w:bookmarkStart w:id="387" w:name="_Toc221951916"/>
      <w:r>
        <w:rPr>
          <w:rFonts w:hint="eastAsia" w:ascii="宋体" w:hAnsi="宋体"/>
          <w:sz w:val="24"/>
          <w:szCs w:val="24"/>
          <w:highlight w:val="none"/>
        </w:rPr>
        <w:t>一、投标函及投标函附录</w:t>
      </w:r>
      <w:bookmarkEnd w:id="387"/>
    </w:p>
    <w:p>
      <w:pPr>
        <w:wordWrap w:val="0"/>
        <w:spacing w:line="360" w:lineRule="auto"/>
        <w:ind w:firstLine="480" w:firstLineChars="200"/>
        <w:rPr>
          <w:rFonts w:ascii="宋体" w:hAnsi="宋体"/>
          <w:sz w:val="24"/>
          <w:szCs w:val="24"/>
          <w:highlight w:val="none"/>
        </w:rPr>
      </w:pPr>
      <w:bookmarkStart w:id="388" w:name="_Toc221951917"/>
      <w:r>
        <w:rPr>
          <w:rFonts w:hint="eastAsia" w:ascii="宋体" w:hAnsi="宋体"/>
          <w:sz w:val="24"/>
          <w:szCs w:val="24"/>
          <w:highlight w:val="none"/>
        </w:rPr>
        <w:t>二、法定代表人身份证明</w:t>
      </w:r>
    </w:p>
    <w:p>
      <w:pPr>
        <w:wordWrap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三、授权委托书</w:t>
      </w:r>
      <w:bookmarkEnd w:id="388"/>
    </w:p>
    <w:p>
      <w:pPr>
        <w:wordWrap w:val="0"/>
        <w:spacing w:line="360" w:lineRule="auto"/>
        <w:ind w:firstLine="480" w:firstLineChars="200"/>
        <w:rPr>
          <w:rFonts w:ascii="宋体" w:hAnsi="宋体"/>
          <w:sz w:val="24"/>
          <w:szCs w:val="24"/>
          <w:highlight w:val="none"/>
        </w:rPr>
      </w:pPr>
      <w:bookmarkStart w:id="389" w:name="_Toc221951920"/>
      <w:r>
        <w:rPr>
          <w:rFonts w:hint="eastAsia" w:ascii="宋体" w:hAnsi="宋体"/>
          <w:sz w:val="24"/>
          <w:szCs w:val="24"/>
          <w:highlight w:val="none"/>
        </w:rPr>
        <w:t>四、已标价工程量清单</w:t>
      </w:r>
      <w:bookmarkEnd w:id="389"/>
    </w:p>
    <w:p>
      <w:pPr>
        <w:wordWrap w:val="0"/>
        <w:spacing w:line="360" w:lineRule="auto"/>
        <w:ind w:firstLine="480" w:firstLineChars="200"/>
        <w:rPr>
          <w:rFonts w:ascii="宋体" w:hAnsi="宋体"/>
          <w:sz w:val="24"/>
          <w:szCs w:val="24"/>
          <w:highlight w:val="none"/>
        </w:rPr>
      </w:pPr>
      <w:bookmarkStart w:id="390" w:name="_Toc221951921"/>
      <w:r>
        <w:rPr>
          <w:rFonts w:hint="eastAsia" w:ascii="宋体" w:hAnsi="宋体"/>
          <w:sz w:val="24"/>
          <w:szCs w:val="24"/>
          <w:highlight w:val="none"/>
        </w:rPr>
        <w:t>五、</w:t>
      </w:r>
      <w:bookmarkEnd w:id="390"/>
      <w:bookmarkStart w:id="391" w:name="_Toc221951922"/>
      <w:r>
        <w:rPr>
          <w:rFonts w:hint="eastAsia" w:ascii="宋体" w:hAnsi="宋体"/>
          <w:sz w:val="24"/>
          <w:szCs w:val="24"/>
          <w:highlight w:val="none"/>
        </w:rPr>
        <w:t>项目管理机构</w:t>
      </w:r>
      <w:bookmarkEnd w:id="391"/>
    </w:p>
    <w:p>
      <w:pPr>
        <w:wordWrap w:val="0"/>
        <w:spacing w:line="360" w:lineRule="auto"/>
        <w:ind w:firstLine="480" w:firstLineChars="200"/>
        <w:rPr>
          <w:rFonts w:ascii="宋体" w:hAnsi="宋体"/>
          <w:sz w:val="24"/>
          <w:szCs w:val="24"/>
          <w:highlight w:val="none"/>
        </w:rPr>
      </w:pPr>
      <w:bookmarkStart w:id="392" w:name="_Toc221951924"/>
      <w:r>
        <w:rPr>
          <w:rFonts w:hint="eastAsia" w:ascii="宋体" w:hAnsi="宋体"/>
          <w:sz w:val="24"/>
          <w:szCs w:val="24"/>
          <w:highlight w:val="none"/>
          <w:lang w:val="en-US" w:eastAsia="zh-CN"/>
        </w:rPr>
        <w:t>六</w:t>
      </w:r>
      <w:r>
        <w:rPr>
          <w:rFonts w:hint="eastAsia" w:ascii="宋体" w:hAnsi="宋体"/>
          <w:sz w:val="24"/>
          <w:szCs w:val="24"/>
          <w:highlight w:val="none"/>
        </w:rPr>
        <w:t>、资格审查资料</w:t>
      </w:r>
      <w:bookmarkEnd w:id="392"/>
    </w:p>
    <w:p>
      <w:pPr>
        <w:wordWrap w:val="0"/>
        <w:spacing w:line="360" w:lineRule="auto"/>
        <w:ind w:firstLine="480" w:firstLineChars="200"/>
        <w:rPr>
          <w:rFonts w:ascii="宋体" w:hAnsi="宋体"/>
          <w:sz w:val="24"/>
          <w:szCs w:val="24"/>
          <w:highlight w:val="none"/>
        </w:rPr>
      </w:pPr>
      <w:bookmarkStart w:id="393" w:name="_Toc221951925"/>
      <w:r>
        <w:rPr>
          <w:rFonts w:hint="eastAsia" w:ascii="宋体" w:hAnsi="宋体"/>
          <w:sz w:val="24"/>
          <w:szCs w:val="24"/>
          <w:highlight w:val="none"/>
          <w:lang w:val="en-US" w:eastAsia="zh-CN"/>
        </w:rPr>
        <w:t>七</w:t>
      </w:r>
      <w:r>
        <w:rPr>
          <w:rFonts w:hint="eastAsia" w:ascii="宋体" w:hAnsi="宋体"/>
          <w:sz w:val="24"/>
          <w:szCs w:val="24"/>
          <w:highlight w:val="none"/>
        </w:rPr>
        <w:t>、</w:t>
      </w:r>
      <w:bookmarkEnd w:id="393"/>
      <w:r>
        <w:rPr>
          <w:rFonts w:hint="eastAsia" w:ascii="宋体" w:hAnsi="宋体"/>
          <w:sz w:val="24"/>
          <w:szCs w:val="24"/>
          <w:highlight w:val="none"/>
        </w:rPr>
        <w:t>投标人须知前附表规定的其他材料</w:t>
      </w:r>
    </w:p>
    <w:p>
      <w:pPr>
        <w:wordWrap w:val="0"/>
        <w:spacing w:line="276" w:lineRule="auto"/>
        <w:ind w:firstLine="400" w:firstLineChars="200"/>
        <w:rPr>
          <w:rFonts w:ascii="宋体" w:hAnsi="宋体"/>
          <w:sz w:val="19"/>
          <w:szCs w:val="19"/>
          <w:highlight w:val="none"/>
        </w:rPr>
      </w:pPr>
      <w:r>
        <w:rPr>
          <w:rFonts w:ascii="宋体" w:hAnsi="宋体"/>
          <w:sz w:val="20"/>
          <w:szCs w:val="20"/>
          <w:highlight w:val="none"/>
        </w:rPr>
        <w:br w:type="page"/>
      </w:r>
    </w:p>
    <w:p>
      <w:pPr>
        <w:wordWrap w:val="0"/>
        <w:spacing w:line="360" w:lineRule="auto"/>
        <w:jc w:val="center"/>
        <w:outlineLvl w:val="2"/>
        <w:rPr>
          <w:rFonts w:ascii="宋体" w:hAnsi="宋体"/>
          <w:b/>
          <w:bCs/>
          <w:sz w:val="28"/>
          <w:szCs w:val="27"/>
          <w:highlight w:val="none"/>
        </w:rPr>
      </w:pPr>
      <w:bookmarkStart w:id="394" w:name="_Toc259524414"/>
      <w:bookmarkStart w:id="395" w:name="_Toc168475915"/>
      <w:bookmarkStart w:id="396" w:name="_Toc221951926"/>
      <w:bookmarkStart w:id="397" w:name="_Toc17454900"/>
      <w:bookmarkStart w:id="398" w:name="_Toc168476318"/>
      <w:bookmarkStart w:id="399" w:name="_Toc112854514"/>
      <w:bookmarkStart w:id="400" w:name="_Toc222033911"/>
      <w:bookmarkStart w:id="401" w:name="_Toc17451652"/>
      <w:bookmarkStart w:id="402" w:name="_Toc9801"/>
      <w:bookmarkStart w:id="403" w:name="_Toc229305420"/>
      <w:bookmarkStart w:id="404" w:name="_Toc23565"/>
      <w:bookmarkStart w:id="405" w:name="_Toc222031062"/>
      <w:bookmarkStart w:id="406" w:name="_Toc17454951"/>
      <w:bookmarkStart w:id="407" w:name="_Toc144974857"/>
      <w:bookmarkStart w:id="408" w:name="_Toc17452693"/>
      <w:bookmarkStart w:id="409" w:name="_Toc222032729"/>
      <w:bookmarkStart w:id="410" w:name="_Toc17451130"/>
      <w:bookmarkStart w:id="411" w:name="_Toc222029560"/>
      <w:bookmarkStart w:id="412" w:name="_Toc17451607"/>
      <w:bookmarkStart w:id="413" w:name="_Toc20588"/>
      <w:bookmarkStart w:id="414" w:name="_Toc17556905"/>
      <w:r>
        <w:rPr>
          <w:rFonts w:hint="eastAsia" w:ascii="宋体" w:hAnsi="宋体"/>
          <w:b/>
          <w:bCs/>
          <w:sz w:val="28"/>
          <w:szCs w:val="27"/>
          <w:highlight w:val="none"/>
        </w:rPr>
        <w:t>一、投标函及投标函附录</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wordWrap w:val="0"/>
        <w:spacing w:line="400" w:lineRule="exact"/>
        <w:jc w:val="center"/>
        <w:outlineLvl w:val="3"/>
        <w:rPr>
          <w:rFonts w:ascii="宋体" w:hAnsi="宋体" w:cs="宋体"/>
          <w:b/>
          <w:szCs w:val="21"/>
          <w:highlight w:val="none"/>
        </w:rPr>
      </w:pPr>
      <w:bookmarkStart w:id="415" w:name="_Toc144974858"/>
      <w:bookmarkStart w:id="416" w:name="_Toc168476319"/>
      <w:bookmarkStart w:id="417" w:name="_Toc221951927"/>
      <w:bookmarkStart w:id="418" w:name="_Toc168475916"/>
      <w:r>
        <w:rPr>
          <w:rFonts w:hint="eastAsia" w:ascii="宋体" w:hAnsi="宋体" w:cs="宋体"/>
          <w:b/>
          <w:szCs w:val="21"/>
          <w:highlight w:val="none"/>
        </w:rPr>
        <w:t>注：投标函及投标函附录以此格式为准，制作电子投标文件时请在其他投标格式中上传广州公共资源交易平台系统的格式。</w:t>
      </w:r>
    </w:p>
    <w:p>
      <w:pPr>
        <w:wordWrap w:val="0"/>
        <w:spacing w:line="400" w:lineRule="exact"/>
        <w:jc w:val="center"/>
        <w:outlineLvl w:val="3"/>
        <w:rPr>
          <w:rFonts w:ascii="宋体" w:hAnsi="宋体"/>
          <w:b/>
          <w:sz w:val="24"/>
          <w:szCs w:val="31"/>
          <w:highlight w:val="none"/>
        </w:rPr>
      </w:pPr>
      <w:r>
        <w:rPr>
          <w:rFonts w:hint="eastAsia" w:ascii="宋体" w:hAnsi="宋体"/>
          <w:b/>
          <w:sz w:val="24"/>
          <w:szCs w:val="31"/>
          <w:highlight w:val="none"/>
        </w:rPr>
        <w:t>（一）投标函</w:t>
      </w:r>
      <w:bookmarkEnd w:id="415"/>
      <w:bookmarkEnd w:id="416"/>
      <w:bookmarkEnd w:id="417"/>
      <w:bookmarkEnd w:id="418"/>
    </w:p>
    <w:p>
      <w:pPr>
        <w:wordWrap w:val="0"/>
        <w:spacing w:line="400" w:lineRule="exact"/>
        <w:ind w:firstLine="420" w:firstLineChars="200"/>
        <w:rPr>
          <w:rFonts w:ascii="宋体" w:hAnsi="宋体"/>
          <w:szCs w:val="21"/>
          <w:highlight w:val="none"/>
        </w:rPr>
      </w:pPr>
      <w:bookmarkStart w:id="419" w:name="_Toc221951928"/>
      <w:r>
        <w:rPr>
          <w:rFonts w:hint="eastAsia" w:ascii="宋体" w:hAnsi="宋体"/>
          <w:szCs w:val="21"/>
          <w:highlight w:val="none"/>
        </w:rPr>
        <w:t>（招标人名称）：</w:t>
      </w:r>
      <w:bookmarkEnd w:id="419"/>
    </w:p>
    <w:p>
      <w:pPr>
        <w:wordWrap w:val="0"/>
        <w:spacing w:line="400" w:lineRule="exact"/>
        <w:rPr>
          <w:rFonts w:ascii="宋体" w:hAnsi="宋体"/>
          <w:szCs w:val="21"/>
          <w:highlight w:val="none"/>
        </w:rPr>
      </w:pPr>
    </w:p>
    <w:p>
      <w:pPr>
        <w:wordWrap w:val="0"/>
        <w:spacing w:line="400" w:lineRule="exact"/>
        <w:ind w:firstLine="420" w:firstLineChars="200"/>
        <w:rPr>
          <w:rFonts w:ascii="宋体" w:hAnsi="宋体"/>
          <w:szCs w:val="21"/>
          <w:highlight w:val="none"/>
        </w:rPr>
      </w:pPr>
      <w:bookmarkStart w:id="420" w:name="_Toc221951929"/>
      <w:r>
        <w:rPr>
          <w:rFonts w:ascii="宋体" w:hAnsi="宋体"/>
          <w:szCs w:val="21"/>
          <w:highlight w:val="none"/>
        </w:rPr>
        <w:t>1</w:t>
      </w:r>
      <w:r>
        <w:rPr>
          <w:rFonts w:hint="eastAsia" w:ascii="宋体" w:hAnsi="宋体"/>
          <w:szCs w:val="21"/>
          <w:highlight w:val="none"/>
        </w:rPr>
        <w:t>．我方已仔细研究了</w:t>
      </w:r>
      <w:r>
        <w:rPr>
          <w:rFonts w:hint="eastAsia" w:ascii="宋体" w:hAnsi="宋体"/>
          <w:szCs w:val="21"/>
          <w:highlight w:val="none"/>
          <w:u w:val="single"/>
          <w:lang w:eastAsia="zh-CN"/>
        </w:rPr>
        <w:t>黄埔大道971号大院等5个雨污分流管道改造联合采购项目</w:t>
      </w:r>
      <w:r>
        <w:rPr>
          <w:rFonts w:hint="eastAsia" w:ascii="宋体" w:hAnsi="宋体"/>
          <w:szCs w:val="21"/>
          <w:highlight w:val="none"/>
        </w:rPr>
        <w:t>招标文件的全部内容，愿意以人民币（大写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）的投标总报价，工期</w:t>
      </w:r>
      <w:r>
        <w:rPr>
          <w:rFonts w:hint="eastAsia" w:ascii="宋体" w:hAnsi="宋体"/>
          <w:szCs w:val="21"/>
          <w:highlight w:val="none"/>
          <w:u w:val="single"/>
        </w:rPr>
        <w:t xml:space="preserve">    </w:t>
      </w:r>
      <w:r>
        <w:rPr>
          <w:rFonts w:hint="eastAsia" w:ascii="宋体" w:hAnsi="宋体"/>
          <w:szCs w:val="21"/>
          <w:highlight w:val="none"/>
        </w:rPr>
        <w:t>日历天，按合同约定实施和完成承包工程，修补工程中的任何缺陷，工程质量达到</w:t>
      </w:r>
      <w:r>
        <w:rPr>
          <w:rFonts w:hint="eastAsia" w:ascii="宋体" w:hAnsi="宋体"/>
          <w:szCs w:val="21"/>
          <w:highlight w:val="none"/>
          <w:u w:val="single"/>
        </w:rPr>
        <w:t xml:space="preserve">    </w:t>
      </w:r>
      <w:r>
        <w:rPr>
          <w:rFonts w:hint="eastAsia" w:ascii="宋体" w:hAnsi="宋体"/>
          <w:szCs w:val="21"/>
          <w:highlight w:val="none"/>
        </w:rPr>
        <w:t>。</w:t>
      </w:r>
      <w:bookmarkEnd w:id="420"/>
    </w:p>
    <w:p>
      <w:pPr>
        <w:wordWrap w:val="0"/>
        <w:spacing w:line="400" w:lineRule="exact"/>
        <w:ind w:firstLine="420" w:firstLineChars="200"/>
        <w:jc w:val="left"/>
        <w:rPr>
          <w:rFonts w:ascii="宋体" w:hAnsi="宋体"/>
          <w:szCs w:val="21"/>
          <w:highlight w:val="none"/>
        </w:rPr>
      </w:pPr>
      <w:bookmarkStart w:id="421" w:name="_Toc221951930"/>
      <w:r>
        <w:rPr>
          <w:rFonts w:ascii="宋体" w:hAnsi="宋体"/>
          <w:szCs w:val="21"/>
          <w:highlight w:val="none"/>
        </w:rPr>
        <w:t>2</w:t>
      </w:r>
      <w:r>
        <w:rPr>
          <w:rFonts w:hint="eastAsia" w:ascii="宋体" w:hAnsi="宋体"/>
          <w:szCs w:val="21"/>
          <w:highlight w:val="none"/>
        </w:rPr>
        <w:t>．我方承诺在投标有效期内不补充、修改、替代或撤回本投标文件。</w:t>
      </w:r>
      <w:bookmarkEnd w:id="421"/>
    </w:p>
    <w:p>
      <w:pPr>
        <w:wordWrap w:val="0"/>
        <w:spacing w:line="400" w:lineRule="exact"/>
        <w:ind w:firstLine="420" w:firstLineChars="200"/>
        <w:rPr>
          <w:rFonts w:ascii="宋体" w:hAnsi="宋体"/>
          <w:szCs w:val="21"/>
          <w:highlight w:val="none"/>
        </w:rPr>
      </w:pPr>
      <w:bookmarkStart w:id="422" w:name="_Toc221951931"/>
      <w:r>
        <w:rPr>
          <w:rFonts w:ascii="宋体" w:hAnsi="宋体"/>
          <w:szCs w:val="21"/>
          <w:highlight w:val="none"/>
        </w:rPr>
        <w:t>3</w:t>
      </w:r>
      <w:r>
        <w:rPr>
          <w:rFonts w:hint="eastAsia" w:ascii="宋体" w:hAnsi="宋体"/>
          <w:szCs w:val="21"/>
          <w:highlight w:val="none"/>
        </w:rPr>
        <w:t>．</w:t>
      </w:r>
      <w:bookmarkEnd w:id="422"/>
      <w:bookmarkStart w:id="423" w:name="_Toc221951932"/>
      <w:r>
        <w:rPr>
          <w:rFonts w:hint="eastAsia" w:ascii="宋体" w:hAnsi="宋体"/>
          <w:szCs w:val="21"/>
          <w:highlight w:val="none"/>
        </w:rPr>
        <w:t>如我方中标：</w:t>
      </w:r>
      <w:bookmarkEnd w:id="423"/>
    </w:p>
    <w:p>
      <w:pPr>
        <w:wordWrap w:val="0"/>
        <w:spacing w:line="400" w:lineRule="exact"/>
        <w:ind w:firstLine="420" w:firstLineChars="200"/>
        <w:rPr>
          <w:rFonts w:ascii="宋体" w:hAnsi="宋体"/>
          <w:szCs w:val="21"/>
          <w:highlight w:val="none"/>
        </w:rPr>
      </w:pPr>
      <w:bookmarkStart w:id="424" w:name="_Toc221951933"/>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）我方承诺在收到中标通知书后，在中标通知书规定的期限内与你方签订合同。</w:t>
      </w:r>
      <w:bookmarkEnd w:id="424"/>
    </w:p>
    <w:p>
      <w:pPr>
        <w:wordWrap w:val="0"/>
        <w:spacing w:line="400" w:lineRule="exact"/>
        <w:ind w:firstLine="420" w:firstLineChars="200"/>
        <w:rPr>
          <w:rFonts w:ascii="宋体" w:hAnsi="宋体"/>
          <w:szCs w:val="21"/>
          <w:highlight w:val="none"/>
        </w:rPr>
      </w:pPr>
      <w:bookmarkStart w:id="425" w:name="_Toc221951934"/>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）随同本投标函递交的投标函附录属于合同文件的组成部分。</w:t>
      </w:r>
      <w:bookmarkEnd w:id="425"/>
    </w:p>
    <w:p>
      <w:pPr>
        <w:wordWrap w:val="0"/>
        <w:spacing w:line="400" w:lineRule="exact"/>
        <w:ind w:firstLine="420" w:firstLineChars="200"/>
        <w:rPr>
          <w:rFonts w:ascii="宋体" w:hAnsi="宋体"/>
          <w:szCs w:val="21"/>
          <w:highlight w:val="none"/>
        </w:rPr>
      </w:pPr>
      <w:bookmarkStart w:id="426" w:name="_Toc221951935"/>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）我方承诺按照招标文件规定向你方递交履约担保。</w:t>
      </w:r>
      <w:bookmarkEnd w:id="426"/>
    </w:p>
    <w:p>
      <w:pPr>
        <w:wordWrap w:val="0"/>
        <w:spacing w:line="400" w:lineRule="exact"/>
        <w:ind w:firstLine="420" w:firstLineChars="200"/>
        <w:rPr>
          <w:rFonts w:ascii="宋体" w:hAnsi="宋体"/>
          <w:szCs w:val="21"/>
          <w:highlight w:val="none"/>
        </w:rPr>
      </w:pPr>
      <w:bookmarkStart w:id="427" w:name="_Toc221951936"/>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）我方承诺在合同约定的期限内完成并移交全部合同工程。</w:t>
      </w:r>
      <w:bookmarkEnd w:id="427"/>
    </w:p>
    <w:p>
      <w:pPr>
        <w:wordWrap w:val="0"/>
        <w:spacing w:line="400" w:lineRule="exact"/>
        <w:ind w:firstLine="420" w:firstLineChars="200"/>
        <w:rPr>
          <w:rFonts w:ascii="宋体" w:hAnsi="宋体"/>
          <w:szCs w:val="21"/>
          <w:highlight w:val="none"/>
        </w:rPr>
      </w:pPr>
      <w:bookmarkStart w:id="428" w:name="_Toc221951937"/>
      <w:r>
        <w:rPr>
          <w:rFonts w:hint="eastAsia" w:ascii="宋体" w:hAnsi="宋体"/>
          <w:szCs w:val="21"/>
          <w:highlight w:val="none"/>
        </w:rPr>
        <w:t>4．我方在此声明，所递交的投标文件及有关资料内容完整、真实和准确，且不存在第二章“投标人须知”第</w:t>
      </w:r>
      <w:r>
        <w:rPr>
          <w:rFonts w:ascii="宋体" w:hAnsi="宋体"/>
          <w:szCs w:val="21"/>
          <w:highlight w:val="none"/>
        </w:rPr>
        <w:t>1.4.2</w:t>
      </w:r>
      <w:r>
        <w:rPr>
          <w:rFonts w:hint="eastAsia" w:ascii="宋体" w:hAnsi="宋体"/>
          <w:szCs w:val="21"/>
          <w:highlight w:val="none"/>
        </w:rPr>
        <w:t>和第</w:t>
      </w:r>
      <w:r>
        <w:rPr>
          <w:rFonts w:ascii="宋体" w:hAnsi="宋体"/>
          <w:szCs w:val="21"/>
          <w:highlight w:val="none"/>
        </w:rPr>
        <w:t>1.4.3</w:t>
      </w:r>
      <w:r>
        <w:rPr>
          <w:rFonts w:hint="eastAsia" w:ascii="宋体" w:hAnsi="宋体"/>
          <w:szCs w:val="21"/>
          <w:highlight w:val="none"/>
        </w:rPr>
        <w:t>项规定的任何一种情形。</w:t>
      </w:r>
      <w:bookmarkEnd w:id="428"/>
    </w:p>
    <w:p>
      <w:pPr>
        <w:wordWrap w:val="0"/>
        <w:spacing w:line="400" w:lineRule="exact"/>
        <w:ind w:firstLine="420" w:firstLineChars="200"/>
        <w:rPr>
          <w:rFonts w:ascii="宋体" w:hAnsi="宋体"/>
          <w:szCs w:val="21"/>
          <w:highlight w:val="none"/>
        </w:rPr>
      </w:pPr>
      <w:bookmarkStart w:id="429" w:name="_Toc221951938"/>
      <w:r>
        <w:rPr>
          <w:rFonts w:hint="eastAsia" w:ascii="宋体" w:hAnsi="宋体"/>
          <w:szCs w:val="21"/>
          <w:highlight w:val="none"/>
        </w:rPr>
        <w:t>5.</w:t>
      </w:r>
      <w:r>
        <w:rPr>
          <w:rFonts w:hint="eastAsia" w:ascii="宋体" w:hAnsi="宋体"/>
          <w:szCs w:val="21"/>
          <w:highlight w:val="none"/>
          <w:u w:val="single"/>
        </w:rPr>
        <w:t xml:space="preserve">                </w:t>
      </w:r>
      <w:r>
        <w:rPr>
          <w:rFonts w:hint="eastAsia" w:ascii="宋体" w:hAnsi="宋体"/>
          <w:szCs w:val="21"/>
          <w:highlight w:val="none"/>
        </w:rPr>
        <w:t>（其他补充说明）。</w:t>
      </w:r>
    </w:p>
    <w:bookmarkEnd w:id="429"/>
    <w:p>
      <w:pPr>
        <w:wordWrap w:val="0"/>
        <w:spacing w:line="400" w:lineRule="exact"/>
        <w:rPr>
          <w:rFonts w:ascii="宋体" w:hAnsi="宋体"/>
          <w:szCs w:val="21"/>
          <w:highlight w:val="none"/>
        </w:rPr>
      </w:pPr>
    </w:p>
    <w:p>
      <w:pPr>
        <w:wordWrap w:val="0"/>
        <w:spacing w:line="400" w:lineRule="exact"/>
        <w:ind w:firstLine="5040" w:firstLineChars="2400"/>
        <w:rPr>
          <w:rFonts w:ascii="宋体" w:hAnsi="宋体"/>
          <w:szCs w:val="21"/>
          <w:highlight w:val="none"/>
        </w:rPr>
      </w:pPr>
      <w:bookmarkStart w:id="430" w:name="_Toc221951939"/>
      <w:r>
        <w:rPr>
          <w:rFonts w:hint="eastAsia" w:ascii="宋体" w:hAnsi="宋体"/>
          <w:szCs w:val="21"/>
          <w:highlight w:val="none"/>
        </w:rPr>
        <w:t>投 标 人：</w:t>
      </w:r>
      <w:r>
        <w:rPr>
          <w:rFonts w:hint="eastAsia" w:ascii="宋体" w:hAnsi="宋体"/>
          <w:szCs w:val="21"/>
          <w:highlight w:val="none"/>
          <w:u w:val="single"/>
        </w:rPr>
        <w:t xml:space="preserve">                 </w:t>
      </w:r>
      <w:r>
        <w:rPr>
          <w:rFonts w:hint="eastAsia" w:ascii="宋体" w:hAnsi="宋体"/>
          <w:szCs w:val="21"/>
          <w:highlight w:val="none"/>
        </w:rPr>
        <w:t>（盖单位章）</w:t>
      </w:r>
      <w:bookmarkEnd w:id="430"/>
    </w:p>
    <w:p>
      <w:pPr>
        <w:wordWrap w:val="0"/>
        <w:spacing w:line="400" w:lineRule="exact"/>
        <w:ind w:firstLine="5040" w:firstLineChars="2400"/>
        <w:rPr>
          <w:rFonts w:ascii="宋体" w:hAnsi="宋体"/>
          <w:szCs w:val="21"/>
          <w:highlight w:val="none"/>
        </w:rPr>
      </w:pPr>
      <w:bookmarkStart w:id="431" w:name="_Toc221951941"/>
      <w:r>
        <w:rPr>
          <w:rFonts w:hint="eastAsia" w:ascii="宋体" w:hAnsi="宋体"/>
          <w:szCs w:val="21"/>
          <w:highlight w:val="none"/>
        </w:rPr>
        <w:t>地址：</w:t>
      </w:r>
      <w:bookmarkEnd w:id="431"/>
      <w:r>
        <w:rPr>
          <w:rFonts w:hint="eastAsia" w:ascii="宋体" w:hAnsi="宋体"/>
          <w:szCs w:val="21"/>
          <w:highlight w:val="none"/>
          <w:u w:val="single"/>
        </w:rPr>
        <w:t xml:space="preserve">                                </w:t>
      </w:r>
    </w:p>
    <w:p>
      <w:pPr>
        <w:wordWrap w:val="0"/>
        <w:spacing w:line="400" w:lineRule="exact"/>
        <w:ind w:firstLine="5040" w:firstLineChars="2400"/>
        <w:rPr>
          <w:rFonts w:ascii="宋体" w:hAnsi="宋体"/>
          <w:szCs w:val="21"/>
          <w:highlight w:val="none"/>
        </w:rPr>
      </w:pPr>
      <w:bookmarkStart w:id="432" w:name="_Toc221951942"/>
      <w:r>
        <w:rPr>
          <w:rFonts w:hint="eastAsia" w:ascii="宋体" w:hAnsi="宋体"/>
          <w:szCs w:val="21"/>
          <w:highlight w:val="none"/>
        </w:rPr>
        <w:t>网址：</w:t>
      </w:r>
      <w:bookmarkEnd w:id="432"/>
      <w:r>
        <w:rPr>
          <w:rFonts w:hint="eastAsia" w:ascii="宋体" w:hAnsi="宋体"/>
          <w:szCs w:val="21"/>
          <w:highlight w:val="none"/>
          <w:u w:val="single"/>
        </w:rPr>
        <w:t xml:space="preserve">                                </w:t>
      </w:r>
    </w:p>
    <w:p>
      <w:pPr>
        <w:wordWrap w:val="0"/>
        <w:spacing w:line="400" w:lineRule="exact"/>
        <w:ind w:firstLine="5040" w:firstLineChars="2400"/>
        <w:rPr>
          <w:rFonts w:ascii="宋体" w:hAnsi="宋体"/>
          <w:szCs w:val="21"/>
          <w:highlight w:val="none"/>
        </w:rPr>
      </w:pPr>
      <w:bookmarkStart w:id="433" w:name="_Toc221951943"/>
      <w:r>
        <w:rPr>
          <w:rFonts w:hint="eastAsia" w:ascii="宋体" w:hAnsi="宋体"/>
          <w:szCs w:val="21"/>
          <w:highlight w:val="none"/>
        </w:rPr>
        <w:t>电话：</w:t>
      </w:r>
      <w:bookmarkEnd w:id="433"/>
      <w:r>
        <w:rPr>
          <w:rFonts w:hint="eastAsia" w:ascii="宋体" w:hAnsi="宋体"/>
          <w:szCs w:val="21"/>
          <w:highlight w:val="none"/>
        </w:rPr>
        <w:t xml:space="preserve"> </w:t>
      </w:r>
      <w:r>
        <w:rPr>
          <w:rFonts w:hint="eastAsia" w:ascii="宋体" w:hAnsi="宋体"/>
          <w:szCs w:val="21"/>
          <w:highlight w:val="none"/>
          <w:u w:val="single"/>
        </w:rPr>
        <w:t xml:space="preserve">                               </w:t>
      </w:r>
    </w:p>
    <w:p>
      <w:pPr>
        <w:wordWrap w:val="0"/>
        <w:spacing w:line="400" w:lineRule="exact"/>
        <w:ind w:firstLine="5040" w:firstLineChars="2400"/>
        <w:rPr>
          <w:rFonts w:ascii="宋体" w:hAnsi="宋体"/>
          <w:szCs w:val="21"/>
          <w:highlight w:val="none"/>
        </w:rPr>
      </w:pPr>
      <w:bookmarkStart w:id="434" w:name="_Toc221951944"/>
      <w:r>
        <w:rPr>
          <w:rFonts w:hint="eastAsia" w:ascii="宋体" w:hAnsi="宋体"/>
          <w:szCs w:val="21"/>
          <w:highlight w:val="none"/>
        </w:rPr>
        <w:t>传真：</w:t>
      </w:r>
      <w:bookmarkEnd w:id="434"/>
      <w:r>
        <w:rPr>
          <w:rFonts w:hint="eastAsia" w:ascii="宋体" w:hAnsi="宋体"/>
          <w:szCs w:val="21"/>
          <w:highlight w:val="none"/>
          <w:u w:val="single"/>
        </w:rPr>
        <w:t xml:space="preserve">                                </w:t>
      </w:r>
    </w:p>
    <w:p>
      <w:pPr>
        <w:wordWrap w:val="0"/>
        <w:spacing w:line="400" w:lineRule="exact"/>
        <w:ind w:firstLine="5040" w:firstLineChars="2400"/>
        <w:rPr>
          <w:rFonts w:ascii="宋体" w:hAnsi="宋体"/>
          <w:szCs w:val="21"/>
          <w:highlight w:val="none"/>
        </w:rPr>
      </w:pPr>
      <w:bookmarkStart w:id="435" w:name="_Toc221951945"/>
      <w:r>
        <w:rPr>
          <w:rFonts w:hint="eastAsia" w:ascii="宋体" w:hAnsi="宋体"/>
          <w:szCs w:val="21"/>
          <w:highlight w:val="none"/>
        </w:rPr>
        <w:t>邮政编码：</w:t>
      </w:r>
      <w:bookmarkEnd w:id="435"/>
      <w:r>
        <w:rPr>
          <w:rFonts w:hint="eastAsia" w:ascii="宋体" w:hAnsi="宋体"/>
          <w:szCs w:val="21"/>
          <w:highlight w:val="none"/>
          <w:u w:val="single"/>
        </w:rPr>
        <w:t xml:space="preserve">                            </w:t>
      </w:r>
    </w:p>
    <w:p>
      <w:pPr>
        <w:wordWrap w:val="0"/>
        <w:spacing w:line="400" w:lineRule="exact"/>
        <w:ind w:firstLine="3675" w:firstLineChars="1750"/>
        <w:rPr>
          <w:rFonts w:ascii="宋体" w:hAnsi="宋体"/>
          <w:szCs w:val="21"/>
          <w:highlight w:val="none"/>
        </w:rPr>
      </w:pPr>
    </w:p>
    <w:p>
      <w:pPr>
        <w:wordWrap w:val="0"/>
        <w:spacing w:line="400" w:lineRule="exact"/>
        <w:ind w:firstLine="420" w:firstLineChars="200"/>
        <w:jc w:val="right"/>
        <w:rPr>
          <w:rFonts w:ascii="宋体" w:hAnsi="宋体"/>
          <w:szCs w:val="21"/>
          <w:highlight w:val="none"/>
        </w:rPr>
      </w:pPr>
      <w:bookmarkStart w:id="436" w:name="_Toc221951946"/>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bookmarkEnd w:id="436"/>
      <w:r>
        <w:rPr>
          <w:rFonts w:hint="eastAsia" w:ascii="宋体" w:hAnsi="宋体"/>
          <w:szCs w:val="21"/>
          <w:highlight w:val="none"/>
        </w:rPr>
        <w:t xml:space="preserve">     </w:t>
      </w:r>
    </w:p>
    <w:p>
      <w:pPr>
        <w:wordWrap w:val="0"/>
        <w:spacing w:line="400" w:lineRule="exact"/>
        <w:rPr>
          <w:rFonts w:ascii="宋体" w:hAnsi="宋体"/>
          <w:sz w:val="20"/>
          <w:szCs w:val="20"/>
          <w:highlight w:val="none"/>
        </w:rPr>
      </w:pPr>
    </w:p>
    <w:p>
      <w:pPr>
        <w:wordWrap w:val="0"/>
        <w:spacing w:line="360" w:lineRule="auto"/>
        <w:jc w:val="left"/>
        <w:rPr>
          <w:rFonts w:ascii="宋体" w:hAnsi="宋体"/>
          <w:b/>
          <w:sz w:val="24"/>
          <w:szCs w:val="31"/>
          <w:highlight w:val="none"/>
          <w:lang w:val="zh-CN"/>
        </w:rPr>
      </w:pPr>
      <w:r>
        <w:rPr>
          <w:rFonts w:ascii="宋体" w:hAnsi="宋体"/>
          <w:sz w:val="19"/>
          <w:szCs w:val="19"/>
          <w:highlight w:val="none"/>
        </w:rPr>
        <w:br w:type="page"/>
      </w:r>
      <w:bookmarkStart w:id="437" w:name="_Toc168476320"/>
      <w:bookmarkStart w:id="438" w:name="_Toc144974859"/>
      <w:bookmarkStart w:id="439" w:name="_Toc168475917"/>
      <w:bookmarkStart w:id="440" w:name="_Toc221951947"/>
      <w:r>
        <w:rPr>
          <w:rFonts w:hint="eastAsia" w:ascii="宋体" w:hAnsi="宋体"/>
          <w:b/>
          <w:sz w:val="24"/>
          <w:szCs w:val="31"/>
          <w:highlight w:val="none"/>
        </w:rPr>
        <w:t>（二）投标函附录（适用于不采用综合评估法三的情形）</w:t>
      </w:r>
    </w:p>
    <w:p>
      <w:pPr>
        <w:wordWrap w:val="0"/>
        <w:autoSpaceDE w:val="0"/>
        <w:autoSpaceDN w:val="0"/>
        <w:adjustRightInd w:val="0"/>
        <w:ind w:firstLine="480" w:firstLineChars="200"/>
        <w:jc w:val="right"/>
        <w:rPr>
          <w:rFonts w:ascii="宋体" w:hAnsi="宋体"/>
          <w:bCs/>
          <w:sz w:val="52"/>
          <w:szCs w:val="52"/>
          <w:highlight w:val="none"/>
        </w:rPr>
      </w:pPr>
      <w:r>
        <w:rPr>
          <w:rFonts w:hint="eastAsia" w:ascii="宋体" w:hAnsi="宋体" w:cs="宋体"/>
          <w:sz w:val="24"/>
          <w:szCs w:val="24"/>
          <w:highlight w:val="none"/>
          <w:lang w:val="zh-CN"/>
        </w:rPr>
        <w:t>投标日期：</w:t>
      </w:r>
      <w:r>
        <w:rPr>
          <w:rFonts w:ascii="宋体" w:hAnsi="宋体" w:cs="宋体"/>
          <w:sz w:val="24"/>
          <w:szCs w:val="24"/>
          <w:highlight w:val="none"/>
          <w:lang w:val="zh-CN"/>
        </w:rPr>
        <w:t xml:space="preserve">   </w:t>
      </w:r>
      <w:r>
        <w:rPr>
          <w:rFonts w:hint="eastAsia" w:ascii="宋体" w:hAnsi="宋体" w:cs="宋体"/>
          <w:sz w:val="24"/>
          <w:szCs w:val="24"/>
          <w:highlight w:val="none"/>
          <w:lang w:val="zh-CN"/>
        </w:rPr>
        <w:t>年</w:t>
      </w:r>
      <w:r>
        <w:rPr>
          <w:rFonts w:ascii="宋体" w:hAnsi="宋体" w:cs="宋体"/>
          <w:sz w:val="24"/>
          <w:szCs w:val="24"/>
          <w:highlight w:val="none"/>
          <w:lang w:val="zh-CN"/>
        </w:rPr>
        <w:t xml:space="preserve">   </w:t>
      </w:r>
      <w:r>
        <w:rPr>
          <w:rFonts w:hint="eastAsia" w:ascii="宋体" w:hAnsi="宋体" w:cs="宋体"/>
          <w:sz w:val="24"/>
          <w:szCs w:val="24"/>
          <w:highlight w:val="none"/>
          <w:lang w:val="zh-CN"/>
        </w:rPr>
        <w:t>月</w:t>
      </w:r>
      <w:r>
        <w:rPr>
          <w:rFonts w:ascii="宋体" w:hAnsi="宋体" w:cs="宋体"/>
          <w:sz w:val="24"/>
          <w:szCs w:val="24"/>
          <w:highlight w:val="none"/>
          <w:lang w:val="zh-CN"/>
        </w:rPr>
        <w:t xml:space="preserve">   </w:t>
      </w:r>
      <w:r>
        <w:rPr>
          <w:rFonts w:hint="eastAsia" w:ascii="宋体" w:hAnsi="宋体" w:cs="宋体"/>
          <w:sz w:val="24"/>
          <w:szCs w:val="24"/>
          <w:highlight w:val="none"/>
          <w:lang w:val="zh-CN"/>
        </w:rPr>
        <w:t>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3449"/>
        <w:gridCol w:w="3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Align w:val="center"/>
          </w:tcPr>
          <w:p>
            <w:pPr>
              <w:wordWrap w:val="0"/>
              <w:autoSpaceDE w:val="0"/>
              <w:autoSpaceDN w:val="0"/>
              <w:adjustRightInd w:val="0"/>
              <w:jc w:val="center"/>
              <w:rPr>
                <w:rFonts w:ascii="宋体" w:hAnsi="宋体" w:cs="宋体"/>
                <w:bCs/>
                <w:szCs w:val="21"/>
                <w:highlight w:val="none"/>
                <w:lang w:val="zh-CN"/>
              </w:rPr>
            </w:pPr>
            <w:r>
              <w:rPr>
                <w:rFonts w:hint="eastAsia" w:ascii="宋体" w:hAnsi="宋体" w:cs="宋体"/>
                <w:szCs w:val="21"/>
                <w:highlight w:val="none"/>
                <w:lang w:val="zh-CN"/>
              </w:rPr>
              <w:t>工程名称</w:t>
            </w:r>
          </w:p>
        </w:tc>
        <w:tc>
          <w:tcPr>
            <w:tcW w:w="7371" w:type="dxa"/>
            <w:gridSpan w:val="2"/>
          </w:tcPr>
          <w:p>
            <w:pPr>
              <w:wordWrap w:val="0"/>
              <w:autoSpaceDE w:val="0"/>
              <w:autoSpaceDN w:val="0"/>
              <w:adjustRightInd w:val="0"/>
              <w:rPr>
                <w:rFonts w:ascii="宋体" w:hAnsi="宋体" w:cs="宋体"/>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restart"/>
            <w:vAlign w:val="center"/>
          </w:tcPr>
          <w:p>
            <w:pPr>
              <w:wordWrap w:val="0"/>
              <w:autoSpaceDE w:val="0"/>
              <w:autoSpaceDN w:val="0"/>
              <w:adjustRightInd w:val="0"/>
              <w:jc w:val="center"/>
              <w:rPr>
                <w:rFonts w:ascii="宋体" w:hAnsi="宋体" w:cs="宋体"/>
                <w:bCs/>
                <w:szCs w:val="21"/>
                <w:highlight w:val="none"/>
                <w:lang w:val="zh-CN"/>
              </w:rPr>
            </w:pPr>
            <w:r>
              <w:rPr>
                <w:rFonts w:hint="eastAsia" w:ascii="宋体" w:hAnsi="宋体" w:cs="宋体"/>
                <w:szCs w:val="21"/>
                <w:highlight w:val="none"/>
                <w:lang w:val="zh-CN"/>
              </w:rPr>
              <w:t>投标总报价（元）</w:t>
            </w: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大写：</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其中：</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1、黄埔大道971号大院雨污分流管道改造项目    元；</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2、晓港中养老院、晓园北商铺、南华中路宝欣幼儿园雨污分流管道改造项目      元；</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continue"/>
            <w:vAlign w:val="center"/>
          </w:tcPr>
          <w:p>
            <w:pPr>
              <w:widowControl/>
              <w:wordWrap w:val="0"/>
              <w:jc w:val="left"/>
              <w:rPr>
                <w:rFonts w:ascii="宋体" w:hAnsi="宋体" w:cs="宋体"/>
                <w:bCs/>
                <w:szCs w:val="21"/>
                <w:highlight w:val="none"/>
                <w:lang w:val="zh-CN"/>
              </w:rPr>
            </w:pP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小写：</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其中：</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1、黄埔大道971号大院雨污分流管道改造项目    元；</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2、晓港中养老院、晓园北商铺、南华中路宝欣幼儿园雨污分流管道改造项目      元；</w:t>
            </w:r>
          </w:p>
          <w:p>
            <w:pPr>
              <w:wordWrap w:val="0"/>
              <w:autoSpaceDE w:val="0"/>
              <w:autoSpaceDN w:val="0"/>
              <w:adjustRightInd w:val="0"/>
              <w:rPr>
                <w:rFonts w:ascii="宋体" w:hAnsi="宋体" w:cs="宋体"/>
                <w:bCs/>
                <w:szCs w:val="21"/>
                <w:highlight w:val="none"/>
              </w:rPr>
            </w:pPr>
            <w:r>
              <w:rPr>
                <w:rFonts w:hint="eastAsia" w:ascii="宋体" w:hAnsi="宋体" w:cs="宋体"/>
                <w:szCs w:val="21"/>
                <w:highlight w:val="none"/>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restart"/>
            <w:vAlign w:val="center"/>
          </w:tcPr>
          <w:p>
            <w:pPr>
              <w:wordWrap w:val="0"/>
              <w:autoSpaceDE w:val="0"/>
              <w:autoSpaceDN w:val="0"/>
              <w:adjustRightInd w:val="0"/>
              <w:jc w:val="center"/>
              <w:rPr>
                <w:rFonts w:ascii="宋体" w:hAnsi="宋体" w:cs="宋体"/>
                <w:bCs/>
                <w:szCs w:val="21"/>
                <w:highlight w:val="none"/>
                <w:lang w:val="zh-CN"/>
              </w:rPr>
            </w:pPr>
            <w:r>
              <w:rPr>
                <w:rFonts w:hint="eastAsia" w:ascii="宋体" w:hAnsi="宋体" w:cs="宋体"/>
                <w:szCs w:val="21"/>
                <w:highlight w:val="none"/>
                <w:lang w:val="zh-CN"/>
              </w:rPr>
              <w:t>其中：</w:t>
            </w:r>
            <w:r>
              <w:rPr>
                <w:rFonts w:hint="eastAsia" w:ascii="宋体" w:hAnsi="宋体" w:cs="宋体"/>
                <w:bCs/>
                <w:szCs w:val="21"/>
                <w:highlight w:val="none"/>
                <w:lang w:val="zh-CN"/>
              </w:rPr>
              <w:t>人工费</w:t>
            </w:r>
            <w:r>
              <w:rPr>
                <w:rFonts w:hint="eastAsia" w:ascii="宋体" w:hAnsi="宋体" w:cs="宋体"/>
                <w:szCs w:val="21"/>
                <w:highlight w:val="none"/>
                <w:lang w:val="zh-CN"/>
              </w:rPr>
              <w:t>（元）</w:t>
            </w: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大写：</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其中：</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1、黄埔大道971号大院雨污分流管道改造项目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2、晓港中养老院、晓园北商铺、南华中路宝欣幼儿园雨污分流管道改造项目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continue"/>
            <w:vAlign w:val="center"/>
          </w:tcPr>
          <w:p>
            <w:pPr>
              <w:widowControl/>
              <w:wordWrap w:val="0"/>
              <w:jc w:val="left"/>
              <w:rPr>
                <w:rFonts w:ascii="宋体" w:hAnsi="宋体" w:cs="宋体"/>
                <w:bCs/>
                <w:szCs w:val="21"/>
                <w:highlight w:val="none"/>
                <w:lang w:val="zh-CN"/>
              </w:rPr>
            </w:pP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小写：</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其中：</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1、黄埔大道971号大院雨污分流管道改造项目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2、晓港中养老院、晓园北商铺、南华中路宝欣幼儿园雨污分流管道改造项目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restart"/>
            <w:vAlign w:val="center"/>
          </w:tcPr>
          <w:p>
            <w:pPr>
              <w:widowControl/>
              <w:wordWrap w:val="0"/>
              <w:jc w:val="left"/>
              <w:rPr>
                <w:rFonts w:ascii="宋体" w:hAnsi="宋体" w:cs="宋体"/>
                <w:bCs/>
                <w:szCs w:val="21"/>
                <w:highlight w:val="none"/>
                <w:lang w:val="zh-CN"/>
              </w:rPr>
            </w:pPr>
            <w:r>
              <w:rPr>
                <w:rFonts w:hint="eastAsia" w:ascii="宋体" w:hAnsi="宋体" w:cs="宋体"/>
                <w:bCs/>
                <w:szCs w:val="21"/>
                <w:highlight w:val="none"/>
                <w:lang w:val="zh-CN"/>
              </w:rPr>
              <w:t>其中：</w:t>
            </w:r>
            <w:r>
              <w:rPr>
                <w:rFonts w:hint="eastAsia" w:ascii="宋体" w:hAnsi="宋体" w:cs="宋体"/>
                <w:szCs w:val="21"/>
                <w:highlight w:val="none"/>
              </w:rPr>
              <w:t>绿色施工安全防护措施费</w:t>
            </w:r>
            <w:r>
              <w:rPr>
                <w:rFonts w:hint="eastAsia" w:ascii="宋体" w:hAnsi="宋体" w:cs="宋体"/>
                <w:bCs/>
                <w:szCs w:val="21"/>
                <w:highlight w:val="none"/>
                <w:lang w:val="zh-CN"/>
              </w:rPr>
              <w:t>（元）</w:t>
            </w: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大写：</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其中：</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1、黄埔大道971号大院雨污分流管道改造项目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2、晓港中养老院、晓园北商铺、南华中路宝欣幼儿园雨污分流管道改造项目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continue"/>
            <w:vAlign w:val="center"/>
          </w:tcPr>
          <w:p>
            <w:pPr>
              <w:widowControl/>
              <w:wordWrap w:val="0"/>
              <w:jc w:val="left"/>
              <w:rPr>
                <w:rFonts w:ascii="宋体" w:hAnsi="宋体" w:cs="宋体"/>
                <w:bCs/>
                <w:szCs w:val="21"/>
                <w:highlight w:val="none"/>
                <w:lang w:val="zh-CN"/>
              </w:rPr>
            </w:pP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小写：</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其中：</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1、黄埔大道971号大院雨污分流管道改造项目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2、晓港中养老院、晓园北商铺、南华中路宝欣幼儿园雨污分流管道改造项目      元；</w:t>
            </w:r>
          </w:p>
          <w:p>
            <w:pPr>
              <w:wordWrap w:val="0"/>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restart"/>
            <w:vAlign w:val="center"/>
          </w:tcPr>
          <w:p>
            <w:pPr>
              <w:widowControl/>
              <w:wordWrap w:val="0"/>
              <w:jc w:val="left"/>
              <w:rPr>
                <w:rFonts w:ascii="宋体" w:hAnsi="宋体" w:cs="宋体"/>
                <w:bCs/>
                <w:szCs w:val="21"/>
                <w:highlight w:val="none"/>
                <w:lang w:val="zh-CN"/>
              </w:rPr>
            </w:pPr>
            <w:r>
              <w:rPr>
                <w:rFonts w:hint="eastAsia" w:ascii="宋体" w:hAnsi="宋体" w:cs="宋体"/>
                <w:bCs/>
                <w:szCs w:val="21"/>
                <w:highlight w:val="none"/>
                <w:lang w:val="zh-CN"/>
              </w:rPr>
              <w:t>其中：暂列金额（元）</w:t>
            </w: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大写：</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其中：</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1、黄埔大道971号大院雨污分流管道改造项目    元；</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2、晓港中养老院、晓园北商铺、南华中路宝欣幼儿园雨污分流管道改造项目      元；</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continue"/>
            <w:vAlign w:val="center"/>
          </w:tcPr>
          <w:p>
            <w:pPr>
              <w:widowControl/>
              <w:wordWrap w:val="0"/>
              <w:jc w:val="left"/>
              <w:rPr>
                <w:rFonts w:ascii="宋体" w:hAnsi="宋体" w:cs="宋体"/>
                <w:bCs/>
                <w:szCs w:val="21"/>
                <w:highlight w:val="none"/>
                <w:lang w:val="zh-CN"/>
              </w:rPr>
            </w:pPr>
          </w:p>
        </w:tc>
        <w:tc>
          <w:tcPr>
            <w:tcW w:w="7371" w:type="dxa"/>
            <w:gridSpan w:val="2"/>
            <w:vAlign w:val="center"/>
          </w:tcPr>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小写：</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其中：</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1、黄埔大道971号大院雨污分流管道改造项目    元；</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2、晓港中养老院、晓园北商铺、南华中路宝欣幼儿园雨污分流管道改造项目      元；</w:t>
            </w:r>
          </w:p>
          <w:p>
            <w:pPr>
              <w:wordWrap w:val="0"/>
              <w:autoSpaceDE w:val="0"/>
              <w:autoSpaceDN w:val="0"/>
              <w:adjustRightInd w:val="0"/>
              <w:rPr>
                <w:rFonts w:ascii="宋体" w:hAnsi="宋体" w:cs="宋体"/>
                <w:szCs w:val="21"/>
                <w:highlight w:val="none"/>
              </w:rPr>
            </w:pPr>
            <w:r>
              <w:rPr>
                <w:rFonts w:hint="eastAsia" w:ascii="宋体" w:hAnsi="宋体" w:cs="宋体"/>
                <w:szCs w:val="21"/>
                <w:highlight w:val="none"/>
              </w:rPr>
              <w:t>3、白云货运站雨污分流改造项目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Align w:val="center"/>
          </w:tcPr>
          <w:p>
            <w:pPr>
              <w:wordWrap w:val="0"/>
              <w:jc w:val="center"/>
              <w:rPr>
                <w:rFonts w:ascii="宋体" w:hAnsi="宋体" w:cs="宋体"/>
                <w:szCs w:val="21"/>
                <w:highlight w:val="none"/>
                <w:lang w:val="zh-CN"/>
              </w:rPr>
            </w:pPr>
            <w:r>
              <w:rPr>
                <w:rFonts w:hint="eastAsia" w:ascii="宋体" w:hAnsi="宋体" w:cs="宋体"/>
                <w:szCs w:val="21"/>
                <w:highlight w:val="none"/>
                <w:lang w:val="zh-CN"/>
              </w:rPr>
              <w:t>投标总工期</w:t>
            </w:r>
          </w:p>
        </w:tc>
        <w:tc>
          <w:tcPr>
            <w:tcW w:w="7371" w:type="dxa"/>
            <w:gridSpan w:val="2"/>
          </w:tcPr>
          <w:p>
            <w:pPr>
              <w:wordWrap w:val="0"/>
              <w:autoSpaceDE w:val="0"/>
              <w:autoSpaceDN w:val="0"/>
              <w:adjustRightInd w:val="0"/>
              <w:rPr>
                <w:rFonts w:ascii="宋体" w:hAnsi="宋体" w:cs="宋体"/>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Align w:val="center"/>
          </w:tcPr>
          <w:p>
            <w:pPr>
              <w:wordWrap w:val="0"/>
              <w:jc w:val="center"/>
              <w:rPr>
                <w:rFonts w:ascii="宋体" w:hAnsi="宋体" w:cs="宋体"/>
                <w:szCs w:val="21"/>
                <w:highlight w:val="none"/>
              </w:rPr>
            </w:pPr>
            <w:r>
              <w:rPr>
                <w:rFonts w:hint="eastAsia" w:ascii="宋体" w:hAnsi="宋体" w:cs="宋体"/>
                <w:szCs w:val="21"/>
                <w:highlight w:val="none"/>
                <w:lang w:val="zh-CN"/>
              </w:rPr>
              <w:t>工程质量标准</w:t>
            </w:r>
          </w:p>
        </w:tc>
        <w:tc>
          <w:tcPr>
            <w:tcW w:w="7371" w:type="dxa"/>
            <w:gridSpan w:val="2"/>
          </w:tcPr>
          <w:p>
            <w:pPr>
              <w:wordWrap w:val="0"/>
              <w:autoSpaceDE w:val="0"/>
              <w:autoSpaceDN w:val="0"/>
              <w:adjustRightInd w:val="0"/>
              <w:rPr>
                <w:rFonts w:ascii="宋体" w:hAnsi="宋体" w:cs="宋体"/>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Align w:val="center"/>
          </w:tcPr>
          <w:p>
            <w:pPr>
              <w:wordWrap w:val="0"/>
              <w:autoSpaceDE w:val="0"/>
              <w:autoSpaceDN w:val="0"/>
              <w:adjustRightInd w:val="0"/>
              <w:jc w:val="center"/>
              <w:rPr>
                <w:rFonts w:ascii="宋体" w:hAnsi="宋体" w:cs="宋体"/>
                <w:bCs/>
                <w:szCs w:val="21"/>
                <w:highlight w:val="none"/>
                <w:lang w:val="zh-CN"/>
              </w:rPr>
            </w:pPr>
            <w:r>
              <w:rPr>
                <w:rFonts w:hint="eastAsia" w:ascii="宋体" w:hAnsi="宋体" w:cs="宋体"/>
                <w:szCs w:val="21"/>
                <w:highlight w:val="none"/>
                <w:lang w:val="zh-CN"/>
              </w:rPr>
              <w:t>保修期限</w:t>
            </w:r>
          </w:p>
        </w:tc>
        <w:tc>
          <w:tcPr>
            <w:tcW w:w="7371" w:type="dxa"/>
            <w:gridSpan w:val="2"/>
          </w:tcPr>
          <w:p>
            <w:pPr>
              <w:wordWrap w:val="0"/>
              <w:autoSpaceDE w:val="0"/>
              <w:autoSpaceDN w:val="0"/>
              <w:adjustRightInd w:val="0"/>
              <w:rPr>
                <w:rFonts w:ascii="宋体" w:hAnsi="宋体" w:cs="宋体"/>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restart"/>
            <w:vAlign w:val="center"/>
          </w:tcPr>
          <w:p>
            <w:pPr>
              <w:wordWrap w:val="0"/>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委派的项目负责人</w:t>
            </w:r>
          </w:p>
        </w:tc>
        <w:tc>
          <w:tcPr>
            <w:tcW w:w="3449" w:type="dxa"/>
            <w:vAlign w:val="center"/>
          </w:tcPr>
          <w:p>
            <w:pPr>
              <w:wordWrap w:val="0"/>
              <w:jc w:val="center"/>
              <w:rPr>
                <w:rFonts w:ascii="宋体" w:hAnsi="宋体" w:cs="宋体"/>
                <w:bCs/>
                <w:szCs w:val="21"/>
                <w:highlight w:val="none"/>
                <w:lang w:val="zh-CN"/>
              </w:rPr>
            </w:pPr>
            <w:r>
              <w:rPr>
                <w:rFonts w:hint="eastAsia" w:ascii="宋体" w:hAnsi="宋体" w:cs="宋体"/>
                <w:szCs w:val="21"/>
                <w:highlight w:val="none"/>
              </w:rPr>
              <w:t>姓名</w:t>
            </w:r>
          </w:p>
        </w:tc>
        <w:tc>
          <w:tcPr>
            <w:tcW w:w="3922" w:type="dxa"/>
            <w:vAlign w:val="center"/>
          </w:tcPr>
          <w:p>
            <w:pPr>
              <w:wordWrap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continue"/>
            <w:vAlign w:val="center"/>
          </w:tcPr>
          <w:p>
            <w:pPr>
              <w:widowControl/>
              <w:wordWrap w:val="0"/>
              <w:jc w:val="center"/>
              <w:rPr>
                <w:rFonts w:ascii="宋体" w:hAnsi="宋体" w:cs="宋体"/>
                <w:szCs w:val="21"/>
                <w:highlight w:val="none"/>
                <w:lang w:val="zh-CN"/>
              </w:rPr>
            </w:pPr>
          </w:p>
        </w:tc>
        <w:tc>
          <w:tcPr>
            <w:tcW w:w="3449" w:type="dxa"/>
            <w:vAlign w:val="center"/>
          </w:tcPr>
          <w:p>
            <w:pPr>
              <w:wordWrap w:val="0"/>
              <w:jc w:val="center"/>
              <w:rPr>
                <w:rFonts w:ascii="宋体" w:hAnsi="宋体" w:cs="宋体"/>
                <w:bCs/>
                <w:szCs w:val="21"/>
                <w:highlight w:val="none"/>
                <w:lang w:val="zh-CN"/>
              </w:rPr>
            </w:pPr>
            <w:r>
              <w:rPr>
                <w:rFonts w:hint="eastAsia" w:ascii="宋体" w:hAnsi="宋体" w:cs="宋体"/>
                <w:szCs w:val="21"/>
                <w:highlight w:val="none"/>
              </w:rPr>
              <w:t>建造师的注册编号</w:t>
            </w:r>
          </w:p>
        </w:tc>
        <w:tc>
          <w:tcPr>
            <w:tcW w:w="3922" w:type="dxa"/>
            <w:vAlign w:val="center"/>
          </w:tcPr>
          <w:p>
            <w:pPr>
              <w:wordWrap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restart"/>
            <w:vAlign w:val="center"/>
          </w:tcPr>
          <w:p>
            <w:pPr>
              <w:wordWrap w:val="0"/>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委派的</w:t>
            </w:r>
            <w:r>
              <w:rPr>
                <w:rFonts w:hint="eastAsia" w:ascii="宋体" w:hAnsi="宋体" w:cs="宋体"/>
                <w:szCs w:val="21"/>
                <w:highlight w:val="none"/>
              </w:rPr>
              <w:t>专职安全员</w:t>
            </w:r>
          </w:p>
        </w:tc>
        <w:tc>
          <w:tcPr>
            <w:tcW w:w="3449" w:type="dxa"/>
            <w:vAlign w:val="center"/>
          </w:tcPr>
          <w:p>
            <w:pPr>
              <w:wordWrap w:val="0"/>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姓名</w:t>
            </w:r>
          </w:p>
        </w:tc>
        <w:tc>
          <w:tcPr>
            <w:tcW w:w="3922" w:type="dxa"/>
          </w:tcPr>
          <w:p>
            <w:pPr>
              <w:wordWrap w:val="0"/>
              <w:autoSpaceDE w:val="0"/>
              <w:autoSpaceDN w:val="0"/>
              <w:adjustRightInd w:val="0"/>
              <w:rPr>
                <w:rFonts w:ascii="宋体" w:hAnsi="宋体" w:cs="宋体"/>
                <w:b/>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5" w:type="dxa"/>
            <w:vMerge w:val="continue"/>
            <w:vAlign w:val="center"/>
          </w:tcPr>
          <w:p>
            <w:pPr>
              <w:widowControl/>
              <w:wordWrap w:val="0"/>
              <w:jc w:val="left"/>
              <w:rPr>
                <w:rFonts w:ascii="宋体" w:hAnsi="宋体" w:cs="宋体"/>
                <w:bCs/>
                <w:szCs w:val="21"/>
                <w:highlight w:val="none"/>
                <w:lang w:val="zh-CN"/>
              </w:rPr>
            </w:pPr>
          </w:p>
        </w:tc>
        <w:tc>
          <w:tcPr>
            <w:tcW w:w="3449" w:type="dxa"/>
            <w:vAlign w:val="center"/>
          </w:tcPr>
          <w:p>
            <w:pPr>
              <w:wordWrap w:val="0"/>
              <w:autoSpaceDE w:val="0"/>
              <w:autoSpaceDN w:val="0"/>
              <w:adjustRightInd w:val="0"/>
              <w:rPr>
                <w:rFonts w:ascii="宋体" w:hAnsi="宋体" w:cs="宋体"/>
                <w:bCs/>
                <w:szCs w:val="21"/>
                <w:highlight w:val="none"/>
                <w:lang w:val="zh-CN"/>
              </w:rPr>
            </w:pPr>
            <w:r>
              <w:rPr>
                <w:rFonts w:hint="eastAsia" w:ascii="宋体" w:hAnsi="宋体" w:cs="宋体"/>
                <w:szCs w:val="21"/>
                <w:highlight w:val="none"/>
              </w:rPr>
              <w:t>安全生产考核合格证（C类）或安全生产考核合格证书（C3类）编号</w:t>
            </w:r>
          </w:p>
        </w:tc>
        <w:tc>
          <w:tcPr>
            <w:tcW w:w="3922" w:type="dxa"/>
          </w:tcPr>
          <w:p>
            <w:pPr>
              <w:wordWrap w:val="0"/>
              <w:autoSpaceDE w:val="0"/>
              <w:autoSpaceDN w:val="0"/>
              <w:adjustRightInd w:val="0"/>
              <w:rPr>
                <w:rFonts w:ascii="宋体" w:hAnsi="宋体" w:cs="宋体"/>
                <w:b/>
                <w:bCs/>
                <w:szCs w:val="21"/>
                <w:highlight w:val="none"/>
                <w:lang w:val="zh-CN"/>
              </w:rPr>
            </w:pPr>
          </w:p>
        </w:tc>
      </w:tr>
    </w:tbl>
    <w:p>
      <w:pPr>
        <w:wordWrap w:val="0"/>
        <w:autoSpaceDE w:val="0"/>
        <w:autoSpaceDN w:val="0"/>
        <w:adjustRightInd w:val="0"/>
        <w:spacing w:line="360" w:lineRule="auto"/>
        <w:ind w:firstLine="420" w:firstLineChars="200"/>
        <w:rPr>
          <w:rFonts w:ascii="宋体" w:hAnsi="宋体" w:cs="宋体"/>
          <w:sz w:val="24"/>
          <w:szCs w:val="24"/>
          <w:highlight w:val="none"/>
          <w:lang w:val="zh-CN"/>
        </w:rPr>
      </w:pPr>
      <w:r>
        <w:rPr>
          <w:rFonts w:hint="eastAsia" w:ascii="宋体" w:hAnsi="宋体" w:cs="宋体"/>
          <w:szCs w:val="21"/>
          <w:highlight w:val="none"/>
          <w:lang w:val="zh-CN"/>
        </w:rPr>
        <w:t>注：</w:t>
      </w:r>
      <w:r>
        <w:rPr>
          <w:rFonts w:ascii="宋体" w:hAnsi="宋体" w:cs="宋体"/>
          <w:szCs w:val="21"/>
          <w:highlight w:val="none"/>
          <w:lang w:val="zh-CN"/>
        </w:rPr>
        <w:t>1.</w:t>
      </w:r>
      <w:r>
        <w:rPr>
          <w:rFonts w:hint="eastAsia" w:ascii="宋体" w:hAnsi="宋体" w:cs="宋体"/>
          <w:szCs w:val="21"/>
          <w:highlight w:val="none"/>
          <w:lang w:val="zh-CN"/>
        </w:rPr>
        <w:t>本表所报委派的项目负责人、</w:t>
      </w:r>
      <w:r>
        <w:rPr>
          <w:rFonts w:hint="eastAsia" w:ascii="宋体" w:hAnsi="宋体"/>
          <w:szCs w:val="21"/>
          <w:highlight w:val="none"/>
        </w:rPr>
        <w:t>专职安全员</w:t>
      </w:r>
      <w:r>
        <w:rPr>
          <w:rFonts w:hint="eastAsia" w:ascii="宋体" w:hAnsi="宋体" w:cs="宋体"/>
          <w:szCs w:val="21"/>
          <w:highlight w:val="none"/>
          <w:lang w:val="zh-CN"/>
        </w:rPr>
        <w:t>的姓名及相关资料，须与本企业在广州交易集团有限公司（广州公共资源交易中心）企业库记录的相应信息一致，评审时，委派的项目负责人、</w:t>
      </w:r>
      <w:r>
        <w:rPr>
          <w:rFonts w:hint="eastAsia" w:ascii="宋体" w:hAnsi="宋体"/>
          <w:szCs w:val="21"/>
          <w:highlight w:val="none"/>
        </w:rPr>
        <w:t>专职安全员</w:t>
      </w:r>
      <w:r>
        <w:rPr>
          <w:rFonts w:hint="eastAsia" w:ascii="宋体" w:hAnsi="宋体" w:cs="宋体"/>
          <w:szCs w:val="21"/>
          <w:highlight w:val="none"/>
          <w:lang w:val="zh-CN"/>
        </w:rPr>
        <w:t>以投标人在广州交易集团有限公司（广州公共资源交易中心）企业库登记的信息为准。</w:t>
      </w:r>
    </w:p>
    <w:p>
      <w:pPr>
        <w:wordWrap w:val="0"/>
        <w:spacing w:line="360" w:lineRule="auto"/>
        <w:ind w:firstLine="420" w:firstLineChars="200"/>
        <w:rPr>
          <w:rFonts w:ascii="宋体" w:hAnsi="宋体"/>
          <w:szCs w:val="21"/>
          <w:highlight w:val="none"/>
        </w:rPr>
      </w:pPr>
      <w:r>
        <w:rPr>
          <w:rFonts w:ascii="宋体" w:hAnsi="宋体" w:cs="宋体"/>
          <w:szCs w:val="21"/>
          <w:highlight w:val="none"/>
          <w:lang w:val="zh-CN"/>
        </w:rPr>
        <w:t>2.</w:t>
      </w:r>
      <w:r>
        <w:rPr>
          <w:rFonts w:hint="eastAsia" w:ascii="宋体" w:hAnsi="宋体" w:cs="宋体"/>
          <w:szCs w:val="21"/>
          <w:highlight w:val="none"/>
          <w:lang w:val="zh-CN"/>
        </w:rPr>
        <w:t>本投标函附录由投标文件管理软件生成，投标人可直接在上面填写相关内容。</w:t>
      </w:r>
      <w:bookmarkEnd w:id="437"/>
      <w:bookmarkEnd w:id="438"/>
      <w:bookmarkEnd w:id="439"/>
      <w:bookmarkEnd w:id="440"/>
    </w:p>
    <w:p>
      <w:pPr>
        <w:wordWrap w:val="0"/>
        <w:spacing w:line="400" w:lineRule="exact"/>
        <w:jc w:val="center"/>
        <w:rPr>
          <w:rFonts w:ascii="宋体" w:hAnsi="宋体"/>
          <w:sz w:val="19"/>
          <w:szCs w:val="19"/>
          <w:highlight w:val="none"/>
        </w:rPr>
      </w:pPr>
    </w:p>
    <w:p>
      <w:pPr>
        <w:pageBreakBefore/>
        <w:wordWrap w:val="0"/>
        <w:spacing w:line="360" w:lineRule="auto"/>
        <w:jc w:val="center"/>
        <w:outlineLvl w:val="2"/>
        <w:rPr>
          <w:rFonts w:ascii="宋体" w:hAnsi="宋体"/>
          <w:b/>
          <w:bCs/>
          <w:sz w:val="28"/>
          <w:szCs w:val="27"/>
          <w:highlight w:val="none"/>
        </w:rPr>
      </w:pPr>
      <w:bookmarkStart w:id="441" w:name="_Toc17451131"/>
      <w:bookmarkStart w:id="442" w:name="_Toc17454901"/>
      <w:bookmarkStart w:id="443" w:name="_Toc222031063"/>
      <w:bookmarkStart w:id="444" w:name="_Toc144974860"/>
      <w:bookmarkStart w:id="445" w:name="_Toc222029561"/>
      <w:bookmarkStart w:id="446" w:name="_Toc17451653"/>
      <w:bookmarkStart w:id="447" w:name="_Toc168475918"/>
      <w:bookmarkStart w:id="448" w:name="_Toc168476321"/>
      <w:bookmarkStart w:id="449" w:name="_Toc222033912"/>
      <w:bookmarkStart w:id="450" w:name="_Toc222032730"/>
      <w:bookmarkStart w:id="451" w:name="_Toc12049"/>
      <w:bookmarkStart w:id="452" w:name="_Toc26220"/>
      <w:bookmarkStart w:id="453" w:name="_Toc221952013"/>
      <w:bookmarkStart w:id="454" w:name="_Toc17452694"/>
      <w:bookmarkStart w:id="455" w:name="_Toc229305421"/>
      <w:bookmarkStart w:id="456" w:name="_Toc17451608"/>
      <w:bookmarkStart w:id="457" w:name="_Toc259524415"/>
      <w:bookmarkStart w:id="458" w:name="_Toc112854515"/>
      <w:bookmarkStart w:id="459" w:name="_Toc17454952"/>
      <w:bookmarkStart w:id="460" w:name="_Toc17556906"/>
      <w:bookmarkStart w:id="461" w:name="_Toc17042"/>
      <w:r>
        <w:rPr>
          <w:rFonts w:hint="eastAsia" w:ascii="宋体" w:hAnsi="宋体"/>
          <w:b/>
          <w:bCs/>
          <w:sz w:val="28"/>
          <w:szCs w:val="27"/>
          <w:highlight w:val="none"/>
        </w:rPr>
        <w:t>二、法定代表人身份证明</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wordWrap w:val="0"/>
        <w:spacing w:line="400" w:lineRule="exact"/>
        <w:rPr>
          <w:rFonts w:ascii="宋体" w:hAnsi="宋体"/>
          <w:sz w:val="19"/>
          <w:szCs w:val="19"/>
          <w:highlight w:val="none"/>
        </w:rPr>
      </w:pPr>
    </w:p>
    <w:p>
      <w:pPr>
        <w:wordWrap w:val="0"/>
        <w:spacing w:line="360" w:lineRule="auto"/>
        <w:ind w:firstLine="420" w:firstLineChars="200"/>
        <w:rPr>
          <w:rFonts w:ascii="宋体" w:hAnsi="宋体"/>
          <w:szCs w:val="21"/>
          <w:highlight w:val="none"/>
        </w:rPr>
      </w:pPr>
      <w:bookmarkStart w:id="462" w:name="_Toc221952014"/>
      <w:r>
        <w:rPr>
          <w:rFonts w:ascii="宋体" w:hAnsi="宋体"/>
          <w:szCs w:val="21"/>
          <w:highlight w:val="none"/>
        </w:rPr>
        <w:t>投标人名称：</w:t>
      </w:r>
      <w:bookmarkEnd w:id="462"/>
      <w:r>
        <w:rPr>
          <w:rFonts w:ascii="宋体" w:hAnsi="宋体"/>
          <w:szCs w:val="21"/>
          <w:highlight w:val="none"/>
          <w:u w:val="single"/>
        </w:rPr>
        <w:t xml:space="preserve">                            </w:t>
      </w:r>
      <w:r>
        <w:rPr>
          <w:rFonts w:ascii="宋体" w:hAnsi="宋体"/>
          <w:szCs w:val="21"/>
          <w:highlight w:val="none"/>
        </w:rPr>
        <w:t xml:space="preserve"> </w:t>
      </w:r>
    </w:p>
    <w:p>
      <w:pPr>
        <w:wordWrap w:val="0"/>
        <w:spacing w:line="360" w:lineRule="auto"/>
        <w:ind w:firstLine="420" w:firstLineChars="200"/>
        <w:rPr>
          <w:rFonts w:ascii="宋体" w:hAnsi="宋体"/>
          <w:szCs w:val="21"/>
          <w:highlight w:val="none"/>
        </w:rPr>
      </w:pPr>
      <w:bookmarkStart w:id="463" w:name="_Toc221952015"/>
      <w:r>
        <w:rPr>
          <w:rFonts w:ascii="宋体" w:hAnsi="宋体"/>
          <w:szCs w:val="21"/>
          <w:highlight w:val="none"/>
        </w:rPr>
        <w:t>单位性质：</w:t>
      </w:r>
      <w:bookmarkEnd w:id="463"/>
      <w:r>
        <w:rPr>
          <w:rFonts w:ascii="宋体" w:hAnsi="宋体"/>
          <w:szCs w:val="21"/>
          <w:highlight w:val="none"/>
          <w:u w:val="single"/>
        </w:rPr>
        <w:t xml:space="preserve">                               </w:t>
      </w:r>
      <w:r>
        <w:rPr>
          <w:rFonts w:ascii="宋体" w:hAnsi="宋体"/>
          <w:szCs w:val="21"/>
          <w:highlight w:val="none"/>
        </w:rPr>
        <w:t xml:space="preserve"> </w:t>
      </w:r>
    </w:p>
    <w:p>
      <w:pPr>
        <w:wordWrap w:val="0"/>
        <w:spacing w:line="360" w:lineRule="auto"/>
        <w:ind w:firstLine="420" w:firstLineChars="200"/>
        <w:rPr>
          <w:rFonts w:ascii="宋体" w:hAnsi="宋体"/>
          <w:szCs w:val="21"/>
          <w:highlight w:val="none"/>
        </w:rPr>
      </w:pPr>
      <w:bookmarkStart w:id="464" w:name="_Toc221952016"/>
      <w:r>
        <w:rPr>
          <w:rFonts w:ascii="宋体" w:hAnsi="宋体"/>
          <w:szCs w:val="21"/>
          <w:highlight w:val="none"/>
        </w:rPr>
        <w:t>地址：</w:t>
      </w:r>
      <w:bookmarkEnd w:id="464"/>
      <w:r>
        <w:rPr>
          <w:rFonts w:ascii="宋体" w:hAnsi="宋体"/>
          <w:szCs w:val="21"/>
          <w:highlight w:val="none"/>
          <w:u w:val="single"/>
        </w:rPr>
        <w:t xml:space="preserve">                                   </w:t>
      </w:r>
    </w:p>
    <w:p>
      <w:pPr>
        <w:wordWrap w:val="0"/>
        <w:spacing w:line="360" w:lineRule="auto"/>
        <w:ind w:firstLine="420" w:firstLineChars="200"/>
        <w:rPr>
          <w:rFonts w:ascii="宋体" w:hAnsi="宋体"/>
          <w:szCs w:val="21"/>
          <w:highlight w:val="none"/>
        </w:rPr>
      </w:pPr>
      <w:bookmarkStart w:id="465" w:name="_Toc221952017"/>
      <w:r>
        <w:rPr>
          <w:rFonts w:ascii="宋体" w:hAnsi="宋体"/>
          <w:szCs w:val="21"/>
          <w:highlight w:val="none"/>
        </w:rPr>
        <w:t>成立时间：</w:t>
      </w:r>
      <w:r>
        <w:rPr>
          <w:rFonts w:ascii="宋体" w:hAnsi="宋体"/>
          <w:szCs w:val="21"/>
          <w:highlight w:val="none"/>
          <w:u w:val="single"/>
        </w:rPr>
        <w:t xml:space="preserve">         </w:t>
      </w:r>
      <w:r>
        <w:rPr>
          <w:rFonts w:ascii="宋体" w:hAnsi="宋体"/>
          <w:szCs w:val="21"/>
          <w:highlight w:val="none"/>
        </w:rPr>
        <w:t xml:space="preserve"> 年</w:t>
      </w:r>
      <w:r>
        <w:rPr>
          <w:rFonts w:ascii="宋体" w:hAnsi="宋体"/>
          <w:szCs w:val="21"/>
          <w:highlight w:val="none"/>
          <w:u w:val="single"/>
        </w:rPr>
        <w:t xml:space="preserve">       </w:t>
      </w:r>
      <w:r>
        <w:rPr>
          <w:rFonts w:ascii="宋体" w:hAnsi="宋体"/>
          <w:szCs w:val="21"/>
          <w:highlight w:val="none"/>
        </w:rPr>
        <w:t xml:space="preserve"> 月</w:t>
      </w:r>
      <w:r>
        <w:rPr>
          <w:rFonts w:ascii="宋体" w:hAnsi="宋体"/>
          <w:szCs w:val="21"/>
          <w:highlight w:val="none"/>
          <w:u w:val="single"/>
        </w:rPr>
        <w:t xml:space="preserve">       </w:t>
      </w:r>
      <w:r>
        <w:rPr>
          <w:rFonts w:ascii="宋体" w:hAnsi="宋体"/>
          <w:szCs w:val="21"/>
          <w:highlight w:val="none"/>
        </w:rPr>
        <w:t xml:space="preserve"> 日</w:t>
      </w:r>
      <w:bookmarkEnd w:id="465"/>
    </w:p>
    <w:p>
      <w:pPr>
        <w:wordWrap w:val="0"/>
        <w:spacing w:line="360" w:lineRule="auto"/>
        <w:ind w:firstLine="420" w:firstLineChars="200"/>
        <w:rPr>
          <w:rFonts w:ascii="宋体" w:hAnsi="宋体"/>
          <w:szCs w:val="21"/>
          <w:highlight w:val="none"/>
        </w:rPr>
      </w:pPr>
      <w:bookmarkStart w:id="466" w:name="_Toc221952018"/>
      <w:r>
        <w:rPr>
          <w:rFonts w:ascii="宋体" w:hAnsi="宋体"/>
          <w:szCs w:val="21"/>
          <w:highlight w:val="none"/>
        </w:rPr>
        <w:t>经营期限：</w:t>
      </w:r>
      <w:bookmarkEnd w:id="466"/>
      <w:r>
        <w:rPr>
          <w:rFonts w:ascii="宋体" w:hAnsi="宋体"/>
          <w:szCs w:val="21"/>
          <w:highlight w:val="none"/>
          <w:u w:val="single"/>
        </w:rPr>
        <w:t xml:space="preserve">                               </w:t>
      </w:r>
    </w:p>
    <w:p>
      <w:pPr>
        <w:wordWrap w:val="0"/>
        <w:spacing w:line="360" w:lineRule="auto"/>
        <w:ind w:firstLine="420" w:firstLineChars="200"/>
        <w:rPr>
          <w:rFonts w:ascii="宋体" w:hAnsi="宋体"/>
          <w:szCs w:val="21"/>
          <w:highlight w:val="none"/>
          <w:u w:val="single"/>
        </w:rPr>
      </w:pPr>
      <w:bookmarkStart w:id="467" w:name="_Toc221952019"/>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p>
    <w:p>
      <w:pPr>
        <w:wordWrap w:val="0"/>
        <w:spacing w:line="360" w:lineRule="auto"/>
        <w:ind w:firstLine="420" w:firstLineChars="200"/>
        <w:rPr>
          <w:rFonts w:ascii="宋体" w:hAnsi="宋体"/>
          <w:szCs w:val="21"/>
          <w:highlight w:val="none"/>
        </w:rPr>
      </w:pPr>
      <w:r>
        <w:rPr>
          <w:rFonts w:ascii="宋体" w:hAnsi="宋体"/>
          <w:szCs w:val="21"/>
          <w:highlight w:val="none"/>
        </w:rPr>
        <w:t>职务：</w:t>
      </w:r>
      <w:bookmarkEnd w:id="467"/>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bookmarkStart w:id="468" w:name="_Toc221952020"/>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(投标人名称)的法定代表人。</w:t>
      </w:r>
      <w:bookmarkEnd w:id="468"/>
    </w:p>
    <w:p>
      <w:pPr>
        <w:wordWrap w:val="0"/>
        <w:spacing w:line="360" w:lineRule="auto"/>
        <w:ind w:firstLine="420" w:firstLineChars="200"/>
        <w:rPr>
          <w:rFonts w:ascii="宋体" w:hAnsi="宋体"/>
          <w:szCs w:val="21"/>
          <w:highlight w:val="none"/>
        </w:rPr>
      </w:pPr>
      <w:bookmarkStart w:id="469" w:name="_Toc221952021"/>
      <w:r>
        <w:rPr>
          <w:rFonts w:ascii="宋体" w:hAnsi="宋体"/>
          <w:szCs w:val="21"/>
          <w:highlight w:val="none"/>
        </w:rPr>
        <w:t>特此证明。</w:t>
      </w:r>
      <w:bookmarkEnd w:id="469"/>
    </w:p>
    <w:p>
      <w:pPr>
        <w:wordWrap w:val="0"/>
        <w:spacing w:line="400" w:lineRule="exact"/>
        <w:rPr>
          <w:rFonts w:ascii="宋体" w:hAnsi="宋体"/>
          <w:szCs w:val="21"/>
          <w:highlight w:val="none"/>
        </w:rPr>
      </w:pPr>
    </w:p>
    <w:p>
      <w:pPr>
        <w:wordWrap w:val="0"/>
        <w:spacing w:line="400" w:lineRule="exact"/>
        <w:rPr>
          <w:rFonts w:ascii="宋体" w:hAnsi="宋体"/>
          <w:szCs w:val="21"/>
          <w:highlight w:val="none"/>
        </w:rPr>
      </w:pPr>
    </w:p>
    <w:p>
      <w:pPr>
        <w:wordWrap w:val="0"/>
        <w:spacing w:line="400" w:lineRule="exact"/>
        <w:rPr>
          <w:rFonts w:ascii="宋体" w:hAnsi="宋体"/>
          <w:szCs w:val="21"/>
          <w:highlight w:val="none"/>
        </w:rPr>
      </w:pPr>
    </w:p>
    <w:p>
      <w:pPr>
        <w:wordWrap w:val="0"/>
        <w:spacing w:line="400" w:lineRule="exact"/>
        <w:ind w:firstLine="420" w:firstLineChars="200"/>
        <w:jc w:val="right"/>
        <w:rPr>
          <w:rFonts w:ascii="宋体" w:hAnsi="宋体"/>
          <w:szCs w:val="21"/>
          <w:highlight w:val="none"/>
        </w:rPr>
      </w:pPr>
      <w:bookmarkStart w:id="470" w:name="_Toc221952022"/>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（盖单位章）</w:t>
      </w:r>
      <w:bookmarkEnd w:id="470"/>
    </w:p>
    <w:p>
      <w:pPr>
        <w:wordWrap w:val="0"/>
        <w:spacing w:line="400" w:lineRule="exact"/>
        <w:jc w:val="right"/>
        <w:rPr>
          <w:rFonts w:ascii="宋体" w:hAnsi="宋体"/>
          <w:szCs w:val="21"/>
          <w:highlight w:val="none"/>
        </w:rPr>
      </w:pPr>
    </w:p>
    <w:p>
      <w:pPr>
        <w:wordWrap w:val="0"/>
        <w:spacing w:line="400" w:lineRule="exact"/>
        <w:ind w:firstLine="420" w:firstLineChars="200"/>
        <w:jc w:val="right"/>
        <w:rPr>
          <w:rFonts w:ascii="宋体" w:hAnsi="宋体"/>
          <w:szCs w:val="21"/>
          <w:highlight w:val="none"/>
        </w:rPr>
      </w:pPr>
      <w:r>
        <w:rPr>
          <w:rFonts w:ascii="宋体" w:hAnsi="宋体"/>
          <w:szCs w:val="21"/>
          <w:highlight w:val="none"/>
          <w:u w:val="single"/>
        </w:rPr>
        <w:t xml:space="preserve">         </w:t>
      </w:r>
      <w:bookmarkStart w:id="471" w:name="_Toc221952023"/>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bookmarkEnd w:id="471"/>
    </w:p>
    <w:p>
      <w:pPr>
        <w:wordWrap w:val="0"/>
        <w:spacing w:line="400" w:lineRule="exact"/>
        <w:ind w:firstLine="420" w:firstLineChars="200"/>
        <w:jc w:val="center"/>
        <w:rPr>
          <w:rFonts w:ascii="宋体" w:hAnsi="宋体"/>
          <w:sz w:val="19"/>
          <w:szCs w:val="19"/>
          <w:highlight w:val="none"/>
        </w:rPr>
      </w:pPr>
      <w:r>
        <w:rPr>
          <w:rFonts w:ascii="宋体" w:hAnsi="宋体"/>
          <w:szCs w:val="21"/>
          <w:highlight w:val="none"/>
        </w:rPr>
        <w:br w:type="page"/>
      </w:r>
    </w:p>
    <w:p>
      <w:pPr>
        <w:wordWrap w:val="0"/>
        <w:spacing w:line="360" w:lineRule="auto"/>
        <w:jc w:val="center"/>
        <w:outlineLvl w:val="2"/>
        <w:rPr>
          <w:rFonts w:ascii="宋体" w:hAnsi="宋体"/>
          <w:b/>
          <w:bCs/>
          <w:sz w:val="28"/>
          <w:szCs w:val="27"/>
          <w:highlight w:val="none"/>
        </w:rPr>
      </w:pPr>
      <w:bookmarkStart w:id="472" w:name="_Toc17556907"/>
      <w:bookmarkStart w:id="473" w:name="_Toc17452695"/>
      <w:bookmarkStart w:id="474" w:name="_Toc229305422"/>
      <w:bookmarkStart w:id="475" w:name="_Toc17451654"/>
      <w:bookmarkStart w:id="476" w:name="_Toc17454953"/>
      <w:bookmarkStart w:id="477" w:name="_Toc222029562"/>
      <w:bookmarkStart w:id="478" w:name="_Toc4066"/>
      <w:bookmarkStart w:id="479" w:name="_Toc222032731"/>
      <w:bookmarkStart w:id="480" w:name="_Toc17451132"/>
      <w:bookmarkStart w:id="481" w:name="_Toc17454902"/>
      <w:bookmarkStart w:id="482" w:name="_Toc17451609"/>
      <w:bookmarkStart w:id="483" w:name="_Toc14309"/>
      <w:bookmarkStart w:id="484" w:name="_Toc168475919"/>
      <w:bookmarkStart w:id="485" w:name="_Toc222033913"/>
      <w:bookmarkStart w:id="486" w:name="_Toc144974861"/>
      <w:bookmarkStart w:id="487" w:name="_Toc259524416"/>
      <w:bookmarkStart w:id="488" w:name="_Toc222031064"/>
      <w:bookmarkStart w:id="489" w:name="_Toc2660"/>
      <w:bookmarkStart w:id="490" w:name="_Toc168476322"/>
      <w:bookmarkStart w:id="491" w:name="_Toc221952024"/>
      <w:bookmarkStart w:id="492" w:name="_Toc112854516"/>
      <w:r>
        <w:rPr>
          <w:rFonts w:hint="eastAsia" w:ascii="宋体" w:hAnsi="宋体"/>
          <w:b/>
          <w:bCs/>
          <w:sz w:val="28"/>
          <w:szCs w:val="27"/>
          <w:highlight w:val="none"/>
        </w:rPr>
        <w:t>三、授权委托书</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wordWrap w:val="0"/>
        <w:spacing w:line="400" w:lineRule="exact"/>
        <w:rPr>
          <w:rFonts w:ascii="宋体" w:hAnsi="宋体"/>
          <w:sz w:val="20"/>
          <w:szCs w:val="20"/>
          <w:highlight w:val="none"/>
        </w:rPr>
      </w:pPr>
    </w:p>
    <w:p>
      <w:pPr>
        <w:wordWrap w:val="0"/>
        <w:topLinePunct/>
        <w:spacing w:line="400" w:lineRule="exact"/>
        <w:ind w:firstLine="420" w:firstLineChars="200"/>
        <w:rPr>
          <w:rFonts w:ascii="宋体" w:hAnsi="宋体"/>
          <w:szCs w:val="21"/>
          <w:highlight w:val="none"/>
        </w:rPr>
      </w:pPr>
      <w:bookmarkStart w:id="493" w:name="_Toc221952025"/>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（投标人名称）的法定代表人，现委托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（项目名称）（标段名称）</w:t>
      </w:r>
      <w:r>
        <w:rPr>
          <w:rFonts w:hint="eastAsia" w:ascii="宋体" w:hAnsi="宋体"/>
          <w:szCs w:val="21"/>
          <w:highlight w:val="none"/>
        </w:rPr>
        <w:t>投标文件、签订合同和处理有关事宜，其法律后果由我方承担。</w:t>
      </w:r>
      <w:bookmarkEnd w:id="493"/>
    </w:p>
    <w:p>
      <w:pPr>
        <w:wordWrap w:val="0"/>
        <w:spacing w:line="400" w:lineRule="exact"/>
        <w:ind w:firstLine="420" w:firstLineChars="200"/>
        <w:rPr>
          <w:rFonts w:ascii="宋体" w:hAnsi="宋体"/>
          <w:szCs w:val="21"/>
          <w:highlight w:val="none"/>
        </w:rPr>
      </w:pPr>
      <w:bookmarkStart w:id="494" w:name="_Toc221952026"/>
      <w:r>
        <w:rPr>
          <w:rFonts w:hint="eastAsia" w:ascii="宋体" w:hAnsi="宋体"/>
          <w:szCs w:val="21"/>
          <w:highlight w:val="none"/>
        </w:rPr>
        <w:t>委托期限：</w:t>
      </w:r>
      <w:bookmarkEnd w:id="494"/>
      <w:r>
        <w:rPr>
          <w:rFonts w:hint="eastAsia" w:ascii="宋体" w:hAnsi="宋体"/>
          <w:szCs w:val="21"/>
          <w:highlight w:val="none"/>
          <w:u w:val="single"/>
        </w:rPr>
        <w:t xml:space="preserve">          </w:t>
      </w:r>
      <w:r>
        <w:rPr>
          <w:rFonts w:hint="eastAsia" w:ascii="宋体" w:hAnsi="宋体"/>
          <w:szCs w:val="21"/>
          <w:highlight w:val="none"/>
        </w:rPr>
        <w:t>。</w:t>
      </w:r>
    </w:p>
    <w:p>
      <w:pPr>
        <w:wordWrap w:val="0"/>
        <w:spacing w:line="400" w:lineRule="exact"/>
        <w:ind w:firstLine="420" w:firstLineChars="200"/>
        <w:rPr>
          <w:rFonts w:ascii="宋体" w:hAnsi="宋体"/>
          <w:szCs w:val="21"/>
          <w:highlight w:val="none"/>
        </w:rPr>
      </w:pPr>
      <w:r>
        <w:rPr>
          <w:rFonts w:hint="eastAsia" w:ascii="宋体" w:hAnsi="宋体"/>
          <w:szCs w:val="21"/>
          <w:highlight w:val="none"/>
        </w:rPr>
        <w:t>代理人无转委托权。代理人为投标人正式职工（提供最近1个月的社保证明）</w:t>
      </w:r>
    </w:p>
    <w:p>
      <w:pPr>
        <w:wordWrap w:val="0"/>
        <w:spacing w:line="400" w:lineRule="exact"/>
        <w:ind w:firstLine="420" w:firstLineChars="200"/>
        <w:rPr>
          <w:rFonts w:ascii="宋体" w:hAnsi="宋体"/>
          <w:szCs w:val="21"/>
          <w:highlight w:val="none"/>
        </w:rPr>
      </w:pPr>
      <w:r>
        <w:rPr>
          <w:rFonts w:hint="eastAsia" w:ascii="宋体" w:hAnsi="宋体"/>
          <w:szCs w:val="21"/>
          <w:highlight w:val="none"/>
        </w:rPr>
        <w:t>附：法定代表人身份证明和社保证明</w:t>
      </w:r>
    </w:p>
    <w:p>
      <w:pPr>
        <w:wordWrap w:val="0"/>
        <w:spacing w:line="400" w:lineRule="exact"/>
        <w:rPr>
          <w:rFonts w:ascii="宋体" w:hAnsi="宋体"/>
          <w:szCs w:val="21"/>
          <w:highlight w:val="none"/>
        </w:rPr>
      </w:pPr>
    </w:p>
    <w:p>
      <w:pPr>
        <w:wordWrap w:val="0"/>
        <w:spacing w:line="400" w:lineRule="exact"/>
        <w:rPr>
          <w:rFonts w:ascii="宋体" w:hAnsi="宋体"/>
          <w:szCs w:val="21"/>
          <w:highlight w:val="none"/>
        </w:rPr>
      </w:pPr>
    </w:p>
    <w:p>
      <w:pPr>
        <w:spacing w:line="400" w:lineRule="exact"/>
        <w:ind w:firstLine="3998" w:firstLineChars="1904"/>
        <w:jc w:val="left"/>
        <w:rPr>
          <w:rFonts w:ascii="宋体" w:hAnsi="宋体"/>
          <w:szCs w:val="21"/>
          <w:highlight w:val="none"/>
        </w:rPr>
      </w:pPr>
      <w:bookmarkStart w:id="495" w:name="_Toc221952029"/>
      <w:bookmarkStart w:id="496" w:name="_Toc18230"/>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（盖单位章）</w:t>
      </w:r>
      <w:bookmarkEnd w:id="495"/>
    </w:p>
    <w:p>
      <w:pPr>
        <w:spacing w:line="400" w:lineRule="exact"/>
        <w:ind w:firstLine="3998" w:firstLineChars="1904"/>
        <w:jc w:val="left"/>
        <w:rPr>
          <w:rFonts w:ascii="宋体" w:hAnsi="宋体"/>
          <w:szCs w:val="21"/>
          <w:highlight w:val="none"/>
        </w:rPr>
      </w:pPr>
    </w:p>
    <w:p>
      <w:pPr>
        <w:spacing w:line="400" w:lineRule="exact"/>
        <w:ind w:firstLine="3998" w:firstLineChars="1904"/>
        <w:jc w:val="left"/>
        <w:rPr>
          <w:rFonts w:ascii="宋体" w:hAnsi="宋体"/>
          <w:szCs w:val="21"/>
          <w:highlight w:val="none"/>
        </w:rPr>
      </w:pPr>
      <w:bookmarkStart w:id="497" w:name="_Toc221952030"/>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w:t>
      </w:r>
      <w:r>
        <w:rPr>
          <w:rFonts w:ascii="宋体" w:hAnsi="宋体"/>
          <w:szCs w:val="21"/>
          <w:highlight w:val="none"/>
        </w:rPr>
        <w:t>字）</w:t>
      </w:r>
      <w:bookmarkEnd w:id="497"/>
    </w:p>
    <w:p>
      <w:pPr>
        <w:spacing w:line="400" w:lineRule="exact"/>
        <w:ind w:firstLine="3998" w:firstLineChars="1904"/>
        <w:jc w:val="left"/>
        <w:rPr>
          <w:rFonts w:ascii="宋体" w:hAnsi="宋体"/>
          <w:szCs w:val="21"/>
          <w:highlight w:val="none"/>
        </w:rPr>
      </w:pPr>
    </w:p>
    <w:p>
      <w:pPr>
        <w:wordWrap w:val="0"/>
        <w:spacing w:line="400" w:lineRule="exact"/>
        <w:ind w:right="420" w:firstLine="3998" w:firstLineChars="1904"/>
        <w:jc w:val="left"/>
        <w:rPr>
          <w:rFonts w:ascii="宋体" w:hAnsi="宋体"/>
          <w:szCs w:val="21"/>
          <w:highlight w:val="none"/>
        </w:rPr>
      </w:pPr>
      <w:bookmarkStart w:id="498" w:name="_Toc221952031"/>
      <w:r>
        <w:rPr>
          <w:rFonts w:ascii="宋体" w:hAnsi="宋体"/>
          <w:szCs w:val="21"/>
          <w:highlight w:val="none"/>
        </w:rPr>
        <w:t>身份证号码：</w:t>
      </w:r>
      <w:bookmarkEnd w:id="498"/>
      <w:r>
        <w:rPr>
          <w:rFonts w:ascii="宋体" w:hAnsi="宋体"/>
          <w:szCs w:val="21"/>
          <w:highlight w:val="none"/>
          <w:u w:val="single"/>
        </w:rPr>
        <w:t xml:space="preserve">                                </w:t>
      </w:r>
      <w:r>
        <w:rPr>
          <w:rFonts w:ascii="宋体" w:hAnsi="宋体"/>
          <w:szCs w:val="21"/>
          <w:highlight w:val="none"/>
        </w:rPr>
        <w:t xml:space="preserve">   </w:t>
      </w:r>
    </w:p>
    <w:p>
      <w:pPr>
        <w:spacing w:line="400" w:lineRule="exact"/>
        <w:ind w:firstLine="3998" w:firstLineChars="1904"/>
        <w:jc w:val="left"/>
        <w:rPr>
          <w:rFonts w:ascii="宋体" w:hAnsi="宋体"/>
          <w:szCs w:val="21"/>
          <w:highlight w:val="none"/>
        </w:rPr>
      </w:pPr>
    </w:p>
    <w:p>
      <w:pPr>
        <w:spacing w:line="400" w:lineRule="exact"/>
        <w:ind w:firstLine="3998" w:firstLineChars="1904"/>
        <w:jc w:val="left"/>
        <w:rPr>
          <w:rFonts w:ascii="宋体" w:hAnsi="宋体"/>
          <w:szCs w:val="21"/>
          <w:highlight w:val="none"/>
        </w:rPr>
      </w:pPr>
      <w:bookmarkStart w:id="499" w:name="_Toc221952032"/>
      <w:r>
        <w:rPr>
          <w:rFonts w:hint="eastAsia" w:ascii="宋体" w:hAnsi="宋体"/>
          <w:szCs w:val="21"/>
          <w:highlight w:val="none"/>
        </w:rPr>
        <w:t>委托</w:t>
      </w:r>
      <w:r>
        <w:rPr>
          <w:rFonts w:ascii="宋体" w:hAnsi="宋体"/>
          <w:szCs w:val="21"/>
          <w:highlight w:val="none"/>
        </w:rPr>
        <w:t>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（签字</w:t>
      </w:r>
      <w:r>
        <w:rPr>
          <w:rFonts w:ascii="宋体" w:hAnsi="宋体"/>
          <w:szCs w:val="21"/>
          <w:highlight w:val="none"/>
        </w:rPr>
        <w:t>）</w:t>
      </w:r>
      <w:bookmarkEnd w:id="499"/>
    </w:p>
    <w:p>
      <w:pPr>
        <w:spacing w:line="400" w:lineRule="exact"/>
        <w:ind w:firstLine="3998" w:firstLineChars="1904"/>
        <w:jc w:val="left"/>
        <w:rPr>
          <w:rFonts w:ascii="宋体" w:hAnsi="宋体"/>
          <w:szCs w:val="21"/>
          <w:highlight w:val="none"/>
        </w:rPr>
      </w:pPr>
    </w:p>
    <w:p>
      <w:pPr>
        <w:wordWrap w:val="0"/>
        <w:spacing w:line="400" w:lineRule="exact"/>
        <w:ind w:right="420" w:firstLine="3998" w:firstLineChars="1904"/>
        <w:jc w:val="left"/>
        <w:rPr>
          <w:rFonts w:ascii="宋体" w:hAnsi="宋体"/>
          <w:szCs w:val="21"/>
          <w:highlight w:val="none"/>
        </w:rPr>
      </w:pPr>
      <w:bookmarkStart w:id="500" w:name="_Toc221952033"/>
      <w:r>
        <w:rPr>
          <w:rFonts w:ascii="宋体" w:hAnsi="宋体"/>
          <w:szCs w:val="21"/>
          <w:highlight w:val="none"/>
        </w:rPr>
        <w:t>身份证号码：</w:t>
      </w:r>
      <w:bookmarkEnd w:id="500"/>
      <w:r>
        <w:rPr>
          <w:rFonts w:ascii="宋体" w:hAnsi="宋体"/>
          <w:szCs w:val="21"/>
          <w:highlight w:val="none"/>
          <w:u w:val="single"/>
        </w:rPr>
        <w:t xml:space="preserve">                                    </w:t>
      </w:r>
    </w:p>
    <w:p>
      <w:pPr>
        <w:spacing w:line="400" w:lineRule="exact"/>
        <w:ind w:firstLine="3998" w:firstLineChars="1904"/>
        <w:jc w:val="left"/>
        <w:rPr>
          <w:rFonts w:ascii="宋体" w:hAnsi="宋体"/>
          <w:szCs w:val="21"/>
          <w:highlight w:val="none"/>
        </w:rPr>
      </w:pPr>
    </w:p>
    <w:p>
      <w:pPr>
        <w:spacing w:line="400" w:lineRule="exact"/>
        <w:ind w:firstLine="3998" w:firstLineChars="1904"/>
        <w:jc w:val="left"/>
        <w:rPr>
          <w:rFonts w:ascii="宋体" w:hAnsi="宋体"/>
          <w:szCs w:val="21"/>
          <w:highlight w:val="none"/>
        </w:rPr>
      </w:pPr>
      <w:r>
        <w:rPr>
          <w:rFonts w:ascii="宋体" w:hAnsi="宋体"/>
          <w:szCs w:val="21"/>
          <w:highlight w:val="none"/>
          <w:u w:val="single"/>
        </w:rPr>
        <w:t xml:space="preserve">       </w:t>
      </w:r>
      <w:bookmarkStart w:id="501" w:name="_Toc221952034"/>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bookmarkEnd w:id="501"/>
    </w:p>
    <w:p>
      <w:pPr>
        <w:wordWrap w:val="0"/>
        <w:spacing w:line="360" w:lineRule="auto"/>
        <w:jc w:val="center"/>
        <w:outlineLvl w:val="2"/>
        <w:rPr>
          <w:rFonts w:ascii="宋体" w:hAnsi="宋体"/>
          <w:b/>
          <w:bCs/>
          <w:sz w:val="28"/>
          <w:szCs w:val="27"/>
          <w:highlight w:val="none"/>
        </w:rPr>
      </w:pPr>
      <w:r>
        <w:rPr>
          <w:rFonts w:hint="eastAsia" w:ascii="宋体" w:hAnsi="宋体"/>
          <w:sz w:val="28"/>
          <w:szCs w:val="27"/>
          <w:highlight w:val="none"/>
        </w:rPr>
        <w:br w:type="page"/>
      </w:r>
      <w:bookmarkEnd w:id="496"/>
      <w:bookmarkStart w:id="502" w:name="_Toc17452698"/>
      <w:bookmarkStart w:id="503" w:name="_Toc17454905"/>
      <w:bookmarkStart w:id="504" w:name="_Toc112854518"/>
      <w:bookmarkStart w:id="505" w:name="_Toc5858"/>
      <w:bookmarkStart w:id="506" w:name="_Toc17451612"/>
      <w:bookmarkStart w:id="507" w:name="_Toc229305425"/>
      <w:bookmarkStart w:id="508" w:name="_Toc259524419"/>
      <w:bookmarkStart w:id="509" w:name="_Toc222032734"/>
      <w:bookmarkStart w:id="510" w:name="_Toc17454956"/>
      <w:bookmarkStart w:id="511" w:name="_Toc168475922"/>
      <w:bookmarkStart w:id="512" w:name="_Toc168476325"/>
      <w:bookmarkStart w:id="513" w:name="_Toc222029565"/>
      <w:bookmarkStart w:id="514" w:name="_Toc222031067"/>
      <w:bookmarkStart w:id="515" w:name="_Toc11915"/>
      <w:bookmarkStart w:id="516" w:name="_Toc144974863"/>
      <w:bookmarkStart w:id="517" w:name="_Toc17451135"/>
      <w:bookmarkStart w:id="518" w:name="_Toc17556910"/>
      <w:bookmarkStart w:id="519" w:name="_Toc222033916"/>
      <w:bookmarkStart w:id="520" w:name="_Toc221952063"/>
      <w:bookmarkStart w:id="521" w:name="_Toc17451657"/>
      <w:bookmarkStart w:id="522" w:name="_Toc1520"/>
      <w:r>
        <w:rPr>
          <w:rFonts w:hint="eastAsia" w:ascii="宋体" w:hAnsi="宋体"/>
          <w:b/>
          <w:bCs/>
          <w:sz w:val="28"/>
          <w:szCs w:val="27"/>
          <w:highlight w:val="none"/>
        </w:rPr>
        <w:t>四、已标价工程量清单</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Start w:id="523" w:name="_Toc222032735"/>
      <w:bookmarkStart w:id="524" w:name="_Toc168476326"/>
      <w:bookmarkStart w:id="525" w:name="_Toc17451137"/>
      <w:bookmarkStart w:id="526" w:name="_Toc17556912"/>
      <w:bookmarkStart w:id="527" w:name="_Toc17454907"/>
      <w:bookmarkStart w:id="528" w:name="_Toc168475923"/>
      <w:bookmarkStart w:id="529" w:name="_Toc229305426"/>
      <w:bookmarkStart w:id="530" w:name="_Toc112854519"/>
      <w:bookmarkStart w:id="531" w:name="_Toc221952064"/>
      <w:bookmarkStart w:id="532" w:name="_Toc17451614"/>
      <w:bookmarkStart w:id="533" w:name="_Toc222029566"/>
      <w:bookmarkStart w:id="534" w:name="_Toc222031068"/>
      <w:bookmarkStart w:id="535" w:name="_Toc222033917"/>
      <w:bookmarkStart w:id="536" w:name="_Toc259524420"/>
      <w:bookmarkStart w:id="537" w:name="_Toc17452700"/>
      <w:bookmarkStart w:id="538" w:name="_Toc17451659"/>
      <w:bookmarkStart w:id="539" w:name="_Toc144974864"/>
      <w:bookmarkStart w:id="540" w:name="_Toc17454958"/>
    </w:p>
    <w:p>
      <w:pPr>
        <w:wordWrap w:val="0"/>
        <w:spacing w:line="400" w:lineRule="exact"/>
        <w:rPr>
          <w:rFonts w:ascii="宋体" w:hAnsi="宋体"/>
          <w:sz w:val="20"/>
          <w:szCs w:val="20"/>
          <w:highlight w:val="none"/>
        </w:rPr>
      </w:pPr>
      <w:r>
        <w:rPr>
          <w:rFonts w:ascii="宋体" w:hAnsi="宋体"/>
          <w:b/>
          <w:bCs/>
          <w:sz w:val="28"/>
          <w:szCs w:val="27"/>
          <w:highlight w:val="none"/>
        </w:rPr>
        <w:br w:type="page"/>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wordWrap w:val="0"/>
        <w:spacing w:line="360" w:lineRule="auto"/>
        <w:jc w:val="center"/>
        <w:outlineLvl w:val="2"/>
        <w:rPr>
          <w:rFonts w:ascii="宋体" w:hAnsi="宋体"/>
          <w:b/>
          <w:bCs/>
          <w:sz w:val="28"/>
          <w:szCs w:val="27"/>
          <w:highlight w:val="none"/>
        </w:rPr>
      </w:pPr>
      <w:bookmarkStart w:id="541" w:name="_Toc22762"/>
      <w:r>
        <w:rPr>
          <w:rFonts w:hint="eastAsia" w:ascii="宋体" w:hAnsi="宋体"/>
          <w:b/>
          <w:bCs/>
          <w:sz w:val="28"/>
          <w:szCs w:val="27"/>
          <w:highlight w:val="none"/>
        </w:rPr>
        <w:t>五、项目管理机构</w:t>
      </w:r>
      <w:bookmarkEnd w:id="541"/>
    </w:p>
    <w:p>
      <w:pPr>
        <w:jc w:val="center"/>
        <w:rPr>
          <w:b/>
          <w:sz w:val="24"/>
          <w:szCs w:val="24"/>
          <w:highlight w:val="none"/>
        </w:rPr>
      </w:pPr>
      <w:r>
        <w:rPr>
          <w:rFonts w:hint="eastAsia"/>
          <w:b/>
          <w:sz w:val="24"/>
          <w:szCs w:val="24"/>
          <w:highlight w:val="none"/>
        </w:rPr>
        <w:t>项目管理架构人员最低配置承诺书（参考格式）</w:t>
      </w:r>
    </w:p>
    <w:p>
      <w:pPr>
        <w:wordWrap w:val="0"/>
        <w:spacing w:before="120" w:line="520" w:lineRule="exact"/>
        <w:rPr>
          <w:rFonts w:ascii="宋体" w:hAnsi="宋体"/>
          <w:szCs w:val="32"/>
          <w:highlight w:val="none"/>
        </w:rPr>
      </w:pPr>
      <w:r>
        <w:rPr>
          <w:szCs w:val="32"/>
          <w:highlight w:val="none"/>
        </w:rPr>
        <w:t>致</w:t>
      </w:r>
      <w:r>
        <w:rPr>
          <w:rFonts w:hint="eastAsia"/>
          <w:szCs w:val="32"/>
          <w:highlight w:val="none"/>
          <w:u w:val="single"/>
        </w:rPr>
        <w:t>广州市智采资源管理服务有限公司</w:t>
      </w:r>
      <w:r>
        <w:rPr>
          <w:szCs w:val="32"/>
          <w:highlight w:val="none"/>
        </w:rPr>
        <w:t>：</w:t>
      </w:r>
    </w:p>
    <w:p>
      <w:pPr>
        <w:wordWrap w:val="0"/>
        <w:spacing w:before="120" w:line="520" w:lineRule="exact"/>
        <w:ind w:left="6" w:leftChars="3" w:firstLine="420" w:firstLineChars="200"/>
        <w:rPr>
          <w:rFonts w:ascii="宋体" w:hAnsi="宋体"/>
          <w:b/>
          <w:bCs/>
          <w:szCs w:val="32"/>
          <w:highlight w:val="none"/>
        </w:rPr>
      </w:pPr>
      <w:r>
        <w:rPr>
          <w:rFonts w:hint="eastAsia" w:ascii="宋体" w:hAnsi="宋体"/>
          <w:szCs w:val="32"/>
          <w:highlight w:val="none"/>
        </w:rPr>
        <w:t>我公司参与</w:t>
      </w:r>
      <w:r>
        <w:rPr>
          <w:rFonts w:hint="eastAsia" w:ascii="宋体" w:hAnsi="宋体"/>
          <w:szCs w:val="32"/>
          <w:highlight w:val="none"/>
          <w:u w:val="single"/>
          <w:lang w:eastAsia="zh-CN"/>
        </w:rPr>
        <w:t>黄埔大道971号大院等5个雨污分流管道改造联合采购项目</w:t>
      </w:r>
      <w:r>
        <w:rPr>
          <w:rFonts w:hint="eastAsia" w:ascii="宋体" w:hAnsi="宋体"/>
          <w:szCs w:val="32"/>
          <w:highlight w:val="none"/>
        </w:rPr>
        <w:t>投标，郑重承诺如下</w:t>
      </w:r>
      <w:r>
        <w:rPr>
          <w:rFonts w:ascii="宋体" w:hAnsi="宋体"/>
          <w:szCs w:val="32"/>
          <w:highlight w:val="none"/>
        </w:rPr>
        <w:t>(</w:t>
      </w:r>
      <w:r>
        <w:rPr>
          <w:rFonts w:hint="eastAsia" w:ascii="宋体" w:hAnsi="宋体"/>
          <w:szCs w:val="32"/>
          <w:highlight w:val="none"/>
        </w:rPr>
        <w:t>具体要求请招标人根据项目特点确定</w:t>
      </w:r>
      <w:r>
        <w:rPr>
          <w:rFonts w:ascii="宋体" w:hAnsi="宋体"/>
          <w:szCs w:val="32"/>
          <w:highlight w:val="none"/>
        </w:rPr>
        <w:t>)</w:t>
      </w:r>
      <w:r>
        <w:rPr>
          <w:rFonts w:hint="eastAsia" w:ascii="宋体" w:hAnsi="宋体"/>
          <w:szCs w:val="32"/>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68"/>
        <w:gridCol w:w="2537"/>
        <w:gridCol w:w="1186"/>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57"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序号</w:t>
            </w:r>
          </w:p>
        </w:tc>
        <w:tc>
          <w:tcPr>
            <w:tcW w:w="1268"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岗位</w:t>
            </w:r>
          </w:p>
        </w:tc>
        <w:tc>
          <w:tcPr>
            <w:tcW w:w="2537"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资格要求</w:t>
            </w:r>
          </w:p>
        </w:tc>
        <w:tc>
          <w:tcPr>
            <w:tcW w:w="1186"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数量</w:t>
            </w:r>
          </w:p>
        </w:tc>
        <w:tc>
          <w:tcPr>
            <w:tcW w:w="3978"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1</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项目负责人</w:t>
            </w:r>
          </w:p>
        </w:tc>
        <w:tc>
          <w:tcPr>
            <w:tcW w:w="2537"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与招标公告要求一致</w:t>
            </w: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1</w:t>
            </w:r>
          </w:p>
        </w:tc>
        <w:tc>
          <w:tcPr>
            <w:tcW w:w="3978"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填报人员与资格审查提供的人员一致。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3</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技术负责人</w:t>
            </w:r>
          </w:p>
        </w:tc>
        <w:tc>
          <w:tcPr>
            <w:tcW w:w="2537"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具备市政工程相关专业工程师或以上职称</w:t>
            </w: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ascii="宋体" w:hAnsi="宋体" w:cs="宋体"/>
                <w:szCs w:val="21"/>
                <w:highlight w:val="none"/>
              </w:rPr>
              <w:t>1</w:t>
            </w:r>
          </w:p>
        </w:tc>
        <w:tc>
          <w:tcPr>
            <w:tcW w:w="3978"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4</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专职安全员</w:t>
            </w:r>
          </w:p>
        </w:tc>
        <w:tc>
          <w:tcPr>
            <w:tcW w:w="2537"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与招标公告要求一致</w:t>
            </w: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不少于</w:t>
            </w:r>
            <w:r>
              <w:rPr>
                <w:rFonts w:ascii="宋体" w:hAnsi="宋体" w:cs="宋体"/>
                <w:szCs w:val="21"/>
                <w:highlight w:val="none"/>
              </w:rPr>
              <w:t>1</w:t>
            </w:r>
          </w:p>
        </w:tc>
        <w:tc>
          <w:tcPr>
            <w:tcW w:w="3978"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填报人员与资格审查提供的人员一致。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5</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质量负责人</w:t>
            </w:r>
          </w:p>
        </w:tc>
        <w:tc>
          <w:tcPr>
            <w:tcW w:w="2537" w:type="dxa"/>
            <w:vAlign w:val="center"/>
          </w:tcPr>
          <w:p>
            <w:pPr>
              <w:wordWrap w:val="0"/>
              <w:spacing w:before="120" w:line="400" w:lineRule="exact"/>
              <w:jc w:val="center"/>
              <w:rPr>
                <w:rFonts w:ascii="宋体" w:hAnsi="宋体" w:cs="宋体"/>
                <w:szCs w:val="21"/>
                <w:highlight w:val="none"/>
              </w:rPr>
            </w:pP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ascii="宋体" w:hAnsi="宋体" w:cs="宋体"/>
                <w:szCs w:val="21"/>
                <w:highlight w:val="none"/>
              </w:rPr>
              <w:t>1</w:t>
            </w:r>
          </w:p>
        </w:tc>
        <w:tc>
          <w:tcPr>
            <w:tcW w:w="3978"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6</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安全负责人</w:t>
            </w:r>
          </w:p>
        </w:tc>
        <w:tc>
          <w:tcPr>
            <w:tcW w:w="2537" w:type="dxa"/>
            <w:vAlign w:val="center"/>
          </w:tcPr>
          <w:p>
            <w:pPr>
              <w:wordWrap w:val="0"/>
              <w:spacing w:before="120" w:line="400" w:lineRule="exact"/>
              <w:jc w:val="center"/>
              <w:rPr>
                <w:rFonts w:ascii="宋体" w:hAnsi="宋体" w:cs="宋体"/>
                <w:szCs w:val="21"/>
                <w:highlight w:val="none"/>
              </w:rPr>
            </w:pP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ascii="宋体" w:hAnsi="宋体" w:cs="宋体"/>
                <w:szCs w:val="21"/>
                <w:highlight w:val="none"/>
              </w:rPr>
              <w:t>1</w:t>
            </w:r>
          </w:p>
        </w:tc>
        <w:tc>
          <w:tcPr>
            <w:tcW w:w="3978"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7</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造价负责人</w:t>
            </w:r>
          </w:p>
        </w:tc>
        <w:tc>
          <w:tcPr>
            <w:tcW w:w="2537" w:type="dxa"/>
            <w:vAlign w:val="center"/>
          </w:tcPr>
          <w:p>
            <w:pPr>
              <w:wordWrap w:val="0"/>
              <w:spacing w:before="120" w:line="400" w:lineRule="exact"/>
              <w:jc w:val="center"/>
              <w:rPr>
                <w:rFonts w:ascii="宋体" w:hAnsi="宋体" w:cs="宋体"/>
                <w:szCs w:val="21"/>
                <w:highlight w:val="none"/>
              </w:rPr>
            </w:pP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ascii="宋体" w:hAnsi="宋体" w:cs="宋体"/>
                <w:szCs w:val="21"/>
                <w:highlight w:val="none"/>
              </w:rPr>
              <w:t>1</w:t>
            </w:r>
          </w:p>
        </w:tc>
        <w:tc>
          <w:tcPr>
            <w:tcW w:w="3978" w:type="dxa"/>
            <w:vAlign w:val="center"/>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8</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资料员</w:t>
            </w:r>
          </w:p>
        </w:tc>
        <w:tc>
          <w:tcPr>
            <w:tcW w:w="2537"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具有岗位证书（或培训合格证书）</w:t>
            </w: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ascii="宋体" w:hAnsi="宋体" w:cs="宋体"/>
                <w:szCs w:val="21"/>
                <w:highlight w:val="none"/>
              </w:rPr>
              <w:t>1</w:t>
            </w:r>
          </w:p>
        </w:tc>
        <w:tc>
          <w:tcPr>
            <w:tcW w:w="3978"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9</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质检员</w:t>
            </w:r>
          </w:p>
        </w:tc>
        <w:tc>
          <w:tcPr>
            <w:tcW w:w="2537"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具有岗位证书（或培训合格证书）</w:t>
            </w:r>
          </w:p>
        </w:tc>
        <w:tc>
          <w:tcPr>
            <w:tcW w:w="1186" w:type="dxa"/>
            <w:vAlign w:val="center"/>
          </w:tcPr>
          <w:p>
            <w:pPr>
              <w:wordWrap w:val="0"/>
              <w:spacing w:before="120" w:line="400" w:lineRule="exact"/>
              <w:ind w:left="720" w:hanging="720"/>
              <w:jc w:val="center"/>
              <w:rPr>
                <w:rFonts w:ascii="宋体" w:hAnsi="宋体" w:cs="宋体"/>
                <w:szCs w:val="21"/>
                <w:highlight w:val="none"/>
              </w:rPr>
            </w:pPr>
            <w:r>
              <w:rPr>
                <w:rFonts w:ascii="宋体" w:hAnsi="宋体" w:cs="宋体"/>
                <w:szCs w:val="21"/>
                <w:highlight w:val="none"/>
              </w:rPr>
              <w:t>1</w:t>
            </w:r>
          </w:p>
        </w:tc>
        <w:tc>
          <w:tcPr>
            <w:tcW w:w="3978"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57"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10</w:t>
            </w:r>
          </w:p>
        </w:tc>
        <w:tc>
          <w:tcPr>
            <w:tcW w:w="1268" w:type="dxa"/>
            <w:vAlign w:val="center"/>
          </w:tcPr>
          <w:p>
            <w:pPr>
              <w:wordWrap w:val="0"/>
              <w:spacing w:before="120" w:line="400" w:lineRule="exact"/>
              <w:ind w:left="720" w:hanging="720"/>
              <w:jc w:val="center"/>
              <w:rPr>
                <w:rFonts w:ascii="宋体" w:hAnsi="宋体" w:cs="宋体"/>
                <w:szCs w:val="21"/>
                <w:highlight w:val="none"/>
              </w:rPr>
            </w:pPr>
            <w:r>
              <w:rPr>
                <w:rFonts w:hint="eastAsia" w:ascii="宋体" w:hAnsi="宋体" w:cs="宋体"/>
                <w:szCs w:val="21"/>
                <w:highlight w:val="none"/>
              </w:rPr>
              <w:t>施工员</w:t>
            </w:r>
          </w:p>
        </w:tc>
        <w:tc>
          <w:tcPr>
            <w:tcW w:w="2537"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具有岗位证书（或培训合格证书）</w:t>
            </w:r>
          </w:p>
        </w:tc>
        <w:tc>
          <w:tcPr>
            <w:tcW w:w="1186" w:type="dxa"/>
          </w:tcPr>
          <w:p>
            <w:pPr>
              <w:wordWrap w:val="0"/>
              <w:spacing w:before="120" w:line="400" w:lineRule="exact"/>
              <w:ind w:left="720" w:hanging="720"/>
              <w:jc w:val="center"/>
              <w:rPr>
                <w:rFonts w:ascii="宋体" w:hAnsi="宋体" w:cs="宋体"/>
                <w:szCs w:val="21"/>
                <w:highlight w:val="none"/>
              </w:rPr>
            </w:pPr>
            <w:r>
              <w:rPr>
                <w:rFonts w:ascii="宋体" w:hAnsi="宋体" w:cs="宋体"/>
                <w:szCs w:val="21"/>
                <w:highlight w:val="none"/>
              </w:rPr>
              <w:t>1</w:t>
            </w:r>
          </w:p>
        </w:tc>
        <w:tc>
          <w:tcPr>
            <w:tcW w:w="3978" w:type="dxa"/>
          </w:tcPr>
          <w:p>
            <w:pPr>
              <w:wordWrap w:val="0"/>
              <w:spacing w:before="120" w:line="400" w:lineRule="exact"/>
              <w:jc w:val="center"/>
              <w:rPr>
                <w:rFonts w:ascii="宋体" w:hAnsi="宋体" w:cs="宋体"/>
                <w:szCs w:val="21"/>
                <w:highlight w:val="none"/>
              </w:rPr>
            </w:pPr>
            <w:r>
              <w:rPr>
                <w:rFonts w:hint="eastAsia" w:ascii="宋体" w:hAnsi="宋体" w:cs="宋体"/>
                <w:szCs w:val="21"/>
                <w:highlight w:val="none"/>
              </w:rPr>
              <w:t>不得由项目负责人或专职安全员兼职</w:t>
            </w:r>
          </w:p>
        </w:tc>
      </w:tr>
    </w:tbl>
    <w:p>
      <w:pPr>
        <w:wordWrap w:val="0"/>
        <w:spacing w:before="120" w:line="400" w:lineRule="exact"/>
        <w:ind w:right="42" w:rightChars="20" w:firstLine="480" w:firstLineChars="200"/>
        <w:rPr>
          <w:rFonts w:ascii="宋体" w:hAnsi="宋体"/>
          <w:sz w:val="24"/>
          <w:szCs w:val="24"/>
          <w:highlight w:val="none"/>
        </w:rPr>
      </w:pPr>
      <w:r>
        <w:rPr>
          <w:rFonts w:hint="eastAsia" w:ascii="宋体" w:hAnsi="宋体"/>
          <w:sz w:val="24"/>
          <w:highlight w:val="none"/>
        </w:rPr>
        <w:t>我公司承诺，若我公司中标，将在合同签订前按照工程需要配备管理和施工技术人员并向业主递交《项目管理架构组成表》，其内容是准确、真实的，且不低于上表所列最低要求，同时提供所投入人员资格证书原件予业主核实。</w:t>
      </w:r>
    </w:p>
    <w:p>
      <w:pPr>
        <w:wordWrap w:val="0"/>
        <w:spacing w:before="120" w:line="400" w:lineRule="exact"/>
        <w:ind w:right="42" w:rightChars="20" w:firstLine="480" w:firstLineChars="200"/>
        <w:rPr>
          <w:rFonts w:ascii="宋体" w:hAnsi="宋体"/>
          <w:sz w:val="24"/>
          <w:highlight w:val="none"/>
        </w:rPr>
      </w:pPr>
      <w:r>
        <w:rPr>
          <w:rFonts w:hint="eastAsia" w:ascii="宋体" w:hAnsi="宋体"/>
          <w:sz w:val="24"/>
          <w:highlight w:val="none"/>
        </w:rPr>
        <w:t>如我公司违反上述承诺，我公司自愿放弃本项目中标资格。</w:t>
      </w:r>
    </w:p>
    <w:p>
      <w:pPr>
        <w:wordWrap w:val="0"/>
        <w:spacing w:before="120" w:line="400" w:lineRule="exact"/>
        <w:ind w:right="42" w:rightChars="20" w:firstLine="480" w:firstLineChars="200"/>
        <w:rPr>
          <w:rFonts w:ascii="宋体" w:hAnsi="宋体"/>
          <w:sz w:val="24"/>
          <w:highlight w:val="none"/>
        </w:rPr>
      </w:pPr>
      <w:r>
        <w:rPr>
          <w:rFonts w:hint="eastAsia" w:ascii="宋体" w:hAnsi="宋体"/>
          <w:sz w:val="24"/>
          <w:highlight w:val="none"/>
        </w:rPr>
        <w:t>若因人员不足或人员素质不能满足工程实际需要时，我方将无条件按照业主和监理工程师的要求更换或增加相关人员。</w:t>
      </w:r>
    </w:p>
    <w:p>
      <w:pPr>
        <w:wordWrap w:val="0"/>
        <w:spacing w:before="120" w:line="400" w:lineRule="exact"/>
        <w:ind w:left="720" w:firstLine="480" w:firstLineChars="200"/>
        <w:jc w:val="right"/>
        <w:rPr>
          <w:rFonts w:ascii="宋体" w:hAnsi="宋体"/>
          <w:sz w:val="24"/>
          <w:highlight w:val="none"/>
        </w:rPr>
      </w:pPr>
      <w:r>
        <w:rPr>
          <w:rFonts w:hint="eastAsia" w:ascii="宋体" w:hAnsi="宋体"/>
          <w:sz w:val="24"/>
          <w:highlight w:val="none"/>
        </w:rPr>
        <w:t>法定代表人或其委托代理人：（签字）</w:t>
      </w:r>
    </w:p>
    <w:p>
      <w:pPr>
        <w:wordWrap w:val="0"/>
        <w:spacing w:before="120" w:line="400" w:lineRule="exact"/>
        <w:ind w:left="720" w:firstLine="480" w:firstLineChars="200"/>
        <w:jc w:val="right"/>
        <w:rPr>
          <w:rFonts w:ascii="宋体" w:hAnsi="宋体"/>
          <w:sz w:val="19"/>
          <w:szCs w:val="19"/>
          <w:highlight w:val="none"/>
        </w:rPr>
      </w:pPr>
      <w:r>
        <w:rPr>
          <w:rFonts w:hint="eastAsia" w:ascii="宋体" w:hAnsi="宋体"/>
          <w:sz w:val="24"/>
          <w:highlight w:val="none"/>
        </w:rPr>
        <w:t>单位名称：（盖单位章）</w:t>
      </w:r>
    </w:p>
    <w:p>
      <w:pPr>
        <w:wordWrap w:val="0"/>
        <w:topLinePunct/>
        <w:spacing w:line="400" w:lineRule="exact"/>
        <w:jc w:val="center"/>
        <w:rPr>
          <w:rFonts w:ascii="宋体" w:hAnsi="宋体"/>
          <w:b/>
          <w:bCs/>
          <w:sz w:val="28"/>
          <w:szCs w:val="27"/>
          <w:highlight w:val="none"/>
        </w:rPr>
      </w:pPr>
      <w:r>
        <w:rPr>
          <w:rFonts w:ascii="宋体" w:hAnsi="宋体"/>
          <w:sz w:val="20"/>
          <w:szCs w:val="20"/>
          <w:highlight w:val="none"/>
        </w:rPr>
        <w:br w:type="page"/>
      </w:r>
      <w:bookmarkStart w:id="542" w:name="_Toc17451661"/>
      <w:bookmarkStart w:id="543" w:name="_Toc259524423"/>
      <w:bookmarkStart w:id="544" w:name="_Toc229305429"/>
      <w:bookmarkStart w:id="545" w:name="_Toc17454909"/>
      <w:bookmarkStart w:id="546" w:name="_Toc221948389"/>
      <w:bookmarkStart w:id="547" w:name="_Toc221952153"/>
      <w:bookmarkStart w:id="548" w:name="_Toc112854521"/>
      <w:bookmarkStart w:id="549" w:name="_Toc17452702"/>
      <w:bookmarkStart w:id="550" w:name="_Toc17556914"/>
      <w:bookmarkStart w:id="551" w:name="_Toc17454960"/>
      <w:bookmarkStart w:id="552" w:name="_Toc17451616"/>
      <w:bookmarkStart w:id="553" w:name="_Toc222033920"/>
      <w:bookmarkStart w:id="554" w:name="_Toc222032738"/>
      <w:bookmarkStart w:id="555" w:name="_Toc222029569"/>
      <w:bookmarkStart w:id="556" w:name="_Toc222031071"/>
      <w:bookmarkStart w:id="557" w:name="_Toc17451139"/>
    </w:p>
    <w:p>
      <w:pPr>
        <w:wordWrap w:val="0"/>
        <w:spacing w:line="360" w:lineRule="auto"/>
        <w:jc w:val="center"/>
        <w:outlineLvl w:val="2"/>
        <w:rPr>
          <w:rFonts w:ascii="宋体" w:hAnsi="宋体"/>
          <w:b/>
          <w:bCs/>
          <w:sz w:val="28"/>
          <w:szCs w:val="27"/>
          <w:highlight w:val="none"/>
        </w:rPr>
      </w:pPr>
      <w:bookmarkStart w:id="558" w:name="_Toc14403"/>
      <w:bookmarkStart w:id="559" w:name="_Toc3870"/>
      <w:bookmarkStart w:id="560" w:name="_Toc14580"/>
      <w:r>
        <w:rPr>
          <w:rFonts w:hint="eastAsia" w:ascii="宋体" w:hAnsi="宋体"/>
          <w:b/>
          <w:bCs/>
          <w:sz w:val="28"/>
          <w:szCs w:val="27"/>
          <w:highlight w:val="none"/>
        </w:rPr>
        <w:t>六、资格审查资料</w:t>
      </w:r>
      <w:bookmarkEnd w:id="558"/>
      <w:bookmarkEnd w:id="559"/>
      <w:bookmarkEnd w:id="560"/>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wordWrap w:val="0"/>
        <w:spacing w:line="400" w:lineRule="exact"/>
        <w:ind w:firstLine="482" w:firstLineChars="200"/>
        <w:jc w:val="left"/>
        <w:outlineLvl w:val="3"/>
        <w:rPr>
          <w:rFonts w:ascii="宋体" w:hAnsi="宋体"/>
          <w:b/>
          <w:sz w:val="24"/>
          <w:szCs w:val="31"/>
          <w:highlight w:val="none"/>
        </w:rPr>
      </w:pPr>
      <w:bookmarkStart w:id="561" w:name="_Toc259524424"/>
      <w:bookmarkStart w:id="562" w:name="_Toc179715759"/>
      <w:bookmarkStart w:id="563" w:name="_Toc221952154"/>
      <w:bookmarkStart w:id="564" w:name="_Toc152047266"/>
      <w:r>
        <w:rPr>
          <w:rFonts w:hint="eastAsia" w:ascii="宋体" w:hAnsi="宋体"/>
          <w:b/>
          <w:sz w:val="24"/>
          <w:szCs w:val="31"/>
          <w:highlight w:val="none"/>
        </w:rPr>
        <w:t>（一）投标人基本情况表</w:t>
      </w:r>
      <w:bookmarkEnd w:id="561"/>
      <w:bookmarkEnd w:id="562"/>
      <w:bookmarkEnd w:id="563"/>
      <w:bookmarkEnd w:id="564"/>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6"/>
        <w:gridCol w:w="1009"/>
        <w:gridCol w:w="1069"/>
        <w:gridCol w:w="942"/>
        <w:gridCol w:w="472"/>
        <w:gridCol w:w="158"/>
        <w:gridCol w:w="1404"/>
        <w:gridCol w:w="206"/>
        <w:gridCol w:w="1311"/>
        <w:gridCol w:w="1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65" w:name="_Toc221952155"/>
            <w:r>
              <w:rPr>
                <w:rFonts w:hint="eastAsia" w:ascii="宋体" w:hAnsi="宋体"/>
                <w:szCs w:val="20"/>
                <w:highlight w:val="none"/>
              </w:rPr>
              <w:t>投标人名称</w:t>
            </w:r>
            <w:bookmarkEnd w:id="565"/>
          </w:p>
        </w:tc>
        <w:tc>
          <w:tcPr>
            <w:tcW w:w="7690" w:type="dxa"/>
            <w:gridSpan w:val="9"/>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66" w:name="_Toc221952156"/>
            <w:r>
              <w:rPr>
                <w:rFonts w:hint="eastAsia" w:ascii="宋体" w:hAnsi="宋体"/>
                <w:szCs w:val="20"/>
                <w:highlight w:val="none"/>
              </w:rPr>
              <w:t>注册地址</w:t>
            </w:r>
            <w:bookmarkEnd w:id="566"/>
          </w:p>
        </w:tc>
        <w:tc>
          <w:tcPr>
            <w:tcW w:w="3650" w:type="dxa"/>
            <w:gridSpan w:val="5"/>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67" w:name="_Toc221952157"/>
            <w:r>
              <w:rPr>
                <w:rFonts w:hint="eastAsia" w:ascii="宋体" w:hAnsi="宋体"/>
                <w:szCs w:val="20"/>
                <w:highlight w:val="none"/>
              </w:rPr>
              <w:t>邮政编码</w:t>
            </w:r>
            <w:bookmarkEnd w:id="567"/>
          </w:p>
        </w:tc>
        <w:tc>
          <w:tcPr>
            <w:tcW w:w="2636" w:type="dxa"/>
            <w:gridSpan w:val="3"/>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36" w:type="dxa"/>
            <w:vMerge w:val="restart"/>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68" w:name="_Toc221952158"/>
            <w:r>
              <w:rPr>
                <w:rFonts w:hint="eastAsia" w:ascii="宋体" w:hAnsi="宋体"/>
                <w:szCs w:val="20"/>
                <w:highlight w:val="none"/>
              </w:rPr>
              <w:t>联系方式</w:t>
            </w:r>
            <w:bookmarkEnd w:id="568"/>
          </w:p>
        </w:tc>
        <w:tc>
          <w:tcPr>
            <w:tcW w:w="1009"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69" w:name="_Toc221952159"/>
            <w:r>
              <w:rPr>
                <w:rFonts w:hint="eastAsia" w:ascii="宋体" w:hAnsi="宋体"/>
                <w:szCs w:val="20"/>
                <w:highlight w:val="none"/>
              </w:rPr>
              <w:t>联系人</w:t>
            </w:r>
            <w:bookmarkEnd w:id="569"/>
          </w:p>
        </w:tc>
        <w:tc>
          <w:tcPr>
            <w:tcW w:w="2641"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0" w:name="_Toc221952160"/>
            <w:r>
              <w:rPr>
                <w:rFonts w:hint="eastAsia" w:ascii="宋体" w:hAnsi="宋体"/>
                <w:szCs w:val="20"/>
                <w:highlight w:val="none"/>
              </w:rPr>
              <w:t>电</w:t>
            </w:r>
            <w:r>
              <w:rPr>
                <w:rFonts w:ascii="宋体" w:hAnsi="宋体"/>
                <w:szCs w:val="20"/>
                <w:highlight w:val="none"/>
              </w:rPr>
              <w:t xml:space="preserve"> </w:t>
            </w:r>
            <w:r>
              <w:rPr>
                <w:rFonts w:hint="eastAsia" w:ascii="宋体" w:hAnsi="宋体"/>
                <w:szCs w:val="20"/>
                <w:highlight w:val="none"/>
              </w:rPr>
              <w:t>话</w:t>
            </w:r>
            <w:bookmarkEnd w:id="570"/>
          </w:p>
        </w:tc>
        <w:tc>
          <w:tcPr>
            <w:tcW w:w="2636" w:type="dxa"/>
            <w:gridSpan w:val="3"/>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36" w:type="dxa"/>
            <w:vMerge w:val="continue"/>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1" w:name="_Toc221952161"/>
            <w:r>
              <w:rPr>
                <w:rFonts w:hint="eastAsia" w:ascii="宋体" w:hAnsi="宋体"/>
                <w:szCs w:val="20"/>
                <w:highlight w:val="none"/>
              </w:rPr>
              <w:t>传</w:t>
            </w:r>
            <w:r>
              <w:rPr>
                <w:rFonts w:ascii="宋体" w:hAnsi="宋体"/>
                <w:szCs w:val="20"/>
                <w:highlight w:val="none"/>
              </w:rPr>
              <w:t xml:space="preserve">  </w:t>
            </w:r>
            <w:r>
              <w:rPr>
                <w:rFonts w:hint="eastAsia" w:ascii="宋体" w:hAnsi="宋体"/>
                <w:szCs w:val="20"/>
                <w:highlight w:val="none"/>
              </w:rPr>
              <w:t>真</w:t>
            </w:r>
            <w:bookmarkEnd w:id="571"/>
          </w:p>
        </w:tc>
        <w:tc>
          <w:tcPr>
            <w:tcW w:w="2641"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2" w:name="_Toc221952162"/>
            <w:r>
              <w:rPr>
                <w:rFonts w:hint="eastAsia" w:ascii="宋体" w:hAnsi="宋体"/>
                <w:szCs w:val="20"/>
                <w:highlight w:val="none"/>
              </w:rPr>
              <w:t>网</w:t>
            </w:r>
            <w:r>
              <w:rPr>
                <w:rFonts w:ascii="宋体" w:hAnsi="宋体"/>
                <w:szCs w:val="20"/>
                <w:highlight w:val="none"/>
              </w:rPr>
              <w:t xml:space="preserve"> </w:t>
            </w:r>
            <w:r>
              <w:rPr>
                <w:rFonts w:hint="eastAsia" w:ascii="宋体" w:hAnsi="宋体"/>
                <w:szCs w:val="20"/>
                <w:highlight w:val="none"/>
              </w:rPr>
              <w:t>址</w:t>
            </w:r>
            <w:bookmarkEnd w:id="572"/>
          </w:p>
        </w:tc>
        <w:tc>
          <w:tcPr>
            <w:tcW w:w="2636" w:type="dxa"/>
            <w:gridSpan w:val="3"/>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3" w:name="_Toc221952163"/>
            <w:r>
              <w:rPr>
                <w:rFonts w:hint="eastAsia" w:ascii="宋体" w:hAnsi="宋体"/>
                <w:szCs w:val="20"/>
                <w:highlight w:val="none"/>
              </w:rPr>
              <w:t>组织结构</w:t>
            </w:r>
            <w:bookmarkEnd w:id="573"/>
          </w:p>
        </w:tc>
        <w:tc>
          <w:tcPr>
            <w:tcW w:w="7690" w:type="dxa"/>
            <w:gridSpan w:val="9"/>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4" w:name="_Toc221952164"/>
            <w:r>
              <w:rPr>
                <w:rFonts w:hint="eastAsia" w:ascii="宋体" w:hAnsi="宋体"/>
                <w:szCs w:val="20"/>
                <w:highlight w:val="none"/>
              </w:rPr>
              <w:t>法定代表人</w:t>
            </w:r>
            <w:bookmarkEnd w:id="574"/>
          </w:p>
        </w:tc>
        <w:tc>
          <w:tcPr>
            <w:tcW w:w="1009"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5" w:name="_Toc221952165"/>
            <w:r>
              <w:rPr>
                <w:rFonts w:hint="eastAsia" w:ascii="宋体" w:hAnsi="宋体"/>
                <w:szCs w:val="20"/>
                <w:highlight w:val="none"/>
              </w:rPr>
              <w:t>姓名</w:t>
            </w:r>
            <w:bookmarkEnd w:id="575"/>
          </w:p>
        </w:tc>
        <w:tc>
          <w:tcPr>
            <w:tcW w:w="1069"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6" w:name="_Toc221952166"/>
            <w:r>
              <w:rPr>
                <w:rFonts w:hint="eastAsia" w:ascii="宋体" w:hAnsi="宋体"/>
                <w:szCs w:val="20"/>
                <w:highlight w:val="none"/>
              </w:rPr>
              <w:t>技术职称</w:t>
            </w:r>
            <w:bookmarkEnd w:id="576"/>
          </w:p>
        </w:tc>
        <w:tc>
          <w:tcPr>
            <w:tcW w:w="1768" w:type="dxa"/>
            <w:gridSpan w:val="3"/>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7" w:name="_Toc221952167"/>
            <w:r>
              <w:rPr>
                <w:rFonts w:hint="eastAsia" w:ascii="宋体" w:hAnsi="宋体"/>
                <w:szCs w:val="20"/>
                <w:highlight w:val="none"/>
              </w:rPr>
              <w:t>电话</w:t>
            </w:r>
            <w:bookmarkEnd w:id="577"/>
          </w:p>
        </w:tc>
        <w:tc>
          <w:tcPr>
            <w:tcW w:w="1119" w:type="dxa"/>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8" w:name="_Toc221952168"/>
            <w:r>
              <w:rPr>
                <w:rFonts w:hint="eastAsia" w:ascii="宋体" w:hAnsi="宋体"/>
                <w:szCs w:val="20"/>
                <w:highlight w:val="none"/>
              </w:rPr>
              <w:t>技术负责人</w:t>
            </w:r>
            <w:bookmarkEnd w:id="578"/>
          </w:p>
        </w:tc>
        <w:tc>
          <w:tcPr>
            <w:tcW w:w="1009"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79" w:name="_Toc221952169"/>
            <w:r>
              <w:rPr>
                <w:rFonts w:hint="eastAsia" w:ascii="宋体" w:hAnsi="宋体"/>
                <w:szCs w:val="20"/>
                <w:highlight w:val="none"/>
              </w:rPr>
              <w:t>姓名</w:t>
            </w:r>
            <w:bookmarkEnd w:id="579"/>
          </w:p>
        </w:tc>
        <w:tc>
          <w:tcPr>
            <w:tcW w:w="1069"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0" w:name="_Toc221952170"/>
            <w:r>
              <w:rPr>
                <w:rFonts w:hint="eastAsia" w:ascii="宋体" w:hAnsi="宋体"/>
                <w:szCs w:val="20"/>
                <w:highlight w:val="none"/>
              </w:rPr>
              <w:t>技术职称</w:t>
            </w:r>
            <w:bookmarkEnd w:id="580"/>
          </w:p>
        </w:tc>
        <w:tc>
          <w:tcPr>
            <w:tcW w:w="1768" w:type="dxa"/>
            <w:gridSpan w:val="3"/>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1" w:name="_Toc221952171"/>
            <w:r>
              <w:rPr>
                <w:rFonts w:hint="eastAsia" w:ascii="宋体" w:hAnsi="宋体"/>
                <w:szCs w:val="20"/>
                <w:highlight w:val="none"/>
              </w:rPr>
              <w:t>电话</w:t>
            </w:r>
            <w:bookmarkEnd w:id="581"/>
          </w:p>
        </w:tc>
        <w:tc>
          <w:tcPr>
            <w:tcW w:w="1119" w:type="dxa"/>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2" w:name="_Toc221952172"/>
            <w:r>
              <w:rPr>
                <w:rFonts w:hint="eastAsia" w:ascii="宋体" w:hAnsi="宋体"/>
                <w:szCs w:val="20"/>
                <w:highlight w:val="none"/>
              </w:rPr>
              <w:t>成立时间</w:t>
            </w:r>
            <w:bookmarkEnd w:id="582"/>
          </w:p>
        </w:tc>
        <w:tc>
          <w:tcPr>
            <w:tcW w:w="2078"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3182" w:type="dxa"/>
            <w:gridSpan w:val="5"/>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3" w:name="_Toc221952173"/>
            <w:r>
              <w:rPr>
                <w:rFonts w:hint="eastAsia" w:ascii="宋体" w:hAnsi="宋体"/>
                <w:szCs w:val="20"/>
                <w:highlight w:val="none"/>
              </w:rPr>
              <w:t>员工总人数：</w:t>
            </w:r>
            <w:bookmarkEnd w:id="583"/>
          </w:p>
        </w:tc>
        <w:tc>
          <w:tcPr>
            <w:tcW w:w="2430" w:type="dxa"/>
            <w:gridSpan w:val="2"/>
            <w:tcBorders>
              <w:top w:val="single" w:color="auto" w:sz="4" w:space="0"/>
              <w:left w:val="single" w:color="auto" w:sz="4" w:space="0"/>
              <w:bottom w:val="single" w:color="auto" w:sz="4" w:space="0"/>
            </w:tcBorders>
            <w:vAlign w:val="center"/>
          </w:tcPr>
          <w:p>
            <w:pPr>
              <w:wordWrap w:val="0"/>
              <w:topLinePunct/>
              <w:spacing w:line="400" w:lineRule="exact"/>
              <w:ind w:firstLine="1050" w:firstLineChars="500"/>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4" w:name="_Toc221952174"/>
            <w:r>
              <w:rPr>
                <w:rFonts w:hint="eastAsia" w:ascii="宋体" w:hAnsi="宋体"/>
                <w:szCs w:val="20"/>
                <w:highlight w:val="none"/>
              </w:rPr>
              <w:t>企业资质等级</w:t>
            </w:r>
            <w:bookmarkEnd w:id="584"/>
          </w:p>
        </w:tc>
        <w:tc>
          <w:tcPr>
            <w:tcW w:w="2078"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942" w:type="dxa"/>
            <w:vMerge w:val="restart"/>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5" w:name="_Toc221952175"/>
            <w:r>
              <w:rPr>
                <w:rFonts w:hint="eastAsia" w:ascii="宋体" w:hAnsi="宋体"/>
                <w:szCs w:val="20"/>
                <w:highlight w:val="none"/>
              </w:rPr>
              <w:t>其中</w:t>
            </w:r>
            <w:bookmarkEnd w:id="585"/>
          </w:p>
        </w:tc>
        <w:tc>
          <w:tcPr>
            <w:tcW w:w="2240"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r>
              <w:rPr>
                <w:rFonts w:hint="eastAsia" w:ascii="宋体" w:hAnsi="宋体"/>
                <w:szCs w:val="20"/>
                <w:highlight w:val="none"/>
              </w:rPr>
              <w:t>项目负责人</w:t>
            </w:r>
          </w:p>
        </w:tc>
        <w:tc>
          <w:tcPr>
            <w:tcW w:w="2430" w:type="dxa"/>
            <w:gridSpan w:val="2"/>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6" w:name="_Toc221952177"/>
            <w:r>
              <w:rPr>
                <w:rFonts w:hint="eastAsia" w:ascii="宋体" w:hAnsi="宋体"/>
                <w:szCs w:val="20"/>
                <w:highlight w:val="none"/>
              </w:rPr>
              <w:t>营业执照号</w:t>
            </w:r>
            <w:bookmarkEnd w:id="586"/>
          </w:p>
        </w:tc>
        <w:tc>
          <w:tcPr>
            <w:tcW w:w="2078"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2240"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7" w:name="_Toc221952178"/>
            <w:r>
              <w:rPr>
                <w:rFonts w:hint="eastAsia" w:ascii="宋体" w:hAnsi="宋体"/>
                <w:szCs w:val="20"/>
                <w:highlight w:val="none"/>
              </w:rPr>
              <w:t>高级职称人员</w:t>
            </w:r>
            <w:bookmarkEnd w:id="587"/>
          </w:p>
        </w:tc>
        <w:tc>
          <w:tcPr>
            <w:tcW w:w="2430" w:type="dxa"/>
            <w:gridSpan w:val="2"/>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8" w:name="_Toc221952179"/>
            <w:r>
              <w:rPr>
                <w:rFonts w:hint="eastAsia" w:ascii="宋体" w:hAnsi="宋体"/>
                <w:szCs w:val="20"/>
                <w:highlight w:val="none"/>
              </w:rPr>
              <w:t>注册资金</w:t>
            </w:r>
            <w:bookmarkEnd w:id="588"/>
          </w:p>
        </w:tc>
        <w:tc>
          <w:tcPr>
            <w:tcW w:w="2078"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2240"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89" w:name="_Toc221952180"/>
            <w:r>
              <w:rPr>
                <w:rFonts w:hint="eastAsia" w:ascii="宋体" w:hAnsi="宋体"/>
                <w:szCs w:val="20"/>
                <w:highlight w:val="none"/>
              </w:rPr>
              <w:t>中级职称人员</w:t>
            </w:r>
            <w:bookmarkEnd w:id="589"/>
          </w:p>
        </w:tc>
        <w:tc>
          <w:tcPr>
            <w:tcW w:w="2430" w:type="dxa"/>
            <w:gridSpan w:val="2"/>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90" w:name="_Toc221952181"/>
            <w:r>
              <w:rPr>
                <w:rFonts w:hint="eastAsia" w:ascii="宋体" w:hAnsi="宋体"/>
                <w:szCs w:val="20"/>
                <w:highlight w:val="none"/>
              </w:rPr>
              <w:t>开户银行</w:t>
            </w:r>
            <w:bookmarkEnd w:id="590"/>
          </w:p>
        </w:tc>
        <w:tc>
          <w:tcPr>
            <w:tcW w:w="2078"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2240" w:type="dxa"/>
            <w:gridSpan w:val="4"/>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91" w:name="_Toc221952182"/>
            <w:r>
              <w:rPr>
                <w:rFonts w:hint="eastAsia" w:ascii="宋体" w:hAnsi="宋体"/>
                <w:szCs w:val="20"/>
                <w:highlight w:val="none"/>
              </w:rPr>
              <w:t>初级职称人员</w:t>
            </w:r>
            <w:bookmarkEnd w:id="591"/>
          </w:p>
        </w:tc>
        <w:tc>
          <w:tcPr>
            <w:tcW w:w="2430" w:type="dxa"/>
            <w:gridSpan w:val="2"/>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92" w:name="_Toc221952183"/>
            <w:r>
              <w:rPr>
                <w:rFonts w:hint="eastAsia" w:ascii="宋体" w:hAnsi="宋体"/>
                <w:szCs w:val="20"/>
                <w:highlight w:val="none"/>
              </w:rPr>
              <w:t>账号</w:t>
            </w:r>
            <w:bookmarkEnd w:id="592"/>
          </w:p>
        </w:tc>
        <w:tc>
          <w:tcPr>
            <w:tcW w:w="2078"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p>
        </w:tc>
        <w:tc>
          <w:tcPr>
            <w:tcW w:w="2240" w:type="dxa"/>
            <w:gridSpan w:val="4"/>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szCs w:val="20"/>
                <w:highlight w:val="none"/>
              </w:rPr>
            </w:pPr>
            <w:bookmarkStart w:id="593" w:name="_Toc221952184"/>
            <w:r>
              <w:rPr>
                <w:rFonts w:hint="eastAsia" w:ascii="宋体" w:hAnsi="宋体"/>
                <w:szCs w:val="20"/>
                <w:highlight w:val="none"/>
              </w:rPr>
              <w:t>技工</w:t>
            </w:r>
            <w:bookmarkEnd w:id="593"/>
          </w:p>
        </w:tc>
        <w:tc>
          <w:tcPr>
            <w:tcW w:w="2430" w:type="dxa"/>
            <w:gridSpan w:val="2"/>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1936" w:type="dxa"/>
            <w:tcBorders>
              <w:top w:val="single" w:color="auto" w:sz="4" w:space="0"/>
              <w:right w:val="single" w:color="auto" w:sz="4" w:space="0"/>
            </w:tcBorders>
            <w:vAlign w:val="center"/>
          </w:tcPr>
          <w:p>
            <w:pPr>
              <w:wordWrap w:val="0"/>
              <w:topLinePunct/>
              <w:spacing w:line="400" w:lineRule="exact"/>
              <w:ind w:firstLine="210" w:firstLineChars="100"/>
              <w:jc w:val="center"/>
              <w:rPr>
                <w:rFonts w:ascii="宋体" w:hAnsi="宋体"/>
                <w:szCs w:val="20"/>
                <w:highlight w:val="none"/>
              </w:rPr>
            </w:pPr>
            <w:bookmarkStart w:id="594" w:name="_Toc221952185"/>
            <w:r>
              <w:rPr>
                <w:rFonts w:hint="eastAsia" w:ascii="宋体" w:hAnsi="宋体"/>
                <w:szCs w:val="20"/>
                <w:highlight w:val="none"/>
              </w:rPr>
              <w:t>经营范围</w:t>
            </w:r>
            <w:bookmarkEnd w:id="594"/>
          </w:p>
        </w:tc>
        <w:tc>
          <w:tcPr>
            <w:tcW w:w="7690" w:type="dxa"/>
            <w:gridSpan w:val="9"/>
            <w:tcBorders>
              <w:top w:val="single" w:color="auto" w:sz="4" w:space="0"/>
              <w:left w:val="single" w:color="auto" w:sz="4" w:space="0"/>
            </w:tcBorders>
            <w:vAlign w:val="center"/>
          </w:tcPr>
          <w:p>
            <w:pPr>
              <w:wordWrap w:val="0"/>
              <w:topLinePunct/>
              <w:spacing w:line="400" w:lineRule="exact"/>
              <w:rPr>
                <w:rFonts w:ascii="宋体" w:hAnsi="宋体"/>
                <w:szCs w:val="20"/>
                <w:highlight w:val="none"/>
              </w:rPr>
            </w:pPr>
          </w:p>
          <w:p>
            <w:pPr>
              <w:wordWrap w:val="0"/>
              <w:topLinePunct/>
              <w:spacing w:line="400" w:lineRule="exact"/>
              <w:jc w:val="center"/>
              <w:rPr>
                <w:rFonts w:ascii="宋体" w:hAnsi="宋体"/>
                <w:szCs w:val="20"/>
                <w:highlight w:val="none"/>
              </w:rPr>
            </w:pPr>
          </w:p>
          <w:p>
            <w:pPr>
              <w:wordWrap w:val="0"/>
              <w:topLinePunct/>
              <w:spacing w:line="400" w:lineRule="exact"/>
              <w:jc w:val="center"/>
              <w:rPr>
                <w:rFonts w:ascii="宋体" w:hAnsi="宋体"/>
                <w:szCs w:val="20"/>
                <w:highlight w:val="none"/>
              </w:rPr>
            </w:pPr>
          </w:p>
          <w:p>
            <w:pPr>
              <w:wordWrap w:val="0"/>
              <w:topLinePunct/>
              <w:spacing w:line="400" w:lineRule="exact"/>
              <w:jc w:val="center"/>
              <w:rPr>
                <w:rFonts w:ascii="宋体" w:hAnsi="宋体"/>
                <w:szCs w:val="20"/>
                <w:highlight w:val="none"/>
              </w:rPr>
            </w:pPr>
          </w:p>
          <w:p>
            <w:pPr>
              <w:wordWrap w:val="0"/>
              <w:topLinePunct/>
              <w:spacing w:line="400" w:lineRule="exact"/>
              <w:jc w:val="center"/>
              <w:rPr>
                <w:rFonts w:ascii="宋体" w:hAnsi="宋体"/>
                <w:szCs w:val="20"/>
                <w:highlight w:val="none"/>
              </w:rPr>
            </w:pPr>
          </w:p>
          <w:p>
            <w:pPr>
              <w:wordWrap w:val="0"/>
              <w:topLinePunct/>
              <w:spacing w:line="400" w:lineRule="exact"/>
              <w:jc w:val="center"/>
              <w:rPr>
                <w:rFonts w:ascii="宋体" w:hAnsi="宋体"/>
                <w:szCs w:val="20"/>
                <w:highlight w:val="none"/>
              </w:rPr>
            </w:pPr>
          </w:p>
          <w:p>
            <w:pPr>
              <w:wordWrap w:val="0"/>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36" w:type="dxa"/>
            <w:tcBorders>
              <w:top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szCs w:val="20"/>
                <w:highlight w:val="none"/>
              </w:rPr>
            </w:pPr>
            <w:bookmarkStart w:id="595" w:name="_Toc221952186"/>
            <w:r>
              <w:rPr>
                <w:rFonts w:hint="eastAsia" w:ascii="宋体" w:hAnsi="宋体"/>
                <w:szCs w:val="20"/>
                <w:highlight w:val="none"/>
              </w:rPr>
              <w:t>备注</w:t>
            </w:r>
            <w:bookmarkEnd w:id="595"/>
          </w:p>
        </w:tc>
        <w:tc>
          <w:tcPr>
            <w:tcW w:w="7690" w:type="dxa"/>
            <w:gridSpan w:val="9"/>
            <w:tcBorders>
              <w:top w:val="single" w:color="auto" w:sz="4" w:space="0"/>
              <w:left w:val="single" w:color="auto" w:sz="4" w:space="0"/>
              <w:bottom w:val="single" w:color="auto" w:sz="4" w:space="0"/>
            </w:tcBorders>
            <w:vAlign w:val="center"/>
          </w:tcPr>
          <w:p>
            <w:pPr>
              <w:wordWrap w:val="0"/>
              <w:topLinePunct/>
              <w:spacing w:line="400" w:lineRule="exact"/>
              <w:jc w:val="center"/>
              <w:rPr>
                <w:rFonts w:ascii="宋体" w:hAnsi="宋体"/>
                <w:szCs w:val="20"/>
                <w:highlight w:val="none"/>
              </w:rPr>
            </w:pPr>
          </w:p>
        </w:tc>
      </w:tr>
    </w:tbl>
    <w:p>
      <w:pPr>
        <w:wordWrap w:val="0"/>
        <w:spacing w:line="400" w:lineRule="exact"/>
        <w:ind w:firstLine="420" w:firstLineChars="200"/>
        <w:rPr>
          <w:rFonts w:ascii="宋体" w:hAnsi="宋体"/>
          <w:highlight w:val="none"/>
        </w:rPr>
      </w:pPr>
      <w:r>
        <w:rPr>
          <w:rFonts w:hint="eastAsia" w:ascii="宋体" w:hAnsi="宋体"/>
          <w:highlight w:val="none"/>
        </w:rPr>
        <w:t>注相关材料复印件在“十、投标人须知前附表规定的其他材料”中提供。</w:t>
      </w:r>
      <w:bookmarkStart w:id="596" w:name="_Toc222032739"/>
      <w:bookmarkStart w:id="597" w:name="_Toc221952187"/>
      <w:bookmarkStart w:id="598" w:name="_Toc229305430"/>
      <w:bookmarkStart w:id="599" w:name="_Toc152047267"/>
      <w:bookmarkStart w:id="600" w:name="_Toc222033921"/>
      <w:bookmarkStart w:id="601" w:name="_Toc179715760"/>
      <w:bookmarkStart w:id="602" w:name="_Toc259524425"/>
      <w:bookmarkStart w:id="603" w:name="_Toc222031072"/>
      <w:bookmarkStart w:id="604" w:name="_Toc222029570"/>
    </w:p>
    <w:p>
      <w:pPr>
        <w:wordWrap w:val="0"/>
        <w:spacing w:line="400" w:lineRule="exact"/>
        <w:jc w:val="left"/>
        <w:outlineLvl w:val="3"/>
        <w:rPr>
          <w:rFonts w:ascii="宋体" w:hAnsi="宋体"/>
          <w:b/>
          <w:sz w:val="24"/>
          <w:szCs w:val="31"/>
          <w:highlight w:val="none"/>
        </w:rPr>
      </w:pPr>
      <w:bookmarkStart w:id="605" w:name="_Toc332641444"/>
      <w:bookmarkStart w:id="606" w:name="_Toc152045809"/>
      <w:bookmarkStart w:id="607" w:name="_Toc247527849"/>
      <w:bookmarkStart w:id="608" w:name="_Toc265953295"/>
      <w:bookmarkStart w:id="609" w:name="_Toc144974877"/>
      <w:bookmarkStart w:id="610" w:name="_Toc247514301"/>
      <w:bookmarkStart w:id="611" w:name="_Toc152042598"/>
      <w:r>
        <w:rPr>
          <w:rFonts w:ascii="宋体" w:hAnsi="宋体"/>
          <w:b/>
          <w:sz w:val="24"/>
          <w:szCs w:val="31"/>
          <w:highlight w:val="none"/>
        </w:rPr>
        <w:br w:type="page"/>
      </w:r>
      <w:r>
        <w:rPr>
          <w:rFonts w:hint="eastAsia" w:ascii="宋体" w:hAnsi="宋体"/>
          <w:b/>
          <w:sz w:val="24"/>
          <w:szCs w:val="31"/>
          <w:highlight w:val="none"/>
        </w:rPr>
        <w:t>（二）拟投入</w:t>
      </w:r>
      <w:bookmarkEnd w:id="605"/>
      <w:bookmarkEnd w:id="606"/>
      <w:bookmarkEnd w:id="607"/>
      <w:bookmarkEnd w:id="608"/>
      <w:bookmarkEnd w:id="609"/>
      <w:bookmarkEnd w:id="610"/>
      <w:bookmarkEnd w:id="611"/>
      <w:r>
        <w:rPr>
          <w:rFonts w:hint="eastAsia" w:ascii="宋体" w:hAnsi="宋体"/>
          <w:b/>
          <w:sz w:val="24"/>
          <w:szCs w:val="31"/>
          <w:highlight w:val="none"/>
        </w:rPr>
        <w:t>项目负责人</w:t>
      </w:r>
    </w:p>
    <w:p>
      <w:pPr>
        <w:wordWrap w:val="0"/>
        <w:spacing w:line="360" w:lineRule="auto"/>
        <w:ind w:firstLine="643" w:firstLineChars="200"/>
        <w:jc w:val="center"/>
        <w:rPr>
          <w:rFonts w:ascii="宋体" w:hAnsi="宋体"/>
          <w:b/>
          <w:sz w:val="32"/>
          <w:szCs w:val="32"/>
          <w:highlight w:val="none"/>
        </w:rPr>
      </w:pPr>
      <w:r>
        <w:rPr>
          <w:rFonts w:hint="eastAsia" w:ascii="宋体" w:hAnsi="宋体"/>
          <w:b/>
          <w:sz w:val="32"/>
          <w:szCs w:val="32"/>
          <w:highlight w:val="none"/>
        </w:rPr>
        <w:t>项目负责人简历表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400"/>
        <w:gridCol w:w="816"/>
        <w:gridCol w:w="1045"/>
        <w:gridCol w:w="1201"/>
        <w:gridCol w:w="801"/>
        <w:gridCol w:w="1422"/>
        <w:gridCol w:w="183"/>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2"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216" w:type="dxa"/>
            <w:gridSpan w:val="2"/>
            <w:vAlign w:val="center"/>
          </w:tcPr>
          <w:p>
            <w:pPr>
              <w:wordWrap w:val="0"/>
              <w:spacing w:line="440" w:lineRule="exact"/>
              <w:jc w:val="center"/>
              <w:rPr>
                <w:rFonts w:ascii="宋体" w:hAnsi="宋体"/>
                <w:szCs w:val="21"/>
                <w:highlight w:val="none"/>
              </w:rPr>
            </w:pPr>
          </w:p>
        </w:tc>
        <w:tc>
          <w:tcPr>
            <w:tcW w:w="1045"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p>
        </w:tc>
        <w:tc>
          <w:tcPr>
            <w:tcW w:w="1201" w:type="dxa"/>
            <w:vAlign w:val="center"/>
          </w:tcPr>
          <w:p>
            <w:pPr>
              <w:wordWrap w:val="0"/>
              <w:spacing w:line="440" w:lineRule="exact"/>
              <w:jc w:val="center"/>
              <w:rPr>
                <w:rFonts w:ascii="宋体" w:hAnsi="宋体"/>
                <w:szCs w:val="21"/>
                <w:highlight w:val="none"/>
              </w:rPr>
            </w:pPr>
          </w:p>
        </w:tc>
        <w:tc>
          <w:tcPr>
            <w:tcW w:w="2406" w:type="dxa"/>
            <w:gridSpan w:val="3"/>
            <w:vAlign w:val="center"/>
          </w:tcPr>
          <w:p>
            <w:pPr>
              <w:wordWrap w:val="0"/>
              <w:spacing w:line="440" w:lineRule="exact"/>
              <w:jc w:val="center"/>
              <w:rPr>
                <w:rFonts w:ascii="宋体" w:hAnsi="宋体"/>
                <w:szCs w:val="21"/>
                <w:highlight w:val="none"/>
              </w:rPr>
            </w:pPr>
            <w:r>
              <w:rPr>
                <w:rFonts w:hint="eastAsia" w:ascii="宋体" w:hAnsi="宋体"/>
                <w:szCs w:val="21"/>
                <w:highlight w:val="none"/>
              </w:rPr>
              <w:t>学历</w:t>
            </w:r>
          </w:p>
        </w:tc>
        <w:tc>
          <w:tcPr>
            <w:tcW w:w="2414" w:type="dxa"/>
            <w:vAlign w:val="center"/>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2"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称</w:t>
            </w:r>
          </w:p>
        </w:tc>
        <w:tc>
          <w:tcPr>
            <w:tcW w:w="1216" w:type="dxa"/>
            <w:gridSpan w:val="2"/>
            <w:vAlign w:val="center"/>
          </w:tcPr>
          <w:p>
            <w:pPr>
              <w:wordWrap w:val="0"/>
              <w:spacing w:line="440" w:lineRule="exact"/>
              <w:jc w:val="center"/>
              <w:rPr>
                <w:rFonts w:ascii="宋体" w:hAnsi="宋体"/>
                <w:szCs w:val="21"/>
                <w:highlight w:val="none"/>
              </w:rPr>
            </w:pPr>
          </w:p>
        </w:tc>
        <w:tc>
          <w:tcPr>
            <w:tcW w:w="1045"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p>
        </w:tc>
        <w:tc>
          <w:tcPr>
            <w:tcW w:w="1201" w:type="dxa"/>
            <w:vAlign w:val="center"/>
          </w:tcPr>
          <w:p>
            <w:pPr>
              <w:wordWrap w:val="0"/>
              <w:spacing w:line="440" w:lineRule="exact"/>
              <w:jc w:val="center"/>
              <w:rPr>
                <w:rFonts w:ascii="宋体" w:hAnsi="宋体"/>
                <w:szCs w:val="21"/>
                <w:highlight w:val="none"/>
              </w:rPr>
            </w:pPr>
          </w:p>
        </w:tc>
        <w:tc>
          <w:tcPr>
            <w:tcW w:w="2406" w:type="dxa"/>
            <w:gridSpan w:val="3"/>
            <w:vAlign w:val="center"/>
          </w:tcPr>
          <w:p>
            <w:pPr>
              <w:wordWrap w:val="0"/>
              <w:spacing w:line="440" w:lineRule="exact"/>
              <w:jc w:val="center"/>
              <w:rPr>
                <w:rFonts w:ascii="宋体" w:hAnsi="宋体"/>
                <w:szCs w:val="21"/>
                <w:highlight w:val="none"/>
              </w:rPr>
            </w:pPr>
            <w:r>
              <w:rPr>
                <w:rFonts w:hint="eastAsia" w:ascii="宋体" w:hAnsi="宋体"/>
                <w:szCs w:val="21"/>
                <w:highlight w:val="none"/>
              </w:rPr>
              <w:t>拟在本合同任职</w:t>
            </w:r>
          </w:p>
        </w:tc>
        <w:tc>
          <w:tcPr>
            <w:tcW w:w="2414" w:type="dxa"/>
            <w:vAlign w:val="center"/>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2" w:type="dxa"/>
            <w:vAlign w:val="center"/>
          </w:tcPr>
          <w:p>
            <w:pPr>
              <w:wordWrap w:val="0"/>
              <w:spacing w:line="440" w:lineRule="exact"/>
              <w:rPr>
                <w:rFonts w:ascii="宋体" w:hAnsi="宋体"/>
                <w:szCs w:val="21"/>
                <w:highlight w:val="none"/>
              </w:rPr>
            </w:pPr>
            <w:r>
              <w:rPr>
                <w:rFonts w:hint="eastAsia" w:ascii="宋体" w:hAnsi="宋体"/>
                <w:szCs w:val="21"/>
                <w:highlight w:val="none"/>
              </w:rPr>
              <w:t>毕业学校</w:t>
            </w:r>
          </w:p>
        </w:tc>
        <w:tc>
          <w:tcPr>
            <w:tcW w:w="8282" w:type="dxa"/>
            <w:gridSpan w:val="8"/>
          </w:tcPr>
          <w:p>
            <w:pPr>
              <w:wordWrap w:val="0"/>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年毕业于</w:t>
            </w:r>
            <w:r>
              <w:rPr>
                <w:rFonts w:ascii="宋体" w:hAnsi="宋体"/>
                <w:szCs w:val="21"/>
                <w:highlight w:val="none"/>
              </w:rPr>
              <w:t xml:space="preserve">            </w:t>
            </w:r>
            <w:r>
              <w:rPr>
                <w:rFonts w:hint="eastAsia" w:ascii="宋体" w:hAnsi="宋体"/>
                <w:szCs w:val="21"/>
                <w:highlight w:val="none"/>
              </w:rPr>
              <w:t>学校</w:t>
            </w:r>
            <w:r>
              <w:rPr>
                <w:rFonts w:ascii="宋体" w:hAnsi="宋体"/>
                <w:szCs w:val="21"/>
                <w:highlight w:val="none"/>
              </w:rPr>
              <w:t xml:space="preserve">        </w:t>
            </w:r>
            <w:r>
              <w:rPr>
                <w:rFonts w:hint="eastAsia" w:ascii="宋体" w:hAnsi="宋体"/>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4" w:type="dxa"/>
            <w:gridSpan w:val="9"/>
            <w:vAlign w:val="center"/>
          </w:tcPr>
          <w:p>
            <w:pPr>
              <w:wordWrap w:val="0"/>
              <w:spacing w:line="440" w:lineRule="exact"/>
              <w:jc w:val="center"/>
              <w:rPr>
                <w:rFonts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vAlign w:val="center"/>
          </w:tcPr>
          <w:p>
            <w:pPr>
              <w:wordWrap w:val="0"/>
              <w:spacing w:line="440" w:lineRule="exact"/>
              <w:jc w:val="center"/>
              <w:rPr>
                <w:rFonts w:ascii="宋体" w:hAnsi="宋体"/>
                <w:szCs w:val="21"/>
                <w:highlight w:val="none"/>
              </w:rPr>
            </w:pPr>
            <w:r>
              <w:rPr>
                <w:rFonts w:hint="eastAsia" w:ascii="宋体" w:hAnsi="宋体"/>
                <w:szCs w:val="21"/>
                <w:highlight w:val="none"/>
              </w:rPr>
              <w:t>时</w:t>
            </w:r>
            <w:r>
              <w:rPr>
                <w:rFonts w:ascii="宋体" w:hAnsi="宋体"/>
                <w:szCs w:val="21"/>
                <w:highlight w:val="none"/>
              </w:rPr>
              <w:t xml:space="preserve">  </w:t>
            </w:r>
            <w:r>
              <w:rPr>
                <w:rFonts w:hint="eastAsia" w:ascii="宋体" w:hAnsi="宋体"/>
                <w:szCs w:val="21"/>
                <w:highlight w:val="none"/>
              </w:rPr>
              <w:t>间</w:t>
            </w:r>
          </w:p>
        </w:tc>
        <w:tc>
          <w:tcPr>
            <w:tcW w:w="3863" w:type="dxa"/>
            <w:gridSpan w:val="4"/>
            <w:vAlign w:val="center"/>
          </w:tcPr>
          <w:p>
            <w:pPr>
              <w:wordWrap w:val="0"/>
              <w:spacing w:line="440" w:lineRule="exact"/>
              <w:jc w:val="center"/>
              <w:rPr>
                <w:rFonts w:ascii="宋体" w:hAnsi="宋体"/>
                <w:szCs w:val="21"/>
                <w:highlight w:val="none"/>
              </w:rPr>
            </w:pPr>
            <w:r>
              <w:rPr>
                <w:rFonts w:hint="eastAsia" w:ascii="宋体" w:hAnsi="宋体"/>
                <w:szCs w:val="21"/>
                <w:highlight w:val="none"/>
              </w:rPr>
              <w:t>参加过的类似项目</w:t>
            </w:r>
          </w:p>
        </w:tc>
        <w:tc>
          <w:tcPr>
            <w:tcW w:w="1422"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担任职务</w:t>
            </w:r>
          </w:p>
        </w:tc>
        <w:tc>
          <w:tcPr>
            <w:tcW w:w="2597" w:type="dxa"/>
            <w:gridSpan w:val="2"/>
            <w:vAlign w:val="center"/>
          </w:tcPr>
          <w:p>
            <w:pPr>
              <w:wordWrap w:val="0"/>
              <w:spacing w:line="440" w:lineRule="exact"/>
              <w:jc w:val="center"/>
              <w:rPr>
                <w:rFonts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bl>
    <w:p>
      <w:pPr>
        <w:wordWrap w:val="0"/>
        <w:spacing w:line="400" w:lineRule="exact"/>
        <w:ind w:firstLine="420" w:firstLineChars="200"/>
        <w:rPr>
          <w:rFonts w:ascii="宋体" w:hAnsi="宋体"/>
          <w:highlight w:val="none"/>
        </w:rPr>
      </w:pPr>
      <w:r>
        <w:rPr>
          <w:rFonts w:hint="eastAsia" w:ascii="宋体" w:hAnsi="宋体"/>
          <w:highlight w:val="none"/>
        </w:rPr>
        <w:t>应附注册建造师执业资格证书、社保证明文件、安全生产考核合格证（</w:t>
      </w:r>
      <w:r>
        <w:rPr>
          <w:rFonts w:ascii="宋体" w:hAnsi="宋体"/>
          <w:highlight w:val="none"/>
        </w:rPr>
        <w:t>B</w:t>
      </w:r>
      <w:r>
        <w:rPr>
          <w:rFonts w:hint="eastAsia" w:ascii="宋体" w:hAnsi="宋体"/>
          <w:highlight w:val="none"/>
        </w:rPr>
        <w:t>证）扫描件。</w:t>
      </w:r>
    </w:p>
    <w:p>
      <w:pPr>
        <w:jc w:val="left"/>
        <w:rPr>
          <w:rFonts w:ascii="宋体" w:hAnsi="宋体"/>
          <w:b/>
          <w:sz w:val="24"/>
          <w:szCs w:val="31"/>
          <w:highlight w:val="none"/>
        </w:rPr>
      </w:pPr>
      <w:bookmarkStart w:id="612" w:name="_Toc332641447"/>
      <w:bookmarkStart w:id="613" w:name="_Toc246997117"/>
      <w:bookmarkStart w:id="614" w:name="_Toc246996374"/>
      <w:bookmarkStart w:id="615" w:name="_Toc247085892"/>
      <w:r>
        <w:rPr>
          <w:rFonts w:ascii="宋体" w:hAnsi="宋体"/>
          <w:b/>
          <w:sz w:val="24"/>
          <w:szCs w:val="31"/>
          <w:highlight w:val="none"/>
        </w:rPr>
        <w:br w:type="page"/>
      </w:r>
    </w:p>
    <w:p>
      <w:pPr>
        <w:wordWrap w:val="0"/>
        <w:spacing w:line="360" w:lineRule="auto"/>
        <w:rPr>
          <w:rFonts w:ascii="宋体" w:hAnsi="宋体"/>
          <w:b/>
          <w:sz w:val="24"/>
          <w:szCs w:val="31"/>
          <w:highlight w:val="none"/>
        </w:rPr>
      </w:pPr>
      <w:r>
        <w:rPr>
          <w:rFonts w:hint="eastAsia" w:ascii="宋体" w:hAnsi="宋体"/>
          <w:b/>
          <w:sz w:val="24"/>
          <w:szCs w:val="31"/>
          <w:highlight w:val="none"/>
        </w:rPr>
        <w:t>（三）拟投入技术负责人</w:t>
      </w:r>
    </w:p>
    <w:p>
      <w:pPr>
        <w:wordWrap w:val="0"/>
        <w:spacing w:line="360" w:lineRule="auto"/>
        <w:ind w:firstLine="643" w:firstLineChars="200"/>
        <w:jc w:val="center"/>
        <w:rPr>
          <w:rFonts w:ascii="宋体" w:hAnsi="宋体"/>
          <w:b/>
          <w:sz w:val="32"/>
          <w:szCs w:val="32"/>
          <w:highlight w:val="none"/>
        </w:rPr>
      </w:pPr>
      <w:r>
        <w:rPr>
          <w:rFonts w:hint="eastAsia" w:ascii="宋体" w:hAnsi="宋体"/>
          <w:b/>
          <w:sz w:val="32"/>
          <w:szCs w:val="32"/>
          <w:highlight w:val="none"/>
        </w:rPr>
        <w:t>技术负责人简历表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400"/>
        <w:gridCol w:w="816"/>
        <w:gridCol w:w="1045"/>
        <w:gridCol w:w="1201"/>
        <w:gridCol w:w="801"/>
        <w:gridCol w:w="1422"/>
        <w:gridCol w:w="183"/>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216" w:type="dxa"/>
            <w:gridSpan w:val="2"/>
            <w:vAlign w:val="center"/>
          </w:tcPr>
          <w:p>
            <w:pPr>
              <w:wordWrap w:val="0"/>
              <w:spacing w:line="440" w:lineRule="exact"/>
              <w:jc w:val="center"/>
              <w:rPr>
                <w:rFonts w:ascii="宋体" w:hAnsi="宋体"/>
                <w:szCs w:val="21"/>
                <w:highlight w:val="none"/>
              </w:rPr>
            </w:pPr>
          </w:p>
        </w:tc>
        <w:tc>
          <w:tcPr>
            <w:tcW w:w="1045"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p>
        </w:tc>
        <w:tc>
          <w:tcPr>
            <w:tcW w:w="1201" w:type="dxa"/>
            <w:vAlign w:val="center"/>
          </w:tcPr>
          <w:p>
            <w:pPr>
              <w:wordWrap w:val="0"/>
              <w:spacing w:line="440" w:lineRule="exact"/>
              <w:jc w:val="center"/>
              <w:rPr>
                <w:rFonts w:ascii="宋体" w:hAnsi="宋体"/>
                <w:szCs w:val="21"/>
                <w:highlight w:val="none"/>
              </w:rPr>
            </w:pPr>
          </w:p>
        </w:tc>
        <w:tc>
          <w:tcPr>
            <w:tcW w:w="2406" w:type="dxa"/>
            <w:gridSpan w:val="3"/>
            <w:vAlign w:val="center"/>
          </w:tcPr>
          <w:p>
            <w:pPr>
              <w:wordWrap w:val="0"/>
              <w:spacing w:line="440" w:lineRule="exact"/>
              <w:jc w:val="center"/>
              <w:rPr>
                <w:rFonts w:ascii="宋体" w:hAnsi="宋体"/>
                <w:szCs w:val="21"/>
                <w:highlight w:val="none"/>
              </w:rPr>
            </w:pPr>
            <w:r>
              <w:rPr>
                <w:rFonts w:hint="eastAsia" w:ascii="宋体" w:hAnsi="宋体"/>
                <w:szCs w:val="21"/>
                <w:highlight w:val="none"/>
              </w:rPr>
              <w:t>学历</w:t>
            </w:r>
          </w:p>
        </w:tc>
        <w:tc>
          <w:tcPr>
            <w:tcW w:w="2414" w:type="dxa"/>
            <w:vAlign w:val="center"/>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称</w:t>
            </w:r>
          </w:p>
        </w:tc>
        <w:tc>
          <w:tcPr>
            <w:tcW w:w="1216" w:type="dxa"/>
            <w:gridSpan w:val="2"/>
            <w:vAlign w:val="center"/>
          </w:tcPr>
          <w:p>
            <w:pPr>
              <w:wordWrap w:val="0"/>
              <w:spacing w:line="440" w:lineRule="exact"/>
              <w:jc w:val="center"/>
              <w:rPr>
                <w:rFonts w:ascii="宋体" w:hAnsi="宋体"/>
                <w:szCs w:val="21"/>
                <w:highlight w:val="none"/>
              </w:rPr>
            </w:pPr>
          </w:p>
        </w:tc>
        <w:tc>
          <w:tcPr>
            <w:tcW w:w="1045"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p>
        </w:tc>
        <w:tc>
          <w:tcPr>
            <w:tcW w:w="1201" w:type="dxa"/>
            <w:vAlign w:val="center"/>
          </w:tcPr>
          <w:p>
            <w:pPr>
              <w:wordWrap w:val="0"/>
              <w:spacing w:line="440" w:lineRule="exact"/>
              <w:jc w:val="center"/>
              <w:rPr>
                <w:rFonts w:ascii="宋体" w:hAnsi="宋体"/>
                <w:szCs w:val="21"/>
                <w:highlight w:val="none"/>
              </w:rPr>
            </w:pPr>
          </w:p>
        </w:tc>
        <w:tc>
          <w:tcPr>
            <w:tcW w:w="2406" w:type="dxa"/>
            <w:gridSpan w:val="3"/>
            <w:vAlign w:val="center"/>
          </w:tcPr>
          <w:p>
            <w:pPr>
              <w:wordWrap w:val="0"/>
              <w:spacing w:line="440" w:lineRule="exact"/>
              <w:jc w:val="center"/>
              <w:rPr>
                <w:rFonts w:ascii="宋体" w:hAnsi="宋体"/>
                <w:szCs w:val="21"/>
                <w:highlight w:val="none"/>
              </w:rPr>
            </w:pPr>
            <w:r>
              <w:rPr>
                <w:rFonts w:hint="eastAsia" w:ascii="宋体" w:hAnsi="宋体"/>
                <w:szCs w:val="21"/>
                <w:highlight w:val="none"/>
              </w:rPr>
              <w:t>拟在本合同任职</w:t>
            </w:r>
          </w:p>
        </w:tc>
        <w:tc>
          <w:tcPr>
            <w:tcW w:w="2414" w:type="dxa"/>
            <w:vAlign w:val="center"/>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vAlign w:val="center"/>
          </w:tcPr>
          <w:p>
            <w:pPr>
              <w:wordWrap w:val="0"/>
              <w:spacing w:line="440" w:lineRule="exact"/>
              <w:rPr>
                <w:rFonts w:ascii="宋体" w:hAnsi="宋体"/>
                <w:szCs w:val="21"/>
                <w:highlight w:val="none"/>
              </w:rPr>
            </w:pPr>
            <w:r>
              <w:rPr>
                <w:rFonts w:hint="eastAsia" w:ascii="宋体" w:hAnsi="宋体"/>
                <w:szCs w:val="21"/>
                <w:highlight w:val="none"/>
              </w:rPr>
              <w:t>毕业学校</w:t>
            </w:r>
          </w:p>
        </w:tc>
        <w:tc>
          <w:tcPr>
            <w:tcW w:w="8282" w:type="dxa"/>
            <w:gridSpan w:val="8"/>
          </w:tcPr>
          <w:p>
            <w:pPr>
              <w:wordWrap w:val="0"/>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年毕业于</w:t>
            </w:r>
            <w:r>
              <w:rPr>
                <w:rFonts w:ascii="宋体" w:hAnsi="宋体"/>
                <w:szCs w:val="21"/>
                <w:highlight w:val="none"/>
              </w:rPr>
              <w:t xml:space="preserve">            </w:t>
            </w:r>
            <w:r>
              <w:rPr>
                <w:rFonts w:hint="eastAsia" w:ascii="宋体" w:hAnsi="宋体"/>
                <w:szCs w:val="21"/>
                <w:highlight w:val="none"/>
              </w:rPr>
              <w:t>学校</w:t>
            </w:r>
            <w:r>
              <w:rPr>
                <w:rFonts w:ascii="宋体" w:hAnsi="宋体"/>
                <w:szCs w:val="21"/>
                <w:highlight w:val="none"/>
              </w:rPr>
              <w:t xml:space="preserve">        </w:t>
            </w:r>
            <w:r>
              <w:rPr>
                <w:rFonts w:hint="eastAsia" w:ascii="宋体" w:hAnsi="宋体"/>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4" w:type="dxa"/>
            <w:gridSpan w:val="9"/>
            <w:vAlign w:val="center"/>
          </w:tcPr>
          <w:p>
            <w:pPr>
              <w:wordWrap w:val="0"/>
              <w:spacing w:line="440" w:lineRule="exact"/>
              <w:jc w:val="center"/>
              <w:rPr>
                <w:rFonts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vAlign w:val="center"/>
          </w:tcPr>
          <w:p>
            <w:pPr>
              <w:wordWrap w:val="0"/>
              <w:spacing w:line="440" w:lineRule="exact"/>
              <w:jc w:val="center"/>
              <w:rPr>
                <w:rFonts w:ascii="宋体" w:hAnsi="宋体"/>
                <w:szCs w:val="21"/>
                <w:highlight w:val="none"/>
              </w:rPr>
            </w:pPr>
            <w:r>
              <w:rPr>
                <w:rFonts w:hint="eastAsia" w:ascii="宋体" w:hAnsi="宋体"/>
                <w:szCs w:val="21"/>
                <w:highlight w:val="none"/>
              </w:rPr>
              <w:t>时</w:t>
            </w:r>
            <w:r>
              <w:rPr>
                <w:rFonts w:ascii="宋体" w:hAnsi="宋体"/>
                <w:szCs w:val="21"/>
                <w:highlight w:val="none"/>
              </w:rPr>
              <w:t xml:space="preserve">  </w:t>
            </w:r>
            <w:r>
              <w:rPr>
                <w:rFonts w:hint="eastAsia" w:ascii="宋体" w:hAnsi="宋体"/>
                <w:szCs w:val="21"/>
                <w:highlight w:val="none"/>
              </w:rPr>
              <w:t>间</w:t>
            </w:r>
          </w:p>
        </w:tc>
        <w:tc>
          <w:tcPr>
            <w:tcW w:w="3863" w:type="dxa"/>
            <w:gridSpan w:val="4"/>
            <w:vAlign w:val="center"/>
          </w:tcPr>
          <w:p>
            <w:pPr>
              <w:wordWrap w:val="0"/>
              <w:spacing w:line="440" w:lineRule="exact"/>
              <w:jc w:val="center"/>
              <w:rPr>
                <w:rFonts w:ascii="宋体" w:hAnsi="宋体"/>
                <w:szCs w:val="21"/>
                <w:highlight w:val="none"/>
              </w:rPr>
            </w:pPr>
            <w:r>
              <w:rPr>
                <w:rFonts w:hint="eastAsia" w:ascii="宋体" w:hAnsi="宋体"/>
                <w:szCs w:val="21"/>
                <w:highlight w:val="none"/>
              </w:rPr>
              <w:t>参加过的类似项目</w:t>
            </w:r>
          </w:p>
        </w:tc>
        <w:tc>
          <w:tcPr>
            <w:tcW w:w="1422" w:type="dxa"/>
            <w:vAlign w:val="center"/>
          </w:tcPr>
          <w:p>
            <w:pPr>
              <w:wordWrap w:val="0"/>
              <w:spacing w:line="440" w:lineRule="exact"/>
              <w:jc w:val="center"/>
              <w:rPr>
                <w:rFonts w:ascii="宋体" w:hAnsi="宋体"/>
                <w:szCs w:val="21"/>
                <w:highlight w:val="none"/>
              </w:rPr>
            </w:pPr>
            <w:r>
              <w:rPr>
                <w:rFonts w:hint="eastAsia" w:ascii="宋体" w:hAnsi="宋体"/>
                <w:szCs w:val="21"/>
                <w:highlight w:val="none"/>
              </w:rPr>
              <w:t>担任职务</w:t>
            </w:r>
          </w:p>
        </w:tc>
        <w:tc>
          <w:tcPr>
            <w:tcW w:w="2597" w:type="dxa"/>
            <w:gridSpan w:val="2"/>
            <w:vAlign w:val="center"/>
          </w:tcPr>
          <w:p>
            <w:pPr>
              <w:wordWrap w:val="0"/>
              <w:spacing w:line="440" w:lineRule="exact"/>
              <w:jc w:val="center"/>
              <w:rPr>
                <w:rFonts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gridSpan w:val="2"/>
          </w:tcPr>
          <w:p>
            <w:pPr>
              <w:wordWrap w:val="0"/>
              <w:spacing w:line="440" w:lineRule="exact"/>
              <w:rPr>
                <w:rFonts w:ascii="宋体" w:hAnsi="宋体"/>
                <w:szCs w:val="21"/>
                <w:highlight w:val="none"/>
              </w:rPr>
            </w:pPr>
          </w:p>
        </w:tc>
        <w:tc>
          <w:tcPr>
            <w:tcW w:w="3863" w:type="dxa"/>
            <w:gridSpan w:val="4"/>
          </w:tcPr>
          <w:p>
            <w:pPr>
              <w:wordWrap w:val="0"/>
              <w:spacing w:line="440" w:lineRule="exact"/>
              <w:rPr>
                <w:rFonts w:ascii="宋体" w:hAnsi="宋体"/>
                <w:szCs w:val="21"/>
                <w:highlight w:val="none"/>
              </w:rPr>
            </w:pPr>
          </w:p>
        </w:tc>
        <w:tc>
          <w:tcPr>
            <w:tcW w:w="1422" w:type="dxa"/>
          </w:tcPr>
          <w:p>
            <w:pPr>
              <w:wordWrap w:val="0"/>
              <w:spacing w:line="440" w:lineRule="exact"/>
              <w:rPr>
                <w:rFonts w:ascii="宋体" w:hAnsi="宋体"/>
                <w:szCs w:val="21"/>
                <w:highlight w:val="none"/>
              </w:rPr>
            </w:pPr>
          </w:p>
        </w:tc>
        <w:tc>
          <w:tcPr>
            <w:tcW w:w="2597" w:type="dxa"/>
            <w:gridSpan w:val="2"/>
          </w:tcPr>
          <w:p>
            <w:pPr>
              <w:wordWrap w:val="0"/>
              <w:spacing w:line="440" w:lineRule="exact"/>
              <w:rPr>
                <w:rFonts w:ascii="宋体" w:hAnsi="宋体"/>
                <w:szCs w:val="21"/>
                <w:highlight w:val="none"/>
              </w:rPr>
            </w:pPr>
          </w:p>
        </w:tc>
      </w:tr>
    </w:tbl>
    <w:p>
      <w:pPr>
        <w:wordWrap w:val="0"/>
        <w:spacing w:before="260" w:after="260" w:line="415" w:lineRule="auto"/>
        <w:ind w:firstLine="420" w:firstLineChars="200"/>
        <w:jc w:val="left"/>
        <w:rPr>
          <w:rFonts w:ascii="宋体" w:hAnsi="宋体"/>
          <w:szCs w:val="21"/>
          <w:highlight w:val="none"/>
        </w:rPr>
      </w:pPr>
      <w:r>
        <w:rPr>
          <w:rFonts w:hint="eastAsia" w:ascii="宋体" w:hAnsi="宋体"/>
          <w:szCs w:val="21"/>
          <w:highlight w:val="none"/>
        </w:rPr>
        <w:t>应附职称证书扫描件、社保证明文件。</w:t>
      </w:r>
    </w:p>
    <w:p>
      <w:pPr>
        <w:jc w:val="left"/>
        <w:rPr>
          <w:rFonts w:ascii="宋体" w:hAnsi="宋体"/>
          <w:b/>
          <w:sz w:val="24"/>
          <w:szCs w:val="31"/>
          <w:highlight w:val="none"/>
        </w:rPr>
      </w:pPr>
      <w:r>
        <w:rPr>
          <w:rFonts w:hint="eastAsia" w:ascii="宋体" w:hAnsi="宋体"/>
          <w:b/>
          <w:sz w:val="24"/>
          <w:szCs w:val="31"/>
          <w:highlight w:val="none"/>
        </w:rPr>
        <w:br w:type="page"/>
      </w:r>
    </w:p>
    <w:p>
      <w:pPr>
        <w:wordWrap w:val="0"/>
        <w:spacing w:line="360" w:lineRule="auto"/>
        <w:jc w:val="left"/>
        <w:rPr>
          <w:rFonts w:ascii="宋体" w:hAnsi="宋体"/>
          <w:b/>
          <w:sz w:val="24"/>
          <w:szCs w:val="31"/>
          <w:highlight w:val="none"/>
        </w:rPr>
      </w:pPr>
      <w:r>
        <w:rPr>
          <w:rFonts w:hint="eastAsia" w:ascii="宋体" w:hAnsi="宋体"/>
          <w:b/>
          <w:sz w:val="24"/>
          <w:szCs w:val="31"/>
          <w:highlight w:val="none"/>
        </w:rPr>
        <w:t>（四）专职安全管理员</w:t>
      </w:r>
      <w:bookmarkEnd w:id="612"/>
      <w:bookmarkEnd w:id="613"/>
      <w:bookmarkEnd w:id="614"/>
      <w:bookmarkEnd w:id="615"/>
    </w:p>
    <w:p>
      <w:pPr>
        <w:wordWrap w:val="0"/>
        <w:spacing w:before="260" w:after="260" w:line="415" w:lineRule="auto"/>
        <w:ind w:firstLine="643" w:firstLineChars="200"/>
        <w:jc w:val="center"/>
        <w:rPr>
          <w:rFonts w:ascii="宋体" w:hAnsi="宋体"/>
          <w:b/>
          <w:sz w:val="32"/>
          <w:szCs w:val="32"/>
          <w:highlight w:val="none"/>
        </w:rPr>
      </w:pPr>
      <w:r>
        <w:rPr>
          <w:rFonts w:hint="eastAsia" w:ascii="宋体" w:hAnsi="宋体"/>
          <w:b/>
          <w:sz w:val="32"/>
          <w:szCs w:val="32"/>
          <w:highlight w:val="none"/>
        </w:rPr>
        <w:t>专职安全员简历表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164"/>
        <w:gridCol w:w="1500"/>
        <w:gridCol w:w="1481"/>
        <w:gridCol w:w="1427"/>
        <w:gridCol w:w="1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tcBorders>
              <w:top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姓名</w:t>
            </w:r>
          </w:p>
        </w:tc>
        <w:tc>
          <w:tcPr>
            <w:tcW w:w="2164" w:type="dxa"/>
            <w:tcBorders>
              <w:top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p>
        </w:tc>
        <w:tc>
          <w:tcPr>
            <w:tcW w:w="1500" w:type="dxa"/>
            <w:tcBorders>
              <w:top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年龄</w:t>
            </w:r>
          </w:p>
        </w:tc>
        <w:tc>
          <w:tcPr>
            <w:tcW w:w="1481" w:type="dxa"/>
            <w:tcBorders>
              <w:top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p>
        </w:tc>
        <w:tc>
          <w:tcPr>
            <w:tcW w:w="1427" w:type="dxa"/>
            <w:tcBorders>
              <w:top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职称</w:t>
            </w:r>
          </w:p>
        </w:tc>
        <w:tc>
          <w:tcPr>
            <w:tcW w:w="1554" w:type="dxa"/>
            <w:tcBorders>
              <w:top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98" w:type="dxa"/>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从事本工作时间</w:t>
            </w:r>
          </w:p>
        </w:tc>
        <w:tc>
          <w:tcPr>
            <w:tcW w:w="2164" w:type="dxa"/>
            <w:vAlign w:val="center"/>
          </w:tcPr>
          <w:p>
            <w:pPr>
              <w:pStyle w:val="37"/>
              <w:wordWrap w:val="0"/>
              <w:adjustRightInd w:val="0"/>
              <w:snapToGrid w:val="0"/>
              <w:spacing w:before="0" w:after="0"/>
              <w:jc w:val="center"/>
              <w:rPr>
                <w:rFonts w:ascii="宋体" w:hAnsi="宋体"/>
                <w:sz w:val="21"/>
                <w:szCs w:val="21"/>
                <w:highlight w:val="none"/>
              </w:rPr>
            </w:pPr>
          </w:p>
        </w:tc>
        <w:tc>
          <w:tcPr>
            <w:tcW w:w="1500" w:type="dxa"/>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学历</w:t>
            </w:r>
          </w:p>
        </w:tc>
        <w:tc>
          <w:tcPr>
            <w:tcW w:w="1481" w:type="dxa"/>
            <w:vAlign w:val="center"/>
          </w:tcPr>
          <w:p>
            <w:pPr>
              <w:pStyle w:val="37"/>
              <w:wordWrap w:val="0"/>
              <w:adjustRightInd w:val="0"/>
              <w:snapToGrid w:val="0"/>
              <w:spacing w:before="0" w:after="0"/>
              <w:jc w:val="center"/>
              <w:rPr>
                <w:rFonts w:ascii="宋体" w:hAnsi="宋体"/>
                <w:sz w:val="21"/>
                <w:szCs w:val="21"/>
                <w:highlight w:val="none"/>
              </w:rPr>
            </w:pPr>
          </w:p>
        </w:tc>
        <w:tc>
          <w:tcPr>
            <w:tcW w:w="1427" w:type="dxa"/>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专业</w:t>
            </w:r>
          </w:p>
        </w:tc>
        <w:tc>
          <w:tcPr>
            <w:tcW w:w="1554" w:type="dxa"/>
            <w:vAlign w:val="center"/>
          </w:tcPr>
          <w:p>
            <w:pPr>
              <w:pStyle w:val="37"/>
              <w:wordWrap w:val="0"/>
              <w:adjustRightInd w:val="0"/>
              <w:snapToGrid w:val="0"/>
              <w:spacing w:before="0" w:after="0"/>
              <w:jc w:val="center"/>
              <w:rPr>
                <w:rFonts w:ascii="宋体" w:hAnsi="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98" w:type="dxa"/>
            <w:tcBorders>
              <w:bottom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毕业院校</w:t>
            </w:r>
          </w:p>
        </w:tc>
        <w:tc>
          <w:tcPr>
            <w:tcW w:w="5145" w:type="dxa"/>
            <w:gridSpan w:val="3"/>
            <w:tcBorders>
              <w:bottom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p>
        </w:tc>
        <w:tc>
          <w:tcPr>
            <w:tcW w:w="1427" w:type="dxa"/>
            <w:tcBorders>
              <w:bottom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r>
              <w:rPr>
                <w:rFonts w:hint="eastAsia" w:ascii="宋体" w:hAnsi="宋体"/>
                <w:sz w:val="21"/>
                <w:szCs w:val="21"/>
                <w:highlight w:val="none"/>
              </w:rPr>
              <w:t>毕业时间</w:t>
            </w:r>
          </w:p>
        </w:tc>
        <w:tc>
          <w:tcPr>
            <w:tcW w:w="1554" w:type="dxa"/>
            <w:tcBorders>
              <w:bottom w:val="single" w:color="auto" w:sz="8" w:space="0"/>
            </w:tcBorders>
            <w:vAlign w:val="center"/>
          </w:tcPr>
          <w:p>
            <w:pPr>
              <w:pStyle w:val="37"/>
              <w:wordWrap w:val="0"/>
              <w:adjustRightInd w:val="0"/>
              <w:snapToGrid w:val="0"/>
              <w:spacing w:before="0" w:after="0"/>
              <w:jc w:val="center"/>
              <w:rPr>
                <w:rFonts w:ascii="宋体" w:hAnsi="宋体"/>
                <w:sz w:val="21"/>
                <w:szCs w:val="21"/>
                <w:highlight w:val="none"/>
              </w:rPr>
            </w:pPr>
          </w:p>
        </w:tc>
      </w:tr>
    </w:tbl>
    <w:p>
      <w:pPr>
        <w:wordWrap w:val="0"/>
        <w:spacing w:line="400" w:lineRule="exact"/>
        <w:ind w:firstLine="420" w:firstLineChars="200"/>
        <w:rPr>
          <w:rFonts w:ascii="宋体" w:hAnsi="宋体"/>
          <w:highlight w:val="none"/>
        </w:rPr>
      </w:pPr>
      <w:r>
        <w:rPr>
          <w:rFonts w:hint="eastAsia" w:ascii="宋体" w:hAnsi="宋体"/>
          <w:highlight w:val="none"/>
        </w:rPr>
        <w:t>应附安全生产考核合格证（</w:t>
      </w:r>
      <w:r>
        <w:rPr>
          <w:rFonts w:ascii="宋体" w:hAnsi="宋体"/>
          <w:highlight w:val="none"/>
        </w:rPr>
        <w:t>C</w:t>
      </w:r>
      <w:r>
        <w:rPr>
          <w:rFonts w:hint="eastAsia" w:ascii="宋体" w:hAnsi="宋体"/>
          <w:highlight w:val="none"/>
        </w:rPr>
        <w:t>类）或安全生产考核合格证书（C3类）扫描件、社保证明文件。</w:t>
      </w:r>
    </w:p>
    <w:p>
      <w:pPr>
        <w:wordWrap w:val="0"/>
        <w:spacing w:line="400" w:lineRule="exact"/>
        <w:ind w:firstLine="420" w:firstLineChars="200"/>
        <w:rPr>
          <w:rFonts w:ascii="宋体" w:hAnsi="宋体"/>
          <w:highlight w:val="none"/>
        </w:rPr>
      </w:pPr>
    </w:p>
    <w:p>
      <w:pPr>
        <w:wordWrap w:val="0"/>
        <w:rPr>
          <w:rFonts w:ascii="宋体" w:hAnsi="宋体"/>
          <w:b/>
          <w:bCs/>
          <w:sz w:val="24"/>
          <w:szCs w:val="24"/>
          <w:highlight w:val="none"/>
        </w:rPr>
      </w:pPr>
      <w:r>
        <w:rPr>
          <w:rFonts w:ascii="宋体" w:hAnsi="宋体"/>
          <w:b/>
          <w:sz w:val="24"/>
          <w:szCs w:val="31"/>
          <w:highlight w:val="none"/>
        </w:rPr>
        <w:br w:type="page"/>
      </w:r>
      <w:bookmarkEnd w:id="596"/>
      <w:bookmarkEnd w:id="597"/>
      <w:bookmarkEnd w:id="598"/>
      <w:bookmarkEnd w:id="599"/>
      <w:bookmarkEnd w:id="600"/>
      <w:bookmarkEnd w:id="601"/>
      <w:bookmarkEnd w:id="602"/>
      <w:bookmarkEnd w:id="603"/>
      <w:bookmarkEnd w:id="604"/>
      <w:bookmarkStart w:id="616" w:name="_Toc229474023"/>
      <w:bookmarkStart w:id="617" w:name="_Toc222029460"/>
      <w:bookmarkStart w:id="618" w:name="_Toc152047271"/>
      <w:bookmarkStart w:id="619" w:name="_Toc227133887"/>
      <w:bookmarkStart w:id="620" w:name="_Toc179715764"/>
      <w:bookmarkStart w:id="621" w:name="_Toc221949894"/>
      <w:r>
        <w:rPr>
          <w:rFonts w:hint="eastAsia" w:ascii="宋体" w:hAnsi="宋体"/>
          <w:b/>
          <w:bCs/>
          <w:kern w:val="0"/>
          <w:sz w:val="24"/>
          <w:szCs w:val="24"/>
          <w:highlight w:val="none"/>
        </w:rPr>
        <w:t>（五）投标人声明</w:t>
      </w:r>
      <w:r>
        <w:rPr>
          <w:rFonts w:hint="eastAsia" w:ascii="宋体" w:hAnsi="宋体"/>
          <w:b/>
          <w:bCs/>
          <w:sz w:val="24"/>
          <w:szCs w:val="24"/>
          <w:highlight w:val="none"/>
        </w:rPr>
        <w:t>（参考格式）</w:t>
      </w:r>
    </w:p>
    <w:p>
      <w:pPr>
        <w:pStyle w:val="7"/>
        <w:wordWrap w:val="0"/>
        <w:rPr>
          <w:rFonts w:ascii="宋体" w:hAnsi="宋体"/>
          <w:highlight w:val="none"/>
        </w:rPr>
      </w:pPr>
    </w:p>
    <w:p>
      <w:pPr>
        <w:wordWrap w:val="0"/>
        <w:spacing w:line="600" w:lineRule="exact"/>
        <w:ind w:firstLine="602" w:firstLineChars="200"/>
        <w:jc w:val="center"/>
        <w:rPr>
          <w:rFonts w:ascii="宋体" w:hAnsi="宋体"/>
          <w:b/>
          <w:bCs/>
          <w:kern w:val="0"/>
          <w:sz w:val="30"/>
          <w:szCs w:val="30"/>
          <w:highlight w:val="none"/>
        </w:rPr>
      </w:pPr>
      <w:r>
        <w:rPr>
          <w:rFonts w:hint="eastAsia" w:ascii="宋体" w:hAnsi="宋体"/>
          <w:b/>
          <w:bCs/>
          <w:kern w:val="0"/>
          <w:sz w:val="30"/>
          <w:szCs w:val="30"/>
          <w:highlight w:val="none"/>
        </w:rPr>
        <w:t>投标人声明</w:t>
      </w:r>
    </w:p>
    <w:p>
      <w:pPr>
        <w:wordWrap w:val="0"/>
        <w:spacing w:line="360" w:lineRule="auto"/>
        <w:rPr>
          <w:rFonts w:ascii="宋体" w:hAnsi="宋体"/>
          <w:kern w:val="0"/>
          <w:sz w:val="24"/>
          <w:szCs w:val="24"/>
          <w:highlight w:val="none"/>
        </w:rPr>
      </w:pPr>
      <w:r>
        <w:rPr>
          <w:rFonts w:hint="eastAsia" w:ascii="宋体" w:hAnsi="宋体"/>
          <w:kern w:val="0"/>
          <w:sz w:val="24"/>
          <w:szCs w:val="24"/>
          <w:highlight w:val="none"/>
        </w:rPr>
        <w:t>本招标项目招标人及招标监管机构：</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本公司就参加</w:t>
      </w:r>
      <w:r>
        <w:rPr>
          <w:rFonts w:hint="eastAsia" w:ascii="宋体" w:hAnsi="宋体"/>
          <w:kern w:val="0"/>
          <w:sz w:val="24"/>
          <w:szCs w:val="24"/>
          <w:highlight w:val="none"/>
          <w:u w:val="single"/>
        </w:rPr>
        <w:t xml:space="preserve"> </w:t>
      </w:r>
      <w:r>
        <w:rPr>
          <w:rFonts w:hint="eastAsia" w:ascii="宋体" w:hAnsi="宋体"/>
          <w:kern w:val="0"/>
          <w:sz w:val="24"/>
          <w:szCs w:val="24"/>
          <w:highlight w:val="none"/>
          <w:u w:val="single"/>
          <w:lang w:eastAsia="zh-CN"/>
        </w:rPr>
        <w:t>黄埔大道971号大院等5个雨污分流管道改造联合采购项目</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投标工作，作出郑重声明：</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一、本公司保证投标登记登记及其后提供的一切材料都是真实的。如我司通过本项目的资格审查或成为本项目中标候选人，我司同意并授权招标人将我司响应招标文件资格能力条件（资质、营业执照等证书名称、等级、编号，人员、业绩）、投标文件商务部分（施工方案等涉及商业秘密的内容除外）等资料进行公开。</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二、本公司保证在本项目投标中不与其他单位围标、串标，不出让投标资格，不向招标人或评标委员会成员行贿。</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三、本公司不存在下列情形：</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）为招标人不具有独立法人资格的附属机构（单位）；</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）为本标段前期准备提供设计或咨询服务或者与本项目设计人或提供咨询服务的机构存在附属关系的；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）为本项目监理人或者与本项目监理人存在隶属关系或者其他利害关系；</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）为本标段的代建人；</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w:t>
      </w:r>
      <w:r>
        <w:rPr>
          <w:rFonts w:hint="eastAsia" w:ascii="宋体" w:hAnsi="宋体" w:eastAsia="宋体"/>
          <w:color w:val="auto"/>
          <w:sz w:val="24"/>
          <w:szCs w:val="24"/>
          <w:highlight w:val="none"/>
        </w:rPr>
        <w:t>）为本标段提供招标代理服务的；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）与本标段的监理人或代建人或招标代理机构同为一个法定代表人的；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w:t>
      </w:r>
      <w:r>
        <w:rPr>
          <w:rFonts w:hint="eastAsia" w:ascii="宋体" w:hAnsi="宋体" w:eastAsia="宋体"/>
          <w:color w:val="auto"/>
          <w:sz w:val="24"/>
          <w:szCs w:val="24"/>
          <w:highlight w:val="none"/>
        </w:rPr>
        <w:t>）与本标段的监理人或代建人或招标代理机构互相控股或参股的；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rPr>
        <w:t>）与本标段的监理人或代建人或招标代理机构相互任职或工作的；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9</w:t>
      </w:r>
      <w:r>
        <w:rPr>
          <w:rFonts w:hint="eastAsia" w:ascii="宋体" w:hAnsi="宋体" w:eastAsia="宋体"/>
          <w:color w:val="auto"/>
          <w:sz w:val="24"/>
          <w:szCs w:val="24"/>
          <w:highlight w:val="none"/>
        </w:rPr>
        <w:t>）与本标段的检测机构有隶属关系或者其他利害关系；</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10</w:t>
      </w:r>
      <w:r>
        <w:rPr>
          <w:rFonts w:hint="eastAsia" w:ascii="宋体" w:hAnsi="宋体" w:eastAsia="宋体"/>
          <w:color w:val="auto"/>
          <w:sz w:val="24"/>
          <w:szCs w:val="24"/>
          <w:highlight w:val="none"/>
        </w:rPr>
        <w:t>）与招标人存在利害关系且可能影响招标公正性；</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11</w:t>
      </w:r>
      <w:r>
        <w:rPr>
          <w:rFonts w:hint="eastAsia" w:ascii="宋体" w:hAnsi="宋体" w:eastAsia="宋体"/>
          <w:color w:val="auto"/>
          <w:sz w:val="24"/>
          <w:szCs w:val="24"/>
          <w:highlight w:val="none"/>
        </w:rPr>
        <w:t>）与本标段的其他投标人为同一个单位负责人；</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）与本标段的其他投标人存在控股、管理关系；</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13</w:t>
      </w:r>
      <w:r>
        <w:rPr>
          <w:rFonts w:hint="eastAsia" w:ascii="宋体" w:hAnsi="宋体" w:eastAsia="宋体"/>
          <w:color w:val="auto"/>
          <w:sz w:val="24"/>
          <w:szCs w:val="24"/>
          <w:highlight w:val="none"/>
        </w:rPr>
        <w:t>）被依法暂停或取消投标资格的；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14</w:t>
      </w:r>
      <w:r>
        <w:rPr>
          <w:rFonts w:hint="eastAsia" w:ascii="宋体" w:hAnsi="宋体" w:eastAsia="宋体"/>
          <w:color w:val="auto"/>
          <w:sz w:val="24"/>
          <w:szCs w:val="24"/>
          <w:highlight w:val="none"/>
        </w:rPr>
        <w:t>）被责令停产停业、暂扣或者吊销许可证、暂扣或者吊销执照的；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15</w:t>
      </w:r>
      <w:r>
        <w:rPr>
          <w:rFonts w:hint="eastAsia" w:ascii="宋体" w:hAnsi="宋体" w:eastAsia="宋体"/>
          <w:color w:val="auto"/>
          <w:sz w:val="24"/>
          <w:szCs w:val="24"/>
          <w:highlight w:val="none"/>
        </w:rPr>
        <w:t>）进入清算程序，或被宣布破产，或其他丧失履约能力的情形；</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16</w:t>
      </w:r>
      <w:r>
        <w:rPr>
          <w:rFonts w:hint="eastAsia" w:ascii="宋体" w:hAnsi="宋体" w:eastAsia="宋体"/>
          <w:color w:val="auto"/>
          <w:sz w:val="24"/>
          <w:szCs w:val="24"/>
          <w:highlight w:val="none"/>
        </w:rPr>
        <w:t>）在最近三年内有骗取中标或严重违约或重大工程质量问题的；</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17</w:t>
      </w:r>
      <w:r>
        <w:rPr>
          <w:rFonts w:hint="eastAsia" w:ascii="宋体" w:hAnsi="宋体" w:eastAsia="宋体"/>
          <w:color w:val="auto"/>
          <w:sz w:val="24"/>
          <w:szCs w:val="24"/>
          <w:highlight w:val="none"/>
        </w:rPr>
        <w:t>）被工商行政管理机关在全国企业信用信息公示系统中列入严重违法失信企业名单；</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18</w:t>
      </w:r>
      <w:r>
        <w:rPr>
          <w:rFonts w:hint="eastAsia" w:ascii="宋体" w:hAnsi="宋体" w:eastAsia="宋体"/>
          <w:color w:val="auto"/>
          <w:sz w:val="24"/>
          <w:szCs w:val="24"/>
          <w:highlight w:val="none"/>
        </w:rPr>
        <w:t>）被最高人民法院在“信用中国”网站（</w:t>
      </w:r>
      <w:r>
        <w:rPr>
          <w:rFonts w:ascii="宋体" w:hAnsi="宋体" w:eastAsia="宋体"/>
          <w:color w:val="auto"/>
          <w:sz w:val="24"/>
          <w:szCs w:val="24"/>
          <w:highlight w:val="none"/>
        </w:rPr>
        <w:t>www.creditchina.gov.cn</w:t>
      </w:r>
      <w:r>
        <w:rPr>
          <w:rFonts w:hint="eastAsia" w:ascii="宋体" w:hAnsi="宋体" w:eastAsia="宋体"/>
          <w:color w:val="auto"/>
          <w:sz w:val="24"/>
          <w:szCs w:val="24"/>
          <w:highlight w:val="none"/>
        </w:rPr>
        <w:t>）或各级信用信息共享平台中列入失信被执行人名单；</w:t>
      </w:r>
    </w:p>
    <w:p>
      <w:pPr>
        <w:wordWrap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w:t>
      </w:r>
      <w:r>
        <w:rPr>
          <w:rFonts w:ascii="宋体" w:hAnsi="宋体"/>
          <w:kern w:val="0"/>
          <w:sz w:val="24"/>
          <w:szCs w:val="24"/>
          <w:highlight w:val="none"/>
        </w:rPr>
        <w:t>19</w:t>
      </w:r>
      <w:r>
        <w:rPr>
          <w:rFonts w:hint="eastAsia" w:ascii="宋体" w:hAnsi="宋体"/>
          <w:kern w:val="0"/>
          <w:sz w:val="24"/>
          <w:szCs w:val="24"/>
          <w:highlight w:val="none"/>
        </w:rPr>
        <w:t>）被发改委、人力资源社会保障、质检总局等有关部门、单位在“信用中国”网站中列入联合惩戒失信黑名单。</w:t>
      </w:r>
    </w:p>
    <w:p>
      <w:pPr>
        <w:pStyle w:val="36"/>
        <w:wordWrap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0）在近三年内投标人或其法定代表人、拟委派的项目负责人有行贿犯罪行为的；</w:t>
      </w:r>
    </w:p>
    <w:p>
      <w:pPr>
        <w:wordWrap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（21）法律法规规定的其他情形。</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四、本公司保证本项目拟派的项目负责人和</w:t>
      </w:r>
      <w:r>
        <w:rPr>
          <w:rFonts w:hint="eastAsia" w:ascii="宋体" w:hAnsi="宋体"/>
          <w:kern w:val="0"/>
          <w:sz w:val="24"/>
          <w:szCs w:val="24"/>
          <w:highlight w:val="none"/>
          <w:u w:val="single"/>
        </w:rPr>
        <w:t>专职</w:t>
      </w:r>
      <w:r>
        <w:rPr>
          <w:rFonts w:hint="eastAsia" w:ascii="宋体" w:hAnsi="宋体"/>
          <w:kern w:val="0"/>
          <w:sz w:val="24"/>
          <w:szCs w:val="24"/>
          <w:highlight w:val="none"/>
        </w:rPr>
        <w:t>安全员没有在其他在建项目中任职。</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六、与本公司单位负责人为同一人或者与本公司存在控股、管理关系的其他单位包括：</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。（注：本条由投标人如实填写，如有，应列出全部满足招标公告资质要求的相关单位的名称；如无，则填写“无”。）</w:t>
      </w: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本公司违反上述保证，或本声明陈述与事实不符，经查实，本公司除按招标文件或合同约定自愿接受招标人的处理外，还愿意接受公开通报或相应行政处罚，并承担由此带来的法律后果，并自愿停止参加广州市行政辖区内的招标投标活动三个月。本声明陈述与事实不符，属于弄虚作假骗取中标，将依法接受监管部门的处罚。</w:t>
      </w:r>
    </w:p>
    <w:p>
      <w:pPr>
        <w:wordWrap w:val="0"/>
        <w:spacing w:line="360" w:lineRule="auto"/>
        <w:ind w:firstLine="480" w:firstLineChars="200"/>
        <w:rPr>
          <w:rFonts w:ascii="宋体" w:hAnsi="宋体"/>
          <w:kern w:val="0"/>
          <w:sz w:val="24"/>
          <w:szCs w:val="24"/>
          <w:highlight w:val="none"/>
        </w:rPr>
      </w:pPr>
    </w:p>
    <w:p>
      <w:pPr>
        <w:wordWrap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特此声明</w:t>
      </w:r>
    </w:p>
    <w:p>
      <w:pPr>
        <w:pStyle w:val="35"/>
        <w:wordWrap w:val="0"/>
        <w:spacing w:line="600" w:lineRule="exact"/>
        <w:ind w:left="629" w:right="1449" w:firstLine="480" w:firstLineChars="20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声明企业：</w:t>
      </w:r>
    </w:p>
    <w:p>
      <w:pPr>
        <w:pStyle w:val="36"/>
        <w:wordWrap w:val="0"/>
        <w:spacing w:line="600" w:lineRule="exact"/>
        <w:ind w:right="1779"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法定代表人（签字）：</w:t>
      </w:r>
    </w:p>
    <w:p>
      <w:pPr>
        <w:pStyle w:val="36"/>
        <w:wordWrap w:val="0"/>
        <w:spacing w:line="600" w:lineRule="exact"/>
        <w:ind w:right="1779"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项目负责人（签字）：</w:t>
      </w:r>
    </w:p>
    <w:p>
      <w:pPr>
        <w:pStyle w:val="36"/>
        <w:wordWrap w:val="0"/>
        <w:spacing w:line="600" w:lineRule="exact"/>
        <w:ind w:right="1779"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技术负责人（签字）：</w:t>
      </w:r>
    </w:p>
    <w:p>
      <w:pPr>
        <w:pStyle w:val="36"/>
        <w:wordWrap w:val="0"/>
        <w:spacing w:line="600" w:lineRule="exact"/>
        <w:ind w:right="879"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（盖单位章）</w:t>
      </w:r>
    </w:p>
    <w:p>
      <w:pPr>
        <w:wordWrap w:val="0"/>
        <w:spacing w:line="360" w:lineRule="auto"/>
        <w:ind w:right="1179" w:firstLine="480" w:firstLineChars="200"/>
        <w:jc w:val="right"/>
        <w:rPr>
          <w:rFonts w:ascii="宋体" w:hAnsi="宋体"/>
          <w:kern w:val="0"/>
          <w:sz w:val="24"/>
          <w:szCs w:val="24"/>
          <w:highlight w:val="none"/>
        </w:rPr>
      </w:pP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pPr>
        <w:pStyle w:val="36"/>
        <w:wordWrap w:val="0"/>
        <w:spacing w:line="600" w:lineRule="exact"/>
        <w:ind w:right="879" w:firstLine="0"/>
        <w:rPr>
          <w:rFonts w:ascii="宋体" w:hAnsi="宋体" w:eastAsia="宋体"/>
          <w:strike/>
          <w:color w:val="auto"/>
          <w:sz w:val="24"/>
          <w:szCs w:val="24"/>
          <w:highlight w:val="none"/>
        </w:rPr>
      </w:pPr>
    </w:p>
    <w:p>
      <w:pPr>
        <w:pageBreakBefore/>
        <w:wordWrap w:val="0"/>
        <w:rPr>
          <w:b/>
          <w:sz w:val="24"/>
          <w:szCs w:val="24"/>
          <w:highlight w:val="none"/>
        </w:rPr>
      </w:pPr>
      <w:r>
        <w:rPr>
          <w:rFonts w:hint="eastAsia"/>
          <w:b/>
          <w:sz w:val="24"/>
          <w:szCs w:val="24"/>
          <w:highlight w:val="none"/>
        </w:rPr>
        <w:t>（六）投标人廉洁承诺书（格式）</w:t>
      </w:r>
    </w:p>
    <w:p>
      <w:pPr>
        <w:pStyle w:val="19"/>
        <w:wordWrap w:val="0"/>
        <w:spacing w:line="480" w:lineRule="atLeast"/>
        <w:jc w:val="center"/>
        <w:rPr>
          <w:rFonts w:ascii="宋体"/>
          <w:b/>
          <w:bCs/>
          <w:sz w:val="32"/>
          <w:szCs w:val="32"/>
          <w:highlight w:val="none"/>
        </w:rPr>
      </w:pPr>
      <w:r>
        <w:rPr>
          <w:rFonts w:hint="eastAsia" w:ascii="宋体" w:hAnsi="宋体"/>
          <w:b/>
          <w:bCs/>
          <w:sz w:val="32"/>
          <w:szCs w:val="32"/>
          <w:highlight w:val="none"/>
        </w:rPr>
        <w:t>投标人廉洁承诺书</w:t>
      </w:r>
    </w:p>
    <w:p>
      <w:pPr>
        <w:pStyle w:val="19"/>
        <w:shd w:val="clear" w:color="auto" w:fill="FFFFFF"/>
        <w:wordWrap w:val="0"/>
        <w:spacing w:line="555" w:lineRule="atLeast"/>
        <w:rPr>
          <w:rFonts w:ascii="宋体"/>
          <w:highlight w:val="none"/>
        </w:rPr>
      </w:pPr>
      <w:r>
        <w:rPr>
          <w:rFonts w:hint="eastAsia" w:ascii="宋体" w:hAnsi="宋体"/>
          <w:highlight w:val="none"/>
        </w:rPr>
        <w:t>本招标项目招标人及招标监管机构：</w:t>
      </w:r>
    </w:p>
    <w:p>
      <w:pPr>
        <w:pStyle w:val="13"/>
        <w:wordWrap w:val="0"/>
        <w:spacing w:line="360" w:lineRule="auto"/>
        <w:ind w:right="420" w:firstLine="480" w:firstLineChars="200"/>
        <w:rPr>
          <w:rFonts w:hAnsi="宋体" w:eastAsia="宋体"/>
          <w:szCs w:val="24"/>
          <w:highlight w:val="none"/>
        </w:rPr>
      </w:pPr>
      <w:r>
        <w:rPr>
          <w:rFonts w:hint="eastAsia" w:hAnsi="宋体" w:eastAsia="宋体"/>
          <w:szCs w:val="24"/>
          <w:highlight w:val="none"/>
        </w:rPr>
        <w:t>本公司参加了</w:t>
      </w:r>
      <w:r>
        <w:rPr>
          <w:rFonts w:hint="eastAsia" w:hAnsi="宋体" w:eastAsia="宋体"/>
          <w:szCs w:val="24"/>
          <w:highlight w:val="none"/>
          <w:u w:val="single"/>
          <w:lang w:eastAsia="zh-CN"/>
        </w:rPr>
        <w:t>黄埔大道971号大院等5个雨污分流管道改造联合采购项目</w:t>
      </w:r>
      <w:r>
        <w:rPr>
          <w:rFonts w:hint="eastAsia" w:hAnsi="宋体" w:eastAsia="宋体"/>
          <w:szCs w:val="24"/>
          <w:highlight w:val="none"/>
        </w:rPr>
        <w:t>投标，为确保招标工作的公平、公正、公开、有序进行，我们保证遵守《中华人民共和国招标投标法》、《中华人民共和国招标投标法实施条例》、《广东省实施</w:t>
      </w:r>
      <w:r>
        <w:rPr>
          <w:rFonts w:hAnsi="宋体" w:eastAsia="宋体"/>
          <w:szCs w:val="24"/>
          <w:highlight w:val="none"/>
        </w:rPr>
        <w:t>&lt;</w:t>
      </w:r>
      <w:r>
        <w:rPr>
          <w:rFonts w:hint="eastAsia" w:hAnsi="宋体" w:eastAsia="宋体"/>
          <w:szCs w:val="24"/>
          <w:highlight w:val="none"/>
        </w:rPr>
        <w:t>中华人民共和国招标投标法</w:t>
      </w:r>
      <w:r>
        <w:rPr>
          <w:rFonts w:hAnsi="宋体" w:eastAsia="宋体"/>
          <w:szCs w:val="24"/>
          <w:highlight w:val="none"/>
        </w:rPr>
        <w:t>&gt;</w:t>
      </w:r>
      <w:r>
        <w:rPr>
          <w:rFonts w:hint="eastAsia" w:hAnsi="宋体" w:eastAsia="宋体"/>
          <w:szCs w:val="24"/>
          <w:highlight w:val="none"/>
        </w:rPr>
        <w:t>办法》等法律法规，特承诺如下事项：</w:t>
      </w:r>
    </w:p>
    <w:p>
      <w:pPr>
        <w:pStyle w:val="13"/>
        <w:wordWrap w:val="0"/>
        <w:spacing w:line="360" w:lineRule="auto"/>
        <w:ind w:right="420" w:firstLine="480" w:firstLineChars="200"/>
        <w:rPr>
          <w:rFonts w:hAnsi="宋体" w:eastAsia="宋体"/>
          <w:szCs w:val="24"/>
          <w:highlight w:val="none"/>
        </w:rPr>
      </w:pPr>
      <w:r>
        <w:rPr>
          <w:rFonts w:hint="eastAsia" w:hAnsi="宋体" w:eastAsia="宋体"/>
          <w:szCs w:val="24"/>
          <w:highlight w:val="none"/>
        </w:rPr>
        <w:t>一、自觉遵守国家有关法律法规及廉洁规定。</w:t>
      </w:r>
    </w:p>
    <w:p>
      <w:pPr>
        <w:pStyle w:val="13"/>
        <w:wordWrap w:val="0"/>
        <w:spacing w:line="360" w:lineRule="auto"/>
        <w:ind w:right="420" w:firstLine="480" w:firstLineChars="200"/>
        <w:rPr>
          <w:rFonts w:hAnsi="宋体" w:eastAsia="宋体"/>
          <w:szCs w:val="24"/>
          <w:highlight w:val="none"/>
        </w:rPr>
      </w:pPr>
      <w:r>
        <w:rPr>
          <w:rFonts w:hint="eastAsia" w:hAnsi="宋体" w:eastAsia="宋体"/>
          <w:szCs w:val="24"/>
          <w:highlight w:val="none"/>
        </w:rPr>
        <w:t>二、不与招标单位工作人员串通投标，损害国家利益、企业利益以及他人的合法利益；</w:t>
      </w:r>
    </w:p>
    <w:p>
      <w:pPr>
        <w:pStyle w:val="13"/>
        <w:wordWrap w:val="0"/>
        <w:spacing w:line="360" w:lineRule="auto"/>
        <w:ind w:right="420" w:firstLine="480" w:firstLineChars="200"/>
        <w:rPr>
          <w:rFonts w:hAnsi="宋体" w:eastAsia="宋体"/>
          <w:szCs w:val="24"/>
          <w:highlight w:val="none"/>
        </w:rPr>
      </w:pPr>
      <w:r>
        <w:rPr>
          <w:rFonts w:hint="eastAsia" w:hAnsi="宋体" w:eastAsia="宋体"/>
          <w:szCs w:val="24"/>
          <w:highlight w:val="none"/>
        </w:rPr>
        <w:t>三、不与其他单位围标、串标，不出让投标资格，不向招标人或评标委员会成员行贿。</w:t>
      </w:r>
    </w:p>
    <w:p>
      <w:pPr>
        <w:pStyle w:val="13"/>
        <w:wordWrap w:val="0"/>
        <w:spacing w:line="360" w:lineRule="auto"/>
        <w:ind w:right="420" w:firstLine="480" w:firstLineChars="200"/>
        <w:rPr>
          <w:rFonts w:hAnsi="宋体" w:eastAsia="宋体"/>
          <w:szCs w:val="24"/>
          <w:highlight w:val="none"/>
        </w:rPr>
      </w:pPr>
      <w:r>
        <w:rPr>
          <w:rFonts w:hint="eastAsia" w:hAnsi="宋体" w:eastAsia="宋体"/>
          <w:szCs w:val="24"/>
          <w:highlight w:val="none"/>
        </w:rPr>
        <w:t>四、不以任何名义向参与招标、评标工作的有关人员提供高消费宴请及娱乐活动和赠送回扣、红包、礼金、购物卡、有价证券、贵重物品和好处费、感谢费等；</w:t>
      </w:r>
      <w:r>
        <w:rPr>
          <w:rFonts w:hAnsi="宋体" w:eastAsia="宋体"/>
          <w:szCs w:val="24"/>
          <w:highlight w:val="none"/>
        </w:rPr>
        <w:t xml:space="preserve"> </w:t>
      </w:r>
    </w:p>
    <w:p>
      <w:pPr>
        <w:pStyle w:val="13"/>
        <w:wordWrap w:val="0"/>
        <w:spacing w:line="360" w:lineRule="auto"/>
        <w:ind w:right="420" w:firstLine="480" w:firstLineChars="200"/>
        <w:rPr>
          <w:rFonts w:hAnsi="宋体" w:eastAsia="宋体"/>
          <w:szCs w:val="24"/>
          <w:highlight w:val="none"/>
        </w:rPr>
      </w:pPr>
      <w:r>
        <w:rPr>
          <w:rFonts w:hint="eastAsia" w:hAnsi="宋体" w:eastAsia="宋体"/>
          <w:szCs w:val="24"/>
          <w:highlight w:val="none"/>
        </w:rPr>
        <w:t>五、不以任何名义为参与招标、评标工作的有关人员装修住房、婚丧嫁取、配偶子女的工作安排以及境内外旅游等提供方便；</w:t>
      </w:r>
    </w:p>
    <w:p>
      <w:pPr>
        <w:pStyle w:val="13"/>
        <w:wordWrap w:val="0"/>
        <w:spacing w:line="360" w:lineRule="auto"/>
        <w:ind w:right="420" w:firstLine="480" w:firstLineChars="200"/>
        <w:rPr>
          <w:rFonts w:hAnsi="宋体" w:eastAsia="宋体"/>
          <w:szCs w:val="24"/>
          <w:highlight w:val="none"/>
        </w:rPr>
      </w:pPr>
      <w:r>
        <w:rPr>
          <w:rFonts w:hint="eastAsia" w:hAnsi="宋体" w:eastAsia="宋体"/>
          <w:szCs w:val="24"/>
          <w:highlight w:val="none"/>
        </w:rPr>
        <w:t>六、不以谋取非正当利益为目的，擅自与参与招标、评标工作的有关人员就业务问题进行私下商谈或者达成利益默契；</w:t>
      </w:r>
    </w:p>
    <w:p>
      <w:pPr>
        <w:pStyle w:val="19"/>
        <w:shd w:val="clear" w:color="auto" w:fill="FFFFFF"/>
        <w:wordWrap w:val="0"/>
        <w:spacing w:line="360" w:lineRule="auto"/>
        <w:ind w:firstLine="480" w:firstLineChars="200"/>
        <w:rPr>
          <w:rFonts w:ascii="宋体"/>
          <w:highlight w:val="none"/>
        </w:rPr>
      </w:pPr>
      <w:r>
        <w:rPr>
          <w:rFonts w:hint="eastAsia" w:ascii="宋体" w:hAnsi="宋体"/>
          <w:highlight w:val="none"/>
        </w:rPr>
        <w:t>本公司违反上述承诺，或本承诺陈述与事实不符，经查实，本公司愿意接受公开通报，承担由此带来的法律后果，并自愿停止参加广州市行政辖区内的招标投标活动三个月。</w:t>
      </w:r>
    </w:p>
    <w:p>
      <w:pPr>
        <w:pStyle w:val="19"/>
        <w:shd w:val="clear" w:color="auto" w:fill="FFFFFF"/>
        <w:wordWrap w:val="0"/>
        <w:spacing w:line="555" w:lineRule="atLeast"/>
        <w:ind w:firstLine="480" w:firstLineChars="200"/>
        <w:rPr>
          <w:rFonts w:ascii="宋体"/>
          <w:highlight w:val="none"/>
        </w:rPr>
      </w:pPr>
      <w:r>
        <w:rPr>
          <w:rFonts w:hint="eastAsia" w:ascii="宋体" w:hAnsi="宋体"/>
          <w:highlight w:val="none"/>
        </w:rPr>
        <w:t>特此承诺</w:t>
      </w:r>
    </w:p>
    <w:p>
      <w:pPr>
        <w:pStyle w:val="19"/>
        <w:shd w:val="clear" w:color="auto" w:fill="FFFFFF"/>
        <w:wordWrap w:val="0"/>
        <w:spacing w:after="0"/>
        <w:ind w:right="1455" w:firstLine="480" w:firstLineChars="200"/>
        <w:jc w:val="right"/>
        <w:rPr>
          <w:rFonts w:ascii="宋体" w:hAnsi="宋体"/>
          <w:highlight w:val="none"/>
        </w:rPr>
      </w:pPr>
      <w:r>
        <w:rPr>
          <w:rFonts w:hint="eastAsia" w:ascii="宋体" w:hAnsi="宋体"/>
          <w:highlight w:val="none"/>
        </w:rPr>
        <w:t xml:space="preserve">承诺企业（盖单位章）：            </w:t>
      </w:r>
    </w:p>
    <w:p>
      <w:pPr>
        <w:pStyle w:val="19"/>
        <w:shd w:val="clear" w:color="auto" w:fill="FFFFFF"/>
        <w:wordWrap w:val="0"/>
        <w:spacing w:after="0"/>
        <w:ind w:right="1455" w:firstLine="480" w:firstLineChars="200"/>
        <w:jc w:val="right"/>
        <w:rPr>
          <w:rFonts w:ascii="宋体" w:hAnsi="宋体"/>
          <w:highlight w:val="none"/>
        </w:rPr>
      </w:pPr>
      <w:r>
        <w:rPr>
          <w:rFonts w:hint="eastAsia" w:ascii="宋体" w:hAnsi="宋体"/>
          <w:highlight w:val="none"/>
        </w:rPr>
        <w:t xml:space="preserve">法定代表人签字：            </w:t>
      </w:r>
    </w:p>
    <w:p>
      <w:pPr>
        <w:pStyle w:val="19"/>
        <w:shd w:val="clear" w:color="auto" w:fill="FFFFFF"/>
        <w:wordWrap w:val="0"/>
        <w:spacing w:after="0"/>
        <w:ind w:right="1455" w:firstLine="480" w:firstLineChars="200"/>
        <w:jc w:val="right"/>
        <w:rPr>
          <w:highlight w:val="none"/>
        </w:rPr>
        <w:sectPr>
          <w:pgSz w:w="11906" w:h="16838"/>
          <w:pgMar w:top="1247" w:right="1247" w:bottom="567" w:left="1247" w:header="851" w:footer="992" w:gutter="0"/>
          <w:cols w:space="720" w:num="1"/>
          <w:docGrid w:linePitch="312" w:charSpace="0"/>
        </w:sectPr>
      </w:pPr>
      <w:r>
        <w:rPr>
          <w:rFonts w:hint="eastAsia" w:ascii="宋体" w:hAnsi="宋体"/>
          <w:highlight w:val="none"/>
        </w:rPr>
        <w:t xml:space="preserve">      年    月    日</w:t>
      </w:r>
    </w:p>
    <w:bookmarkEnd w:id="616"/>
    <w:p>
      <w:pPr>
        <w:wordWrap w:val="0"/>
        <w:spacing w:line="360" w:lineRule="auto"/>
        <w:jc w:val="center"/>
        <w:outlineLvl w:val="2"/>
        <w:rPr>
          <w:rFonts w:ascii="宋体" w:hAnsi="宋体"/>
          <w:b/>
          <w:bCs/>
          <w:sz w:val="28"/>
          <w:szCs w:val="27"/>
          <w:highlight w:val="none"/>
        </w:rPr>
      </w:pPr>
      <w:bookmarkStart w:id="622" w:name="_Toc229474024"/>
      <w:bookmarkStart w:id="623" w:name="_Toc19075"/>
      <w:bookmarkStart w:id="624" w:name="_Toc17451662"/>
      <w:bookmarkStart w:id="625" w:name="_Toc17454910"/>
      <w:bookmarkStart w:id="626" w:name="_Toc8842"/>
      <w:bookmarkStart w:id="627" w:name="_Toc30152"/>
      <w:bookmarkStart w:id="628" w:name="_Toc112854522"/>
      <w:bookmarkStart w:id="629" w:name="_Toc17451140"/>
      <w:bookmarkStart w:id="630" w:name="_Toc17556915"/>
      <w:bookmarkStart w:id="631" w:name="_Toc17452703"/>
      <w:bookmarkStart w:id="632" w:name="_Toc17451617"/>
      <w:bookmarkStart w:id="633" w:name="_Toc17454961"/>
      <w:r>
        <w:rPr>
          <w:rFonts w:hint="eastAsia" w:ascii="宋体" w:hAnsi="宋体"/>
          <w:b/>
          <w:bCs/>
          <w:sz w:val="28"/>
          <w:szCs w:val="27"/>
          <w:highlight w:val="none"/>
        </w:rPr>
        <w:t>七、</w:t>
      </w:r>
      <w:bookmarkEnd w:id="617"/>
      <w:bookmarkEnd w:id="618"/>
      <w:bookmarkEnd w:id="619"/>
      <w:bookmarkEnd w:id="620"/>
      <w:bookmarkEnd w:id="621"/>
      <w:bookmarkEnd w:id="622"/>
      <w:r>
        <w:rPr>
          <w:rFonts w:hint="eastAsia" w:ascii="宋体" w:hAnsi="宋体"/>
          <w:b/>
          <w:bCs/>
          <w:sz w:val="28"/>
          <w:szCs w:val="27"/>
          <w:highlight w:val="none"/>
        </w:rPr>
        <w:t>投标人须知前附表规定的其他材料</w:t>
      </w:r>
      <w:bookmarkEnd w:id="623"/>
      <w:bookmarkEnd w:id="624"/>
      <w:bookmarkEnd w:id="625"/>
      <w:bookmarkEnd w:id="626"/>
      <w:bookmarkEnd w:id="627"/>
      <w:bookmarkEnd w:id="628"/>
      <w:bookmarkEnd w:id="629"/>
      <w:bookmarkEnd w:id="630"/>
      <w:bookmarkEnd w:id="631"/>
      <w:bookmarkEnd w:id="632"/>
      <w:bookmarkEnd w:id="633"/>
    </w:p>
    <w:p>
      <w:pPr>
        <w:wordWrap w:val="0"/>
        <w:spacing w:line="360" w:lineRule="auto"/>
        <w:ind w:firstLine="480" w:firstLineChars="200"/>
        <w:rPr>
          <w:rFonts w:ascii="宋体" w:hAnsi="宋体"/>
          <w:sz w:val="24"/>
          <w:highlight w:val="none"/>
        </w:rPr>
      </w:pPr>
      <w:r>
        <w:rPr>
          <w:rFonts w:hint="eastAsia" w:ascii="宋体" w:hAnsi="宋体"/>
          <w:sz w:val="24"/>
          <w:highlight w:val="none"/>
        </w:rPr>
        <w:t>（如投标报价低于工程成本警示价的，提供投标报价不低于成本价的证明材料。）</w:t>
      </w:r>
    </w:p>
    <w:p>
      <w:pPr>
        <w:wordWrap w:val="0"/>
        <w:spacing w:line="600" w:lineRule="exact"/>
        <w:ind w:firstLine="480" w:firstLineChars="200"/>
        <w:jc w:val="left"/>
        <w:rPr>
          <w:rFonts w:ascii="宋体" w:hAnsi="宋体"/>
          <w:sz w:val="30"/>
          <w:szCs w:val="30"/>
          <w:highlight w:val="none"/>
        </w:rPr>
      </w:pPr>
      <w:bookmarkStart w:id="634" w:name="_Toc416357992"/>
      <w:bookmarkStart w:id="635" w:name="_Toc249845977"/>
      <w:bookmarkStart w:id="636" w:name="_Toc245024005"/>
      <w:bookmarkStart w:id="637" w:name="_Toc249846232"/>
      <w:bookmarkStart w:id="638" w:name="_Toc253143224"/>
      <w:bookmarkStart w:id="639" w:name="_Toc266881405"/>
      <w:bookmarkStart w:id="640" w:name="_Toc416358163"/>
      <w:bookmarkStart w:id="641" w:name="_Toc266093553"/>
      <w:r>
        <w:rPr>
          <w:rFonts w:hint="eastAsia" w:ascii="宋体" w:hAnsi="宋体"/>
          <w:bCs/>
          <w:kern w:val="0"/>
          <w:sz w:val="24"/>
          <w:szCs w:val="24"/>
          <w:highlight w:val="none"/>
        </w:rPr>
        <w:t>附件</w:t>
      </w:r>
      <w:r>
        <w:rPr>
          <w:rFonts w:ascii="宋体" w:hAnsi="宋体"/>
          <w:bCs/>
          <w:kern w:val="0"/>
          <w:sz w:val="24"/>
          <w:szCs w:val="24"/>
          <w:highlight w:val="none"/>
        </w:rPr>
        <w:t>1</w:t>
      </w:r>
      <w:bookmarkEnd w:id="634"/>
      <w:bookmarkEnd w:id="635"/>
      <w:bookmarkEnd w:id="636"/>
      <w:bookmarkEnd w:id="637"/>
      <w:bookmarkEnd w:id="638"/>
      <w:bookmarkEnd w:id="639"/>
      <w:bookmarkEnd w:id="640"/>
      <w:bookmarkEnd w:id="641"/>
    </w:p>
    <w:p>
      <w:pPr>
        <w:tabs>
          <w:tab w:val="left" w:pos="720"/>
        </w:tabs>
        <w:wordWrap w:val="0"/>
        <w:snapToGrid w:val="0"/>
        <w:spacing w:line="360" w:lineRule="auto"/>
        <w:ind w:firstLine="643" w:firstLineChars="200"/>
        <w:jc w:val="center"/>
        <w:rPr>
          <w:rFonts w:ascii="宋体" w:hAnsi="宋体"/>
          <w:b/>
          <w:sz w:val="32"/>
          <w:szCs w:val="32"/>
          <w:highlight w:val="none"/>
        </w:rPr>
      </w:pPr>
      <w:r>
        <w:rPr>
          <w:rFonts w:hint="eastAsia" w:ascii="宋体" w:hAnsi="宋体"/>
          <w:b/>
          <w:sz w:val="32"/>
          <w:szCs w:val="32"/>
          <w:highlight w:val="none"/>
        </w:rPr>
        <w:t>投标文件编制人员名单</w:t>
      </w:r>
    </w:p>
    <w:p>
      <w:pPr>
        <w:tabs>
          <w:tab w:val="left" w:pos="720"/>
        </w:tabs>
        <w:wordWrap w:val="0"/>
        <w:snapToGrid w:val="0"/>
        <w:spacing w:line="360" w:lineRule="auto"/>
        <w:rPr>
          <w:rFonts w:ascii="宋体" w:hAnsi="宋体"/>
          <w:sz w:val="24"/>
          <w:szCs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560"/>
        <w:gridCol w:w="2644"/>
        <w:gridCol w:w="2536"/>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628" w:type="dxa"/>
            <w:gridSpan w:val="5"/>
            <w:vAlign w:val="center"/>
          </w:tcPr>
          <w:p>
            <w:pPr>
              <w:tabs>
                <w:tab w:val="left" w:pos="720"/>
              </w:tabs>
              <w:wordWrap w:val="0"/>
              <w:snapToGrid w:val="0"/>
              <w:spacing w:line="360" w:lineRule="auto"/>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560" w:type="dxa"/>
            <w:vAlign w:val="center"/>
          </w:tcPr>
          <w:p>
            <w:pPr>
              <w:tabs>
                <w:tab w:val="left" w:pos="720"/>
              </w:tabs>
              <w:wordWrap w:val="0"/>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644" w:type="dxa"/>
            <w:vAlign w:val="center"/>
          </w:tcPr>
          <w:p>
            <w:pPr>
              <w:tabs>
                <w:tab w:val="left" w:pos="720"/>
              </w:tabs>
              <w:wordWrap w:val="0"/>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536" w:type="dxa"/>
            <w:vAlign w:val="center"/>
          </w:tcPr>
          <w:p>
            <w:pPr>
              <w:tabs>
                <w:tab w:val="left" w:pos="720"/>
              </w:tabs>
              <w:wordWrap w:val="0"/>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542" w:type="dxa"/>
            <w:vAlign w:val="center"/>
          </w:tcPr>
          <w:p>
            <w:pPr>
              <w:tabs>
                <w:tab w:val="left" w:pos="720"/>
              </w:tabs>
              <w:wordWrap w:val="0"/>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46" w:type="dxa"/>
            <w:vAlign w:val="center"/>
          </w:tcPr>
          <w:p>
            <w:pPr>
              <w:tabs>
                <w:tab w:val="left" w:pos="720"/>
              </w:tabs>
              <w:wordWrap w:val="0"/>
              <w:snapToGrid w:val="0"/>
              <w:spacing w:line="360" w:lineRule="auto"/>
              <w:jc w:val="center"/>
              <w:rPr>
                <w:rFonts w:ascii="宋体" w:hAnsi="宋体"/>
                <w:szCs w:val="21"/>
                <w:highlight w:val="none"/>
              </w:rPr>
            </w:pPr>
          </w:p>
        </w:tc>
        <w:tc>
          <w:tcPr>
            <w:tcW w:w="1560" w:type="dxa"/>
            <w:vAlign w:val="center"/>
          </w:tcPr>
          <w:p>
            <w:pPr>
              <w:tabs>
                <w:tab w:val="left" w:pos="720"/>
              </w:tabs>
              <w:wordWrap w:val="0"/>
              <w:snapToGrid w:val="0"/>
              <w:spacing w:line="360" w:lineRule="auto"/>
              <w:jc w:val="center"/>
              <w:rPr>
                <w:rFonts w:ascii="宋体" w:hAnsi="宋体"/>
                <w:szCs w:val="21"/>
                <w:highlight w:val="none"/>
              </w:rPr>
            </w:pPr>
          </w:p>
        </w:tc>
        <w:tc>
          <w:tcPr>
            <w:tcW w:w="2644" w:type="dxa"/>
            <w:vAlign w:val="center"/>
          </w:tcPr>
          <w:p>
            <w:pPr>
              <w:tabs>
                <w:tab w:val="left" w:pos="720"/>
              </w:tabs>
              <w:wordWrap w:val="0"/>
              <w:snapToGrid w:val="0"/>
              <w:spacing w:line="360" w:lineRule="auto"/>
              <w:jc w:val="center"/>
              <w:rPr>
                <w:rFonts w:ascii="宋体" w:hAnsi="宋体"/>
                <w:szCs w:val="21"/>
                <w:highlight w:val="none"/>
              </w:rPr>
            </w:pPr>
          </w:p>
        </w:tc>
        <w:tc>
          <w:tcPr>
            <w:tcW w:w="2536" w:type="dxa"/>
            <w:vAlign w:val="center"/>
          </w:tcPr>
          <w:p>
            <w:pPr>
              <w:tabs>
                <w:tab w:val="left" w:pos="720"/>
              </w:tabs>
              <w:wordWrap w:val="0"/>
              <w:snapToGrid w:val="0"/>
              <w:spacing w:line="360" w:lineRule="auto"/>
              <w:jc w:val="center"/>
              <w:rPr>
                <w:rFonts w:ascii="宋体" w:hAnsi="宋体"/>
                <w:szCs w:val="21"/>
                <w:highlight w:val="none"/>
              </w:rPr>
            </w:pPr>
          </w:p>
        </w:tc>
        <w:tc>
          <w:tcPr>
            <w:tcW w:w="1542" w:type="dxa"/>
            <w:vAlign w:val="center"/>
          </w:tcPr>
          <w:p>
            <w:pPr>
              <w:tabs>
                <w:tab w:val="left" w:pos="720"/>
              </w:tabs>
              <w:wordWrap w:val="0"/>
              <w:snapToGrid w:val="0"/>
              <w:spacing w:line="360" w:lineRule="auto"/>
              <w:jc w:val="center"/>
              <w:rPr>
                <w:rFonts w:ascii="宋体" w:hAnsi="宋体"/>
                <w:szCs w:val="21"/>
                <w:highlight w:val="none"/>
              </w:rPr>
            </w:pPr>
          </w:p>
        </w:tc>
      </w:tr>
    </w:tbl>
    <w:p>
      <w:pPr>
        <w:tabs>
          <w:tab w:val="left" w:pos="720"/>
        </w:tabs>
        <w:wordWrap w:val="0"/>
        <w:snapToGrid w:val="0"/>
        <w:spacing w:line="360" w:lineRule="auto"/>
        <w:rPr>
          <w:rFonts w:ascii="宋体" w:hAnsi="宋体"/>
          <w:sz w:val="24"/>
          <w:szCs w:val="24"/>
          <w:highlight w:val="none"/>
        </w:rPr>
      </w:pPr>
    </w:p>
    <w:p>
      <w:pPr>
        <w:pStyle w:val="21"/>
        <w:wordWrap w:val="0"/>
        <w:spacing w:after="0" w:line="360" w:lineRule="auto"/>
        <w:ind w:left="-2" w:leftChars="-1" w:firstLine="400" w:firstLineChars="200"/>
        <w:jc w:val="left"/>
        <w:rPr>
          <w:rFonts w:ascii="宋体" w:hAnsi="宋体" w:eastAsia="宋体"/>
          <w:szCs w:val="21"/>
          <w:highlight w:val="none"/>
        </w:rPr>
      </w:pPr>
      <w:r>
        <w:rPr>
          <w:rFonts w:hint="eastAsia" w:ascii="宋体" w:hAnsi="宋体" w:eastAsia="宋体"/>
          <w:szCs w:val="21"/>
          <w:highlight w:val="none"/>
        </w:rPr>
        <w:t>注：参与编制投标文件所有人员名单应包括如编制技术投标方案、编制各种专业工程量清单投标报价、负责清样校对、负责打印及复印等所有人员在内的人员名单。</w:t>
      </w:r>
    </w:p>
    <w:p>
      <w:pPr>
        <w:pStyle w:val="21"/>
        <w:wordWrap w:val="0"/>
        <w:spacing w:after="0" w:line="360" w:lineRule="auto"/>
        <w:ind w:left="-2" w:leftChars="-1" w:firstLineChars="175"/>
        <w:jc w:val="center"/>
        <w:rPr>
          <w:rFonts w:ascii="宋体" w:hAnsi="宋体" w:eastAsia="宋体"/>
          <w:sz w:val="24"/>
          <w:szCs w:val="24"/>
          <w:highlight w:val="none"/>
        </w:rPr>
      </w:pPr>
    </w:p>
    <w:p>
      <w:pPr>
        <w:pStyle w:val="21"/>
        <w:wordWrap w:val="0"/>
        <w:spacing w:after="0" w:line="360" w:lineRule="auto"/>
        <w:ind w:left="-2" w:leftChars="-1" w:firstLine="480" w:firstLineChars="200"/>
        <w:rPr>
          <w:rFonts w:ascii="宋体" w:hAnsi="宋体" w:eastAsia="宋体"/>
          <w:szCs w:val="21"/>
          <w:highlight w:val="none"/>
        </w:rPr>
      </w:pPr>
      <w:r>
        <w:rPr>
          <w:rFonts w:ascii="宋体" w:hAnsi="宋体" w:eastAsia="宋体"/>
          <w:sz w:val="24"/>
          <w:szCs w:val="24"/>
          <w:highlight w:val="none"/>
        </w:rPr>
        <w:br w:type="page"/>
      </w:r>
      <w:r>
        <w:rPr>
          <w:rFonts w:hint="eastAsia" w:ascii="宋体" w:hAnsi="宋体" w:eastAsia="宋体"/>
          <w:szCs w:val="21"/>
          <w:highlight w:val="none"/>
        </w:rPr>
        <w:t>附件</w:t>
      </w:r>
      <w:r>
        <w:rPr>
          <w:rFonts w:ascii="宋体" w:hAnsi="宋体" w:eastAsia="宋体"/>
          <w:szCs w:val="21"/>
          <w:highlight w:val="none"/>
        </w:rPr>
        <w:t>2</w:t>
      </w:r>
    </w:p>
    <w:p>
      <w:pPr>
        <w:pStyle w:val="21"/>
        <w:wordWrap w:val="0"/>
        <w:spacing w:after="0" w:line="360" w:lineRule="auto"/>
        <w:ind w:firstLine="0"/>
        <w:jc w:val="center"/>
        <w:rPr>
          <w:rFonts w:ascii="宋体" w:hAnsi="宋体" w:eastAsia="宋体"/>
          <w:sz w:val="32"/>
          <w:szCs w:val="32"/>
          <w:highlight w:val="none"/>
        </w:rPr>
      </w:pPr>
      <w:r>
        <w:rPr>
          <w:rFonts w:hint="eastAsia" w:ascii="宋体" w:hAnsi="宋体" w:eastAsia="宋体"/>
          <w:b/>
          <w:sz w:val="32"/>
          <w:szCs w:val="32"/>
          <w:highlight w:val="none"/>
        </w:rPr>
        <w:t>对投标文件编制的承诺</w:t>
      </w:r>
    </w:p>
    <w:p>
      <w:pPr>
        <w:pStyle w:val="21"/>
        <w:wordWrap w:val="0"/>
        <w:spacing w:after="0" w:line="360" w:lineRule="auto"/>
        <w:ind w:left="-2" w:leftChars="-1" w:firstLine="480" w:firstLineChars="200"/>
        <w:rPr>
          <w:rFonts w:ascii="宋体" w:hAnsi="宋体" w:eastAsia="宋体"/>
          <w:sz w:val="24"/>
          <w:szCs w:val="24"/>
          <w:highlight w:val="none"/>
        </w:rPr>
      </w:pPr>
      <w:r>
        <w:rPr>
          <w:rFonts w:hint="eastAsia" w:ascii="宋体" w:hAnsi="宋体" w:eastAsia="宋体"/>
          <w:sz w:val="24"/>
          <w:szCs w:val="24"/>
          <w:highlight w:val="none"/>
        </w:rPr>
        <w:t>本公司授权</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（姓名）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（身份证号：）负责对投标文件的编制及内容进行解释、说明，并承诺以下事项：</w:t>
      </w:r>
    </w:p>
    <w:p>
      <w:pPr>
        <w:pStyle w:val="21"/>
        <w:wordWrap w:val="0"/>
        <w:spacing w:after="0" w:line="360" w:lineRule="auto"/>
        <w:ind w:left="-2" w:leftChars="-1" w:firstLine="480" w:firstLineChars="20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被授权人清楚投标文件编制的具体情况，包括技术方案文件、工程量清单、以及投标文件的加密打包的理解；</w:t>
      </w:r>
    </w:p>
    <w:p>
      <w:pPr>
        <w:pStyle w:val="21"/>
        <w:wordWrap w:val="0"/>
        <w:spacing w:after="0" w:line="360" w:lineRule="auto"/>
        <w:ind w:left="-2" w:leftChars="-1" w:firstLine="480" w:firstLineChars="20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在本项目开标至评标结束前，努力确保被授权人在项目评标所在地附近；</w:t>
      </w:r>
    </w:p>
    <w:p>
      <w:pPr>
        <w:pStyle w:val="21"/>
        <w:wordWrap w:val="0"/>
        <w:spacing w:after="0" w:line="360" w:lineRule="auto"/>
        <w:ind w:left="-2" w:leftChars="-1" w:firstLine="480" w:firstLineChars="200"/>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从评标委员会要求澄清起二小时内，被授权人应如实地书面澄清。</w:t>
      </w:r>
    </w:p>
    <w:p>
      <w:pPr>
        <w:pStyle w:val="21"/>
        <w:wordWrap w:val="0"/>
        <w:spacing w:after="0" w:line="360" w:lineRule="auto"/>
        <w:ind w:left="-2" w:leftChars="-1" w:firstLine="480" w:firstLineChars="200"/>
        <w:rPr>
          <w:rFonts w:ascii="宋体" w:hAnsi="宋体" w:eastAsia="宋体"/>
          <w:sz w:val="24"/>
          <w:szCs w:val="24"/>
          <w:highlight w:val="none"/>
        </w:rPr>
      </w:pPr>
      <w:r>
        <w:rPr>
          <w:rFonts w:hint="eastAsia" w:ascii="宋体" w:hAnsi="宋体" w:eastAsia="宋体"/>
          <w:sz w:val="24"/>
          <w:szCs w:val="24"/>
          <w:highlight w:val="none"/>
        </w:rPr>
        <w:t>如由于未遵守上述承诺内容之一导致无法进行澄清的，我公司认可和接受评标委员会作出的评审结论。</w:t>
      </w:r>
    </w:p>
    <w:p>
      <w:pPr>
        <w:pStyle w:val="21"/>
        <w:wordWrap w:val="0"/>
        <w:spacing w:after="0" w:line="360" w:lineRule="auto"/>
        <w:ind w:firstLine="360" w:firstLineChars="150"/>
        <w:rPr>
          <w:rFonts w:ascii="宋体" w:hAnsi="宋体" w:eastAsia="宋体"/>
          <w:sz w:val="24"/>
          <w:szCs w:val="24"/>
          <w:highlight w:val="none"/>
        </w:rPr>
      </w:pPr>
    </w:p>
    <w:p>
      <w:pPr>
        <w:pStyle w:val="21"/>
        <w:wordWrap w:val="0"/>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附件：《投标文件编制情况》</w:t>
      </w:r>
    </w:p>
    <w:p>
      <w:pPr>
        <w:wordWrap w:val="0"/>
        <w:spacing w:line="360" w:lineRule="auto"/>
        <w:ind w:right="90" w:firstLine="3240" w:firstLineChars="1350"/>
        <w:rPr>
          <w:rFonts w:ascii="宋体" w:hAnsi="宋体"/>
          <w:sz w:val="24"/>
          <w:szCs w:val="24"/>
          <w:highlight w:val="none"/>
        </w:rPr>
      </w:pPr>
    </w:p>
    <w:p>
      <w:pPr>
        <w:wordWrap w:val="0"/>
        <w:spacing w:line="360" w:lineRule="auto"/>
        <w:ind w:right="90" w:firstLine="480" w:firstLineChars="200"/>
        <w:rPr>
          <w:rFonts w:ascii="宋体" w:hAnsi="宋体"/>
          <w:sz w:val="24"/>
          <w:szCs w:val="24"/>
          <w:highlight w:val="none"/>
        </w:rPr>
      </w:pPr>
      <w:r>
        <w:rPr>
          <w:rFonts w:hint="eastAsia" w:ascii="宋体" w:hAnsi="宋体"/>
          <w:sz w:val="24"/>
          <w:szCs w:val="24"/>
          <w:highlight w:val="none"/>
        </w:rPr>
        <w:t>投标人名称（盖单位章）：</w:t>
      </w:r>
    </w:p>
    <w:p>
      <w:pPr>
        <w:wordWrap w:val="0"/>
        <w:spacing w:line="360" w:lineRule="auto"/>
        <w:ind w:right="90" w:firstLine="480" w:firstLineChars="200"/>
        <w:rPr>
          <w:rFonts w:ascii="宋体" w:hAnsi="宋体"/>
          <w:sz w:val="24"/>
          <w:szCs w:val="24"/>
          <w:highlight w:val="none"/>
        </w:rPr>
      </w:pPr>
      <w:r>
        <w:rPr>
          <w:rFonts w:hint="eastAsia" w:ascii="宋体" w:hAnsi="宋体"/>
          <w:sz w:val="24"/>
          <w:szCs w:val="24"/>
          <w:highlight w:val="none"/>
        </w:rPr>
        <w:t>法定代表人或被授权人（签字）：</w:t>
      </w:r>
    </w:p>
    <w:p>
      <w:pPr>
        <w:wordWrap w:val="0"/>
        <w:spacing w:line="360" w:lineRule="auto"/>
        <w:ind w:right="90" w:firstLine="480" w:firstLineChars="200"/>
        <w:rPr>
          <w:rFonts w:ascii="宋体" w:hAnsi="宋体"/>
          <w:sz w:val="24"/>
          <w:szCs w:val="24"/>
          <w:highlight w:val="none"/>
        </w:rPr>
      </w:pPr>
      <w:r>
        <w:rPr>
          <w:rFonts w:hint="eastAsia" w:ascii="宋体" w:hAnsi="宋体"/>
          <w:sz w:val="24"/>
          <w:szCs w:val="24"/>
          <w:highlight w:val="none"/>
        </w:rPr>
        <w:t>日期：    年  月  日</w:t>
      </w:r>
    </w:p>
    <w:p>
      <w:pPr>
        <w:wordWrap w:val="0"/>
        <w:spacing w:line="360" w:lineRule="auto"/>
        <w:ind w:firstLine="480" w:firstLineChars="200"/>
        <w:jc w:val="left"/>
        <w:rPr>
          <w:rFonts w:ascii="宋体" w:hAnsi="宋体"/>
          <w:b/>
          <w:sz w:val="32"/>
          <w:szCs w:val="32"/>
          <w:highlight w:val="none"/>
        </w:rPr>
      </w:pPr>
      <w:r>
        <w:rPr>
          <w:rFonts w:ascii="宋体" w:hAnsi="宋体"/>
          <w:sz w:val="24"/>
          <w:szCs w:val="24"/>
          <w:highlight w:val="none"/>
        </w:rPr>
        <w:br w:type="page"/>
      </w:r>
      <w:r>
        <w:rPr>
          <w:rFonts w:hint="eastAsia" w:ascii="宋体" w:hAnsi="宋体"/>
          <w:sz w:val="24"/>
          <w:szCs w:val="24"/>
          <w:highlight w:val="none"/>
        </w:rPr>
        <w:t>附件</w:t>
      </w:r>
      <w:r>
        <w:rPr>
          <w:rFonts w:ascii="宋体" w:hAnsi="宋体"/>
          <w:sz w:val="24"/>
          <w:szCs w:val="24"/>
          <w:highlight w:val="none"/>
        </w:rPr>
        <w:t>3</w:t>
      </w:r>
    </w:p>
    <w:p>
      <w:pPr>
        <w:pStyle w:val="21"/>
        <w:wordWrap w:val="0"/>
        <w:spacing w:after="0" w:line="360" w:lineRule="auto"/>
        <w:ind w:firstLine="0"/>
        <w:jc w:val="center"/>
        <w:rPr>
          <w:rFonts w:ascii="宋体" w:hAnsi="宋体" w:eastAsia="宋体"/>
          <w:sz w:val="18"/>
          <w:szCs w:val="18"/>
          <w:highlight w:val="none"/>
        </w:rPr>
      </w:pPr>
      <w:r>
        <w:rPr>
          <w:rFonts w:hint="eastAsia" w:ascii="宋体" w:hAnsi="宋体" w:eastAsia="宋体"/>
          <w:b/>
          <w:sz w:val="32"/>
          <w:szCs w:val="32"/>
          <w:highlight w:val="none"/>
        </w:rPr>
        <w:t>投标文件编制情况</w:t>
      </w:r>
    </w:p>
    <w:p>
      <w:pPr>
        <w:pStyle w:val="21"/>
        <w:wordWrap w:val="0"/>
        <w:spacing w:after="0" w:line="360" w:lineRule="auto"/>
        <w:ind w:firstLine="480" w:firstLineChars="200"/>
        <w:rPr>
          <w:rFonts w:ascii="宋体" w:hAnsi="宋体" w:eastAsia="宋体"/>
          <w:sz w:val="24"/>
          <w:szCs w:val="24"/>
          <w:highlight w:val="none"/>
          <w:u w:val="single"/>
        </w:rPr>
      </w:pPr>
      <w:r>
        <w:rPr>
          <w:rFonts w:ascii="宋体" w:hAnsi="宋体" w:eastAsia="宋体"/>
          <w:sz w:val="24"/>
          <w:szCs w:val="24"/>
          <w:highlight w:val="none"/>
        </w:rPr>
        <w:t>1.</w:t>
      </w:r>
      <w:r>
        <w:rPr>
          <w:rFonts w:hint="eastAsia" w:ascii="宋体" w:hAnsi="宋体" w:eastAsia="宋体"/>
          <w:sz w:val="24"/>
          <w:szCs w:val="24"/>
          <w:highlight w:val="none"/>
        </w:rPr>
        <w:t>投标文件报价编制方式</w:t>
      </w:r>
      <w:r>
        <w:rPr>
          <w:rFonts w:ascii="宋体" w:hAnsi="宋体" w:eastAsia="宋体"/>
          <w:sz w:val="24"/>
          <w:szCs w:val="24"/>
          <w:highlight w:val="none"/>
        </w:rPr>
        <w:t xml:space="preserve">: </w:t>
      </w:r>
      <w:r>
        <w:rPr>
          <w:rFonts w:hint="eastAsia" w:ascii="宋体" w:hAnsi="宋体" w:eastAsia="宋体"/>
          <w:sz w:val="24"/>
          <w:szCs w:val="24"/>
          <w:highlight w:val="none"/>
        </w:rPr>
        <w:t>□自行编制的，编制的负责人：</w:t>
      </w:r>
      <w:r>
        <w:rPr>
          <w:rFonts w:hint="eastAsia" w:ascii="宋体" w:hAnsi="宋体" w:eastAsia="宋体"/>
          <w:sz w:val="24"/>
          <w:szCs w:val="24"/>
          <w:highlight w:val="none"/>
          <w:u w:val="single"/>
        </w:rPr>
        <w:t>（盖造价工程师执业专用章或全国建设工程造价员章，执业单位应与投标人一致）</w:t>
      </w:r>
      <w:r>
        <w:rPr>
          <w:rFonts w:hint="eastAsia" w:ascii="宋体" w:hAnsi="宋体" w:eastAsia="宋体"/>
          <w:sz w:val="24"/>
          <w:szCs w:val="24"/>
          <w:highlight w:val="none"/>
        </w:rPr>
        <w:t>。□委托编制的，受委托单位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编制的负责人：</w:t>
      </w:r>
      <w:r>
        <w:rPr>
          <w:rFonts w:hint="eastAsia" w:ascii="宋体" w:hAnsi="宋体" w:eastAsia="宋体"/>
          <w:sz w:val="24"/>
          <w:szCs w:val="24"/>
          <w:highlight w:val="none"/>
          <w:u w:val="single"/>
        </w:rPr>
        <w:t>（盖造价工程师执业专用章或全国建设工程造价员章，执业单位应与受委托单位一致）</w:t>
      </w:r>
      <w:r>
        <w:rPr>
          <w:rFonts w:hint="eastAsia" w:ascii="宋体" w:hAnsi="宋体" w:eastAsia="宋体"/>
          <w:sz w:val="24"/>
          <w:szCs w:val="24"/>
          <w:highlight w:val="none"/>
        </w:rPr>
        <w:t>。</w:t>
      </w:r>
    </w:p>
    <w:p>
      <w:pPr>
        <w:pStyle w:val="21"/>
        <w:wordWrap w:val="0"/>
        <w:spacing w:after="0"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投标文件加密打包的电脑情况</w:t>
      </w:r>
    </w:p>
    <w:tbl>
      <w:tblPr>
        <w:tblStyle w:val="22"/>
        <w:tblW w:w="0" w:type="auto"/>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819" w:hRule="atLeast"/>
        </w:trPr>
        <w:tc>
          <w:tcPr>
            <w:tcW w:w="8528" w:type="dxa"/>
          </w:tcPr>
          <w:p>
            <w:pPr>
              <w:pStyle w:val="21"/>
              <w:wordWrap w:val="0"/>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投标文件加密打包的电脑自有□外包□其他□</w:t>
            </w:r>
          </w:p>
          <w:p>
            <w:pPr>
              <w:pStyle w:val="21"/>
              <w:wordWrap w:val="0"/>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电脑类型</w:t>
            </w:r>
          </w:p>
          <w:p>
            <w:pPr>
              <w:pStyle w:val="21"/>
              <w:wordWrap w:val="0"/>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电脑所属单位</w:t>
            </w:r>
          </w:p>
          <w:p>
            <w:pPr>
              <w:pStyle w:val="21"/>
              <w:wordWrap w:val="0"/>
              <w:spacing w:after="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电脑所在地址（如××市××区</w:t>
            </w:r>
            <w:r>
              <w:rPr>
                <w:rFonts w:ascii="宋体" w:hAnsi="宋体" w:eastAsia="宋体"/>
                <w:sz w:val="24"/>
                <w:szCs w:val="24"/>
                <w:highlight w:val="none"/>
              </w:rPr>
              <w:t>(</w:t>
            </w:r>
            <w:r>
              <w:rPr>
                <w:rFonts w:hint="eastAsia" w:ascii="宋体" w:hAnsi="宋体" w:eastAsia="宋体"/>
                <w:sz w:val="24"/>
                <w:szCs w:val="24"/>
                <w:highlight w:val="none"/>
              </w:rPr>
              <w:t>县</w:t>
            </w:r>
            <w:r>
              <w:rPr>
                <w:rFonts w:ascii="宋体" w:hAnsi="宋体" w:eastAsia="宋体"/>
                <w:sz w:val="24"/>
                <w:szCs w:val="24"/>
                <w:highlight w:val="none"/>
              </w:rPr>
              <w:t xml:space="preserve">) </w:t>
            </w:r>
            <w:r>
              <w:rPr>
                <w:rFonts w:hint="eastAsia" w:ascii="宋体" w:hAnsi="宋体" w:eastAsia="宋体"/>
                <w:sz w:val="24"/>
                <w:szCs w:val="24"/>
                <w:highlight w:val="none"/>
              </w:rPr>
              <w:t>××街（路）××号××大厦××房）</w:t>
            </w:r>
          </w:p>
          <w:p>
            <w:pPr>
              <w:pStyle w:val="21"/>
              <w:wordWrap w:val="0"/>
              <w:spacing w:after="0" w:line="360" w:lineRule="auto"/>
              <w:ind w:firstLine="480" w:firstLineChars="200"/>
              <w:rPr>
                <w:rFonts w:ascii="宋体" w:hAnsi="宋体" w:eastAsia="宋体"/>
                <w:sz w:val="24"/>
                <w:szCs w:val="24"/>
                <w:highlight w:val="none"/>
              </w:rPr>
            </w:pPr>
          </w:p>
        </w:tc>
      </w:tr>
    </w:tbl>
    <w:p>
      <w:pPr>
        <w:wordWrap w:val="0"/>
        <w:spacing w:line="360" w:lineRule="auto"/>
        <w:rPr>
          <w:rFonts w:ascii="宋体" w:hAnsi="宋体"/>
          <w:sz w:val="24"/>
          <w:highlight w:val="none"/>
        </w:rPr>
        <w:sectPr>
          <w:pgSz w:w="11906" w:h="16838"/>
          <w:pgMar w:top="1247" w:right="1247" w:bottom="567" w:left="1247" w:header="851" w:footer="992" w:gutter="0"/>
          <w:cols w:space="720" w:num="1"/>
          <w:docGrid w:linePitch="312" w:charSpace="0"/>
        </w:sectPr>
      </w:pPr>
    </w:p>
    <w:p>
      <w:pPr>
        <w:wordWrap w:val="0"/>
        <w:spacing w:line="360" w:lineRule="auto"/>
        <w:ind w:firstLine="643" w:firstLineChars="200"/>
        <w:jc w:val="center"/>
        <w:outlineLvl w:val="1"/>
        <w:rPr>
          <w:rFonts w:ascii="宋体" w:hAnsi="宋体"/>
          <w:b/>
          <w:bCs/>
          <w:sz w:val="32"/>
          <w:szCs w:val="32"/>
          <w:highlight w:val="none"/>
        </w:rPr>
      </w:pPr>
      <w:bookmarkStart w:id="642" w:name="_Toc20858"/>
      <w:bookmarkStart w:id="643" w:name="_Toc17454911"/>
      <w:bookmarkStart w:id="644" w:name="_Toc17451663"/>
      <w:bookmarkStart w:id="645" w:name="_Toc4256"/>
      <w:bookmarkStart w:id="646" w:name="_Toc17451141"/>
      <w:bookmarkStart w:id="647" w:name="_Toc17454962"/>
      <w:bookmarkStart w:id="648" w:name="_Toc17452704"/>
      <w:bookmarkStart w:id="649" w:name="_Toc17451618"/>
      <w:bookmarkStart w:id="650" w:name="_Toc112854523"/>
      <w:bookmarkStart w:id="651" w:name="_Toc8115"/>
      <w:bookmarkStart w:id="652" w:name="_Toc17556916"/>
      <w:r>
        <w:rPr>
          <w:rFonts w:hint="eastAsia" w:ascii="宋体" w:hAnsi="宋体"/>
          <w:b/>
          <w:bCs/>
          <w:sz w:val="32"/>
          <w:szCs w:val="32"/>
          <w:highlight w:val="none"/>
        </w:rPr>
        <w:t>第九章 否决性条款汇总</w:t>
      </w:r>
      <w:bookmarkEnd w:id="642"/>
      <w:bookmarkEnd w:id="643"/>
      <w:bookmarkEnd w:id="644"/>
      <w:bookmarkEnd w:id="645"/>
      <w:bookmarkEnd w:id="646"/>
      <w:bookmarkEnd w:id="647"/>
      <w:bookmarkEnd w:id="648"/>
      <w:bookmarkEnd w:id="649"/>
      <w:bookmarkEnd w:id="650"/>
      <w:bookmarkEnd w:id="651"/>
      <w:bookmarkEnd w:id="652"/>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否决性条款指招标文件中规定的拒绝受理或者作无效标以及不合格标处理等否定投标文件效力的条款。</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一、拒绝受理投标文件的情形</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电子投标文件未在投标截止时间前完整上传并保存在广州交易集团有限公司（广州公共资源交易中心）电子评标系统且取得回执的；</w:t>
      </w:r>
      <w:r>
        <w:rPr>
          <w:rFonts w:ascii="宋体" w:hAnsi="宋体" w:cs="宋体"/>
          <w:kern w:val="0"/>
          <w:sz w:val="24"/>
          <w:szCs w:val="24"/>
          <w:highlight w:val="none"/>
        </w:rPr>
        <w:t xml:space="preserve"> </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投标文件未按招标文件要求进行电子签章，并进行加密的；</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因投标人原因造成电子投标文件未解密或逾期解密的；</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4.投标人未在投标须知前附表规定的时间内完成电子投标文件解密。超过时间未解密的投标文件将作为放弃投标处理。</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二、作无效投标的情形</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投标文件不符合招标文件评标办法中形式评审标准、资格评审标准、响应性评审标准的要求；</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项目负责人和专职安全员为同一人的；</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投标文件中的投标人、项目负责人、专职安全员与投标登记时的信息不一致的；</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第二章“投标人须知”第</w:t>
      </w:r>
      <w:r>
        <w:rPr>
          <w:rFonts w:ascii="宋体" w:hAnsi="宋体" w:cs="宋体"/>
          <w:kern w:val="0"/>
          <w:sz w:val="24"/>
          <w:szCs w:val="24"/>
          <w:highlight w:val="none"/>
        </w:rPr>
        <w:t>1.4.3</w:t>
      </w:r>
      <w:r>
        <w:rPr>
          <w:rFonts w:hint="eastAsia" w:ascii="宋体" w:hAnsi="宋体" w:cs="宋体"/>
          <w:kern w:val="0"/>
          <w:sz w:val="24"/>
          <w:szCs w:val="24"/>
          <w:highlight w:val="none"/>
        </w:rPr>
        <w:t>项规定的任何一种情形的；</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5.</w:t>
      </w:r>
      <w:r>
        <w:rPr>
          <w:rFonts w:hint="eastAsia" w:ascii="宋体" w:hAnsi="宋体" w:cs="宋体"/>
          <w:kern w:val="0"/>
          <w:sz w:val="24"/>
          <w:szCs w:val="24"/>
          <w:highlight w:val="none"/>
        </w:rPr>
        <w:t>串通投标或弄虚作假或有其他违法行为的。</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6.不按评标委员会要求澄清、说明或补正的；</w:t>
      </w:r>
    </w:p>
    <w:p>
      <w:pPr>
        <w:pStyle w:val="7"/>
        <w:wordWrap w:val="0"/>
        <w:spacing w:line="360" w:lineRule="auto"/>
        <w:ind w:firstLine="480"/>
        <w:rPr>
          <w:sz w:val="24"/>
          <w:szCs w:val="24"/>
          <w:highlight w:val="none"/>
        </w:rPr>
      </w:pPr>
      <w:r>
        <w:rPr>
          <w:rFonts w:hint="eastAsia" w:ascii="宋体" w:hAnsi="宋体" w:cs="宋体"/>
          <w:kern w:val="0"/>
          <w:sz w:val="24"/>
          <w:szCs w:val="24"/>
          <w:highlight w:val="none"/>
        </w:rPr>
        <w:t>7.</w:t>
      </w:r>
      <w:r>
        <w:rPr>
          <w:rFonts w:hint="eastAsia" w:ascii="宋体" w:hAnsi="宋体"/>
          <w:sz w:val="24"/>
          <w:szCs w:val="24"/>
          <w:highlight w:val="none"/>
        </w:rPr>
        <w:t>投标文件中的投标人、项目负责人、</w:t>
      </w:r>
      <w:r>
        <w:rPr>
          <w:rFonts w:hint="eastAsia" w:ascii="宋体" w:hAnsi="宋体" w:cs="宋体"/>
          <w:kern w:val="0"/>
          <w:sz w:val="24"/>
          <w:szCs w:val="24"/>
          <w:highlight w:val="none"/>
        </w:rPr>
        <w:t>专职</w:t>
      </w:r>
      <w:r>
        <w:rPr>
          <w:rFonts w:hint="eastAsia" w:ascii="宋体" w:hAnsi="宋体"/>
          <w:sz w:val="24"/>
          <w:szCs w:val="24"/>
          <w:highlight w:val="none"/>
        </w:rPr>
        <w:t>安全员与投标登记时的信息不一致的；</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w:t>
      </w:r>
      <w:r>
        <w:rPr>
          <w:rFonts w:ascii="宋体" w:hAnsi="宋体" w:cs="宋体"/>
          <w:kern w:val="0"/>
          <w:sz w:val="24"/>
          <w:szCs w:val="24"/>
          <w:highlight w:val="none"/>
        </w:rPr>
        <w:t>.</w:t>
      </w:r>
      <w:r>
        <w:rPr>
          <w:rFonts w:hint="eastAsia" w:ascii="宋体" w:hAnsi="宋体" w:cs="宋体"/>
          <w:kern w:val="0"/>
          <w:sz w:val="24"/>
          <w:szCs w:val="24"/>
          <w:highlight w:val="none"/>
        </w:rPr>
        <w:t>投标人的报价明显低于其他投标报价，或者低于成本警示价的报价，投标人不能合理说明或者不能提供相应证明材料的；</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w:t>
      </w:r>
      <w:r>
        <w:rPr>
          <w:rFonts w:ascii="宋体" w:hAnsi="宋体" w:cs="宋体"/>
          <w:kern w:val="0"/>
          <w:sz w:val="24"/>
          <w:szCs w:val="24"/>
          <w:highlight w:val="none"/>
        </w:rPr>
        <w:t>.</w:t>
      </w:r>
      <w:r>
        <w:rPr>
          <w:rFonts w:hint="eastAsia" w:ascii="宋体" w:hAnsi="宋体" w:cs="宋体"/>
          <w:kern w:val="0"/>
          <w:sz w:val="24"/>
          <w:szCs w:val="24"/>
          <w:highlight w:val="none"/>
        </w:rPr>
        <w:t>不对评标委员会修正后的价格进行书面确认。</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三、其他否定投标文件效力情形</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①投标人与本项目其他投标人加密打包投标文件电脑机器特征码一致的（以交易平台评标系统的检索信息为准)；</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②投标人与本项目其他投标人的投标文件工程量清单编制机器硬件信息一致的（以交易平台评标系统的检索信息为准）。</w:t>
      </w:r>
    </w:p>
    <w:p>
      <w:pPr>
        <w:widowControl/>
        <w:wordWrap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宋体" w:hAnsi="宋体" w:cs="宋体"/>
          <w:kern w:val="0"/>
          <w:sz w:val="24"/>
          <w:szCs w:val="24"/>
          <w:highlight w:val="none"/>
        </w:rPr>
      </w:pPr>
      <w:r>
        <w:rPr>
          <w:rFonts w:ascii="宋体" w:hAnsi="宋体" w:cs="宋体"/>
          <w:kern w:val="0"/>
          <w:sz w:val="24"/>
          <w:szCs w:val="24"/>
          <w:highlight w:val="none"/>
        </w:rPr>
        <w:br w:type="page"/>
      </w:r>
    </w:p>
    <w:p>
      <w:pPr>
        <w:wordWrap w:val="0"/>
        <w:spacing w:line="360" w:lineRule="auto"/>
        <w:ind w:firstLine="643" w:firstLineChars="200"/>
        <w:jc w:val="center"/>
        <w:outlineLvl w:val="1"/>
        <w:rPr>
          <w:rFonts w:ascii="宋体" w:hAnsi="宋体"/>
          <w:b/>
          <w:bCs/>
          <w:sz w:val="32"/>
          <w:szCs w:val="32"/>
          <w:highlight w:val="none"/>
        </w:rPr>
      </w:pPr>
      <w:bookmarkStart w:id="653" w:name="_Toc29473"/>
      <w:bookmarkStart w:id="654" w:name="_Toc17608"/>
      <w:bookmarkStart w:id="655" w:name="_Toc13675"/>
      <w:bookmarkStart w:id="656" w:name="_Toc17556918"/>
      <w:bookmarkStart w:id="657" w:name="_Toc17472014"/>
      <w:bookmarkStart w:id="658" w:name="_Toc112854524"/>
      <w:r>
        <w:rPr>
          <w:rFonts w:hint="eastAsia" w:ascii="宋体" w:hAnsi="宋体"/>
          <w:b/>
          <w:bCs/>
          <w:sz w:val="32"/>
          <w:szCs w:val="32"/>
          <w:highlight w:val="none"/>
        </w:rPr>
        <w:t>第十章 最高投标限价（招标控制价）</w:t>
      </w:r>
      <w:bookmarkEnd w:id="653"/>
      <w:bookmarkEnd w:id="654"/>
      <w:bookmarkEnd w:id="655"/>
    </w:p>
    <w:bookmarkEnd w:id="656"/>
    <w:bookmarkEnd w:id="657"/>
    <w:bookmarkEnd w:id="658"/>
    <w:p>
      <w:pPr>
        <w:wordWrap w:val="0"/>
        <w:spacing w:line="360" w:lineRule="auto"/>
        <w:ind w:firstLine="480" w:firstLineChars="200"/>
        <w:rPr>
          <w:rFonts w:ascii="宋体" w:hAnsi="宋体"/>
          <w:sz w:val="24"/>
          <w:highlight w:val="none"/>
        </w:rPr>
      </w:pPr>
      <w:r>
        <w:rPr>
          <w:rFonts w:hint="eastAsia" w:ascii="宋体" w:hAnsi="宋体" w:cs="宋体"/>
          <w:sz w:val="24"/>
          <w:szCs w:val="24"/>
          <w:highlight w:val="none"/>
        </w:rPr>
        <w:t>注：本章详见招标公告发布网页附件“最高投标限价公布函”</w:t>
      </w:r>
    </w:p>
    <w:p>
      <w:pPr>
        <w:wordWrap w:val="0"/>
        <w:spacing w:line="360" w:lineRule="auto"/>
        <w:ind w:firstLine="480"/>
        <w:rPr>
          <w:rFonts w:ascii="宋体" w:hAnsi="宋体"/>
          <w:sz w:val="24"/>
          <w:highlight w:val="none"/>
        </w:rPr>
      </w:pPr>
    </w:p>
    <w:p>
      <w:pPr>
        <w:wordWrap w:val="0"/>
        <w:rPr>
          <w:highlight w:val="none"/>
        </w:rPr>
      </w:pPr>
    </w:p>
    <w:sectPr>
      <w:pgSz w:w="11906" w:h="16838"/>
      <w:pgMar w:top="1247" w:right="1247" w:bottom="1247" w:left="124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Arial Unicode MS">
    <w:altName w:val="宋体"/>
    <w:panose1 w:val="020B0604020202020204"/>
    <w:charset w:val="86"/>
    <w:family w:val="swiss"/>
    <w:pitch w:val="default"/>
    <w:sig w:usb0="00000000" w:usb1="00000000" w:usb2="0000007F" w:usb3="00000000" w:csb0="203F01FF" w:csb1="DFFF0000"/>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script"/>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41</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distribu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kern w:val="0"/>
        <w:sz w:val="2"/>
        <w:szCs w:val="2"/>
      </w:rPr>
    </w:pP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2F916"/>
    <w:multiLevelType w:val="singleLevel"/>
    <w:tmpl w:val="CFA2F916"/>
    <w:lvl w:ilvl="0" w:tentative="0">
      <w:start w:val="1"/>
      <w:numFmt w:val="decimal"/>
      <w:suff w:val="nothing"/>
      <w:lvlText w:val="（%1）"/>
      <w:lvlJc w:val="left"/>
      <w:rPr>
        <w:rFonts w:cs="Times New Roman"/>
      </w:rPr>
    </w:lvl>
  </w:abstractNum>
  <w:abstractNum w:abstractNumId="1">
    <w:nsid w:val="00CDD4E2"/>
    <w:multiLevelType w:val="singleLevel"/>
    <w:tmpl w:val="00CDD4E2"/>
    <w:lvl w:ilvl="0" w:tentative="0">
      <w:start w:val="3"/>
      <w:numFmt w:val="chineseCounting"/>
      <w:suff w:val="nothing"/>
      <w:lvlText w:val="%1、"/>
      <w:lvlJc w:val="left"/>
      <w:rPr>
        <w:rFonts w:hint="eastAsia"/>
      </w:rPr>
    </w:lvl>
  </w:abstractNum>
  <w:abstractNum w:abstractNumId="2">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8"/>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 w:name="KSO_WPS_MARK_KEY" w:val="e7292582-77fc-4eee-99c9-199e7253c9db"/>
  </w:docVars>
  <w:rsids>
    <w:rsidRoot w:val="00172A27"/>
    <w:rsid w:val="00033487"/>
    <w:rsid w:val="00043B03"/>
    <w:rsid w:val="000502B2"/>
    <w:rsid w:val="00073A86"/>
    <w:rsid w:val="000C0952"/>
    <w:rsid w:val="000E13F1"/>
    <w:rsid w:val="0012139B"/>
    <w:rsid w:val="001304EC"/>
    <w:rsid w:val="00172A27"/>
    <w:rsid w:val="001A2C22"/>
    <w:rsid w:val="001D64EB"/>
    <w:rsid w:val="001F3319"/>
    <w:rsid w:val="00234DB8"/>
    <w:rsid w:val="00240AC9"/>
    <w:rsid w:val="00262677"/>
    <w:rsid w:val="0027377B"/>
    <w:rsid w:val="00286F63"/>
    <w:rsid w:val="002B77DF"/>
    <w:rsid w:val="002C0E36"/>
    <w:rsid w:val="00304477"/>
    <w:rsid w:val="003071FE"/>
    <w:rsid w:val="003147A4"/>
    <w:rsid w:val="00316439"/>
    <w:rsid w:val="003317A6"/>
    <w:rsid w:val="00350DBC"/>
    <w:rsid w:val="003908FA"/>
    <w:rsid w:val="0039621D"/>
    <w:rsid w:val="003C5CE6"/>
    <w:rsid w:val="003C7D33"/>
    <w:rsid w:val="003D115B"/>
    <w:rsid w:val="003D5E24"/>
    <w:rsid w:val="003E3A4D"/>
    <w:rsid w:val="003E6A9C"/>
    <w:rsid w:val="004952F0"/>
    <w:rsid w:val="0051317A"/>
    <w:rsid w:val="00550D59"/>
    <w:rsid w:val="005B15DD"/>
    <w:rsid w:val="005C118F"/>
    <w:rsid w:val="005E255A"/>
    <w:rsid w:val="0060339A"/>
    <w:rsid w:val="00635E27"/>
    <w:rsid w:val="00641473"/>
    <w:rsid w:val="006E6712"/>
    <w:rsid w:val="00736AA4"/>
    <w:rsid w:val="00783F99"/>
    <w:rsid w:val="00800923"/>
    <w:rsid w:val="00825A3B"/>
    <w:rsid w:val="00863C45"/>
    <w:rsid w:val="008D7EEA"/>
    <w:rsid w:val="00907E5F"/>
    <w:rsid w:val="00910F9D"/>
    <w:rsid w:val="00911705"/>
    <w:rsid w:val="00930F22"/>
    <w:rsid w:val="00946871"/>
    <w:rsid w:val="00960C53"/>
    <w:rsid w:val="00961919"/>
    <w:rsid w:val="00977351"/>
    <w:rsid w:val="00985165"/>
    <w:rsid w:val="009C1D8E"/>
    <w:rsid w:val="009D2763"/>
    <w:rsid w:val="009D6AAB"/>
    <w:rsid w:val="009E5FE1"/>
    <w:rsid w:val="00A23752"/>
    <w:rsid w:val="00A44871"/>
    <w:rsid w:val="00A5646A"/>
    <w:rsid w:val="00AA23E3"/>
    <w:rsid w:val="00B21D5F"/>
    <w:rsid w:val="00B367C7"/>
    <w:rsid w:val="00B607DE"/>
    <w:rsid w:val="00BD257D"/>
    <w:rsid w:val="00C51AC2"/>
    <w:rsid w:val="00C60824"/>
    <w:rsid w:val="00C82F4A"/>
    <w:rsid w:val="00C949C9"/>
    <w:rsid w:val="00CE4F65"/>
    <w:rsid w:val="00D8734E"/>
    <w:rsid w:val="00DA66F0"/>
    <w:rsid w:val="00DE1BCE"/>
    <w:rsid w:val="00E06551"/>
    <w:rsid w:val="00E30344"/>
    <w:rsid w:val="00E450D0"/>
    <w:rsid w:val="00E52190"/>
    <w:rsid w:val="00E92753"/>
    <w:rsid w:val="00EC1006"/>
    <w:rsid w:val="00EE6550"/>
    <w:rsid w:val="00EF7343"/>
    <w:rsid w:val="00F0073D"/>
    <w:rsid w:val="00F16F13"/>
    <w:rsid w:val="00F17669"/>
    <w:rsid w:val="00F26C08"/>
    <w:rsid w:val="00F53291"/>
    <w:rsid w:val="00F94E35"/>
    <w:rsid w:val="00FF5D5C"/>
    <w:rsid w:val="01713223"/>
    <w:rsid w:val="019F1377"/>
    <w:rsid w:val="01E339FC"/>
    <w:rsid w:val="02987109"/>
    <w:rsid w:val="02BF23B1"/>
    <w:rsid w:val="02F80C3F"/>
    <w:rsid w:val="035C2FFC"/>
    <w:rsid w:val="04E21353"/>
    <w:rsid w:val="05A56E6E"/>
    <w:rsid w:val="06ED02C3"/>
    <w:rsid w:val="071522D9"/>
    <w:rsid w:val="07323C5D"/>
    <w:rsid w:val="076529ED"/>
    <w:rsid w:val="07AC7C25"/>
    <w:rsid w:val="08652611"/>
    <w:rsid w:val="09292B70"/>
    <w:rsid w:val="09B027C7"/>
    <w:rsid w:val="09B1390D"/>
    <w:rsid w:val="0A2D1ABC"/>
    <w:rsid w:val="0A5D57DC"/>
    <w:rsid w:val="0A6C0DAA"/>
    <w:rsid w:val="0B6E5916"/>
    <w:rsid w:val="0BC85BEC"/>
    <w:rsid w:val="0C7B3AB4"/>
    <w:rsid w:val="0C916125"/>
    <w:rsid w:val="0DB05ABF"/>
    <w:rsid w:val="0DB633CC"/>
    <w:rsid w:val="0F0A1850"/>
    <w:rsid w:val="0F83474B"/>
    <w:rsid w:val="10036F54"/>
    <w:rsid w:val="10196798"/>
    <w:rsid w:val="12117034"/>
    <w:rsid w:val="125D0760"/>
    <w:rsid w:val="128325F2"/>
    <w:rsid w:val="12D9220E"/>
    <w:rsid w:val="1350701D"/>
    <w:rsid w:val="135172E5"/>
    <w:rsid w:val="138A3B81"/>
    <w:rsid w:val="13B45B7A"/>
    <w:rsid w:val="13F53CA8"/>
    <w:rsid w:val="149F50E4"/>
    <w:rsid w:val="14E1184E"/>
    <w:rsid w:val="173E13E9"/>
    <w:rsid w:val="175B41F5"/>
    <w:rsid w:val="17603979"/>
    <w:rsid w:val="186C0130"/>
    <w:rsid w:val="19457086"/>
    <w:rsid w:val="1A5B4827"/>
    <w:rsid w:val="1B7957DA"/>
    <w:rsid w:val="1B8F5E0C"/>
    <w:rsid w:val="1BE20849"/>
    <w:rsid w:val="1C3A588A"/>
    <w:rsid w:val="1C4B6BE5"/>
    <w:rsid w:val="1CA17D0D"/>
    <w:rsid w:val="1D3013B4"/>
    <w:rsid w:val="1D5531CE"/>
    <w:rsid w:val="1D7C2509"/>
    <w:rsid w:val="1EB743B6"/>
    <w:rsid w:val="1EDB7180"/>
    <w:rsid w:val="1EE4366B"/>
    <w:rsid w:val="1F323728"/>
    <w:rsid w:val="1F76179E"/>
    <w:rsid w:val="1FBB2A1A"/>
    <w:rsid w:val="201C6792"/>
    <w:rsid w:val="2032250F"/>
    <w:rsid w:val="220D61EA"/>
    <w:rsid w:val="239B05CC"/>
    <w:rsid w:val="23C814E1"/>
    <w:rsid w:val="24661642"/>
    <w:rsid w:val="25431635"/>
    <w:rsid w:val="25AA174F"/>
    <w:rsid w:val="25B37E2F"/>
    <w:rsid w:val="25F708AD"/>
    <w:rsid w:val="2616700A"/>
    <w:rsid w:val="262D4649"/>
    <w:rsid w:val="265167AD"/>
    <w:rsid w:val="26901BD9"/>
    <w:rsid w:val="26ED5E31"/>
    <w:rsid w:val="27150332"/>
    <w:rsid w:val="274E038B"/>
    <w:rsid w:val="27752A32"/>
    <w:rsid w:val="27AF15FF"/>
    <w:rsid w:val="2A010FC2"/>
    <w:rsid w:val="2B3C5CE5"/>
    <w:rsid w:val="2B595843"/>
    <w:rsid w:val="2BFE637E"/>
    <w:rsid w:val="2C414D95"/>
    <w:rsid w:val="2D4105B7"/>
    <w:rsid w:val="2DCD1279"/>
    <w:rsid w:val="2E690221"/>
    <w:rsid w:val="2E8D34B7"/>
    <w:rsid w:val="2EC13976"/>
    <w:rsid w:val="2F2755E5"/>
    <w:rsid w:val="306B4D61"/>
    <w:rsid w:val="307F0C59"/>
    <w:rsid w:val="308874A3"/>
    <w:rsid w:val="32C0264B"/>
    <w:rsid w:val="34266DEB"/>
    <w:rsid w:val="343943E5"/>
    <w:rsid w:val="346F1930"/>
    <w:rsid w:val="34AC0E36"/>
    <w:rsid w:val="353637C0"/>
    <w:rsid w:val="361645D3"/>
    <w:rsid w:val="379770AF"/>
    <w:rsid w:val="379E73FF"/>
    <w:rsid w:val="37FE0959"/>
    <w:rsid w:val="382738C3"/>
    <w:rsid w:val="393108ED"/>
    <w:rsid w:val="3A3456B5"/>
    <w:rsid w:val="3A3A16A7"/>
    <w:rsid w:val="3A7378EB"/>
    <w:rsid w:val="3A832ED8"/>
    <w:rsid w:val="3A8876E0"/>
    <w:rsid w:val="3AC302C4"/>
    <w:rsid w:val="3AD038A8"/>
    <w:rsid w:val="3BF949CE"/>
    <w:rsid w:val="3C271233"/>
    <w:rsid w:val="3DCF5114"/>
    <w:rsid w:val="3EC777CF"/>
    <w:rsid w:val="3F5F5A33"/>
    <w:rsid w:val="3FD1120B"/>
    <w:rsid w:val="401815AF"/>
    <w:rsid w:val="40E51822"/>
    <w:rsid w:val="414B4683"/>
    <w:rsid w:val="41BB0BAE"/>
    <w:rsid w:val="425F6A56"/>
    <w:rsid w:val="42CF5397"/>
    <w:rsid w:val="439D0C21"/>
    <w:rsid w:val="440649A0"/>
    <w:rsid w:val="44B837CC"/>
    <w:rsid w:val="456907A1"/>
    <w:rsid w:val="45EE34D5"/>
    <w:rsid w:val="464D0FA2"/>
    <w:rsid w:val="4732365B"/>
    <w:rsid w:val="47A21099"/>
    <w:rsid w:val="48835A5F"/>
    <w:rsid w:val="4A0A4BEE"/>
    <w:rsid w:val="4A405D06"/>
    <w:rsid w:val="4AC0133B"/>
    <w:rsid w:val="4B0E4585"/>
    <w:rsid w:val="4B1727E7"/>
    <w:rsid w:val="4B2F0070"/>
    <w:rsid w:val="4B627AFB"/>
    <w:rsid w:val="4C1573A3"/>
    <w:rsid w:val="4C657C2E"/>
    <w:rsid w:val="4C7976D3"/>
    <w:rsid w:val="4C9A63A6"/>
    <w:rsid w:val="4D6C1F2F"/>
    <w:rsid w:val="4D770E01"/>
    <w:rsid w:val="4DAF39B8"/>
    <w:rsid w:val="4DF416CF"/>
    <w:rsid w:val="4E5403C0"/>
    <w:rsid w:val="4EEE70AD"/>
    <w:rsid w:val="4F3251B1"/>
    <w:rsid w:val="4F946E97"/>
    <w:rsid w:val="4FB17404"/>
    <w:rsid w:val="501D354D"/>
    <w:rsid w:val="502068A8"/>
    <w:rsid w:val="50D27792"/>
    <w:rsid w:val="51161237"/>
    <w:rsid w:val="52063971"/>
    <w:rsid w:val="53181DCD"/>
    <w:rsid w:val="533D7674"/>
    <w:rsid w:val="53B60857"/>
    <w:rsid w:val="543C2BD1"/>
    <w:rsid w:val="551F2538"/>
    <w:rsid w:val="557355CF"/>
    <w:rsid w:val="55D330A9"/>
    <w:rsid w:val="5629688B"/>
    <w:rsid w:val="566922A5"/>
    <w:rsid w:val="568E16F9"/>
    <w:rsid w:val="56A33A09"/>
    <w:rsid w:val="56C1607C"/>
    <w:rsid w:val="56F72135"/>
    <w:rsid w:val="57142FFD"/>
    <w:rsid w:val="57174680"/>
    <w:rsid w:val="57332B48"/>
    <w:rsid w:val="57C01559"/>
    <w:rsid w:val="581F7AB3"/>
    <w:rsid w:val="5B811336"/>
    <w:rsid w:val="5BE53F27"/>
    <w:rsid w:val="5C936557"/>
    <w:rsid w:val="5D9841BD"/>
    <w:rsid w:val="5E215AAE"/>
    <w:rsid w:val="5F11740E"/>
    <w:rsid w:val="5F1F2324"/>
    <w:rsid w:val="608C1C3B"/>
    <w:rsid w:val="621243C2"/>
    <w:rsid w:val="62BF3F1E"/>
    <w:rsid w:val="637D1E5F"/>
    <w:rsid w:val="64B1537D"/>
    <w:rsid w:val="653C64F1"/>
    <w:rsid w:val="65597532"/>
    <w:rsid w:val="65FE0FE0"/>
    <w:rsid w:val="6771143E"/>
    <w:rsid w:val="686132D2"/>
    <w:rsid w:val="68CA4D43"/>
    <w:rsid w:val="6900014F"/>
    <w:rsid w:val="698C57EB"/>
    <w:rsid w:val="6A6F4E7A"/>
    <w:rsid w:val="6ACF10A2"/>
    <w:rsid w:val="6B3A3748"/>
    <w:rsid w:val="6B7D25D4"/>
    <w:rsid w:val="6B8446D7"/>
    <w:rsid w:val="6CDA2B7A"/>
    <w:rsid w:val="6DE5215B"/>
    <w:rsid w:val="6E4213C7"/>
    <w:rsid w:val="6E914001"/>
    <w:rsid w:val="6EE105E8"/>
    <w:rsid w:val="6F7774EE"/>
    <w:rsid w:val="6FD053B2"/>
    <w:rsid w:val="71ED1A66"/>
    <w:rsid w:val="71F731D0"/>
    <w:rsid w:val="725A363F"/>
    <w:rsid w:val="73BD788D"/>
    <w:rsid w:val="743F5C1A"/>
    <w:rsid w:val="744E2EA6"/>
    <w:rsid w:val="757F6BD1"/>
    <w:rsid w:val="75DD25A5"/>
    <w:rsid w:val="76A01A70"/>
    <w:rsid w:val="76A9613C"/>
    <w:rsid w:val="77763608"/>
    <w:rsid w:val="77BF52B3"/>
    <w:rsid w:val="785B505F"/>
    <w:rsid w:val="789452E1"/>
    <w:rsid w:val="78C86B37"/>
    <w:rsid w:val="78E4773D"/>
    <w:rsid w:val="7A32799C"/>
    <w:rsid w:val="7AD30E26"/>
    <w:rsid w:val="7BAF0B11"/>
    <w:rsid w:val="7BDA6ED2"/>
    <w:rsid w:val="7C34248C"/>
    <w:rsid w:val="7C766A8A"/>
    <w:rsid w:val="7DA4400F"/>
    <w:rsid w:val="7DFFC83B"/>
    <w:rsid w:val="7E9E1702"/>
    <w:rsid w:val="7F7C1FD7"/>
    <w:rsid w:val="7F7F499C"/>
    <w:rsid w:val="951751B8"/>
    <w:rsid w:val="EF2F04C4"/>
    <w:rsid w:val="F4B56352"/>
    <w:rsid w:val="F7977A52"/>
    <w:rsid w:val="F7EFEDB0"/>
    <w:rsid w:val="FA7C4D6B"/>
    <w:rsid w:val="FFB7C908"/>
    <w:rsid w:val="FFEF5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kern w:val="44"/>
      <w:sz w:val="44"/>
      <w:szCs w:val="20"/>
    </w:rPr>
  </w:style>
  <w:style w:type="paragraph" w:styleId="6">
    <w:name w:val="heading 2"/>
    <w:basedOn w:val="1"/>
    <w:next w:val="7"/>
    <w:qFormat/>
    <w:uiPriority w:val="0"/>
    <w:pPr>
      <w:keepNext/>
      <w:keepLines/>
      <w:spacing w:before="260" w:after="260" w:line="415" w:lineRule="auto"/>
      <w:jc w:val="center"/>
      <w:outlineLvl w:val="1"/>
    </w:pPr>
    <w:rPr>
      <w:rFonts w:ascii="黑体" w:hAnsi="黑体" w:eastAsia="黑体"/>
      <w:sz w:val="30"/>
      <w:szCs w:val="20"/>
    </w:rPr>
  </w:style>
  <w:style w:type="paragraph" w:styleId="8">
    <w:name w:val="heading 7"/>
    <w:basedOn w:val="1"/>
    <w:next w:val="7"/>
    <w:qFormat/>
    <w:uiPriority w:val="0"/>
    <w:pPr>
      <w:keepNext/>
      <w:keepLines/>
      <w:numPr>
        <w:ilvl w:val="6"/>
        <w:numId w:val="1"/>
      </w:numPr>
      <w:spacing w:before="240" w:after="64" w:line="320" w:lineRule="auto"/>
      <w:outlineLvl w:val="6"/>
    </w:pPr>
    <w:rPr>
      <w:rFonts w:ascii="Times New Roman" w:hAnsi="Times New Roman"/>
      <w:b/>
      <w:kern w:val="0"/>
      <w:sz w:val="20"/>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60" w:lineRule="auto"/>
      <w:ind w:left="0" w:leftChars="0" w:firstLine="420"/>
      <w:textAlignment w:val="baseline"/>
    </w:pPr>
    <w:rPr>
      <w:color w:val="000000"/>
    </w:rPr>
  </w:style>
  <w:style w:type="paragraph" w:styleId="3">
    <w:name w:val="Body Text Indent"/>
    <w:basedOn w:val="1"/>
    <w:next w:val="4"/>
    <w:qFormat/>
    <w:uiPriority w:val="0"/>
    <w:pPr>
      <w:spacing w:after="120"/>
      <w:ind w:left="420" w:leftChars="200"/>
    </w:pPr>
    <w:rPr>
      <w:rFonts w:ascii="Times New Roman" w:hAnsi="Times New Roman"/>
      <w:kern w:val="0"/>
      <w:sz w:val="24"/>
      <w:szCs w:val="20"/>
    </w:rPr>
  </w:style>
  <w:style w:type="paragraph" w:styleId="4">
    <w:name w:val="envelope return"/>
    <w:basedOn w:val="1"/>
    <w:qFormat/>
    <w:uiPriority w:val="0"/>
    <w:pPr>
      <w:snapToGrid w:val="0"/>
    </w:pPr>
    <w:rPr>
      <w:rFonts w:ascii="Arial" w:hAnsi="Arial"/>
    </w:rPr>
  </w:style>
  <w:style w:type="paragraph" w:styleId="7">
    <w:name w:val="Normal Indent"/>
    <w:basedOn w:val="1"/>
    <w:next w:val="1"/>
    <w:qFormat/>
    <w:uiPriority w:val="0"/>
    <w:pPr>
      <w:ind w:firstLine="420" w:firstLineChars="200"/>
    </w:pPr>
  </w:style>
  <w:style w:type="paragraph" w:styleId="9">
    <w:name w:val="annotation text"/>
    <w:basedOn w:val="1"/>
    <w:link w:val="27"/>
    <w:qFormat/>
    <w:uiPriority w:val="99"/>
    <w:pPr>
      <w:jc w:val="left"/>
    </w:pPr>
    <w:rPr>
      <w:rFonts w:ascii="Times New Roman" w:hAnsi="Times New Roman"/>
      <w:kern w:val="0"/>
      <w:sz w:val="20"/>
      <w:szCs w:val="20"/>
    </w:rPr>
  </w:style>
  <w:style w:type="paragraph" w:styleId="10">
    <w:name w:val="Body Text 3"/>
    <w:basedOn w:val="1"/>
    <w:qFormat/>
    <w:uiPriority w:val="0"/>
    <w:pPr>
      <w:spacing w:after="120"/>
    </w:pPr>
    <w:rPr>
      <w:rFonts w:ascii="Times New Roman" w:hAnsi="Times New Roman"/>
      <w:kern w:val="0"/>
      <w:sz w:val="16"/>
      <w:szCs w:val="20"/>
    </w:rPr>
  </w:style>
  <w:style w:type="paragraph" w:styleId="11">
    <w:name w:val="Body Text"/>
    <w:basedOn w:val="1"/>
    <w:qFormat/>
    <w:uiPriority w:val="0"/>
    <w:pPr>
      <w:spacing w:after="120"/>
    </w:pPr>
    <w:rPr>
      <w:rFonts w:ascii="Times New Roman" w:hAnsi="Times New Roman"/>
      <w:kern w:val="0"/>
      <w:sz w:val="20"/>
      <w:szCs w:val="20"/>
    </w:rPr>
  </w:style>
  <w:style w:type="paragraph" w:styleId="12">
    <w:name w:val="toc 3"/>
    <w:basedOn w:val="1"/>
    <w:next w:val="1"/>
    <w:qFormat/>
    <w:uiPriority w:val="39"/>
    <w:pPr>
      <w:ind w:left="840" w:leftChars="400"/>
    </w:pPr>
  </w:style>
  <w:style w:type="paragraph" w:styleId="13">
    <w:name w:val="Plain Text"/>
    <w:basedOn w:val="1"/>
    <w:qFormat/>
    <w:uiPriority w:val="99"/>
    <w:rPr>
      <w:rFonts w:ascii="宋体" w:hAnsi="Courier New" w:eastAsia="楷体_GB2312"/>
      <w:kern w:val="0"/>
      <w:sz w:val="24"/>
      <w:szCs w:val="20"/>
    </w:rPr>
  </w:style>
  <w:style w:type="paragraph" w:styleId="14">
    <w:name w:val="Balloon Text"/>
    <w:basedOn w:val="1"/>
    <w:link w:val="28"/>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39"/>
    <w:pPr>
      <w:tabs>
        <w:tab w:val="right" w:leader="dot" w:pos="8302"/>
      </w:tabs>
      <w:ind w:left="210"/>
      <w:jc w:val="left"/>
    </w:pPr>
    <w:rPr>
      <w:rFonts w:ascii="Times New Roman" w:hAnsi="Times New Roman"/>
      <w:smallCaps/>
      <w:sz w:val="20"/>
      <w:szCs w:val="20"/>
    </w:rPr>
  </w:style>
  <w:style w:type="paragraph" w:styleId="18">
    <w:name w:val="Body Text 2"/>
    <w:basedOn w:val="1"/>
    <w:qFormat/>
    <w:uiPriority w:val="0"/>
    <w:rPr>
      <w:rFonts w:ascii="宋体" w:hAnsi="宋体" w:eastAsia="楷体_GB2312"/>
      <w:kern w:val="0"/>
      <w:sz w:val="24"/>
      <w:szCs w:val="20"/>
      <w:u w:val="single"/>
    </w:rPr>
  </w:style>
  <w:style w:type="paragraph" w:styleId="19">
    <w:name w:val="Normal (Web)"/>
    <w:basedOn w:val="1"/>
    <w:qFormat/>
    <w:uiPriority w:val="99"/>
    <w:pPr>
      <w:widowControl/>
      <w:spacing w:before="100" w:beforeAutospacing="1" w:after="100" w:afterAutospacing="1"/>
      <w:jc w:val="left"/>
    </w:pPr>
    <w:rPr>
      <w:rFonts w:ascii="Times New Roman" w:hAnsi="Times New Roman"/>
      <w:kern w:val="0"/>
      <w:sz w:val="24"/>
      <w:szCs w:val="24"/>
    </w:rPr>
  </w:style>
  <w:style w:type="paragraph" w:styleId="20">
    <w:name w:val="annotation subject"/>
    <w:basedOn w:val="9"/>
    <w:next w:val="9"/>
    <w:link w:val="31"/>
    <w:unhideWhenUsed/>
    <w:qFormat/>
    <w:uiPriority w:val="99"/>
    <w:rPr>
      <w:rFonts w:ascii="Calibri" w:hAnsi="Calibri"/>
      <w:b/>
      <w:bCs/>
      <w:kern w:val="2"/>
      <w:sz w:val="21"/>
      <w:szCs w:val="22"/>
    </w:rPr>
  </w:style>
  <w:style w:type="paragraph" w:styleId="21">
    <w:name w:val="Body Text First Indent"/>
    <w:basedOn w:val="11"/>
    <w:qFormat/>
    <w:uiPriority w:val="0"/>
    <w:pPr>
      <w:ind w:firstLine="420"/>
    </w:pPr>
    <w:rPr>
      <w:rFonts w:eastAsia="楷体_GB2312"/>
    </w:rPr>
  </w:style>
  <w:style w:type="character" w:styleId="24">
    <w:name w:val="page number"/>
    <w:qFormat/>
    <w:uiPriority w:val="0"/>
    <w:rPr>
      <w:rFonts w:ascii="Arial" w:hAnsi="Arial" w:eastAsia="黑体" w:cs="Times New Roman"/>
      <w:kern w:val="2"/>
      <w:sz w:val="21"/>
      <w:lang w:val="en-US" w:eastAsia="zh-CN"/>
    </w:rPr>
  </w:style>
  <w:style w:type="character" w:styleId="25">
    <w:name w:val="Hyperlink"/>
    <w:qFormat/>
    <w:uiPriority w:val="99"/>
    <w:rPr>
      <w:rFonts w:ascii="Arial" w:hAnsi="Arial" w:eastAsia="黑体" w:cs="Times New Roman"/>
      <w:color w:val="0000FF"/>
      <w:kern w:val="2"/>
      <w:sz w:val="21"/>
      <w:u w:val="single"/>
      <w:lang w:val="en-US" w:eastAsia="zh-CN"/>
    </w:rPr>
  </w:style>
  <w:style w:type="character" w:styleId="26">
    <w:name w:val="annotation reference"/>
    <w:qFormat/>
    <w:uiPriority w:val="0"/>
    <w:rPr>
      <w:rFonts w:cs="Times New Roman"/>
      <w:sz w:val="21"/>
    </w:rPr>
  </w:style>
  <w:style w:type="character" w:customStyle="1" w:styleId="27">
    <w:name w:val="批注文字 字符"/>
    <w:basedOn w:val="23"/>
    <w:link w:val="9"/>
    <w:qFormat/>
    <w:uiPriority w:val="99"/>
    <w:rPr>
      <w:rFonts w:ascii="Times New Roman" w:hAnsi="Times New Roman"/>
    </w:rPr>
  </w:style>
  <w:style w:type="character" w:customStyle="1" w:styleId="28">
    <w:name w:val="批注框文本 字符"/>
    <w:basedOn w:val="23"/>
    <w:link w:val="14"/>
    <w:semiHidden/>
    <w:qFormat/>
    <w:uiPriority w:val="99"/>
    <w:rPr>
      <w:rFonts w:ascii="Calibri" w:hAnsi="Calibri"/>
      <w:kern w:val="2"/>
      <w:sz w:val="18"/>
      <w:szCs w:val="18"/>
    </w:rPr>
  </w:style>
  <w:style w:type="character" w:customStyle="1" w:styleId="29">
    <w:name w:val="页脚 字符"/>
    <w:link w:val="15"/>
    <w:qFormat/>
    <w:uiPriority w:val="99"/>
    <w:rPr>
      <w:sz w:val="18"/>
      <w:szCs w:val="18"/>
    </w:rPr>
  </w:style>
  <w:style w:type="character" w:customStyle="1" w:styleId="30">
    <w:name w:val="页眉 字符"/>
    <w:link w:val="16"/>
    <w:qFormat/>
    <w:uiPriority w:val="99"/>
    <w:rPr>
      <w:sz w:val="18"/>
      <w:szCs w:val="18"/>
    </w:rPr>
  </w:style>
  <w:style w:type="character" w:customStyle="1" w:styleId="31">
    <w:name w:val="批注主题 字符"/>
    <w:basedOn w:val="27"/>
    <w:link w:val="20"/>
    <w:semiHidden/>
    <w:qFormat/>
    <w:uiPriority w:val="99"/>
    <w:rPr>
      <w:rFonts w:ascii="Calibri" w:hAnsi="Calibri"/>
      <w:b/>
      <w:bCs/>
      <w:kern w:val="2"/>
      <w:sz w:val="21"/>
      <w:szCs w:val="22"/>
    </w:rPr>
  </w:style>
  <w:style w:type="character" w:customStyle="1" w:styleId="32">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33">
    <w:name w:val="正文2"/>
    <w:basedOn w:val="1"/>
    <w:unhideWhenUsed/>
    <w:qFormat/>
    <w:uiPriority w:val="0"/>
    <w:pPr>
      <w:ind w:firstLine="570"/>
    </w:pPr>
    <w:rPr>
      <w:rFonts w:hint="eastAsia" w:ascii="仿宋" w:hAnsi="仿宋" w:eastAsia="仿宋"/>
      <w:szCs w:val="24"/>
    </w:rPr>
  </w:style>
  <w:style w:type="paragraph" w:customStyle="1" w:styleId="34">
    <w:name w:val="修订1"/>
    <w:unhideWhenUsed/>
    <w:qFormat/>
    <w:uiPriority w:val="99"/>
    <w:rPr>
      <w:rFonts w:ascii="Calibri" w:hAnsi="Calibri" w:eastAsia="宋体" w:cs="Times New Roman"/>
      <w:kern w:val="2"/>
      <w:sz w:val="21"/>
      <w:szCs w:val="22"/>
      <w:lang w:val="en-US" w:eastAsia="zh-CN" w:bidi="ar-SA"/>
    </w:rPr>
  </w:style>
  <w:style w:type="paragraph" w:customStyle="1" w:styleId="35">
    <w:name w:val="发文落款"/>
    <w:basedOn w:val="36"/>
    <w:qFormat/>
    <w:uiPriority w:val="0"/>
    <w:pPr>
      <w:ind w:left="4094" w:right="607" w:firstLine="0"/>
      <w:jc w:val="center"/>
    </w:pPr>
    <w:rPr>
      <w:rFonts w:cs="仿宋_GB2312"/>
      <w:szCs w:val="32"/>
    </w:rPr>
  </w:style>
  <w:style w:type="paragraph" w:customStyle="1" w:styleId="3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7">
    <w:name w:val="普通 (Web)"/>
    <w:basedOn w:val="1"/>
    <w:qFormat/>
    <w:uiPriority w:val="0"/>
    <w:pPr>
      <w:widowControl/>
      <w:spacing w:before="100" w:after="100"/>
      <w:jc w:val="left"/>
    </w:pPr>
    <w:rPr>
      <w:rFonts w:ascii="Arial Unicode MS" w:hAnsi="Arial Unicode MS"/>
      <w:kern w:val="0"/>
      <w:sz w:val="24"/>
      <w:szCs w:val="20"/>
    </w:rPr>
  </w:style>
  <w:style w:type="paragraph" w:customStyle="1" w:styleId="38">
    <w:name w:val="p0"/>
    <w:basedOn w:val="1"/>
    <w:qFormat/>
    <w:uiPriority w:val="0"/>
    <w:pPr>
      <w:widowControl/>
      <w:spacing w:before="75" w:after="75"/>
      <w:jc w:val="left"/>
    </w:pPr>
    <w:rPr>
      <w:rFonts w:ascii="宋体" w:hAnsi="宋体" w:cs="宋体"/>
      <w:kern w:val="0"/>
      <w:sz w:val="24"/>
      <w:szCs w:val="24"/>
    </w:rPr>
  </w:style>
  <w:style w:type="paragraph" w:customStyle="1" w:styleId="39">
    <w:name w:val="正题"/>
    <w:basedOn w:val="1"/>
    <w:next w:val="1"/>
    <w:qFormat/>
    <w:uiPriority w:val="0"/>
    <w:pPr>
      <w:topLinePunct/>
      <w:adjustRightInd w:val="0"/>
      <w:snapToGrid w:val="0"/>
      <w:spacing w:line="360" w:lineRule="auto"/>
      <w:jc w:val="center"/>
    </w:pPr>
    <w:rPr>
      <w:rFonts w:ascii="Times New Roman" w:hAnsi="Times New Roman" w:eastAsia="黑体"/>
      <w:b/>
      <w:snapToGrid w:val="0"/>
      <w:spacing w:val="4"/>
      <w:kern w:val="0"/>
      <w:sz w:val="36"/>
      <w:szCs w:val="36"/>
    </w:rPr>
  </w:style>
  <w:style w:type="paragraph" w:customStyle="1" w:styleId="40">
    <w:name w:val="_Style 69"/>
    <w:basedOn w:val="5"/>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41">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42">
    <w:name w:val="1"/>
    <w:basedOn w:val="5"/>
    <w:qFormat/>
    <w:uiPriority w:val="0"/>
    <w:pPr>
      <w:tabs>
        <w:tab w:val="left" w:pos="5160"/>
      </w:tabs>
      <w:autoSpaceDE w:val="0"/>
      <w:autoSpaceDN w:val="0"/>
      <w:adjustRightInd w:val="0"/>
      <w:spacing w:line="420" w:lineRule="exact"/>
      <w:ind w:left="3368" w:right="3362"/>
      <w:jc w:val="center"/>
    </w:pPr>
    <w:rPr>
      <w:rFonts w:ascii="宋体"/>
      <w:b w:val="0"/>
      <w:kern w:val="0"/>
      <w:position w:val="-3"/>
      <w:sz w:val="36"/>
      <w:szCs w:val="36"/>
    </w:rPr>
  </w:style>
  <w:style w:type="paragraph" w:customStyle="1" w:styleId="43">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修订2"/>
    <w:unhideWhenUsed/>
    <w:qFormat/>
    <w:uiPriority w:val="99"/>
    <w:rPr>
      <w:rFonts w:ascii="Calibri" w:hAnsi="Calibri" w:eastAsia="宋体" w:cs="Times New Roman"/>
      <w:kern w:val="2"/>
      <w:sz w:val="21"/>
      <w:szCs w:val="22"/>
      <w:lang w:val="en-US" w:eastAsia="zh-CN" w:bidi="ar-SA"/>
    </w:rPr>
  </w:style>
  <w:style w:type="paragraph" w:customStyle="1" w:styleId="45">
    <w:name w:val="PlainText"/>
    <w:basedOn w:val="1"/>
    <w:qFormat/>
    <w:uiPriority w:val="0"/>
    <w:rPr>
      <w:rFonts w:ascii="宋体" w:hAnsi="Courier New"/>
      <w:kern w:val="0"/>
      <w:sz w:val="20"/>
      <w:szCs w:val="20"/>
    </w:rPr>
  </w:style>
  <w:style w:type="paragraph" w:customStyle="1" w:styleId="46">
    <w:name w:val="BodyText"/>
    <w:basedOn w:val="1"/>
    <w:unhideWhenUsed/>
    <w:qFormat/>
    <w:uiPriority w:val="0"/>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78</Pages>
  <Words>40192</Words>
  <Characters>42606</Characters>
  <Lines>352</Lines>
  <Paragraphs>99</Paragraphs>
  <TotalTime>24</TotalTime>
  <ScaleCrop>false</ScaleCrop>
  <LinksUpToDate>false</LinksUpToDate>
  <CharactersWithSpaces>45734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2023-12-12T09:48:00Z</dcterms:created>
  <dc:creator>吴山</dc:creator>
  <cp:lastModifiedBy>Administrator</cp:lastModifiedBy>
  <cp:lastPrinted>2023-12-06T07:14:00Z</cp:lastPrinted>
  <dcterms:modified xsi:type="dcterms:W3CDTF">2024-07-02T07:36:17Z</dcterms:modified>
  <dc:title>广氮地块管渠缺陷修复整改、清疏项目及临时管道接驳工程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164C516BA962406089C5CAA6BE427CA0_13</vt:lpwstr>
  </property>
</Properties>
</file>