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ordWrap w:val="0"/>
        <w:spacing w:line="360" w:lineRule="auto"/>
        <w:jc w:val="center"/>
        <w:rPr>
          <w:rFonts w:eastAsia="宋体"/>
          <w:b/>
          <w:sz w:val="44"/>
          <w:szCs w:val="44"/>
          <w:highlight w:val="none"/>
          <w:u w:val="none"/>
        </w:rPr>
      </w:pPr>
      <w:bookmarkStart w:id="0" w:name="_Hlk143500869"/>
    </w:p>
    <w:p>
      <w:pPr>
        <w:pStyle w:val="16"/>
        <w:wordWrap w:val="0"/>
        <w:spacing w:line="360" w:lineRule="auto"/>
        <w:jc w:val="center"/>
        <w:rPr>
          <w:rFonts w:hint="default" w:eastAsia="宋体"/>
          <w:b/>
          <w:sz w:val="44"/>
          <w:szCs w:val="44"/>
          <w:highlight w:val="none"/>
          <w:u w:val="none"/>
          <w:lang w:val="en-US" w:eastAsia="zh-CN"/>
        </w:rPr>
      </w:pPr>
      <w:r>
        <w:rPr>
          <w:rFonts w:hint="eastAsia" w:eastAsia="宋体"/>
          <w:b/>
          <w:sz w:val="44"/>
          <w:szCs w:val="44"/>
          <w:highlight w:val="none"/>
          <w:u w:val="none"/>
          <w:lang w:eastAsia="zh-CN"/>
        </w:rPr>
        <w:t>黄埔大道971号大院等5个雨污分流管道改造联合采购项目</w:t>
      </w: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wordWrap w:val="0"/>
        <w:spacing w:line="360" w:lineRule="auto"/>
        <w:jc w:val="center"/>
        <w:rPr>
          <w:rFonts w:ascii="宋体" w:hAnsi="宋体"/>
          <w:b/>
          <w:bCs/>
          <w:spacing w:val="26"/>
          <w:sz w:val="110"/>
          <w:szCs w:val="110"/>
          <w:highlight w:val="none"/>
        </w:rPr>
      </w:pPr>
      <w:r>
        <w:rPr>
          <w:rFonts w:hint="eastAsia" w:ascii="宋体" w:hAnsi="宋体"/>
          <w:b/>
          <w:bCs/>
          <w:spacing w:val="26"/>
          <w:sz w:val="110"/>
          <w:szCs w:val="110"/>
          <w:highlight w:val="none"/>
        </w:rPr>
        <w:t>招标公告</w:t>
      </w: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pStyle w:val="16"/>
        <w:wordWrap w:val="0"/>
        <w:spacing w:line="360" w:lineRule="auto"/>
        <w:jc w:val="center"/>
        <w:rPr>
          <w:rFonts w:eastAsia="宋体"/>
          <w:b/>
          <w:sz w:val="44"/>
          <w:szCs w:val="44"/>
          <w:highlight w:val="none"/>
        </w:rPr>
      </w:pPr>
    </w:p>
    <w:p>
      <w:pPr>
        <w:widowControl/>
        <w:wordWrap w:val="0"/>
        <w:spacing w:line="360" w:lineRule="auto"/>
        <w:ind w:firstLine="600" w:firstLineChars="200"/>
        <w:jc w:val="center"/>
        <w:rPr>
          <w:rFonts w:ascii="宋体" w:hAnsi="宋体"/>
          <w:sz w:val="30"/>
          <w:szCs w:val="30"/>
          <w:highlight w:val="none"/>
        </w:rPr>
      </w:pPr>
      <w:r>
        <w:rPr>
          <w:rFonts w:hint="eastAsia" w:ascii="宋体" w:hAnsi="宋体"/>
          <w:sz w:val="30"/>
          <w:szCs w:val="30"/>
          <w:highlight w:val="none"/>
        </w:rPr>
        <w:t>招标人：</w:t>
      </w:r>
      <w:r>
        <w:rPr>
          <w:rFonts w:hint="eastAsia" w:ascii="宋体" w:hAnsi="宋体"/>
          <w:sz w:val="30"/>
          <w:szCs w:val="30"/>
          <w:highlight w:val="none"/>
          <w:u w:val="single"/>
          <w:lang w:eastAsia="zh-CN"/>
        </w:rPr>
        <w:t>广州市智采资源管理服务有限公司</w:t>
      </w:r>
      <w:r>
        <w:rPr>
          <w:rFonts w:hint="eastAsia" w:ascii="宋体" w:hAnsi="宋体"/>
          <w:sz w:val="30"/>
          <w:szCs w:val="30"/>
          <w:highlight w:val="none"/>
        </w:rPr>
        <w:t>（盖单位章）</w:t>
      </w:r>
    </w:p>
    <w:p>
      <w:pPr>
        <w:pStyle w:val="2"/>
        <w:wordWrap w:val="0"/>
        <w:spacing w:after="0"/>
        <w:rPr>
          <w:rFonts w:ascii="宋体" w:hAnsi="宋体"/>
          <w:color w:val="auto"/>
          <w:sz w:val="30"/>
          <w:szCs w:val="30"/>
          <w:highlight w:val="none"/>
        </w:rPr>
      </w:pPr>
    </w:p>
    <w:bookmarkEnd w:id="0"/>
    <w:p>
      <w:pPr>
        <w:wordWrap/>
        <w:spacing w:line="240" w:lineRule="auto"/>
        <w:ind w:firstLine="0" w:firstLineChars="0"/>
        <w:jc w:val="left"/>
        <w:rPr>
          <w:rFonts w:ascii="宋体" w:hAnsi="宋体"/>
          <w:b/>
          <w:sz w:val="30"/>
          <w:szCs w:val="30"/>
          <w:highlight w:val="none"/>
        </w:rPr>
      </w:pPr>
      <w:r>
        <w:rPr>
          <w:rFonts w:ascii="宋体" w:hAnsi="宋体"/>
          <w:b/>
          <w:sz w:val="30"/>
          <w:szCs w:val="30"/>
          <w:highlight w:val="none"/>
        </w:rPr>
        <w:br w:type="page"/>
      </w:r>
    </w:p>
    <w:p>
      <w:pPr>
        <w:pStyle w:val="5"/>
        <w:pageBreakBefore/>
        <w:wordWrap w:val="0"/>
        <w:spacing w:before="0" w:after="0" w:line="360" w:lineRule="auto"/>
        <w:jc w:val="center"/>
        <w:rPr>
          <w:rFonts w:ascii="宋体" w:hAnsi="宋体" w:cs="宋体"/>
          <w:sz w:val="36"/>
          <w:szCs w:val="36"/>
          <w:highlight w:val="none"/>
        </w:rPr>
      </w:pPr>
      <w:bookmarkStart w:id="1" w:name="_Toc112854141"/>
      <w:bookmarkStart w:id="2" w:name="_Toc112854433"/>
      <w:bookmarkStart w:id="3" w:name="_Hlk128146039"/>
      <w:r>
        <w:rPr>
          <w:rFonts w:hint="eastAsia" w:ascii="宋体" w:hAnsi="宋体" w:cs="宋体"/>
          <w:sz w:val="36"/>
          <w:szCs w:val="36"/>
          <w:highlight w:val="none"/>
          <w:lang w:eastAsia="zh-CN"/>
        </w:rPr>
        <w:t>黄埔大道971号大院等5个雨污分流管道改造联合采购项目</w:t>
      </w:r>
      <w:r>
        <w:rPr>
          <w:rFonts w:hint="eastAsia" w:ascii="宋体" w:hAnsi="宋体" w:cs="宋体"/>
          <w:sz w:val="36"/>
          <w:szCs w:val="36"/>
          <w:highlight w:val="none"/>
        </w:rPr>
        <w:t>招标公告</w:t>
      </w:r>
      <w:bookmarkEnd w:id="1"/>
      <w:bookmarkEnd w:id="2"/>
    </w:p>
    <w:p>
      <w:pPr>
        <w:wordWrap w:val="0"/>
        <w:spacing w:line="360" w:lineRule="auto"/>
        <w:ind w:firstLine="482" w:firstLineChars="200"/>
        <w:rPr>
          <w:rFonts w:ascii="宋体" w:hAnsi="宋体" w:cs="宋体"/>
          <w:b/>
          <w:sz w:val="24"/>
          <w:szCs w:val="24"/>
          <w:highlight w:val="none"/>
          <w:u w:val="single"/>
        </w:rPr>
      </w:pPr>
    </w:p>
    <w:p>
      <w:pPr>
        <w:wordWrap w:val="0"/>
        <w:spacing w:line="360" w:lineRule="auto"/>
        <w:ind w:firstLine="482" w:firstLineChars="200"/>
        <w:rPr>
          <w:rFonts w:ascii="宋体" w:hAnsi="宋体" w:cs="宋体"/>
          <w:b/>
          <w:sz w:val="24"/>
          <w:highlight w:val="none"/>
          <w:u w:val="single"/>
        </w:rPr>
      </w:pPr>
      <w:r>
        <w:rPr>
          <w:rFonts w:hint="eastAsia" w:ascii="宋体" w:hAnsi="宋体" w:cs="宋体"/>
          <w:b/>
          <w:sz w:val="24"/>
          <w:szCs w:val="24"/>
          <w:highlight w:val="none"/>
          <w:u w:val="single"/>
        </w:rPr>
        <w:t>1.招标条件</w:t>
      </w:r>
    </w:p>
    <w:p>
      <w:pPr>
        <w:widowControl/>
        <w:wordWrap w:val="0"/>
        <w:spacing w:line="360" w:lineRule="auto"/>
        <w:ind w:left="239" w:leftChars="114" w:firstLine="480" w:firstLineChars="200"/>
        <w:jc w:val="left"/>
        <w:rPr>
          <w:rFonts w:ascii="宋体" w:hAnsi="宋体" w:cs="宋体"/>
          <w:sz w:val="24"/>
          <w:szCs w:val="24"/>
          <w:highlight w:val="none"/>
        </w:rPr>
      </w:pPr>
      <w:r>
        <w:rPr>
          <w:rFonts w:hint="eastAsia" w:ascii="宋体" w:hAnsi="宋体" w:cs="宋体"/>
          <w:sz w:val="24"/>
          <w:szCs w:val="24"/>
          <w:highlight w:val="none"/>
        </w:rPr>
        <w:t>根据广东省企业投资项目备案证（项目代码：2403-440112-04-01-428179、2403-440105-04-01-400513、2404-440111-17-01-168883），并且图纸和技术资料满足施工需要。项目建设单位为广州二运集团有限公司</w:t>
      </w:r>
      <w:r>
        <w:rPr>
          <w:rFonts w:hint="eastAsia" w:ascii="宋体" w:hAnsi="宋体" w:cs="宋体"/>
          <w:sz w:val="24"/>
          <w:szCs w:val="24"/>
          <w:highlight w:val="none"/>
          <w:lang w:val="en-US" w:eastAsia="zh-CN"/>
        </w:rPr>
        <w:t>和广州长运集团有限公司物业管理分公司</w:t>
      </w:r>
      <w:r>
        <w:rPr>
          <w:rFonts w:hint="eastAsia" w:ascii="宋体" w:hAnsi="宋体" w:cs="宋体"/>
          <w:sz w:val="24"/>
          <w:szCs w:val="24"/>
          <w:highlight w:val="none"/>
        </w:rPr>
        <w:t>，招标人为广州市智采资源管理服务有限公司。招标人现对</w:t>
      </w:r>
      <w:r>
        <w:rPr>
          <w:rFonts w:hint="eastAsia" w:ascii="宋体" w:hAnsi="宋体" w:cs="宋体"/>
          <w:sz w:val="24"/>
          <w:szCs w:val="24"/>
          <w:highlight w:val="none"/>
          <w:lang w:eastAsia="zh-CN"/>
        </w:rPr>
        <w:t>黄埔大道971号大院等5个雨污分流管道改造联合采购项目</w:t>
      </w:r>
      <w:r>
        <w:rPr>
          <w:rFonts w:hint="eastAsia" w:ascii="宋体" w:hAnsi="宋体" w:cs="宋体"/>
          <w:sz w:val="24"/>
          <w:szCs w:val="24"/>
          <w:highlight w:val="none"/>
        </w:rPr>
        <w:t>进行施工总承包公开招标，选定承包人。</w:t>
      </w:r>
    </w:p>
    <w:p>
      <w:pPr>
        <w:pStyle w:val="2"/>
        <w:wordWrap w:val="0"/>
        <w:spacing w:after="0"/>
        <w:ind w:firstLine="480" w:firstLineChars="200"/>
        <w:rPr>
          <w:rFonts w:ascii="宋体" w:hAnsi="宋体"/>
          <w:color w:val="auto"/>
          <w:highlight w:val="none"/>
        </w:rPr>
      </w:pP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rPr>
        <w:t>2. 项目概况与招标范围</w:t>
      </w:r>
    </w:p>
    <w:p>
      <w:pPr>
        <w:widowControl/>
        <w:wordWrap w:val="0"/>
        <w:spacing w:line="360" w:lineRule="auto"/>
        <w:ind w:firstLine="480" w:firstLineChars="200"/>
        <w:jc w:val="left"/>
        <w:rPr>
          <w:rFonts w:hint="eastAsia" w:ascii="宋体" w:hAnsi="宋体" w:eastAsia="宋体" w:cs="宋体"/>
          <w:sz w:val="24"/>
          <w:highlight w:val="none"/>
          <w:u w:val="single"/>
          <w:lang w:eastAsia="zh-CN"/>
        </w:rPr>
      </w:pPr>
      <w:r>
        <w:rPr>
          <w:rFonts w:hint="eastAsia" w:ascii="宋体" w:hAnsi="宋体" w:cs="宋体"/>
          <w:sz w:val="24"/>
          <w:szCs w:val="24"/>
          <w:highlight w:val="none"/>
        </w:rPr>
        <w:t>2.1建设地点：</w:t>
      </w:r>
      <w:r>
        <w:rPr>
          <w:rFonts w:hint="eastAsia" w:ascii="宋体" w:hAnsi="宋体" w:cs="宋体"/>
          <w:sz w:val="24"/>
          <w:highlight w:val="none"/>
          <w:u w:val="single"/>
        </w:rPr>
        <w:t>广州市黄埔区鱼珠街道黄埔大道东971号</w:t>
      </w:r>
      <w:r>
        <w:rPr>
          <w:rFonts w:hint="eastAsia" w:ascii="宋体" w:hAnsi="宋体" w:cs="宋体"/>
          <w:sz w:val="24"/>
          <w:highlight w:val="none"/>
          <w:u w:val="single"/>
          <w:lang w:eastAsia="zh-CN"/>
        </w:rPr>
        <w:t>；广州市海珠区晓港中马路132-1号，晓园北路13-27号，南华中路353号；广州市白云区太和镇广州市白云区太和镇北太路1760号白云货运站。</w:t>
      </w:r>
    </w:p>
    <w:p>
      <w:pPr>
        <w:widowControl/>
        <w:wordWrap w:val="0"/>
        <w:spacing w:line="360" w:lineRule="auto"/>
        <w:ind w:firstLine="480" w:firstLineChars="200"/>
        <w:jc w:val="left"/>
        <w:rPr>
          <w:rFonts w:hint="default" w:ascii="宋体" w:hAnsi="宋体" w:eastAsia="宋体"/>
          <w:sz w:val="24"/>
          <w:szCs w:val="24"/>
          <w:highlight w:val="none"/>
          <w:u w:val="single"/>
          <w:lang w:val="en-US" w:eastAsia="zh-CN"/>
        </w:rPr>
      </w:pPr>
      <w:r>
        <w:rPr>
          <w:rFonts w:hint="eastAsia" w:ascii="宋体" w:hAnsi="宋体" w:cs="宋体"/>
          <w:sz w:val="24"/>
          <w:szCs w:val="24"/>
          <w:highlight w:val="none"/>
        </w:rPr>
        <w:t>2.2项目规模：</w:t>
      </w:r>
      <w:r>
        <w:rPr>
          <w:rFonts w:hint="eastAsia" w:ascii="宋体" w:hAnsi="宋体"/>
          <w:sz w:val="24"/>
          <w:szCs w:val="24"/>
          <w:highlight w:val="none"/>
          <w:u w:val="single"/>
        </w:rPr>
        <w:t>黄埔大道971号大院</w:t>
      </w:r>
      <w:r>
        <w:rPr>
          <w:rFonts w:hint="eastAsia" w:ascii="宋体" w:hAnsi="宋体"/>
          <w:sz w:val="24"/>
          <w:szCs w:val="24"/>
          <w:highlight w:val="none"/>
          <w:u w:val="single"/>
          <w:lang w:eastAsia="zh-CN"/>
        </w:rPr>
        <w:t>、晓港中养老院、晓园北商铺、南华中路宝欣幼儿园、白云货运站</w:t>
      </w:r>
      <w:r>
        <w:rPr>
          <w:rFonts w:hint="eastAsia" w:ascii="宋体" w:hAnsi="宋体"/>
          <w:sz w:val="24"/>
          <w:szCs w:val="24"/>
          <w:highlight w:val="none"/>
          <w:u w:val="single"/>
          <w:lang w:val="en-US" w:eastAsia="zh-CN"/>
        </w:rPr>
        <w:t>3个雨污分流管道改造联合采购项目，建设内容为雨污分流管道改造工程。项目总投资额约为622.6万元。</w:t>
      </w:r>
    </w:p>
    <w:p>
      <w:pPr>
        <w:widowControl/>
        <w:wordWrap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2.3</w:t>
      </w:r>
      <w:r>
        <w:rPr>
          <w:rFonts w:hint="eastAsia" w:ascii="宋体" w:hAnsi="宋体" w:cs="宋体"/>
          <w:sz w:val="24"/>
          <w:szCs w:val="24"/>
          <w:highlight w:val="none"/>
          <w:u w:val="single"/>
        </w:rPr>
        <w:t>最高投标限价（招标控制价）：</w:t>
      </w:r>
      <w:r>
        <w:rPr>
          <w:rFonts w:hint="eastAsia" w:ascii="宋体" w:hAnsi="宋体" w:cs="宋体"/>
          <w:sz w:val="24"/>
          <w:szCs w:val="24"/>
          <w:highlight w:val="none"/>
          <w:u w:val="single"/>
          <w:lang w:val="en-US" w:eastAsia="zh-CN"/>
        </w:rPr>
        <w:t xml:space="preserve"> 6226162 </w:t>
      </w:r>
      <w:r>
        <w:rPr>
          <w:rFonts w:hint="eastAsia" w:ascii="宋体" w:hAnsi="宋体" w:cs="宋体"/>
          <w:sz w:val="24"/>
          <w:szCs w:val="24"/>
          <w:highlight w:val="none"/>
          <w:u w:val="single"/>
        </w:rPr>
        <w:t>元，详见投标须知前附表。</w:t>
      </w:r>
    </w:p>
    <w:p>
      <w:pPr>
        <w:wordWrap w:val="0"/>
        <w:spacing w:line="360" w:lineRule="auto"/>
        <w:ind w:firstLine="480" w:firstLineChars="200"/>
        <w:rPr>
          <w:rFonts w:hint="eastAsia"/>
          <w:highlight w:val="none"/>
          <w:lang w:eastAsia="zh-CN"/>
        </w:rPr>
      </w:pPr>
      <w:r>
        <w:rPr>
          <w:rFonts w:hint="eastAsia" w:ascii="宋体" w:hAnsi="宋体" w:cs="宋体"/>
          <w:sz w:val="24"/>
          <w:szCs w:val="24"/>
          <w:highlight w:val="none"/>
        </w:rPr>
        <w:t>2.4</w:t>
      </w:r>
      <w:r>
        <w:rPr>
          <w:rFonts w:hint="eastAsia" w:ascii="宋体" w:hAnsi="宋体" w:eastAsia="宋体" w:cs="宋体"/>
          <w:sz w:val="24"/>
          <w:szCs w:val="24"/>
          <w:highlight w:val="none"/>
        </w:rPr>
        <w:t>计划工期：</w:t>
      </w:r>
      <w:r>
        <w:rPr>
          <w:rFonts w:hint="eastAsia" w:ascii="宋体" w:hAnsi="宋体" w:eastAsia="宋体" w:cs="宋体"/>
          <w:sz w:val="24"/>
          <w:szCs w:val="24"/>
          <w:highlight w:val="none"/>
          <w:lang w:eastAsia="zh-CN"/>
        </w:rPr>
        <w:t>施工总工期:90个日历天。</w:t>
      </w:r>
    </w:p>
    <w:p>
      <w:pPr>
        <w:pStyle w:val="2"/>
        <w:rPr>
          <w:rFonts w:hint="eastAsia"/>
          <w:highlight w:val="none"/>
          <w:lang w:eastAsia="zh-CN"/>
        </w:rPr>
      </w:pP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2.5招标内容：</w:t>
      </w:r>
    </w:p>
    <w:p>
      <w:pPr>
        <w:numPr>
          <w:ilvl w:val="0"/>
          <w:numId w:val="1"/>
        </w:numPr>
        <w:wordWrap w:val="0"/>
        <w:spacing w:line="360" w:lineRule="auto"/>
        <w:ind w:firstLine="480" w:firstLineChars="200"/>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黄埔大道971号大院估算265.36万元(黄埔大道东路971号，用地面积5210.35平方米)，新建（改扩建）雨污改造管道约长809米，总建设面积约320平方米（以施工图和工程量清单为准）。</w:t>
      </w:r>
      <w:r>
        <w:rPr>
          <w:rFonts w:hint="eastAsia" w:ascii="宋体" w:hAnsi="宋体" w:cs="宋体"/>
          <w:sz w:val="24"/>
          <w:szCs w:val="24"/>
          <w:highlight w:val="none"/>
          <w:u w:val="single"/>
        </w:rPr>
        <w:t>包括新建(改扩建)管道开挖、管道敷设、路面(人行道)修复、新建集水井等配套设施。</w:t>
      </w:r>
    </w:p>
    <w:p>
      <w:pPr>
        <w:numPr>
          <w:ilvl w:val="0"/>
          <w:numId w:val="1"/>
        </w:num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晓港中养老院(晓港中马路132-1号,用地面积4871.86平方米)，晓园北商铺(晓园北路13-27号,用地面积1471.99平方米)和南华中路宝欣幼儿园(南华中路353号,用地面积1365.9平方米)，新建(改扩建)雨污改造管道约长2000米，总建设面积约4000平方米(以施工图为准)，包括新建(改扩建)管道开挖、管道敷设、路面(人行道)修复、新建集水井等配套设施。</w:t>
      </w:r>
    </w:p>
    <w:p>
      <w:pPr>
        <w:numPr>
          <w:ilvl w:val="0"/>
          <w:numId w:val="1"/>
        </w:num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白云货运站新增雨水管和污水管，并对部分雨水管和污水管进行重新接驳，规范接入市政雨污分流接入口井，施工长度约600米，雨水污水管道采用开槽埋管施工，特殊地段采用机压钢桩开槽埋管施工，白云货运站雨污分流水管管道施工项目施工完毕，需达到广州市排水单元达标建设要求</w:t>
      </w:r>
      <w:r>
        <w:rPr>
          <w:rFonts w:hint="eastAsia" w:ascii="宋体" w:hAnsi="宋体" w:cs="宋体"/>
          <w:sz w:val="24"/>
          <w:szCs w:val="24"/>
          <w:highlight w:val="none"/>
          <w:u w:val="single"/>
          <w:lang w:eastAsia="zh-CN"/>
        </w:rPr>
        <w:t>。</w:t>
      </w:r>
    </w:p>
    <w:p>
      <w:pPr>
        <w:wordWrap w:val="0"/>
        <w:spacing w:line="360" w:lineRule="auto"/>
        <w:ind w:firstLine="480" w:firstLineChars="200"/>
        <w:rPr>
          <w:rFonts w:ascii="宋体" w:hAnsi="宋体"/>
          <w:highlight w:val="none"/>
        </w:rPr>
      </w:pPr>
      <w:r>
        <w:rPr>
          <w:rFonts w:hint="eastAsia" w:ascii="宋体" w:hAnsi="宋体" w:cs="宋体"/>
          <w:sz w:val="24"/>
          <w:szCs w:val="24"/>
          <w:highlight w:val="none"/>
        </w:rPr>
        <w:t>2.6标段划分：</w:t>
      </w:r>
      <w:r>
        <w:rPr>
          <w:rFonts w:hint="eastAsia" w:ascii="宋体" w:hAnsi="宋体" w:cs="宋体"/>
          <w:sz w:val="24"/>
          <w:szCs w:val="24"/>
          <w:highlight w:val="none"/>
          <w:u w:val="single"/>
        </w:rPr>
        <w:t>1</w:t>
      </w:r>
      <w:r>
        <w:rPr>
          <w:rFonts w:hint="eastAsia" w:ascii="宋体" w:hAnsi="宋体" w:cs="宋体"/>
          <w:sz w:val="24"/>
          <w:szCs w:val="24"/>
          <w:highlight w:val="none"/>
        </w:rPr>
        <w:t>个标段。</w:t>
      </w:r>
    </w:p>
    <w:p>
      <w:pPr>
        <w:wordWrap w:val="0"/>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2.7承包方式：</w:t>
      </w:r>
      <w:r>
        <w:rPr>
          <w:rFonts w:hint="eastAsia" w:ascii="宋体" w:hAnsi="宋体" w:cs="宋体"/>
          <w:sz w:val="24"/>
          <w:szCs w:val="24"/>
          <w:highlight w:val="none"/>
          <w:u w:val="single"/>
        </w:rPr>
        <w:t>由中标人根据招标人提供的工程量清单等有关资料，结合工程现场实际情况、工程性质、工程特点等要求，包人工、包材料、包机械、包工期、包质量、包深化设计、包安全生产、包文明施工、包对本工程相关的协调及配合服务、包验收移交、包保修，同时包括成品保护、垃圾外运（按广州市的相关规定进行清运）、清洗施工现场等全部内容，达到规范验收要求。</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本工程实行以工程量清单综合单价包干，绿色施工安全防护措施费总价包干，未提及的其他任何费用均不计取。（专用条款另有约定的除外），工程量按实结算。</w:t>
      </w:r>
    </w:p>
    <w:p>
      <w:pPr>
        <w:pStyle w:val="30"/>
        <w:wordWrap w:val="0"/>
        <w:spacing w:before="0" w:after="0" w:line="360" w:lineRule="auto"/>
        <w:ind w:firstLine="482" w:firstLineChars="200"/>
        <w:rPr>
          <w:highlight w:val="none"/>
        </w:rPr>
      </w:pPr>
      <w:r>
        <w:rPr>
          <w:rFonts w:hint="eastAsia"/>
          <w:b/>
          <w:highlight w:val="none"/>
        </w:rPr>
        <w:t>3. 投标人资格要求</w:t>
      </w:r>
    </w:p>
    <w:p>
      <w:pPr>
        <w:wordWrap w:val="0"/>
        <w:spacing w:line="360" w:lineRule="auto"/>
        <w:ind w:firstLine="480" w:firstLineChars="200"/>
        <w:rPr>
          <w:rFonts w:ascii="宋体" w:hAnsi="宋体" w:cs="宋体"/>
          <w:bCs/>
          <w:sz w:val="24"/>
          <w:highlight w:val="none"/>
        </w:rPr>
      </w:pPr>
      <w:r>
        <w:rPr>
          <w:rFonts w:hint="eastAsia" w:ascii="宋体" w:hAnsi="宋体" w:cs="宋体"/>
          <w:sz w:val="24"/>
          <w:szCs w:val="24"/>
          <w:highlight w:val="none"/>
        </w:rPr>
        <w:t>3.1</w:t>
      </w:r>
      <w:r>
        <w:rPr>
          <w:rFonts w:hint="eastAsia" w:ascii="宋体" w:hAnsi="宋体" w:cs="宋体"/>
          <w:bCs/>
          <w:sz w:val="24"/>
          <w:highlight w:val="none"/>
        </w:rPr>
        <w:t>投标人应具备承担本项目施工的资质条件、能力和信誉。</w:t>
      </w:r>
    </w:p>
    <w:p>
      <w:pPr>
        <w:pStyle w:val="30"/>
        <w:wordWrap w:val="0"/>
        <w:spacing w:before="0" w:after="0" w:line="360" w:lineRule="auto"/>
        <w:ind w:firstLine="480" w:firstLineChars="200"/>
        <w:rPr>
          <w:highlight w:val="none"/>
        </w:rPr>
      </w:pPr>
      <w:r>
        <w:rPr>
          <w:rFonts w:hint="eastAsia"/>
          <w:highlight w:val="none"/>
        </w:rPr>
        <w:t>3.1.1本次招标要求申请人具有独立法人资格，需提供营业执照，投标人具有承接本工程所需的</w:t>
      </w:r>
      <w:r>
        <w:rPr>
          <w:rFonts w:hint="eastAsia"/>
          <w:b/>
          <w:bCs/>
          <w:highlight w:val="none"/>
          <w:u w:val="single"/>
        </w:rPr>
        <w:t>市政公用工程施工总承包</w:t>
      </w:r>
      <w:r>
        <w:rPr>
          <w:rFonts w:hint="eastAsia"/>
          <w:b/>
          <w:bCs/>
          <w:highlight w:val="none"/>
          <w:u w:val="single"/>
          <w:lang w:val="en-US" w:eastAsia="zh-CN"/>
        </w:rPr>
        <w:t>三</w:t>
      </w:r>
      <w:r>
        <w:rPr>
          <w:rFonts w:hint="eastAsia"/>
          <w:b/>
          <w:bCs/>
          <w:highlight w:val="none"/>
          <w:u w:val="single"/>
        </w:rPr>
        <w:t>级</w:t>
      </w:r>
      <w:r>
        <w:rPr>
          <w:rFonts w:hint="eastAsia"/>
          <w:highlight w:val="none"/>
        </w:rPr>
        <w:t>或以上级别施工总承包资质</w:t>
      </w:r>
      <w:r>
        <w:rPr>
          <w:rFonts w:ascii="宋体" w:hAnsi="宋体" w:eastAsia="宋体" w:cs="宋体"/>
          <w:sz w:val="24"/>
          <w:szCs w:val="24"/>
          <w:highlight w:val="none"/>
        </w:rPr>
        <w:t>（企业资质证书须由建设行政主管部门颁发且在有效期内的）</w:t>
      </w:r>
      <w:r>
        <w:rPr>
          <w:rFonts w:hint="eastAsia"/>
          <w:highlight w:val="none"/>
        </w:rPr>
        <w:t>。</w:t>
      </w:r>
    </w:p>
    <w:p>
      <w:pPr>
        <w:pStyle w:val="30"/>
        <w:wordWrap w:val="0"/>
        <w:spacing w:before="0" w:after="0" w:line="360" w:lineRule="auto"/>
        <w:ind w:firstLine="480" w:firstLineChars="200"/>
        <w:rPr>
          <w:highlight w:val="none"/>
        </w:rPr>
      </w:pPr>
      <w:r>
        <w:rPr>
          <w:rFonts w:hint="eastAsia"/>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highlight w:val="none"/>
          <w:lang w:eastAsia="zh-CN"/>
        </w:rPr>
        <w:t>、</w:t>
      </w:r>
      <w:r>
        <w:rPr>
          <w:rFonts w:hint="eastAsia"/>
          <w:highlight w:val="none"/>
        </w:rPr>
        <w:t>《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w:t>
      </w:r>
      <w:r>
        <w:rPr>
          <w:rFonts w:hint="eastAsia" w:ascii="宋体" w:hAnsi="宋体" w:eastAsia="宋体" w:cs="宋体"/>
          <w:color w:val="auto"/>
          <w:highlight w:val="none"/>
        </w:rPr>
        <w:t>的要求设置。</w:t>
      </w:r>
      <w:r>
        <w:rPr>
          <w:rFonts w:ascii="宋体" w:hAnsi="宋体" w:eastAsia="宋体" w:cs="宋体"/>
          <w:sz w:val="24"/>
          <w:szCs w:val="24"/>
          <w:highlight w:val="none"/>
        </w:rPr>
        <w:t>根据上述文件的要求，投标人需办理企业资质有效期延续的，应当按照相关规定及时办理。</w:t>
      </w:r>
      <w:r>
        <w:rPr>
          <w:rFonts w:hint="eastAsia" w:ascii="宋体" w:hAnsi="宋体" w:eastAsia="宋体" w:cs="宋体"/>
          <w:b/>
          <w:bCs/>
          <w:sz w:val="24"/>
          <w:szCs w:val="24"/>
          <w:highlight w:val="none"/>
        </w:rPr>
        <w:t>招标期间如行政主管部门对建设工程企业资质有效期发布新规定的，按新规定相应调整执行。</w:t>
      </w:r>
    </w:p>
    <w:p>
      <w:pPr>
        <w:pStyle w:val="30"/>
        <w:wordWrap w:val="0"/>
        <w:spacing w:before="0" w:after="0" w:line="360" w:lineRule="auto"/>
        <w:ind w:firstLine="480" w:firstLineChars="200"/>
        <w:rPr>
          <w:highlight w:val="none"/>
        </w:rPr>
      </w:pPr>
      <w:r>
        <w:rPr>
          <w:rFonts w:hint="eastAsia"/>
          <w:highlight w:val="none"/>
        </w:rPr>
        <w:t>3.1.2安全生产许可证：投标人需具有有效的建设行政主管部门颁发的安全生产许可证。</w:t>
      </w:r>
    </w:p>
    <w:p>
      <w:pPr>
        <w:pStyle w:val="30"/>
        <w:wordWrap w:val="0"/>
        <w:spacing w:before="0" w:after="0" w:line="360" w:lineRule="auto"/>
        <w:ind w:firstLine="480" w:firstLineChars="200"/>
        <w:rPr>
          <w:rFonts w:hint="eastAsia"/>
          <w:highlight w:val="none"/>
        </w:rPr>
      </w:pPr>
      <w:r>
        <w:rPr>
          <w:rFonts w:hint="eastAsia"/>
          <w:highlight w:val="none"/>
        </w:rPr>
        <w:t>3.1.3项目负责人资格：要求拟派的项目负责人需具有</w:t>
      </w:r>
      <w:r>
        <w:rPr>
          <w:rFonts w:hint="eastAsia"/>
          <w:highlight w:val="none"/>
          <w:u w:val="single"/>
        </w:rPr>
        <w:t>市政公用工程</w:t>
      </w:r>
      <w:r>
        <w:rPr>
          <w:rFonts w:hint="eastAsia"/>
          <w:bCs/>
          <w:highlight w:val="none"/>
        </w:rPr>
        <w:t>专业二级或以上</w:t>
      </w:r>
      <w:r>
        <w:rPr>
          <w:rFonts w:hint="eastAsia"/>
          <w:highlight w:val="none"/>
        </w:rPr>
        <w:t>注册建造师，为投标申请人本企业信息登记中的在册人员。同时具有建设行政主管部门颁发的安全培训考核合格证（B类）,或建筑施工企业项目负责人安全生产考核合格证书。</w:t>
      </w:r>
    </w:p>
    <w:p>
      <w:pPr>
        <w:pStyle w:val="30"/>
        <w:wordWrap w:val="0"/>
        <w:spacing w:before="0" w:after="0" w:line="360" w:lineRule="auto"/>
        <w:ind w:firstLine="480" w:firstLineChars="200"/>
        <w:rPr>
          <w:rFonts w:hint="eastAsia"/>
          <w:highlight w:val="none"/>
        </w:rPr>
      </w:pPr>
      <w:r>
        <w:rPr>
          <w:rFonts w:hint="eastAsia"/>
          <w:highlight w:val="none"/>
        </w:rPr>
        <w:t>注：①根据广东省住建厅《关于明确二级建造师注册执业有关问题的通知》(粤建市函[2023]469号)，二级建造师应在考试取得执业资格的省、自治区、直辖市申请注册，二级建造师可随注册企业在全国范围内执业。投标人应提供有效的二级建造师执业资格证书或提供省建设执业资格注册中心“广东省二级注册建造师、二级注册结构工程师、二级注册建筑师注册管理信息系统”上有效的电子注册证书。</w:t>
      </w:r>
    </w:p>
    <w:p>
      <w:pPr>
        <w:pStyle w:val="30"/>
        <w:wordWrap w:val="0"/>
        <w:spacing w:before="0" w:after="0"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before="55" w:line="378" w:lineRule="auto"/>
        <w:ind w:left="19" w:right="105" w:firstLine="481"/>
        <w:rPr>
          <w:rFonts w:ascii="宋体" w:hAnsi="宋体" w:eastAsia="宋体" w:cs="宋体"/>
          <w:sz w:val="24"/>
          <w:szCs w:val="24"/>
          <w:highlight w:val="none"/>
        </w:rPr>
      </w:pPr>
      <w:r>
        <w:rPr>
          <w:rFonts w:ascii="宋体" w:hAnsi="宋体" w:eastAsia="宋体" w:cs="宋体"/>
          <w:sz w:val="24"/>
          <w:szCs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30"/>
        <w:wordWrap w:val="0"/>
        <w:spacing w:before="0" w:after="0" w:line="360" w:lineRule="auto"/>
        <w:ind w:firstLine="480" w:firstLineChars="200"/>
        <w:rPr>
          <w:highlight w:val="none"/>
        </w:rPr>
      </w:pPr>
      <w:r>
        <w:rPr>
          <w:rFonts w:hint="eastAsia"/>
          <w:highlight w:val="none"/>
        </w:rPr>
        <w:t>②项目负责人在任职期间不得担任专职安全员，项目专职安全员在任职期间也不得担任项目负责人，项目负责人和</w:t>
      </w:r>
      <w:r>
        <w:rPr>
          <w:rFonts w:hint="eastAsia"/>
          <w:highlight w:val="none"/>
          <w:u w:val="single"/>
        </w:rPr>
        <w:t>专职安全员</w:t>
      </w:r>
      <w:r>
        <w:rPr>
          <w:rFonts w:hint="eastAsia"/>
          <w:highlight w:val="none"/>
        </w:rPr>
        <w:t>不为同一人。</w:t>
      </w:r>
    </w:p>
    <w:p>
      <w:pPr>
        <w:pStyle w:val="30"/>
        <w:wordWrap w:val="0"/>
        <w:spacing w:before="0" w:after="0" w:line="360" w:lineRule="auto"/>
        <w:ind w:firstLine="480" w:firstLineChars="200"/>
        <w:rPr>
          <w:highlight w:val="none"/>
        </w:rPr>
      </w:pPr>
      <w:r>
        <w:rPr>
          <w:rFonts w:hint="eastAsia"/>
          <w:bCs/>
          <w:highlight w:val="none"/>
        </w:rPr>
        <w:t>③投标人拟派的项目负责人应未被广州公共资源交易中心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pPr>
        <w:pStyle w:val="30"/>
        <w:wordWrap w:val="0"/>
        <w:spacing w:before="0" w:after="0" w:line="360" w:lineRule="auto"/>
        <w:ind w:firstLine="480" w:firstLineChars="200"/>
        <w:rPr>
          <w:highlight w:val="none"/>
        </w:rPr>
      </w:pPr>
      <w:r>
        <w:rPr>
          <w:rFonts w:hint="eastAsia"/>
          <w:highlight w:val="none"/>
        </w:rPr>
        <w:t>3.1.4专职安全员资格要求：专职安全员不少于</w:t>
      </w:r>
      <w:r>
        <w:rPr>
          <w:rFonts w:hint="eastAsia"/>
          <w:color w:val="auto"/>
          <w:highlight w:val="none"/>
          <w:lang w:val="en-US" w:eastAsia="zh-CN"/>
        </w:rPr>
        <w:t>1</w:t>
      </w:r>
      <w:r>
        <w:rPr>
          <w:rFonts w:hint="eastAsia"/>
          <w:highlight w:val="none"/>
        </w:rPr>
        <w:t>人，专职安全员资格要求：应具有有效的建设行政主管部门颁发的安全生产考核合格证书（C类）或建筑施工企业专职安全生产管理人员安全生产考核合格证书（C3类），专职安全员和项目负责人不得为同一人。</w:t>
      </w:r>
    </w:p>
    <w:p>
      <w:pPr>
        <w:pStyle w:val="2"/>
        <w:wordWrap w:val="0"/>
        <w:spacing w:after="0"/>
        <w:ind w:firstLine="480" w:firstLineChars="200"/>
        <w:rPr>
          <w:rFonts w:ascii="宋体" w:hAnsi="宋体"/>
          <w:color w:val="auto"/>
          <w:highlight w:val="none"/>
        </w:rPr>
      </w:pPr>
      <w:r>
        <w:rPr>
          <w:rFonts w:hint="eastAsia" w:ascii="宋体" w:hAnsi="宋体" w:cs="宋体"/>
          <w:color w:val="auto"/>
          <w:highlight w:val="none"/>
        </w:rPr>
        <w:t xml:space="preserve">3.1.5 </w:t>
      </w:r>
      <w:r>
        <w:rPr>
          <w:rFonts w:hint="eastAsia" w:ascii="宋体" w:hAnsi="宋体" w:cs="宋体"/>
          <w:color w:val="auto"/>
          <w:szCs w:val="24"/>
          <w:highlight w:val="none"/>
        </w:rPr>
        <w:t>类似业绩要求：无。</w:t>
      </w:r>
    </w:p>
    <w:p>
      <w:pPr>
        <w:pStyle w:val="30"/>
        <w:wordWrap w:val="0"/>
        <w:spacing w:before="0" w:after="0" w:line="360" w:lineRule="auto"/>
        <w:ind w:firstLine="480" w:firstLineChars="200"/>
        <w:rPr>
          <w:highlight w:val="none"/>
        </w:rPr>
      </w:pPr>
      <w:r>
        <w:rPr>
          <w:rFonts w:hint="eastAsia"/>
          <w:highlight w:val="none"/>
        </w:rPr>
        <w:t>3.1.6 提交社保文件的要求：投标申请人须保证授权的委托代理人及项目部主要组成人员（项目负责人、专职安全员）均为本单位的正式职工，必须具有离投标截止时间</w:t>
      </w:r>
      <w:r>
        <w:rPr>
          <w:rFonts w:hint="eastAsia"/>
          <w:highlight w:val="none"/>
          <w:lang w:val="zh-CN"/>
        </w:rPr>
        <w:t>最近</w:t>
      </w:r>
      <w:r>
        <w:rPr>
          <w:rFonts w:hint="eastAsia"/>
          <w:highlight w:val="none"/>
        </w:rPr>
        <w:t>1</w:t>
      </w:r>
      <w:r>
        <w:rPr>
          <w:rFonts w:hint="eastAsia"/>
          <w:highlight w:val="none"/>
          <w:lang w:val="zh-CN"/>
        </w:rPr>
        <w:t>个月（时间为：</w:t>
      </w:r>
      <w:r>
        <w:rPr>
          <w:rFonts w:hint="eastAsia"/>
          <w:highlight w:val="none"/>
          <w:u w:val="single"/>
        </w:rPr>
        <w:t>202</w:t>
      </w:r>
      <w:r>
        <w:rPr>
          <w:rFonts w:hint="eastAsia"/>
          <w:highlight w:val="none"/>
          <w:u w:val="single"/>
          <w:lang w:val="en-US" w:eastAsia="zh-CN"/>
        </w:rPr>
        <w:t>4</w:t>
      </w:r>
      <w:r>
        <w:rPr>
          <w:rFonts w:hint="eastAsia"/>
          <w:highlight w:val="none"/>
        </w:rPr>
        <w:t>年</w:t>
      </w:r>
      <w:r>
        <w:rPr>
          <w:rFonts w:hint="eastAsia"/>
          <w:highlight w:val="none"/>
          <w:u w:val="single"/>
          <w:lang w:val="en-US" w:eastAsia="zh-CN"/>
        </w:rPr>
        <w:t xml:space="preserve"> 06</w:t>
      </w:r>
      <w:bookmarkStart w:id="4" w:name="_GoBack"/>
      <w:bookmarkEnd w:id="4"/>
      <w:r>
        <w:rPr>
          <w:rFonts w:hint="eastAsia"/>
          <w:highlight w:val="none"/>
          <w:u w:val="single"/>
          <w:lang w:val="en-US" w:eastAsia="zh-CN"/>
        </w:rPr>
        <w:t xml:space="preserve"> </w:t>
      </w:r>
      <w:r>
        <w:rPr>
          <w:rFonts w:hint="eastAsia"/>
          <w:highlight w:val="none"/>
        </w:rPr>
        <w:t>月</w:t>
      </w:r>
      <w:r>
        <w:rPr>
          <w:rFonts w:hint="eastAsia"/>
          <w:highlight w:val="none"/>
          <w:lang w:val="zh-CN"/>
        </w:rPr>
        <w:t>）</w:t>
      </w:r>
      <w:r>
        <w:rPr>
          <w:rFonts w:hint="eastAsia"/>
          <w:highlight w:val="none"/>
        </w:rPr>
        <w:t>在本单位交纳的社保证明文件（以加盖社会保险基金管理中心印章的《投保单》或《社会保险参保人员证明》资料为准）。</w:t>
      </w:r>
    </w:p>
    <w:p>
      <w:pPr>
        <w:pStyle w:val="30"/>
        <w:wordWrap w:val="0"/>
        <w:spacing w:before="0" w:after="0" w:line="360" w:lineRule="auto"/>
        <w:ind w:firstLine="480" w:firstLineChars="200"/>
        <w:rPr>
          <w:highlight w:val="none"/>
        </w:rPr>
      </w:pPr>
      <w:r>
        <w:rPr>
          <w:rFonts w:hint="eastAsia"/>
          <w:highlight w:val="none"/>
        </w:rPr>
        <w:t>3.1.7投标人不得存在下列情形之一（投标人须在投标文件中就有关内容做出声明，除非另有要求，不需要在投标文件中提供证明材料）：</w:t>
      </w:r>
    </w:p>
    <w:p>
      <w:pPr>
        <w:pStyle w:val="30"/>
        <w:wordWrap w:val="0"/>
        <w:spacing w:before="0" w:after="0" w:line="360" w:lineRule="auto"/>
        <w:ind w:firstLine="480" w:firstLineChars="200"/>
        <w:rPr>
          <w:highlight w:val="none"/>
        </w:rPr>
      </w:pPr>
      <w:r>
        <w:rPr>
          <w:rFonts w:hint="eastAsia"/>
          <w:highlight w:val="none"/>
        </w:rPr>
        <w:t>（1）为招标人不具有独立法人资格的附属机构（单位）；</w:t>
      </w:r>
    </w:p>
    <w:p>
      <w:pPr>
        <w:pStyle w:val="30"/>
        <w:wordWrap w:val="0"/>
        <w:spacing w:before="0" w:after="0" w:line="360" w:lineRule="auto"/>
        <w:ind w:firstLine="480" w:firstLineChars="200"/>
        <w:rPr>
          <w:highlight w:val="none"/>
        </w:rPr>
      </w:pPr>
      <w:r>
        <w:rPr>
          <w:rFonts w:hint="eastAsia"/>
          <w:highlight w:val="none"/>
        </w:rPr>
        <w:t>（2）为本次招标项目前期准备提供设计或咨询服务的；</w:t>
      </w:r>
    </w:p>
    <w:p>
      <w:pPr>
        <w:pStyle w:val="30"/>
        <w:wordWrap w:val="0"/>
        <w:spacing w:before="0" w:after="0" w:line="360" w:lineRule="auto"/>
        <w:ind w:firstLine="480" w:firstLineChars="200"/>
        <w:rPr>
          <w:highlight w:val="none"/>
        </w:rPr>
      </w:pPr>
      <w:r>
        <w:rPr>
          <w:rFonts w:hint="eastAsia"/>
          <w:highlight w:val="none"/>
        </w:rPr>
        <w:t>（3）为本次招标项目的监理人；</w:t>
      </w:r>
    </w:p>
    <w:p>
      <w:pPr>
        <w:pStyle w:val="30"/>
        <w:wordWrap w:val="0"/>
        <w:spacing w:before="0" w:after="0" w:line="360" w:lineRule="auto"/>
        <w:ind w:firstLine="480" w:firstLineChars="200"/>
        <w:rPr>
          <w:highlight w:val="none"/>
        </w:rPr>
      </w:pPr>
      <w:r>
        <w:rPr>
          <w:rFonts w:hint="eastAsia"/>
          <w:highlight w:val="none"/>
        </w:rPr>
        <w:t>（4）为本次招标项目的代建人；</w:t>
      </w:r>
    </w:p>
    <w:p>
      <w:pPr>
        <w:pStyle w:val="30"/>
        <w:wordWrap w:val="0"/>
        <w:spacing w:before="0" w:after="0" w:line="360" w:lineRule="auto"/>
        <w:ind w:firstLine="480" w:firstLineChars="200"/>
        <w:rPr>
          <w:highlight w:val="none"/>
        </w:rPr>
      </w:pPr>
      <w:r>
        <w:rPr>
          <w:rFonts w:hint="eastAsia"/>
          <w:highlight w:val="none"/>
        </w:rPr>
        <w:t>（5）为本次招标项目提供招标代理服务的；</w:t>
      </w:r>
    </w:p>
    <w:p>
      <w:pPr>
        <w:pStyle w:val="30"/>
        <w:wordWrap w:val="0"/>
        <w:spacing w:before="0" w:after="0" w:line="360" w:lineRule="auto"/>
        <w:ind w:firstLine="480" w:firstLineChars="200"/>
        <w:rPr>
          <w:highlight w:val="none"/>
        </w:rPr>
      </w:pPr>
      <w:r>
        <w:rPr>
          <w:rFonts w:hint="eastAsia"/>
          <w:highlight w:val="none"/>
        </w:rPr>
        <w:t>（6）与本次招标项目的监理人或代建人或招标代理机构同为一个法定代表人的；</w:t>
      </w:r>
    </w:p>
    <w:p>
      <w:pPr>
        <w:pStyle w:val="30"/>
        <w:wordWrap w:val="0"/>
        <w:spacing w:before="0" w:after="0" w:line="360" w:lineRule="auto"/>
        <w:ind w:firstLine="480" w:firstLineChars="200"/>
        <w:rPr>
          <w:highlight w:val="none"/>
        </w:rPr>
      </w:pPr>
      <w:r>
        <w:rPr>
          <w:rFonts w:hint="eastAsia"/>
          <w:highlight w:val="none"/>
        </w:rPr>
        <w:t>（7）与本次招标项目的监理人或代建人或招标代理机构相互控股或参股的；</w:t>
      </w:r>
    </w:p>
    <w:p>
      <w:pPr>
        <w:pStyle w:val="30"/>
        <w:wordWrap w:val="0"/>
        <w:spacing w:before="0" w:after="0" w:line="360" w:lineRule="auto"/>
        <w:ind w:firstLine="480" w:firstLineChars="200"/>
        <w:rPr>
          <w:highlight w:val="none"/>
        </w:rPr>
      </w:pPr>
      <w:r>
        <w:rPr>
          <w:rFonts w:hint="eastAsia"/>
          <w:highlight w:val="none"/>
        </w:rPr>
        <w:t>（8）与本次招标项目的监理人或代建人或招标代理机构相互任职或工作的；</w:t>
      </w:r>
    </w:p>
    <w:p>
      <w:pPr>
        <w:pStyle w:val="30"/>
        <w:wordWrap w:val="0"/>
        <w:spacing w:before="0" w:after="0" w:line="360" w:lineRule="auto"/>
        <w:ind w:firstLine="480" w:firstLineChars="200"/>
        <w:rPr>
          <w:highlight w:val="none"/>
        </w:rPr>
      </w:pPr>
      <w:r>
        <w:rPr>
          <w:rFonts w:hint="eastAsia"/>
          <w:highlight w:val="none"/>
        </w:rPr>
        <w:t>（9）被责令停业的；</w:t>
      </w:r>
    </w:p>
    <w:p>
      <w:pPr>
        <w:pStyle w:val="30"/>
        <w:wordWrap w:val="0"/>
        <w:spacing w:before="0" w:after="0" w:line="360" w:lineRule="auto"/>
        <w:ind w:firstLine="480" w:firstLineChars="200"/>
        <w:rPr>
          <w:highlight w:val="none"/>
        </w:rPr>
      </w:pPr>
      <w:r>
        <w:rPr>
          <w:rFonts w:hint="eastAsia"/>
          <w:highlight w:val="none"/>
        </w:rPr>
        <w:t>（10）被暂停或取消投标资格的；</w:t>
      </w:r>
    </w:p>
    <w:p>
      <w:pPr>
        <w:pStyle w:val="30"/>
        <w:wordWrap w:val="0"/>
        <w:spacing w:before="0" w:after="0" w:line="360" w:lineRule="auto"/>
        <w:ind w:firstLine="480" w:firstLineChars="200"/>
        <w:rPr>
          <w:highlight w:val="none"/>
        </w:rPr>
      </w:pPr>
      <w:r>
        <w:rPr>
          <w:rFonts w:hint="eastAsia"/>
          <w:highlight w:val="none"/>
        </w:rPr>
        <w:t>（11）财产被接管或冻结的；</w:t>
      </w:r>
    </w:p>
    <w:p>
      <w:pPr>
        <w:pStyle w:val="30"/>
        <w:wordWrap w:val="0"/>
        <w:spacing w:before="0" w:after="0" w:line="360" w:lineRule="auto"/>
        <w:ind w:firstLine="480" w:firstLineChars="200"/>
        <w:rPr>
          <w:highlight w:val="none"/>
        </w:rPr>
      </w:pPr>
      <w:r>
        <w:rPr>
          <w:rFonts w:hint="eastAsia"/>
          <w:highlight w:val="none"/>
        </w:rPr>
        <w:t>（12）单位负责人为同一人或者存在控股、管理关系的不同单位，同时参加本招标项目投标。</w:t>
      </w:r>
    </w:p>
    <w:p>
      <w:pPr>
        <w:pStyle w:val="30"/>
        <w:wordWrap w:val="0"/>
        <w:spacing w:before="0" w:after="0" w:line="360" w:lineRule="auto"/>
        <w:ind w:firstLine="480" w:firstLineChars="200"/>
        <w:rPr>
          <w:highlight w:val="none"/>
        </w:rPr>
      </w:pPr>
      <w:r>
        <w:rPr>
          <w:rFonts w:hint="eastAsia"/>
          <w:highlight w:val="none"/>
        </w:rPr>
        <w:t>（13）投标人、投标人主要负责人及拟投入人员在招标投标、合同履行、安全事故方面因违反有关法律、法规规定受到相关行政管理部门的行政处罚，被取消投标资格的。</w:t>
      </w:r>
    </w:p>
    <w:p>
      <w:pPr>
        <w:pStyle w:val="30"/>
        <w:wordWrap w:val="0"/>
        <w:spacing w:before="0" w:after="0" w:line="360" w:lineRule="auto"/>
        <w:ind w:firstLine="480" w:firstLineChars="200"/>
        <w:rPr>
          <w:highlight w:val="none"/>
        </w:rPr>
      </w:pPr>
      <w:r>
        <w:rPr>
          <w:rFonts w:hint="eastAsia"/>
          <w:highlight w:val="none"/>
        </w:rPr>
        <w:t>3.1.8投标人未被纳入“失信联合惩戒名单”，“失信联合惩戒名单”以“信用广州”网站公布的“黑名单”为准。</w:t>
      </w:r>
    </w:p>
    <w:p>
      <w:pPr>
        <w:pStyle w:val="30"/>
        <w:wordWrap w:val="0"/>
        <w:spacing w:before="0" w:after="0" w:line="360" w:lineRule="auto"/>
        <w:ind w:left="181" w:leftChars="86" w:firstLine="480" w:firstLineChars="200"/>
        <w:rPr>
          <w:highlight w:val="none"/>
        </w:rPr>
      </w:pPr>
      <w:r>
        <w:rPr>
          <w:rFonts w:hint="eastAsia"/>
          <w:highlight w:val="none"/>
        </w:rPr>
        <w:t>注：①以投标人提供自本项目招标公告发布之日起至本项目投标截止日期止任一天在“信用广州”网站查询的截图为准。</w:t>
      </w:r>
    </w:p>
    <w:p>
      <w:pPr>
        <w:pStyle w:val="30"/>
        <w:wordWrap w:val="0"/>
        <w:spacing w:before="0" w:after="0" w:line="360" w:lineRule="auto"/>
        <w:ind w:left="181" w:leftChars="86" w:firstLine="480" w:firstLineChars="200"/>
        <w:rPr>
          <w:highlight w:val="none"/>
        </w:rPr>
      </w:pPr>
      <w:r>
        <w:rPr>
          <w:rFonts w:hint="eastAsia"/>
          <w:highlight w:val="none"/>
        </w:rPr>
        <w:t>②查询截图的路径如下：查询网址https://credit1.gz.gov.cn/publicity/honourFuzzyList?type=2→黑名单）。</w:t>
      </w:r>
    </w:p>
    <w:p>
      <w:pPr>
        <w:pStyle w:val="30"/>
        <w:wordWrap w:val="0"/>
        <w:spacing w:before="0" w:after="0" w:line="360" w:lineRule="auto"/>
        <w:ind w:left="181" w:leftChars="86" w:firstLine="480" w:firstLineChars="200"/>
        <w:rPr>
          <w:highlight w:val="none"/>
        </w:rPr>
      </w:pPr>
      <w:r>
        <w:rPr>
          <w:rFonts w:hint="eastAsia"/>
          <w:highlight w:val="none"/>
        </w:rPr>
        <w:t>③如网站查询结果显示“找不到和您的查询相符的记录”或类似意思的表述，则视为没有上述不良信用记录。</w:t>
      </w:r>
    </w:p>
    <w:p>
      <w:pPr>
        <w:pStyle w:val="2"/>
        <w:wordWrap w:val="0"/>
        <w:spacing w:after="0"/>
        <w:ind w:firstLine="480" w:firstLineChars="200"/>
        <w:rPr>
          <w:rFonts w:ascii="宋体" w:hAnsi="宋体"/>
          <w:color w:val="auto"/>
          <w:highlight w:val="none"/>
        </w:rPr>
      </w:pPr>
      <w:r>
        <w:rPr>
          <w:rFonts w:hint="eastAsia" w:ascii="宋体" w:hAnsi="宋体" w:cs="宋体"/>
          <w:color w:val="auto"/>
          <w:szCs w:val="24"/>
          <w:highlight w:val="none"/>
        </w:rPr>
        <w:t>3.2 本次招标不接受联合体投标。</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3.3本次招标要求投标人已在广州公共资源交易中心办理信息登记等相关投标登记手续。</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3.4投标文件中投标人声明有按招标文件要求提交且有法定代表人、项目负责人、技术负责人签字，没有签字不予通过资格审查。</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3.5投标申请人须在投标文件中按招标文件要求提交签署盖章的《投标人廉洁承诺书》。</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3.6本次招标实行资格后审,资格审查不合格的投标人投标文件将按无效投标处理被否决。</w:t>
      </w:r>
    </w:p>
    <w:p>
      <w:pPr>
        <w:pStyle w:val="2"/>
        <w:wordWrap w:val="0"/>
        <w:spacing w:after="0"/>
        <w:rPr>
          <w:rFonts w:ascii="宋体" w:hAnsi="宋体"/>
          <w:color w:val="auto"/>
          <w:highlight w:val="none"/>
        </w:rPr>
      </w:pPr>
      <w:r>
        <w:rPr>
          <w:rFonts w:hint="eastAsia" w:ascii="宋体" w:hAnsi="宋体" w:cs="宋体"/>
          <w:color w:val="auto"/>
          <w:szCs w:val="24"/>
          <w:highlight w:val="none"/>
        </w:rPr>
        <w:t>3.7 投标文件中的投标人应与企业库信息库中的信息一致，项目负责人、专职安全员应与投标登记时的信息一致。</w:t>
      </w:r>
    </w:p>
    <w:p>
      <w:pPr>
        <w:wordWrap w:val="0"/>
        <w:spacing w:line="360" w:lineRule="auto"/>
        <w:ind w:firstLine="482" w:firstLineChars="200"/>
        <w:rPr>
          <w:rFonts w:ascii="宋体" w:hAnsi="宋体" w:cs="宋体"/>
          <w:b/>
          <w:sz w:val="24"/>
          <w:szCs w:val="24"/>
          <w:highlight w:val="none"/>
        </w:rPr>
      </w:pP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rPr>
        <w:t>4. 招标文件的获取</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4.1招标文件通过广州公共资源交易中心网站获取。</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招标公告网上发布的同时，通过广州公共资源交易中心网站发布电子招标文件、施工图纸、招标控制价。</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4.2如招标人需发布补充公告的，以最后发布的补充公告的时间起计算编制投标文件时间，并需在招标答疑中明确说明。</w:t>
      </w:r>
    </w:p>
    <w:p>
      <w:pPr>
        <w:shd w:val="clear"/>
        <w:wordWrap w:val="0"/>
        <w:spacing w:line="360" w:lineRule="auto"/>
        <w:rPr>
          <w:rFonts w:ascii="宋体" w:hAnsi="宋体" w:cs="宋体"/>
          <w:b/>
          <w:sz w:val="24"/>
          <w:szCs w:val="24"/>
          <w:highlight w:val="none"/>
        </w:rPr>
      </w:pPr>
    </w:p>
    <w:p>
      <w:pPr>
        <w:shd w:val="clea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rPr>
        <w:t>5. 投标文件的递交</w:t>
      </w:r>
    </w:p>
    <w:bookmarkEnd w:id="3"/>
    <w:p>
      <w:pPr>
        <w:widowControl/>
        <w:shd w:val="clear" w:color="auto"/>
        <w:wordWrap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5.1本项目采用电子投标，投标文件递交的截止时间（投标截止时间，下同）为</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分，具体递交要求以招标文件为准。有关广州水务工程（给排水专业）电子投标的帮助文件可自行在广州公共资源交易中心网站相关栏目下载。</w:t>
      </w:r>
    </w:p>
    <w:p>
      <w:pPr>
        <w:wordWrap w:val="0"/>
        <w:spacing w:line="360" w:lineRule="auto"/>
        <w:ind w:right="-218" w:rightChars="-104" w:firstLine="480" w:firstLineChars="200"/>
        <w:jc w:val="left"/>
        <w:rPr>
          <w:rFonts w:ascii="宋体" w:hAnsi="宋体"/>
          <w:sz w:val="24"/>
          <w:szCs w:val="24"/>
          <w:highlight w:val="none"/>
        </w:rPr>
      </w:pPr>
      <w:r>
        <w:rPr>
          <w:rFonts w:hint="eastAsia" w:ascii="宋体" w:hAnsi="宋体" w:cs="宋体"/>
          <w:sz w:val="24"/>
          <w:szCs w:val="24"/>
          <w:highlight w:val="none"/>
          <w:u w:val="single"/>
        </w:rPr>
        <w:t>递交投标文件备用光盘时间：</w:t>
      </w:r>
      <w:r>
        <w:rPr>
          <w:rFonts w:hint="eastAsia" w:ascii="宋体" w:hAnsi="宋体" w:cs="宋体"/>
          <w:bCs/>
          <w:sz w:val="24"/>
          <w:highlight w:val="none"/>
          <w:u w:val="single"/>
        </w:rPr>
        <w:t>2024年   月   日   时   分</w:t>
      </w:r>
      <w:r>
        <w:rPr>
          <w:rFonts w:hint="eastAsia" w:ascii="宋体" w:hAnsi="宋体" w:cs="宋体"/>
          <w:sz w:val="24"/>
          <w:szCs w:val="24"/>
          <w:highlight w:val="none"/>
          <w:u w:val="single"/>
        </w:rPr>
        <w:t>至</w:t>
      </w:r>
      <w:r>
        <w:rPr>
          <w:rFonts w:hint="eastAsia" w:ascii="宋体" w:hAnsi="宋体" w:cs="宋体"/>
          <w:bCs/>
          <w:sz w:val="24"/>
          <w:highlight w:val="none"/>
          <w:u w:val="single"/>
        </w:rPr>
        <w:t>2024年   月   日   时   分</w:t>
      </w:r>
      <w:r>
        <w:rPr>
          <w:rFonts w:hint="eastAsia" w:ascii="宋体" w:hAnsi="宋体" w:cs="宋体"/>
          <w:sz w:val="24"/>
          <w:szCs w:val="24"/>
          <w:highlight w:val="none"/>
          <w:u w:val="single"/>
        </w:rPr>
        <w:t>；递交投标文件备用光盘地点：广州公共资源交易中心指定开标室</w:t>
      </w:r>
      <w:r>
        <w:rPr>
          <w:rFonts w:hint="eastAsia" w:ascii="宋体" w:hAnsi="宋体"/>
          <w:sz w:val="24"/>
          <w:szCs w:val="24"/>
          <w:highlight w:val="none"/>
          <w:u w:val="single"/>
        </w:rPr>
        <w:t>（广州市天河区天润路333号）</w:t>
      </w:r>
      <w:r>
        <w:rPr>
          <w:rFonts w:hint="eastAsia" w:ascii="宋体" w:hAnsi="宋体" w:cs="宋体"/>
          <w:sz w:val="24"/>
          <w:szCs w:val="24"/>
          <w:highlight w:val="none"/>
          <w:u w:val="single"/>
        </w:rPr>
        <w:t>。</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5.2开标开始时间和地点：</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分在</w:t>
      </w:r>
      <w:r>
        <w:rPr>
          <w:rFonts w:hint="eastAsia" w:ascii="宋体" w:hAnsi="宋体" w:cs="宋体"/>
          <w:sz w:val="24"/>
          <w:szCs w:val="24"/>
          <w:highlight w:val="none"/>
          <w:u w:val="single"/>
        </w:rPr>
        <w:t>广州公共资源交易中心指定开标室</w:t>
      </w:r>
      <w:r>
        <w:rPr>
          <w:rFonts w:hint="eastAsia" w:ascii="宋体" w:hAnsi="宋体"/>
          <w:sz w:val="24"/>
          <w:szCs w:val="24"/>
          <w:highlight w:val="none"/>
          <w:u w:val="single"/>
        </w:rPr>
        <w:t>（广州市天河区天润路333号）</w:t>
      </w:r>
      <w:r>
        <w:rPr>
          <w:rFonts w:hint="eastAsia" w:ascii="宋体" w:hAnsi="宋体" w:cs="宋体"/>
          <w:sz w:val="24"/>
          <w:szCs w:val="24"/>
          <w:highlight w:val="none"/>
        </w:rPr>
        <w:t>。(注：开标开始时间为投标人解密投标文件的结束时间之后，解密时间以招标文件规定为准。)</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5.3投标截止时间与开标开始时间是否有变化，请密切留意招标答疑中的相关信息。递交投标文件截止时间后，开标开始时间因故推迟的，相关评标信息仍以原递交投标文件截止时间的信息为准。</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5.4逾期送达的或者未送达指定地点的投标文件，招标人不予受理。</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5.5 投标人在递交投标文件前，应按广州公共资源交易中心要求办理进场和投标登记手续，否则后果自负。</w:t>
      </w:r>
    </w:p>
    <w:p>
      <w:pPr>
        <w:widowControl/>
        <w:wordWrap w:val="0"/>
        <w:spacing w:line="360" w:lineRule="auto"/>
        <w:ind w:firstLine="480" w:firstLineChars="200"/>
        <w:jc w:val="left"/>
        <w:rPr>
          <w:rFonts w:ascii="宋体" w:hAnsi="宋体" w:cs="宋体"/>
          <w:sz w:val="24"/>
          <w:highlight w:val="none"/>
        </w:rPr>
      </w:pPr>
      <w:r>
        <w:rPr>
          <w:rFonts w:hint="eastAsia" w:ascii="宋体" w:hAnsi="宋体" w:cs="宋体"/>
          <w:sz w:val="24"/>
          <w:szCs w:val="24"/>
          <w:highlight w:val="none"/>
        </w:rPr>
        <w:t>5.6工程量清单报价表应使用符合广东省标准《建设工程政府投资项目造价数据标准（DBJ/T15-145-2018）》及后续版本的有关规定。</w:t>
      </w:r>
    </w:p>
    <w:p>
      <w:pPr>
        <w:widowControl/>
        <w:wordWrap w:val="0"/>
        <w:spacing w:line="360" w:lineRule="auto"/>
        <w:ind w:firstLine="480" w:firstLineChars="200"/>
        <w:jc w:val="left"/>
        <w:rPr>
          <w:rFonts w:ascii="宋体" w:hAnsi="宋体" w:cs="宋体"/>
          <w:sz w:val="24"/>
          <w:highlight w:val="none"/>
        </w:rPr>
      </w:pPr>
      <w:r>
        <w:rPr>
          <w:rFonts w:hint="eastAsia" w:ascii="宋体" w:hAnsi="宋体" w:cs="宋体"/>
          <w:sz w:val="24"/>
          <w:szCs w:val="24"/>
          <w:highlight w:val="none"/>
        </w:rPr>
        <w:t>5.7投标人应自行检查广州公共资源交易中心信息登记中的企业基础信息扫描件（包括企业资质证书、企业营业执照、企业安全生产许可证、项目负责人相关证书、专职安全员安全生产考核合格证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pPr>
        <w:wordWrap w:val="0"/>
        <w:spacing w:line="360" w:lineRule="auto"/>
        <w:ind w:firstLine="482" w:firstLineChars="200"/>
        <w:rPr>
          <w:rFonts w:ascii="宋体" w:hAnsi="宋体" w:cs="宋体"/>
          <w:b/>
          <w:sz w:val="24"/>
          <w:szCs w:val="24"/>
          <w:highlight w:val="none"/>
        </w:rPr>
      </w:pP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rPr>
        <w:t>6、办理投标登记手续</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投标人应在投标截止时间前，登录广州公共资源交易中心网站办理网上投标登记手续。</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6.1投标人应遵循以下程序完成网上投标登记手续：</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（1）登录广州公共资源交易中心网站投标人服务专区完成的相关信息录入。</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2）核对并确认投标信息无误后，上传带有电子签章的加密投标文件。在投标截止时间前，投标人可以替换投标文件。投标文件须于投标截止时间前完整上传并保存到交易中心的电子评标系统。如果投标文件于投标截止时间未能上传完毕，该投标文件将视为无效投标文件。</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6.2项目负责人的使用状态按投标文件提交截止时间，以在广州公共资源交易中心信息登记的为准。如出现拟报项目负责人不能被使用而造成投标信息无法录入广州公共资源交易中心交易服务系统的，其投标文件将视为无效投标文件。</w:t>
      </w:r>
    </w:p>
    <w:p>
      <w:pPr>
        <w:wordWrap w:val="0"/>
        <w:spacing w:line="360" w:lineRule="auto"/>
        <w:ind w:firstLine="482" w:firstLineChars="200"/>
        <w:rPr>
          <w:rFonts w:ascii="宋体" w:hAnsi="宋体" w:cs="宋体"/>
          <w:b/>
          <w:sz w:val="24"/>
          <w:szCs w:val="24"/>
          <w:highlight w:val="none"/>
        </w:rPr>
      </w:pPr>
    </w:p>
    <w:p>
      <w:pPr>
        <w:wordWrap w:val="0"/>
        <w:spacing w:line="360" w:lineRule="auto"/>
        <w:ind w:firstLine="482" w:firstLineChars="200"/>
        <w:rPr>
          <w:rFonts w:ascii="宋体" w:hAnsi="宋体" w:cs="宋体"/>
          <w:b/>
          <w:strike/>
          <w:dstrike w:val="0"/>
          <w:sz w:val="24"/>
          <w:highlight w:val="none"/>
        </w:rPr>
      </w:pPr>
      <w:r>
        <w:rPr>
          <w:rFonts w:hint="eastAsia" w:ascii="宋体" w:hAnsi="宋体" w:cs="宋体"/>
          <w:b/>
          <w:strike/>
          <w:dstrike w:val="0"/>
          <w:sz w:val="24"/>
          <w:szCs w:val="24"/>
          <w:highlight w:val="none"/>
        </w:rPr>
        <w:t>7.诚信得分</w:t>
      </w:r>
    </w:p>
    <w:p>
      <w:pPr>
        <w:wordWrap w:val="0"/>
        <w:spacing w:line="360" w:lineRule="auto"/>
        <w:ind w:firstLine="480" w:firstLineChars="200"/>
        <w:rPr>
          <w:rFonts w:ascii="宋体" w:hAnsi="宋体" w:cs="宋体"/>
          <w:strike/>
          <w:dstrike w:val="0"/>
          <w:kern w:val="0"/>
          <w:sz w:val="24"/>
          <w:highlight w:val="none"/>
          <w:u w:val="single"/>
        </w:rPr>
      </w:pPr>
      <w:r>
        <w:rPr>
          <w:rFonts w:hint="eastAsia" w:ascii="宋体" w:hAnsi="宋体" w:cs="宋体"/>
          <w:strike/>
          <w:dstrike w:val="0"/>
          <w:kern w:val="0"/>
          <w:sz w:val="24"/>
          <w:szCs w:val="24"/>
          <w:highlight w:val="none"/>
          <w:u w:val="single"/>
        </w:rPr>
        <w:t>投标人诚信综合评价分取自本项目招标公告发布第一天所在季度的上一季度广州市水务工程企业信息库及诚信中心网站（http://112.94.68.142:8012/#/website/integrity?type=1）中的“诚信排名&gt;&gt;施工—给排水”中“诚信综合评价”分，未入库企业或在广州市水务工程企业信息库及诚信中心网中尚无诚信排名“施工－给排水”得分的投标人，其诚信综合评价分按80分计算。</w:t>
      </w:r>
    </w:p>
    <w:p>
      <w:pPr>
        <w:wordWrap w:val="0"/>
        <w:spacing w:line="360" w:lineRule="auto"/>
        <w:ind w:firstLine="482" w:firstLineChars="200"/>
        <w:rPr>
          <w:rFonts w:ascii="宋体" w:hAnsi="宋体" w:cs="宋体"/>
          <w:b/>
          <w:kern w:val="0"/>
          <w:sz w:val="24"/>
          <w:szCs w:val="24"/>
          <w:highlight w:val="none"/>
        </w:rPr>
      </w:pPr>
    </w:p>
    <w:p>
      <w:pPr>
        <w:wordWrap w:val="0"/>
        <w:spacing w:line="360" w:lineRule="auto"/>
        <w:ind w:firstLine="482" w:firstLineChars="200"/>
        <w:rPr>
          <w:rFonts w:ascii="宋体" w:hAnsi="宋体" w:cs="宋体"/>
          <w:b/>
          <w:kern w:val="0"/>
          <w:sz w:val="24"/>
          <w:highlight w:val="none"/>
        </w:rPr>
      </w:pPr>
      <w:r>
        <w:rPr>
          <w:rFonts w:hint="eastAsia" w:ascii="宋体" w:hAnsi="宋体" w:cs="宋体"/>
          <w:b/>
          <w:kern w:val="0"/>
          <w:sz w:val="24"/>
          <w:szCs w:val="24"/>
          <w:highlight w:val="none"/>
        </w:rPr>
        <w:t>8. 疑问、异议和投诉处理</w:t>
      </w:r>
    </w:p>
    <w:p>
      <w:pPr>
        <w:widowControl/>
        <w:wordWrap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szCs w:val="24"/>
          <w:highlight w:val="none"/>
        </w:rPr>
        <w:t>8.1</w:t>
      </w:r>
      <w:r>
        <w:rPr>
          <w:rFonts w:hint="eastAsia" w:ascii="宋体" w:hAnsi="宋体" w:cs="宋体"/>
          <w:sz w:val="24"/>
          <w:highlight w:val="none"/>
        </w:rPr>
        <w:t>关于疑问、异议、投诉的基本概念和处理程序</w:t>
      </w:r>
      <w:r>
        <w:rPr>
          <w:rFonts w:hint="eastAsia" w:ascii="宋体" w:hAnsi="宋体" w:cs="宋体"/>
          <w:sz w:val="24"/>
          <w:highlight w:val="none"/>
          <w:lang w:val="en-US" w:eastAsia="zh-CN"/>
        </w:rPr>
        <w:t>详见</w:t>
      </w:r>
      <w:r>
        <w:rPr>
          <w:rFonts w:hint="eastAsia" w:ascii="宋体" w:hAnsi="宋体" w:cs="宋体"/>
          <w:sz w:val="24"/>
          <w:highlight w:val="none"/>
        </w:rPr>
        <w:t>《广州市水务局关于进一步加强水务工程项目招标投标活动监督管理工作的通知》（穗水建管〔2023〕78号），以下简称《通知》。《通知》可通过</w:t>
      </w:r>
      <w:r>
        <w:rPr>
          <w:rFonts w:hint="eastAsia" w:ascii="宋体" w:hAnsi="宋体" w:cs="宋体"/>
          <w:sz w:val="24"/>
          <w:highlight w:val="none"/>
          <w:lang w:val="en-US" w:eastAsia="zh-CN"/>
        </w:rPr>
        <w:t>广州市水务局门户网站或广州公共资源交易中心</w:t>
      </w:r>
      <w:r>
        <w:rPr>
          <w:rFonts w:hint="eastAsia" w:ascii="宋体" w:hAnsi="宋体" w:cs="宋体"/>
          <w:sz w:val="24"/>
          <w:highlight w:val="none"/>
        </w:rPr>
        <w:t>网站获取。</w:t>
      </w:r>
    </w:p>
    <w:p>
      <w:pPr>
        <w:widowControl/>
        <w:wordWrap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szCs w:val="24"/>
          <w:highlight w:val="none"/>
        </w:rPr>
        <w:t>8.2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wordWrap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szCs w:val="24"/>
          <w:highlight w:val="none"/>
        </w:rPr>
        <w:t>8.3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wordWrap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w:t>
      </w:r>
    </w:p>
    <w:p>
      <w:pPr>
        <w:widowControl/>
        <w:wordWrap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8.4 异议提出的方式:</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异议受理部门：</w:t>
      </w:r>
      <w:r>
        <w:rPr>
          <w:rFonts w:hint="eastAsia" w:ascii="宋体" w:hAnsi="宋体" w:cs="宋体"/>
          <w:sz w:val="24"/>
          <w:szCs w:val="21"/>
          <w:highlight w:val="none"/>
          <w:u w:val="single"/>
          <w:lang w:eastAsia="zh-CN"/>
        </w:rPr>
        <w:t>广州市智采资源管理服务有限公司</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异议受理电话：</w:t>
      </w:r>
      <w:r>
        <w:rPr>
          <w:rFonts w:hint="eastAsia" w:ascii="宋体" w:hAnsi="宋体" w:cs="宋体"/>
          <w:sz w:val="24"/>
          <w:szCs w:val="21"/>
          <w:highlight w:val="none"/>
          <w:u w:val="single"/>
        </w:rPr>
        <w:t>020-81977069</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地址：</w:t>
      </w:r>
      <w:r>
        <w:rPr>
          <w:rFonts w:hint="eastAsia" w:ascii="宋体" w:hAnsi="宋体" w:cs="宋体"/>
          <w:sz w:val="24"/>
          <w:szCs w:val="21"/>
          <w:highlight w:val="none"/>
          <w:u w:val="single"/>
        </w:rPr>
        <w:t>广州市越秀区大沙头路33号东湖商业广场五楼</w:t>
      </w:r>
    </w:p>
    <w:p>
      <w:pPr>
        <w:wordWrap w:val="0"/>
        <w:spacing w:line="360" w:lineRule="auto"/>
        <w:ind w:firstLine="480" w:firstLineChars="200"/>
        <w:rPr>
          <w:rFonts w:ascii="宋体" w:hAnsi="宋体" w:cs="宋体"/>
          <w:b/>
          <w:sz w:val="24"/>
          <w:szCs w:val="24"/>
          <w:highlight w:val="none"/>
          <w:u w:val="single"/>
        </w:rPr>
      </w:pPr>
      <w:r>
        <w:rPr>
          <w:rFonts w:hint="eastAsia" w:ascii="宋体" w:hAnsi="宋体" w:cs="宋体"/>
          <w:kern w:val="0"/>
          <w:sz w:val="24"/>
          <w:szCs w:val="24"/>
          <w:highlight w:val="none"/>
          <w:u w:val="single"/>
        </w:rPr>
        <w:t>潜在投标人或利害关系人可以通过线下或线上的形式提出异议。线上提出异议的，通过交易平台提交，招标人也应通过交易平台答复线上提出的异议。具体按照交易平台相关指南进行操作。作出答复前，应当暂停招标投标活动。</w:t>
      </w:r>
    </w:p>
    <w:p>
      <w:pPr>
        <w:widowControl/>
        <w:wordWrap w:val="0"/>
        <w:spacing w:line="360" w:lineRule="auto"/>
        <w:ind w:firstLine="482" w:firstLineChars="200"/>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9</w:t>
      </w:r>
      <w:r>
        <w:rPr>
          <w:rFonts w:hint="eastAsia" w:ascii="宋体" w:hAnsi="宋体" w:cs="宋体"/>
          <w:b/>
          <w:bCs/>
          <w:kern w:val="0"/>
          <w:sz w:val="24"/>
          <w:szCs w:val="24"/>
          <w:highlight w:val="none"/>
        </w:rPr>
        <w:t>、前期服务单位：</w:t>
      </w:r>
      <w:r>
        <w:rPr>
          <w:rFonts w:hint="eastAsia" w:ascii="宋体" w:hAnsi="宋体" w:eastAsia="宋体" w:cs="宋体"/>
          <w:color w:val="000000"/>
          <w:kern w:val="0"/>
          <w:sz w:val="24"/>
          <w:szCs w:val="24"/>
          <w:highlight w:val="none"/>
          <w:u w:val="single"/>
          <w:lang w:val="en-US" w:eastAsia="zh-CN" w:bidi="ar"/>
        </w:rPr>
        <w:t>广州市国际工程咨询有限公司、广州地铁设计研究院股份有限公司</w:t>
      </w:r>
      <w:r>
        <w:rPr>
          <w:rFonts w:hint="eastAsia" w:ascii="宋体" w:hAnsi="宋体" w:cs="宋体"/>
          <w:b/>
          <w:bCs/>
          <w:kern w:val="0"/>
          <w:sz w:val="24"/>
          <w:szCs w:val="24"/>
          <w:highlight w:val="none"/>
        </w:rPr>
        <w:t>。</w:t>
      </w:r>
    </w:p>
    <w:p>
      <w:pPr>
        <w:widowControl/>
        <w:wordWrap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注：如果有前期服务机构，应公开披露其名称。如果前期服务机构参加本次投标，应将本公告发布前最终完成的工作成果（含电子文件）在投标人购买（或下载）招标文件的同时提供给所有投标人参考，否则前期参与的服务机构中标无效。</w:t>
      </w: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lang w:val="en-US" w:eastAsia="zh-CN"/>
        </w:rPr>
        <w:t>10</w:t>
      </w:r>
      <w:r>
        <w:rPr>
          <w:rFonts w:hint="eastAsia" w:ascii="宋体" w:hAnsi="宋体" w:cs="宋体"/>
          <w:b/>
          <w:sz w:val="24"/>
          <w:szCs w:val="24"/>
          <w:highlight w:val="none"/>
        </w:rPr>
        <w:t>. 发布公告的媒介</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.1招标公告发布时间：从</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分至</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pPr>
        <w:wordWrap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注：发布招标公告的时间为招标公告发出之日起至投标截止时间止。</w:t>
      </w:r>
    </w:p>
    <w:p>
      <w:pPr>
        <w:wordWrap w:val="0"/>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.2本次招标公告同时在</w:t>
      </w:r>
      <w:r>
        <w:rPr>
          <w:rFonts w:hint="eastAsia" w:ascii="宋体" w:hAnsi="宋体" w:cs="宋体"/>
          <w:sz w:val="24"/>
          <w:szCs w:val="24"/>
          <w:highlight w:val="none"/>
          <w:lang w:val="en-US" w:eastAsia="zh-CN"/>
        </w:rPr>
        <w:t>广州交易集团有限公司（</w:t>
      </w:r>
      <w:r>
        <w:rPr>
          <w:rFonts w:hint="eastAsia" w:ascii="宋体" w:hAnsi="宋体" w:cs="宋体"/>
          <w:sz w:val="24"/>
          <w:szCs w:val="24"/>
          <w:highlight w:val="none"/>
        </w:rPr>
        <w:t>广州公共资源交易中心</w:t>
      </w:r>
      <w:r>
        <w:rPr>
          <w:rFonts w:hint="eastAsia" w:ascii="宋体" w:hAnsi="宋体" w:cs="宋体"/>
          <w:sz w:val="24"/>
          <w:szCs w:val="24"/>
          <w:highlight w:val="none"/>
          <w:lang w:eastAsia="zh-CN"/>
        </w:rPr>
        <w:t>）</w:t>
      </w:r>
      <w:r>
        <w:rPr>
          <w:rFonts w:hint="eastAsia" w:ascii="宋体" w:hAnsi="宋体" w:cs="宋体"/>
          <w:sz w:val="24"/>
          <w:szCs w:val="24"/>
          <w:highlight w:val="none"/>
        </w:rPr>
        <w:t>网站</w:t>
      </w:r>
      <w:r>
        <w:rPr>
          <w:rFonts w:hint="eastAsia" w:ascii="宋体" w:hAnsi="宋体" w:cs="宋体"/>
          <w:sz w:val="24"/>
          <w:highlight w:val="none"/>
        </w:rPr>
        <w:t>（网址：http://www.gzggzy.cn）</w:t>
      </w:r>
      <w:r>
        <w:rPr>
          <w:rFonts w:hint="eastAsia" w:ascii="宋体" w:hAnsi="宋体" w:cs="宋体"/>
          <w:sz w:val="24"/>
          <w:szCs w:val="24"/>
          <w:highlight w:val="none"/>
        </w:rPr>
        <w:t>、广东省招标投标监管网</w:t>
      </w:r>
      <w:r>
        <w:rPr>
          <w:rFonts w:hint="eastAsia" w:ascii="宋体" w:hAnsi="宋体" w:cs="宋体"/>
          <w:kern w:val="0"/>
          <w:sz w:val="24"/>
          <w:szCs w:val="24"/>
          <w:highlight w:val="none"/>
        </w:rPr>
        <w:t>（网址：</w:t>
      </w:r>
      <w:r>
        <w:rPr>
          <w:rFonts w:hint="eastAsia" w:ascii="宋体" w:hAnsi="宋体" w:cs="宋体"/>
          <w:sz w:val="24"/>
          <w:szCs w:val="24"/>
          <w:highlight w:val="none"/>
        </w:rPr>
        <w:t>http://zbtb.gd.gov.cn/</w:t>
      </w:r>
      <w:r>
        <w:rPr>
          <w:rFonts w:hint="eastAsia" w:ascii="宋体" w:hAnsi="宋体" w:cs="宋体"/>
          <w:kern w:val="0"/>
          <w:sz w:val="24"/>
          <w:szCs w:val="24"/>
          <w:highlight w:val="none"/>
        </w:rPr>
        <w:t>）</w:t>
      </w:r>
      <w:r>
        <w:rPr>
          <w:rFonts w:hint="eastAsia" w:ascii="宋体" w:hAnsi="宋体" w:cs="宋体"/>
          <w:sz w:val="24"/>
          <w:szCs w:val="24"/>
          <w:highlight w:val="none"/>
          <w:lang w:eastAsia="zh-CN"/>
        </w:rPr>
        <w:t>、</w:t>
      </w:r>
      <w:r>
        <w:rPr>
          <w:rFonts w:hint="eastAsia" w:ascii="宋体" w:hAnsi="宋体" w:cs="宋体"/>
          <w:kern w:val="0"/>
          <w:sz w:val="24"/>
          <w:szCs w:val="24"/>
          <w:highlight w:val="none"/>
        </w:rPr>
        <w:t>中国招标投标公共服务平台（网址：http://www.cebpubservice.com/）</w:t>
      </w:r>
      <w:r>
        <w:rPr>
          <w:rFonts w:hint="eastAsia" w:ascii="宋体" w:hAnsi="宋体" w:cs="宋体"/>
          <w:kern w:val="0"/>
          <w:sz w:val="24"/>
          <w:szCs w:val="24"/>
          <w:highlight w:val="none"/>
          <w:lang w:eastAsia="zh-CN"/>
        </w:rPr>
        <w:t>、广州市智采资源管理服务有限公司官网（www.gzzcs.com）</w:t>
      </w:r>
      <w:r>
        <w:rPr>
          <w:rFonts w:hint="eastAsia" w:ascii="宋体" w:hAnsi="宋体" w:cs="宋体"/>
          <w:kern w:val="0"/>
          <w:sz w:val="24"/>
          <w:szCs w:val="24"/>
          <w:highlight w:val="none"/>
          <w:lang w:val="en-US" w:eastAsia="zh-CN"/>
        </w:rPr>
        <w:t>和广州国企阳光采购信息发布平台（http://ygcg.gzggzy.cn/）</w:t>
      </w:r>
      <w:r>
        <w:rPr>
          <w:rFonts w:hint="eastAsia" w:ascii="宋体" w:hAnsi="宋体" w:cs="宋体"/>
          <w:sz w:val="24"/>
          <w:szCs w:val="24"/>
          <w:highlight w:val="none"/>
        </w:rPr>
        <w:t>上发布。有关本公告的修改、补充以广州公共资源交易中心网站发布为准。</w:t>
      </w:r>
    </w:p>
    <w:p>
      <w:pPr>
        <w:wordWrap w:val="0"/>
        <w:spacing w:line="360" w:lineRule="auto"/>
        <w:ind w:firstLine="482" w:firstLineChars="200"/>
        <w:rPr>
          <w:rFonts w:ascii="宋体" w:hAnsi="宋体" w:cs="宋体"/>
          <w:b/>
          <w:sz w:val="24"/>
          <w:highlight w:val="none"/>
        </w:rPr>
      </w:pPr>
      <w:r>
        <w:rPr>
          <w:rFonts w:hint="eastAsia" w:ascii="宋体" w:hAnsi="宋体" w:cs="宋体"/>
          <w:b/>
          <w:sz w:val="24"/>
          <w:szCs w:val="24"/>
          <w:highlight w:val="none"/>
          <w:lang w:val="en-US" w:eastAsia="zh-CN"/>
        </w:rPr>
        <w:t>11</w:t>
      </w:r>
      <w:r>
        <w:rPr>
          <w:rFonts w:hint="eastAsia" w:ascii="宋体" w:hAnsi="宋体" w:cs="宋体"/>
          <w:b/>
          <w:sz w:val="24"/>
          <w:szCs w:val="24"/>
          <w:highlight w:val="none"/>
        </w:rPr>
        <w:t>. 联系方式</w:t>
      </w:r>
    </w:p>
    <w:p>
      <w:pPr>
        <w:wordWrap w:val="0"/>
        <w:topLinePunct/>
        <w:spacing w:line="360" w:lineRule="auto"/>
        <w:ind w:left="4320" w:leftChars="400" w:hanging="3480" w:hangingChars="1450"/>
        <w:rPr>
          <w:rFonts w:hint="eastAsia" w:ascii="宋体" w:hAnsi="宋体" w:eastAsia="宋体" w:cs="宋体"/>
          <w:sz w:val="24"/>
          <w:szCs w:val="21"/>
          <w:highlight w:val="none"/>
          <w:u w:val="single"/>
          <w:lang w:eastAsia="zh-CN"/>
        </w:rPr>
      </w:pPr>
      <w:r>
        <w:rPr>
          <w:rFonts w:hint="eastAsia" w:ascii="宋体" w:hAnsi="宋体" w:cs="宋体"/>
          <w:sz w:val="24"/>
          <w:szCs w:val="21"/>
          <w:highlight w:val="none"/>
        </w:rPr>
        <w:t>招标人：</w:t>
      </w:r>
      <w:r>
        <w:rPr>
          <w:rFonts w:hint="eastAsia" w:ascii="宋体" w:hAnsi="宋体" w:cs="宋体"/>
          <w:sz w:val="24"/>
          <w:szCs w:val="21"/>
          <w:highlight w:val="none"/>
          <w:u w:val="single"/>
          <w:lang w:eastAsia="zh-CN"/>
        </w:rPr>
        <w:t>广州市智采资源管理服务有限公司</w:t>
      </w:r>
    </w:p>
    <w:p>
      <w:pPr>
        <w:wordWrap w:val="0"/>
        <w:topLinePunct/>
        <w:spacing w:line="360" w:lineRule="auto"/>
        <w:ind w:left="4320" w:leftChars="400" w:hanging="3480" w:hangingChars="1450"/>
        <w:rPr>
          <w:rFonts w:ascii="宋体" w:hAnsi="宋体" w:cs="宋体"/>
          <w:sz w:val="24"/>
          <w:szCs w:val="21"/>
          <w:highlight w:val="none"/>
        </w:rPr>
      </w:pPr>
      <w:r>
        <w:rPr>
          <w:rFonts w:hint="eastAsia" w:ascii="宋体" w:hAnsi="宋体" w:cs="宋体"/>
          <w:sz w:val="24"/>
          <w:szCs w:val="21"/>
          <w:highlight w:val="none"/>
        </w:rPr>
        <w:t>地址：</w:t>
      </w:r>
      <w:r>
        <w:rPr>
          <w:rFonts w:hint="eastAsia" w:ascii="宋体" w:hAnsi="宋体" w:cs="宋体"/>
          <w:sz w:val="24"/>
          <w:szCs w:val="21"/>
          <w:highlight w:val="none"/>
          <w:u w:val="single"/>
        </w:rPr>
        <w:t>广州市越秀区大沙头路33号东湖商业广场五楼</w:t>
      </w:r>
    </w:p>
    <w:p>
      <w:pPr>
        <w:wordWrap w:val="0"/>
        <w:topLinePunct/>
        <w:spacing w:line="360" w:lineRule="auto"/>
        <w:ind w:left="4320" w:leftChars="400" w:hanging="3480" w:hangingChars="1450"/>
        <w:rPr>
          <w:rFonts w:ascii="宋体" w:hAnsi="宋体" w:cs="宋体"/>
          <w:sz w:val="24"/>
          <w:szCs w:val="21"/>
          <w:highlight w:val="none"/>
          <w:u w:val="single"/>
        </w:rPr>
      </w:pPr>
      <w:r>
        <w:rPr>
          <w:rFonts w:hint="eastAsia" w:ascii="宋体" w:hAnsi="宋体" w:cs="宋体"/>
          <w:sz w:val="24"/>
          <w:szCs w:val="21"/>
          <w:highlight w:val="none"/>
        </w:rPr>
        <w:t>邮编：</w:t>
      </w:r>
      <w:r>
        <w:rPr>
          <w:rFonts w:hint="eastAsia" w:ascii="宋体" w:hAnsi="宋体" w:cs="宋体"/>
          <w:sz w:val="24"/>
          <w:szCs w:val="21"/>
          <w:highlight w:val="none"/>
          <w:u w:val="single"/>
        </w:rPr>
        <w:t>510000</w:t>
      </w:r>
    </w:p>
    <w:p>
      <w:pPr>
        <w:wordWrap w:val="0"/>
        <w:topLinePunct/>
        <w:spacing w:line="360" w:lineRule="auto"/>
        <w:ind w:left="4320" w:leftChars="400" w:hanging="3480" w:hangingChars="1450"/>
        <w:rPr>
          <w:rFonts w:ascii="宋体" w:hAnsi="宋体" w:cs="宋体"/>
          <w:sz w:val="24"/>
          <w:szCs w:val="21"/>
          <w:highlight w:val="none"/>
          <w:u w:val="single"/>
        </w:rPr>
      </w:pPr>
      <w:r>
        <w:rPr>
          <w:rFonts w:hint="eastAsia" w:ascii="宋体" w:hAnsi="宋体" w:cs="宋体"/>
          <w:sz w:val="24"/>
          <w:szCs w:val="21"/>
          <w:highlight w:val="none"/>
        </w:rPr>
        <w:t>联系人：</w:t>
      </w:r>
      <w:r>
        <w:rPr>
          <w:rFonts w:hint="eastAsia" w:ascii="宋体" w:hAnsi="宋体" w:cs="宋体"/>
          <w:sz w:val="24"/>
          <w:szCs w:val="21"/>
          <w:highlight w:val="none"/>
          <w:u w:val="single"/>
        </w:rPr>
        <w:t>卢工</w:t>
      </w:r>
    </w:p>
    <w:p>
      <w:pPr>
        <w:wordWrap w:val="0"/>
        <w:topLinePunct/>
        <w:spacing w:line="360" w:lineRule="auto"/>
        <w:ind w:left="4320" w:leftChars="400" w:hanging="3480" w:hangingChars="1450"/>
        <w:rPr>
          <w:rFonts w:ascii="宋体" w:hAnsi="宋体" w:cs="宋体"/>
          <w:sz w:val="24"/>
          <w:szCs w:val="21"/>
          <w:highlight w:val="none"/>
          <w:u w:val="single"/>
        </w:rPr>
      </w:pPr>
      <w:r>
        <w:rPr>
          <w:rFonts w:hint="eastAsia" w:ascii="宋体" w:hAnsi="宋体" w:cs="宋体"/>
          <w:sz w:val="24"/>
          <w:szCs w:val="21"/>
          <w:highlight w:val="none"/>
        </w:rPr>
        <w:t>电话：</w:t>
      </w:r>
      <w:r>
        <w:rPr>
          <w:rFonts w:hint="eastAsia" w:ascii="宋体" w:hAnsi="宋体" w:cs="宋体"/>
          <w:sz w:val="24"/>
          <w:szCs w:val="21"/>
          <w:highlight w:val="none"/>
          <w:u w:val="single"/>
        </w:rPr>
        <w:t>020-81977069</w:t>
      </w:r>
    </w:p>
    <w:p>
      <w:pPr>
        <w:wordWrap w:val="0"/>
        <w:topLinePunct/>
        <w:spacing w:line="360" w:lineRule="auto"/>
        <w:ind w:left="4320" w:leftChars="400" w:hanging="3480" w:hangingChars="1450"/>
        <w:rPr>
          <w:rFonts w:ascii="宋体" w:hAnsi="宋体" w:cs="宋体"/>
          <w:sz w:val="24"/>
          <w:szCs w:val="21"/>
          <w:highlight w:val="none"/>
        </w:rPr>
      </w:pPr>
      <w:r>
        <w:rPr>
          <w:rFonts w:hint="eastAsia" w:ascii="宋体" w:hAnsi="宋体" w:cs="宋体"/>
          <w:sz w:val="24"/>
          <w:szCs w:val="21"/>
          <w:highlight w:val="none"/>
        </w:rPr>
        <w:t>传真：</w:t>
      </w:r>
      <w:r>
        <w:rPr>
          <w:rFonts w:hint="eastAsia" w:ascii="宋体" w:hAnsi="宋体" w:cs="宋体"/>
          <w:sz w:val="24"/>
          <w:szCs w:val="21"/>
          <w:highlight w:val="none"/>
          <w:u w:val="single"/>
        </w:rPr>
        <w:t xml:space="preserve"> / </w:t>
      </w:r>
    </w:p>
    <w:p>
      <w:pPr>
        <w:wordWrap w:val="0"/>
        <w:topLinePunct/>
        <w:spacing w:line="360" w:lineRule="auto"/>
        <w:ind w:left="4320" w:leftChars="400" w:hanging="3480" w:hangingChars="1450"/>
        <w:rPr>
          <w:rFonts w:ascii="宋体" w:hAnsi="宋体" w:cs="宋体"/>
          <w:sz w:val="24"/>
          <w:szCs w:val="21"/>
          <w:highlight w:val="none"/>
        </w:rPr>
      </w:pPr>
      <w:r>
        <w:rPr>
          <w:rFonts w:hint="eastAsia" w:ascii="宋体" w:hAnsi="宋体" w:cs="宋体"/>
          <w:sz w:val="24"/>
          <w:szCs w:val="21"/>
          <w:highlight w:val="none"/>
        </w:rPr>
        <w:t>电子邮件：</w:t>
      </w:r>
      <w:r>
        <w:rPr>
          <w:rFonts w:hint="eastAsia" w:ascii="宋体" w:hAnsi="宋体" w:cs="宋体"/>
          <w:sz w:val="24"/>
          <w:szCs w:val="21"/>
          <w:highlight w:val="none"/>
          <w:u w:val="single"/>
        </w:rPr>
        <w:t xml:space="preserve"> / </w:t>
      </w:r>
    </w:p>
    <w:p>
      <w:pPr>
        <w:pStyle w:val="2"/>
        <w:wordWrap w:val="0"/>
        <w:spacing w:after="0"/>
        <w:ind w:left="4320" w:leftChars="400" w:hanging="3480" w:hangingChars="1450"/>
        <w:rPr>
          <w:color w:val="auto"/>
          <w:highlight w:val="none"/>
        </w:rPr>
      </w:pPr>
    </w:p>
    <w:p>
      <w:pPr>
        <w:wordWrap w:val="0"/>
        <w:spacing w:line="360" w:lineRule="auto"/>
        <w:ind w:left="4320" w:leftChars="400" w:hanging="3480" w:hangingChars="1450"/>
        <w:rPr>
          <w:rFonts w:ascii="宋体" w:hAnsi="宋体" w:cs="宋体"/>
          <w:sz w:val="24"/>
          <w:szCs w:val="24"/>
          <w:highlight w:val="none"/>
        </w:rPr>
      </w:pPr>
      <w:r>
        <w:rPr>
          <w:rFonts w:hint="eastAsia" w:ascii="宋体" w:hAnsi="宋体" w:cs="宋体"/>
          <w:kern w:val="0"/>
          <w:sz w:val="24"/>
          <w:szCs w:val="24"/>
          <w:highlight w:val="none"/>
        </w:rPr>
        <w:t>招标监管部门</w:t>
      </w:r>
      <w:r>
        <w:rPr>
          <w:rFonts w:hint="eastAsia" w:ascii="宋体" w:hAnsi="宋体" w:cs="宋体"/>
          <w:sz w:val="24"/>
          <w:szCs w:val="24"/>
          <w:highlight w:val="none"/>
        </w:rPr>
        <w:t>：</w:t>
      </w:r>
      <w:r>
        <w:rPr>
          <w:rFonts w:hint="eastAsia" w:ascii="宋体" w:hAnsi="宋体" w:cs="宋体"/>
          <w:sz w:val="24"/>
          <w:szCs w:val="21"/>
          <w:highlight w:val="none"/>
          <w:u w:val="single"/>
        </w:rPr>
        <w:t>广州市智采资源管理服务有限公司</w:t>
      </w:r>
    </w:p>
    <w:p>
      <w:pPr>
        <w:wordWrap w:val="0"/>
        <w:spacing w:line="360" w:lineRule="auto"/>
        <w:ind w:left="4320" w:leftChars="400" w:hanging="3480" w:hangingChars="1450"/>
        <w:rPr>
          <w:rFonts w:ascii="宋体" w:hAnsi="宋体" w:cs="宋体"/>
          <w:sz w:val="24"/>
          <w:szCs w:val="24"/>
          <w:highlight w:val="none"/>
          <w:u w:val="single"/>
        </w:rPr>
      </w:pPr>
      <w:r>
        <w:rPr>
          <w:rFonts w:hint="eastAsia" w:ascii="宋体" w:hAnsi="宋体" w:cs="宋体"/>
          <w:sz w:val="24"/>
          <w:szCs w:val="24"/>
          <w:highlight w:val="none"/>
        </w:rPr>
        <w:t>联系电话：</w:t>
      </w:r>
      <w:r>
        <w:rPr>
          <w:rFonts w:hint="eastAsia" w:ascii="宋体" w:hAnsi="宋体" w:cs="宋体"/>
          <w:sz w:val="24"/>
          <w:szCs w:val="21"/>
          <w:highlight w:val="none"/>
          <w:u w:val="single"/>
        </w:rPr>
        <w:t>020-81977069</w:t>
      </w:r>
    </w:p>
    <w:p>
      <w:pPr>
        <w:wordWrap w:val="0"/>
        <w:spacing w:line="360" w:lineRule="auto"/>
        <w:ind w:left="4320" w:leftChars="400" w:hanging="3480" w:hangingChars="1450"/>
        <w:rPr>
          <w:rFonts w:ascii="宋体" w:hAnsi="宋体" w:cs="宋体"/>
          <w:sz w:val="24"/>
          <w:highlight w:val="none"/>
        </w:rPr>
      </w:pPr>
      <w:r>
        <w:rPr>
          <w:rFonts w:hint="eastAsia" w:ascii="宋体" w:hAnsi="宋体" w:cs="宋体"/>
          <w:sz w:val="24"/>
          <w:szCs w:val="24"/>
          <w:highlight w:val="none"/>
          <w:u w:val="none"/>
        </w:rPr>
        <w:t>地址：</w:t>
      </w:r>
      <w:r>
        <w:rPr>
          <w:rFonts w:hint="eastAsia" w:ascii="宋体" w:hAnsi="宋体" w:cs="宋体"/>
          <w:sz w:val="24"/>
          <w:szCs w:val="21"/>
          <w:highlight w:val="none"/>
          <w:u w:val="single"/>
        </w:rPr>
        <w:t>广州市越秀区大沙头路33号东湖商业广场五楼</w:t>
      </w:r>
    </w:p>
    <w:sectPr>
      <w:headerReference r:id="rId3" w:type="default"/>
      <w:footerReference r:id="rId4" w:type="default"/>
      <w:pgSz w:w="11906" w:h="16838"/>
      <w:pgMar w:top="1247" w:right="1247" w:bottom="56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13</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F11C0"/>
    <w:multiLevelType w:val="singleLevel"/>
    <w:tmpl w:val="57DF11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lMzA2ZDAzMjI2Mzg3ZDdjN2IzMmRjNmU0OWIyNGIifQ=="/>
    <w:docVar w:name="KSO_WPS_MARK_KEY" w:val="0090580b-714a-443e-9049-cb3ac7ae3507"/>
  </w:docVars>
  <w:rsids>
    <w:rsidRoot w:val="001A68A5"/>
    <w:rsid w:val="00050616"/>
    <w:rsid w:val="000C0194"/>
    <w:rsid w:val="001A68A5"/>
    <w:rsid w:val="002A0DE6"/>
    <w:rsid w:val="002B05F6"/>
    <w:rsid w:val="00320730"/>
    <w:rsid w:val="00513C3B"/>
    <w:rsid w:val="0052639A"/>
    <w:rsid w:val="0055650C"/>
    <w:rsid w:val="005D2F68"/>
    <w:rsid w:val="00600BFC"/>
    <w:rsid w:val="00630FD5"/>
    <w:rsid w:val="00690FCE"/>
    <w:rsid w:val="0072042A"/>
    <w:rsid w:val="008430AE"/>
    <w:rsid w:val="00914351"/>
    <w:rsid w:val="00961690"/>
    <w:rsid w:val="009750A7"/>
    <w:rsid w:val="009A5C88"/>
    <w:rsid w:val="009A6D8E"/>
    <w:rsid w:val="00A86446"/>
    <w:rsid w:val="00A97152"/>
    <w:rsid w:val="00AF55E5"/>
    <w:rsid w:val="00B335A1"/>
    <w:rsid w:val="00B51B99"/>
    <w:rsid w:val="00D25DF1"/>
    <w:rsid w:val="00E43C63"/>
    <w:rsid w:val="00E50649"/>
    <w:rsid w:val="00EB3D0F"/>
    <w:rsid w:val="01026FFE"/>
    <w:rsid w:val="01463A4C"/>
    <w:rsid w:val="01DA2AFF"/>
    <w:rsid w:val="05FD71D5"/>
    <w:rsid w:val="06F575E6"/>
    <w:rsid w:val="0972362F"/>
    <w:rsid w:val="0CCA3A01"/>
    <w:rsid w:val="0E0C6F88"/>
    <w:rsid w:val="0E2B610F"/>
    <w:rsid w:val="0F712210"/>
    <w:rsid w:val="10B14C22"/>
    <w:rsid w:val="12244F80"/>
    <w:rsid w:val="135C2EDB"/>
    <w:rsid w:val="14345C9E"/>
    <w:rsid w:val="1461070D"/>
    <w:rsid w:val="15550E50"/>
    <w:rsid w:val="16A15A6D"/>
    <w:rsid w:val="17F34229"/>
    <w:rsid w:val="191242AE"/>
    <w:rsid w:val="191464A8"/>
    <w:rsid w:val="1985441C"/>
    <w:rsid w:val="1AA41354"/>
    <w:rsid w:val="1C6D214E"/>
    <w:rsid w:val="1D85546D"/>
    <w:rsid w:val="1E4E1D03"/>
    <w:rsid w:val="1EC5047B"/>
    <w:rsid w:val="206036F8"/>
    <w:rsid w:val="23735A8D"/>
    <w:rsid w:val="23CB6326"/>
    <w:rsid w:val="24232F15"/>
    <w:rsid w:val="2A291850"/>
    <w:rsid w:val="2A3F69A3"/>
    <w:rsid w:val="2B6A0C72"/>
    <w:rsid w:val="2C1A44A8"/>
    <w:rsid w:val="2C250835"/>
    <w:rsid w:val="304E3A88"/>
    <w:rsid w:val="32D76116"/>
    <w:rsid w:val="330B7D6A"/>
    <w:rsid w:val="341A7EDA"/>
    <w:rsid w:val="346C5229"/>
    <w:rsid w:val="34AA1C4E"/>
    <w:rsid w:val="35D24A20"/>
    <w:rsid w:val="35D317D9"/>
    <w:rsid w:val="35F00990"/>
    <w:rsid w:val="361F3A57"/>
    <w:rsid w:val="36513CE6"/>
    <w:rsid w:val="36CD4921"/>
    <w:rsid w:val="39D06D7F"/>
    <w:rsid w:val="39E44E71"/>
    <w:rsid w:val="39E96F4E"/>
    <w:rsid w:val="3A2A7907"/>
    <w:rsid w:val="3ABC7F5F"/>
    <w:rsid w:val="3F757B12"/>
    <w:rsid w:val="400C4B76"/>
    <w:rsid w:val="41FF1754"/>
    <w:rsid w:val="43AC5EF0"/>
    <w:rsid w:val="44B00772"/>
    <w:rsid w:val="44BA7F63"/>
    <w:rsid w:val="44C71617"/>
    <w:rsid w:val="45E73288"/>
    <w:rsid w:val="46753692"/>
    <w:rsid w:val="48B65BD4"/>
    <w:rsid w:val="4AE23D70"/>
    <w:rsid w:val="4C8673F0"/>
    <w:rsid w:val="4C966935"/>
    <w:rsid w:val="4DBE5A6B"/>
    <w:rsid w:val="50445434"/>
    <w:rsid w:val="5087626C"/>
    <w:rsid w:val="509F3B73"/>
    <w:rsid w:val="52C1678F"/>
    <w:rsid w:val="530F4056"/>
    <w:rsid w:val="56E20EA6"/>
    <w:rsid w:val="59FA62BD"/>
    <w:rsid w:val="5A7F6F70"/>
    <w:rsid w:val="5F427DC1"/>
    <w:rsid w:val="5F6A1154"/>
    <w:rsid w:val="655E2DAB"/>
    <w:rsid w:val="660B3D20"/>
    <w:rsid w:val="69847953"/>
    <w:rsid w:val="6B730171"/>
    <w:rsid w:val="6B8E2D0B"/>
    <w:rsid w:val="6BE40092"/>
    <w:rsid w:val="6EE5266B"/>
    <w:rsid w:val="71D12C7E"/>
    <w:rsid w:val="72A65BBE"/>
    <w:rsid w:val="737C66C2"/>
    <w:rsid w:val="73CA54B7"/>
    <w:rsid w:val="73E73E7F"/>
    <w:rsid w:val="75EB48B6"/>
    <w:rsid w:val="766C54B2"/>
    <w:rsid w:val="786E49DD"/>
    <w:rsid w:val="78A66C2F"/>
    <w:rsid w:val="796D61F5"/>
    <w:rsid w:val="7B462657"/>
    <w:rsid w:val="7C265180"/>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4"/>
    <w:qFormat/>
    <w:uiPriority w:val="0"/>
    <w:pPr>
      <w:keepNext/>
      <w:keepLines/>
      <w:spacing w:before="340" w:after="330" w:line="578" w:lineRule="auto"/>
      <w:outlineLvl w:val="0"/>
    </w:pPr>
    <w:rPr>
      <w:rFonts w:ascii="Times New Roman" w:hAnsi="Times New Roman"/>
      <w:b/>
      <w:kern w:val="44"/>
      <w:sz w:val="44"/>
      <w:szCs w:val="20"/>
    </w:rPr>
  </w:style>
  <w:style w:type="paragraph" w:styleId="6">
    <w:name w:val="heading 2"/>
    <w:basedOn w:val="1"/>
    <w:next w:val="7"/>
    <w:link w:val="25"/>
    <w:qFormat/>
    <w:uiPriority w:val="0"/>
    <w:pPr>
      <w:keepNext/>
      <w:keepLines/>
      <w:spacing w:before="260" w:after="260" w:line="415" w:lineRule="auto"/>
      <w:jc w:val="center"/>
      <w:outlineLvl w:val="1"/>
    </w:pPr>
    <w:rPr>
      <w:rFonts w:ascii="黑体" w:hAnsi="黑体" w:eastAsia="黑体"/>
      <w:sz w:val="30"/>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qFormat/>
    <w:uiPriority w:val="0"/>
    <w:pPr>
      <w:adjustRightInd w:val="0"/>
      <w:spacing w:line="360" w:lineRule="auto"/>
      <w:ind w:left="0" w:leftChars="0" w:firstLine="420"/>
      <w:textAlignment w:val="baseline"/>
    </w:pPr>
    <w:rPr>
      <w:rFonts w:ascii="Times New Roman" w:hAnsi="Times New Roman"/>
      <w:color w:val="000000"/>
      <w:kern w:val="0"/>
      <w:sz w:val="24"/>
      <w:szCs w:val="20"/>
    </w:rPr>
  </w:style>
  <w:style w:type="paragraph" w:styleId="3">
    <w:name w:val="Body Text Indent"/>
    <w:basedOn w:val="1"/>
    <w:next w:val="4"/>
    <w:link w:val="27"/>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7">
    <w:name w:val="Normal Indent"/>
    <w:basedOn w:val="1"/>
    <w:next w:val="1"/>
    <w:qFormat/>
    <w:uiPriority w:val="0"/>
    <w:pPr>
      <w:ind w:firstLine="420" w:firstLineChars="200"/>
    </w:pPr>
  </w:style>
  <w:style w:type="paragraph" w:styleId="8">
    <w:name w:val="annotation text"/>
    <w:basedOn w:val="1"/>
    <w:link w:val="33"/>
    <w:semiHidden/>
    <w:unhideWhenUsed/>
    <w:qFormat/>
    <w:uiPriority w:val="99"/>
    <w:pPr>
      <w:jc w:val="left"/>
    </w:pPr>
  </w:style>
  <w:style w:type="paragraph" w:styleId="9">
    <w:name w:val="Body Text"/>
    <w:basedOn w:val="1"/>
    <w:link w:val="31"/>
    <w:semiHidden/>
    <w:unhideWhenUsed/>
    <w:qFormat/>
    <w:uiPriority w:val="99"/>
    <w:pPr>
      <w:spacing w:after="120"/>
    </w:pPr>
  </w:style>
  <w:style w:type="paragraph" w:styleId="10">
    <w:name w:val="toc 3"/>
    <w:basedOn w:val="1"/>
    <w:next w:val="1"/>
    <w:qFormat/>
    <w:uiPriority w:val="39"/>
    <w:pPr>
      <w:ind w:left="840" w:leftChars="400"/>
    </w:pPr>
  </w:style>
  <w:style w:type="paragraph" w:styleId="11">
    <w:name w:val="Plain Text"/>
    <w:basedOn w:val="1"/>
    <w:next w:val="1"/>
    <w:qFormat/>
    <w:uiPriority w:val="99"/>
    <w:rPr>
      <w:rFonts w:ascii="宋体" w:hAnsi="Courier New"/>
      <w:szCs w:val="20"/>
    </w:rPr>
  </w:style>
  <w:style w:type="paragraph" w:styleId="12">
    <w:name w:val="Balloon Text"/>
    <w:basedOn w:val="1"/>
    <w:link w:val="32"/>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2"/>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2"/>
    <w:basedOn w:val="1"/>
    <w:next w:val="1"/>
    <w:qFormat/>
    <w:uiPriority w:val="39"/>
    <w:pPr>
      <w:tabs>
        <w:tab w:val="right" w:leader="dot" w:pos="8302"/>
      </w:tabs>
      <w:ind w:left="210"/>
      <w:jc w:val="left"/>
    </w:pPr>
    <w:rPr>
      <w:rFonts w:ascii="Times New Roman" w:hAnsi="Times New Roman"/>
      <w:smallCaps/>
      <w:sz w:val="20"/>
      <w:szCs w:val="20"/>
    </w:rPr>
  </w:style>
  <w:style w:type="paragraph" w:styleId="16">
    <w:name w:val="Body Text 2"/>
    <w:basedOn w:val="1"/>
    <w:link w:val="26"/>
    <w:qFormat/>
    <w:uiPriority w:val="0"/>
    <w:rPr>
      <w:rFonts w:ascii="宋体" w:hAnsi="宋体" w:eastAsia="楷体_GB2312"/>
      <w:kern w:val="0"/>
      <w:sz w:val="24"/>
      <w:szCs w:val="20"/>
      <w:u w:val="single"/>
    </w:rPr>
  </w:style>
  <w:style w:type="paragraph" w:styleId="17">
    <w:name w:val="annotation subject"/>
    <w:basedOn w:val="8"/>
    <w:next w:val="8"/>
    <w:link w:val="34"/>
    <w:semiHidden/>
    <w:unhideWhenUsed/>
    <w:qFormat/>
    <w:uiPriority w:val="99"/>
    <w:rPr>
      <w:b/>
      <w:bCs/>
    </w:rPr>
  </w:style>
  <w:style w:type="character" w:styleId="20">
    <w:name w:val="Hyperlink"/>
    <w:qFormat/>
    <w:uiPriority w:val="99"/>
    <w:rPr>
      <w:rFonts w:ascii="Arial" w:hAnsi="Arial" w:eastAsia="黑体" w:cs="Times New Roman"/>
      <w:color w:val="0000FF"/>
      <w:kern w:val="2"/>
      <w:sz w:val="21"/>
      <w:u w:val="single"/>
      <w:lang w:val="en-US" w:eastAsia="zh-CN"/>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4"/>
    <w:qFormat/>
    <w:uiPriority w:val="99"/>
    <w:rPr>
      <w:sz w:val="18"/>
      <w:szCs w:val="18"/>
    </w:rPr>
  </w:style>
  <w:style w:type="character" w:customStyle="1" w:styleId="23">
    <w:name w:val="页脚 字符"/>
    <w:basedOn w:val="19"/>
    <w:link w:val="13"/>
    <w:qFormat/>
    <w:uiPriority w:val="99"/>
    <w:rPr>
      <w:sz w:val="18"/>
      <w:szCs w:val="18"/>
    </w:rPr>
  </w:style>
  <w:style w:type="character" w:customStyle="1" w:styleId="24">
    <w:name w:val="标题 1 字符"/>
    <w:basedOn w:val="19"/>
    <w:link w:val="5"/>
    <w:qFormat/>
    <w:uiPriority w:val="0"/>
    <w:rPr>
      <w:rFonts w:ascii="Times New Roman" w:hAnsi="Times New Roman" w:eastAsia="宋体" w:cs="Times New Roman"/>
      <w:b/>
      <w:kern w:val="44"/>
      <w:sz w:val="44"/>
      <w:szCs w:val="20"/>
    </w:rPr>
  </w:style>
  <w:style w:type="character" w:customStyle="1" w:styleId="25">
    <w:name w:val="标题 2 字符"/>
    <w:basedOn w:val="19"/>
    <w:link w:val="6"/>
    <w:qFormat/>
    <w:uiPriority w:val="0"/>
    <w:rPr>
      <w:rFonts w:ascii="黑体" w:hAnsi="黑体" w:eastAsia="黑体" w:cs="Times New Roman"/>
      <w:sz w:val="30"/>
      <w:szCs w:val="20"/>
    </w:rPr>
  </w:style>
  <w:style w:type="character" w:customStyle="1" w:styleId="26">
    <w:name w:val="正文文本 2 字符"/>
    <w:basedOn w:val="19"/>
    <w:link w:val="16"/>
    <w:qFormat/>
    <w:uiPriority w:val="0"/>
    <w:rPr>
      <w:rFonts w:ascii="宋体" w:hAnsi="宋体" w:eastAsia="楷体_GB2312" w:cs="Times New Roman"/>
      <w:kern w:val="0"/>
      <w:sz w:val="24"/>
      <w:szCs w:val="20"/>
      <w:u w:val="single"/>
    </w:rPr>
  </w:style>
  <w:style w:type="character" w:customStyle="1" w:styleId="27">
    <w:name w:val="正文文本缩进 字符"/>
    <w:basedOn w:val="19"/>
    <w:link w:val="3"/>
    <w:semiHidden/>
    <w:qFormat/>
    <w:uiPriority w:val="99"/>
    <w:rPr>
      <w:rFonts w:ascii="Calibri" w:hAnsi="Calibri" w:eastAsia="宋体" w:cs="Times New Roman"/>
    </w:rPr>
  </w:style>
  <w:style w:type="character" w:customStyle="1" w:styleId="28">
    <w:name w:val="正文首行缩进 2 字符"/>
    <w:basedOn w:val="27"/>
    <w:link w:val="2"/>
    <w:qFormat/>
    <w:uiPriority w:val="0"/>
    <w:rPr>
      <w:rFonts w:ascii="Times New Roman" w:hAnsi="Times New Roman" w:eastAsia="宋体" w:cs="Times New Roman"/>
      <w:color w:val="000000"/>
      <w:kern w:val="0"/>
      <w:sz w:val="24"/>
      <w:szCs w:val="20"/>
    </w:rPr>
  </w:style>
  <w:style w:type="paragraph" w:customStyle="1" w:styleId="29">
    <w:name w:val="_Style 69"/>
    <w:basedOn w:val="5"/>
    <w:next w:val="1"/>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30">
    <w:name w:val="p0"/>
    <w:basedOn w:val="1"/>
    <w:qFormat/>
    <w:uiPriority w:val="0"/>
    <w:pPr>
      <w:widowControl/>
      <w:spacing w:before="75" w:after="75"/>
      <w:jc w:val="left"/>
    </w:pPr>
    <w:rPr>
      <w:rFonts w:ascii="宋体" w:hAnsi="宋体" w:cs="宋体"/>
      <w:kern w:val="0"/>
      <w:sz w:val="24"/>
      <w:szCs w:val="24"/>
    </w:rPr>
  </w:style>
  <w:style w:type="character" w:customStyle="1" w:styleId="31">
    <w:name w:val="正文文本 字符"/>
    <w:basedOn w:val="19"/>
    <w:link w:val="9"/>
    <w:semiHidden/>
    <w:qFormat/>
    <w:uiPriority w:val="99"/>
    <w:rPr>
      <w:rFonts w:ascii="Calibri" w:hAnsi="Calibri" w:eastAsia="宋体" w:cs="Times New Roman"/>
    </w:rPr>
  </w:style>
  <w:style w:type="character" w:customStyle="1" w:styleId="32">
    <w:name w:val="批注框文本 字符"/>
    <w:basedOn w:val="19"/>
    <w:link w:val="12"/>
    <w:semiHidden/>
    <w:qFormat/>
    <w:uiPriority w:val="99"/>
    <w:rPr>
      <w:rFonts w:ascii="Calibri" w:hAnsi="Calibri"/>
      <w:kern w:val="2"/>
      <w:sz w:val="18"/>
      <w:szCs w:val="18"/>
    </w:rPr>
  </w:style>
  <w:style w:type="character" w:customStyle="1" w:styleId="33">
    <w:name w:val="批注文字 字符"/>
    <w:basedOn w:val="19"/>
    <w:link w:val="8"/>
    <w:semiHidden/>
    <w:qFormat/>
    <w:uiPriority w:val="99"/>
    <w:rPr>
      <w:rFonts w:ascii="Calibri" w:hAnsi="Calibri"/>
      <w:kern w:val="2"/>
      <w:sz w:val="21"/>
      <w:szCs w:val="22"/>
    </w:rPr>
  </w:style>
  <w:style w:type="character" w:customStyle="1" w:styleId="34">
    <w:name w:val="批注主题 字符"/>
    <w:basedOn w:val="33"/>
    <w:link w:val="17"/>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6124</Words>
  <Characters>6757</Characters>
  <Lines>70</Lines>
  <Paragraphs>19</Paragraphs>
  <TotalTime>5</TotalTime>
  <ScaleCrop>false</ScaleCrop>
  <LinksUpToDate>false</LinksUpToDate>
  <CharactersWithSpaces>6867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2023-11-28T07:51:00Z</dcterms:created>
  <dc:creator>Administrator</dc:creator>
  <cp:lastModifiedBy>Administrator</cp:lastModifiedBy>
  <dcterms:modified xsi:type="dcterms:W3CDTF">2024-07-02T07:36:02Z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685F275C2806437C93492D5CD8CD123C_13</vt:lpwstr>
  </property>
</Properties>
</file>