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36"/>
          <w:szCs w:val="36"/>
          <w:highlight w:val="none"/>
        </w:rPr>
      </w:pPr>
      <w:r>
        <w:rPr>
          <w:rFonts w:hint="eastAsia"/>
          <w:sz w:val="36"/>
          <w:szCs w:val="36"/>
          <w:highlight w:val="none"/>
        </w:rPr>
        <w:t>招标公告</w:t>
      </w:r>
    </w:p>
    <w:p>
      <w:pPr>
        <w:spacing w:line="360" w:lineRule="auto"/>
        <w:rPr>
          <w:rFonts w:hint="eastAsia" w:ascii="宋体" w:hAnsi="宋体"/>
          <w:sz w:val="24"/>
          <w:highlight w:val="none"/>
        </w:rPr>
      </w:pPr>
    </w:p>
    <w:p>
      <w:pPr>
        <w:spacing w:line="360" w:lineRule="auto"/>
        <w:rPr>
          <w:rFonts w:hint="eastAsia" w:ascii="宋体" w:hAnsi="宋体"/>
          <w:b/>
          <w:sz w:val="24"/>
          <w:highlight w:val="none"/>
        </w:rPr>
      </w:pPr>
      <w:r>
        <w:rPr>
          <w:rFonts w:hint="eastAsia" w:ascii="宋体" w:hAnsi="宋体"/>
          <w:b/>
          <w:sz w:val="24"/>
          <w:highlight w:val="none"/>
        </w:rPr>
        <w:t>1.1    招标目的</w:t>
      </w:r>
    </w:p>
    <w:p>
      <w:pPr>
        <w:spacing w:line="360" w:lineRule="auto"/>
        <w:ind w:left="821" w:hanging="820" w:hangingChars="342"/>
        <w:rPr>
          <w:rFonts w:hint="eastAsia" w:ascii="宋体" w:hAnsi="宋体"/>
          <w:sz w:val="24"/>
          <w:highlight w:val="none"/>
        </w:rPr>
      </w:pPr>
    </w:p>
    <w:p>
      <w:pPr>
        <w:spacing w:line="360" w:lineRule="auto"/>
        <w:ind w:left="821" w:hanging="820" w:hangingChars="342"/>
        <w:rPr>
          <w:rFonts w:hint="eastAsia" w:ascii="宋体" w:hAnsi="宋体"/>
          <w:sz w:val="24"/>
          <w:highlight w:val="none"/>
        </w:rPr>
      </w:pPr>
      <w:r>
        <w:rPr>
          <w:rFonts w:hint="eastAsia" w:ascii="宋体" w:hAnsi="宋体"/>
          <w:sz w:val="24"/>
          <w:highlight w:val="none"/>
        </w:rPr>
        <w:t>1.1.1  为了获得工程勘察设计方案，招标人以公开招标方式，在给定任务书、投标人满足投标资格的前提下，通过评标委员会的评审推荐，确定最佳勘察设计方案及其勘察设计承包人。</w:t>
      </w:r>
    </w:p>
    <w:p>
      <w:pPr>
        <w:spacing w:line="360" w:lineRule="auto"/>
        <w:rPr>
          <w:rFonts w:hint="eastAsia" w:ascii="宋体" w:hAnsi="宋体"/>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1.2    项目概况</w:t>
      </w:r>
    </w:p>
    <w:p>
      <w:pPr>
        <w:spacing w:line="360" w:lineRule="auto"/>
        <w:jc w:val="left"/>
        <w:rPr>
          <w:rFonts w:hint="eastAsia"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1.2.1  工程名称：</w:t>
      </w:r>
      <w:r>
        <w:rPr>
          <w:rFonts w:hint="eastAsia" w:ascii="宋体" w:hAnsi="宋体"/>
          <w:sz w:val="24"/>
          <w:highlight w:val="none"/>
          <w:u w:val="single"/>
        </w:rPr>
        <w:t>华南理工大学大学城校区“一站式”学生社区服务中心勘察设计</w:t>
      </w:r>
      <w:r>
        <w:rPr>
          <w:rFonts w:hint="eastAsia" w:ascii="宋体" w:hAnsi="宋体"/>
          <w:sz w:val="24"/>
          <w:highlight w:val="none"/>
        </w:rPr>
        <w:t>。</w:t>
      </w:r>
    </w:p>
    <w:p>
      <w:pPr>
        <w:spacing w:line="360" w:lineRule="auto"/>
        <w:jc w:val="left"/>
        <w:rPr>
          <w:rFonts w:hint="eastAsia" w:ascii="宋体" w:hAnsi="宋体"/>
          <w:sz w:val="24"/>
          <w:highlight w:val="none"/>
        </w:rPr>
      </w:pPr>
      <w:r>
        <w:rPr>
          <w:rFonts w:hint="eastAsia" w:ascii="宋体" w:hAnsi="宋体"/>
          <w:sz w:val="24"/>
          <w:highlight w:val="none"/>
        </w:rPr>
        <w:t>1.2.2  工程位置：</w:t>
      </w:r>
      <w:r>
        <w:rPr>
          <w:rFonts w:hint="eastAsia" w:ascii="宋体" w:hAnsi="宋体"/>
          <w:sz w:val="24"/>
          <w:highlight w:val="none"/>
          <w:u w:val="single"/>
        </w:rPr>
        <w:t>广州市番禺区华南理工大学大学城校区教学区BB0101234地块内</w:t>
      </w:r>
      <w:r>
        <w:rPr>
          <w:rFonts w:hint="eastAsia" w:ascii="宋体" w:hAnsi="宋体"/>
          <w:sz w:val="24"/>
          <w:highlight w:val="none"/>
        </w:rPr>
        <w:t>。</w:t>
      </w:r>
    </w:p>
    <w:p>
      <w:pPr>
        <w:spacing w:line="360" w:lineRule="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1.2.3  工程范围：</w:t>
      </w:r>
      <w:r>
        <w:rPr>
          <w:rFonts w:hint="eastAsia" w:ascii="宋体" w:hAnsi="宋体"/>
          <w:sz w:val="24"/>
          <w:highlight w:val="none"/>
          <w:u w:val="single"/>
        </w:rPr>
        <w:t>本项目位于华南理工大学大学城校区。华南理工大学大学城校区“一站式”学生社区服务中心用地面积约为14609㎡，拟建建筑面积约为19161㎡，其中地上建筑面积约为19161㎡，无地下建筑面积。建筑功能为学生食堂和一站式服务用房，其中一站式服务用房包含一站式服务中心、多功能会议厅、展厅及文体活动用房。学生食堂为2层，一站式服务用房为5层；在首层局部室外设置停车场，机动车车位控制要求:校区总体平衡，且本项目机动车车位数量不得少于</w:t>
      </w:r>
      <w:r>
        <w:rPr>
          <w:rFonts w:ascii="宋体" w:hAnsi="宋体"/>
          <w:sz w:val="24"/>
          <w:highlight w:val="none"/>
          <w:u w:val="single"/>
        </w:rPr>
        <w:t>41</w:t>
      </w:r>
      <w:r>
        <w:rPr>
          <w:rFonts w:hint="eastAsia" w:ascii="宋体" w:hAnsi="宋体"/>
          <w:sz w:val="24"/>
          <w:highlight w:val="none"/>
          <w:u w:val="single"/>
        </w:rPr>
        <w:t>个。非机动车959个，另设置2个临时接送车位（含出租车上落客泊位）及2个学校巴士上落客车位。项目建设内容包括：建筑、结构、装修装饰、消防、通风、给排水、电梯、强电、智能化弱电设计及周边道路、园林绿化（含屋面绿化）、景观照明等市政设施。采用绿色建筑二星级设计，满足《绿色建筑评价标准》 (GB/I 50378-2019）的相关规定。</w:t>
      </w:r>
      <w:r>
        <w:rPr>
          <w:rFonts w:hint="eastAsia" w:ascii="宋体" w:hAnsi="宋体" w:eastAsia="宋体" w:cs="Times New Roman"/>
          <w:sz w:val="24"/>
          <w:highlight w:val="none"/>
          <w:u w:val="single"/>
        </w:rPr>
        <w:t>本项目最大单体建筑面积</w:t>
      </w:r>
      <w:r>
        <w:rPr>
          <w:rFonts w:hint="eastAsia" w:ascii="宋体" w:hAnsi="宋体" w:eastAsia="宋体" w:cs="Times New Roman"/>
          <w:sz w:val="24"/>
          <w:highlight w:val="none"/>
          <w:u w:val="single"/>
          <w:lang w:val="en-US" w:eastAsia="zh-CN"/>
        </w:rPr>
        <w:t>约</w:t>
      </w:r>
      <w:r>
        <w:rPr>
          <w:rFonts w:hint="eastAsia" w:ascii="宋体" w:hAnsi="宋体" w:eastAsia="宋体" w:cs="Times New Roman"/>
          <w:sz w:val="24"/>
          <w:highlight w:val="none"/>
          <w:u w:val="single"/>
        </w:rPr>
        <w:t>12041㎡，最高建筑高度</w:t>
      </w:r>
      <w:r>
        <w:rPr>
          <w:rFonts w:hint="eastAsia" w:ascii="宋体" w:hAnsi="宋体" w:eastAsia="宋体" w:cs="Times New Roman"/>
          <w:sz w:val="24"/>
          <w:highlight w:val="none"/>
          <w:u w:val="single"/>
          <w:lang w:val="en-US" w:eastAsia="zh-CN"/>
        </w:rPr>
        <w:t>约</w:t>
      </w:r>
      <w:r>
        <w:rPr>
          <w:rFonts w:hint="eastAsia" w:ascii="宋体" w:hAnsi="宋体" w:eastAsia="宋体" w:cs="Times New Roman"/>
          <w:sz w:val="24"/>
          <w:highlight w:val="none"/>
          <w:u w:val="single"/>
        </w:rPr>
        <w:t>24米</w:t>
      </w:r>
      <w:r>
        <w:rPr>
          <w:rFonts w:hint="eastAsia" w:ascii="宋体" w:hAnsi="宋体" w:eastAsia="宋体" w:cs="Times New Roman"/>
          <w:sz w:val="24"/>
          <w:highlight w:val="none"/>
          <w:u w:val="single"/>
          <w:lang w:eastAsia="zh-CN"/>
        </w:rPr>
        <w:t>。</w:t>
      </w:r>
    </w:p>
    <w:p>
      <w:pPr>
        <w:spacing w:line="360" w:lineRule="auto"/>
        <w:jc w:val="left"/>
        <w:rPr>
          <w:rFonts w:hint="eastAsia" w:ascii="宋体" w:hAnsi="宋体"/>
          <w:sz w:val="24"/>
          <w:highlight w:val="none"/>
        </w:rPr>
      </w:pPr>
      <w:r>
        <w:rPr>
          <w:rFonts w:hint="eastAsia" w:ascii="宋体" w:hAnsi="宋体"/>
          <w:sz w:val="24"/>
          <w:highlight w:val="none"/>
        </w:rPr>
        <w:t>1.2.4  规划用地文件：</w:t>
      </w:r>
      <w:r>
        <w:rPr>
          <w:rFonts w:hint="eastAsia" w:ascii="宋体" w:hAnsi="宋体"/>
          <w:sz w:val="24"/>
          <w:highlight w:val="none"/>
          <w:u w:val="single"/>
        </w:rPr>
        <w:t xml:space="preserve">《建设用地规划许可证》（穗规地证〔2004〕211、215 号） </w:t>
      </w:r>
      <w:r>
        <w:rPr>
          <w:rFonts w:hint="eastAsia" w:ascii="宋体" w:hAnsi="宋体"/>
          <w:sz w:val="24"/>
          <w:highlight w:val="none"/>
        </w:rPr>
        <w:t>。</w:t>
      </w:r>
    </w:p>
    <w:p>
      <w:pPr>
        <w:spacing w:line="360" w:lineRule="auto"/>
        <w:jc w:val="left"/>
        <w:rPr>
          <w:rFonts w:hint="eastAsia" w:ascii="宋体" w:hAnsi="宋体"/>
          <w:sz w:val="24"/>
          <w:highlight w:val="none"/>
        </w:rPr>
      </w:pPr>
      <w:r>
        <w:rPr>
          <w:rFonts w:hint="eastAsia" w:ascii="宋体" w:hAnsi="宋体"/>
          <w:sz w:val="24"/>
          <w:highlight w:val="none"/>
        </w:rPr>
        <w:t>1.2.5  项目批准文件：</w:t>
      </w:r>
      <w:r>
        <w:rPr>
          <w:rFonts w:hint="eastAsia" w:ascii="宋体" w:hAnsi="宋体"/>
          <w:sz w:val="24"/>
          <w:highlight w:val="none"/>
          <w:u w:val="single"/>
        </w:rPr>
        <w:t xml:space="preserve">教发函〔2024]69号 </w:t>
      </w:r>
      <w:r>
        <w:rPr>
          <w:rFonts w:hint="eastAsia" w:ascii="宋体" w:hAnsi="宋体"/>
          <w:sz w:val="24"/>
          <w:highlight w:val="none"/>
        </w:rPr>
        <w:t>。</w:t>
      </w:r>
    </w:p>
    <w:p>
      <w:pPr>
        <w:spacing w:line="360" w:lineRule="auto"/>
        <w:jc w:val="left"/>
        <w:rPr>
          <w:rFonts w:hint="eastAsia" w:ascii="宋体" w:hAnsi="宋体"/>
          <w:sz w:val="24"/>
          <w:highlight w:val="none"/>
        </w:rPr>
      </w:pPr>
      <w:r>
        <w:rPr>
          <w:rFonts w:hint="eastAsia" w:ascii="宋体" w:hAnsi="宋体"/>
          <w:sz w:val="24"/>
          <w:highlight w:val="none"/>
        </w:rPr>
        <w:t>1.2.6  资金来源：</w:t>
      </w:r>
      <w:r>
        <w:rPr>
          <w:rFonts w:hint="eastAsia" w:ascii="宋体" w:hAnsi="宋体"/>
          <w:sz w:val="24"/>
          <w:highlight w:val="none"/>
          <w:u w:val="single"/>
        </w:rPr>
        <w:t>中央财政及自筹</w:t>
      </w:r>
      <w:r>
        <w:rPr>
          <w:rFonts w:hint="eastAsia" w:ascii="宋体" w:hAnsi="宋体"/>
          <w:sz w:val="24"/>
          <w:highlight w:val="none"/>
          <w:u w:val="single"/>
          <w:lang w:val="en-US" w:eastAsia="zh-CN"/>
        </w:rPr>
        <w:t>资金</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jc w:val="left"/>
        <w:rPr>
          <w:rFonts w:hint="eastAsia" w:ascii="宋体" w:hAnsi="宋体"/>
          <w:sz w:val="24"/>
          <w:highlight w:val="none"/>
        </w:rPr>
      </w:pPr>
      <w:r>
        <w:rPr>
          <w:rFonts w:hint="eastAsia" w:ascii="宋体" w:hAnsi="宋体"/>
          <w:sz w:val="24"/>
          <w:highlight w:val="none"/>
        </w:rPr>
        <w:t>1.2.7  投资总额：人民币</w:t>
      </w:r>
      <w:r>
        <w:rPr>
          <w:rFonts w:hint="eastAsia" w:ascii="宋体" w:hAnsi="宋体"/>
          <w:sz w:val="24"/>
          <w:highlight w:val="none"/>
          <w:u w:val="single"/>
          <w:lang w:val="en-US" w:eastAsia="zh-CN"/>
        </w:rPr>
        <w:t>10600</w:t>
      </w:r>
      <w:r>
        <w:rPr>
          <w:rFonts w:hint="eastAsia" w:ascii="宋体" w:hAnsi="宋体"/>
          <w:sz w:val="24"/>
          <w:highlight w:val="none"/>
        </w:rPr>
        <w:t>万元。其中，工程费用限额：人民币</w:t>
      </w:r>
      <w:r>
        <w:rPr>
          <w:rFonts w:hint="eastAsia" w:ascii="宋体" w:hAnsi="宋体"/>
          <w:sz w:val="24"/>
          <w:highlight w:val="none"/>
          <w:u w:val="single"/>
        </w:rPr>
        <w:t>8657.5</w:t>
      </w:r>
      <w:r>
        <w:rPr>
          <w:rFonts w:hint="eastAsia" w:ascii="宋体" w:hAnsi="宋体"/>
          <w:sz w:val="24"/>
          <w:highlight w:val="none"/>
        </w:rPr>
        <w:t>万元；</w:t>
      </w:r>
    </w:p>
    <w:p>
      <w:pPr>
        <w:adjustRightInd w:val="0"/>
        <w:snapToGrid w:val="0"/>
        <w:spacing w:line="360" w:lineRule="auto"/>
        <w:ind w:right="11" w:firstLine="0"/>
        <w:rPr>
          <w:rFonts w:hint="eastAsia" w:hAnsi="宋体"/>
          <w:bCs/>
          <w:sz w:val="24"/>
          <w:szCs w:val="32"/>
          <w:highlight w:val="none"/>
          <w:u w:val="single"/>
        </w:rPr>
      </w:pPr>
      <w:r>
        <w:rPr>
          <w:rFonts w:hint="eastAsia" w:ascii="宋体" w:hAnsi="宋体"/>
          <w:sz w:val="24"/>
          <w:highlight w:val="none"/>
        </w:rPr>
        <w:t>1.2.8  招标内容：</w:t>
      </w:r>
      <w:r>
        <w:rPr>
          <w:rFonts w:hint="eastAsia" w:ascii="宋体" w:hAnsi="宋体" w:cs="宋体"/>
          <w:bCs/>
          <w:sz w:val="24"/>
          <w:highlight w:val="none"/>
          <w:u w:val="single"/>
          <w:lang w:bidi="ar"/>
        </w:rPr>
        <w:t>根据基础资料、勘察设计任务书要求，完成本项目立项及可行性研究报告批复范围内所有建设内容的勘察设计等工作，包括但不限于：</w:t>
      </w:r>
      <w:r>
        <w:rPr>
          <w:rFonts w:ascii="宋体" w:hAnsi="宋体" w:cs="宋体"/>
          <w:bCs/>
          <w:sz w:val="24"/>
          <w:highlight w:val="none"/>
          <w:u w:val="single"/>
          <w:lang w:bidi="ar"/>
        </w:rPr>
        <w:t>工程勘察工作</w:t>
      </w:r>
      <w:r>
        <w:rPr>
          <w:rFonts w:hint="eastAsia" w:ascii="宋体" w:hAnsi="宋体" w:cs="宋体"/>
          <w:bCs/>
          <w:sz w:val="24"/>
          <w:highlight w:val="none"/>
          <w:u w:val="single"/>
          <w:lang w:bidi="ar"/>
        </w:rPr>
        <w:t>、</w:t>
      </w:r>
      <w:r>
        <w:rPr>
          <w:rFonts w:ascii="宋体" w:hAnsi="宋体" w:cs="宋体"/>
          <w:bCs/>
          <w:sz w:val="24"/>
          <w:highlight w:val="none"/>
          <w:u w:val="single"/>
          <w:lang w:bidi="ar"/>
        </w:rPr>
        <w:t>现状摸查及编制摸查报告</w:t>
      </w:r>
      <w:r>
        <w:rPr>
          <w:rFonts w:hint="eastAsia" w:ascii="宋体" w:hAnsi="宋体" w:cs="宋体"/>
          <w:bCs/>
          <w:sz w:val="24"/>
          <w:highlight w:val="none"/>
          <w:u w:val="single"/>
          <w:lang w:bidi="ar"/>
        </w:rPr>
        <w:t>、</w:t>
      </w:r>
      <w:r>
        <w:rPr>
          <w:rFonts w:ascii="宋体" w:hAnsi="宋体" w:cs="宋体"/>
          <w:bCs/>
          <w:sz w:val="24"/>
          <w:highlight w:val="none"/>
          <w:u w:val="single"/>
          <w:lang w:bidi="ar"/>
        </w:rPr>
        <w:t>设计方案报审工作(含修建性详细规划调整工作）</w:t>
      </w:r>
      <w:r>
        <w:rPr>
          <w:rFonts w:hint="eastAsia" w:ascii="宋体" w:hAnsi="宋体" w:cs="宋体"/>
          <w:bCs/>
          <w:sz w:val="24"/>
          <w:highlight w:val="none"/>
          <w:u w:val="single"/>
          <w:lang w:bidi="ar"/>
        </w:rPr>
        <w:t>、</w:t>
      </w:r>
      <w:r>
        <w:rPr>
          <w:rFonts w:ascii="宋体" w:hAnsi="宋体" w:cs="宋体"/>
          <w:bCs/>
          <w:sz w:val="24"/>
          <w:highlight w:val="none"/>
          <w:u w:val="single"/>
          <w:lang w:bidi="ar"/>
        </w:rPr>
        <w:t>负责方案设计、初步设计、施工图设计、完整版施工图编制和竣工图审核工作，包括但不限于：总平面规划、建筑、结构、人防、消防、给排水、电气、建筑智能化系统、暖通、室内装修、电梯、安防设计、标识导引系统、防雷、环保工程、幕墙工程、室外市政、园林工程、市政道路、市政管线、暗渠改道、管线综合平衡、设备选型意见等专业内容</w:t>
      </w:r>
      <w:r>
        <w:rPr>
          <w:rFonts w:hint="eastAsia" w:ascii="宋体" w:hAnsi="宋体" w:cs="宋体"/>
          <w:bCs/>
          <w:sz w:val="24"/>
          <w:highlight w:val="none"/>
          <w:u w:val="single"/>
          <w:lang w:bidi="ar"/>
        </w:rPr>
        <w:t>、建筑节能新技术的应用及设计、</w:t>
      </w:r>
      <w:r>
        <w:rPr>
          <w:rFonts w:ascii="宋体" w:hAnsi="宋体" w:cs="宋体"/>
          <w:bCs/>
          <w:sz w:val="24"/>
          <w:highlight w:val="none"/>
          <w:u w:val="single"/>
          <w:lang w:bidi="ar"/>
        </w:rPr>
        <w:t>造价文件编制工作</w:t>
      </w:r>
      <w:r>
        <w:rPr>
          <w:rFonts w:hint="eastAsia" w:ascii="宋体" w:hAnsi="宋体" w:cs="宋体"/>
          <w:bCs/>
          <w:sz w:val="24"/>
          <w:highlight w:val="none"/>
          <w:u w:val="single"/>
          <w:lang w:bidi="ar"/>
        </w:rPr>
        <w:t>、</w:t>
      </w:r>
      <w:r>
        <w:rPr>
          <w:rFonts w:ascii="宋体" w:hAnsi="宋体" w:cs="宋体"/>
          <w:bCs/>
          <w:sz w:val="24"/>
          <w:highlight w:val="none"/>
          <w:u w:val="single"/>
          <w:lang w:bidi="ar"/>
        </w:rPr>
        <w:t>技术配合工作</w:t>
      </w:r>
      <w:r>
        <w:rPr>
          <w:rFonts w:hint="eastAsia" w:ascii="宋体" w:hAnsi="宋体" w:cs="宋体"/>
          <w:bCs/>
          <w:sz w:val="24"/>
          <w:highlight w:val="none"/>
          <w:u w:val="single"/>
          <w:lang w:bidi="ar"/>
        </w:rPr>
        <w:t>如</w:t>
      </w:r>
      <w:r>
        <w:rPr>
          <w:rFonts w:ascii="宋体" w:hAnsi="宋体" w:cs="宋体"/>
          <w:bCs/>
          <w:sz w:val="24"/>
          <w:highlight w:val="none"/>
          <w:u w:val="single"/>
          <w:lang w:bidi="ar"/>
        </w:rPr>
        <w:t>甲方后续各类（含招标）工作配合、施工配合、现场服务、竣工图编制配合服务等</w:t>
      </w:r>
      <w:r>
        <w:rPr>
          <w:rFonts w:hint="eastAsia" w:ascii="宋体" w:hAnsi="宋体" w:cs="宋体"/>
          <w:bCs/>
          <w:sz w:val="24"/>
          <w:highlight w:val="none"/>
          <w:u w:val="single"/>
          <w:lang w:bidi="ar"/>
        </w:rPr>
        <w:t>、</w:t>
      </w:r>
      <w:r>
        <w:rPr>
          <w:rFonts w:ascii="宋体" w:hAnsi="宋体" w:cs="宋体"/>
          <w:bCs/>
          <w:sz w:val="24"/>
          <w:highlight w:val="none"/>
          <w:u w:val="single"/>
          <w:lang w:bidi="ar"/>
        </w:rPr>
        <w:t>报建配合工作</w:t>
      </w:r>
      <w:r>
        <w:rPr>
          <w:rFonts w:hint="eastAsia" w:ascii="宋体" w:hAnsi="宋体" w:cs="宋体"/>
          <w:bCs/>
          <w:sz w:val="24"/>
          <w:highlight w:val="none"/>
          <w:u w:val="single"/>
          <w:lang w:bidi="ar"/>
        </w:rPr>
        <w:t>、</w:t>
      </w:r>
      <w:r>
        <w:rPr>
          <w:rFonts w:ascii="宋体" w:hAnsi="宋体" w:cs="宋体"/>
          <w:bCs/>
          <w:sz w:val="24"/>
          <w:highlight w:val="none"/>
          <w:u w:val="single"/>
          <w:lang w:bidi="ar"/>
        </w:rPr>
        <w:t>设计文件修改、完善工作</w:t>
      </w:r>
      <w:r>
        <w:rPr>
          <w:rFonts w:hint="eastAsia" w:ascii="宋体" w:hAnsi="宋体" w:cs="宋体"/>
          <w:bCs/>
          <w:sz w:val="24"/>
          <w:highlight w:val="none"/>
          <w:u w:val="single"/>
          <w:lang w:bidi="ar"/>
        </w:rPr>
        <w:t>，</w:t>
      </w:r>
      <w:r>
        <w:rPr>
          <w:rFonts w:ascii="宋体" w:hAnsi="宋体" w:cs="宋体"/>
          <w:bCs/>
          <w:sz w:val="24"/>
          <w:highlight w:val="none"/>
          <w:u w:val="single"/>
          <w:lang w:bidi="ar"/>
        </w:rPr>
        <w:t>按照建设方案联审决策审批要求，需在建设方案中编制“古树名木及大树保护”、“历史文化风貌保护”、“防范大规模拆建”等专篇内容，进行方案比选及论证，确保建设方案科学、合理、合规</w:t>
      </w:r>
      <w:r>
        <w:rPr>
          <w:rFonts w:hint="eastAsia" w:ascii="宋体" w:hAnsi="宋体" w:cs="宋体"/>
          <w:bCs/>
          <w:sz w:val="24"/>
          <w:highlight w:val="none"/>
          <w:u w:val="single"/>
          <w:lang w:bidi="ar"/>
        </w:rPr>
        <w:t>。按照主管部门审批要求，根据《树木保护专章》相关成果及要求，深化、完善设计方案等，确保通过专家评审及相关部门审批</w:t>
      </w:r>
      <w:r>
        <w:rPr>
          <w:rFonts w:hint="eastAsia" w:ascii="宋体" w:hAnsi="宋体" w:cs="宋体"/>
          <w:sz w:val="24"/>
          <w:highlight w:val="none"/>
          <w:u w:val="single"/>
          <w:lang w:bidi="ar"/>
        </w:rPr>
        <w:t>。</w:t>
      </w:r>
      <w:r>
        <w:rPr>
          <w:rFonts w:hint="eastAsia" w:hAnsi="宋体" w:cs="宋体"/>
          <w:bCs/>
          <w:sz w:val="24"/>
          <w:szCs w:val="32"/>
          <w:highlight w:val="none"/>
          <w:u w:val="single"/>
          <w:lang w:bidi="ar"/>
        </w:rPr>
        <w:t>具体工作内容及要求详见本项目勘察设计任务书及本合同的有关约定。</w:t>
      </w:r>
    </w:p>
    <w:p>
      <w:pPr>
        <w:spacing w:line="360" w:lineRule="auto"/>
        <w:jc w:val="left"/>
        <w:rPr>
          <w:rFonts w:hint="eastAsia" w:ascii="宋体" w:hAnsi="宋体"/>
          <w:sz w:val="24"/>
          <w:highlight w:val="none"/>
        </w:rPr>
      </w:pPr>
      <w:r>
        <w:rPr>
          <w:rFonts w:hint="eastAsia" w:ascii="宋体" w:hAnsi="宋体"/>
          <w:sz w:val="24"/>
          <w:highlight w:val="none"/>
        </w:rPr>
        <w:t>1.2.9 工程建议施工日期为</w:t>
      </w:r>
      <w:r>
        <w:rPr>
          <w:rFonts w:hint="eastAsia" w:ascii="宋体" w:hAnsi="宋体"/>
          <w:sz w:val="24"/>
          <w:highlight w:val="none"/>
          <w:u w:val="single"/>
        </w:rPr>
        <w:t xml:space="preserve">    </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月，竣工日期为</w:t>
      </w:r>
      <w:r>
        <w:rPr>
          <w:rFonts w:hint="eastAsia" w:ascii="宋体" w:hAnsi="宋体"/>
          <w:sz w:val="24"/>
          <w:highlight w:val="none"/>
          <w:u w:val="single"/>
        </w:rPr>
        <w:t xml:space="preserve">   </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月。</w:t>
      </w:r>
    </w:p>
    <w:p>
      <w:pPr>
        <w:spacing w:line="360" w:lineRule="auto"/>
        <w:ind w:firstLine="720" w:firstLineChars="300"/>
        <w:jc w:val="left"/>
        <w:rPr>
          <w:rFonts w:hint="eastAsia" w:ascii="宋体" w:hAnsi="宋体"/>
          <w:sz w:val="24"/>
          <w:highlight w:val="none"/>
          <w:u w:val="none"/>
        </w:rPr>
      </w:pPr>
      <w:r>
        <w:rPr>
          <w:rFonts w:hint="eastAsia" w:ascii="宋体" w:hAnsi="宋体"/>
          <w:sz w:val="24"/>
          <w:highlight w:val="none"/>
          <w:u w:val="none"/>
        </w:rPr>
        <w:t>勘察设计服务期限：</w:t>
      </w:r>
      <w:r>
        <w:rPr>
          <w:rFonts w:hint="eastAsia" w:ascii="宋体" w:hAnsi="宋体"/>
          <w:sz w:val="24"/>
          <w:highlight w:val="none"/>
          <w:u w:val="single"/>
        </w:rPr>
        <w:t>履行完成本次招标约定工作内容及合同约定义务及责任，具体详见合同条款第二章“9、设计成果文件的提交”。</w:t>
      </w:r>
    </w:p>
    <w:p>
      <w:pPr>
        <w:spacing w:line="360" w:lineRule="auto"/>
        <w:jc w:val="left"/>
        <w:rPr>
          <w:rFonts w:hint="eastAsia" w:ascii="宋体" w:hAnsi="宋体" w:eastAsia="宋体" w:cs="Times New Roman"/>
          <w:sz w:val="24"/>
          <w:highlight w:val="none"/>
          <w:u w:val="single"/>
        </w:rPr>
      </w:pPr>
      <w:r>
        <w:rPr>
          <w:rFonts w:hint="eastAsia" w:ascii="宋体" w:hAnsi="宋体" w:eastAsia="宋体" w:cs="Times New Roman"/>
          <w:sz w:val="24"/>
          <w:highlight w:val="none"/>
          <w:u w:val="single"/>
        </w:rPr>
        <w:t>1.2.10绿色建筑等级要求:绿色建筑二星。</w:t>
      </w:r>
    </w:p>
    <w:p>
      <w:pPr>
        <w:spacing w:line="360" w:lineRule="auto"/>
        <w:jc w:val="left"/>
        <w:rPr>
          <w:rFonts w:hint="eastAsia" w:ascii="宋体" w:hAnsi="宋体"/>
          <w:b/>
          <w:sz w:val="24"/>
          <w:highlight w:val="none"/>
        </w:rPr>
      </w:pPr>
      <w:r>
        <w:rPr>
          <w:rFonts w:hint="eastAsia" w:ascii="宋体" w:hAnsi="宋体"/>
          <w:b/>
          <w:sz w:val="24"/>
          <w:highlight w:val="none"/>
        </w:rPr>
        <w:t>1.3    前期服务机构</w:t>
      </w:r>
    </w:p>
    <w:p>
      <w:pPr>
        <w:spacing w:line="360" w:lineRule="auto"/>
        <w:jc w:val="left"/>
        <w:rPr>
          <w:rFonts w:hint="eastAsia"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1.3.1  机构名称：</w:t>
      </w:r>
      <w:r>
        <w:rPr>
          <w:rFonts w:hint="eastAsia" w:ascii="宋体" w:hAnsi="宋体"/>
          <w:sz w:val="24"/>
          <w:highlight w:val="none"/>
          <w:u w:val="single"/>
        </w:rPr>
        <w:t xml:space="preserve">华南理工大学建筑设计研究院有限公司、广州景观工程设计研究院有限公司 </w:t>
      </w:r>
      <w:r>
        <w:rPr>
          <w:rFonts w:hint="eastAsia" w:ascii="宋体" w:hAnsi="宋体"/>
          <w:sz w:val="24"/>
          <w:highlight w:val="none"/>
        </w:rPr>
        <w:t>。</w:t>
      </w:r>
    </w:p>
    <w:p>
      <w:pPr>
        <w:spacing w:line="360" w:lineRule="auto"/>
        <w:jc w:val="left"/>
        <w:rPr>
          <w:rFonts w:hint="eastAsia" w:ascii="宋体" w:hAnsi="宋体"/>
          <w:sz w:val="24"/>
          <w:highlight w:val="none"/>
        </w:rPr>
      </w:pPr>
      <w:r>
        <w:rPr>
          <w:rFonts w:hint="eastAsia" w:ascii="宋体" w:hAnsi="宋体"/>
          <w:sz w:val="24"/>
          <w:highlight w:val="none"/>
        </w:rPr>
        <w:t>[注释] 如果有前期服务机构，应公开披露其名称。</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1.3.2  如果前期服务机构参加本次投标，应将本公告发布前最终完成的工作成果（含电子文件）</w:t>
      </w:r>
      <w:r>
        <w:rPr>
          <w:rFonts w:hint="eastAsia" w:ascii="宋体" w:hAnsi="宋体"/>
          <w:sz w:val="24"/>
          <w:highlight w:val="none"/>
          <w:u w:val="single"/>
        </w:rPr>
        <w:t>在发布招标公告时一并公开，供所有投标人参考</w:t>
      </w:r>
      <w:r>
        <w:rPr>
          <w:rFonts w:hint="eastAsia" w:ascii="宋体" w:hAnsi="宋体"/>
          <w:sz w:val="24"/>
          <w:highlight w:val="none"/>
        </w:rPr>
        <w:t>，否则前期参与的服务机构中标无效。</w:t>
      </w:r>
    </w:p>
    <w:p>
      <w:pPr>
        <w:spacing w:line="360" w:lineRule="auto"/>
        <w:jc w:val="left"/>
        <w:rPr>
          <w:rFonts w:hint="eastAsia" w:ascii="宋体" w:hAnsi="宋体"/>
          <w:sz w:val="24"/>
          <w:highlight w:val="none"/>
        </w:rPr>
      </w:pPr>
    </w:p>
    <w:p>
      <w:pPr>
        <w:spacing w:line="360" w:lineRule="auto"/>
        <w:rPr>
          <w:rFonts w:hint="eastAsia" w:ascii="宋体" w:hAnsi="宋体"/>
          <w:b/>
          <w:sz w:val="24"/>
          <w:highlight w:val="none"/>
        </w:rPr>
      </w:pPr>
      <w:r>
        <w:rPr>
          <w:rFonts w:hint="eastAsia" w:ascii="宋体" w:hAnsi="宋体"/>
          <w:b/>
          <w:sz w:val="24"/>
          <w:highlight w:val="none"/>
        </w:rPr>
        <w:t>1.4    投标资格</w:t>
      </w:r>
    </w:p>
    <w:p>
      <w:pPr>
        <w:spacing w:line="360" w:lineRule="auto"/>
        <w:rPr>
          <w:rFonts w:hint="eastAsia" w:ascii="宋体" w:hAnsi="宋体"/>
          <w:sz w:val="24"/>
          <w:highlight w:val="none"/>
        </w:rPr>
      </w:pPr>
    </w:p>
    <w:p>
      <w:pPr>
        <w:spacing w:line="360" w:lineRule="auto"/>
        <w:ind w:left="821" w:hanging="820" w:hangingChars="342"/>
        <w:rPr>
          <w:rFonts w:hint="eastAsia" w:ascii="宋体" w:hAnsi="宋体"/>
          <w:sz w:val="24"/>
          <w:highlight w:val="none"/>
        </w:rPr>
      </w:pPr>
      <w:r>
        <w:rPr>
          <w:rFonts w:hint="eastAsia" w:ascii="宋体" w:hAnsi="宋体"/>
          <w:sz w:val="24"/>
          <w:highlight w:val="none"/>
        </w:rPr>
        <w:t>1.4.1  申请人与招标人过去3年内无合同履约纠纷，没有不得参加投标的情形。</w:t>
      </w:r>
    </w:p>
    <w:p>
      <w:pPr>
        <w:spacing w:line="360" w:lineRule="auto"/>
        <w:ind w:left="719" w:leftChars="1" w:hanging="717" w:hangingChars="299"/>
        <w:jc w:val="left"/>
        <w:rPr>
          <w:rFonts w:hint="eastAsia" w:ascii="宋体" w:hAnsi="宋体"/>
          <w:sz w:val="24"/>
          <w:highlight w:val="none"/>
        </w:rPr>
      </w:pPr>
      <w:r>
        <w:rPr>
          <w:rFonts w:hint="eastAsia" w:ascii="宋体" w:hAnsi="宋体"/>
          <w:sz w:val="24"/>
          <w:highlight w:val="none"/>
        </w:rPr>
        <w:t>[注释] 合同履约纠纷是指招标人过去3年内曾与申请人签订合同，并且对申请人不满意。不得参加投标的情形详见招标文件第三章第3.11条。</w:t>
      </w:r>
    </w:p>
    <w:p>
      <w:pPr>
        <w:spacing w:line="360" w:lineRule="auto"/>
        <w:ind w:left="821" w:hanging="820" w:hangingChars="342"/>
        <w:rPr>
          <w:rFonts w:hint="eastAsia" w:ascii="宋体" w:hAnsi="宋体"/>
          <w:sz w:val="24"/>
          <w:highlight w:val="none"/>
        </w:rPr>
      </w:pPr>
      <w:r>
        <w:rPr>
          <w:rFonts w:hint="eastAsia" w:ascii="宋体" w:hAnsi="宋体"/>
          <w:sz w:val="24"/>
          <w:highlight w:val="none"/>
        </w:rPr>
        <w:t>1.4.2  国内申请人须具备建设行政主管部门颁发的</w:t>
      </w:r>
      <w:r>
        <w:rPr>
          <w:rFonts w:hint="eastAsia" w:ascii="宋体" w:hAnsi="宋体"/>
          <w:sz w:val="24"/>
          <w:highlight w:val="none"/>
          <w:u w:val="single"/>
        </w:rPr>
        <w:t>（1）、（2）</w:t>
      </w:r>
      <w:r>
        <w:rPr>
          <w:rFonts w:hint="eastAsia" w:ascii="宋体" w:hAnsi="宋体"/>
          <w:sz w:val="24"/>
          <w:highlight w:val="none"/>
        </w:rPr>
        <w:t>资质证书。</w:t>
      </w:r>
    </w:p>
    <w:p>
      <w:pPr>
        <w:spacing w:line="360" w:lineRule="auto"/>
        <w:ind w:left="814" w:leftChars="342" w:hanging="96" w:hangingChars="40"/>
        <w:rPr>
          <w:rFonts w:hint="eastAsia" w:ascii="宋体" w:hAnsi="宋体" w:cs="宋体"/>
          <w:sz w:val="24"/>
          <w:szCs w:val="24"/>
          <w:highlight w:val="none"/>
          <w:u w:val="single"/>
        </w:rPr>
      </w:pPr>
      <w:r>
        <w:rPr>
          <w:rFonts w:hint="eastAsia" w:ascii="宋体" w:hAnsi="宋体" w:cs="宋体"/>
          <w:sz w:val="24"/>
          <w:szCs w:val="24"/>
          <w:highlight w:val="none"/>
        </w:rPr>
        <w:t>（</w:t>
      </w:r>
      <w:r>
        <w:rPr>
          <w:rFonts w:hint="eastAsia" w:ascii="宋体" w:hAnsi="宋体"/>
          <w:sz w:val="24"/>
          <w:szCs w:val="24"/>
          <w:highlight w:val="none"/>
        </w:rPr>
        <w:t>1）</w:t>
      </w:r>
      <w:r>
        <w:rPr>
          <w:rFonts w:hint="eastAsia" w:ascii="宋体" w:hAnsi="宋体" w:cs="宋体"/>
          <w:sz w:val="24"/>
          <w:szCs w:val="24"/>
          <w:highlight w:val="none"/>
          <w:u w:val="single"/>
        </w:rPr>
        <w:t>工程勘察资质：具备以下①、②、③项</w:t>
      </w:r>
      <w:r>
        <w:rPr>
          <w:rFonts w:hint="eastAsia" w:ascii="宋体" w:hAnsi="宋体" w:cs="宋体"/>
          <w:sz w:val="24"/>
          <w:szCs w:val="24"/>
          <w:highlight w:val="none"/>
          <w:u w:val="single"/>
          <w:lang w:val="en-US" w:eastAsia="zh-CN"/>
        </w:rPr>
        <w:t>勘察</w:t>
      </w:r>
      <w:r>
        <w:rPr>
          <w:rFonts w:hint="eastAsia" w:ascii="宋体" w:hAnsi="宋体" w:cs="宋体"/>
          <w:sz w:val="24"/>
          <w:szCs w:val="24"/>
          <w:highlight w:val="none"/>
          <w:u w:val="single"/>
        </w:rPr>
        <w:t>资质之一：</w:t>
      </w:r>
    </w:p>
    <w:p>
      <w:pPr>
        <w:spacing w:line="360" w:lineRule="auto"/>
        <w:ind w:left="955" w:leftChars="455" w:firstLine="384" w:firstLineChars="160"/>
        <w:rPr>
          <w:rFonts w:ascii="宋体" w:hAnsi="宋体"/>
          <w:color w:val="auto"/>
          <w:sz w:val="24"/>
          <w:szCs w:val="24"/>
          <w:highlight w:val="none"/>
          <w:u w:val="single"/>
        </w:rPr>
      </w:pPr>
      <w:r>
        <w:rPr>
          <w:rFonts w:hint="eastAsia" w:ascii="宋体" w:hAnsi="宋体" w:cs="宋体"/>
          <w:color w:val="auto"/>
          <w:sz w:val="24"/>
          <w:szCs w:val="24"/>
          <w:highlight w:val="none"/>
          <w:u w:val="single"/>
        </w:rPr>
        <w:t>①工程勘察综合甲级资质；</w:t>
      </w:r>
    </w:p>
    <w:p>
      <w:pPr>
        <w:spacing w:line="360" w:lineRule="auto"/>
        <w:ind w:left="743" w:leftChars="354" w:firstLine="621" w:firstLineChars="259"/>
        <w:rPr>
          <w:rFonts w:ascii="宋体" w:hAnsi="宋体"/>
          <w:color w:val="auto"/>
          <w:sz w:val="24"/>
          <w:szCs w:val="24"/>
          <w:highlight w:val="none"/>
          <w:u w:val="single"/>
        </w:rPr>
      </w:pPr>
      <w:r>
        <w:rPr>
          <w:rFonts w:hint="eastAsia" w:ascii="宋体" w:hAnsi="宋体" w:cs="宋体"/>
          <w:color w:val="auto"/>
          <w:sz w:val="24"/>
          <w:szCs w:val="24"/>
          <w:highlight w:val="none"/>
          <w:u w:val="single"/>
        </w:rPr>
        <w:t>②工程勘察专业类（岩土工程）乙级或以上资质；</w:t>
      </w:r>
    </w:p>
    <w:p>
      <w:pPr>
        <w:spacing w:line="360" w:lineRule="auto"/>
        <w:ind w:left="743" w:leftChars="354" w:firstLine="621" w:firstLineChars="259"/>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③工程勘察专业类（岩土工程）（分项）岩土工程勘察乙级或以上资质。</w:t>
      </w:r>
    </w:p>
    <w:p>
      <w:pPr>
        <w:spacing w:line="360" w:lineRule="auto"/>
        <w:ind w:left="743" w:leftChars="354" w:firstLine="621" w:firstLineChars="259"/>
        <w:rPr>
          <w:rFonts w:ascii="宋体" w:hAnsi="宋体" w:cs="宋体"/>
          <w:sz w:val="24"/>
          <w:szCs w:val="24"/>
          <w:highlight w:val="none"/>
          <w:u w:val="single"/>
        </w:rPr>
      </w:pPr>
      <w:r>
        <w:rPr>
          <w:rFonts w:hint="eastAsia" w:ascii="宋体" w:hAnsi="宋体" w:cs="宋体"/>
          <w:sz w:val="24"/>
          <w:szCs w:val="24"/>
          <w:highlight w:val="none"/>
          <w:u w:val="single"/>
        </w:rPr>
        <w:t>香港企业独立参加投标的，须在广东省住房和城乡建设主管部门备案且备案的业务范围应符合本招标项目对工程勘察资质的要求。</w:t>
      </w:r>
    </w:p>
    <w:p>
      <w:pPr>
        <w:spacing w:line="360" w:lineRule="auto"/>
        <w:ind w:left="814" w:leftChars="342" w:hanging="96" w:hangingChars="40"/>
        <w:rPr>
          <w:rFonts w:ascii="宋体" w:hAnsi="宋体"/>
          <w:sz w:val="24"/>
          <w:szCs w:val="24"/>
          <w:highlight w:val="none"/>
          <w:u w:val="single"/>
        </w:rPr>
      </w:pPr>
      <w:r>
        <w:rPr>
          <w:rFonts w:hint="eastAsia" w:ascii="宋体" w:hAnsi="宋体" w:cs="宋体"/>
          <w:sz w:val="24"/>
          <w:szCs w:val="24"/>
          <w:highlight w:val="none"/>
        </w:rPr>
        <w:t>（</w:t>
      </w:r>
      <w:r>
        <w:rPr>
          <w:rFonts w:hint="eastAsia" w:ascii="宋体" w:hAnsi="宋体"/>
          <w:sz w:val="24"/>
          <w:szCs w:val="24"/>
          <w:highlight w:val="none"/>
        </w:rPr>
        <w:t>2）</w:t>
      </w:r>
      <w:r>
        <w:rPr>
          <w:rFonts w:hint="eastAsia" w:ascii="宋体" w:hAnsi="宋体" w:cs="宋体"/>
          <w:sz w:val="24"/>
          <w:szCs w:val="24"/>
          <w:highlight w:val="none"/>
          <w:u w:val="single"/>
        </w:rPr>
        <w:t>工程设计资质：具备以下①、②、③项设计资质之一：</w:t>
      </w:r>
    </w:p>
    <w:p>
      <w:pPr>
        <w:spacing w:line="360" w:lineRule="auto"/>
        <w:ind w:left="955" w:leftChars="455" w:firstLine="384" w:firstLineChars="160"/>
        <w:rPr>
          <w:rFonts w:ascii="宋体" w:hAnsi="宋体"/>
          <w:color w:val="auto"/>
          <w:sz w:val="24"/>
          <w:szCs w:val="24"/>
          <w:highlight w:val="none"/>
          <w:u w:val="single"/>
        </w:rPr>
      </w:pPr>
      <w:r>
        <w:rPr>
          <w:rFonts w:hint="eastAsia" w:ascii="宋体" w:hAnsi="宋体" w:cs="宋体"/>
          <w:color w:val="auto"/>
          <w:sz w:val="24"/>
          <w:szCs w:val="24"/>
          <w:highlight w:val="none"/>
          <w:u w:val="single"/>
        </w:rPr>
        <w:t>①工程设计综合甲级资质；</w:t>
      </w:r>
    </w:p>
    <w:p>
      <w:pPr>
        <w:spacing w:line="360" w:lineRule="auto"/>
        <w:ind w:left="743" w:leftChars="354" w:firstLine="621" w:firstLineChars="259"/>
        <w:rPr>
          <w:rFonts w:ascii="宋体" w:hAnsi="宋体"/>
          <w:color w:val="auto"/>
          <w:sz w:val="24"/>
          <w:szCs w:val="24"/>
          <w:highlight w:val="none"/>
          <w:u w:val="single"/>
        </w:rPr>
      </w:pPr>
      <w:r>
        <w:rPr>
          <w:rFonts w:hint="eastAsia" w:ascii="宋体" w:hAnsi="宋体" w:cs="宋体"/>
          <w:color w:val="auto"/>
          <w:sz w:val="24"/>
          <w:szCs w:val="24"/>
          <w:highlight w:val="none"/>
          <w:u w:val="single"/>
        </w:rPr>
        <w:t>②建筑工程设计资质（建筑行业乙级或以上，或建筑行业（建筑工程）专业乙级或以上）；</w:t>
      </w:r>
    </w:p>
    <w:p>
      <w:pPr>
        <w:spacing w:line="360" w:lineRule="auto"/>
        <w:ind w:left="743" w:leftChars="354" w:firstLine="621" w:firstLineChars="259"/>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③建筑设计事务所资质。</w:t>
      </w:r>
    </w:p>
    <w:p>
      <w:pPr>
        <w:spacing w:line="360" w:lineRule="auto"/>
        <w:ind w:left="743" w:leftChars="354" w:firstLine="621" w:firstLineChars="259"/>
        <w:rPr>
          <w:rFonts w:ascii="宋体" w:hAnsi="宋体" w:cs="宋体"/>
          <w:sz w:val="24"/>
          <w:szCs w:val="24"/>
          <w:highlight w:val="none"/>
          <w:u w:val="single"/>
        </w:rPr>
      </w:pPr>
      <w:r>
        <w:rPr>
          <w:rFonts w:hint="eastAsia" w:ascii="宋体" w:hAnsi="宋体" w:cs="宋体"/>
          <w:sz w:val="24"/>
          <w:szCs w:val="24"/>
          <w:highlight w:val="none"/>
          <w:u w:val="single"/>
        </w:rPr>
        <w:t>香港企业独立参加投标的，须在广东省住房和城乡建设主管部门备案且备案的业务范围应符合本招标项目对工程设计资质的要求。</w:t>
      </w:r>
    </w:p>
    <w:p>
      <w:pPr>
        <w:spacing w:line="360" w:lineRule="auto"/>
        <w:ind w:left="743" w:leftChars="354" w:firstLine="621" w:firstLineChars="259"/>
        <w:rPr>
          <w:rFonts w:hint="eastAsia" w:ascii="宋体" w:hAnsi="宋体"/>
          <w:sz w:val="24"/>
          <w:szCs w:val="24"/>
          <w:highlight w:val="none"/>
          <w:u w:val="single"/>
        </w:rPr>
      </w:pPr>
      <w:r>
        <w:rPr>
          <w:rFonts w:hint="eastAsia" w:ascii="宋体" w:hAnsi="宋体"/>
          <w:sz w:val="24"/>
          <w:szCs w:val="24"/>
          <w:highlight w:val="none"/>
          <w:u w:val="single"/>
        </w:rPr>
        <w:t>[注释] （1）国内申请人具体资质要求按照《建设工程勘察设计资质管理规定》（建设部令第160号）、《建设工程勘察设计资质管理规定实施意见》（建市[2007]202号）、《工程勘察资质标准》（建市[2013]9号）、《工程设计资质标准》（建市〔2007〕86号）、《住房城乡建设部关于促进建筑工程设计事务所发展有关事项的通知》（建市（2016）261号）填写。</w:t>
      </w:r>
    </w:p>
    <w:p>
      <w:pPr>
        <w:spacing w:line="360" w:lineRule="auto"/>
        <w:ind w:left="743" w:leftChars="354" w:firstLine="621" w:firstLineChars="259"/>
        <w:rPr>
          <w:rFonts w:hint="eastAsia" w:ascii="宋体" w:hAnsi="宋体"/>
          <w:sz w:val="24"/>
          <w:szCs w:val="24"/>
          <w:highlight w:val="none"/>
          <w:u w:val="single"/>
        </w:rPr>
      </w:pPr>
      <w:r>
        <w:rPr>
          <w:rFonts w:hint="eastAsia" w:ascii="宋体" w:hAnsi="宋体"/>
          <w:sz w:val="24"/>
          <w:szCs w:val="24"/>
          <w:highlight w:val="none"/>
          <w:u w:val="single"/>
        </w:rPr>
        <w:t xml:space="preserve">（2）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执行、《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 </w:t>
      </w:r>
    </w:p>
    <w:p>
      <w:pPr>
        <w:spacing w:line="360" w:lineRule="auto"/>
        <w:ind w:left="745" w:leftChars="355" w:firstLine="624" w:firstLineChars="259"/>
        <w:rPr>
          <w:rFonts w:ascii="宋体" w:hAnsi="宋体"/>
          <w:sz w:val="24"/>
          <w:szCs w:val="24"/>
          <w:highlight w:val="none"/>
          <w:u w:val="single"/>
        </w:rPr>
      </w:pPr>
      <w:r>
        <w:rPr>
          <w:rFonts w:hint="eastAsia" w:ascii="宋体" w:hAnsi="宋体" w:cs="宋体"/>
          <w:b/>
          <w:sz w:val="24"/>
          <w:szCs w:val="24"/>
          <w:highlight w:val="none"/>
          <w:u w:val="single"/>
        </w:rPr>
        <w:t>注：香港企业备案的业务范围依据《广东省住房和城乡建设厅关于印发香港工程建设咨询企业和专业人士在粤港澳大湾区内地城市开业执业试点管理暂行办法的通知》（粤建规范〔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b/>
          <w:sz w:val="24"/>
          <w:szCs w:val="24"/>
          <w:highlight w:val="none"/>
          <w:u w:val="single"/>
        </w:rPr>
        <w:t>2020〕1号，详见链接：http://zfcxjst.gd.gov.cn/xxgk/wjtz/content/post_3137220.html）确定。香港企业须提供满足招标文件要求的相应资质证书及备案证明资料扫描件。</w:t>
      </w:r>
    </w:p>
    <w:p>
      <w:pPr>
        <w:spacing w:line="360" w:lineRule="auto"/>
        <w:ind w:left="745" w:leftChars="355" w:firstLine="624" w:firstLineChars="259"/>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本次招标接受联合体投标，但只接受最多由2家单位（即一家勘察单位、一家设计单位）组成的联合体。联合体投标的，应满足下列要求：申请人可以组成联合体投标，并签订联合体共同投标协议（联合体共同投标协议应明确约定各方拟承担的工作和责任。投标登记截止后联合体增减、更换成员的，其投标无效）。以具有符合本招标项目要求的工程设计资质并负责设计工作的一方为主办方。联合体各方（包括主办方及联合体成员）不得再单独或与其他单位组成联合体参与本项目投标。</w:t>
      </w:r>
    </w:p>
    <w:p>
      <w:pPr>
        <w:spacing w:line="360" w:lineRule="auto"/>
        <w:ind w:left="818" w:hanging="818" w:hangingChars="341"/>
        <w:rPr>
          <w:rFonts w:hint="eastAsia" w:ascii="宋体" w:hAnsi="宋体"/>
          <w:sz w:val="24"/>
          <w:highlight w:val="none"/>
          <w:u w:val="single"/>
        </w:rPr>
      </w:pPr>
      <w:r>
        <w:rPr>
          <w:rFonts w:hint="eastAsia" w:ascii="宋体" w:hAnsi="宋体"/>
          <w:sz w:val="24"/>
          <w:highlight w:val="none"/>
          <w:u w:val="single"/>
        </w:rPr>
        <w:t>1</w:t>
      </w:r>
      <w:r>
        <w:rPr>
          <w:rFonts w:hint="eastAsia" w:ascii="宋体" w:hAnsi="宋体"/>
          <w:sz w:val="24"/>
          <w:highlight w:val="none"/>
          <w:u w:val="none"/>
        </w:rPr>
        <w:t xml:space="preserve">.4.3 </w:t>
      </w:r>
      <w:r>
        <w:rPr>
          <w:rFonts w:hint="eastAsia" w:ascii="宋体" w:hAnsi="宋体"/>
          <w:sz w:val="24"/>
          <w:highlight w:val="none"/>
          <w:u w:val="single"/>
        </w:rPr>
        <w:t>外国或澳门、台湾的设计企业必须选择一家符合上述条件的企业进行合作设计。</w:t>
      </w:r>
      <w:r>
        <w:rPr>
          <w:rFonts w:hint="eastAsia" w:ascii="宋体" w:hAnsi="宋体" w:cs="宋体"/>
          <w:sz w:val="24"/>
          <w:szCs w:val="24"/>
          <w:highlight w:val="none"/>
          <w:u w:val="single"/>
        </w:rPr>
        <w:t>香港企业如不单独参加投标，也必须选择一家符合上述条件的企业进行合作设计。</w:t>
      </w:r>
    </w:p>
    <w:p>
      <w:pPr>
        <w:spacing w:line="360" w:lineRule="auto"/>
        <w:ind w:left="960" w:hanging="960" w:hangingChars="400"/>
        <w:jc w:val="left"/>
        <w:rPr>
          <w:rFonts w:hint="eastAsia" w:ascii="宋体" w:hAnsi="宋体"/>
          <w:sz w:val="24"/>
          <w:highlight w:val="none"/>
        </w:rPr>
      </w:pPr>
      <w:r>
        <w:rPr>
          <w:rFonts w:hint="eastAsia" w:ascii="宋体" w:hAnsi="宋体"/>
          <w:sz w:val="24"/>
          <w:highlight w:val="none"/>
        </w:rPr>
        <w:t>1.4.4  申请人已在广州市住房和城乡建设局建立企业诚信档案，拟委派的项目负责人须是本企业诚信档案中的在册人员。</w:t>
      </w:r>
    </w:p>
    <w:p>
      <w:pPr>
        <w:spacing w:line="360" w:lineRule="auto"/>
        <w:ind w:left="821" w:hanging="820" w:hangingChars="342"/>
        <w:rPr>
          <w:rFonts w:hint="eastAsia" w:ascii="宋体" w:hAnsi="宋体" w:cs="宋体"/>
          <w:b w:val="0"/>
          <w:kern w:val="2"/>
          <w:sz w:val="24"/>
          <w:szCs w:val="24"/>
          <w:highlight w:val="none"/>
          <w:u w:val="single"/>
        </w:rPr>
      </w:pPr>
      <w:r>
        <w:rPr>
          <w:rFonts w:hint="eastAsia" w:ascii="宋体" w:hAnsi="宋体"/>
          <w:sz w:val="24"/>
          <w:highlight w:val="none"/>
        </w:rPr>
        <w:t>1.4.5  申请人委派的项目负责人须具备</w:t>
      </w:r>
      <w:r>
        <w:rPr>
          <w:rFonts w:hint="eastAsia" w:ascii="宋体" w:hAnsi="宋体" w:cs="宋体"/>
          <w:bCs/>
          <w:kern w:val="2"/>
          <w:sz w:val="24"/>
          <w:szCs w:val="24"/>
          <w:highlight w:val="none"/>
          <w:u w:val="single"/>
        </w:rPr>
        <w:t>一级注册建筑师</w:t>
      </w:r>
      <w:r>
        <w:rPr>
          <w:rFonts w:hint="eastAsia" w:ascii="宋体" w:hAnsi="宋体" w:cs="宋体"/>
          <w:b w:val="0"/>
          <w:kern w:val="2"/>
          <w:sz w:val="24"/>
          <w:szCs w:val="24"/>
          <w:highlight w:val="none"/>
        </w:rPr>
        <w:t>资格</w:t>
      </w:r>
      <w:r>
        <w:rPr>
          <w:rFonts w:hint="eastAsia" w:ascii="宋体" w:hAnsi="宋体"/>
          <w:b w:val="0"/>
          <w:kern w:val="2"/>
          <w:sz w:val="24"/>
          <w:szCs w:val="24"/>
          <w:highlight w:val="none"/>
        </w:rPr>
        <w:t>,</w:t>
      </w:r>
      <w:r>
        <w:rPr>
          <w:rFonts w:hint="eastAsia" w:ascii="宋体" w:hAnsi="宋体" w:cs="宋体"/>
          <w:b w:val="0"/>
          <w:kern w:val="2"/>
          <w:sz w:val="24"/>
          <w:szCs w:val="24"/>
          <w:highlight w:val="none"/>
          <w:u w:val="single"/>
        </w:rPr>
        <w:t>或在广东省住房和城乡建设主管部门备案且备案的业务范围符合本招标项目对项目负责人要求的香港专业人士，香港专业人士的备案业务范围依据《广东省住房和城乡建设厅关于印发香港工程建设咨询企业和专业人士在粤港澳大湾区内地城市开业执业试点管理暂行办法的通知》（粤建规范〔2020〕1号）确定。</w:t>
      </w:r>
    </w:p>
    <w:p>
      <w:pPr>
        <w:autoSpaceDE w:val="0"/>
        <w:autoSpaceDN w:val="0"/>
        <w:adjustRightInd w:val="0"/>
        <w:spacing w:line="360" w:lineRule="auto"/>
        <w:ind w:firstLine="762" w:firstLineChars="300"/>
        <w:rPr>
          <w:rFonts w:ascii="宋体" w:hAnsi="宋体"/>
          <w:color w:val="auto"/>
          <w:spacing w:val="7"/>
          <w:kern w:val="0"/>
          <w:sz w:val="24"/>
          <w:highlight w:val="none"/>
          <w:u w:val="single"/>
        </w:rPr>
      </w:pPr>
      <w:r>
        <w:rPr>
          <w:rFonts w:hint="eastAsia" w:ascii="宋体" w:hAnsi="宋体"/>
          <w:color w:val="auto"/>
          <w:spacing w:val="7"/>
          <w:kern w:val="0"/>
          <w:sz w:val="24"/>
          <w:highlight w:val="none"/>
          <w:u w:val="single"/>
        </w:rPr>
        <w:t>注：根据《全国注册建筑师管理委员会关于开展使用一级注册建筑师电子注册证书工作的通知》（住建[2021]2号）要求，自2022年7月1日起，一级注册建筑师统一使用电子证书，纸质注册证书作废。各投标人须提供一级注册建筑师证书电子证书打印签名件，电子证书应当符合相关文件规定，若投标人提供的一级注册建筑师电子证书超过使用有效期、未在个人签名处手写签名或手写签名与签名图像笔迹存在差异的，资格审查时应通过“全国建筑市场监管公共服务平台”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autoSpaceDE w:val="0"/>
        <w:autoSpaceDN w:val="0"/>
        <w:adjustRightInd w:val="0"/>
        <w:spacing w:line="360" w:lineRule="auto"/>
        <w:ind w:firstLine="508" w:firstLineChars="200"/>
        <w:rPr>
          <w:rFonts w:ascii="宋体" w:hAnsi="宋体"/>
          <w:color w:val="auto"/>
          <w:spacing w:val="7"/>
          <w:kern w:val="0"/>
          <w:sz w:val="24"/>
          <w:highlight w:val="none"/>
          <w:u w:val="single"/>
        </w:rPr>
      </w:pPr>
      <w:r>
        <w:rPr>
          <w:rFonts w:hint="eastAsia" w:ascii="宋体" w:hAnsi="宋体"/>
          <w:color w:val="auto"/>
          <w:spacing w:val="7"/>
          <w:kern w:val="0"/>
          <w:sz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pPr>
        <w:spacing w:line="360" w:lineRule="auto"/>
        <w:ind w:left="821" w:hanging="820" w:hangingChars="342"/>
        <w:rPr>
          <w:rFonts w:hint="eastAsia" w:ascii="宋体" w:hAnsi="宋体"/>
          <w:sz w:val="24"/>
          <w:highlight w:val="none"/>
          <w:u w:val="single"/>
        </w:rPr>
      </w:pPr>
      <w:r>
        <w:rPr>
          <w:rFonts w:hint="eastAsia" w:ascii="宋体" w:hAnsi="宋体"/>
          <w:sz w:val="24"/>
          <w:highlight w:val="none"/>
        </w:rPr>
        <w:t>1.4.</w:t>
      </w:r>
      <w:r>
        <w:rPr>
          <w:rFonts w:hint="eastAsia" w:ascii="宋体" w:hAnsi="宋体"/>
          <w:sz w:val="24"/>
          <w:highlight w:val="none"/>
          <w:lang w:val="en-US" w:eastAsia="zh-CN"/>
        </w:rPr>
        <w:t>6</w:t>
      </w:r>
      <w:r>
        <w:rPr>
          <w:rFonts w:hint="eastAsia" w:ascii="宋体" w:hAnsi="宋体"/>
          <w:sz w:val="24"/>
          <w:highlight w:val="none"/>
        </w:rPr>
        <w:t xml:space="preserve">  信誉要求：</w:t>
      </w:r>
      <w:r>
        <w:rPr>
          <w:rFonts w:hint="eastAsia" w:ascii="宋体" w:hAnsi="宋体" w:cs="宋体"/>
          <w:color w:val="auto"/>
          <w:sz w:val="24"/>
          <w:highlight w:val="none"/>
          <w:u w:val="single"/>
        </w:rPr>
        <w:t>投标人未被列入拖欠农民工工资失信联合惩戒对象名单（本项投标人无需提供资料，按广州公共资源交易中心交易系统比对结果进行评审。</w:t>
      </w:r>
      <w:r>
        <w:rPr>
          <w:rFonts w:hint="eastAsia" w:ascii="宋体" w:hAnsi="宋体" w:cs="宋体"/>
          <w:color w:val="auto"/>
          <w:kern w:val="0"/>
          <w:sz w:val="24"/>
          <w:highlight w:val="none"/>
          <w:u w:val="single"/>
        </w:rPr>
        <w:t>）</w:t>
      </w:r>
    </w:p>
    <w:p>
      <w:pPr>
        <w:spacing w:line="360" w:lineRule="auto"/>
        <w:ind w:left="821" w:hanging="820" w:hangingChars="342"/>
        <w:rPr>
          <w:rFonts w:hint="eastAsia" w:ascii="宋体" w:hAnsi="宋体"/>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1.5   招标文件的获取及</w:t>
      </w:r>
      <w:r>
        <w:rPr>
          <w:rFonts w:ascii="宋体" w:hAnsi="宋体"/>
          <w:b/>
          <w:sz w:val="24"/>
          <w:highlight w:val="none"/>
        </w:rPr>
        <w:t>资格审查</w:t>
      </w:r>
    </w:p>
    <w:p>
      <w:pPr>
        <w:spacing w:line="360" w:lineRule="auto"/>
        <w:jc w:val="left"/>
        <w:rPr>
          <w:rFonts w:hint="eastAsia" w:ascii="宋体" w:hAnsi="宋体"/>
          <w:sz w:val="24"/>
          <w:highlight w:val="none"/>
        </w:rPr>
      </w:pPr>
    </w:p>
    <w:p>
      <w:pPr>
        <w:spacing w:line="360" w:lineRule="auto"/>
        <w:ind w:left="816" w:leftChars="-1" w:hanging="818" w:hangingChars="341"/>
        <w:jc w:val="left"/>
        <w:rPr>
          <w:rFonts w:hint="eastAsia"/>
          <w:sz w:val="24"/>
          <w:highlight w:val="none"/>
        </w:rPr>
      </w:pPr>
      <w:r>
        <w:rPr>
          <w:rFonts w:hint="eastAsia" w:ascii="宋体" w:hAnsi="宋体"/>
          <w:sz w:val="24"/>
          <w:highlight w:val="none"/>
        </w:rPr>
        <w:t xml:space="preserve">1.5.1  </w:t>
      </w:r>
      <w:r>
        <w:rPr>
          <w:rFonts w:hint="eastAsia"/>
          <w:sz w:val="24"/>
          <w:highlight w:val="none"/>
        </w:rPr>
        <w:t>公告发布时间：</w:t>
      </w:r>
      <w:r>
        <w:rPr>
          <w:rFonts w:hint="eastAsia"/>
          <w:sz w:val="24"/>
          <w:highlight w:val="none"/>
          <w:u w:val="single"/>
          <w:lang w:val="en-US" w:eastAsia="zh-CN"/>
        </w:rPr>
        <w:t>2024</w:t>
      </w:r>
      <w:r>
        <w:rPr>
          <w:rFonts w:hint="eastAsia"/>
          <w:sz w:val="24"/>
          <w:highlight w:val="none"/>
        </w:rPr>
        <w:t>年</w:t>
      </w:r>
      <w:r>
        <w:rPr>
          <w:rFonts w:hint="eastAsia"/>
          <w:sz w:val="24"/>
          <w:highlight w:val="none"/>
          <w:lang w:val="en-US" w:eastAsia="zh-CN"/>
        </w:rPr>
        <w:t>0</w:t>
      </w:r>
      <w:r>
        <w:rPr>
          <w:rFonts w:hint="eastAsia"/>
          <w:sz w:val="24"/>
          <w:highlight w:val="none"/>
          <w:u w:val="single"/>
          <w:lang w:val="en-US" w:eastAsia="zh-CN"/>
        </w:rPr>
        <w:t>7</w:t>
      </w:r>
      <w:r>
        <w:rPr>
          <w:rFonts w:hint="eastAsia"/>
          <w:sz w:val="24"/>
          <w:highlight w:val="none"/>
        </w:rPr>
        <w:t>月</w:t>
      </w:r>
      <w:r>
        <w:rPr>
          <w:rFonts w:hint="eastAsia"/>
          <w:sz w:val="24"/>
          <w:highlight w:val="none"/>
          <w:lang w:val="en-US" w:eastAsia="zh-CN"/>
        </w:rPr>
        <w:t>0</w:t>
      </w:r>
      <w:r>
        <w:rPr>
          <w:rFonts w:hint="eastAsia"/>
          <w:sz w:val="24"/>
          <w:highlight w:val="none"/>
          <w:u w:val="single"/>
          <w:lang w:val="en-US" w:eastAsia="zh-CN"/>
        </w:rPr>
        <w:t>4</w:t>
      </w:r>
      <w:r>
        <w:rPr>
          <w:rFonts w:hint="eastAsia"/>
          <w:sz w:val="24"/>
          <w:highlight w:val="none"/>
        </w:rPr>
        <w:t>日</w:t>
      </w:r>
      <w:r>
        <w:rPr>
          <w:rFonts w:hint="eastAsia"/>
          <w:sz w:val="24"/>
          <w:highlight w:val="none"/>
          <w:u w:val="single"/>
          <w:lang w:val="en-US" w:eastAsia="zh-CN"/>
        </w:rPr>
        <w:t>16</w:t>
      </w:r>
      <w:r>
        <w:rPr>
          <w:rFonts w:hint="eastAsia"/>
          <w:sz w:val="24"/>
          <w:highlight w:val="none"/>
          <w:u w:val="single"/>
        </w:rPr>
        <w:t xml:space="preserve"> </w:t>
      </w:r>
      <w:r>
        <w:rPr>
          <w:rFonts w:hint="eastAsia"/>
          <w:sz w:val="24"/>
          <w:highlight w:val="none"/>
        </w:rPr>
        <w:t>时</w:t>
      </w:r>
      <w:r>
        <w:rPr>
          <w:rFonts w:hint="eastAsia"/>
          <w:sz w:val="24"/>
          <w:highlight w:val="none"/>
          <w:u w:val="single"/>
          <w:lang w:val="en-US" w:eastAsia="zh-CN"/>
        </w:rPr>
        <w:t>00</w:t>
      </w:r>
      <w:r>
        <w:rPr>
          <w:rFonts w:hint="eastAsia"/>
          <w:sz w:val="24"/>
          <w:highlight w:val="none"/>
        </w:rPr>
        <w:t>分至</w:t>
      </w:r>
      <w:r>
        <w:rPr>
          <w:rFonts w:hint="eastAsia"/>
          <w:sz w:val="24"/>
          <w:highlight w:val="none"/>
          <w:u w:val="single"/>
          <w:lang w:val="en-US" w:eastAsia="zh-CN"/>
        </w:rPr>
        <w:t>2024</w:t>
      </w:r>
      <w:r>
        <w:rPr>
          <w:rFonts w:hint="eastAsia"/>
          <w:sz w:val="24"/>
          <w:highlight w:val="none"/>
        </w:rPr>
        <w:t>年</w:t>
      </w:r>
      <w:r>
        <w:rPr>
          <w:rFonts w:hint="eastAsia"/>
          <w:sz w:val="24"/>
          <w:highlight w:val="none"/>
          <w:u w:val="single"/>
        </w:rPr>
        <w:t xml:space="preserve"> </w:t>
      </w:r>
      <w:r>
        <w:rPr>
          <w:rFonts w:hint="eastAsia"/>
          <w:sz w:val="24"/>
          <w:highlight w:val="none"/>
          <w:u w:val="single"/>
          <w:lang w:val="en-US" w:eastAsia="zh-CN"/>
        </w:rPr>
        <w:t>07</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u w:val="single"/>
          <w:lang w:val="en-US" w:eastAsia="zh-CN"/>
        </w:rPr>
        <w:t>25</w:t>
      </w:r>
      <w:r>
        <w:rPr>
          <w:rFonts w:hint="eastAsia"/>
          <w:sz w:val="24"/>
          <w:highlight w:val="none"/>
          <w:u w:val="single"/>
        </w:rPr>
        <w:t xml:space="preserve"> </w:t>
      </w:r>
      <w:r>
        <w:rPr>
          <w:rFonts w:hint="eastAsia"/>
          <w:sz w:val="24"/>
          <w:highlight w:val="none"/>
        </w:rPr>
        <w:t>日</w:t>
      </w:r>
      <w:r>
        <w:rPr>
          <w:rFonts w:hint="eastAsia"/>
          <w:sz w:val="24"/>
          <w:highlight w:val="none"/>
          <w:u w:val="single"/>
        </w:rPr>
        <w:t xml:space="preserve"> </w:t>
      </w:r>
      <w:r>
        <w:rPr>
          <w:rFonts w:hint="eastAsia"/>
          <w:sz w:val="24"/>
          <w:highlight w:val="none"/>
          <w:u w:val="single"/>
          <w:lang w:val="en-US" w:eastAsia="zh-CN"/>
        </w:rPr>
        <w:t>09</w:t>
      </w:r>
      <w:r>
        <w:rPr>
          <w:rFonts w:hint="eastAsia"/>
          <w:sz w:val="24"/>
          <w:highlight w:val="none"/>
          <w:u w:val="single"/>
        </w:rPr>
        <w:t xml:space="preserve"> </w:t>
      </w:r>
      <w:r>
        <w:rPr>
          <w:rFonts w:hint="eastAsia"/>
          <w:sz w:val="24"/>
          <w:highlight w:val="none"/>
        </w:rPr>
        <w:t>时</w:t>
      </w:r>
      <w:r>
        <w:rPr>
          <w:rFonts w:hint="eastAsia"/>
          <w:sz w:val="24"/>
          <w:highlight w:val="none"/>
          <w:u w:val="single"/>
          <w:lang w:val="en-US" w:eastAsia="zh-CN"/>
        </w:rPr>
        <w:t>30</w:t>
      </w:r>
      <w:r>
        <w:rPr>
          <w:rFonts w:hint="eastAsia"/>
          <w:sz w:val="24"/>
          <w:highlight w:val="none"/>
          <w:u w:val="single"/>
        </w:rPr>
        <w:t xml:space="preserve"> </w:t>
      </w:r>
      <w:r>
        <w:rPr>
          <w:rFonts w:hint="eastAsia"/>
          <w:sz w:val="24"/>
          <w:highlight w:val="none"/>
        </w:rPr>
        <w:t>分（北京时间，下同）</w:t>
      </w:r>
    </w:p>
    <w:p>
      <w:pPr>
        <w:spacing w:line="360" w:lineRule="auto"/>
        <w:ind w:left="712" w:leftChars="337" w:hanging="4" w:hangingChars="2"/>
        <w:jc w:val="left"/>
        <w:rPr>
          <w:rFonts w:hint="eastAsia"/>
          <w:sz w:val="24"/>
          <w:highlight w:val="none"/>
        </w:rPr>
      </w:pPr>
      <w:r>
        <w:rPr>
          <w:rFonts w:hint="eastAsia"/>
          <w:sz w:val="24"/>
          <w:highlight w:val="none"/>
        </w:rPr>
        <w:t>凡有意参加投标者，请登录</w:t>
      </w:r>
      <w:r>
        <w:rPr>
          <w:rFonts w:hint="eastAsia" w:ascii="宋体" w:hAnsi="宋体" w:cs="宋体"/>
          <w:sz w:val="24"/>
          <w:szCs w:val="24"/>
          <w:highlight w:val="none"/>
          <w:u w:val="single"/>
        </w:rPr>
        <w:t>广州</w:t>
      </w:r>
      <w:bookmarkStart w:id="0" w:name="_GoBack"/>
      <w:bookmarkEnd w:id="0"/>
      <w:r>
        <w:rPr>
          <w:rFonts w:hint="eastAsia" w:ascii="宋体" w:hAnsi="宋体" w:cs="宋体"/>
          <w:sz w:val="24"/>
          <w:szCs w:val="24"/>
          <w:highlight w:val="none"/>
          <w:u w:val="single"/>
        </w:rPr>
        <w:t>公共资源交易中心</w:t>
      </w:r>
      <w:r>
        <w:rPr>
          <w:rFonts w:hint="eastAsia"/>
          <w:sz w:val="24"/>
          <w:highlight w:val="none"/>
        </w:rPr>
        <w:t>交易平台网站（网址：http://www.gzggzy.cn）下载电子招标文件。</w:t>
      </w:r>
    </w:p>
    <w:p>
      <w:pPr>
        <w:spacing w:line="360" w:lineRule="auto"/>
        <w:ind w:left="712" w:leftChars="337" w:hanging="4" w:hangingChars="2"/>
        <w:jc w:val="left"/>
        <w:rPr>
          <w:sz w:val="24"/>
          <w:highlight w:val="none"/>
        </w:rPr>
      </w:pPr>
      <w:r>
        <w:rPr>
          <w:rFonts w:hint="eastAsia"/>
          <w:sz w:val="24"/>
          <w:highlight w:val="none"/>
        </w:rPr>
        <w:t>注：发布招标公告的时间为招标公告发出之日起至递交投标文件截止时间止。</w:t>
      </w:r>
    </w:p>
    <w:p>
      <w:pPr>
        <w:spacing w:line="360" w:lineRule="auto"/>
        <w:ind w:left="840" w:hanging="840" w:hangingChars="350"/>
        <w:jc w:val="left"/>
        <w:rPr>
          <w:rFonts w:hint="eastAsia" w:ascii="宋体" w:hAnsi="宋体"/>
          <w:sz w:val="24"/>
          <w:highlight w:val="none"/>
        </w:rPr>
      </w:pPr>
      <w:r>
        <w:rPr>
          <w:rFonts w:hint="eastAsia" w:ascii="宋体" w:hAnsi="宋体"/>
          <w:sz w:val="24"/>
          <w:highlight w:val="none"/>
        </w:rPr>
        <w:t>1.5.2</w:t>
      </w:r>
      <w:r>
        <w:rPr>
          <w:rFonts w:ascii="宋体" w:hAnsi="宋体"/>
          <w:sz w:val="24"/>
          <w:highlight w:val="none"/>
        </w:rPr>
        <w:t xml:space="preserve">  </w:t>
      </w:r>
      <w:r>
        <w:rPr>
          <w:rFonts w:hint="eastAsia"/>
          <w:sz w:val="24"/>
          <w:highlight w:val="none"/>
        </w:rPr>
        <w:t>本项目招标文件随招标公告一并在</w:t>
      </w:r>
      <w:r>
        <w:rPr>
          <w:rFonts w:hint="eastAsia" w:ascii="宋体" w:hAnsi="宋体" w:cs="宋体"/>
          <w:sz w:val="24"/>
          <w:szCs w:val="24"/>
          <w:highlight w:val="none"/>
          <w:u w:val="single"/>
        </w:rPr>
        <w:t>广州公共资源交易中心</w:t>
      </w:r>
      <w:r>
        <w:rPr>
          <w:rFonts w:hint="eastAsia"/>
          <w:sz w:val="24"/>
          <w:highlight w:val="none"/>
        </w:rPr>
        <w:t>交易平台网站发布。招标文件一经在交易平台发布，视为发出给投标人，招标文件由投标人自行在交易平台网站下载。</w:t>
      </w:r>
    </w:p>
    <w:p>
      <w:pPr>
        <w:spacing w:line="360" w:lineRule="auto"/>
        <w:rPr>
          <w:sz w:val="24"/>
          <w:highlight w:val="none"/>
        </w:rPr>
      </w:pPr>
      <w:r>
        <w:rPr>
          <w:rFonts w:hint="eastAsia" w:ascii="宋体" w:hAnsi="宋体"/>
          <w:sz w:val="24"/>
          <w:highlight w:val="none"/>
        </w:rPr>
        <w:t>1.5.</w:t>
      </w:r>
      <w:r>
        <w:rPr>
          <w:rFonts w:ascii="宋体" w:hAnsi="宋体"/>
          <w:sz w:val="24"/>
          <w:highlight w:val="none"/>
        </w:rPr>
        <w:t>3</w:t>
      </w:r>
      <w:r>
        <w:rPr>
          <w:rFonts w:hint="eastAsia" w:ascii="宋体" w:hAnsi="宋体"/>
          <w:sz w:val="24"/>
          <w:highlight w:val="none"/>
        </w:rPr>
        <w:t xml:space="preserve">  </w:t>
      </w:r>
      <w:r>
        <w:rPr>
          <w:rFonts w:hint="eastAsia"/>
          <w:sz w:val="24"/>
          <w:highlight w:val="none"/>
        </w:rPr>
        <w:t>本项目资格审查采用方式</w:t>
      </w:r>
      <w:r>
        <w:rPr>
          <w:rFonts w:hint="eastAsia" w:ascii="宋体" w:hAnsi="宋体" w:cs="宋体"/>
          <w:sz w:val="24"/>
          <w:szCs w:val="24"/>
          <w:highlight w:val="none"/>
          <w:u w:val="single"/>
        </w:rPr>
        <w:t>一</w:t>
      </w:r>
      <w:r>
        <w:rPr>
          <w:rFonts w:hint="eastAsia"/>
          <w:sz w:val="24"/>
          <w:highlight w:val="none"/>
        </w:rPr>
        <w:t>：</w:t>
      </w:r>
    </w:p>
    <w:p>
      <w:pPr>
        <w:spacing w:line="360" w:lineRule="auto"/>
        <w:ind w:firstLine="720" w:firstLineChars="300"/>
        <w:rPr>
          <w:sz w:val="24"/>
          <w:highlight w:val="none"/>
        </w:rPr>
      </w:pPr>
      <w:r>
        <w:rPr>
          <w:rFonts w:hint="eastAsia"/>
          <w:sz w:val="24"/>
          <w:highlight w:val="none"/>
        </w:rPr>
        <w:t>方式一、资格后审方式，由评标委员会负责资格审查；</w:t>
      </w:r>
    </w:p>
    <w:p>
      <w:pPr>
        <w:widowControl/>
        <w:tabs>
          <w:tab w:val="left" w:pos="760"/>
        </w:tabs>
        <w:spacing w:line="360" w:lineRule="auto"/>
        <w:jc w:val="left"/>
        <w:rPr>
          <w:rFonts w:hint="eastAsia" w:ascii="宋体" w:hAnsi="宋体"/>
          <w:sz w:val="24"/>
          <w:highlight w:val="none"/>
        </w:rPr>
      </w:pPr>
    </w:p>
    <w:p>
      <w:pPr>
        <w:widowControl/>
        <w:tabs>
          <w:tab w:val="left" w:pos="760"/>
        </w:tabs>
        <w:spacing w:line="360" w:lineRule="auto"/>
        <w:jc w:val="left"/>
        <w:rPr>
          <w:rFonts w:hint="eastAsia" w:ascii="宋体" w:hAnsi="宋体"/>
          <w:b/>
          <w:sz w:val="24"/>
          <w:highlight w:val="none"/>
        </w:rPr>
      </w:pPr>
      <w:r>
        <w:rPr>
          <w:rFonts w:hint="eastAsia" w:ascii="宋体" w:hAnsi="宋体"/>
          <w:b/>
          <w:sz w:val="24"/>
          <w:highlight w:val="none"/>
        </w:rPr>
        <w:t xml:space="preserve">1.6    </w:t>
      </w:r>
      <w:r>
        <w:rPr>
          <w:rFonts w:ascii="宋体" w:hAnsi="宋体"/>
          <w:b/>
          <w:sz w:val="24"/>
          <w:highlight w:val="none"/>
        </w:rPr>
        <w:t>投标</w:t>
      </w:r>
      <w:r>
        <w:rPr>
          <w:rFonts w:hint="eastAsia" w:ascii="宋体" w:hAnsi="宋体"/>
          <w:b/>
          <w:sz w:val="24"/>
          <w:highlight w:val="none"/>
        </w:rPr>
        <w:t>截止时间</w:t>
      </w:r>
    </w:p>
    <w:p>
      <w:pPr>
        <w:tabs>
          <w:tab w:val="left" w:pos="360"/>
        </w:tabs>
        <w:spacing w:line="360" w:lineRule="auto"/>
        <w:ind w:firstLine="482" w:firstLineChars="200"/>
        <w:rPr>
          <w:rFonts w:hint="eastAsia" w:ascii="宋体" w:hAnsi="宋体"/>
          <w:b/>
          <w:sz w:val="24"/>
          <w:highlight w:val="none"/>
        </w:rPr>
      </w:pPr>
    </w:p>
    <w:p>
      <w:pPr>
        <w:tabs>
          <w:tab w:val="left" w:pos="360"/>
        </w:tabs>
        <w:spacing w:line="360" w:lineRule="auto"/>
        <w:ind w:left="809" w:hanging="808" w:hangingChars="337"/>
        <w:rPr>
          <w:rFonts w:ascii="宋体" w:hAnsi="宋体" w:cs="仿宋_GB2312"/>
          <w:sz w:val="24"/>
          <w:highlight w:val="none"/>
        </w:rPr>
      </w:pPr>
      <w:r>
        <w:rPr>
          <w:rFonts w:hint="eastAsia"/>
          <w:sz w:val="24"/>
          <w:highlight w:val="none"/>
        </w:rPr>
        <w:t>1.6.1   投标截止时间为</w:t>
      </w:r>
      <w:r>
        <w:rPr>
          <w:rFonts w:hint="eastAsia"/>
          <w:sz w:val="24"/>
          <w:highlight w:val="none"/>
          <w:u w:val="single"/>
          <w:lang w:val="en-US" w:eastAsia="zh-CN"/>
        </w:rPr>
        <w:t>2024</w:t>
      </w:r>
      <w:r>
        <w:rPr>
          <w:rFonts w:hint="eastAsia"/>
          <w:sz w:val="24"/>
          <w:highlight w:val="none"/>
        </w:rPr>
        <w:t>年</w:t>
      </w:r>
      <w:r>
        <w:rPr>
          <w:rFonts w:hint="eastAsia"/>
          <w:sz w:val="24"/>
          <w:highlight w:val="none"/>
          <w:u w:val="single"/>
        </w:rPr>
        <w:t xml:space="preserve"> </w:t>
      </w:r>
      <w:r>
        <w:rPr>
          <w:rFonts w:hint="eastAsia"/>
          <w:sz w:val="24"/>
          <w:highlight w:val="none"/>
          <w:u w:val="single"/>
          <w:lang w:val="en-US" w:eastAsia="zh-CN"/>
        </w:rPr>
        <w:t>07</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u w:val="single"/>
          <w:lang w:val="en-US" w:eastAsia="zh-CN"/>
        </w:rPr>
        <w:t>25</w:t>
      </w:r>
      <w:r>
        <w:rPr>
          <w:rFonts w:hint="eastAsia"/>
          <w:sz w:val="24"/>
          <w:highlight w:val="none"/>
          <w:u w:val="single"/>
        </w:rPr>
        <w:t xml:space="preserve"> </w:t>
      </w:r>
      <w:r>
        <w:rPr>
          <w:rFonts w:hint="eastAsia"/>
          <w:sz w:val="24"/>
          <w:highlight w:val="none"/>
        </w:rPr>
        <w:t>日</w:t>
      </w:r>
      <w:r>
        <w:rPr>
          <w:rFonts w:hint="eastAsia"/>
          <w:sz w:val="24"/>
          <w:highlight w:val="none"/>
          <w:u w:val="single"/>
          <w:lang w:val="en-US" w:eastAsia="zh-CN"/>
        </w:rPr>
        <w:t>09</w:t>
      </w:r>
      <w:r>
        <w:rPr>
          <w:rFonts w:hint="eastAsia"/>
          <w:sz w:val="24"/>
          <w:highlight w:val="none"/>
        </w:rPr>
        <w:t>时</w:t>
      </w:r>
      <w:r>
        <w:rPr>
          <w:rFonts w:hint="eastAsia"/>
          <w:sz w:val="24"/>
          <w:highlight w:val="none"/>
          <w:u w:val="single"/>
          <w:lang w:val="en-US" w:eastAsia="zh-CN"/>
        </w:rPr>
        <w:t>30</w:t>
      </w:r>
      <w:r>
        <w:rPr>
          <w:rFonts w:hint="eastAsia"/>
          <w:sz w:val="24"/>
          <w:highlight w:val="none"/>
        </w:rPr>
        <w:t>分，投标人应在截止时间前通过</w:t>
      </w:r>
      <w:r>
        <w:rPr>
          <w:rFonts w:hint="eastAsia" w:ascii="宋体" w:hAnsi="宋体" w:cs="宋体"/>
          <w:sz w:val="24"/>
          <w:szCs w:val="24"/>
          <w:highlight w:val="none"/>
          <w:u w:val="single"/>
        </w:rPr>
        <w:t>广州公共资源交易中心</w:t>
      </w:r>
      <w:r>
        <w:rPr>
          <w:rFonts w:hint="eastAsia" w:ascii="宋体" w:hAnsi="宋体" w:cs="宋体"/>
          <w:sz w:val="24"/>
          <w:highlight w:val="none"/>
        </w:rPr>
        <w:t>交易平台网站</w:t>
      </w:r>
      <w:r>
        <w:rPr>
          <w:rFonts w:hint="eastAsia"/>
          <w:sz w:val="24"/>
          <w:highlight w:val="none"/>
        </w:rPr>
        <w:t>递交电子投标文件。投标人完成电子投标上传后，交易平台即时向投标人发出递交回执通知。递交时间以递交回执通知载明的传输时间为准。</w:t>
      </w:r>
    </w:p>
    <w:p>
      <w:pPr>
        <w:tabs>
          <w:tab w:val="left" w:pos="360"/>
        </w:tabs>
        <w:spacing w:line="360" w:lineRule="auto"/>
        <w:ind w:left="809" w:hanging="808" w:hangingChars="337"/>
        <w:rPr>
          <w:rFonts w:hint="eastAsia"/>
          <w:sz w:val="24"/>
          <w:highlight w:val="none"/>
        </w:rPr>
      </w:pPr>
      <w:r>
        <w:rPr>
          <w:sz w:val="24"/>
          <w:highlight w:val="none"/>
        </w:rPr>
        <w:t xml:space="preserve">1.6.2 </w:t>
      </w:r>
      <w:r>
        <w:rPr>
          <w:rFonts w:ascii="宋体" w:hAnsi="宋体" w:cs="仿宋_GB2312"/>
          <w:sz w:val="24"/>
          <w:highlight w:val="none"/>
        </w:rPr>
        <w:t xml:space="preserve">  </w:t>
      </w:r>
      <w:r>
        <w:rPr>
          <w:rFonts w:hint="eastAsia" w:ascii="宋体" w:hAnsi="宋体" w:cs="仿宋_GB2312"/>
          <w:sz w:val="24"/>
          <w:highlight w:val="none"/>
        </w:rPr>
        <w:t>投标人应在递交投标文件截止时间前，登录</w:t>
      </w:r>
      <w:r>
        <w:rPr>
          <w:rFonts w:hint="eastAsia" w:ascii="宋体" w:hAnsi="宋体"/>
          <w:sz w:val="24"/>
          <w:highlight w:val="none"/>
        </w:rPr>
        <w:t>交易平台</w:t>
      </w:r>
      <w:r>
        <w:rPr>
          <w:rFonts w:hint="eastAsia" w:ascii="宋体" w:hAnsi="宋体" w:cs="仿宋_GB2312"/>
          <w:sz w:val="24"/>
          <w:highlight w:val="none"/>
        </w:rPr>
        <w:t>网站办理网上投标登记手续。按照交易平台关于全流程电子化项目的相关指南进行操作。</w:t>
      </w:r>
    </w:p>
    <w:p>
      <w:pPr>
        <w:tabs>
          <w:tab w:val="left" w:pos="360"/>
        </w:tabs>
        <w:spacing w:line="360" w:lineRule="auto"/>
        <w:ind w:left="809" w:hanging="808" w:hangingChars="337"/>
        <w:rPr>
          <w:rFonts w:hint="eastAsia"/>
          <w:sz w:val="24"/>
          <w:highlight w:val="none"/>
        </w:rPr>
      </w:pPr>
      <w:r>
        <w:rPr>
          <w:rFonts w:hint="eastAsia"/>
          <w:sz w:val="24"/>
          <w:highlight w:val="none"/>
        </w:rPr>
        <w:t>1.6.</w:t>
      </w:r>
      <w:r>
        <w:rPr>
          <w:sz w:val="24"/>
          <w:highlight w:val="none"/>
        </w:rPr>
        <w:t>3</w:t>
      </w:r>
      <w:r>
        <w:rPr>
          <w:rFonts w:hint="eastAsia"/>
          <w:sz w:val="24"/>
          <w:highlight w:val="none"/>
        </w:rPr>
        <w:t xml:space="preserve"> </w:t>
      </w:r>
      <w:r>
        <w:rPr>
          <w:rFonts w:hint="eastAsia"/>
          <w:sz w:val="24"/>
          <w:highlight w:val="none"/>
          <w:lang w:val="en-US" w:eastAsia="zh-CN"/>
        </w:rPr>
        <w:t xml:space="preserve"> </w:t>
      </w:r>
      <w:r>
        <w:rPr>
          <w:rFonts w:hint="eastAsia"/>
          <w:sz w:val="24"/>
          <w:highlight w:val="none"/>
        </w:rPr>
        <w:t>提交投标文件光盘备用</w:t>
      </w:r>
    </w:p>
    <w:p>
      <w:pPr>
        <w:tabs>
          <w:tab w:val="left" w:pos="360"/>
        </w:tabs>
        <w:spacing w:line="360" w:lineRule="auto"/>
        <w:ind w:left="809" w:hanging="808" w:hangingChars="337"/>
        <w:rPr>
          <w:rFonts w:hint="eastAsia"/>
          <w:sz w:val="24"/>
          <w:highlight w:val="none"/>
        </w:rPr>
      </w:pPr>
      <w:r>
        <w:rPr>
          <w:rFonts w:hint="eastAsia"/>
          <w:sz w:val="24"/>
          <w:highlight w:val="none"/>
        </w:rPr>
        <w:t xml:space="preserve">      投标文件光盘（备用）递交时间：</w:t>
      </w:r>
      <w:r>
        <w:rPr>
          <w:rFonts w:hint="eastAsia"/>
          <w:sz w:val="24"/>
          <w:highlight w:val="none"/>
          <w:u w:val="single"/>
          <w:lang w:val="en-US" w:eastAsia="zh-CN"/>
        </w:rPr>
        <w:t>2024</w:t>
      </w:r>
      <w:r>
        <w:rPr>
          <w:rFonts w:hint="eastAsia"/>
          <w:sz w:val="24"/>
          <w:highlight w:val="none"/>
        </w:rPr>
        <w:t>年</w:t>
      </w:r>
      <w:r>
        <w:rPr>
          <w:rFonts w:hint="eastAsia"/>
          <w:sz w:val="24"/>
          <w:highlight w:val="none"/>
          <w:u w:val="single"/>
          <w:lang w:val="en-US" w:eastAsia="zh-CN"/>
        </w:rPr>
        <w:t>07</w:t>
      </w:r>
      <w:r>
        <w:rPr>
          <w:rFonts w:hint="eastAsia"/>
          <w:sz w:val="24"/>
          <w:highlight w:val="none"/>
        </w:rPr>
        <w:t>月</w:t>
      </w:r>
      <w:r>
        <w:rPr>
          <w:rFonts w:hint="eastAsia"/>
          <w:sz w:val="24"/>
          <w:highlight w:val="none"/>
          <w:u w:val="single"/>
          <w:lang w:val="en-US" w:eastAsia="zh-CN"/>
        </w:rPr>
        <w:t>25</w:t>
      </w:r>
      <w:r>
        <w:rPr>
          <w:rFonts w:hint="eastAsia"/>
          <w:sz w:val="24"/>
          <w:highlight w:val="none"/>
        </w:rPr>
        <w:t>日</w:t>
      </w:r>
      <w:r>
        <w:rPr>
          <w:rFonts w:hint="eastAsia"/>
          <w:sz w:val="24"/>
          <w:highlight w:val="none"/>
          <w:u w:val="single"/>
          <w:lang w:val="en-US" w:eastAsia="zh-CN"/>
        </w:rPr>
        <w:t>09</w:t>
      </w:r>
      <w:r>
        <w:rPr>
          <w:rFonts w:hint="eastAsia"/>
          <w:sz w:val="24"/>
          <w:highlight w:val="none"/>
        </w:rPr>
        <w:t>时</w:t>
      </w:r>
      <w:r>
        <w:rPr>
          <w:rFonts w:hint="eastAsia"/>
          <w:sz w:val="24"/>
          <w:highlight w:val="none"/>
          <w:u w:val="single"/>
          <w:lang w:val="en-US" w:eastAsia="zh-CN"/>
        </w:rPr>
        <w:t>15</w:t>
      </w:r>
      <w:r>
        <w:rPr>
          <w:rFonts w:hint="eastAsia"/>
          <w:sz w:val="24"/>
          <w:highlight w:val="none"/>
        </w:rPr>
        <w:t>分至</w:t>
      </w:r>
      <w:r>
        <w:rPr>
          <w:rFonts w:hint="eastAsia"/>
          <w:sz w:val="24"/>
          <w:highlight w:val="none"/>
          <w:u w:val="single"/>
          <w:lang w:val="en-US" w:eastAsia="zh-CN"/>
        </w:rPr>
        <w:t>2024</w:t>
      </w:r>
      <w:r>
        <w:rPr>
          <w:rFonts w:hint="eastAsia"/>
          <w:sz w:val="24"/>
          <w:highlight w:val="none"/>
        </w:rPr>
        <w:t>年</w:t>
      </w:r>
      <w:r>
        <w:rPr>
          <w:rFonts w:hint="eastAsia"/>
          <w:sz w:val="24"/>
          <w:highlight w:val="none"/>
          <w:u w:val="single"/>
          <w:lang w:val="en-US" w:eastAsia="zh-CN"/>
        </w:rPr>
        <w:t>07</w:t>
      </w:r>
      <w:r>
        <w:rPr>
          <w:rFonts w:hint="eastAsia"/>
          <w:sz w:val="24"/>
          <w:highlight w:val="none"/>
        </w:rPr>
        <w:t>月</w:t>
      </w:r>
      <w:r>
        <w:rPr>
          <w:rFonts w:hint="eastAsia"/>
          <w:sz w:val="24"/>
          <w:highlight w:val="none"/>
          <w:u w:val="single"/>
          <w:lang w:val="en-US" w:eastAsia="zh-CN"/>
        </w:rPr>
        <w:t>25</w:t>
      </w:r>
      <w:r>
        <w:rPr>
          <w:rFonts w:hint="eastAsia"/>
          <w:sz w:val="24"/>
          <w:highlight w:val="none"/>
        </w:rPr>
        <w:t>日</w:t>
      </w:r>
      <w:r>
        <w:rPr>
          <w:rFonts w:hint="eastAsia"/>
          <w:sz w:val="24"/>
          <w:highlight w:val="none"/>
          <w:u w:val="single"/>
          <w:lang w:val="en-US" w:eastAsia="zh-CN"/>
        </w:rPr>
        <w:t>09</w:t>
      </w:r>
      <w:r>
        <w:rPr>
          <w:rFonts w:hint="eastAsia"/>
          <w:sz w:val="24"/>
          <w:highlight w:val="none"/>
        </w:rPr>
        <w:t>时</w:t>
      </w:r>
      <w:r>
        <w:rPr>
          <w:rFonts w:hint="eastAsia"/>
          <w:sz w:val="24"/>
          <w:highlight w:val="none"/>
          <w:u w:val="single"/>
          <w:lang w:val="en-US" w:eastAsia="zh-CN"/>
        </w:rPr>
        <w:t>30</w:t>
      </w:r>
      <w:r>
        <w:rPr>
          <w:rFonts w:hint="eastAsia"/>
          <w:sz w:val="24"/>
          <w:highlight w:val="none"/>
        </w:rPr>
        <w:t>分；地点：</w:t>
      </w:r>
      <w:r>
        <w:rPr>
          <w:rFonts w:hint="eastAsia" w:ascii="宋体" w:hAnsi="宋体" w:cs="宋体"/>
          <w:sz w:val="24"/>
          <w:szCs w:val="24"/>
          <w:highlight w:val="none"/>
          <w:u w:val="single"/>
        </w:rPr>
        <w:t>广州公共资源交易中心</w:t>
      </w:r>
      <w:r>
        <w:rPr>
          <w:rFonts w:hint="eastAsia"/>
          <w:sz w:val="24"/>
          <w:highlight w:val="none"/>
        </w:rPr>
        <w:t>第</w:t>
      </w:r>
      <w:r>
        <w:rPr>
          <w:rFonts w:hint="eastAsia"/>
          <w:sz w:val="24"/>
          <w:highlight w:val="none"/>
          <w:u w:val="single"/>
          <w:lang w:val="en-US" w:eastAsia="zh-CN"/>
        </w:rPr>
        <w:t>10</w:t>
      </w:r>
      <w:r>
        <w:rPr>
          <w:rFonts w:hint="eastAsia"/>
          <w:sz w:val="24"/>
          <w:highlight w:val="none"/>
        </w:rPr>
        <w:t>开标室。（电子光盘需按规定封装。投标人将数据刻录到光盘之后，投标前自行检查文件是否可以读取。）</w:t>
      </w:r>
    </w:p>
    <w:p>
      <w:pPr>
        <w:tabs>
          <w:tab w:val="left" w:pos="360"/>
        </w:tabs>
        <w:spacing w:line="360" w:lineRule="auto"/>
        <w:ind w:left="809" w:hanging="808" w:hangingChars="337"/>
        <w:rPr>
          <w:rFonts w:hint="eastAsia"/>
          <w:sz w:val="24"/>
          <w:highlight w:val="none"/>
        </w:rPr>
      </w:pPr>
      <w:r>
        <w:rPr>
          <w:rFonts w:hint="eastAsia"/>
          <w:sz w:val="24"/>
          <w:highlight w:val="none"/>
        </w:rPr>
        <w:t>1.6.</w:t>
      </w:r>
      <w:r>
        <w:rPr>
          <w:sz w:val="24"/>
          <w:highlight w:val="none"/>
        </w:rPr>
        <w:t>4</w:t>
      </w:r>
      <w:r>
        <w:rPr>
          <w:rFonts w:hint="eastAsia"/>
          <w:sz w:val="24"/>
          <w:highlight w:val="none"/>
        </w:rPr>
        <w:t xml:space="preserve">   逾期送达的投标文件，交易平台将予以拒收。</w:t>
      </w:r>
    </w:p>
    <w:p>
      <w:pPr>
        <w:spacing w:line="360" w:lineRule="auto"/>
        <w:jc w:val="left"/>
        <w:rPr>
          <w:rFonts w:hint="eastAsia" w:ascii="宋体" w:hAnsi="宋体"/>
          <w:b/>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1.7    开标开始时间和地点</w:t>
      </w:r>
    </w:p>
    <w:p>
      <w:pPr>
        <w:spacing w:line="360" w:lineRule="auto"/>
        <w:jc w:val="left"/>
        <w:rPr>
          <w:rFonts w:hint="eastAsia" w:ascii="宋体" w:hAnsi="宋体"/>
          <w:b/>
          <w:sz w:val="24"/>
          <w:highlight w:val="none"/>
        </w:rPr>
      </w:pPr>
    </w:p>
    <w:p>
      <w:pPr>
        <w:spacing w:line="360" w:lineRule="auto"/>
        <w:ind w:left="708" w:hanging="708" w:hangingChars="295"/>
        <w:rPr>
          <w:rFonts w:hint="eastAsia" w:ascii="宋体" w:hAnsi="宋体"/>
          <w:sz w:val="24"/>
          <w:highlight w:val="none"/>
          <w:u w:val="single"/>
        </w:rPr>
      </w:pPr>
      <w:r>
        <w:rPr>
          <w:rFonts w:hint="eastAsia" w:ascii="宋体" w:hAnsi="宋体"/>
          <w:sz w:val="24"/>
          <w:highlight w:val="none"/>
        </w:rPr>
        <w:t>1.7.1 采用电子开标，在招标投标交易平台上公开进行。开标开始时间：</w:t>
      </w:r>
      <w:r>
        <w:rPr>
          <w:rFonts w:hint="eastAsia"/>
          <w:sz w:val="24"/>
          <w:highlight w:val="none"/>
          <w:u w:val="single"/>
          <w:lang w:val="en-US" w:eastAsia="zh-CN"/>
        </w:rPr>
        <w:t>2024</w:t>
      </w:r>
      <w:r>
        <w:rPr>
          <w:rFonts w:hint="eastAsia" w:ascii="宋体" w:hAnsi="宋体"/>
          <w:sz w:val="24"/>
          <w:highlight w:val="none"/>
        </w:rPr>
        <w:t>年</w:t>
      </w:r>
      <w:r>
        <w:rPr>
          <w:rFonts w:hint="eastAsia" w:ascii="宋体" w:hAnsi="宋体"/>
          <w:sz w:val="24"/>
          <w:highlight w:val="none"/>
          <w:u w:val="single"/>
          <w:lang w:val="en-US" w:eastAsia="zh-CN"/>
        </w:rPr>
        <w:t>07</w:t>
      </w:r>
      <w:r>
        <w:rPr>
          <w:rFonts w:hint="eastAsia" w:ascii="宋体" w:hAnsi="宋体"/>
          <w:sz w:val="24"/>
          <w:highlight w:val="none"/>
        </w:rPr>
        <w:t>月</w:t>
      </w:r>
      <w:r>
        <w:rPr>
          <w:rFonts w:hint="eastAsia" w:ascii="宋体" w:hAnsi="宋体"/>
          <w:sz w:val="24"/>
          <w:highlight w:val="none"/>
          <w:u w:val="single"/>
          <w:lang w:val="en-US" w:eastAsia="zh-CN"/>
        </w:rPr>
        <w:t>25</w:t>
      </w:r>
      <w:r>
        <w:rPr>
          <w:rFonts w:hint="eastAsia" w:ascii="宋体" w:hAnsi="宋体"/>
          <w:sz w:val="24"/>
          <w:highlight w:val="none"/>
        </w:rPr>
        <w:t>日</w:t>
      </w:r>
      <w:r>
        <w:rPr>
          <w:rFonts w:hint="eastAsia" w:ascii="宋体" w:hAnsi="宋体"/>
          <w:sz w:val="24"/>
          <w:highlight w:val="none"/>
          <w:u w:val="single"/>
          <w:lang w:val="en-US" w:eastAsia="zh-CN"/>
        </w:rPr>
        <w:t>09</w:t>
      </w:r>
      <w:r>
        <w:rPr>
          <w:rFonts w:hint="eastAsia" w:ascii="宋体" w:hAnsi="宋体"/>
          <w:sz w:val="24"/>
          <w:highlight w:val="none"/>
        </w:rPr>
        <w:t>时</w:t>
      </w:r>
      <w:r>
        <w:rPr>
          <w:rFonts w:hint="eastAsia" w:ascii="宋体" w:hAnsi="宋体"/>
          <w:sz w:val="24"/>
          <w:highlight w:val="none"/>
          <w:u w:val="single"/>
          <w:lang w:val="en-US" w:eastAsia="zh-CN"/>
        </w:rPr>
        <w:t>30</w:t>
      </w:r>
      <w:r>
        <w:rPr>
          <w:rFonts w:hint="eastAsia" w:ascii="宋体" w:hAnsi="宋体"/>
          <w:sz w:val="24"/>
          <w:highlight w:val="none"/>
        </w:rPr>
        <w:t>分（与</w:t>
      </w:r>
      <w:r>
        <w:rPr>
          <w:rFonts w:ascii="宋体" w:hAnsi="宋体"/>
          <w:sz w:val="24"/>
          <w:highlight w:val="none"/>
        </w:rPr>
        <w:t>投标截止时间</w:t>
      </w:r>
      <w:r>
        <w:rPr>
          <w:rFonts w:hint="eastAsia" w:ascii="宋体" w:hAnsi="宋体"/>
          <w:sz w:val="24"/>
          <w:highlight w:val="none"/>
        </w:rPr>
        <w:t>为</w:t>
      </w:r>
      <w:r>
        <w:rPr>
          <w:rFonts w:ascii="宋体" w:hAnsi="宋体"/>
          <w:sz w:val="24"/>
          <w:highlight w:val="none"/>
        </w:rPr>
        <w:t>同一时间</w:t>
      </w:r>
      <w:r>
        <w:rPr>
          <w:rFonts w:hint="eastAsia" w:ascii="宋体" w:hAnsi="宋体"/>
          <w:sz w:val="24"/>
          <w:highlight w:val="none"/>
        </w:rPr>
        <w:t>）。所有投标人均应当准时在线参加开标。</w:t>
      </w:r>
      <w:r>
        <w:rPr>
          <w:rFonts w:ascii="宋体" w:hAnsi="宋体"/>
          <w:sz w:val="24"/>
          <w:highlight w:val="none"/>
        </w:rPr>
        <w:t>投标人</w:t>
      </w:r>
      <w:r>
        <w:rPr>
          <w:rFonts w:hint="eastAsia" w:ascii="宋体" w:hAnsi="宋体"/>
          <w:sz w:val="24"/>
          <w:highlight w:val="none"/>
        </w:rPr>
        <w:t>参与电子</w:t>
      </w:r>
      <w:r>
        <w:rPr>
          <w:rFonts w:ascii="宋体" w:hAnsi="宋体"/>
          <w:sz w:val="24"/>
          <w:highlight w:val="none"/>
        </w:rPr>
        <w:t>开标</w:t>
      </w:r>
      <w:r>
        <w:rPr>
          <w:rFonts w:hint="eastAsia" w:ascii="宋体" w:hAnsi="宋体"/>
          <w:sz w:val="24"/>
          <w:highlight w:val="none"/>
        </w:rPr>
        <w:t>的</w:t>
      </w:r>
      <w:r>
        <w:rPr>
          <w:rFonts w:ascii="宋体" w:hAnsi="宋体"/>
          <w:sz w:val="24"/>
          <w:highlight w:val="none"/>
        </w:rPr>
        <w:t>具体操作详见交易平台</w:t>
      </w:r>
      <w:r>
        <w:rPr>
          <w:rFonts w:hint="eastAsia" w:ascii="宋体" w:hAnsi="宋体"/>
          <w:sz w:val="24"/>
          <w:highlight w:val="none"/>
        </w:rPr>
        <w:t>发布</w:t>
      </w:r>
      <w:r>
        <w:rPr>
          <w:rFonts w:ascii="宋体" w:hAnsi="宋体"/>
          <w:sz w:val="24"/>
          <w:highlight w:val="none"/>
        </w:rPr>
        <w:t>的相关操作指引</w:t>
      </w:r>
      <w:r>
        <w:rPr>
          <w:rFonts w:hint="eastAsia" w:ascii="宋体" w:hAnsi="宋体"/>
          <w:sz w:val="24"/>
          <w:highlight w:val="none"/>
        </w:rPr>
        <w:t>。</w:t>
      </w:r>
    </w:p>
    <w:p>
      <w:pPr>
        <w:spacing w:line="360" w:lineRule="auto"/>
        <w:rPr>
          <w:rFonts w:hint="eastAsia" w:ascii="宋体" w:hAnsi="宋体"/>
          <w:b/>
          <w:sz w:val="24"/>
          <w:highlight w:val="none"/>
        </w:rPr>
      </w:pPr>
      <w:r>
        <w:rPr>
          <w:rFonts w:hint="eastAsia" w:ascii="宋体" w:hAnsi="宋体"/>
          <w:b/>
          <w:sz w:val="24"/>
          <w:highlight w:val="none"/>
        </w:rPr>
        <w:t>1.8    现场考察</w:t>
      </w:r>
    </w:p>
    <w:p>
      <w:pPr>
        <w:spacing w:line="360" w:lineRule="auto"/>
        <w:jc w:val="left"/>
        <w:rPr>
          <w:rFonts w:hint="eastAsia"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1.8.1  时间：</w:t>
      </w:r>
      <w:r>
        <w:rPr>
          <w:rFonts w:hint="eastAsia" w:ascii="宋体" w:hAnsi="宋体" w:cs="宋体"/>
          <w:sz w:val="24"/>
          <w:szCs w:val="24"/>
          <w:highlight w:val="none"/>
          <w:u w:val="single"/>
        </w:rPr>
        <w:t>不安排统一考察，由投标人自行考察</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1.8.2  地点：</w:t>
      </w:r>
      <w:r>
        <w:rPr>
          <w:rFonts w:hint="eastAsia" w:ascii="宋体" w:hAnsi="宋体" w:cs="宋体"/>
          <w:sz w:val="24"/>
          <w:szCs w:val="24"/>
          <w:highlight w:val="none"/>
          <w:u w:val="single"/>
        </w:rPr>
        <w:t>不安排统一考察，由投标人自行考察</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jc w:val="left"/>
        <w:rPr>
          <w:rFonts w:hint="eastAsia" w:ascii="宋体" w:hAnsi="宋体"/>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1.9    费用</w:t>
      </w:r>
    </w:p>
    <w:p>
      <w:pPr>
        <w:spacing w:line="360" w:lineRule="auto"/>
        <w:ind w:left="821" w:hanging="820" w:hangingChars="342"/>
        <w:jc w:val="left"/>
        <w:rPr>
          <w:rFonts w:hint="eastAsia" w:ascii="宋体" w:hAnsi="宋体"/>
          <w:sz w:val="24"/>
          <w:highlight w:val="none"/>
        </w:rPr>
      </w:pP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 xml:space="preserve">1.9.1  </w:t>
      </w:r>
      <w:r>
        <w:rPr>
          <w:rFonts w:hint="eastAsia" w:ascii="宋体" w:hAnsi="宋体" w:cs="宋体"/>
          <w:sz w:val="24"/>
          <w:szCs w:val="24"/>
          <w:highlight w:val="none"/>
          <w:u w:val="single"/>
        </w:rPr>
        <w:t>最高投标限价：本项目工程勘察设计费最高投标限价总价为220.90万元，其中工程设计费最高投标限价为202.90万元；工程勘察费最高投标限价为</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u w:val="single"/>
        </w:rPr>
        <w:t>万元（勘察综合单价最高投标限价为</w:t>
      </w:r>
      <w:r>
        <w:rPr>
          <w:rFonts w:hint="eastAsia" w:ascii="宋体" w:hAnsi="宋体"/>
          <w:sz w:val="24"/>
          <w:szCs w:val="24"/>
          <w:highlight w:val="none"/>
          <w:u w:val="single"/>
        </w:rPr>
        <w:t>150元/米</w:t>
      </w:r>
      <w:r>
        <w:rPr>
          <w:rFonts w:hint="eastAsia" w:ascii="宋体" w:hAnsi="宋体"/>
          <w:sz w:val="24"/>
          <w:szCs w:val="24"/>
          <w:highlight w:val="none"/>
          <w:u w:val="single"/>
          <w:lang w:eastAsia="zh-CN"/>
        </w:rPr>
        <w:t>，暂定勘察工程量1200米。</w:t>
      </w:r>
      <w:r>
        <w:rPr>
          <w:rFonts w:hint="eastAsia" w:ascii="宋体" w:hAnsi="宋体"/>
          <w:sz w:val="24"/>
          <w:szCs w:val="24"/>
          <w:highlight w:val="none"/>
          <w:u w:val="single"/>
        </w:rPr>
        <w:t>）</w:t>
      </w:r>
      <w:r>
        <w:rPr>
          <w:rFonts w:hint="eastAsia" w:ascii="宋体" w:hAnsi="宋体" w:cs="宋体"/>
          <w:sz w:val="24"/>
          <w:szCs w:val="24"/>
          <w:highlight w:val="none"/>
          <w:u w:val="single"/>
        </w:rPr>
        <w:t>。</w:t>
      </w:r>
    </w:p>
    <w:p>
      <w:pPr>
        <w:spacing w:line="360" w:lineRule="auto"/>
        <w:ind w:left="778" w:leftChars="-20" w:hanging="820" w:hangingChars="342"/>
        <w:jc w:val="left"/>
        <w:rPr>
          <w:rFonts w:ascii="宋体" w:hAnsi="宋体"/>
          <w:sz w:val="24"/>
          <w:szCs w:val="24"/>
          <w:highlight w:val="none"/>
        </w:rPr>
      </w:pPr>
      <w:r>
        <w:rPr>
          <w:rFonts w:hint="eastAsia" w:ascii="宋体" w:hAnsi="宋体"/>
          <w:sz w:val="24"/>
          <w:highlight w:val="none"/>
        </w:rPr>
        <w:t>1.9.2  财政投资项目应实行限额设计，初步设计的建设内容和建设标准不得超过可行性研究报告批复的范围，编制初步设计概算</w:t>
      </w:r>
      <w:r>
        <w:rPr>
          <w:rFonts w:hint="eastAsia" w:ascii="宋体" w:hAnsi="宋体" w:cs="宋体"/>
          <w:sz w:val="24"/>
          <w:szCs w:val="24"/>
          <w:highlight w:val="none"/>
          <w:u w:val="single"/>
        </w:rPr>
        <w:t>不得超过经批准的可行性研究报告的总投资</w:t>
      </w:r>
      <w:r>
        <w:rPr>
          <w:rFonts w:hint="eastAsia" w:ascii="宋体" w:hAnsi="宋体" w:cs="宋体"/>
          <w:sz w:val="24"/>
          <w:szCs w:val="24"/>
          <w:highlight w:val="none"/>
        </w:rPr>
        <w:t>。</w:t>
      </w:r>
    </w:p>
    <w:p>
      <w:pPr>
        <w:spacing w:line="360" w:lineRule="auto"/>
        <w:ind w:left="752" w:leftChars="358" w:firstLine="0" w:firstLineChars="0"/>
        <w:jc w:val="left"/>
        <w:rPr>
          <w:rFonts w:hint="eastAsia" w:ascii="宋体" w:hAnsi="宋体"/>
          <w:sz w:val="24"/>
          <w:highlight w:val="none"/>
        </w:rPr>
      </w:pPr>
      <w:r>
        <w:rPr>
          <w:rFonts w:hint="eastAsia" w:ascii="宋体" w:hAnsi="宋体" w:cs="宋体"/>
          <w:sz w:val="24"/>
          <w:szCs w:val="24"/>
          <w:highlight w:val="none"/>
          <w:u w:val="single"/>
        </w:rPr>
        <w:t>政府固定资产投资应当坚持估算控制概算（部门预算），概算（部门预算）控制预算，预算控制决算的原则。</w:t>
      </w:r>
      <w:r>
        <w:rPr>
          <w:rFonts w:hint="eastAsia" w:ascii="宋体" w:hAnsi="宋体"/>
          <w:sz w:val="24"/>
          <w:highlight w:val="none"/>
        </w:rPr>
        <w:t xml:space="preserve">       </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1.9.3  未中标单位经济补偿及补偿金额</w:t>
      </w:r>
    </w:p>
    <w:p>
      <w:pPr>
        <w:spacing w:line="360" w:lineRule="auto"/>
        <w:ind w:left="777" w:leftChars="370" w:firstLine="120" w:firstLineChars="5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本次招标对未中标人投标文件中的技术成果给予经济补偿。给予经济补偿的，招标人将按如下标准支付经济补偿费，分配办法如下：</w:t>
      </w:r>
    </w:p>
    <w:tbl>
      <w:tblPr>
        <w:tblStyle w:val="5"/>
        <w:tblW w:w="390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3182"/>
        <w:gridCol w:w="1665"/>
        <w:gridCol w:w="18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1" w:hRule="atLeast"/>
          <w:jc w:val="center"/>
        </w:trPr>
        <w:tc>
          <w:tcPr>
            <w:tcW w:w="2390" w:type="pct"/>
            <w:noWrap w:val="0"/>
            <w:tcMar>
              <w:left w:w="108" w:type="dxa"/>
              <w:right w:w="108" w:type="dxa"/>
            </w:tcMar>
            <w:vAlign w:val="center"/>
          </w:tcPr>
          <w:p>
            <w:pPr>
              <w:spacing w:line="360" w:lineRule="exact"/>
              <w:jc w:val="center"/>
              <w:rPr>
                <w:rFonts w:ascii="宋体"/>
                <w:b/>
                <w:color w:val="auto"/>
                <w:sz w:val="22"/>
                <w:szCs w:val="21"/>
                <w:highlight w:val="none"/>
                <w:u w:val="single"/>
              </w:rPr>
            </w:pPr>
            <w:r>
              <w:rPr>
                <w:rFonts w:hint="eastAsia" w:ascii="宋体" w:hAnsi="宋体" w:cs="宋体"/>
                <w:b/>
                <w:color w:val="auto"/>
                <w:sz w:val="22"/>
                <w:szCs w:val="21"/>
                <w:highlight w:val="none"/>
                <w:u w:val="single"/>
              </w:rPr>
              <w:t>定标综合评价最终排序</w:t>
            </w:r>
          </w:p>
        </w:tc>
        <w:tc>
          <w:tcPr>
            <w:tcW w:w="1250" w:type="pct"/>
            <w:tcBorders>
              <w:left w:val="nil"/>
            </w:tcBorders>
            <w:noWrap w:val="0"/>
            <w:tcMar>
              <w:left w:w="108" w:type="dxa"/>
              <w:right w:w="108" w:type="dxa"/>
            </w:tcMar>
            <w:vAlign w:val="center"/>
          </w:tcPr>
          <w:p>
            <w:pPr>
              <w:spacing w:line="360" w:lineRule="exact"/>
              <w:jc w:val="center"/>
              <w:rPr>
                <w:rFonts w:ascii="宋体"/>
                <w:color w:val="auto"/>
                <w:sz w:val="22"/>
                <w:szCs w:val="21"/>
                <w:highlight w:val="none"/>
                <w:u w:val="single"/>
              </w:rPr>
            </w:pPr>
            <w:r>
              <w:rPr>
                <w:rFonts w:hint="eastAsia" w:ascii="宋体" w:hAnsi="宋体" w:cs="宋体"/>
                <w:color w:val="auto"/>
                <w:sz w:val="22"/>
                <w:szCs w:val="21"/>
                <w:highlight w:val="none"/>
                <w:u w:val="single"/>
              </w:rPr>
              <w:t>第</w:t>
            </w:r>
            <w:r>
              <w:rPr>
                <w:rFonts w:ascii="宋体" w:hAnsi="宋体"/>
                <w:color w:val="auto"/>
                <w:sz w:val="22"/>
                <w:szCs w:val="21"/>
                <w:highlight w:val="none"/>
                <w:u w:val="single"/>
              </w:rPr>
              <w:t>2</w:t>
            </w:r>
            <w:r>
              <w:rPr>
                <w:rFonts w:hint="eastAsia" w:ascii="宋体" w:hAnsi="宋体" w:cs="宋体"/>
                <w:color w:val="auto"/>
                <w:sz w:val="22"/>
                <w:szCs w:val="21"/>
                <w:highlight w:val="none"/>
                <w:u w:val="single"/>
              </w:rPr>
              <w:t>名</w:t>
            </w:r>
          </w:p>
        </w:tc>
        <w:tc>
          <w:tcPr>
            <w:tcW w:w="1358" w:type="pct"/>
            <w:tcBorders>
              <w:left w:val="nil"/>
            </w:tcBorders>
            <w:noWrap w:val="0"/>
            <w:tcMar>
              <w:left w:w="108" w:type="dxa"/>
              <w:right w:w="108" w:type="dxa"/>
            </w:tcMar>
            <w:vAlign w:val="center"/>
          </w:tcPr>
          <w:p>
            <w:pPr>
              <w:spacing w:line="360" w:lineRule="exact"/>
              <w:jc w:val="center"/>
              <w:rPr>
                <w:rFonts w:ascii="宋体"/>
                <w:color w:val="auto"/>
                <w:sz w:val="22"/>
                <w:szCs w:val="21"/>
                <w:highlight w:val="none"/>
                <w:u w:val="single"/>
              </w:rPr>
            </w:pPr>
            <w:r>
              <w:rPr>
                <w:rFonts w:hint="eastAsia" w:ascii="宋体" w:hAnsi="宋体" w:cs="宋体"/>
                <w:color w:val="auto"/>
                <w:sz w:val="22"/>
                <w:szCs w:val="21"/>
                <w:highlight w:val="none"/>
                <w:u w:val="single"/>
              </w:rPr>
              <w:t>第</w:t>
            </w:r>
            <w:r>
              <w:rPr>
                <w:rFonts w:ascii="宋体" w:hAnsi="宋体"/>
                <w:color w:val="auto"/>
                <w:sz w:val="22"/>
                <w:szCs w:val="21"/>
                <w:highlight w:val="none"/>
                <w:u w:val="single"/>
              </w:rPr>
              <w:t>3</w:t>
            </w:r>
            <w:r>
              <w:rPr>
                <w:rFonts w:hint="eastAsia" w:ascii="宋体" w:hAnsi="宋体" w:cs="宋体"/>
                <w:color w:val="auto"/>
                <w:sz w:val="22"/>
                <w:szCs w:val="21"/>
                <w:highlight w:val="none"/>
                <w:u w:val="single"/>
              </w:rPr>
              <w:t>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3" w:hRule="atLeast"/>
          <w:jc w:val="center"/>
        </w:trPr>
        <w:tc>
          <w:tcPr>
            <w:tcW w:w="2390" w:type="pct"/>
            <w:noWrap w:val="0"/>
            <w:tcMar>
              <w:left w:w="108" w:type="dxa"/>
              <w:right w:w="108" w:type="dxa"/>
            </w:tcMar>
            <w:vAlign w:val="top"/>
          </w:tcPr>
          <w:p>
            <w:pPr>
              <w:spacing w:line="360" w:lineRule="exact"/>
              <w:jc w:val="center"/>
              <w:rPr>
                <w:rFonts w:ascii="宋体"/>
                <w:b/>
                <w:color w:val="auto"/>
                <w:sz w:val="22"/>
                <w:szCs w:val="21"/>
                <w:highlight w:val="none"/>
                <w:u w:val="single"/>
              </w:rPr>
            </w:pPr>
            <w:r>
              <w:rPr>
                <w:rFonts w:hint="eastAsia" w:ascii="宋体" w:hAnsi="宋体" w:cs="宋体"/>
                <w:b/>
                <w:color w:val="auto"/>
                <w:sz w:val="22"/>
                <w:szCs w:val="21"/>
                <w:highlight w:val="none"/>
                <w:u w:val="single"/>
              </w:rPr>
              <w:t>投标经济补偿金额</w:t>
            </w:r>
          </w:p>
          <w:p>
            <w:pPr>
              <w:spacing w:line="360" w:lineRule="exact"/>
              <w:jc w:val="center"/>
              <w:rPr>
                <w:rFonts w:ascii="宋体"/>
                <w:color w:val="auto"/>
                <w:sz w:val="22"/>
                <w:szCs w:val="21"/>
                <w:highlight w:val="none"/>
                <w:u w:val="single"/>
              </w:rPr>
            </w:pPr>
            <w:r>
              <w:rPr>
                <w:rFonts w:hint="eastAsia" w:ascii="宋体" w:hAnsi="宋体" w:cs="宋体"/>
                <w:b/>
                <w:color w:val="auto"/>
                <w:sz w:val="22"/>
                <w:szCs w:val="21"/>
                <w:highlight w:val="none"/>
                <w:u w:val="single"/>
              </w:rPr>
              <w:t>（人民币，万元）</w:t>
            </w:r>
          </w:p>
        </w:tc>
        <w:tc>
          <w:tcPr>
            <w:tcW w:w="1250" w:type="pct"/>
            <w:tcBorders>
              <w:left w:val="nil"/>
            </w:tcBorders>
            <w:noWrap w:val="0"/>
            <w:tcMar>
              <w:left w:w="108" w:type="dxa"/>
              <w:right w:w="108" w:type="dxa"/>
            </w:tcMar>
            <w:vAlign w:val="center"/>
          </w:tcPr>
          <w:p>
            <w:pPr>
              <w:spacing w:line="360" w:lineRule="exact"/>
              <w:jc w:val="center"/>
              <w:rPr>
                <w:rFonts w:hint="eastAsia" w:ascii="宋体" w:eastAsia="宋体"/>
                <w:b/>
                <w:color w:val="auto"/>
                <w:sz w:val="22"/>
                <w:szCs w:val="21"/>
                <w:highlight w:val="none"/>
                <w:u w:val="single"/>
                <w:lang w:eastAsia="zh-CN"/>
              </w:rPr>
            </w:pPr>
            <w:r>
              <w:rPr>
                <w:rFonts w:hint="eastAsia" w:ascii="宋体" w:hAnsi="宋体"/>
                <w:b/>
                <w:color w:val="auto"/>
                <w:sz w:val="22"/>
                <w:szCs w:val="21"/>
                <w:highlight w:val="none"/>
                <w:u w:val="single"/>
                <w:lang w:val="en-US" w:eastAsia="zh-CN"/>
              </w:rPr>
              <w:t>3</w:t>
            </w:r>
          </w:p>
        </w:tc>
        <w:tc>
          <w:tcPr>
            <w:tcW w:w="1358" w:type="pct"/>
            <w:tcBorders>
              <w:left w:val="nil"/>
            </w:tcBorders>
            <w:noWrap w:val="0"/>
            <w:tcMar>
              <w:left w:w="108" w:type="dxa"/>
              <w:right w:w="108" w:type="dxa"/>
            </w:tcMar>
            <w:vAlign w:val="center"/>
          </w:tcPr>
          <w:p>
            <w:pPr>
              <w:spacing w:line="360" w:lineRule="exact"/>
              <w:jc w:val="center"/>
              <w:rPr>
                <w:rFonts w:ascii="宋体"/>
                <w:b/>
                <w:color w:val="auto"/>
                <w:sz w:val="22"/>
                <w:szCs w:val="21"/>
                <w:highlight w:val="none"/>
                <w:u w:val="single"/>
              </w:rPr>
            </w:pPr>
            <w:r>
              <w:rPr>
                <w:rFonts w:hint="eastAsia" w:ascii="宋体" w:hAnsi="宋体"/>
                <w:b/>
                <w:color w:val="auto"/>
                <w:sz w:val="22"/>
                <w:szCs w:val="21"/>
                <w:highlight w:val="none"/>
                <w:u w:val="single"/>
              </w:rPr>
              <w:t>2</w:t>
            </w:r>
          </w:p>
        </w:tc>
      </w:tr>
    </w:tbl>
    <w:p>
      <w:pPr>
        <w:spacing w:line="360" w:lineRule="auto"/>
        <w:ind w:left="777" w:leftChars="370" w:firstLine="120" w:firstLine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其余投标人费用自理。</w:t>
      </w:r>
    </w:p>
    <w:p>
      <w:pPr>
        <w:spacing w:line="360" w:lineRule="auto"/>
        <w:ind w:left="735" w:leftChars="350"/>
        <w:rPr>
          <w:rFonts w:ascii="宋体"/>
          <w:color w:val="auto"/>
          <w:sz w:val="24"/>
          <w:szCs w:val="24"/>
          <w:highlight w:val="none"/>
          <w:u w:val="single"/>
        </w:rPr>
      </w:pP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注释</w:t>
      </w:r>
      <w:r>
        <w:rPr>
          <w:rFonts w:ascii="宋体" w:hAnsi="宋体" w:cs="宋体"/>
          <w:color w:val="auto"/>
          <w:sz w:val="24"/>
          <w:szCs w:val="24"/>
          <w:highlight w:val="none"/>
          <w:u w:val="single"/>
        </w:rPr>
        <w:t>]</w:t>
      </w:r>
    </w:p>
    <w:p>
      <w:pPr>
        <w:spacing w:line="360" w:lineRule="auto"/>
        <w:ind w:left="735" w:leftChars="350" w:firstLine="480" w:firstLineChars="200"/>
        <w:rPr>
          <w:rFonts w:ascii="宋体"/>
          <w:color w:val="auto"/>
          <w:sz w:val="24"/>
          <w:szCs w:val="24"/>
          <w:highlight w:val="none"/>
          <w:u w:val="single"/>
        </w:rPr>
      </w:pPr>
      <w:r>
        <w:rPr>
          <w:rFonts w:hint="eastAsia" w:ascii="宋体" w:hAnsi="宋体" w:cs="宋体"/>
          <w:color w:val="auto"/>
          <w:sz w:val="24"/>
          <w:szCs w:val="24"/>
          <w:highlight w:val="none"/>
          <w:u w:val="single"/>
        </w:rPr>
        <w:t>①投标经济补偿不包括在投标人中标价中，由招标人直接支付。招标人在公示中标</w:t>
      </w:r>
      <w:r>
        <w:rPr>
          <w:rFonts w:hint="eastAsia" w:ascii="宋体" w:hAnsi="宋体" w:cs="宋体"/>
          <w:color w:val="auto"/>
          <w:sz w:val="24"/>
          <w:szCs w:val="24"/>
          <w:highlight w:val="none"/>
          <w:u w:val="single"/>
          <w:lang w:val="en-US" w:eastAsia="zh-CN"/>
        </w:rPr>
        <w:t>结果时</w:t>
      </w:r>
      <w:r>
        <w:rPr>
          <w:rFonts w:hint="eastAsia" w:ascii="宋体" w:hAnsi="宋体" w:cs="宋体"/>
          <w:color w:val="auto"/>
          <w:sz w:val="24"/>
          <w:szCs w:val="24"/>
          <w:highlight w:val="none"/>
          <w:u w:val="single"/>
        </w:rPr>
        <w:t>一并公布本项目定标综合评价最终排序前</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名的单位。招标人（或授权的招标代理机构）在中标</w:t>
      </w:r>
      <w:r>
        <w:rPr>
          <w:rFonts w:hint="eastAsia" w:ascii="宋体" w:hAnsi="宋体" w:cs="宋体"/>
          <w:color w:val="auto"/>
          <w:sz w:val="24"/>
          <w:szCs w:val="24"/>
          <w:highlight w:val="none"/>
          <w:u w:val="single"/>
          <w:lang w:val="en-US" w:eastAsia="zh-CN"/>
        </w:rPr>
        <w:t>结果</w:t>
      </w:r>
      <w:r>
        <w:rPr>
          <w:rFonts w:hint="eastAsia" w:ascii="宋体" w:hAnsi="宋体" w:cs="宋体"/>
          <w:color w:val="auto"/>
          <w:sz w:val="24"/>
          <w:szCs w:val="24"/>
          <w:highlight w:val="none"/>
          <w:u w:val="single"/>
        </w:rPr>
        <w:t>公示结束后以书面形式通知获得投标经济补偿的投标人在规定期限内领取补偿。如果招标失败，则当次不作投标经济补偿。</w:t>
      </w:r>
    </w:p>
    <w:p>
      <w:pPr>
        <w:spacing w:line="360" w:lineRule="auto"/>
        <w:ind w:left="735" w:leftChars="350" w:firstLine="480" w:firstLineChars="200"/>
        <w:rPr>
          <w:rFonts w:ascii="宋体"/>
          <w:color w:val="auto"/>
          <w:sz w:val="24"/>
          <w:szCs w:val="24"/>
          <w:highlight w:val="none"/>
          <w:u w:val="single"/>
        </w:rPr>
      </w:pPr>
      <w:r>
        <w:rPr>
          <w:rFonts w:hint="eastAsia" w:ascii="宋体" w:hAnsi="宋体" w:cs="宋体"/>
          <w:color w:val="auto"/>
          <w:sz w:val="24"/>
          <w:szCs w:val="24"/>
          <w:highlight w:val="none"/>
          <w:u w:val="single"/>
        </w:rPr>
        <w:t>②招标人和中标人有权在实施方案中参考使用获得投标经济补偿的所有投标方案成果的部分内容。</w:t>
      </w:r>
    </w:p>
    <w:p>
      <w:pPr>
        <w:spacing w:line="360" w:lineRule="auto"/>
        <w:ind w:left="735" w:leftChars="350" w:firstLine="480" w:firstLineChars="200"/>
        <w:rPr>
          <w:rFonts w:ascii="宋体"/>
          <w:color w:val="auto"/>
          <w:sz w:val="24"/>
          <w:szCs w:val="24"/>
          <w:highlight w:val="none"/>
          <w:u w:val="single"/>
        </w:rPr>
      </w:pPr>
      <w:r>
        <w:rPr>
          <w:rFonts w:hint="eastAsia" w:ascii="宋体" w:hAnsi="宋体" w:cs="宋体"/>
          <w:color w:val="auto"/>
          <w:sz w:val="24"/>
          <w:szCs w:val="24"/>
          <w:highlight w:val="none"/>
          <w:u w:val="single"/>
        </w:rPr>
        <w:t>③对未通过资格审查或出现废标情形的投标人，将不作投标经济补偿。</w:t>
      </w:r>
    </w:p>
    <w:p>
      <w:pPr>
        <w:spacing w:line="360" w:lineRule="auto"/>
        <w:jc w:val="left"/>
        <w:rPr>
          <w:rFonts w:hint="eastAsia" w:ascii="宋体" w:hAnsi="宋体"/>
          <w:b/>
          <w:sz w:val="24"/>
          <w:highlight w:val="none"/>
        </w:rPr>
      </w:pPr>
      <w:r>
        <w:rPr>
          <w:rFonts w:hint="eastAsia" w:ascii="宋体" w:hAnsi="宋体"/>
          <w:b/>
          <w:sz w:val="24"/>
          <w:highlight w:val="none"/>
        </w:rPr>
        <w:t>1.10    工期</w:t>
      </w:r>
    </w:p>
    <w:p>
      <w:pPr>
        <w:spacing w:line="360" w:lineRule="auto"/>
        <w:ind w:left="821" w:hanging="820" w:hangingChars="342"/>
        <w:jc w:val="left"/>
        <w:rPr>
          <w:rFonts w:hint="eastAsia" w:ascii="宋体" w:hAnsi="宋体"/>
          <w:sz w:val="24"/>
          <w:highlight w:val="none"/>
        </w:rPr>
      </w:pP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1.10.1 设计工期：</w:t>
      </w:r>
      <w:r>
        <w:rPr>
          <w:rFonts w:hint="eastAsia" w:ascii="宋体" w:hAnsi="宋体"/>
          <w:sz w:val="24"/>
          <w:highlight w:val="none"/>
          <w:u w:val="none"/>
        </w:rPr>
        <w:t>履行完成本次招标约定工作内容及合同约定义务及责任，具体详见合同条款第二章“9、设计成果文件的提交”。</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1.10.2勘察工期：</w:t>
      </w:r>
      <w:r>
        <w:rPr>
          <w:rFonts w:hint="eastAsia" w:ascii="宋体" w:hAnsi="宋体"/>
          <w:sz w:val="24"/>
          <w:szCs w:val="24"/>
          <w:highlight w:val="none"/>
        </w:rPr>
        <w:t>以满足设计进度要求为准</w:t>
      </w:r>
      <w:r>
        <w:rPr>
          <w:rFonts w:hint="eastAsia" w:ascii="宋体" w:hAnsi="宋体"/>
          <w:sz w:val="24"/>
          <w:highlight w:val="none"/>
          <w:lang w:eastAsia="zh-CN"/>
        </w:rPr>
        <w:t>，如果延误工期，按照合同专用条款的约定承担违约责任。</w:t>
      </w:r>
    </w:p>
    <w:p>
      <w:pPr>
        <w:spacing w:line="360" w:lineRule="auto"/>
        <w:ind w:left="1028" w:hanging="1031" w:hangingChars="428"/>
        <w:jc w:val="left"/>
        <w:rPr>
          <w:rFonts w:hint="eastAsia" w:ascii="宋体" w:hAnsi="宋体"/>
          <w:b/>
          <w:sz w:val="24"/>
          <w:highlight w:val="none"/>
        </w:rPr>
      </w:pPr>
    </w:p>
    <w:p>
      <w:pPr>
        <w:spacing w:line="360" w:lineRule="auto"/>
        <w:ind w:left="1028" w:hanging="1031" w:hangingChars="428"/>
        <w:jc w:val="left"/>
        <w:rPr>
          <w:rFonts w:hint="eastAsia" w:ascii="宋体" w:hAnsi="宋体"/>
          <w:b/>
          <w:sz w:val="24"/>
          <w:highlight w:val="none"/>
        </w:rPr>
      </w:pPr>
      <w:r>
        <w:rPr>
          <w:rFonts w:hint="eastAsia" w:ascii="宋体" w:hAnsi="宋体"/>
          <w:b/>
          <w:sz w:val="24"/>
          <w:highlight w:val="none"/>
        </w:rPr>
        <w:t>1.11    其他事项</w:t>
      </w:r>
    </w:p>
    <w:p>
      <w:pPr>
        <w:spacing w:line="360" w:lineRule="auto"/>
        <w:ind w:left="1027" w:hanging="1027" w:hangingChars="428"/>
        <w:jc w:val="left"/>
        <w:rPr>
          <w:rFonts w:hint="eastAsia" w:ascii="宋体" w:hAnsi="宋体"/>
          <w:sz w:val="24"/>
          <w:highlight w:val="none"/>
        </w:rPr>
      </w:pPr>
    </w:p>
    <w:p>
      <w:pPr>
        <w:spacing w:line="360" w:lineRule="auto"/>
        <w:ind w:left="1027" w:hanging="1027" w:hangingChars="428"/>
        <w:jc w:val="left"/>
        <w:rPr>
          <w:rFonts w:hint="eastAsia" w:ascii="宋体" w:hAnsi="宋体"/>
          <w:strike/>
          <w:sz w:val="24"/>
          <w:highlight w:val="none"/>
        </w:rPr>
      </w:pPr>
      <w:r>
        <w:rPr>
          <w:rFonts w:hint="eastAsia" w:ascii="宋体" w:hAnsi="宋体"/>
          <w:strike/>
          <w:sz w:val="24"/>
          <w:highlight w:val="none"/>
        </w:rPr>
        <w:t>1.11.</w:t>
      </w:r>
      <w:r>
        <w:rPr>
          <w:rFonts w:ascii="宋体" w:hAnsi="宋体"/>
          <w:strike/>
          <w:sz w:val="24"/>
          <w:highlight w:val="none"/>
        </w:rPr>
        <w:t>1</w:t>
      </w:r>
      <w:r>
        <w:rPr>
          <w:rFonts w:hint="eastAsia" w:ascii="宋体" w:hAnsi="宋体"/>
          <w:strike/>
          <w:sz w:val="24"/>
          <w:highlight w:val="none"/>
        </w:rPr>
        <w:t xml:space="preserve">  招标代理费用由招标人直接支付给招标代理机构，不占用勘察设计费。</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1.11.</w:t>
      </w:r>
      <w:r>
        <w:rPr>
          <w:rFonts w:ascii="宋体" w:hAnsi="宋体"/>
          <w:sz w:val="24"/>
          <w:highlight w:val="none"/>
        </w:rPr>
        <w:t>2</w:t>
      </w:r>
      <w:r>
        <w:rPr>
          <w:rFonts w:hint="eastAsia" w:ascii="宋体" w:hAnsi="宋体"/>
          <w:sz w:val="24"/>
          <w:highlight w:val="none"/>
        </w:rPr>
        <w:t xml:space="preserve">  </w:t>
      </w:r>
      <w:r>
        <w:rPr>
          <w:rFonts w:hint="eastAsia" w:hAnsi="宋体"/>
          <w:sz w:val="24"/>
          <w:highlight w:val="none"/>
        </w:rPr>
        <w:t>招标项目的电子地形图由</w:t>
      </w:r>
      <w:r>
        <w:rPr>
          <w:rFonts w:hint="eastAsia" w:ascii="宋体" w:hAnsi="宋体"/>
          <w:color w:val="auto"/>
          <w:sz w:val="24"/>
          <w:highlight w:val="none"/>
        </w:rPr>
        <w:t>投标人自行收集。</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1.11.</w:t>
      </w:r>
      <w:r>
        <w:rPr>
          <w:rFonts w:ascii="宋体" w:hAnsi="宋体"/>
          <w:sz w:val="24"/>
          <w:highlight w:val="none"/>
        </w:rPr>
        <w:t>3</w:t>
      </w:r>
      <w:r>
        <w:rPr>
          <w:rFonts w:hint="eastAsia" w:ascii="宋体" w:hAnsi="宋体"/>
          <w:sz w:val="24"/>
          <w:highlight w:val="none"/>
        </w:rPr>
        <w:t xml:space="preserve">  项目的其他情况在设计任务书中详细介绍。本公告为招标文件的组成部分，更详细的信息以招标文件为准。</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1.11.</w:t>
      </w:r>
      <w:r>
        <w:rPr>
          <w:rFonts w:ascii="宋体" w:hAnsi="宋体"/>
          <w:sz w:val="24"/>
          <w:highlight w:val="none"/>
        </w:rPr>
        <w:t>4</w:t>
      </w:r>
      <w:r>
        <w:rPr>
          <w:rFonts w:hint="eastAsia" w:ascii="宋体" w:hAnsi="宋体"/>
          <w:sz w:val="24"/>
          <w:highlight w:val="none"/>
        </w:rPr>
        <w:t xml:space="preserve"> 投标人</w:t>
      </w:r>
      <w:r>
        <w:rPr>
          <w:rFonts w:ascii="宋体" w:hAnsi="宋体"/>
          <w:sz w:val="24"/>
          <w:highlight w:val="none"/>
        </w:rPr>
        <w:t>可通过交易</w:t>
      </w:r>
      <w:r>
        <w:rPr>
          <w:rFonts w:hint="eastAsia" w:ascii="宋体" w:hAnsi="宋体"/>
          <w:sz w:val="24"/>
          <w:highlight w:val="none"/>
        </w:rPr>
        <w:t>电子招投标操作流程详见交易平台发布的相关操作指引。</w:t>
      </w:r>
    </w:p>
    <w:p>
      <w:pPr>
        <w:shd w:val="clear" w:color="auto" w:fill="FFFFFF"/>
        <w:adjustRightInd w:val="0"/>
        <w:spacing w:line="360" w:lineRule="auto"/>
        <w:ind w:left="821" w:hanging="820" w:hangingChars="342"/>
        <w:rPr>
          <w:rFonts w:ascii="宋体" w:hAnsi="宋体"/>
          <w:sz w:val="24"/>
          <w:highlight w:val="none"/>
        </w:rPr>
      </w:pPr>
      <w:r>
        <w:rPr>
          <w:rFonts w:hint="eastAsia" w:ascii="宋体" w:hAnsi="宋体"/>
          <w:sz w:val="24"/>
          <w:highlight w:val="none"/>
        </w:rPr>
        <w:t>1.11.</w:t>
      </w:r>
      <w:r>
        <w:rPr>
          <w:rFonts w:ascii="宋体" w:hAnsi="宋体"/>
          <w:sz w:val="24"/>
          <w:highlight w:val="none"/>
        </w:rPr>
        <w:t>5</w:t>
      </w:r>
      <w:r>
        <w:rPr>
          <w:rFonts w:hint="eastAsia" w:ascii="宋体" w:hAnsi="宋体"/>
          <w:sz w:val="24"/>
          <w:highlight w:val="none"/>
        </w:rPr>
        <w:t xml:space="preserve"> </w:t>
      </w:r>
      <w:r>
        <w:rPr>
          <w:rFonts w:ascii="宋体" w:hAnsi="宋体"/>
          <w:sz w:val="24"/>
          <w:highlight w:val="none"/>
        </w:rPr>
        <w:t>潜在投标人或利害关系人对本招标公告及招标文件有异议的，向招标人书面提出。</w:t>
      </w:r>
    </w:p>
    <w:p>
      <w:pPr>
        <w:widowControl/>
        <w:shd w:val="clear" w:color="auto" w:fill="FFFFFF"/>
        <w:adjustRightInd w:val="0"/>
        <w:spacing w:line="360" w:lineRule="auto"/>
        <w:ind w:firstLine="720" w:firstLineChars="300"/>
        <w:jc w:val="left"/>
        <w:rPr>
          <w:rFonts w:ascii="宋体" w:hAnsi="宋体"/>
          <w:sz w:val="24"/>
          <w:highlight w:val="none"/>
        </w:rPr>
      </w:pPr>
      <w:r>
        <w:rPr>
          <w:rFonts w:hint="eastAsia" w:ascii="宋体" w:hAnsi="宋体"/>
          <w:sz w:val="24"/>
          <w:highlight w:val="none"/>
        </w:rPr>
        <w:t>异议受理部门：</w:t>
      </w:r>
      <w:r>
        <w:rPr>
          <w:rFonts w:hint="eastAsia" w:ascii="宋体" w:hAnsi="宋体"/>
          <w:sz w:val="24"/>
          <w:highlight w:val="none"/>
          <w:u w:val="single"/>
        </w:rPr>
        <w:t>华南理工大学</w:t>
      </w:r>
    </w:p>
    <w:p>
      <w:pPr>
        <w:widowControl/>
        <w:shd w:val="clear" w:color="auto" w:fill="FFFFFF"/>
        <w:adjustRightInd w:val="0"/>
        <w:spacing w:line="360" w:lineRule="auto"/>
        <w:ind w:firstLine="720" w:firstLineChars="300"/>
        <w:jc w:val="left"/>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u w:val="single"/>
        </w:rPr>
        <w:t>胡老师、曾老师</w:t>
      </w:r>
      <w:r>
        <w:rPr>
          <w:rFonts w:hint="eastAsia" w:ascii="宋体" w:hAnsi="宋体"/>
          <w:sz w:val="24"/>
          <w:highlight w:val="none"/>
          <w:u w:val="single"/>
          <w:lang w:eastAsia="zh-CN"/>
        </w:rPr>
        <w:t>、</w:t>
      </w:r>
      <w:r>
        <w:rPr>
          <w:rFonts w:hint="eastAsia" w:ascii="宋体" w:hAnsi="宋体"/>
          <w:sz w:val="24"/>
          <w:highlight w:val="none"/>
          <w:u w:val="single"/>
          <w:lang w:val="en-US" w:eastAsia="zh-CN"/>
        </w:rPr>
        <w:t>刘老师</w:t>
      </w:r>
    </w:p>
    <w:p>
      <w:pPr>
        <w:widowControl/>
        <w:shd w:val="clear" w:color="auto" w:fill="FFFFFF"/>
        <w:adjustRightInd w:val="0"/>
        <w:spacing w:line="360" w:lineRule="auto"/>
        <w:ind w:firstLine="720" w:firstLineChars="300"/>
        <w:jc w:val="left"/>
        <w:rPr>
          <w:rFonts w:hint="eastAsia"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020-87112959</w:t>
      </w:r>
    </w:p>
    <w:p>
      <w:pPr>
        <w:widowControl/>
        <w:shd w:val="clear" w:color="auto" w:fill="FFFFFF"/>
        <w:adjustRightInd w:val="0"/>
        <w:spacing w:line="360" w:lineRule="auto"/>
        <w:ind w:firstLine="720" w:firstLineChars="300"/>
        <w:jc w:val="left"/>
        <w:rPr>
          <w:rFonts w:hint="eastAsia" w:ascii="宋体" w:hAnsi="宋体"/>
          <w:sz w:val="24"/>
          <w:highlight w:val="none"/>
        </w:rPr>
      </w:pPr>
      <w:r>
        <w:rPr>
          <w:rFonts w:ascii="宋体" w:hAnsi="宋体"/>
          <w:sz w:val="24"/>
          <w:highlight w:val="none"/>
        </w:rPr>
        <w:t>地址：</w:t>
      </w:r>
      <w:r>
        <w:rPr>
          <w:rFonts w:hint="eastAsia" w:ascii="宋体" w:hAnsi="宋体"/>
          <w:sz w:val="24"/>
          <w:highlight w:val="none"/>
          <w:u w:val="single"/>
        </w:rPr>
        <w:t xml:space="preserve">广州市天河区五山路381号 </w:t>
      </w:r>
      <w:r>
        <w:rPr>
          <w:rFonts w:hint="eastAsia" w:ascii="宋体" w:hAnsi="宋体"/>
          <w:sz w:val="24"/>
          <w:highlight w:val="none"/>
        </w:rPr>
        <w:t xml:space="preserve"> </w:t>
      </w:r>
    </w:p>
    <w:p>
      <w:pPr>
        <w:snapToGrid w:val="0"/>
        <w:spacing w:line="360" w:lineRule="auto"/>
        <w:ind w:firstLine="480" w:firstLineChars="200"/>
        <w:rPr>
          <w:rFonts w:hint="eastAsia"/>
          <w:highlight w:val="none"/>
        </w:rPr>
      </w:pPr>
      <w:r>
        <w:rPr>
          <w:rFonts w:hint="eastAsia" w:ascii="宋体" w:hAnsi="宋体" w:cs="宋体"/>
          <w:color w:val="auto"/>
          <w:sz w:val="24"/>
          <w:szCs w:val="22"/>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详见：广州公共资源交易中心网站-&gt;服务指南-&gt;系统帮助-&gt;操作手册-&gt;《发起及受理异议操作指引》（http://www.gzggzy.cn/fwznxtbzczsc/928325.jhtml）。作出答复前，应当暂停招标投标活动。</w:t>
      </w:r>
    </w:p>
    <w:p>
      <w:pPr>
        <w:pStyle w:val="4"/>
        <w:spacing w:line="360" w:lineRule="auto"/>
        <w:ind w:left="720" w:hanging="720" w:hangingChars="300"/>
        <w:jc w:val="both"/>
        <w:rPr>
          <w:sz w:val="24"/>
          <w:highlight w:val="none"/>
        </w:rPr>
      </w:pPr>
      <w:r>
        <w:rPr>
          <w:rFonts w:hint="eastAsia" w:ascii="宋体" w:hAnsi="宋体"/>
          <w:sz w:val="24"/>
          <w:highlight w:val="none"/>
        </w:rPr>
        <w:t>1.11.</w:t>
      </w:r>
      <w:r>
        <w:rPr>
          <w:rFonts w:ascii="宋体" w:hAnsi="宋体"/>
          <w:sz w:val="24"/>
          <w:highlight w:val="none"/>
        </w:rPr>
        <w:t>6</w:t>
      </w:r>
      <w:r>
        <w:rPr>
          <w:rFonts w:hint="eastAsia" w:ascii="宋体" w:hAnsi="宋体"/>
          <w:sz w:val="24"/>
          <w:highlight w:val="none"/>
        </w:rPr>
        <w:t xml:space="preserve"> </w:t>
      </w:r>
      <w:r>
        <w:rPr>
          <w:rFonts w:ascii="宋体" w:hAnsi="宋体"/>
          <w:sz w:val="24"/>
          <w:highlight w:val="none"/>
        </w:rPr>
        <w:t>本公告在</w:t>
      </w:r>
      <w:r>
        <w:rPr>
          <w:rFonts w:hint="eastAsia" w:ascii="宋体" w:hAnsi="宋体"/>
          <w:sz w:val="24"/>
          <w:highlight w:val="none"/>
          <w:u w:val="single"/>
        </w:rPr>
        <w:t xml:space="preserve"> 广州公共资源交易中心</w:t>
      </w:r>
      <w:r>
        <w:rPr>
          <w:rFonts w:hint="eastAsia" w:ascii="宋体" w:hAnsi="宋体"/>
          <w:sz w:val="24"/>
          <w:highlight w:val="none"/>
        </w:rPr>
        <w:t>交易平台网站</w:t>
      </w:r>
      <w:r>
        <w:rPr>
          <w:rFonts w:ascii="宋体" w:hAnsi="宋体"/>
          <w:sz w:val="24"/>
          <w:highlight w:val="none"/>
        </w:rPr>
        <w:t>（网址：</w:t>
      </w:r>
      <w:r>
        <w:rPr>
          <w:rFonts w:hint="eastAsia" w:ascii="宋体" w:hAnsi="宋体"/>
          <w:sz w:val="24"/>
          <w:highlight w:val="none"/>
        </w:rPr>
        <w:t>http://www.gzggzy.cn</w:t>
      </w:r>
      <w:r>
        <w:rPr>
          <w:rFonts w:ascii="宋体" w:hAnsi="宋体"/>
          <w:sz w:val="24"/>
          <w:highlight w:val="none"/>
        </w:rPr>
        <w:t>）、广东省招标投标监管网（网址：</w:t>
      </w:r>
      <w:r>
        <w:rPr>
          <w:rFonts w:hint="eastAsia" w:ascii="宋体" w:hAnsi="宋体"/>
          <w:sz w:val="24"/>
          <w:highlight w:val="none"/>
        </w:rPr>
        <w:t>http://zbtb.gd.gov.cn</w:t>
      </w:r>
      <w:r>
        <w:rPr>
          <w:rFonts w:ascii="宋体" w:hAnsi="宋体"/>
          <w:sz w:val="24"/>
          <w:highlight w:val="none"/>
        </w:rPr>
        <w:t>）和中国招标投标公共服务平台（网址：http://www.cebpubservice.com/）发布，本公告的修改、补充，在</w:t>
      </w:r>
      <w:r>
        <w:rPr>
          <w:rFonts w:hint="eastAsia" w:ascii="宋体" w:hAnsi="宋体"/>
          <w:sz w:val="24"/>
          <w:highlight w:val="none"/>
        </w:rPr>
        <w:t>交易平台网站</w:t>
      </w:r>
      <w:r>
        <w:rPr>
          <w:rFonts w:ascii="宋体" w:hAnsi="宋体"/>
          <w:sz w:val="24"/>
          <w:highlight w:val="none"/>
        </w:rPr>
        <w:t>发布。</w:t>
      </w:r>
    </w:p>
    <w:p>
      <w:pPr>
        <w:spacing w:line="360" w:lineRule="auto"/>
        <w:ind w:left="821" w:hanging="820" w:hangingChars="342"/>
        <w:jc w:val="left"/>
        <w:rPr>
          <w:rFonts w:hint="eastAsia" w:ascii="宋体" w:hAnsi="宋体"/>
          <w:sz w:val="24"/>
          <w:highlight w:val="none"/>
        </w:rPr>
      </w:pPr>
      <w:r>
        <w:rPr>
          <w:rFonts w:hint="eastAsia" w:ascii="宋体" w:hAnsi="宋体"/>
          <w:sz w:val="24"/>
          <w:highlight w:val="none"/>
        </w:rPr>
        <w:t>1.11.</w:t>
      </w:r>
      <w:r>
        <w:rPr>
          <w:rFonts w:ascii="宋体" w:hAnsi="宋体"/>
          <w:sz w:val="24"/>
          <w:highlight w:val="none"/>
        </w:rPr>
        <w:t>7</w:t>
      </w:r>
      <w:r>
        <w:rPr>
          <w:rFonts w:hint="eastAsia" w:ascii="宋体" w:hAnsi="宋体"/>
          <w:sz w:val="24"/>
          <w:highlight w:val="none"/>
        </w:rPr>
        <w:t xml:space="preserve"> 《投诉处理决定书》和《行政处理决定书》在广州市住房和城乡建设局网站上公布的，视为送达其他与决定书有关的当事人。</w:t>
      </w:r>
    </w:p>
    <w:p>
      <w:pPr>
        <w:spacing w:line="360" w:lineRule="auto"/>
        <w:ind w:left="708" w:hanging="708" w:hangingChars="295"/>
        <w:jc w:val="left"/>
        <w:rPr>
          <w:rFonts w:hint="eastAsia" w:ascii="宋体" w:hAnsi="宋体"/>
          <w:sz w:val="24"/>
          <w:highlight w:val="none"/>
        </w:rPr>
      </w:pPr>
      <w:r>
        <w:rPr>
          <w:rFonts w:hint="eastAsia" w:ascii="宋体" w:hAnsi="宋体"/>
          <w:sz w:val="24"/>
          <w:highlight w:val="none"/>
        </w:rPr>
        <w:t>1.11.</w:t>
      </w:r>
      <w:r>
        <w:rPr>
          <w:rFonts w:ascii="宋体" w:hAnsi="宋体"/>
          <w:sz w:val="24"/>
          <w:highlight w:val="none"/>
        </w:rPr>
        <w:t>8</w:t>
      </w:r>
      <w:r>
        <w:rPr>
          <w:rFonts w:hint="eastAsia" w:ascii="宋体" w:hAnsi="宋体"/>
          <w:sz w:val="24"/>
          <w:highlight w:val="none"/>
        </w:rPr>
        <w:t xml:space="preserve"> 特别提示：投标人在本项目招标人的工程项目中存在下列行为的，将被拒绝</w:t>
      </w:r>
      <w:r>
        <w:rPr>
          <w:rFonts w:hint="eastAsia" w:ascii="宋体" w:hAnsi="宋体" w:cs="宋体"/>
          <w:sz w:val="24"/>
          <w:szCs w:val="24"/>
          <w:highlight w:val="none"/>
          <w:u w:val="single"/>
        </w:rPr>
        <w:t>一年</w:t>
      </w:r>
      <w:r>
        <w:rPr>
          <w:rFonts w:hint="eastAsia" w:ascii="宋体" w:hAnsi="宋体"/>
          <w:sz w:val="24"/>
          <w:highlight w:val="none"/>
        </w:rPr>
        <w:t>内参与我单位后续工程投标。（注：拒绝投标时限由招标人视严重程度确定，最低三个月起，自招标人发出通知之日起计）：</w:t>
      </w:r>
    </w:p>
    <w:p>
      <w:pPr>
        <w:spacing w:line="360" w:lineRule="auto"/>
        <w:ind w:left="420" w:leftChars="200"/>
        <w:jc w:val="left"/>
        <w:rPr>
          <w:rFonts w:ascii="宋体" w:hAnsi="宋体"/>
          <w:sz w:val="24"/>
          <w:szCs w:val="24"/>
          <w:highlight w:val="none"/>
        </w:rPr>
      </w:pPr>
      <w:r>
        <w:rPr>
          <w:rFonts w:hint="eastAsia" w:ascii="宋体" w:hAnsi="宋体" w:cs="宋体"/>
          <w:sz w:val="24"/>
          <w:szCs w:val="24"/>
          <w:highlight w:val="none"/>
        </w:rPr>
        <w:t>（</w:t>
      </w:r>
      <w:r>
        <w:rPr>
          <w:rFonts w:hint="eastAsia" w:ascii="宋体" w:hAnsi="宋体"/>
          <w:sz w:val="24"/>
          <w:szCs w:val="24"/>
          <w:highlight w:val="none"/>
        </w:rPr>
        <w:t>1）将中标工程转包或者违法分包的；</w:t>
      </w:r>
    </w:p>
    <w:p>
      <w:pPr>
        <w:spacing w:line="360" w:lineRule="auto"/>
        <w:ind w:left="648" w:leftChars="200" w:hanging="228" w:hangingChars="95"/>
        <w:jc w:val="left"/>
        <w:rPr>
          <w:rFonts w:ascii="宋体" w:hAnsi="宋体"/>
          <w:sz w:val="24"/>
          <w:szCs w:val="24"/>
          <w:highlight w:val="none"/>
        </w:rPr>
      </w:pPr>
      <w:r>
        <w:rPr>
          <w:rFonts w:hint="eastAsia" w:ascii="宋体" w:hAnsi="宋体" w:cs="宋体"/>
          <w:sz w:val="24"/>
          <w:szCs w:val="24"/>
          <w:highlight w:val="none"/>
        </w:rPr>
        <w:t>（</w:t>
      </w:r>
      <w:r>
        <w:rPr>
          <w:rFonts w:hint="eastAsia" w:ascii="宋体" w:hAnsi="宋体"/>
          <w:sz w:val="24"/>
          <w:szCs w:val="24"/>
          <w:highlight w:val="none"/>
        </w:rPr>
        <w:t>2</w:t>
      </w:r>
      <w:r>
        <w:rPr>
          <w:rFonts w:hint="eastAsia" w:ascii="宋体" w:hAnsi="宋体" w:cs="宋体"/>
          <w:sz w:val="24"/>
          <w:szCs w:val="24"/>
          <w:highlight w:val="none"/>
        </w:rPr>
        <w:t>）存在串通投标情形的；</w:t>
      </w:r>
    </w:p>
    <w:p>
      <w:pPr>
        <w:spacing w:line="360" w:lineRule="auto"/>
        <w:ind w:left="648" w:leftChars="200" w:hanging="228" w:hangingChars="95"/>
        <w:jc w:val="left"/>
        <w:rPr>
          <w:rFonts w:ascii="宋体" w:hAnsi="宋体"/>
          <w:sz w:val="24"/>
          <w:szCs w:val="24"/>
          <w:highlight w:val="none"/>
        </w:rPr>
      </w:pPr>
      <w:r>
        <w:rPr>
          <w:rFonts w:hint="eastAsia" w:ascii="宋体" w:hAnsi="宋体" w:cs="宋体"/>
          <w:sz w:val="24"/>
          <w:szCs w:val="24"/>
          <w:highlight w:val="none"/>
        </w:rPr>
        <w:t>（</w:t>
      </w:r>
      <w:r>
        <w:rPr>
          <w:rFonts w:hint="eastAsia" w:ascii="宋体" w:hAnsi="宋体"/>
          <w:sz w:val="24"/>
          <w:szCs w:val="24"/>
          <w:highlight w:val="none"/>
        </w:rPr>
        <w:t>3）</w:t>
      </w:r>
      <w:r>
        <w:rPr>
          <w:rFonts w:hint="eastAsia" w:ascii="宋体" w:hAnsi="宋体" w:cs="宋体"/>
          <w:b/>
          <w:sz w:val="24"/>
          <w:szCs w:val="24"/>
          <w:highlight w:val="none"/>
          <w:u w:val="single"/>
        </w:rPr>
        <w:t>在投标文件中提供虚假材料的</w:t>
      </w:r>
      <w:r>
        <w:rPr>
          <w:rFonts w:hint="eastAsia" w:ascii="宋体" w:hAnsi="宋体" w:cs="宋体"/>
          <w:sz w:val="24"/>
          <w:szCs w:val="24"/>
          <w:highlight w:val="none"/>
        </w:rPr>
        <w:t>；</w:t>
      </w:r>
    </w:p>
    <w:p>
      <w:pPr>
        <w:spacing w:line="360" w:lineRule="auto"/>
        <w:ind w:left="648" w:leftChars="200" w:hanging="228" w:hangingChars="95"/>
        <w:jc w:val="left"/>
        <w:rPr>
          <w:rFonts w:ascii="宋体" w:hAnsi="宋体"/>
          <w:sz w:val="24"/>
          <w:szCs w:val="24"/>
          <w:highlight w:val="none"/>
        </w:rPr>
      </w:pPr>
      <w:r>
        <w:rPr>
          <w:rFonts w:hint="eastAsia" w:ascii="宋体" w:hAnsi="宋体" w:cs="宋体"/>
          <w:sz w:val="24"/>
          <w:szCs w:val="24"/>
          <w:highlight w:val="none"/>
        </w:rPr>
        <w:t>（</w:t>
      </w:r>
      <w:r>
        <w:rPr>
          <w:rFonts w:hint="eastAsia" w:ascii="宋体" w:hAnsi="宋体"/>
          <w:sz w:val="24"/>
          <w:szCs w:val="24"/>
          <w:highlight w:val="none"/>
        </w:rPr>
        <w:t>4）</w:t>
      </w:r>
      <w:r>
        <w:rPr>
          <w:rFonts w:hint="eastAsia" w:ascii="宋体" w:hAnsi="宋体" w:cs="宋体"/>
          <w:b/>
          <w:sz w:val="24"/>
          <w:szCs w:val="24"/>
          <w:highlight w:val="none"/>
          <w:u w:val="single"/>
        </w:rPr>
        <w:t>存在行贿情形的</w:t>
      </w:r>
      <w:r>
        <w:rPr>
          <w:rFonts w:hint="eastAsia" w:ascii="宋体" w:hAnsi="宋体"/>
          <w:sz w:val="24"/>
          <w:szCs w:val="24"/>
          <w:highlight w:val="none"/>
        </w:rPr>
        <w:t>;</w:t>
      </w:r>
    </w:p>
    <w:p>
      <w:pPr>
        <w:spacing w:line="360" w:lineRule="auto"/>
        <w:ind w:left="648" w:leftChars="200" w:hanging="228" w:hangingChars="95"/>
        <w:jc w:val="left"/>
        <w:rPr>
          <w:rFonts w:ascii="宋体" w:hAnsi="宋体"/>
          <w:sz w:val="24"/>
          <w:szCs w:val="24"/>
          <w:highlight w:val="none"/>
        </w:rPr>
      </w:pPr>
      <w:r>
        <w:rPr>
          <w:rFonts w:hint="eastAsia" w:ascii="宋体" w:hAnsi="宋体" w:cs="宋体"/>
          <w:sz w:val="24"/>
          <w:szCs w:val="24"/>
          <w:highlight w:val="none"/>
        </w:rPr>
        <w:t>（</w:t>
      </w:r>
      <w:r>
        <w:rPr>
          <w:rFonts w:hint="eastAsia" w:ascii="宋体" w:hAnsi="宋体"/>
          <w:sz w:val="24"/>
          <w:szCs w:val="24"/>
          <w:highlight w:val="none"/>
        </w:rPr>
        <w:t>5）</w:t>
      </w:r>
      <w:r>
        <w:rPr>
          <w:rFonts w:hint="eastAsia" w:ascii="宋体" w:hAnsi="宋体" w:cs="宋体"/>
          <w:b/>
          <w:sz w:val="24"/>
          <w:szCs w:val="24"/>
          <w:highlight w:val="none"/>
          <w:u w:val="single"/>
        </w:rPr>
        <w:t>拖欠农民工工资的</w:t>
      </w:r>
      <w:r>
        <w:rPr>
          <w:rFonts w:hint="eastAsia" w:ascii="宋体" w:hAnsi="宋体" w:cs="宋体"/>
          <w:sz w:val="24"/>
          <w:szCs w:val="24"/>
          <w:highlight w:val="none"/>
        </w:rPr>
        <w:t>；</w:t>
      </w:r>
    </w:p>
    <w:p>
      <w:pPr>
        <w:spacing w:line="360" w:lineRule="auto"/>
        <w:ind w:left="420" w:leftChars="200"/>
        <w:jc w:val="left"/>
        <w:rPr>
          <w:rFonts w:ascii="宋体" w:hAnsi="宋体"/>
          <w:sz w:val="24"/>
          <w:szCs w:val="24"/>
          <w:highlight w:val="none"/>
          <w:u w:val="single"/>
        </w:rPr>
      </w:pPr>
      <w:r>
        <w:rPr>
          <w:rFonts w:hint="eastAsia" w:ascii="宋体" w:hAnsi="宋体" w:cs="宋体"/>
          <w:sz w:val="24"/>
          <w:szCs w:val="24"/>
          <w:highlight w:val="none"/>
        </w:rPr>
        <w:t>（</w:t>
      </w:r>
      <w:r>
        <w:rPr>
          <w:rFonts w:hint="eastAsia" w:ascii="宋体" w:hAnsi="宋体"/>
          <w:sz w:val="24"/>
          <w:szCs w:val="24"/>
          <w:highlight w:val="none"/>
        </w:rPr>
        <w:t>6</w:t>
      </w:r>
      <w:r>
        <w:rPr>
          <w:rFonts w:hint="eastAsia" w:ascii="宋体" w:hAnsi="宋体" w:cs="宋体"/>
          <w:sz w:val="24"/>
          <w:szCs w:val="24"/>
          <w:highlight w:val="none"/>
        </w:rPr>
        <w:t>）</w:t>
      </w:r>
      <w:r>
        <w:rPr>
          <w:rFonts w:hint="eastAsia" w:ascii="宋体" w:hAnsi="宋体" w:cs="宋体"/>
          <w:sz w:val="24"/>
          <w:szCs w:val="24"/>
          <w:highlight w:val="none"/>
          <w:u w:val="single"/>
        </w:rPr>
        <w:t>在中标工程中不执行质量、安全生产相关规定的，造成质量或安全事故的；</w:t>
      </w:r>
    </w:p>
    <w:p>
      <w:pPr>
        <w:spacing w:line="360" w:lineRule="auto"/>
        <w:ind w:left="648" w:leftChars="200" w:hanging="228" w:hangingChars="95"/>
        <w:jc w:val="left"/>
        <w:rPr>
          <w:rFonts w:ascii="宋体" w:hAnsi="宋体"/>
          <w:b/>
          <w:sz w:val="24"/>
          <w:szCs w:val="24"/>
          <w:highlight w:val="none"/>
        </w:rPr>
      </w:pPr>
      <w:r>
        <w:rPr>
          <w:rFonts w:hint="eastAsia" w:ascii="宋体" w:hAnsi="宋体" w:cs="宋体"/>
          <w:sz w:val="24"/>
          <w:szCs w:val="24"/>
          <w:highlight w:val="none"/>
        </w:rPr>
        <w:t>（</w:t>
      </w:r>
      <w:r>
        <w:rPr>
          <w:rFonts w:hint="eastAsia" w:ascii="宋体" w:hAnsi="宋体"/>
          <w:sz w:val="24"/>
          <w:szCs w:val="24"/>
          <w:highlight w:val="none"/>
        </w:rPr>
        <w:t>7</w:t>
      </w:r>
      <w:r>
        <w:rPr>
          <w:rFonts w:hint="eastAsia" w:ascii="宋体" w:hAnsi="宋体" w:cs="宋体"/>
          <w:sz w:val="24"/>
          <w:szCs w:val="24"/>
          <w:highlight w:val="none"/>
        </w:rPr>
        <w:t>）</w:t>
      </w:r>
      <w:r>
        <w:rPr>
          <w:rFonts w:hint="eastAsia" w:ascii="宋体" w:hAnsi="宋体" w:cs="宋体"/>
          <w:sz w:val="24"/>
          <w:szCs w:val="24"/>
          <w:highlight w:val="none"/>
          <w:u w:val="single"/>
        </w:rPr>
        <w:t>存在因过错行为被生效法律文书认定承担违约或侵权责任的。</w:t>
      </w:r>
    </w:p>
    <w:p>
      <w:pPr>
        <w:spacing w:line="360" w:lineRule="auto"/>
        <w:jc w:val="left"/>
        <w:rPr>
          <w:rFonts w:hint="eastAsia" w:ascii="宋体" w:hAnsi="宋体"/>
          <w:b/>
          <w:sz w:val="24"/>
          <w:highlight w:val="none"/>
        </w:rPr>
      </w:pPr>
    </w:p>
    <w:p>
      <w:pPr>
        <w:spacing w:line="360" w:lineRule="auto"/>
        <w:jc w:val="left"/>
        <w:rPr>
          <w:rFonts w:hint="eastAsia" w:ascii="宋体" w:hAnsi="宋体"/>
          <w:b/>
          <w:bCs/>
          <w:sz w:val="24"/>
          <w:highlight w:val="none"/>
        </w:rPr>
      </w:pPr>
      <w:r>
        <w:rPr>
          <w:rFonts w:hint="eastAsia" w:ascii="宋体" w:hAnsi="宋体"/>
          <w:b/>
          <w:sz w:val="24"/>
          <w:highlight w:val="none"/>
        </w:rPr>
        <w:t xml:space="preserve">1.12   </w:t>
      </w:r>
      <w:r>
        <w:rPr>
          <w:rFonts w:hint="eastAsia" w:ascii="宋体" w:hAnsi="宋体"/>
          <w:b/>
          <w:bCs/>
          <w:sz w:val="24"/>
          <w:highlight w:val="none"/>
        </w:rPr>
        <w:t>招标人</w:t>
      </w:r>
    </w:p>
    <w:p>
      <w:pPr>
        <w:spacing w:line="360" w:lineRule="auto"/>
        <w:jc w:val="left"/>
        <w:rPr>
          <w:rFonts w:hint="eastAsia" w:ascii="宋体" w:hAnsi="宋体"/>
          <w:b/>
          <w:sz w:val="24"/>
          <w:highlight w:val="none"/>
        </w:rPr>
      </w:pPr>
    </w:p>
    <w:p>
      <w:pPr>
        <w:spacing w:line="360" w:lineRule="auto"/>
        <w:rPr>
          <w:rFonts w:hint="eastAsia" w:ascii="宋体" w:hAnsi="宋体"/>
          <w:sz w:val="24"/>
          <w:highlight w:val="none"/>
        </w:rPr>
      </w:pPr>
      <w:r>
        <w:rPr>
          <w:rFonts w:hint="eastAsia" w:ascii="宋体" w:hAnsi="宋体"/>
          <w:sz w:val="24"/>
          <w:highlight w:val="none"/>
        </w:rPr>
        <w:t>1.12.1 名称：</w:t>
      </w:r>
      <w:r>
        <w:rPr>
          <w:rFonts w:hint="eastAsia" w:ascii="宋体" w:hAnsi="宋体"/>
          <w:sz w:val="24"/>
          <w:highlight w:val="none"/>
          <w:u w:val="single"/>
        </w:rPr>
        <w:t>华南理工大学</w:t>
      </w:r>
    </w:p>
    <w:p>
      <w:pPr>
        <w:spacing w:line="360" w:lineRule="auto"/>
        <w:rPr>
          <w:rFonts w:hint="eastAsia" w:ascii="宋体" w:hAnsi="宋体"/>
          <w:sz w:val="24"/>
          <w:highlight w:val="none"/>
        </w:rPr>
      </w:pPr>
      <w:r>
        <w:rPr>
          <w:rFonts w:hint="eastAsia" w:ascii="宋体" w:hAnsi="宋体"/>
          <w:sz w:val="24"/>
          <w:highlight w:val="none"/>
        </w:rPr>
        <w:t>1.12.2 邮政编码、地址：</w:t>
      </w:r>
      <w:r>
        <w:rPr>
          <w:rFonts w:hint="eastAsia" w:ascii="宋体" w:hAnsi="宋体"/>
          <w:sz w:val="24"/>
          <w:highlight w:val="none"/>
          <w:u w:val="single"/>
        </w:rPr>
        <w:t>广州市天河区五山路381号</w:t>
      </w:r>
    </w:p>
    <w:p>
      <w:pPr>
        <w:spacing w:line="360" w:lineRule="auto"/>
        <w:jc w:val="left"/>
        <w:rPr>
          <w:rFonts w:hint="eastAsia" w:ascii="宋体" w:hAnsi="宋体"/>
          <w:sz w:val="24"/>
          <w:highlight w:val="none"/>
        </w:rPr>
      </w:pPr>
      <w:r>
        <w:rPr>
          <w:rFonts w:hint="eastAsia" w:ascii="宋体" w:hAnsi="宋体"/>
          <w:sz w:val="24"/>
          <w:highlight w:val="none"/>
        </w:rPr>
        <w:t>1.12.3 电话（手机）号码：</w:t>
      </w:r>
      <w:r>
        <w:rPr>
          <w:rFonts w:hint="eastAsia" w:ascii="宋体" w:hAnsi="宋体"/>
          <w:sz w:val="24"/>
          <w:highlight w:val="none"/>
          <w:u w:val="single"/>
        </w:rPr>
        <w:t>020-87112959</w:t>
      </w:r>
    </w:p>
    <w:p>
      <w:pPr>
        <w:spacing w:line="360" w:lineRule="auto"/>
        <w:jc w:val="left"/>
        <w:rPr>
          <w:rFonts w:hint="eastAsia" w:ascii="宋体" w:hAnsi="宋体"/>
          <w:sz w:val="24"/>
          <w:highlight w:val="none"/>
        </w:rPr>
      </w:pPr>
      <w:r>
        <w:rPr>
          <w:rFonts w:hint="eastAsia" w:ascii="宋体" w:hAnsi="宋体"/>
          <w:sz w:val="24"/>
          <w:highlight w:val="none"/>
        </w:rPr>
        <w:t>1.12.4 传真号码：</w:t>
      </w:r>
      <w:r>
        <w:rPr>
          <w:rFonts w:hint="eastAsia" w:ascii="宋体" w:hAnsi="宋体"/>
          <w:sz w:val="24"/>
          <w:highlight w:val="none"/>
          <w:u w:val="single"/>
        </w:rPr>
        <w:t xml:space="preserve">          </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r>
        <w:rPr>
          <w:rFonts w:hint="eastAsia" w:ascii="宋体" w:hAnsi="宋体"/>
          <w:sz w:val="24"/>
          <w:highlight w:val="none"/>
        </w:rPr>
        <w:t>1.12.5 电子邮箱：</w:t>
      </w:r>
      <w:r>
        <w:rPr>
          <w:rFonts w:hint="eastAsia" w:ascii="宋体" w:hAnsi="宋体"/>
          <w:sz w:val="24"/>
          <w:highlight w:val="none"/>
          <w:u w:val="single"/>
        </w:rPr>
        <w:t xml:space="preserve">          </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p>
    <w:p>
      <w:pPr>
        <w:spacing w:line="360" w:lineRule="auto"/>
        <w:jc w:val="left"/>
        <w:rPr>
          <w:rFonts w:hint="eastAsia" w:ascii="宋体" w:hAnsi="宋体"/>
          <w:b/>
          <w:sz w:val="24"/>
          <w:highlight w:val="none"/>
        </w:rPr>
      </w:pPr>
    </w:p>
    <w:p>
      <w:pPr>
        <w:spacing w:line="360" w:lineRule="auto"/>
        <w:jc w:val="left"/>
        <w:rPr>
          <w:rFonts w:hint="eastAsia" w:ascii="宋体" w:hAnsi="宋体"/>
          <w:b/>
          <w:bCs/>
          <w:sz w:val="24"/>
          <w:highlight w:val="none"/>
        </w:rPr>
      </w:pPr>
      <w:r>
        <w:rPr>
          <w:rFonts w:hint="eastAsia" w:ascii="宋体" w:hAnsi="宋体"/>
          <w:b/>
          <w:sz w:val="24"/>
          <w:highlight w:val="none"/>
        </w:rPr>
        <w:t xml:space="preserve">1.13   </w:t>
      </w:r>
      <w:r>
        <w:rPr>
          <w:rFonts w:hint="eastAsia" w:ascii="宋体" w:hAnsi="宋体"/>
          <w:b/>
          <w:bCs/>
          <w:sz w:val="24"/>
          <w:highlight w:val="none"/>
        </w:rPr>
        <w:t>招标代理机构</w:t>
      </w:r>
    </w:p>
    <w:p>
      <w:pPr>
        <w:spacing w:line="360" w:lineRule="auto"/>
        <w:jc w:val="left"/>
        <w:rPr>
          <w:rFonts w:hint="eastAsia" w:ascii="宋体" w:hAnsi="宋体"/>
          <w:b/>
          <w:sz w:val="24"/>
          <w:highlight w:val="none"/>
        </w:rPr>
      </w:pPr>
    </w:p>
    <w:p>
      <w:pPr>
        <w:spacing w:line="360" w:lineRule="auto"/>
        <w:rPr>
          <w:rFonts w:hint="eastAsia" w:ascii="宋体" w:hAnsi="宋体"/>
          <w:sz w:val="24"/>
          <w:highlight w:val="none"/>
        </w:rPr>
      </w:pPr>
      <w:r>
        <w:rPr>
          <w:rFonts w:hint="eastAsia" w:ascii="宋体" w:hAnsi="宋体"/>
          <w:sz w:val="24"/>
          <w:highlight w:val="none"/>
        </w:rPr>
        <w:t>1.13.1 名称：</w:t>
      </w:r>
      <w:r>
        <w:rPr>
          <w:rFonts w:hint="eastAsia" w:ascii="宋体" w:hAnsi="宋体"/>
          <w:sz w:val="24"/>
          <w:highlight w:val="none"/>
          <w:u w:val="single"/>
        </w:rPr>
        <w:t>广东省国际工程咨询有限公司</w:t>
      </w:r>
    </w:p>
    <w:p>
      <w:pPr>
        <w:spacing w:line="360" w:lineRule="auto"/>
        <w:rPr>
          <w:rFonts w:hint="eastAsia" w:ascii="宋体" w:hAnsi="宋体"/>
          <w:sz w:val="24"/>
          <w:highlight w:val="none"/>
        </w:rPr>
      </w:pPr>
      <w:r>
        <w:rPr>
          <w:rFonts w:hint="eastAsia" w:ascii="宋体" w:hAnsi="宋体"/>
          <w:sz w:val="24"/>
          <w:highlight w:val="none"/>
        </w:rPr>
        <w:t>1.13.2 邮政编码、地址：</w:t>
      </w:r>
      <w:r>
        <w:rPr>
          <w:rFonts w:hint="eastAsia" w:ascii="宋体" w:hAnsi="宋体"/>
          <w:sz w:val="24"/>
          <w:highlight w:val="none"/>
          <w:u w:val="single"/>
          <w:lang w:val="en-US" w:eastAsia="zh-CN"/>
        </w:rPr>
        <w:t>510060、</w:t>
      </w:r>
      <w:r>
        <w:rPr>
          <w:rFonts w:hint="eastAsia" w:ascii="宋体" w:hAnsi="宋体"/>
          <w:sz w:val="24"/>
          <w:highlight w:val="none"/>
          <w:u w:val="single"/>
        </w:rPr>
        <w:t>广州市越秀区环市中路316号金鹰大厦10楼</w:t>
      </w:r>
    </w:p>
    <w:p>
      <w:pPr>
        <w:spacing w:line="360" w:lineRule="auto"/>
        <w:jc w:val="left"/>
        <w:rPr>
          <w:rFonts w:hint="eastAsia" w:ascii="宋体" w:hAnsi="宋体"/>
          <w:sz w:val="24"/>
          <w:highlight w:val="none"/>
        </w:rPr>
      </w:pPr>
      <w:r>
        <w:rPr>
          <w:rFonts w:hint="eastAsia" w:ascii="宋体" w:hAnsi="宋体"/>
          <w:sz w:val="24"/>
          <w:highlight w:val="none"/>
        </w:rPr>
        <w:t>1.13.3 电话（手机）号码：</w:t>
      </w:r>
      <w:r>
        <w:rPr>
          <w:rFonts w:hint="eastAsia" w:ascii="宋体" w:hAnsi="宋体"/>
          <w:sz w:val="24"/>
          <w:highlight w:val="none"/>
          <w:u w:val="single"/>
        </w:rPr>
        <w:t>020-83545568、18475342511</w:t>
      </w:r>
    </w:p>
    <w:p>
      <w:pPr>
        <w:spacing w:line="360" w:lineRule="auto"/>
        <w:jc w:val="left"/>
        <w:rPr>
          <w:rFonts w:hint="eastAsia" w:ascii="宋体" w:hAnsi="宋体"/>
          <w:sz w:val="24"/>
          <w:highlight w:val="none"/>
        </w:rPr>
      </w:pPr>
      <w:r>
        <w:rPr>
          <w:rFonts w:hint="eastAsia" w:ascii="宋体" w:hAnsi="宋体"/>
          <w:sz w:val="24"/>
          <w:highlight w:val="none"/>
        </w:rPr>
        <w:t>1.13.4 传真号码：</w:t>
      </w:r>
      <w:r>
        <w:rPr>
          <w:rFonts w:hint="eastAsia" w:ascii="宋体" w:hAnsi="宋体"/>
          <w:sz w:val="24"/>
          <w:highlight w:val="none"/>
          <w:u w:val="single"/>
        </w:rPr>
        <w:t>020-83545568</w:t>
      </w:r>
    </w:p>
    <w:p>
      <w:pPr>
        <w:spacing w:line="360" w:lineRule="auto"/>
        <w:rPr>
          <w:rFonts w:hint="eastAsia" w:ascii="宋体" w:hAnsi="宋体"/>
          <w:sz w:val="24"/>
          <w:highlight w:val="none"/>
        </w:rPr>
      </w:pPr>
      <w:r>
        <w:rPr>
          <w:rFonts w:hint="eastAsia" w:ascii="宋体" w:hAnsi="宋体"/>
          <w:sz w:val="24"/>
          <w:highlight w:val="none"/>
        </w:rPr>
        <w:t>1.13.5</w:t>
      </w:r>
      <w:r>
        <w:rPr>
          <w:rFonts w:hint="eastAsia" w:ascii="宋体" w:hAnsi="宋体" w:cs="宋体"/>
          <w:sz w:val="24"/>
          <w:highlight w:val="none"/>
        </w:rPr>
        <w:t>电子</w:t>
      </w:r>
      <w:r>
        <w:rPr>
          <w:rFonts w:hint="eastAsia" w:ascii="宋体" w:hAnsi="宋体"/>
          <w:sz w:val="24"/>
          <w:highlight w:val="none"/>
        </w:rPr>
        <w:t>邮</w:t>
      </w:r>
      <w:r>
        <w:rPr>
          <w:rFonts w:hint="eastAsia" w:ascii="宋体" w:hAnsi="宋体" w:cs="宋体"/>
          <w:sz w:val="24"/>
          <w:highlight w:val="none"/>
        </w:rPr>
        <w:t>箱</w:t>
      </w:r>
      <w:r>
        <w:rPr>
          <w:rFonts w:hint="eastAsia" w:ascii="宋体" w:hAnsi="宋体"/>
          <w:sz w:val="24"/>
          <w:highlight w:val="none"/>
        </w:rPr>
        <w:t>：</w:t>
      </w:r>
      <w:r>
        <w:rPr>
          <w:rFonts w:hint="eastAsia" w:ascii="宋体" w:hAnsi="宋体"/>
          <w:sz w:val="24"/>
          <w:highlight w:val="none"/>
          <w:u w:val="single"/>
        </w:rPr>
        <w:t>gzcgzx8@126.com</w:t>
      </w:r>
    </w:p>
    <w:p>
      <w:pPr>
        <w:spacing w:line="360" w:lineRule="auto"/>
        <w:jc w:val="left"/>
        <w:rPr>
          <w:rFonts w:hint="eastAsia" w:ascii="宋体" w:hAnsi="宋体"/>
          <w:b/>
          <w:sz w:val="24"/>
          <w:highlight w:val="none"/>
        </w:rPr>
      </w:pPr>
    </w:p>
    <w:p>
      <w:pPr>
        <w:spacing w:line="360" w:lineRule="auto"/>
        <w:jc w:val="left"/>
        <w:rPr>
          <w:rFonts w:hint="eastAsia" w:ascii="宋体" w:hAnsi="宋体"/>
          <w:b/>
          <w:bCs/>
          <w:sz w:val="24"/>
          <w:highlight w:val="none"/>
        </w:rPr>
      </w:pPr>
      <w:r>
        <w:rPr>
          <w:rFonts w:hint="eastAsia" w:ascii="宋体" w:hAnsi="宋体"/>
          <w:b/>
          <w:sz w:val="24"/>
          <w:highlight w:val="none"/>
        </w:rPr>
        <w:t xml:space="preserve">1.14   </w:t>
      </w:r>
      <w:r>
        <w:rPr>
          <w:rFonts w:hint="eastAsia" w:ascii="宋体" w:hAnsi="宋体"/>
          <w:b/>
          <w:bCs/>
          <w:sz w:val="24"/>
          <w:highlight w:val="none"/>
        </w:rPr>
        <w:t>交易服务机构</w:t>
      </w:r>
    </w:p>
    <w:p>
      <w:pPr>
        <w:spacing w:line="360" w:lineRule="auto"/>
        <w:jc w:val="left"/>
        <w:rPr>
          <w:rFonts w:hint="eastAsia" w:ascii="宋体" w:hAnsi="宋体"/>
          <w:b/>
          <w:sz w:val="24"/>
          <w:highlight w:val="none"/>
        </w:rPr>
      </w:pPr>
    </w:p>
    <w:p>
      <w:pPr>
        <w:spacing w:line="360" w:lineRule="auto"/>
        <w:rPr>
          <w:rFonts w:ascii="宋体" w:hAnsi="宋体"/>
          <w:sz w:val="24"/>
          <w:szCs w:val="24"/>
          <w:highlight w:val="none"/>
        </w:rPr>
      </w:pPr>
      <w:r>
        <w:rPr>
          <w:rFonts w:hint="eastAsia" w:ascii="宋体" w:hAnsi="宋体"/>
          <w:sz w:val="24"/>
          <w:szCs w:val="24"/>
          <w:highlight w:val="none"/>
        </w:rPr>
        <w:t xml:space="preserve">1.14.1 </w:t>
      </w:r>
      <w:r>
        <w:rPr>
          <w:rFonts w:hint="eastAsia" w:ascii="宋体" w:hAnsi="宋体" w:cs="宋体"/>
          <w:sz w:val="24"/>
          <w:szCs w:val="24"/>
          <w:highlight w:val="none"/>
        </w:rPr>
        <w:t>名称：</w:t>
      </w:r>
      <w:r>
        <w:rPr>
          <w:rFonts w:hint="eastAsia" w:ascii="宋体" w:hAnsi="宋体" w:cs="宋体"/>
          <w:sz w:val="24"/>
          <w:szCs w:val="24"/>
          <w:highlight w:val="none"/>
          <w:u w:val="single"/>
        </w:rPr>
        <w:t>广州公共资源交易中心</w:t>
      </w:r>
    </w:p>
    <w:p>
      <w:pPr>
        <w:spacing w:line="360" w:lineRule="auto"/>
        <w:rPr>
          <w:rFonts w:ascii="宋体" w:hAnsi="宋体"/>
          <w:sz w:val="24"/>
          <w:szCs w:val="24"/>
          <w:highlight w:val="none"/>
        </w:rPr>
      </w:pPr>
      <w:r>
        <w:rPr>
          <w:rFonts w:hint="eastAsia" w:ascii="宋体" w:hAnsi="宋体"/>
          <w:sz w:val="24"/>
          <w:szCs w:val="24"/>
          <w:highlight w:val="none"/>
        </w:rPr>
        <w:t xml:space="preserve">1.14.2 </w:t>
      </w:r>
      <w:r>
        <w:rPr>
          <w:rFonts w:hint="eastAsia" w:ascii="宋体" w:hAnsi="宋体" w:cs="宋体"/>
          <w:sz w:val="24"/>
          <w:szCs w:val="24"/>
          <w:highlight w:val="none"/>
        </w:rPr>
        <w:t>邮政编码、地址：</w:t>
      </w:r>
      <w:r>
        <w:rPr>
          <w:rFonts w:hint="eastAsia" w:ascii="宋体" w:hAnsi="宋体"/>
          <w:sz w:val="24"/>
          <w:szCs w:val="24"/>
          <w:highlight w:val="none"/>
          <w:u w:val="single"/>
        </w:rPr>
        <w:t>510630、广州市天河区天润路333号</w:t>
      </w:r>
    </w:p>
    <w:p>
      <w:pPr>
        <w:spacing w:line="360" w:lineRule="auto"/>
        <w:jc w:val="left"/>
        <w:rPr>
          <w:rFonts w:ascii="宋体" w:hAnsi="宋体"/>
          <w:sz w:val="24"/>
          <w:szCs w:val="24"/>
          <w:highlight w:val="none"/>
          <w:u w:val="single"/>
        </w:rPr>
      </w:pPr>
      <w:r>
        <w:rPr>
          <w:rFonts w:hint="eastAsia" w:ascii="宋体" w:hAnsi="宋体"/>
          <w:sz w:val="24"/>
          <w:szCs w:val="24"/>
          <w:highlight w:val="none"/>
        </w:rPr>
        <w:t xml:space="preserve">1.14.3 </w:t>
      </w:r>
      <w:r>
        <w:rPr>
          <w:rFonts w:hint="eastAsia" w:ascii="宋体" w:hAnsi="宋体" w:cs="宋体"/>
          <w:sz w:val="24"/>
          <w:szCs w:val="24"/>
          <w:highlight w:val="none"/>
        </w:rPr>
        <w:t>电话（手机）号码：</w:t>
      </w:r>
      <w:r>
        <w:rPr>
          <w:rFonts w:hint="eastAsia" w:ascii="宋体" w:hAnsi="宋体"/>
          <w:sz w:val="24"/>
          <w:szCs w:val="24"/>
          <w:highlight w:val="none"/>
          <w:u w:val="single"/>
        </w:rPr>
        <w:t>020-28866000</w:t>
      </w:r>
    </w:p>
    <w:p>
      <w:pPr>
        <w:spacing w:line="360" w:lineRule="auto"/>
        <w:jc w:val="left"/>
        <w:rPr>
          <w:rFonts w:ascii="宋体" w:hAnsi="宋体"/>
          <w:sz w:val="24"/>
          <w:szCs w:val="24"/>
          <w:highlight w:val="none"/>
          <w:u w:val="single"/>
        </w:rPr>
      </w:pPr>
      <w:r>
        <w:rPr>
          <w:rFonts w:hint="eastAsia" w:ascii="宋体" w:hAnsi="宋体"/>
          <w:sz w:val="24"/>
          <w:szCs w:val="24"/>
          <w:highlight w:val="none"/>
        </w:rPr>
        <w:t xml:space="preserve">1.14.4 </w:t>
      </w:r>
      <w:r>
        <w:rPr>
          <w:rFonts w:hint="eastAsia" w:ascii="宋体" w:hAnsi="宋体" w:cs="宋体"/>
          <w:sz w:val="24"/>
          <w:szCs w:val="24"/>
          <w:highlight w:val="none"/>
        </w:rPr>
        <w:t>传真号码：</w:t>
      </w:r>
      <w:r>
        <w:rPr>
          <w:rFonts w:hint="eastAsia" w:ascii="宋体" w:hAnsi="宋体"/>
          <w:sz w:val="24"/>
          <w:szCs w:val="24"/>
          <w:highlight w:val="none"/>
          <w:u w:val="single"/>
        </w:rPr>
        <w:t>020-28866095</w:t>
      </w:r>
    </w:p>
    <w:p>
      <w:pPr>
        <w:spacing w:line="360" w:lineRule="auto"/>
        <w:rPr>
          <w:rFonts w:ascii="宋体" w:hAnsi="宋体"/>
          <w:sz w:val="24"/>
          <w:szCs w:val="24"/>
          <w:highlight w:val="none"/>
          <w:u w:val="single"/>
        </w:rPr>
      </w:pPr>
      <w:r>
        <w:rPr>
          <w:rFonts w:hint="eastAsia" w:ascii="宋体" w:hAnsi="宋体"/>
          <w:sz w:val="24"/>
          <w:szCs w:val="24"/>
          <w:highlight w:val="none"/>
        </w:rPr>
        <w:t xml:space="preserve">1.14.5 </w:t>
      </w:r>
      <w:r>
        <w:rPr>
          <w:rFonts w:hint="eastAsia" w:ascii="宋体" w:hAnsi="宋体" w:cs="宋体"/>
          <w:sz w:val="24"/>
          <w:szCs w:val="24"/>
          <w:highlight w:val="none"/>
        </w:rPr>
        <w:t>网址：</w:t>
      </w:r>
      <w:r>
        <w:rPr>
          <w:rFonts w:hint="eastAsia" w:ascii="宋体" w:hAnsi="宋体"/>
          <w:sz w:val="24"/>
          <w:szCs w:val="24"/>
          <w:highlight w:val="none"/>
          <w:u w:val="single"/>
        </w:rPr>
        <w:t>http://ggzy.gz.gov.cn</w:t>
      </w:r>
    </w:p>
    <w:p>
      <w:pPr>
        <w:spacing w:line="360" w:lineRule="auto"/>
        <w:jc w:val="left"/>
        <w:rPr>
          <w:rFonts w:hint="eastAsia" w:ascii="宋体" w:hAnsi="宋体"/>
          <w:sz w:val="24"/>
          <w:highlight w:val="none"/>
        </w:rPr>
      </w:pPr>
    </w:p>
    <w:p>
      <w:pPr>
        <w:spacing w:line="360" w:lineRule="auto"/>
        <w:jc w:val="left"/>
        <w:rPr>
          <w:rFonts w:hint="eastAsia" w:ascii="宋体" w:hAnsi="宋体"/>
          <w:b/>
          <w:bCs/>
          <w:sz w:val="24"/>
          <w:highlight w:val="none"/>
        </w:rPr>
      </w:pPr>
      <w:r>
        <w:rPr>
          <w:rFonts w:hint="eastAsia" w:ascii="宋体" w:hAnsi="宋体"/>
          <w:b/>
          <w:bCs/>
          <w:sz w:val="24"/>
          <w:highlight w:val="none"/>
        </w:rPr>
        <w:t>1.15   招标管理机构</w:t>
      </w:r>
    </w:p>
    <w:p>
      <w:pPr>
        <w:spacing w:line="360" w:lineRule="auto"/>
        <w:jc w:val="left"/>
        <w:rPr>
          <w:rFonts w:hint="eastAsia" w:ascii="宋体" w:hAnsi="宋体"/>
          <w:b/>
          <w:bCs/>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1.15.1 名称：</w:t>
      </w:r>
      <w:r>
        <w:rPr>
          <w:rFonts w:hint="eastAsia" w:ascii="宋体" w:hAnsi="宋体"/>
          <w:sz w:val="24"/>
          <w:highlight w:val="none"/>
          <w:u w:val="single"/>
        </w:rPr>
        <w:t xml:space="preserve">广州市建设工程招标管理办公室 </w:t>
      </w:r>
      <w:r>
        <w:rPr>
          <w:rFonts w:hint="eastAsia" w:ascii="宋体" w:hAnsi="宋体"/>
          <w:sz w:val="24"/>
          <w:highlight w:val="none"/>
        </w:rPr>
        <w:t xml:space="preserve">                          </w:t>
      </w:r>
    </w:p>
    <w:p>
      <w:pPr>
        <w:spacing w:line="360" w:lineRule="auto"/>
        <w:jc w:val="left"/>
        <w:rPr>
          <w:rFonts w:hint="eastAsia" w:ascii="宋体" w:hAnsi="宋体"/>
          <w:sz w:val="24"/>
          <w:highlight w:val="none"/>
        </w:rPr>
      </w:pPr>
      <w:r>
        <w:rPr>
          <w:rFonts w:hint="eastAsia" w:ascii="宋体" w:hAnsi="宋体"/>
          <w:sz w:val="24"/>
          <w:highlight w:val="none"/>
        </w:rPr>
        <w:t xml:space="preserve">1.15.2 邮政编码、地址： </w:t>
      </w:r>
      <w:r>
        <w:rPr>
          <w:rFonts w:hint="eastAsia" w:ascii="宋体" w:hAnsi="宋体"/>
          <w:sz w:val="24"/>
          <w:highlight w:val="none"/>
          <w:u w:val="single"/>
        </w:rPr>
        <w:t xml:space="preserve"> </w:t>
      </w:r>
      <w:r>
        <w:rPr>
          <w:rFonts w:hint="eastAsia" w:ascii="宋体" w:hAnsi="宋体"/>
          <w:bCs/>
          <w:sz w:val="24"/>
          <w:highlight w:val="none"/>
          <w:u w:val="single"/>
        </w:rPr>
        <w:t>510630</w:t>
      </w:r>
      <w:r>
        <w:rPr>
          <w:rFonts w:hint="eastAsia" w:ascii="宋体" w:hAnsi="宋体"/>
          <w:sz w:val="24"/>
          <w:highlight w:val="none"/>
          <w:u w:val="single"/>
        </w:rPr>
        <w:t xml:space="preserve">  广州市天河区天润路333号3楼   </w:t>
      </w:r>
      <w:r>
        <w:rPr>
          <w:rFonts w:hint="eastAsia" w:ascii="宋体" w:hAnsi="宋体"/>
          <w:sz w:val="24"/>
          <w:highlight w:val="none"/>
        </w:rPr>
        <w:t xml:space="preserve">              </w:t>
      </w:r>
    </w:p>
    <w:p>
      <w:pPr>
        <w:spacing w:line="360" w:lineRule="auto"/>
        <w:jc w:val="left"/>
        <w:rPr>
          <w:rFonts w:hint="eastAsia" w:ascii="宋体" w:hAnsi="宋体"/>
          <w:sz w:val="24"/>
          <w:highlight w:val="none"/>
        </w:rPr>
      </w:pPr>
      <w:r>
        <w:rPr>
          <w:rFonts w:hint="eastAsia" w:ascii="宋体" w:hAnsi="宋体"/>
          <w:sz w:val="24"/>
          <w:highlight w:val="none"/>
        </w:rPr>
        <w:t xml:space="preserve">1.15.3 电话号码： </w:t>
      </w:r>
      <w:r>
        <w:rPr>
          <w:rFonts w:hint="eastAsia" w:ascii="宋体" w:hAnsi="宋体"/>
          <w:sz w:val="24"/>
          <w:highlight w:val="none"/>
          <w:u w:val="single"/>
        </w:rPr>
        <w:t xml:space="preserve"> </w:t>
      </w:r>
      <w:r>
        <w:rPr>
          <w:rFonts w:ascii="宋体" w:hAnsi="宋体"/>
          <w:sz w:val="24"/>
          <w:highlight w:val="none"/>
          <w:u w:val="single"/>
        </w:rPr>
        <w:t>020-28866211</w:t>
      </w:r>
      <w:r>
        <w:rPr>
          <w:rFonts w:hint="eastAsia" w:ascii="宋体" w:hAnsi="宋体"/>
          <w:sz w:val="24"/>
          <w:highlight w:val="none"/>
          <w:u w:val="single"/>
        </w:rPr>
        <w:t xml:space="preserve"> </w:t>
      </w:r>
    </w:p>
    <w:p>
      <w:r>
        <w:rPr>
          <w:rFonts w:hint="eastAsia" w:ascii="宋体" w:hAnsi="宋体"/>
          <w:sz w:val="24"/>
          <w:highlight w:val="none"/>
        </w:rPr>
        <w:t xml:space="preserve">1.15.4 传真号码：  </w:t>
      </w:r>
      <w:r>
        <w:rPr>
          <w:rFonts w:hint="eastAsia" w:ascii="宋体" w:hAnsi="宋体"/>
          <w:sz w:val="24"/>
          <w:highlight w:val="none"/>
          <w:u w:val="single"/>
        </w:rPr>
        <w:t xml:space="preserve">020-28866203 </w:t>
      </w:r>
      <w:r>
        <w:rPr>
          <w:rFonts w:hint="eastAsia" w:ascii="宋体" w:hAnsi="宋体"/>
          <w:sz w:val="24"/>
          <w:highlight w:val="none"/>
        </w:rPr>
        <w:t xml:space="preserve">  </w:t>
      </w:r>
      <w:r>
        <w:rPr>
          <w:rFonts w:hint="eastAsia" w:ascii="宋体" w:hAnsi="宋体"/>
          <w:szCs w:val="21"/>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57F33"/>
    <w:rsid w:val="28305946"/>
    <w:rsid w:val="36E14E52"/>
    <w:rsid w:val="6AE5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4">
    <w:name w:val="annotation text"/>
    <w:basedOn w:val="1"/>
    <w:semiHidden/>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2024-07-03T09:05:00Z</dcterms:created>
  <dc:creator>swh</dc:creator>
  <cp:lastModifiedBy>swh</cp:lastModifiedBy>
  <dcterms:modified xsi:type="dcterms:W3CDTF">2024-07-04T07:14:28Z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4F60ADD2664A46109044504DE03DFB11</vt:lpwstr>
  </property>
</Properties>
</file>