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firstLine="380"/>
        <w:jc w:val="center"/>
        <w:rPr>
          <w:rFonts w:hint="eastAsia" w:ascii="宋体" w:hAnsi="宋体" w:eastAsia="宋体" w:cs="Times New Roman"/>
          <w:b/>
          <w:bCs w:val="0"/>
          <w:color w:val="auto"/>
          <w:sz w:val="44"/>
          <w:szCs w:val="44"/>
          <w:highlight w:val="none"/>
        </w:rPr>
      </w:pPr>
      <w:bookmarkStart w:id="0" w:name="OLE_LINK1"/>
      <w:r>
        <w:rPr>
          <w:rFonts w:hint="eastAsia" w:ascii="宋体" w:hAnsi="宋体" w:eastAsia="宋体" w:cs="Times New Roman"/>
          <w:b/>
          <w:bCs w:val="0"/>
          <w:color w:val="auto"/>
          <w:sz w:val="44"/>
          <w:szCs w:val="44"/>
          <w:highlight w:val="none"/>
        </w:rPr>
        <w:t>珠江三角洲水资源配置工程沿线工作井</w:t>
      </w:r>
    </w:p>
    <w:p>
      <w:pPr>
        <w:snapToGrid w:val="0"/>
        <w:spacing w:line="500" w:lineRule="exact"/>
        <w:ind w:firstLine="380"/>
        <w:jc w:val="center"/>
        <w:rPr>
          <w:rFonts w:ascii="宋体" w:hAnsi="宋体"/>
          <w:b/>
          <w:bCs w:val="0"/>
          <w:color w:val="auto"/>
          <w:sz w:val="44"/>
          <w:szCs w:val="44"/>
          <w:highlight w:val="none"/>
        </w:rPr>
      </w:pPr>
      <w:r>
        <w:rPr>
          <w:rFonts w:hint="eastAsia" w:ascii="宋体" w:hAnsi="宋体" w:eastAsia="宋体" w:cs="Times New Roman"/>
          <w:b/>
          <w:bCs w:val="0"/>
          <w:color w:val="auto"/>
          <w:sz w:val="44"/>
          <w:szCs w:val="44"/>
          <w:highlight w:val="none"/>
        </w:rPr>
        <w:t>永久用电线路施工项目</w:t>
      </w:r>
      <w:r>
        <w:rPr>
          <w:rFonts w:hint="eastAsia" w:ascii="宋体" w:hAnsi="宋体" w:eastAsia="宋体" w:cs="Times New Roman"/>
          <w:b/>
          <w:bCs w:val="0"/>
          <w:color w:val="auto"/>
          <w:sz w:val="44"/>
          <w:szCs w:val="44"/>
          <w:highlight w:val="none"/>
          <w:lang w:eastAsia="zh-CN"/>
        </w:rPr>
        <w:t>（</w:t>
      </w:r>
      <w:r>
        <w:rPr>
          <w:rFonts w:hint="eastAsia" w:ascii="宋体" w:hAnsi="宋体" w:cs="Times New Roman"/>
          <w:b/>
          <w:bCs w:val="0"/>
          <w:color w:val="auto"/>
          <w:sz w:val="44"/>
          <w:szCs w:val="44"/>
          <w:highlight w:val="none"/>
          <w:lang w:val="en-US" w:eastAsia="zh-CN"/>
        </w:rPr>
        <w:t>佛山</w:t>
      </w:r>
      <w:r>
        <w:rPr>
          <w:rFonts w:hint="eastAsia" w:ascii="宋体" w:hAnsi="宋体" w:eastAsia="宋体" w:cs="Times New Roman"/>
          <w:b/>
          <w:bCs w:val="0"/>
          <w:color w:val="auto"/>
          <w:sz w:val="44"/>
          <w:szCs w:val="44"/>
          <w:highlight w:val="none"/>
          <w:lang w:val="en-US" w:eastAsia="zh-CN"/>
        </w:rPr>
        <w:t>段</w:t>
      </w:r>
      <w:r>
        <w:rPr>
          <w:rFonts w:hint="eastAsia" w:ascii="宋体" w:hAnsi="宋体" w:eastAsia="宋体" w:cs="Times New Roman"/>
          <w:b/>
          <w:bCs w:val="0"/>
          <w:color w:val="auto"/>
          <w:sz w:val="44"/>
          <w:szCs w:val="44"/>
          <w:highlight w:val="none"/>
          <w:lang w:eastAsia="zh-CN"/>
        </w:rPr>
        <w:t>）</w:t>
      </w:r>
      <w:r>
        <w:rPr>
          <w:rFonts w:hint="eastAsia" w:ascii="宋体" w:hAnsi="宋体" w:cs="Times New Roman"/>
          <w:b/>
          <w:bCs w:val="0"/>
          <w:color w:val="auto"/>
          <w:sz w:val="44"/>
          <w:szCs w:val="44"/>
          <w:highlight w:val="none"/>
          <w:lang w:eastAsia="zh-CN"/>
        </w:rPr>
        <w:t>（</w:t>
      </w:r>
      <w:r>
        <w:rPr>
          <w:rFonts w:hint="eastAsia" w:ascii="宋体" w:hAnsi="宋体" w:cs="Times New Roman"/>
          <w:b/>
          <w:bCs w:val="0"/>
          <w:color w:val="auto"/>
          <w:sz w:val="44"/>
          <w:szCs w:val="44"/>
          <w:highlight w:val="none"/>
          <w:lang w:val="en-US" w:eastAsia="zh-CN"/>
        </w:rPr>
        <w:t>第二次</w:t>
      </w:r>
      <w:r>
        <w:rPr>
          <w:rFonts w:hint="eastAsia" w:ascii="宋体" w:hAnsi="宋体" w:cs="Times New Roman"/>
          <w:b/>
          <w:bCs w:val="0"/>
          <w:color w:val="auto"/>
          <w:sz w:val="44"/>
          <w:szCs w:val="44"/>
          <w:highlight w:val="none"/>
          <w:lang w:eastAsia="zh-CN"/>
        </w:rPr>
        <w:t>）</w:t>
      </w:r>
      <w:r>
        <w:rPr>
          <w:rFonts w:hint="eastAsia" w:ascii="宋体" w:hAnsi="宋体"/>
          <w:b/>
          <w:bCs w:val="0"/>
          <w:color w:val="auto"/>
          <w:sz w:val="44"/>
          <w:szCs w:val="44"/>
          <w:highlight w:val="none"/>
        </w:rPr>
        <w:t>招标公告</w:t>
      </w:r>
    </w:p>
    <w:p>
      <w:pPr>
        <w:spacing w:line="500" w:lineRule="exact"/>
        <w:ind w:firstLine="285" w:firstLineChars="150"/>
        <w:rPr>
          <w:rFonts w:ascii="宋体" w:hAnsi="宋体" w:cs="宋体"/>
          <w:color w:val="auto"/>
          <w:sz w:val="19"/>
          <w:szCs w:val="19"/>
          <w:highlight w:val="none"/>
        </w:rPr>
      </w:pPr>
      <w:r>
        <w:rPr>
          <w:rFonts w:hint="eastAsia" w:ascii="宋体" w:hAnsi="宋体" w:cs="宋体"/>
          <w:color w:val="auto"/>
          <w:sz w:val="19"/>
          <w:szCs w:val="19"/>
          <w:highlight w:val="none"/>
        </w:rPr>
        <w:t xml:space="preserve">   </w:t>
      </w:r>
    </w:p>
    <w:p>
      <w:pPr>
        <w:pStyle w:val="4"/>
        <w:spacing w:line="500" w:lineRule="exact"/>
        <w:ind w:firstLine="366"/>
        <w:rPr>
          <w:rFonts w:ascii="宋体" w:hAnsi="宋体" w:cs="宋体"/>
          <w:color w:val="auto"/>
          <w:sz w:val="27"/>
          <w:szCs w:val="27"/>
          <w:highlight w:val="none"/>
        </w:rPr>
      </w:pPr>
      <w:bookmarkStart w:id="1" w:name="_Toc162343178"/>
      <w:bookmarkStart w:id="2" w:name="_Toc13560707"/>
      <w:r>
        <w:rPr>
          <w:rFonts w:hint="eastAsia" w:ascii="宋体" w:hAnsi="宋体" w:cs="宋体"/>
          <w:color w:val="auto"/>
          <w:sz w:val="27"/>
          <w:szCs w:val="27"/>
          <w:highlight w:val="none"/>
        </w:rPr>
        <w:t>1. 招标条件</w:t>
      </w:r>
      <w:bookmarkEnd w:id="1"/>
      <w:bookmarkEnd w:id="2"/>
    </w:p>
    <w:p>
      <w:pPr>
        <w:spacing w:line="500" w:lineRule="exact"/>
        <w:ind w:firstLine="420" w:firstLineChars="200"/>
        <w:rPr>
          <w:b/>
          <w:color w:val="auto"/>
          <w:szCs w:val="21"/>
          <w:highlight w:val="none"/>
          <w:u w:val="single"/>
        </w:rPr>
      </w:pPr>
      <w:bookmarkStart w:id="3" w:name="_Toc13560708"/>
      <w:r>
        <w:rPr>
          <w:rFonts w:hint="eastAsia"/>
          <w:color w:val="auto"/>
          <w:szCs w:val="21"/>
          <w:highlight w:val="none"/>
        </w:rPr>
        <w:t>珠江三角洲水资源配置工程已由国家发展改革委以《国家发展改革委关于广东省珠江三角洲水资源配置工程可行性研究报告的批复》（发改农经〔</w:t>
      </w:r>
      <w:r>
        <w:rPr>
          <w:color w:val="auto"/>
          <w:szCs w:val="21"/>
          <w:highlight w:val="none"/>
        </w:rPr>
        <w:t>2018</w:t>
      </w:r>
      <w:r>
        <w:rPr>
          <w:rFonts w:hint="eastAsia"/>
          <w:color w:val="auto"/>
          <w:szCs w:val="21"/>
          <w:highlight w:val="none"/>
        </w:rPr>
        <w:t>〕</w:t>
      </w:r>
      <w:r>
        <w:rPr>
          <w:color w:val="auto"/>
          <w:szCs w:val="21"/>
          <w:highlight w:val="none"/>
        </w:rPr>
        <w:t>1105</w:t>
      </w:r>
      <w:r>
        <w:rPr>
          <w:rFonts w:hint="eastAsia"/>
          <w:color w:val="auto"/>
          <w:szCs w:val="21"/>
          <w:highlight w:val="none"/>
        </w:rPr>
        <w:t>号）批准，项目初步设计报告已由水利部以《广东省珠江三角洲水资源配置工程初步设计报告准予行政许可决定书》（水许可决〔</w:t>
      </w:r>
      <w:r>
        <w:rPr>
          <w:color w:val="auto"/>
          <w:szCs w:val="21"/>
          <w:highlight w:val="none"/>
        </w:rPr>
        <w:t>2019</w:t>
      </w:r>
      <w:r>
        <w:rPr>
          <w:rFonts w:hint="eastAsia"/>
          <w:color w:val="auto"/>
          <w:szCs w:val="21"/>
          <w:highlight w:val="none"/>
        </w:rPr>
        <w:t>〕</w:t>
      </w:r>
      <w:r>
        <w:rPr>
          <w:color w:val="auto"/>
          <w:szCs w:val="21"/>
          <w:highlight w:val="none"/>
        </w:rPr>
        <w:t>11</w:t>
      </w:r>
      <w:r>
        <w:rPr>
          <w:rFonts w:hint="eastAsia"/>
          <w:color w:val="auto"/>
          <w:szCs w:val="21"/>
          <w:highlight w:val="none"/>
        </w:rPr>
        <w:t>号）批准，项目业主为</w:t>
      </w:r>
      <w:r>
        <w:rPr>
          <w:rFonts w:hint="eastAsia"/>
          <w:color w:val="auto"/>
          <w:szCs w:val="21"/>
          <w:highlight w:val="none"/>
          <w:u w:val="single"/>
        </w:rPr>
        <w:t>广东粤海珠三角供水有限公司</w:t>
      </w:r>
      <w:r>
        <w:rPr>
          <w:rFonts w:hint="eastAsia"/>
          <w:color w:val="auto"/>
          <w:szCs w:val="21"/>
          <w:highlight w:val="none"/>
        </w:rPr>
        <w:t>，建设资金来自</w:t>
      </w:r>
      <w:r>
        <w:rPr>
          <w:rFonts w:hint="eastAsia"/>
          <w:color w:val="auto"/>
          <w:szCs w:val="21"/>
          <w:highlight w:val="none"/>
          <w:u w:val="single"/>
        </w:rPr>
        <w:t>中央、省级财政补助，项目公司资本金和项目贷款</w:t>
      </w:r>
      <w:r>
        <w:rPr>
          <w:rFonts w:hint="eastAsia"/>
          <w:color w:val="auto"/>
          <w:szCs w:val="21"/>
          <w:highlight w:val="none"/>
        </w:rPr>
        <w:t>，项目法人为</w:t>
      </w:r>
      <w:r>
        <w:rPr>
          <w:rFonts w:hint="eastAsia"/>
          <w:color w:val="auto"/>
          <w:szCs w:val="21"/>
          <w:highlight w:val="none"/>
          <w:u w:val="single"/>
        </w:rPr>
        <w:t>广东粤海珠三角供水有限公司</w:t>
      </w:r>
      <w:r>
        <w:rPr>
          <w:rFonts w:hint="eastAsia"/>
          <w:color w:val="auto"/>
          <w:szCs w:val="21"/>
          <w:highlight w:val="none"/>
        </w:rPr>
        <w:t>，招标人为</w:t>
      </w:r>
      <w:r>
        <w:rPr>
          <w:rFonts w:hint="eastAsia"/>
          <w:color w:val="auto"/>
          <w:szCs w:val="21"/>
          <w:highlight w:val="none"/>
          <w:u w:val="single"/>
        </w:rPr>
        <w:t>广东粤海珠三角供水有限公司</w:t>
      </w:r>
      <w:r>
        <w:rPr>
          <w:rFonts w:hint="eastAsia"/>
          <w:color w:val="auto"/>
          <w:szCs w:val="21"/>
          <w:highlight w:val="none"/>
        </w:rPr>
        <w:t>（以下简称“招标人”）。</w:t>
      </w:r>
      <w:r>
        <w:rPr>
          <w:color w:val="auto"/>
          <w:szCs w:val="21"/>
          <w:highlight w:val="none"/>
        </w:rPr>
        <w:t>该</w:t>
      </w:r>
      <w:r>
        <w:rPr>
          <w:rFonts w:hint="eastAsia"/>
          <w:color w:val="auto"/>
          <w:szCs w:val="21"/>
          <w:highlight w:val="none"/>
        </w:rPr>
        <w:t>工程</w:t>
      </w:r>
      <w:r>
        <w:rPr>
          <w:color w:val="auto"/>
          <w:szCs w:val="21"/>
          <w:highlight w:val="none"/>
        </w:rPr>
        <w:t>已具备招标条件，现对该</w:t>
      </w:r>
      <w:r>
        <w:rPr>
          <w:rFonts w:hint="eastAsia"/>
          <w:color w:val="auto"/>
          <w:szCs w:val="21"/>
          <w:highlight w:val="none"/>
        </w:rPr>
        <w:t>工程沿线工作井永久用电线路施工项目（</w:t>
      </w:r>
      <w:r>
        <w:rPr>
          <w:rFonts w:hint="eastAsia"/>
          <w:color w:val="auto"/>
          <w:szCs w:val="21"/>
          <w:highlight w:val="none"/>
          <w:lang w:eastAsia="zh-CN"/>
        </w:rPr>
        <w:t>佛山</w:t>
      </w:r>
      <w:r>
        <w:rPr>
          <w:rFonts w:hint="eastAsia"/>
          <w:color w:val="auto"/>
          <w:szCs w:val="21"/>
          <w:highlight w:val="none"/>
        </w:rPr>
        <w:t>段）</w:t>
      </w:r>
      <w:r>
        <w:rPr>
          <w:rFonts w:hint="eastAsia"/>
          <w:color w:val="auto"/>
          <w:szCs w:val="21"/>
          <w:highlight w:val="none"/>
          <w:lang w:eastAsia="zh-CN"/>
        </w:rPr>
        <w:t>（</w:t>
      </w:r>
      <w:r>
        <w:rPr>
          <w:rFonts w:hint="eastAsia"/>
          <w:color w:val="auto"/>
          <w:szCs w:val="21"/>
          <w:highlight w:val="none"/>
          <w:lang w:val="en-US" w:eastAsia="zh-CN"/>
        </w:rPr>
        <w:t>第二次</w:t>
      </w:r>
      <w:r>
        <w:rPr>
          <w:rFonts w:hint="eastAsia"/>
          <w:color w:val="auto"/>
          <w:szCs w:val="21"/>
          <w:highlight w:val="none"/>
          <w:lang w:eastAsia="zh-CN"/>
        </w:rPr>
        <w:t>）</w:t>
      </w:r>
      <w:r>
        <w:rPr>
          <w:color w:val="auto"/>
          <w:szCs w:val="21"/>
          <w:highlight w:val="none"/>
        </w:rPr>
        <w:t>进行公开招标。</w:t>
      </w:r>
    </w:p>
    <w:p>
      <w:pPr>
        <w:pStyle w:val="4"/>
        <w:spacing w:line="500" w:lineRule="exact"/>
        <w:ind w:firstLine="366"/>
        <w:rPr>
          <w:rFonts w:ascii="宋体" w:hAnsi="宋体" w:cs="宋体"/>
          <w:color w:val="auto"/>
          <w:sz w:val="27"/>
          <w:szCs w:val="27"/>
          <w:highlight w:val="none"/>
        </w:rPr>
      </w:pPr>
      <w:bookmarkStart w:id="4" w:name="_Toc162343179"/>
      <w:r>
        <w:rPr>
          <w:rFonts w:hint="eastAsia" w:ascii="宋体" w:hAnsi="宋体" w:cs="宋体"/>
          <w:color w:val="auto"/>
          <w:sz w:val="27"/>
          <w:szCs w:val="27"/>
          <w:highlight w:val="none"/>
        </w:rPr>
        <w:t>2. 项目概况与招标范围</w:t>
      </w:r>
      <w:bookmarkEnd w:id="3"/>
      <w:bookmarkEnd w:id="4"/>
      <w:r>
        <w:rPr>
          <w:rFonts w:hint="eastAsia" w:ascii="宋体" w:hAnsi="宋体" w:cs="宋体"/>
          <w:color w:val="auto"/>
          <w:sz w:val="27"/>
          <w:szCs w:val="27"/>
          <w:highlight w:val="none"/>
        </w:rPr>
        <w:t xml:space="preserve"> </w:t>
      </w:r>
    </w:p>
    <w:p>
      <w:pPr>
        <w:pStyle w:val="5"/>
        <w:spacing w:line="500" w:lineRule="exact"/>
        <w:ind w:firstLine="325"/>
        <w:rPr>
          <w:color w:val="auto"/>
          <w:highlight w:val="none"/>
        </w:rPr>
      </w:pPr>
      <w:r>
        <w:rPr>
          <w:rFonts w:hint="eastAsia"/>
          <w:color w:val="auto"/>
          <w:highlight w:val="none"/>
        </w:rPr>
        <w:t>2.1</w:t>
      </w:r>
      <w:r>
        <w:rPr>
          <w:color w:val="auto"/>
          <w:highlight w:val="none"/>
        </w:rPr>
        <w:t xml:space="preserve"> </w:t>
      </w:r>
      <w:r>
        <w:rPr>
          <w:rFonts w:hint="eastAsia"/>
          <w:color w:val="auto"/>
          <w:highlight w:val="none"/>
        </w:rPr>
        <w:t>项目概况</w:t>
      </w:r>
    </w:p>
    <w:p>
      <w:pPr>
        <w:spacing w:line="500" w:lineRule="exact"/>
        <w:ind w:firstLine="420" w:firstLineChars="200"/>
        <w:rPr>
          <w:color w:val="auto"/>
          <w:highlight w:val="none"/>
        </w:rPr>
      </w:pPr>
      <w:bookmarkStart w:id="5" w:name="_Toc18947"/>
      <w:bookmarkStart w:id="6" w:name="_Toc28074"/>
      <w:r>
        <w:rPr>
          <w:color w:val="auto"/>
          <w:highlight w:val="none"/>
        </w:rPr>
        <w:t>珠江三角洲水资源配置工程是国务院批准的《珠江流域综合规划(2012-2030年)》提出的重要水资源配置工程，也是国务院要求加快建设的全国172项节水供水重大水利工程之一</w:t>
      </w:r>
      <w:r>
        <w:rPr>
          <w:rFonts w:hint="eastAsia"/>
          <w:color w:val="auto"/>
          <w:highlight w:val="none"/>
        </w:rPr>
        <w:t>，工程以打造新时代生态智慧水利工程为建设目标</w:t>
      </w:r>
      <w:r>
        <w:rPr>
          <w:color w:val="auto"/>
          <w:highlight w:val="none"/>
        </w:rPr>
        <w:t>。珠江三角洲水资源配置工程从西江水系向珠江三角洲东部地区引水，解决城市生活生产缺水问题，提高供水保证程度。</w:t>
      </w:r>
    </w:p>
    <w:p>
      <w:pPr>
        <w:spacing w:line="500" w:lineRule="exact"/>
        <w:ind w:firstLine="0" w:firstLineChars="0"/>
        <w:rPr>
          <w:rFonts w:hint="eastAsia"/>
          <w:color w:val="auto"/>
          <w:highlight w:val="none"/>
        </w:rPr>
      </w:pPr>
      <w:r>
        <w:rPr>
          <w:color w:val="auto"/>
          <w:highlight w:val="none"/>
        </w:rPr>
        <w:t>该工程由一条干线、两条分干线，一条支线，3座泵站和1座新建调节水库组成。工程从西江鲤鱼洲取水，经鲤鱼洲、高新沙、罗田3级泵站加压，输水至</w:t>
      </w:r>
      <w:r>
        <w:rPr>
          <w:rFonts w:hint="eastAsia"/>
          <w:color w:val="auto"/>
          <w:highlight w:val="none"/>
          <w:lang w:val="en-US" w:eastAsia="zh-CN"/>
        </w:rPr>
        <w:t>广州市</w:t>
      </w:r>
      <w:r>
        <w:rPr>
          <w:color w:val="auto"/>
          <w:highlight w:val="none"/>
        </w:rPr>
        <w:t>南沙区高新沙水库、东莞市松木山水库和深圳市公明水库</w:t>
      </w:r>
      <w:r>
        <w:rPr>
          <w:rFonts w:hint="eastAsia"/>
          <w:color w:val="auto"/>
          <w:highlight w:val="none"/>
          <w:lang w:eastAsia="zh-CN"/>
        </w:rPr>
        <w:t>。</w:t>
      </w:r>
      <w:r>
        <w:rPr>
          <w:rFonts w:hint="eastAsia"/>
          <w:color w:val="auto"/>
          <w:highlight w:val="none"/>
        </w:rPr>
        <w:t>本工程等别为Ⅰ等。</w:t>
      </w:r>
    </w:p>
    <w:p>
      <w:pPr>
        <w:adjustRightInd/>
        <w:spacing w:line="500" w:lineRule="exact"/>
        <w:ind w:firstLine="420" w:firstLineChars="200"/>
        <w:textAlignment w:val="auto"/>
        <w:rPr>
          <w:color w:val="auto"/>
          <w:highlight w:val="none"/>
        </w:rPr>
      </w:pPr>
      <w:r>
        <w:rPr>
          <w:rFonts w:hint="eastAsia"/>
          <w:color w:val="auto"/>
          <w:highlight w:val="none"/>
        </w:rPr>
        <w:t>本工程处于珠江三角洲发达地区，对外交通较为便利。</w:t>
      </w:r>
      <w:bookmarkEnd w:id="5"/>
      <w:bookmarkEnd w:id="6"/>
    </w:p>
    <w:p>
      <w:pPr>
        <w:pStyle w:val="5"/>
        <w:spacing w:line="500" w:lineRule="exact"/>
        <w:ind w:firstLine="241" w:firstLineChars="100"/>
        <w:rPr>
          <w:color w:val="auto"/>
          <w:highlight w:val="none"/>
        </w:rPr>
      </w:pPr>
      <w:r>
        <w:rPr>
          <w:rFonts w:hint="eastAsia"/>
          <w:color w:val="auto"/>
          <w:highlight w:val="none"/>
        </w:rPr>
        <w:t>2.2</w:t>
      </w:r>
      <w:r>
        <w:rPr>
          <w:color w:val="auto"/>
          <w:highlight w:val="none"/>
        </w:rPr>
        <w:t xml:space="preserve"> </w:t>
      </w:r>
      <w:r>
        <w:rPr>
          <w:rFonts w:hint="eastAsia"/>
          <w:color w:val="auto"/>
          <w:highlight w:val="none"/>
        </w:rPr>
        <w:t>招标范围</w:t>
      </w:r>
    </w:p>
    <w:p>
      <w:pPr>
        <w:widowControl/>
        <w:spacing w:line="500" w:lineRule="exact"/>
        <w:ind w:firstLine="420" w:firstLineChars="200"/>
        <w:rPr>
          <w:rFonts w:ascii="Times New Roman" w:hAnsi="Times New Roman"/>
          <w:color w:val="auto"/>
          <w:szCs w:val="21"/>
          <w:highlight w:val="none"/>
        </w:rPr>
      </w:pPr>
      <w:r>
        <w:rPr>
          <w:rFonts w:hint="eastAsia"/>
          <w:color w:val="auto"/>
          <w:kern w:val="0"/>
          <w:highlight w:val="none"/>
        </w:rPr>
        <w:t>珠江三角洲水资源配置工程</w:t>
      </w:r>
      <w:r>
        <w:rPr>
          <w:rFonts w:hint="eastAsia"/>
          <w:color w:val="auto"/>
          <w:kern w:val="0"/>
          <w:highlight w:val="none"/>
          <w:lang w:eastAsia="zh-CN"/>
        </w:rPr>
        <w:t>佛山</w:t>
      </w:r>
      <w:r>
        <w:rPr>
          <w:rFonts w:hint="eastAsia"/>
          <w:color w:val="auto"/>
          <w:kern w:val="0"/>
          <w:highlight w:val="none"/>
        </w:rPr>
        <w:t>市范围内工作井（水闸）永久用电接入，</w:t>
      </w:r>
      <w:r>
        <w:rPr>
          <w:rFonts w:hint="eastAsia"/>
          <w:color w:val="auto"/>
          <w:kern w:val="0"/>
          <w:highlight w:val="none"/>
          <w:lang w:val="en-US" w:eastAsia="zh-CN"/>
        </w:rPr>
        <w:t>招标内容</w:t>
      </w:r>
      <w:r>
        <w:rPr>
          <w:rFonts w:hint="eastAsia"/>
          <w:color w:val="auto"/>
          <w:kern w:val="0"/>
          <w:highlight w:val="none"/>
        </w:rPr>
        <w:t>包括报装、图纸深化设计、采购、土建施工、设备及电缆安装、调试、试验，以及临时征地、青苗赔偿、</w:t>
      </w:r>
      <w:r>
        <w:rPr>
          <w:rFonts w:hint="eastAsia"/>
          <w:color w:val="auto"/>
          <w:kern w:val="0"/>
          <w:highlight w:val="none"/>
          <w:lang w:eastAsia="zh-CN"/>
        </w:rPr>
        <w:t>复垦</w:t>
      </w:r>
      <w:r>
        <w:rPr>
          <w:rFonts w:hint="eastAsia"/>
          <w:color w:val="auto"/>
          <w:kern w:val="0"/>
          <w:highlight w:val="none"/>
        </w:rPr>
        <w:t>，并通过供电局验收送电直至移交等，包括但不限于以下内容：</w:t>
      </w:r>
    </w:p>
    <w:p>
      <w:pPr>
        <w:widowControl/>
        <w:spacing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color w:val="auto"/>
          <w:kern w:val="0"/>
          <w:highlight w:val="none"/>
        </w:rPr>
        <w:t>本项目各电源接入点（含柱上断路器、隔离刀闸、避雷器等）至户内10kV或0</w:t>
      </w:r>
      <w:r>
        <w:rPr>
          <w:color w:val="auto"/>
          <w:kern w:val="0"/>
          <w:highlight w:val="none"/>
        </w:rPr>
        <w:t>.4kV</w:t>
      </w:r>
      <w:r>
        <w:rPr>
          <w:rFonts w:hint="eastAsia"/>
          <w:color w:val="auto"/>
          <w:kern w:val="0"/>
          <w:highlight w:val="none"/>
        </w:rPr>
        <w:t>进线柜之间的线路深化设计、原材料（电缆、电缆终端头、柱上断路器、隔离刀闸、避雷器等）采购、各电源接入点至本项目各工作井、水闸的线路（电缆及其管沟（或管廊）及管井、排管、顶管（如有））等土建施工、设备及电缆安装、调试、试验及验收，以及线路相关的临时征地及青苗赔偿等。</w:t>
      </w:r>
    </w:p>
    <w:p>
      <w:pPr>
        <w:spacing w:line="500" w:lineRule="exact"/>
        <w:ind w:firstLine="420" w:firstLineChars="200"/>
        <w:rPr>
          <w:color w:val="auto"/>
          <w:kern w:val="0"/>
          <w:highlight w:val="none"/>
        </w:rPr>
      </w:pPr>
      <w:r>
        <w:rPr>
          <w:rFonts w:hint="eastAsia" w:ascii="Times New Roman" w:hAnsi="Times New Roman"/>
          <w:color w:val="auto"/>
          <w:szCs w:val="21"/>
          <w:highlight w:val="none"/>
        </w:rPr>
        <w:t>2.</w:t>
      </w:r>
      <w:r>
        <w:rPr>
          <w:rFonts w:hint="eastAsia"/>
          <w:color w:val="auto"/>
          <w:kern w:val="0"/>
          <w:highlight w:val="none"/>
        </w:rPr>
        <w:t>本项目电源接入点至各工作井10kV开关柜或0.4kV开关柜的10kV、0.4kV电源线路施工，包括电源接入点至本项目各工作井10kV及0.4kV电源线路、10kV户外开关箱（如有室外部分则含道路、管沟（或管廊）及管井、排管、顶管等）等施工。</w:t>
      </w:r>
    </w:p>
    <w:p>
      <w:pPr>
        <w:autoSpaceDE w:val="0"/>
        <w:spacing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3.用电工程的标志标识、安全设施设计及施工须按照中国南方电网有限责任公司最新安健环标准执行。</w:t>
      </w:r>
    </w:p>
    <w:p>
      <w:pPr>
        <w:autoSpaceDE w:val="0"/>
        <w:spacing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4.用电工程的验收（以通过供电部门的验收，并开通供电为准）。</w:t>
      </w:r>
    </w:p>
    <w:p>
      <w:pPr>
        <w:autoSpaceDE w:val="0"/>
        <w:spacing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5.按照广东粤海珠三角供水有限公司档案管理相关规定完成工程档案资料的整理及移交。</w:t>
      </w:r>
    </w:p>
    <w:p>
      <w:pPr>
        <w:autoSpaceDE w:val="0"/>
        <w:spacing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6.工程使用完毕后完成临时占地的恢复、</w:t>
      </w:r>
      <w:r>
        <w:rPr>
          <w:rFonts w:hint="eastAsia" w:ascii="Times New Roman" w:hAnsi="Times New Roman"/>
          <w:color w:val="auto"/>
          <w:szCs w:val="21"/>
          <w:highlight w:val="none"/>
          <w:lang w:eastAsia="zh-CN"/>
        </w:rPr>
        <w:t>复垦</w:t>
      </w:r>
      <w:r>
        <w:rPr>
          <w:rFonts w:hint="eastAsia" w:ascii="Times New Roman" w:hAnsi="Times New Roman"/>
          <w:color w:val="auto"/>
          <w:szCs w:val="21"/>
          <w:highlight w:val="none"/>
        </w:rPr>
        <w:t>等（包含供电局报拆等手续）。</w:t>
      </w:r>
    </w:p>
    <w:p>
      <w:pPr>
        <w:autoSpaceDE w:val="0"/>
        <w:spacing w:line="500" w:lineRule="exact"/>
        <w:ind w:firstLine="420" w:firstLineChars="200"/>
        <w:rPr>
          <w:color w:val="auto"/>
          <w:kern w:val="0"/>
          <w:highlight w:val="none"/>
        </w:rPr>
      </w:pPr>
      <w:r>
        <w:rPr>
          <w:rFonts w:hint="eastAsia"/>
          <w:color w:val="auto"/>
          <w:kern w:val="0"/>
          <w:highlight w:val="none"/>
        </w:rPr>
        <w:t>7.若有施工用电线路涉及到永久征地的，则需配合发包方完成相应永久征地的工作。</w:t>
      </w:r>
    </w:p>
    <w:p>
      <w:pPr>
        <w:pStyle w:val="2"/>
        <w:autoSpaceDE w:val="0"/>
        <w:spacing w:line="500" w:lineRule="exact"/>
        <w:ind w:firstLine="420" w:firstLineChars="200"/>
        <w:rPr>
          <w:color w:val="auto"/>
          <w:highlight w:val="none"/>
        </w:rPr>
      </w:pPr>
      <w:r>
        <w:rPr>
          <w:rFonts w:hint="eastAsia"/>
          <w:color w:val="auto"/>
          <w:highlight w:val="none"/>
        </w:rPr>
        <w:t>8</w:t>
      </w:r>
      <w:r>
        <w:rPr>
          <w:color w:val="auto"/>
          <w:highlight w:val="none"/>
        </w:rPr>
        <w:t>.用</w:t>
      </w:r>
      <w:r>
        <w:rPr>
          <w:rFonts w:hint="eastAsia"/>
          <w:color w:val="auto"/>
          <w:highlight w:val="none"/>
          <w:lang w:val="en-US" w:eastAsia="zh-CN"/>
        </w:rPr>
        <w:t>电</w:t>
      </w:r>
      <w:r>
        <w:rPr>
          <w:color w:val="auto"/>
          <w:highlight w:val="none"/>
        </w:rPr>
        <w:t>线路建设过程中</w:t>
      </w:r>
      <w:r>
        <w:rPr>
          <w:rFonts w:hint="eastAsia"/>
          <w:color w:val="auto"/>
          <w:highlight w:val="none"/>
        </w:rPr>
        <w:t>涉及</w:t>
      </w:r>
      <w:r>
        <w:rPr>
          <w:color w:val="auto"/>
          <w:highlight w:val="none"/>
        </w:rPr>
        <w:t>手续办理及协调工作</w:t>
      </w:r>
      <w:r>
        <w:rPr>
          <w:rFonts w:hint="eastAsia"/>
          <w:color w:val="auto"/>
          <w:highlight w:val="none"/>
        </w:rPr>
        <w:t>。</w:t>
      </w:r>
    </w:p>
    <w:p>
      <w:pPr>
        <w:autoSpaceDE/>
        <w:spacing w:line="500" w:lineRule="exact"/>
        <w:ind w:firstLine="420" w:firstLineChars="200"/>
        <w:rPr>
          <w:rFonts w:ascii="Calibri" w:hAnsi="Calibri"/>
          <w:color w:val="auto"/>
          <w:szCs w:val="24"/>
          <w:highlight w:val="none"/>
        </w:rPr>
      </w:pPr>
      <w:r>
        <w:rPr>
          <w:color w:val="auto"/>
          <w:highlight w:val="none"/>
        </w:rPr>
        <w:t>9</w:t>
      </w:r>
      <w:r>
        <w:rPr>
          <w:rFonts w:hint="eastAsia"/>
          <w:color w:val="auto"/>
          <w:highlight w:val="none"/>
        </w:rPr>
        <w:t>.承包人负责在项目电源接入点至各工作井10kV开关柜或0.4kV开关柜的10kV、0.4kV电源线路的规划报建及规划验收工作。</w:t>
      </w:r>
    </w:p>
    <w:p>
      <w:pPr>
        <w:pStyle w:val="5"/>
        <w:spacing w:line="500" w:lineRule="exact"/>
        <w:ind w:firstLine="325"/>
        <w:rPr>
          <w:color w:val="auto"/>
          <w:highlight w:val="none"/>
        </w:rPr>
      </w:pPr>
      <w:r>
        <w:rPr>
          <w:rFonts w:hint="eastAsia"/>
          <w:color w:val="auto"/>
          <w:highlight w:val="none"/>
        </w:rPr>
        <w:t>2.</w:t>
      </w:r>
      <w:r>
        <w:rPr>
          <w:color w:val="auto"/>
          <w:highlight w:val="none"/>
        </w:rPr>
        <w:t xml:space="preserve">3 </w:t>
      </w:r>
      <w:r>
        <w:rPr>
          <w:rFonts w:hint="eastAsia"/>
          <w:color w:val="auto"/>
          <w:highlight w:val="none"/>
        </w:rPr>
        <w:t>计划工期</w:t>
      </w:r>
    </w:p>
    <w:p>
      <w:pPr>
        <w:tabs>
          <w:tab w:val="left" w:pos="824"/>
        </w:tabs>
        <w:snapToGrid w:val="0"/>
        <w:spacing w:line="5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本工程计划工期：计划工期为</w:t>
      </w:r>
      <w:r>
        <w:rPr>
          <w:rFonts w:hint="eastAsia" w:ascii="Times New Roman" w:hAnsi="Times New Roman"/>
          <w:color w:val="auto"/>
          <w:szCs w:val="21"/>
          <w:highlight w:val="none"/>
          <w:lang w:val="en-US" w:eastAsia="zh-CN"/>
        </w:rPr>
        <w:t>2.5</w:t>
      </w:r>
      <w:r>
        <w:rPr>
          <w:rFonts w:hint="eastAsia" w:ascii="Times New Roman" w:hAnsi="Times New Roman"/>
          <w:color w:val="auto"/>
          <w:szCs w:val="21"/>
          <w:highlight w:val="none"/>
        </w:rPr>
        <w:t>个月，具体开工日期以监理单位签发的开工令为准。</w:t>
      </w:r>
    </w:p>
    <w:p>
      <w:pPr>
        <w:pStyle w:val="5"/>
        <w:spacing w:line="500" w:lineRule="exact"/>
        <w:ind w:firstLine="325"/>
        <w:rPr>
          <w:color w:val="auto"/>
          <w:highlight w:val="none"/>
        </w:rPr>
      </w:pPr>
      <w:r>
        <w:rPr>
          <w:rFonts w:hint="eastAsia"/>
          <w:color w:val="auto"/>
          <w:highlight w:val="none"/>
        </w:rPr>
        <w:t>2</w:t>
      </w:r>
      <w:r>
        <w:rPr>
          <w:color w:val="auto"/>
          <w:highlight w:val="none"/>
        </w:rPr>
        <w:t xml:space="preserve">.4 </w:t>
      </w:r>
      <w:r>
        <w:rPr>
          <w:rFonts w:hint="eastAsia"/>
          <w:color w:val="auto"/>
          <w:highlight w:val="none"/>
        </w:rPr>
        <w:t>建设地点</w:t>
      </w:r>
    </w:p>
    <w:p>
      <w:pPr>
        <w:snapToGrid w:val="0"/>
        <w:spacing w:line="5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广东省</w:t>
      </w:r>
      <w:r>
        <w:rPr>
          <w:rFonts w:hint="eastAsia" w:ascii="宋体" w:hAnsi="宋体" w:cs="宋体"/>
          <w:color w:val="auto"/>
          <w:szCs w:val="21"/>
          <w:highlight w:val="none"/>
          <w:u w:val="single"/>
          <w:lang w:val="en-US" w:eastAsia="zh-CN"/>
        </w:rPr>
        <w:t>佛山</w:t>
      </w:r>
      <w:r>
        <w:rPr>
          <w:rFonts w:hint="eastAsia" w:ascii="宋体" w:hAnsi="宋体" w:cs="宋体"/>
          <w:color w:val="auto"/>
          <w:szCs w:val="21"/>
          <w:highlight w:val="none"/>
          <w:u w:val="single"/>
        </w:rPr>
        <w:t>市。</w:t>
      </w:r>
    </w:p>
    <w:p>
      <w:pPr>
        <w:pStyle w:val="5"/>
        <w:spacing w:line="500" w:lineRule="exact"/>
        <w:ind w:firstLine="325"/>
        <w:rPr>
          <w:color w:val="auto"/>
          <w:highlight w:val="none"/>
        </w:rPr>
      </w:pPr>
      <w:r>
        <w:rPr>
          <w:rFonts w:hint="eastAsia"/>
          <w:color w:val="auto"/>
          <w:highlight w:val="none"/>
        </w:rPr>
        <w:t>2.</w:t>
      </w:r>
      <w:r>
        <w:rPr>
          <w:color w:val="auto"/>
          <w:highlight w:val="none"/>
        </w:rPr>
        <w:t xml:space="preserve">5 </w:t>
      </w:r>
      <w:r>
        <w:rPr>
          <w:rFonts w:hint="eastAsia"/>
          <w:color w:val="auto"/>
          <w:highlight w:val="none"/>
        </w:rPr>
        <w:t>招标上限价</w:t>
      </w:r>
      <w:r>
        <w:rPr>
          <w:color w:val="auto"/>
          <w:highlight w:val="none"/>
        </w:rPr>
        <w:t xml:space="preserve"> </w:t>
      </w:r>
    </w:p>
    <w:p>
      <w:pPr>
        <w:snapToGrid w:val="0"/>
        <w:spacing w:line="500" w:lineRule="exact"/>
        <w:ind w:firstLine="420" w:firstLineChars="200"/>
        <w:rPr>
          <w:color w:val="auto"/>
          <w:szCs w:val="21"/>
          <w:highlight w:val="none"/>
        </w:rPr>
      </w:pPr>
      <w:bookmarkStart w:id="7" w:name="_Toc13560709"/>
      <w:r>
        <w:rPr>
          <w:rFonts w:hint="eastAsia"/>
          <w:color w:val="auto"/>
          <w:szCs w:val="21"/>
          <w:highlight w:val="none"/>
        </w:rPr>
        <w:t>招标上限价（最高投标限价）</w:t>
      </w:r>
      <w:r>
        <w:rPr>
          <w:rFonts w:hint="eastAsia" w:ascii="宋体" w:hAnsi="宋体"/>
          <w:color w:val="auto"/>
          <w:szCs w:val="21"/>
          <w:highlight w:val="none"/>
        </w:rPr>
        <w:t>：</w:t>
      </w:r>
      <w:r>
        <w:rPr>
          <w:rFonts w:hint="eastAsia" w:ascii="宋体" w:hAnsi="宋体"/>
          <w:color w:val="auto"/>
          <w:szCs w:val="21"/>
          <w:highlight w:val="none"/>
          <w:u w:val="none"/>
          <w:lang w:val="en-US" w:eastAsia="zh-CN"/>
        </w:rPr>
        <w:t>650</w:t>
      </w:r>
      <w:r>
        <w:rPr>
          <w:rFonts w:hint="eastAsia" w:ascii="宋体" w:hAnsi="宋体"/>
          <w:color w:val="auto"/>
          <w:szCs w:val="21"/>
          <w:highlight w:val="none"/>
          <w:u w:val="none"/>
        </w:rPr>
        <w:t>万元</w:t>
      </w:r>
      <w:r>
        <w:rPr>
          <w:rFonts w:hint="eastAsia" w:ascii="宋体" w:hAnsi="宋体"/>
          <w:color w:val="auto"/>
          <w:szCs w:val="21"/>
          <w:highlight w:val="none"/>
        </w:rPr>
        <w:t>，投</w:t>
      </w:r>
      <w:r>
        <w:rPr>
          <w:rFonts w:hint="eastAsia"/>
          <w:color w:val="auto"/>
          <w:szCs w:val="21"/>
          <w:highlight w:val="none"/>
        </w:rPr>
        <w:t>标报价超过最高投标限价的投标文件无效。</w:t>
      </w:r>
    </w:p>
    <w:p>
      <w:pPr>
        <w:pStyle w:val="4"/>
        <w:spacing w:line="500" w:lineRule="exact"/>
        <w:ind w:firstLine="366"/>
        <w:rPr>
          <w:rFonts w:ascii="宋体" w:hAnsi="宋体" w:cs="宋体"/>
          <w:color w:val="auto"/>
          <w:sz w:val="27"/>
          <w:szCs w:val="27"/>
          <w:highlight w:val="none"/>
        </w:rPr>
      </w:pPr>
      <w:bookmarkStart w:id="8" w:name="_Toc162343180"/>
      <w:r>
        <w:rPr>
          <w:rFonts w:hint="eastAsia" w:ascii="宋体" w:hAnsi="宋体" w:cs="宋体"/>
          <w:color w:val="auto"/>
          <w:sz w:val="27"/>
          <w:szCs w:val="27"/>
          <w:highlight w:val="none"/>
        </w:rPr>
        <w:t>3. 投标人资格要求</w:t>
      </w:r>
      <w:bookmarkEnd w:id="7"/>
      <w:bookmarkEnd w:id="8"/>
    </w:p>
    <w:p>
      <w:pPr>
        <w:pStyle w:val="5"/>
        <w:spacing w:line="500" w:lineRule="exact"/>
        <w:ind w:firstLine="325"/>
        <w:rPr>
          <w:color w:val="auto"/>
          <w:highlight w:val="none"/>
        </w:rPr>
      </w:pPr>
      <w:bookmarkStart w:id="9" w:name="_Toc221949927"/>
      <w:r>
        <w:rPr>
          <w:rFonts w:hint="eastAsia"/>
          <w:color w:val="auto"/>
          <w:highlight w:val="none"/>
        </w:rPr>
        <w:t>3.1 本次招标投标人资格要求</w:t>
      </w:r>
    </w:p>
    <w:p>
      <w:pPr>
        <w:snapToGrid w:val="0"/>
        <w:spacing w:line="500" w:lineRule="exact"/>
        <w:ind w:firstLine="422" w:firstLineChars="200"/>
        <w:rPr>
          <w:rFonts w:ascii="宋体" w:hAnsi="宋体"/>
          <w:b/>
          <w:color w:val="auto"/>
          <w:szCs w:val="21"/>
          <w:highlight w:val="none"/>
        </w:rPr>
      </w:pPr>
      <w:r>
        <w:rPr>
          <w:rFonts w:ascii="宋体" w:hAnsi="宋体"/>
          <w:b/>
          <w:color w:val="auto"/>
          <w:szCs w:val="21"/>
          <w:highlight w:val="none"/>
        </w:rPr>
        <w:t>3.1.1投标人资质能力及财务信誉：</w:t>
      </w:r>
    </w:p>
    <w:p>
      <w:pPr>
        <w:snapToGrid w:val="0"/>
        <w:spacing w:line="500" w:lineRule="exact"/>
        <w:ind w:firstLine="420" w:firstLineChars="200"/>
        <w:rPr>
          <w:rFonts w:ascii="宋体" w:hAnsi="宋体"/>
          <w:color w:val="auto"/>
          <w:szCs w:val="21"/>
          <w:highlight w:val="none"/>
        </w:rPr>
      </w:pPr>
      <w:r>
        <w:rPr>
          <w:rFonts w:ascii="宋体" w:hAnsi="宋体"/>
          <w:color w:val="auto"/>
          <w:szCs w:val="21"/>
          <w:highlight w:val="none"/>
        </w:rPr>
        <w:t>投标人均应满足以下基本条件</w:t>
      </w:r>
      <w:r>
        <w:rPr>
          <w:rFonts w:hint="eastAsia" w:ascii="宋体" w:hAnsi="宋体"/>
          <w:color w:val="auto"/>
          <w:szCs w:val="21"/>
          <w:highlight w:val="none"/>
        </w:rPr>
        <w:t>：</w:t>
      </w:r>
    </w:p>
    <w:p>
      <w:pPr>
        <w:snapToGrid w:val="0"/>
        <w:spacing w:line="500" w:lineRule="exact"/>
        <w:ind w:firstLine="420" w:firstLineChars="200"/>
        <w:rPr>
          <w:rFonts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投标人应为中华人民共和国境内注册的具有独立法人资格的企业。</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投标人具有</w:t>
      </w:r>
      <w:r>
        <w:rPr>
          <w:rFonts w:hint="eastAsia" w:ascii="宋体" w:hAnsi="宋体" w:cs="宋体"/>
          <w:color w:val="auto"/>
          <w:szCs w:val="21"/>
          <w:highlight w:val="none"/>
        </w:rPr>
        <w:t>建设行业主管部门颁发的有效的安全生产许可证。</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）投标人不能处于财产被接管、破产状态。</w:t>
      </w:r>
      <w:r>
        <w:rPr>
          <w:rFonts w:hint="eastAsia" w:ascii="宋体" w:hAnsi="宋体" w:cs="宋体"/>
          <w:i w:val="0"/>
          <w:iCs w:val="0"/>
          <w:color w:val="auto"/>
          <w:szCs w:val="21"/>
          <w:highlight w:val="none"/>
        </w:rPr>
        <w:t>（按投标人提供的投标函声明进行评审）</w:t>
      </w:r>
    </w:p>
    <w:p>
      <w:pPr>
        <w:snapToGrid w:val="0"/>
        <w:spacing w:line="500" w:lineRule="exact"/>
        <w:ind w:firstLine="422" w:firstLineChars="200"/>
        <w:rPr>
          <w:rFonts w:ascii="宋体" w:hAnsi="宋体" w:cs="宋体"/>
          <w:b/>
          <w:color w:val="auto"/>
          <w:szCs w:val="21"/>
          <w:highlight w:val="none"/>
        </w:rPr>
      </w:pPr>
      <w:r>
        <w:rPr>
          <w:rFonts w:ascii="宋体" w:hAnsi="宋体" w:cs="宋体"/>
          <w:b/>
          <w:color w:val="auto"/>
          <w:szCs w:val="21"/>
          <w:highlight w:val="none"/>
        </w:rPr>
        <w:t>3.1.2投标人</w:t>
      </w:r>
      <w:r>
        <w:rPr>
          <w:rFonts w:hint="eastAsia" w:ascii="宋体" w:hAnsi="宋体" w:cs="宋体"/>
          <w:b/>
          <w:color w:val="auto"/>
          <w:szCs w:val="21"/>
          <w:highlight w:val="none"/>
        </w:rPr>
        <w:t>资质要求：</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投标人具有电力工程施工总承包三级及以上资质或输变电工程专业承包三级或以上资质，且同时具备《承装(修、试)电力设施许可证》承装（试）类五级或以上许可。</w:t>
      </w:r>
    </w:p>
    <w:p>
      <w:pPr>
        <w:pStyle w:val="2"/>
        <w:spacing w:line="500" w:lineRule="exact"/>
        <w:ind w:firstLine="420" w:firstLineChars="200"/>
        <w:rPr>
          <w:rFonts w:ascii="Calibri" w:hAnsi="Calibri" w:cs="Times New Roman"/>
          <w:color w:val="auto"/>
          <w:szCs w:val="24"/>
          <w:highlight w:val="none"/>
        </w:rPr>
      </w:pPr>
      <w:r>
        <w:rPr>
          <w:rFonts w:hint="eastAsia" w:cs="Times New Roman"/>
          <w:color w:val="auto"/>
          <w:szCs w:val="24"/>
          <w:highlight w:val="none"/>
          <w:lang w:val="en-US" w:eastAsia="zh-CN"/>
        </w:rPr>
        <w:t>注：</w:t>
      </w:r>
      <w:r>
        <w:rPr>
          <w:rFonts w:hint="eastAsia" w:ascii="Calibri" w:hAnsi="Calibri" w:cs="Times New Roman"/>
          <w:color w:val="auto"/>
          <w:szCs w:val="24"/>
          <w:highlight w:val="none"/>
        </w:rPr>
        <w:t>投标人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500" w:lineRule="exact"/>
        <w:ind w:firstLine="422" w:firstLineChars="200"/>
        <w:rPr>
          <w:rFonts w:ascii="宋体" w:hAnsi="宋体" w:cs="宋体"/>
          <w:b/>
          <w:color w:val="auto"/>
          <w:szCs w:val="21"/>
          <w:highlight w:val="none"/>
        </w:rPr>
      </w:pPr>
      <w:r>
        <w:rPr>
          <w:rFonts w:ascii="宋体" w:hAnsi="宋体" w:cs="宋体"/>
          <w:b/>
          <w:color w:val="auto"/>
          <w:szCs w:val="21"/>
          <w:highlight w:val="none"/>
        </w:rPr>
        <w:t>3.1.3投标人</w:t>
      </w:r>
      <w:r>
        <w:rPr>
          <w:rFonts w:hint="eastAsia" w:ascii="宋体" w:hAnsi="宋体" w:cs="宋体"/>
          <w:b/>
          <w:color w:val="auto"/>
          <w:szCs w:val="21"/>
          <w:highlight w:val="none"/>
        </w:rPr>
        <w:t>业绩需</w:t>
      </w:r>
      <w:r>
        <w:rPr>
          <w:rFonts w:ascii="宋体" w:hAnsi="宋体" w:cs="宋体"/>
          <w:b/>
          <w:color w:val="auto"/>
          <w:szCs w:val="21"/>
          <w:highlight w:val="none"/>
        </w:rPr>
        <w:t>满足以下</w:t>
      </w:r>
      <w:r>
        <w:rPr>
          <w:rFonts w:hint="eastAsia" w:ascii="宋体" w:hAnsi="宋体" w:cs="宋体"/>
          <w:b/>
          <w:color w:val="auto"/>
          <w:szCs w:val="21"/>
          <w:highlight w:val="none"/>
        </w:rPr>
        <w:t>要求：</w:t>
      </w:r>
    </w:p>
    <w:bookmarkEnd w:id="9"/>
    <w:p>
      <w:pPr>
        <w:spacing w:line="500" w:lineRule="exact"/>
        <w:ind w:firstLine="420" w:firstLineChars="200"/>
        <w:rPr>
          <w:rFonts w:ascii="宋体" w:hAnsi="宋体" w:cs="宋体"/>
          <w:color w:val="auto"/>
          <w:kern w:val="0"/>
          <w:szCs w:val="21"/>
          <w:highlight w:val="none"/>
          <w:lang w:bidi="ar"/>
        </w:rPr>
      </w:pPr>
      <w:bookmarkStart w:id="10" w:name="_Hlk117532938"/>
      <w:r>
        <w:rPr>
          <w:rFonts w:hint="eastAsia" w:ascii="宋体" w:hAnsi="宋体" w:cs="宋体"/>
          <w:color w:val="auto"/>
          <w:kern w:val="0"/>
          <w:szCs w:val="21"/>
          <w:highlight w:val="none"/>
          <w:lang w:bidi="ar"/>
        </w:rPr>
        <w:t>2019 年</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月 1 日至投标截止日已完成</w:t>
      </w:r>
      <w:r>
        <w:rPr>
          <w:rFonts w:hint="eastAsia" w:ascii="宋体" w:hAnsi="宋体" w:cs="宋体"/>
          <w:color w:val="auto"/>
          <w:szCs w:val="21"/>
          <w:highlight w:val="none"/>
        </w:rPr>
        <w:t>单项合同金额不少于</w:t>
      </w:r>
      <w:r>
        <w:rPr>
          <w:rFonts w:hint="eastAsia" w:ascii="宋体" w:hAnsi="宋体" w:cs="宋体"/>
          <w:color w:val="auto"/>
          <w:szCs w:val="21"/>
          <w:highlight w:val="none"/>
          <w:lang w:eastAsia="zh-CN"/>
        </w:rPr>
        <w:t>4</w:t>
      </w:r>
      <w:r>
        <w:rPr>
          <w:rFonts w:hint="eastAsia" w:ascii="宋体" w:hAnsi="宋体" w:cs="宋体"/>
          <w:color w:val="auto"/>
          <w:szCs w:val="21"/>
          <w:highlight w:val="none"/>
        </w:rPr>
        <w:t>00万元的</w:t>
      </w:r>
      <w:r>
        <w:rPr>
          <w:rFonts w:hint="eastAsia" w:ascii="宋体" w:hAnsi="宋体" w:cs="宋体"/>
          <w:color w:val="auto"/>
          <w:kern w:val="0"/>
          <w:szCs w:val="21"/>
          <w:highlight w:val="none"/>
          <w:lang w:bidi="ar"/>
        </w:rPr>
        <w:t>10kV及以上电压等级的输（</w:t>
      </w:r>
      <w:r>
        <w:rPr>
          <w:rFonts w:hint="eastAsia" w:ascii="宋体" w:hAnsi="宋体" w:cs="宋体"/>
          <w:color w:val="auto"/>
          <w:kern w:val="0"/>
          <w:szCs w:val="21"/>
          <w:highlight w:val="none"/>
          <w:lang w:val="en-US" w:eastAsia="zh-CN" w:bidi="ar"/>
        </w:rPr>
        <w:t>配</w:t>
      </w:r>
      <w:r>
        <w:rPr>
          <w:rFonts w:hint="eastAsia" w:ascii="宋体" w:hAnsi="宋体" w:cs="宋体"/>
          <w:color w:val="auto"/>
          <w:kern w:val="0"/>
          <w:szCs w:val="21"/>
          <w:highlight w:val="none"/>
          <w:lang w:bidi="ar"/>
        </w:rPr>
        <w:t>）电工程施工业绩。</w:t>
      </w:r>
    </w:p>
    <w:p>
      <w:pPr>
        <w:pStyle w:val="25"/>
        <w:spacing w:line="500" w:lineRule="exact"/>
        <w:ind w:firstLineChars="200"/>
        <w:rPr>
          <w:color w:val="auto"/>
          <w:highlight w:val="none"/>
          <w:lang w:bidi="ar"/>
        </w:rPr>
      </w:pPr>
      <w:r>
        <w:rPr>
          <w:rFonts w:hint="eastAsia"/>
          <w:color w:val="auto"/>
          <w:highlight w:val="none"/>
          <w:lang w:bidi="ar"/>
        </w:rPr>
        <w:t>业绩证明材料：提供合同关键页</w:t>
      </w:r>
      <w:r>
        <w:rPr>
          <w:rFonts w:hint="eastAsia" w:ascii="宋体" w:hAnsi="宋体" w:cs="宋体"/>
          <w:color w:val="auto"/>
          <w:kern w:val="0"/>
          <w:szCs w:val="21"/>
          <w:highlight w:val="none"/>
        </w:rPr>
        <w:t>扫描件 (首页，签署页、合同金额、工程规模及范围页等关键页</w:t>
      </w:r>
      <w:r>
        <w:rPr>
          <w:rFonts w:hint="eastAsia"/>
          <w:color w:val="auto"/>
          <w:highlight w:val="none"/>
          <w:lang w:bidi="ar"/>
        </w:rPr>
        <w:t>）、验收证明材料扫描件（业主出具的验收</w:t>
      </w:r>
      <w:r>
        <w:rPr>
          <w:color w:val="auto"/>
          <w:highlight w:val="none"/>
          <w:lang w:bidi="ar"/>
        </w:rPr>
        <w:t>证明</w:t>
      </w:r>
      <w:r>
        <w:rPr>
          <w:rFonts w:hint="eastAsia"/>
          <w:color w:val="auto"/>
          <w:highlight w:val="none"/>
          <w:lang w:bidi="ar"/>
        </w:rPr>
        <w:t>或供电部门验收证明等验收证明），时间以验收证明材料时间为准。</w:t>
      </w:r>
    </w:p>
    <w:bookmarkEnd w:id="10"/>
    <w:p>
      <w:pPr>
        <w:spacing w:line="500" w:lineRule="exact"/>
        <w:ind w:firstLine="422" w:firstLineChars="200"/>
        <w:rPr>
          <w:rFonts w:ascii="宋体" w:hAnsi="宋体" w:cs="宋体"/>
          <w:b/>
          <w:color w:val="auto"/>
          <w:szCs w:val="21"/>
          <w:highlight w:val="none"/>
        </w:rPr>
      </w:pPr>
      <w:r>
        <w:rPr>
          <w:rFonts w:ascii="宋体" w:hAnsi="宋体" w:cs="宋体"/>
          <w:b/>
          <w:color w:val="auto"/>
          <w:szCs w:val="21"/>
          <w:highlight w:val="none"/>
        </w:rPr>
        <w:t xml:space="preserve">3.1.4 </w:t>
      </w:r>
      <w:bookmarkStart w:id="11" w:name="_Hlk117532977"/>
      <w:r>
        <w:rPr>
          <w:rFonts w:hint="eastAsia" w:ascii="宋体" w:hAnsi="宋体" w:cs="宋体"/>
          <w:b/>
          <w:color w:val="auto"/>
          <w:szCs w:val="21"/>
          <w:highlight w:val="none"/>
        </w:rPr>
        <w:t>项目负责人、专职安全管理人员要求</w:t>
      </w:r>
      <w:bookmarkEnd w:id="11"/>
    </w:p>
    <w:p>
      <w:pPr>
        <w:spacing w:line="50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 xml:space="preserve">1.4.1 </w:t>
      </w:r>
      <w:bookmarkStart w:id="12" w:name="_Hlk117533004"/>
      <w:r>
        <w:rPr>
          <w:rFonts w:hint="eastAsia" w:ascii="宋体" w:hAnsi="宋体" w:cs="宋体"/>
          <w:b/>
          <w:color w:val="auto"/>
          <w:szCs w:val="21"/>
          <w:highlight w:val="none"/>
        </w:rPr>
        <w:t>项目负责人</w:t>
      </w:r>
      <w:r>
        <w:rPr>
          <w:rFonts w:hint="eastAsia" w:ascii="宋体" w:hAnsi="宋体"/>
          <w:b/>
          <w:color w:val="auto"/>
          <w:szCs w:val="21"/>
          <w:highlight w:val="none"/>
        </w:rPr>
        <w:t>（即项目经理，下同）</w:t>
      </w:r>
    </w:p>
    <w:p>
      <w:pPr>
        <w:widowControl/>
        <w:spacing w:line="500" w:lineRule="exact"/>
        <w:ind w:firstLine="420" w:firstLineChars="200"/>
        <w:jc w:val="left"/>
        <w:rPr>
          <w:color w:val="auto"/>
          <w:szCs w:val="21"/>
          <w:highlight w:val="none"/>
        </w:rPr>
      </w:pPr>
      <w:r>
        <w:rPr>
          <w:rFonts w:hint="eastAsia"/>
          <w:color w:val="auto"/>
          <w:szCs w:val="21"/>
          <w:highlight w:val="none"/>
        </w:rPr>
        <w:t>项目负责人应具备机电工程专业</w:t>
      </w:r>
      <w:r>
        <w:rPr>
          <w:rFonts w:hint="eastAsia"/>
          <w:color w:val="auto"/>
          <w:szCs w:val="21"/>
          <w:highlight w:val="none"/>
          <w:lang w:val="en-US" w:eastAsia="zh-CN"/>
        </w:rPr>
        <w:t>二</w:t>
      </w:r>
      <w:r>
        <w:rPr>
          <w:rFonts w:hint="eastAsia"/>
          <w:color w:val="auto"/>
          <w:szCs w:val="21"/>
          <w:highlight w:val="none"/>
        </w:rPr>
        <w:t>级及</w:t>
      </w:r>
      <w:r>
        <w:rPr>
          <w:color w:val="auto"/>
          <w:szCs w:val="21"/>
          <w:highlight w:val="none"/>
        </w:rPr>
        <w:t>以上</w:t>
      </w:r>
      <w:r>
        <w:rPr>
          <w:rFonts w:hint="eastAsia"/>
          <w:color w:val="auto"/>
          <w:szCs w:val="21"/>
          <w:highlight w:val="none"/>
        </w:rPr>
        <w:t>注册建造师执业资格</w:t>
      </w:r>
      <w:r>
        <w:rPr>
          <w:rFonts w:hint="eastAsia" w:ascii="宋体" w:hAnsi="宋体"/>
          <w:color w:val="auto"/>
          <w:szCs w:val="21"/>
          <w:highlight w:val="none"/>
        </w:rPr>
        <w:t>（在投标单位注册）</w:t>
      </w:r>
      <w:r>
        <w:rPr>
          <w:rFonts w:hint="eastAsia"/>
          <w:color w:val="auto"/>
          <w:szCs w:val="21"/>
          <w:highlight w:val="none"/>
        </w:rPr>
        <w:t>及建设行政主管部门颁发的有效B类安全生产考核合格证书或建筑施工企业项目负责人安全生产考核合格证书，相关证书均在有效期内并在投标单位注册，且须提供在本单位投标截止日期前近三个月社保缴费证明扫描件。</w:t>
      </w:r>
    </w:p>
    <w:p>
      <w:pPr>
        <w:pStyle w:val="2"/>
        <w:widowControl/>
        <w:spacing w:line="500" w:lineRule="exact"/>
        <w:ind w:firstLine="420" w:firstLineChars="200"/>
        <w:jc w:val="left"/>
        <w:rPr>
          <w:rFonts w:ascii="Times New Roman" w:hAnsi="Times New Roman"/>
          <w:color w:val="auto"/>
          <w:szCs w:val="21"/>
          <w:highlight w:val="none"/>
        </w:rPr>
      </w:pPr>
      <w:r>
        <w:rPr>
          <w:color w:val="auto"/>
          <w:highlight w:val="none"/>
        </w:rPr>
        <w:t>注：</w:t>
      </w:r>
      <w:r>
        <w:rPr>
          <w:rFonts w:hint="eastAsia"/>
          <w:color w:val="auto"/>
          <w:highlight w:val="none"/>
        </w:rPr>
        <w:t>1、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2、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Pr>
          <w:rFonts w:hint="eastAsia"/>
          <w:color w:val="auto"/>
          <w:highlight w:val="none"/>
          <w:lang w:val="en-US" w:eastAsia="zh-CN"/>
        </w:rPr>
        <w:t>3、</w:t>
      </w:r>
      <w:r>
        <w:rPr>
          <w:rFonts w:hint="eastAsia"/>
          <w:color w:val="auto"/>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p>
    <w:bookmarkEnd w:id="12"/>
    <w:p>
      <w:pPr>
        <w:spacing w:line="500" w:lineRule="exact"/>
        <w:ind w:firstLine="422" w:firstLineChars="200"/>
        <w:rPr>
          <w:rFonts w:ascii="宋体" w:hAnsi="宋体" w:cs="宋体"/>
          <w:b/>
          <w:color w:val="auto"/>
          <w:szCs w:val="21"/>
          <w:highlight w:val="none"/>
        </w:rPr>
      </w:pPr>
      <w:bookmarkStart w:id="13" w:name="_Toc221949928"/>
      <w:r>
        <w:rPr>
          <w:rFonts w:hint="eastAsia" w:ascii="宋体" w:hAnsi="宋体"/>
          <w:b/>
          <w:color w:val="auto"/>
          <w:szCs w:val="21"/>
          <w:highlight w:val="none"/>
        </w:rPr>
        <w:t>3.</w:t>
      </w:r>
      <w:r>
        <w:rPr>
          <w:rFonts w:ascii="宋体" w:hAnsi="宋体"/>
          <w:b/>
          <w:color w:val="auto"/>
          <w:szCs w:val="21"/>
          <w:highlight w:val="none"/>
        </w:rPr>
        <w:t>1.4.</w:t>
      </w:r>
      <w:r>
        <w:rPr>
          <w:rFonts w:hint="eastAsia" w:ascii="宋体" w:hAnsi="宋体"/>
          <w:b/>
          <w:color w:val="auto"/>
          <w:szCs w:val="21"/>
          <w:highlight w:val="none"/>
        </w:rPr>
        <w:t>2</w:t>
      </w:r>
      <w:r>
        <w:rPr>
          <w:rFonts w:ascii="宋体" w:hAnsi="宋体"/>
          <w:b/>
          <w:color w:val="auto"/>
          <w:szCs w:val="21"/>
          <w:highlight w:val="none"/>
        </w:rPr>
        <w:t xml:space="preserve"> </w:t>
      </w:r>
      <w:r>
        <w:rPr>
          <w:rFonts w:hint="eastAsia" w:ascii="宋体" w:hAnsi="宋体" w:cs="宋体"/>
          <w:b/>
          <w:color w:val="auto"/>
          <w:szCs w:val="21"/>
          <w:highlight w:val="none"/>
        </w:rPr>
        <w:t>拟投入本工程的专职安全生产管理人员应具有建设行政主管部门颁发的安全生产考核合格证（C类）或建筑施工企业专职安全生产管理人员安全生产考核合格证书（C3类），专职安全生产管理人员与项目负责人不能为同一人，提供在投标人本单位投标截止日期前近三个月社保缴费证明扫描件。</w:t>
      </w:r>
    </w:p>
    <w:p>
      <w:pPr>
        <w:pStyle w:val="5"/>
        <w:spacing w:line="500" w:lineRule="exact"/>
        <w:ind w:firstLine="325"/>
        <w:rPr>
          <w:color w:val="auto"/>
          <w:highlight w:val="none"/>
        </w:rPr>
      </w:pPr>
      <w:r>
        <w:rPr>
          <w:rFonts w:hint="eastAsia"/>
          <w:color w:val="auto"/>
          <w:highlight w:val="none"/>
        </w:rPr>
        <w:t>3.2</w:t>
      </w:r>
      <w:r>
        <w:rPr>
          <w:color w:val="auto"/>
          <w:highlight w:val="none"/>
        </w:rPr>
        <w:t xml:space="preserve"> </w:t>
      </w:r>
      <w:r>
        <w:rPr>
          <w:rFonts w:hint="eastAsia"/>
          <w:color w:val="auto"/>
          <w:highlight w:val="none"/>
        </w:rPr>
        <w:t>联合体投标</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联合体投标。</w:t>
      </w:r>
      <w:bookmarkEnd w:id="13"/>
    </w:p>
    <w:p>
      <w:pPr>
        <w:pStyle w:val="4"/>
        <w:spacing w:line="500" w:lineRule="exact"/>
        <w:ind w:firstLine="366"/>
        <w:rPr>
          <w:rFonts w:ascii="宋体" w:hAnsi="宋体" w:cs="宋体"/>
          <w:color w:val="auto"/>
          <w:sz w:val="27"/>
          <w:szCs w:val="27"/>
          <w:highlight w:val="none"/>
        </w:rPr>
      </w:pPr>
      <w:bookmarkStart w:id="14" w:name="_Toc162343181"/>
      <w:bookmarkStart w:id="15" w:name="_Toc13607556"/>
      <w:bookmarkStart w:id="16" w:name="_Toc221949929"/>
      <w:r>
        <w:rPr>
          <w:rFonts w:hint="eastAsia" w:ascii="宋体" w:hAnsi="宋体" w:cs="宋体"/>
          <w:color w:val="auto"/>
          <w:sz w:val="27"/>
          <w:szCs w:val="27"/>
          <w:highlight w:val="none"/>
        </w:rPr>
        <w:t>4. 资格审查</w:t>
      </w:r>
      <w:bookmarkEnd w:id="14"/>
      <w:bookmarkEnd w:id="15"/>
    </w:p>
    <w:p>
      <w:pPr>
        <w:snapToGrid w:val="0"/>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本项目采用资格后审，</w:t>
      </w:r>
      <w:r>
        <w:rPr>
          <w:rFonts w:ascii="Times New Roman" w:hAnsi="Times New Roman"/>
          <w:color w:val="auto"/>
          <w:szCs w:val="21"/>
          <w:highlight w:val="none"/>
        </w:rPr>
        <w:t>资格审查的具体要求见招标文件。</w:t>
      </w:r>
      <w:r>
        <w:rPr>
          <w:rFonts w:hint="eastAsia" w:ascii="宋体" w:hAnsi="宋体" w:cs="宋体"/>
          <w:color w:val="auto"/>
          <w:szCs w:val="21"/>
          <w:highlight w:val="none"/>
        </w:rPr>
        <w:t>资格审查不合格的投标人投标文件将按无效投标处理。</w:t>
      </w:r>
      <w:bookmarkEnd w:id="16"/>
    </w:p>
    <w:p>
      <w:pPr>
        <w:pStyle w:val="4"/>
        <w:spacing w:line="500" w:lineRule="exact"/>
        <w:ind w:firstLine="366"/>
        <w:rPr>
          <w:rFonts w:ascii="宋体" w:hAnsi="宋体" w:cs="宋体"/>
          <w:color w:val="auto"/>
          <w:sz w:val="27"/>
          <w:szCs w:val="27"/>
          <w:highlight w:val="none"/>
        </w:rPr>
      </w:pPr>
      <w:bookmarkStart w:id="17" w:name="_Toc13560710"/>
      <w:bookmarkStart w:id="18" w:name="_Toc162343182"/>
      <w:r>
        <w:rPr>
          <w:rFonts w:ascii="宋体" w:hAnsi="宋体" w:cs="宋体"/>
          <w:color w:val="auto"/>
          <w:sz w:val="27"/>
          <w:szCs w:val="27"/>
          <w:highlight w:val="none"/>
        </w:rPr>
        <w:t>5</w:t>
      </w:r>
      <w:r>
        <w:rPr>
          <w:rFonts w:hint="eastAsia" w:ascii="宋体" w:hAnsi="宋体" w:cs="宋体"/>
          <w:color w:val="auto"/>
          <w:sz w:val="27"/>
          <w:szCs w:val="27"/>
          <w:highlight w:val="none"/>
        </w:rPr>
        <w:t>. 招标文件的获取</w:t>
      </w:r>
      <w:bookmarkEnd w:id="17"/>
      <w:bookmarkEnd w:id="18"/>
    </w:p>
    <w:p>
      <w:pPr>
        <w:topLinePunct/>
        <w:autoSpaceDE w:val="0"/>
        <w:autoSpaceDN w:val="0"/>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rPr>
        <w:t xml:space="preserve">5.1 </w:t>
      </w:r>
      <w:r>
        <w:rPr>
          <w:rFonts w:hint="eastAsia" w:ascii="Times New Roman" w:hAnsi="Times New Roman"/>
          <w:color w:val="auto"/>
          <w:szCs w:val="21"/>
        </w:rPr>
        <w:t>凡有意参加投标者，请于</w:t>
      </w:r>
      <w:r>
        <w:rPr>
          <w:rFonts w:hint="eastAsia" w:ascii="Times New Roman" w:hAnsi="Times New Roman"/>
          <w:color w:val="auto"/>
          <w:szCs w:val="21"/>
          <w:highlight w:val="none"/>
          <w:u w:val="none"/>
        </w:rPr>
        <w:t>2024</w:t>
      </w:r>
      <w:r>
        <w:rPr>
          <w:rFonts w:ascii="Times New Roman" w:hAnsi="Times New Roman"/>
          <w:color w:val="auto"/>
          <w:szCs w:val="21"/>
          <w:highlight w:val="none"/>
          <w:u w:val="none"/>
        </w:rPr>
        <w:t>年</w:t>
      </w:r>
      <w:r>
        <w:rPr>
          <w:rFonts w:hint="eastAsia" w:ascii="Times New Roman" w:hAnsi="Times New Roman"/>
          <w:color w:val="auto"/>
          <w:szCs w:val="21"/>
          <w:highlight w:val="none"/>
          <w:u w:val="none"/>
          <w:lang w:val="en-US" w:eastAsia="zh-CN"/>
        </w:rPr>
        <w:t>7</w:t>
      </w:r>
      <w:r>
        <w:rPr>
          <w:rFonts w:ascii="Times New Roman" w:hAnsi="Times New Roman"/>
          <w:color w:val="auto"/>
          <w:szCs w:val="21"/>
          <w:highlight w:val="none"/>
          <w:u w:val="none"/>
        </w:rPr>
        <w:t>月</w:t>
      </w:r>
      <w:r>
        <w:rPr>
          <w:rFonts w:hint="eastAsia" w:ascii="Times New Roman" w:hAnsi="Times New Roman"/>
          <w:color w:val="auto"/>
          <w:szCs w:val="21"/>
          <w:highlight w:val="none"/>
          <w:u w:val="none"/>
          <w:lang w:val="en-US" w:eastAsia="zh-CN"/>
        </w:rPr>
        <w:t>5</w:t>
      </w:r>
      <w:r>
        <w:rPr>
          <w:rFonts w:ascii="Times New Roman" w:hAnsi="Times New Roman"/>
          <w:color w:val="auto"/>
          <w:szCs w:val="21"/>
          <w:highlight w:val="none"/>
          <w:u w:val="none"/>
        </w:rPr>
        <w:t>日00</w:t>
      </w:r>
      <w:r>
        <w:rPr>
          <w:rFonts w:hint="eastAsia" w:ascii="Times New Roman" w:hAnsi="Times New Roman"/>
          <w:color w:val="auto"/>
          <w:szCs w:val="21"/>
          <w:highlight w:val="none"/>
          <w:u w:val="none"/>
        </w:rPr>
        <w:t>时</w:t>
      </w:r>
      <w:r>
        <w:rPr>
          <w:rFonts w:ascii="Times New Roman" w:hAnsi="Times New Roman"/>
          <w:color w:val="auto"/>
          <w:szCs w:val="21"/>
          <w:highlight w:val="none"/>
          <w:u w:val="none"/>
        </w:rPr>
        <w:t>00</w:t>
      </w:r>
      <w:r>
        <w:rPr>
          <w:rFonts w:hint="eastAsia" w:ascii="Times New Roman" w:hAnsi="Times New Roman"/>
          <w:color w:val="auto"/>
          <w:szCs w:val="21"/>
          <w:highlight w:val="none"/>
          <w:u w:val="none"/>
        </w:rPr>
        <w:t>分至2024</w:t>
      </w:r>
      <w:r>
        <w:rPr>
          <w:rFonts w:ascii="Times New Roman" w:hAnsi="Times New Roman"/>
          <w:color w:val="auto"/>
          <w:szCs w:val="21"/>
          <w:highlight w:val="none"/>
          <w:u w:val="none"/>
        </w:rPr>
        <w:t>年</w:t>
      </w:r>
      <w:r>
        <w:rPr>
          <w:rFonts w:hint="eastAsia" w:ascii="Times New Roman" w:hAnsi="Times New Roman"/>
          <w:color w:val="auto"/>
          <w:szCs w:val="21"/>
          <w:highlight w:val="none"/>
          <w:u w:val="none"/>
          <w:lang w:val="en-US" w:eastAsia="zh-CN"/>
        </w:rPr>
        <w:t>7</w:t>
      </w:r>
      <w:r>
        <w:rPr>
          <w:rFonts w:ascii="Times New Roman" w:hAnsi="Times New Roman"/>
          <w:color w:val="auto"/>
          <w:highlight w:val="none"/>
          <w:u w:val="none"/>
        </w:rPr>
        <w:t>月</w:t>
      </w:r>
      <w:r>
        <w:rPr>
          <w:rFonts w:hint="eastAsia" w:ascii="Times New Roman" w:hAnsi="Times New Roman"/>
          <w:color w:val="auto"/>
          <w:highlight w:val="none"/>
          <w:u w:val="none"/>
          <w:lang w:val="en-US" w:eastAsia="zh-CN"/>
        </w:rPr>
        <w:t>12</w:t>
      </w:r>
      <w:r>
        <w:rPr>
          <w:rFonts w:ascii="Times New Roman" w:hAnsi="Times New Roman"/>
          <w:color w:val="auto"/>
          <w:szCs w:val="21"/>
          <w:highlight w:val="none"/>
          <w:u w:val="none"/>
        </w:rPr>
        <w:t>日0</w:t>
      </w:r>
      <w:r>
        <w:rPr>
          <w:rFonts w:hint="eastAsia" w:ascii="Times New Roman" w:hAnsi="Times New Roman"/>
          <w:color w:val="auto"/>
          <w:szCs w:val="21"/>
          <w:highlight w:val="none"/>
          <w:u w:val="none"/>
          <w:lang w:val="en-US" w:eastAsia="zh-CN"/>
        </w:rPr>
        <w:t>0</w:t>
      </w:r>
      <w:r>
        <w:rPr>
          <w:rFonts w:hint="eastAsia" w:ascii="Times New Roman" w:hAnsi="Times New Roman"/>
          <w:color w:val="auto"/>
          <w:szCs w:val="21"/>
          <w:highlight w:val="none"/>
          <w:u w:val="none"/>
        </w:rPr>
        <w:t>时</w:t>
      </w:r>
      <w:r>
        <w:rPr>
          <w:rFonts w:ascii="Times New Roman" w:hAnsi="Times New Roman"/>
          <w:color w:val="auto"/>
          <w:szCs w:val="21"/>
          <w:highlight w:val="none"/>
          <w:u w:val="none"/>
        </w:rPr>
        <w:t>00</w:t>
      </w:r>
      <w:r>
        <w:rPr>
          <w:rFonts w:hint="eastAsia" w:ascii="Times New Roman" w:hAnsi="Times New Roman"/>
          <w:color w:val="auto"/>
          <w:szCs w:val="21"/>
          <w:highlight w:val="none"/>
          <w:u w:val="none"/>
        </w:rPr>
        <w:t>分</w:t>
      </w:r>
      <w:r>
        <w:rPr>
          <w:rFonts w:ascii="Times New Roman" w:hAnsi="Times New Roman"/>
          <w:color w:val="auto"/>
          <w:szCs w:val="21"/>
          <w:u w:val="none"/>
        </w:rPr>
        <w:t>(</w:t>
      </w:r>
      <w:r>
        <w:rPr>
          <w:rFonts w:hint="eastAsia" w:ascii="Times New Roman" w:hAnsi="Times New Roman"/>
          <w:color w:val="auto"/>
          <w:szCs w:val="21"/>
        </w:rPr>
        <w:t>北京时间，下同</w:t>
      </w:r>
      <w:r>
        <w:rPr>
          <w:rFonts w:ascii="Times New Roman" w:hAnsi="Times New Roman"/>
          <w:color w:val="auto"/>
          <w:szCs w:val="21"/>
        </w:rPr>
        <w:t>)</w:t>
      </w:r>
      <w:r>
        <w:rPr>
          <w:rFonts w:hint="eastAsia"/>
          <w:color w:val="auto"/>
          <w:szCs w:val="21"/>
        </w:rPr>
        <w:t>，登陆</w:t>
      </w:r>
      <w:r>
        <w:rPr>
          <w:rFonts w:hint="eastAsia"/>
          <w:color w:val="auto"/>
          <w:szCs w:val="21"/>
          <w:u w:val="single"/>
        </w:rPr>
        <w:t>广州公共资源交易中心数字</w:t>
      </w:r>
      <w:r>
        <w:rPr>
          <w:rFonts w:hint="eastAsia"/>
          <w:color w:val="auto"/>
          <w:szCs w:val="21"/>
        </w:rPr>
        <w:t>交易平台网站（电子招标投标交易平台）办理网上投标登记手续，投标手续登记完成后自行下载电子招标文件</w:t>
      </w:r>
      <w:r>
        <w:rPr>
          <w:rFonts w:hint="eastAsia" w:ascii="宋体" w:hAnsi="宋体" w:cs="宋体"/>
          <w:color w:val="auto"/>
          <w:kern w:val="0"/>
          <w:szCs w:val="21"/>
        </w:rPr>
        <w:t>。</w:t>
      </w:r>
    </w:p>
    <w:p>
      <w:pPr>
        <w:topLinePunct/>
        <w:autoSpaceDE w:val="0"/>
        <w:autoSpaceDN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5.2 投标人获取招标文件前应在广州公共资源交易中心办理企业信息登记，企业信息登记的办理详见广州公共资源交易中心网站服务指南栏目。</w:t>
      </w:r>
    </w:p>
    <w:p>
      <w:pPr>
        <w:pStyle w:val="4"/>
        <w:spacing w:line="500" w:lineRule="exact"/>
        <w:ind w:firstLine="366"/>
        <w:rPr>
          <w:rFonts w:ascii="宋体" w:hAnsi="宋体" w:cs="宋体"/>
          <w:color w:val="auto"/>
          <w:sz w:val="27"/>
          <w:szCs w:val="27"/>
          <w:highlight w:val="none"/>
        </w:rPr>
      </w:pPr>
      <w:bookmarkStart w:id="19" w:name="_Toc162343183"/>
      <w:bookmarkStart w:id="20" w:name="_Toc13560711"/>
      <w:r>
        <w:rPr>
          <w:rFonts w:ascii="宋体" w:hAnsi="宋体" w:cs="宋体"/>
          <w:color w:val="auto"/>
          <w:sz w:val="27"/>
          <w:szCs w:val="27"/>
          <w:highlight w:val="none"/>
        </w:rPr>
        <w:t>6</w:t>
      </w:r>
      <w:r>
        <w:rPr>
          <w:rFonts w:hint="eastAsia" w:ascii="宋体" w:hAnsi="宋体" w:cs="宋体"/>
          <w:color w:val="auto"/>
          <w:sz w:val="27"/>
          <w:szCs w:val="27"/>
          <w:highlight w:val="none"/>
        </w:rPr>
        <w:t>. 投标文件的递交</w:t>
      </w:r>
      <w:bookmarkEnd w:id="19"/>
      <w:bookmarkEnd w:id="20"/>
    </w:p>
    <w:p>
      <w:pPr>
        <w:topLinePunct/>
        <w:autoSpaceDE w:val="0"/>
        <w:autoSpaceDN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6.1投标文件递交的截止时间</w:t>
      </w:r>
    </w:p>
    <w:p>
      <w:pPr>
        <w:topLinePunct/>
        <w:autoSpaceDE w:val="0"/>
        <w:autoSpaceDN w:val="0"/>
        <w:spacing w:line="500" w:lineRule="exact"/>
        <w:ind w:firstLine="420" w:firstLineChars="200"/>
        <w:jc w:val="left"/>
        <w:rPr>
          <w:rFonts w:ascii="宋体" w:hAnsi="宋体" w:cs="宋体"/>
          <w:color w:val="auto"/>
          <w:kern w:val="0"/>
          <w:szCs w:val="21"/>
          <w:u w:val="none"/>
        </w:rPr>
      </w:pPr>
      <w:r>
        <w:rPr>
          <w:rFonts w:hint="eastAsia" w:ascii="宋体" w:hAnsi="宋体" w:cs="宋体"/>
          <w:color w:val="auto"/>
          <w:kern w:val="0"/>
          <w:szCs w:val="21"/>
          <w:u w:val="none"/>
        </w:rPr>
        <w:t>6.1.1投标文件递交的截止时间：</w:t>
      </w:r>
      <w:r>
        <w:rPr>
          <w:rFonts w:hint="eastAsia" w:ascii="宋体" w:hAnsi="宋体" w:cs="宋体"/>
          <w:color w:val="auto"/>
          <w:kern w:val="0"/>
          <w:szCs w:val="21"/>
          <w:highlight w:val="none"/>
          <w:u w:val="none"/>
        </w:rPr>
        <w:t>2024年</w:t>
      </w:r>
      <w:r>
        <w:rPr>
          <w:rFonts w:hint="eastAsia" w:ascii="宋体" w:hAnsi="宋体" w:cs="宋体"/>
          <w:color w:val="auto"/>
          <w:kern w:val="0"/>
          <w:szCs w:val="21"/>
          <w:highlight w:val="none"/>
          <w:u w:val="none"/>
          <w:lang w:val="en-US" w:eastAsia="zh-CN"/>
        </w:rPr>
        <w:t>7</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25</w:t>
      </w:r>
      <w:r>
        <w:rPr>
          <w:rFonts w:hint="eastAsia" w:ascii="宋体" w:hAnsi="宋体" w:cs="宋体"/>
          <w:color w:val="auto"/>
          <w:kern w:val="0"/>
          <w:szCs w:val="21"/>
          <w:highlight w:val="none"/>
          <w:u w:val="none"/>
        </w:rPr>
        <w:t>日</w:t>
      </w:r>
      <w:r>
        <w:rPr>
          <w:rFonts w:hint="eastAsia" w:ascii="宋体" w:hAnsi="宋体" w:cs="宋体"/>
          <w:color w:val="auto"/>
          <w:kern w:val="0"/>
          <w:szCs w:val="21"/>
          <w:highlight w:val="none"/>
          <w:u w:val="none"/>
          <w:lang w:val="en-US" w:eastAsia="zh-CN"/>
        </w:rPr>
        <w:t>9</w:t>
      </w:r>
      <w:r>
        <w:rPr>
          <w:rFonts w:hint="eastAsia" w:ascii="宋体" w:hAnsi="宋体" w:cs="宋体"/>
          <w:color w:val="auto"/>
          <w:kern w:val="0"/>
          <w:szCs w:val="21"/>
          <w:highlight w:val="none"/>
          <w:u w:val="none"/>
        </w:rPr>
        <w:t>时</w:t>
      </w:r>
      <w:r>
        <w:rPr>
          <w:rFonts w:hint="eastAsia" w:ascii="宋体" w:hAnsi="宋体" w:cs="宋体"/>
          <w:color w:val="auto"/>
          <w:kern w:val="0"/>
          <w:szCs w:val="21"/>
          <w:highlight w:val="none"/>
          <w:u w:val="none"/>
          <w:lang w:val="en-US" w:eastAsia="zh-CN"/>
        </w:rPr>
        <w:t>00</w:t>
      </w:r>
      <w:r>
        <w:rPr>
          <w:rFonts w:hint="eastAsia" w:ascii="宋体" w:hAnsi="宋体" w:cs="宋体"/>
          <w:color w:val="auto"/>
          <w:kern w:val="0"/>
          <w:szCs w:val="21"/>
          <w:highlight w:val="none"/>
          <w:u w:val="none"/>
        </w:rPr>
        <w:t>分。</w:t>
      </w:r>
    </w:p>
    <w:p>
      <w:pPr>
        <w:topLinePunct/>
        <w:autoSpaceDE w:val="0"/>
        <w:autoSpaceDN w:val="0"/>
        <w:spacing w:line="500" w:lineRule="exact"/>
        <w:ind w:firstLine="420" w:firstLineChars="200"/>
        <w:jc w:val="left"/>
        <w:rPr>
          <w:rFonts w:ascii="宋体" w:hAnsi="宋体" w:cs="宋体"/>
          <w:color w:val="auto"/>
          <w:kern w:val="0"/>
          <w:szCs w:val="21"/>
          <w:u w:val="none"/>
        </w:rPr>
      </w:pPr>
      <w:r>
        <w:rPr>
          <w:rFonts w:hint="eastAsia" w:ascii="宋体" w:hAnsi="宋体" w:cs="宋体"/>
          <w:color w:val="auto"/>
          <w:kern w:val="0"/>
          <w:szCs w:val="21"/>
          <w:u w:val="none"/>
        </w:rPr>
        <w:t>6.1.2开标时间：</w:t>
      </w:r>
      <w:r>
        <w:rPr>
          <w:rFonts w:hint="eastAsia" w:ascii="宋体" w:hAnsi="宋体" w:cs="宋体"/>
          <w:color w:val="auto"/>
          <w:kern w:val="0"/>
          <w:szCs w:val="21"/>
          <w:highlight w:val="none"/>
          <w:u w:val="none"/>
        </w:rPr>
        <w:t>2024年</w:t>
      </w:r>
      <w:r>
        <w:rPr>
          <w:rFonts w:hint="eastAsia" w:ascii="宋体" w:hAnsi="宋体" w:cs="宋体"/>
          <w:color w:val="auto"/>
          <w:kern w:val="0"/>
          <w:szCs w:val="21"/>
          <w:highlight w:val="none"/>
          <w:u w:val="none"/>
          <w:lang w:val="en-US" w:eastAsia="zh-CN"/>
        </w:rPr>
        <w:t>7</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25</w:t>
      </w:r>
      <w:r>
        <w:rPr>
          <w:rFonts w:hint="eastAsia" w:ascii="宋体" w:hAnsi="宋体" w:cs="宋体"/>
          <w:color w:val="auto"/>
          <w:kern w:val="0"/>
          <w:szCs w:val="21"/>
          <w:highlight w:val="none"/>
          <w:u w:val="none"/>
        </w:rPr>
        <w:t>日</w:t>
      </w:r>
      <w:r>
        <w:rPr>
          <w:rFonts w:hint="eastAsia" w:ascii="宋体" w:hAnsi="宋体" w:cs="宋体"/>
          <w:color w:val="auto"/>
          <w:kern w:val="0"/>
          <w:szCs w:val="21"/>
          <w:highlight w:val="none"/>
          <w:u w:val="none"/>
          <w:lang w:val="en-US" w:eastAsia="zh-CN"/>
        </w:rPr>
        <w:t>9</w:t>
      </w:r>
      <w:r>
        <w:rPr>
          <w:rFonts w:hint="eastAsia" w:ascii="宋体" w:hAnsi="宋体" w:cs="宋体"/>
          <w:color w:val="auto"/>
          <w:kern w:val="0"/>
          <w:szCs w:val="21"/>
          <w:highlight w:val="none"/>
          <w:u w:val="none"/>
        </w:rPr>
        <w:t>时</w:t>
      </w:r>
      <w:r>
        <w:rPr>
          <w:rFonts w:hint="eastAsia" w:ascii="宋体" w:hAnsi="宋体" w:cs="宋体"/>
          <w:color w:val="auto"/>
          <w:kern w:val="0"/>
          <w:szCs w:val="21"/>
          <w:highlight w:val="none"/>
          <w:u w:val="none"/>
          <w:lang w:val="en-US" w:eastAsia="zh-CN"/>
        </w:rPr>
        <w:t>00</w:t>
      </w:r>
      <w:r>
        <w:rPr>
          <w:rFonts w:hint="eastAsia" w:ascii="宋体" w:hAnsi="宋体" w:cs="宋体"/>
          <w:color w:val="auto"/>
          <w:kern w:val="0"/>
          <w:szCs w:val="21"/>
          <w:highlight w:val="none"/>
          <w:u w:val="none"/>
        </w:rPr>
        <w:t>分</w:t>
      </w:r>
      <w:r>
        <w:rPr>
          <w:rFonts w:hint="eastAsia" w:ascii="宋体" w:hAnsi="宋体" w:cs="宋体"/>
          <w:color w:val="auto"/>
          <w:kern w:val="0"/>
          <w:szCs w:val="21"/>
          <w:u w:val="none"/>
        </w:rPr>
        <w:t>。</w:t>
      </w:r>
    </w:p>
    <w:p>
      <w:pPr>
        <w:topLinePunct/>
        <w:autoSpaceDE w:val="0"/>
        <w:autoSpaceDN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递交投标文件起止时间与开标时间是否有变化，请登录广州公共资源交易中心网站首页，点击“建设工程”专栏中的“项目查询（日程安排、答疑纪要）”，输入项目编号或项目名称即可查询，并请密切留意招标答疑中的相关信息。</w:t>
      </w:r>
    </w:p>
    <w:p>
      <w:pPr>
        <w:topLinePunct/>
        <w:autoSpaceDE w:val="0"/>
        <w:autoSpaceDN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6.2 投标人应在截止时间前通过广州公共资源交易中心交易平台网站（以下简称“交易平台”，登录网址为：https://jyxt.gzggzy.cn/ggzy/jsgc/）递交电子投标文件。投标人完成电子投标上传后，交易平台即时向投标人发出递交回执通知。递交时间以递交回执通知载明的传输时间为准。</w:t>
      </w:r>
    </w:p>
    <w:p>
      <w:pPr>
        <w:topLinePunct/>
        <w:autoSpaceDE w:val="0"/>
        <w:autoSpaceDN w:val="0"/>
        <w:spacing w:line="500" w:lineRule="exact"/>
        <w:ind w:left="141" w:leftChars="67" w:firstLine="283" w:firstLineChars="135"/>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3</w:t>
      </w:r>
      <w:r>
        <w:rPr>
          <w:rFonts w:hint="eastAsia" w:ascii="宋体" w:hAnsi="宋体" w:cs="宋体"/>
          <w:color w:val="auto"/>
          <w:kern w:val="0"/>
          <w:szCs w:val="21"/>
          <w:highlight w:val="none"/>
        </w:rPr>
        <w:t>提交投标文件备用</w:t>
      </w:r>
      <w:r>
        <w:rPr>
          <w:rFonts w:ascii="宋体" w:hAnsi="宋体" w:cs="宋体"/>
          <w:color w:val="auto"/>
          <w:kern w:val="0"/>
          <w:szCs w:val="21"/>
          <w:highlight w:val="none"/>
        </w:rPr>
        <w:t>U盘（1个）。递交投标文件备用U盘(1个)的时间为</w:t>
      </w:r>
      <w:r>
        <w:rPr>
          <w:rFonts w:hint="eastAsia" w:ascii="宋体" w:hAnsi="宋体" w:cs="宋体"/>
          <w:color w:val="auto"/>
          <w:kern w:val="0"/>
          <w:szCs w:val="21"/>
          <w:highlight w:val="none"/>
          <w:u w:val="none"/>
        </w:rPr>
        <w:t>2024年</w:t>
      </w:r>
      <w:r>
        <w:rPr>
          <w:rFonts w:hint="eastAsia" w:ascii="宋体" w:hAnsi="宋体" w:cs="宋体"/>
          <w:color w:val="auto"/>
          <w:kern w:val="0"/>
          <w:szCs w:val="21"/>
          <w:highlight w:val="none"/>
          <w:u w:val="none"/>
          <w:lang w:val="en-US" w:eastAsia="zh-CN"/>
        </w:rPr>
        <w:t>7</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25</w:t>
      </w:r>
      <w:r>
        <w:rPr>
          <w:rFonts w:hint="eastAsia" w:ascii="宋体" w:hAnsi="宋体" w:cs="宋体"/>
          <w:color w:val="auto"/>
          <w:kern w:val="0"/>
          <w:szCs w:val="21"/>
          <w:highlight w:val="none"/>
          <w:u w:val="none"/>
        </w:rPr>
        <w:t>日</w:t>
      </w:r>
      <w:r>
        <w:rPr>
          <w:rFonts w:hint="eastAsia" w:ascii="宋体" w:hAnsi="宋体" w:cs="宋体"/>
          <w:color w:val="auto"/>
          <w:kern w:val="0"/>
          <w:szCs w:val="21"/>
          <w:highlight w:val="none"/>
          <w:u w:val="none"/>
          <w:lang w:val="en-US" w:eastAsia="zh-CN"/>
        </w:rPr>
        <w:t>8</w:t>
      </w:r>
      <w:r>
        <w:rPr>
          <w:rFonts w:hint="eastAsia" w:ascii="宋体" w:hAnsi="宋体" w:cs="宋体"/>
          <w:color w:val="auto"/>
          <w:kern w:val="0"/>
          <w:szCs w:val="21"/>
          <w:highlight w:val="none"/>
          <w:u w:val="none"/>
        </w:rPr>
        <w:t>时</w:t>
      </w:r>
      <w:r>
        <w:rPr>
          <w:rFonts w:hint="eastAsia" w:ascii="宋体" w:hAnsi="宋体" w:cs="宋体"/>
          <w:color w:val="auto"/>
          <w:kern w:val="0"/>
          <w:szCs w:val="21"/>
          <w:highlight w:val="none"/>
          <w:u w:val="none"/>
          <w:lang w:val="en-US" w:eastAsia="zh-CN"/>
        </w:rPr>
        <w:t>45</w:t>
      </w:r>
      <w:r>
        <w:rPr>
          <w:rFonts w:hint="eastAsia" w:ascii="宋体" w:hAnsi="宋体" w:cs="宋体"/>
          <w:color w:val="auto"/>
          <w:kern w:val="0"/>
          <w:szCs w:val="21"/>
          <w:highlight w:val="none"/>
          <w:u w:val="none"/>
        </w:rPr>
        <w:t>分</w:t>
      </w:r>
      <w:r>
        <w:rPr>
          <w:rFonts w:ascii="宋体" w:hAnsi="宋体" w:cs="宋体"/>
          <w:color w:val="auto"/>
          <w:kern w:val="0"/>
          <w:szCs w:val="21"/>
          <w:u w:val="none"/>
        </w:rPr>
        <w:t>至</w:t>
      </w:r>
      <w:r>
        <w:rPr>
          <w:rFonts w:hint="eastAsia" w:ascii="宋体" w:hAnsi="宋体" w:cs="宋体"/>
          <w:color w:val="auto"/>
          <w:kern w:val="0"/>
          <w:szCs w:val="21"/>
          <w:highlight w:val="none"/>
          <w:u w:val="none"/>
        </w:rPr>
        <w:t>2024年</w:t>
      </w:r>
      <w:r>
        <w:rPr>
          <w:rFonts w:hint="eastAsia" w:ascii="宋体" w:hAnsi="宋体" w:cs="宋体"/>
          <w:color w:val="auto"/>
          <w:kern w:val="0"/>
          <w:szCs w:val="21"/>
          <w:highlight w:val="none"/>
          <w:u w:val="none"/>
          <w:lang w:val="en-US" w:eastAsia="zh-CN"/>
        </w:rPr>
        <w:t>7</w:t>
      </w:r>
      <w:r>
        <w:rPr>
          <w:rFonts w:hint="eastAsia" w:ascii="宋体" w:hAnsi="宋体" w:cs="宋体"/>
          <w:color w:val="auto"/>
          <w:kern w:val="0"/>
          <w:szCs w:val="21"/>
          <w:highlight w:val="none"/>
          <w:u w:val="none"/>
        </w:rPr>
        <w:t>月</w:t>
      </w:r>
      <w:r>
        <w:rPr>
          <w:rFonts w:hint="eastAsia" w:ascii="宋体" w:hAnsi="宋体" w:cs="宋体"/>
          <w:color w:val="auto"/>
          <w:kern w:val="0"/>
          <w:szCs w:val="21"/>
          <w:highlight w:val="none"/>
          <w:u w:val="none"/>
          <w:lang w:val="en-US" w:eastAsia="zh-CN"/>
        </w:rPr>
        <w:t>25</w:t>
      </w:r>
      <w:r>
        <w:rPr>
          <w:rFonts w:hint="eastAsia" w:ascii="宋体" w:hAnsi="宋体" w:cs="宋体"/>
          <w:color w:val="auto"/>
          <w:kern w:val="0"/>
          <w:szCs w:val="21"/>
          <w:highlight w:val="none"/>
          <w:u w:val="none"/>
        </w:rPr>
        <w:t>日</w:t>
      </w:r>
      <w:r>
        <w:rPr>
          <w:rFonts w:hint="eastAsia" w:ascii="宋体" w:hAnsi="宋体" w:cs="宋体"/>
          <w:color w:val="auto"/>
          <w:kern w:val="0"/>
          <w:szCs w:val="21"/>
          <w:highlight w:val="none"/>
          <w:u w:val="none"/>
          <w:lang w:val="en-US" w:eastAsia="zh-CN"/>
        </w:rPr>
        <w:t>9</w:t>
      </w:r>
      <w:r>
        <w:rPr>
          <w:rFonts w:hint="eastAsia" w:ascii="宋体" w:hAnsi="宋体" w:cs="宋体"/>
          <w:color w:val="auto"/>
          <w:kern w:val="0"/>
          <w:szCs w:val="21"/>
          <w:highlight w:val="none"/>
          <w:u w:val="none"/>
        </w:rPr>
        <w:t>时</w:t>
      </w:r>
      <w:r>
        <w:rPr>
          <w:rFonts w:hint="eastAsia" w:ascii="宋体" w:hAnsi="宋体" w:cs="宋体"/>
          <w:color w:val="auto"/>
          <w:kern w:val="0"/>
          <w:szCs w:val="21"/>
          <w:highlight w:val="none"/>
          <w:u w:val="none"/>
          <w:lang w:val="en-US" w:eastAsia="zh-CN"/>
        </w:rPr>
        <w:t>00</w:t>
      </w:r>
      <w:r>
        <w:rPr>
          <w:rFonts w:hint="eastAsia" w:ascii="宋体" w:hAnsi="宋体" w:cs="宋体"/>
          <w:color w:val="auto"/>
          <w:kern w:val="0"/>
          <w:szCs w:val="21"/>
          <w:highlight w:val="none"/>
          <w:u w:val="none"/>
        </w:rPr>
        <w:t>分</w:t>
      </w:r>
      <w:r>
        <w:rPr>
          <w:rFonts w:ascii="宋体" w:hAnsi="宋体" w:cs="宋体"/>
          <w:color w:val="auto"/>
          <w:kern w:val="0"/>
          <w:szCs w:val="21"/>
          <w:highlight w:val="none"/>
        </w:rPr>
        <w:t>， 递交地点为广州公共资源交易中心</w:t>
      </w:r>
      <w:r>
        <w:rPr>
          <w:rFonts w:hint="eastAsia" w:ascii="宋体" w:hAnsi="宋体" w:cs="宋体"/>
          <w:color w:val="auto"/>
          <w:kern w:val="0"/>
          <w:szCs w:val="21"/>
          <w:highlight w:val="none"/>
        </w:rPr>
        <w:t>指定</w:t>
      </w:r>
      <w:r>
        <w:rPr>
          <w:rFonts w:ascii="宋体" w:hAnsi="宋体" w:cs="宋体"/>
          <w:color w:val="auto"/>
          <w:kern w:val="0"/>
          <w:szCs w:val="21"/>
          <w:highlight w:val="none"/>
        </w:rPr>
        <w:t>开标室（地址：</w:t>
      </w:r>
      <w:r>
        <w:rPr>
          <w:rFonts w:hint="eastAsia" w:ascii="宋体" w:hAnsi="宋体" w:cs="宋体"/>
          <w:color w:val="auto"/>
          <w:kern w:val="0"/>
          <w:szCs w:val="21"/>
          <w:highlight w:val="none"/>
        </w:rPr>
        <w:t>广州市天润路333号</w:t>
      </w:r>
      <w:r>
        <w:rPr>
          <w:rFonts w:ascii="宋体" w:hAnsi="宋体" w:cs="宋体"/>
          <w:color w:val="auto"/>
          <w:kern w:val="0"/>
          <w:szCs w:val="21"/>
          <w:highlight w:val="none"/>
        </w:rPr>
        <w:t>）。</w:t>
      </w:r>
    </w:p>
    <w:p>
      <w:pPr>
        <w:topLinePunct/>
        <w:autoSpaceDE w:val="0"/>
        <w:autoSpaceDN w:val="0"/>
        <w:spacing w:line="5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备用U盘单独密封在一个包封内，在封套的封口处加盖投标人单位公章。并在包封上写明“投标文件备用U盘”字样（U盘内拷贝投标软件生成的加密及非加密文件）。（“备用U盘”是否递交由投标人自主选择，如不到场视为默认接受开标结果）</w:t>
      </w:r>
    </w:p>
    <w:p>
      <w:pPr>
        <w:pStyle w:val="4"/>
        <w:spacing w:line="500" w:lineRule="exact"/>
        <w:ind w:firstLine="366"/>
        <w:rPr>
          <w:rFonts w:ascii="宋体" w:hAnsi="宋体" w:cs="宋体"/>
          <w:color w:val="auto"/>
          <w:sz w:val="27"/>
          <w:szCs w:val="27"/>
          <w:highlight w:val="none"/>
        </w:rPr>
      </w:pPr>
      <w:bookmarkStart w:id="21" w:name="_Toc13560712"/>
      <w:bookmarkStart w:id="22" w:name="_Toc162343184"/>
      <w:r>
        <w:rPr>
          <w:rFonts w:ascii="宋体" w:hAnsi="宋体" w:cs="宋体"/>
          <w:color w:val="auto"/>
          <w:sz w:val="27"/>
          <w:szCs w:val="27"/>
          <w:highlight w:val="none"/>
        </w:rPr>
        <w:t>7</w:t>
      </w:r>
      <w:r>
        <w:rPr>
          <w:rFonts w:hint="eastAsia" w:ascii="宋体" w:hAnsi="宋体" w:cs="宋体"/>
          <w:color w:val="auto"/>
          <w:sz w:val="27"/>
          <w:szCs w:val="27"/>
          <w:highlight w:val="none"/>
        </w:rPr>
        <w:t>. 发布公告的媒介</w:t>
      </w:r>
      <w:bookmarkEnd w:id="21"/>
      <w:bookmarkEnd w:id="22"/>
    </w:p>
    <w:p>
      <w:pPr>
        <w:spacing w:line="500" w:lineRule="exact"/>
        <w:ind w:firstLine="420" w:firstLineChars="200"/>
        <w:rPr>
          <w:rFonts w:ascii="宋体" w:hAnsi="宋体" w:cs="宋体"/>
          <w:color w:val="auto"/>
          <w:szCs w:val="21"/>
          <w:highlight w:val="none"/>
        </w:rPr>
      </w:pPr>
      <w:bookmarkStart w:id="23" w:name="_Toc221949940"/>
      <w:r>
        <w:rPr>
          <w:rFonts w:hint="eastAsia" w:ascii="宋体" w:hAnsi="宋体" w:cs="宋体"/>
          <w:color w:val="auto"/>
          <w:szCs w:val="21"/>
          <w:highlight w:val="none"/>
        </w:rPr>
        <w:t>本次招标公告同时在中国招标投标公共服务平台、广东省招标投标监管网、广州公共资源交易中心网站、粤采易平台上发布。本项目招标公告的修改、补充，在广州公共资源交易中心网站平台发布。</w:t>
      </w:r>
      <w:bookmarkEnd w:id="23"/>
    </w:p>
    <w:p>
      <w:pPr>
        <w:pStyle w:val="4"/>
        <w:spacing w:line="500" w:lineRule="exact"/>
        <w:ind w:firstLine="366"/>
        <w:rPr>
          <w:rFonts w:ascii="宋体" w:hAnsi="宋体" w:cs="宋体"/>
          <w:color w:val="auto"/>
          <w:sz w:val="27"/>
          <w:szCs w:val="27"/>
          <w:highlight w:val="none"/>
        </w:rPr>
      </w:pPr>
      <w:bookmarkStart w:id="24" w:name="_Toc13560713"/>
      <w:bookmarkStart w:id="25" w:name="_Toc162343185"/>
      <w:r>
        <w:rPr>
          <w:rFonts w:ascii="宋体" w:hAnsi="宋体" w:cs="宋体"/>
          <w:color w:val="auto"/>
          <w:sz w:val="27"/>
          <w:szCs w:val="27"/>
          <w:highlight w:val="none"/>
        </w:rPr>
        <w:t>8</w:t>
      </w:r>
      <w:r>
        <w:rPr>
          <w:rFonts w:hint="eastAsia" w:ascii="宋体" w:hAnsi="宋体" w:cs="宋体"/>
          <w:color w:val="auto"/>
          <w:sz w:val="27"/>
          <w:szCs w:val="27"/>
          <w:highlight w:val="none"/>
        </w:rPr>
        <w:t>. 联系方式</w:t>
      </w:r>
      <w:bookmarkEnd w:id="24"/>
      <w:bookmarkEnd w:id="25"/>
    </w:p>
    <w:p>
      <w:pPr>
        <w:tabs>
          <w:tab w:val="left" w:pos="1470"/>
        </w:tabs>
        <w:snapToGrid w:val="0"/>
        <w:spacing w:line="500" w:lineRule="exact"/>
        <w:ind w:firstLine="420" w:firstLineChars="200"/>
        <w:rPr>
          <w:bCs/>
          <w:color w:val="auto"/>
          <w:szCs w:val="21"/>
          <w:highlight w:val="none"/>
        </w:rPr>
      </w:pPr>
      <w:r>
        <w:rPr>
          <w:color w:val="auto"/>
          <w:szCs w:val="21"/>
          <w:highlight w:val="none"/>
        </w:rPr>
        <w:t>招标人：</w:t>
      </w:r>
      <w:r>
        <w:rPr>
          <w:bCs/>
          <w:color w:val="auto"/>
          <w:szCs w:val="21"/>
          <w:highlight w:val="none"/>
        </w:rPr>
        <w:t>广东粤海珠三角供水有限公司</w:t>
      </w:r>
    </w:p>
    <w:p>
      <w:pPr>
        <w:tabs>
          <w:tab w:val="left" w:pos="1470"/>
        </w:tabs>
        <w:snapToGrid w:val="0"/>
        <w:spacing w:line="500" w:lineRule="exact"/>
        <w:ind w:firstLine="420" w:firstLineChars="200"/>
        <w:rPr>
          <w:bCs/>
          <w:color w:val="auto"/>
          <w:szCs w:val="21"/>
          <w:highlight w:val="none"/>
        </w:rPr>
      </w:pPr>
      <w:r>
        <w:rPr>
          <w:color w:val="auto"/>
          <w:szCs w:val="21"/>
          <w:highlight w:val="none"/>
        </w:rPr>
        <w:t>地址：</w:t>
      </w:r>
      <w:r>
        <w:rPr>
          <w:rFonts w:hint="eastAsia"/>
          <w:color w:val="auto"/>
          <w:szCs w:val="21"/>
          <w:highlight w:val="none"/>
        </w:rPr>
        <w:t>广州市南沙区横沥镇海语路51号南沙粤海广场T1栋</w:t>
      </w:r>
    </w:p>
    <w:p>
      <w:pPr>
        <w:tabs>
          <w:tab w:val="left" w:pos="1470"/>
        </w:tabs>
        <w:snapToGrid w:val="0"/>
        <w:spacing w:line="500" w:lineRule="exact"/>
        <w:ind w:firstLine="420" w:firstLineChars="200"/>
        <w:rPr>
          <w:color w:val="auto"/>
          <w:szCs w:val="21"/>
          <w:highlight w:val="none"/>
        </w:rPr>
      </w:pPr>
      <w:r>
        <w:rPr>
          <w:rFonts w:hint="eastAsia"/>
          <w:color w:val="auto"/>
          <w:szCs w:val="21"/>
          <w:highlight w:val="none"/>
        </w:rPr>
        <w:t>联系人：</w:t>
      </w:r>
      <w:r>
        <w:rPr>
          <w:rFonts w:hint="eastAsia"/>
          <w:color w:val="auto"/>
          <w:szCs w:val="21"/>
          <w:highlight w:val="none"/>
          <w:lang w:val="en-US" w:eastAsia="zh-CN"/>
        </w:rPr>
        <w:t>温</w:t>
      </w:r>
      <w:r>
        <w:rPr>
          <w:rFonts w:hint="eastAsia"/>
          <w:color w:val="auto"/>
          <w:szCs w:val="21"/>
          <w:highlight w:val="none"/>
        </w:rPr>
        <w:t>工</w:t>
      </w:r>
    </w:p>
    <w:p>
      <w:pPr>
        <w:tabs>
          <w:tab w:val="left" w:pos="1470"/>
        </w:tabs>
        <w:snapToGrid w:val="0"/>
        <w:spacing w:line="500" w:lineRule="exact"/>
        <w:ind w:firstLine="420" w:firstLineChars="200"/>
        <w:rPr>
          <w:color w:val="auto"/>
          <w:szCs w:val="21"/>
          <w:highlight w:val="none"/>
        </w:rPr>
      </w:pPr>
      <w:r>
        <w:rPr>
          <w:rFonts w:hint="eastAsia"/>
          <w:color w:val="auto"/>
          <w:szCs w:val="21"/>
          <w:highlight w:val="none"/>
        </w:rPr>
        <w:t>电话：</w:t>
      </w:r>
      <w:r>
        <w:rPr>
          <w:color w:val="auto"/>
          <w:szCs w:val="21"/>
          <w:highlight w:val="none"/>
        </w:rPr>
        <w:t xml:space="preserve">0755-22178730 </w:t>
      </w:r>
    </w:p>
    <w:p>
      <w:pPr>
        <w:tabs>
          <w:tab w:val="left" w:pos="1470"/>
        </w:tabs>
        <w:snapToGrid w:val="0"/>
        <w:spacing w:line="500" w:lineRule="exact"/>
        <w:ind w:firstLine="420" w:firstLineChars="200"/>
        <w:rPr>
          <w:color w:val="auto"/>
          <w:szCs w:val="21"/>
          <w:highlight w:val="none"/>
        </w:rPr>
      </w:pPr>
    </w:p>
    <w:p>
      <w:pPr>
        <w:spacing w:line="500" w:lineRule="exact"/>
        <w:ind w:right="240" w:firstLine="420" w:firstLineChars="200"/>
        <w:rPr>
          <w:color w:val="auto"/>
          <w:szCs w:val="21"/>
          <w:highlight w:val="none"/>
        </w:rPr>
      </w:pPr>
      <w:r>
        <w:rPr>
          <w:rFonts w:hint="eastAsia"/>
          <w:color w:val="auto"/>
          <w:szCs w:val="21"/>
          <w:highlight w:val="none"/>
        </w:rPr>
        <w:t>招标人上级单位：广东粤海控股集团有限公司</w:t>
      </w:r>
    </w:p>
    <w:p>
      <w:pPr>
        <w:tabs>
          <w:tab w:val="left" w:pos="1470"/>
        </w:tabs>
        <w:snapToGrid w:val="0"/>
        <w:spacing w:line="500" w:lineRule="exact"/>
        <w:ind w:firstLine="420" w:firstLineChars="200"/>
        <w:rPr>
          <w:color w:val="auto"/>
          <w:szCs w:val="21"/>
          <w:highlight w:val="none"/>
        </w:rPr>
      </w:pPr>
      <w:r>
        <w:rPr>
          <w:rFonts w:hint="eastAsia"/>
          <w:color w:val="auto"/>
          <w:szCs w:val="21"/>
          <w:highlight w:val="none"/>
        </w:rPr>
        <w:t>投诉电话：</w:t>
      </w:r>
      <w:r>
        <w:rPr>
          <w:color w:val="auto"/>
          <w:szCs w:val="21"/>
          <w:highlight w:val="none"/>
        </w:rPr>
        <w:t>020-83742515</w:t>
      </w:r>
    </w:p>
    <w:p>
      <w:pPr>
        <w:tabs>
          <w:tab w:val="left" w:pos="1470"/>
        </w:tabs>
        <w:snapToGrid w:val="0"/>
        <w:spacing w:line="500" w:lineRule="exact"/>
        <w:ind w:firstLine="420" w:firstLineChars="200"/>
        <w:rPr>
          <w:color w:val="auto"/>
          <w:szCs w:val="21"/>
          <w:highlight w:val="none"/>
        </w:rPr>
      </w:pPr>
      <w:r>
        <w:rPr>
          <w:color w:val="auto"/>
          <w:szCs w:val="21"/>
          <w:highlight w:val="none"/>
        </w:rPr>
        <w:t xml:space="preserve">    </w:t>
      </w:r>
    </w:p>
    <w:p>
      <w:pPr>
        <w:tabs>
          <w:tab w:val="left" w:pos="1470"/>
        </w:tabs>
        <w:snapToGrid w:val="0"/>
        <w:spacing w:line="500" w:lineRule="exact"/>
        <w:ind w:firstLine="420" w:firstLineChars="200"/>
        <w:rPr>
          <w:rFonts w:hint="default" w:eastAsia="宋体"/>
          <w:color w:val="auto"/>
          <w:szCs w:val="21"/>
          <w:highlight w:val="none"/>
          <w:lang w:val="en-US" w:eastAsia="zh-CN"/>
        </w:rPr>
      </w:pPr>
      <w:r>
        <w:rPr>
          <w:rFonts w:hint="eastAsia"/>
          <w:color w:val="auto"/>
          <w:szCs w:val="21"/>
          <w:highlight w:val="none"/>
        </w:rPr>
        <w:t>招标代理：</w:t>
      </w:r>
      <w:r>
        <w:rPr>
          <w:rFonts w:hint="eastAsia"/>
          <w:color w:val="auto"/>
          <w:szCs w:val="21"/>
          <w:highlight w:val="none"/>
          <w:lang w:val="en-US" w:eastAsia="zh-CN"/>
        </w:rPr>
        <w:t>广州宏达工程顾问集团有限公司</w:t>
      </w:r>
    </w:p>
    <w:p>
      <w:pPr>
        <w:tabs>
          <w:tab w:val="left" w:pos="1470"/>
        </w:tabs>
        <w:snapToGrid w:val="0"/>
        <w:spacing w:line="500" w:lineRule="exact"/>
        <w:ind w:firstLine="420" w:firstLineChars="200"/>
        <w:rPr>
          <w:rFonts w:hint="default" w:eastAsia="宋体"/>
          <w:color w:val="auto"/>
          <w:szCs w:val="21"/>
          <w:highlight w:val="none"/>
          <w:lang w:val="en-US" w:eastAsia="zh-CN"/>
        </w:rPr>
      </w:pPr>
      <w:r>
        <w:rPr>
          <w:rFonts w:hint="eastAsia"/>
          <w:color w:val="auto"/>
          <w:szCs w:val="21"/>
          <w:highlight w:val="none"/>
        </w:rPr>
        <w:t>地址：</w:t>
      </w:r>
      <w:r>
        <w:rPr>
          <w:rFonts w:hint="eastAsia"/>
          <w:color w:val="auto"/>
          <w:szCs w:val="21"/>
          <w:highlight w:val="none"/>
          <w:lang w:val="en-US" w:eastAsia="zh-CN"/>
        </w:rPr>
        <w:t>广州科学城科学大道99号科汇金谷二街七号</w:t>
      </w:r>
    </w:p>
    <w:p>
      <w:pPr>
        <w:tabs>
          <w:tab w:val="left" w:pos="1470"/>
        </w:tabs>
        <w:snapToGrid w:val="0"/>
        <w:spacing w:line="500" w:lineRule="exact"/>
        <w:ind w:firstLine="420" w:firstLineChars="200"/>
        <w:rPr>
          <w:rFonts w:hint="default" w:eastAsia="宋体"/>
          <w:color w:val="auto"/>
          <w:szCs w:val="21"/>
          <w:highlight w:val="none"/>
          <w:lang w:val="en-US" w:eastAsia="zh-CN"/>
        </w:rPr>
      </w:pPr>
      <w:r>
        <w:rPr>
          <w:color w:val="auto"/>
          <w:szCs w:val="21"/>
          <w:highlight w:val="none"/>
        </w:rPr>
        <w:t>联系人：</w:t>
      </w:r>
      <w:r>
        <w:rPr>
          <w:rFonts w:hint="eastAsia"/>
          <w:color w:val="auto"/>
          <w:szCs w:val="21"/>
          <w:highlight w:val="none"/>
          <w:lang w:val="en-US" w:eastAsia="zh-CN"/>
        </w:rPr>
        <w:t>阮工、黎工</w:t>
      </w:r>
    </w:p>
    <w:p>
      <w:pPr>
        <w:tabs>
          <w:tab w:val="left" w:pos="1470"/>
        </w:tabs>
        <w:snapToGrid w:val="0"/>
        <w:spacing w:line="500" w:lineRule="exact"/>
        <w:ind w:firstLine="420" w:firstLineChars="200"/>
        <w:rPr>
          <w:rFonts w:hint="default" w:eastAsia="宋体"/>
          <w:color w:val="auto"/>
          <w:szCs w:val="21"/>
          <w:highlight w:val="none"/>
          <w:lang w:val="en-US" w:eastAsia="zh-CN"/>
        </w:rPr>
      </w:pPr>
      <w:r>
        <w:rPr>
          <w:color w:val="auto"/>
          <w:szCs w:val="21"/>
          <w:highlight w:val="none"/>
        </w:rPr>
        <w:t>电话：</w:t>
      </w:r>
      <w:r>
        <w:rPr>
          <w:rFonts w:hint="eastAsia"/>
          <w:color w:val="auto"/>
          <w:szCs w:val="21"/>
          <w:highlight w:val="none"/>
          <w:lang w:val="en-US" w:eastAsia="zh-CN"/>
        </w:rPr>
        <w:t>020-862291-8732</w:t>
      </w:r>
    </w:p>
    <w:p>
      <w:pPr>
        <w:tabs>
          <w:tab w:val="left" w:pos="1470"/>
        </w:tabs>
        <w:snapToGrid w:val="0"/>
        <w:spacing w:line="500" w:lineRule="exact"/>
        <w:ind w:firstLine="420" w:firstLineChars="200"/>
        <w:rPr>
          <w:rFonts w:hint="default" w:eastAsia="宋体"/>
          <w:color w:val="auto"/>
          <w:szCs w:val="21"/>
          <w:highlight w:val="none"/>
          <w:lang w:val="en-US" w:eastAsia="zh-CN"/>
        </w:rPr>
      </w:pPr>
      <w:r>
        <w:rPr>
          <w:color w:val="auto"/>
          <w:szCs w:val="21"/>
          <w:highlight w:val="none"/>
        </w:rPr>
        <w:t>邮箱：</w:t>
      </w:r>
      <w:r>
        <w:rPr>
          <w:rFonts w:hint="eastAsia"/>
          <w:color w:val="auto"/>
          <w:szCs w:val="21"/>
          <w:highlight w:val="none"/>
          <w:lang w:val="en-US" w:eastAsia="zh-CN"/>
        </w:rPr>
        <w:t>zb87562291@163.com</w:t>
      </w:r>
    </w:p>
    <w:p>
      <w:pPr>
        <w:snapToGrid w:val="0"/>
        <w:spacing w:line="500" w:lineRule="exact"/>
        <w:ind w:right="480" w:firstLine="420" w:firstLineChars="200"/>
        <w:jc w:val="right"/>
        <w:rPr>
          <w:rFonts w:ascii="宋体" w:hAnsi="宋体"/>
          <w:color w:val="auto"/>
          <w:highlight w:val="none"/>
        </w:rPr>
      </w:pPr>
      <w:bookmarkStart w:id="26" w:name="_GoBack"/>
      <w:bookmarkEnd w:id="26"/>
    </w:p>
    <w:p>
      <w:pPr>
        <w:snapToGrid w:val="0"/>
        <w:spacing w:line="500" w:lineRule="exact"/>
        <w:ind w:right="-2"/>
        <w:jc w:val="right"/>
        <w:rPr>
          <w:bCs/>
          <w:color w:val="auto"/>
          <w:szCs w:val="21"/>
          <w:highlight w:val="none"/>
        </w:rPr>
      </w:pPr>
      <w:r>
        <w:rPr>
          <w:rFonts w:hint="eastAsia"/>
          <w:color w:val="auto"/>
          <w:szCs w:val="21"/>
          <w:highlight w:val="none"/>
        </w:rPr>
        <w:t>招标人：</w:t>
      </w:r>
      <w:r>
        <w:rPr>
          <w:rFonts w:hint="eastAsia"/>
          <w:bCs/>
          <w:color w:val="auto"/>
          <w:szCs w:val="21"/>
          <w:highlight w:val="none"/>
        </w:rPr>
        <w:t>广东粤海珠三角供水有限公司</w:t>
      </w:r>
    </w:p>
    <w:p>
      <w:pPr>
        <w:tabs>
          <w:tab w:val="left" w:pos="1470"/>
        </w:tabs>
        <w:snapToGrid w:val="0"/>
        <w:spacing w:line="500" w:lineRule="exact"/>
        <w:ind w:right="-2" w:firstLine="420" w:firstLineChars="200"/>
        <w:jc w:val="righ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招标代理：</w:t>
      </w:r>
      <w:r>
        <w:rPr>
          <w:rFonts w:hint="eastAsia" w:eastAsia="宋体" w:cs="Times New Roman"/>
          <w:color w:val="auto"/>
          <w:szCs w:val="21"/>
          <w:highlight w:val="none"/>
          <w:lang w:val="en-US" w:eastAsia="zh-CN"/>
        </w:rPr>
        <w:t>广州宏达工程顾问集团有限公司</w:t>
      </w:r>
    </w:p>
    <w:p>
      <w:pPr>
        <w:snapToGrid w:val="0"/>
        <w:spacing w:line="500" w:lineRule="exact"/>
        <w:ind w:right="780" w:firstLine="420" w:firstLineChars="200"/>
        <w:jc w:val="right"/>
        <w:rPr>
          <w:color w:val="auto"/>
          <w:highlight w:val="none"/>
        </w:rPr>
      </w:pPr>
      <w:r>
        <w:rPr>
          <w:rFonts w:hint="eastAsia" w:ascii="宋体" w:hAnsi="宋体"/>
          <w:bCs/>
          <w:color w:val="auto"/>
          <w:kern w:val="0"/>
          <w:szCs w:val="21"/>
          <w:highlight w:val="none"/>
        </w:rPr>
        <w:t>20</w:t>
      </w:r>
      <w:r>
        <w:rPr>
          <w:rFonts w:ascii="宋体" w:hAnsi="宋体"/>
          <w:bCs/>
          <w:color w:val="auto"/>
          <w:kern w:val="0"/>
          <w:szCs w:val="21"/>
          <w:highlight w:val="none"/>
        </w:rPr>
        <w:t>2</w:t>
      </w:r>
      <w:r>
        <w:rPr>
          <w:rFonts w:hint="eastAsia" w:ascii="宋体" w:hAnsi="宋体"/>
          <w:bCs/>
          <w:color w:val="auto"/>
          <w:kern w:val="0"/>
          <w:szCs w:val="21"/>
          <w:highlight w:val="none"/>
        </w:rPr>
        <w:t>4年</w:t>
      </w:r>
      <w:r>
        <w:rPr>
          <w:rFonts w:hint="eastAsia" w:ascii="宋体" w:hAnsi="宋体"/>
          <w:bCs/>
          <w:color w:val="auto"/>
          <w:kern w:val="0"/>
          <w:szCs w:val="21"/>
          <w:highlight w:val="none"/>
          <w:lang w:val="en-US" w:eastAsia="zh-CN"/>
        </w:rPr>
        <w:t>7</w:t>
      </w:r>
      <w:r>
        <w:rPr>
          <w:rFonts w:hint="eastAsia" w:ascii="宋体" w:hAnsi="宋体"/>
          <w:bCs/>
          <w:color w:val="auto"/>
          <w:kern w:val="0"/>
          <w:szCs w:val="21"/>
          <w:highlight w:val="none"/>
        </w:rPr>
        <w:t>月</w:t>
      </w:r>
      <w:r>
        <w:rPr>
          <w:rFonts w:hint="eastAsia" w:ascii="宋体" w:hAnsi="宋体"/>
          <w:bCs/>
          <w:color w:val="auto"/>
          <w:kern w:val="0"/>
          <w:szCs w:val="21"/>
          <w:highlight w:val="none"/>
          <w:lang w:val="en-US" w:eastAsia="zh-CN"/>
        </w:rPr>
        <w:t>5</w:t>
      </w:r>
      <w:r>
        <w:rPr>
          <w:rFonts w:hint="eastAsia" w:ascii="宋体" w:hAnsi="宋体"/>
          <w:bCs/>
          <w:color w:val="auto"/>
          <w:kern w:val="0"/>
          <w:szCs w:val="21"/>
          <w:highlight w:val="none"/>
        </w:rPr>
        <w:t>日</w:t>
      </w:r>
      <w:bookmarkEnd w:id="0"/>
    </w:p>
    <w:sectPr>
      <w:headerReference r:id="rId3" w:type="default"/>
      <w:footerReference r:id="rId4" w:type="default"/>
      <w:pgSz w:w="11906" w:h="16838"/>
      <w:pgMar w:top="1418" w:right="1418" w:bottom="1418" w:left="1418" w:header="851"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10"/>
      <w:jc w:val="center"/>
      <w:rPr>
        <w:rFonts w:hint="eastAsia"/>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WJkNTg5NWFmNjE1M2Y3N2JkYTU0OTRlZmYyMTQifQ=="/>
    <w:docVar w:name="KSO_WPS_MARK_KEY" w:val="4a23fe2d-d38b-45b8-b6e9-fb259cef6bff"/>
  </w:docVars>
  <w:rsids>
    <w:rsidRoot w:val="27DF50A2"/>
    <w:rsid w:val="000260CC"/>
    <w:rsid w:val="000D241F"/>
    <w:rsid w:val="000D6D99"/>
    <w:rsid w:val="001B3B09"/>
    <w:rsid w:val="001B4CBC"/>
    <w:rsid w:val="001E56A6"/>
    <w:rsid w:val="002015C8"/>
    <w:rsid w:val="00211FF3"/>
    <w:rsid w:val="002209A6"/>
    <w:rsid w:val="00357F37"/>
    <w:rsid w:val="00403C66"/>
    <w:rsid w:val="004B6D9A"/>
    <w:rsid w:val="00502B62"/>
    <w:rsid w:val="00567AC5"/>
    <w:rsid w:val="00596866"/>
    <w:rsid w:val="006075F0"/>
    <w:rsid w:val="00650D2B"/>
    <w:rsid w:val="00687313"/>
    <w:rsid w:val="007567FF"/>
    <w:rsid w:val="007B463F"/>
    <w:rsid w:val="009A0E9C"/>
    <w:rsid w:val="00A31DF3"/>
    <w:rsid w:val="00A60476"/>
    <w:rsid w:val="00B658B7"/>
    <w:rsid w:val="00B95DCA"/>
    <w:rsid w:val="00BA4388"/>
    <w:rsid w:val="00BC5764"/>
    <w:rsid w:val="00BF05EC"/>
    <w:rsid w:val="00C242A9"/>
    <w:rsid w:val="00CC41E9"/>
    <w:rsid w:val="00CC4715"/>
    <w:rsid w:val="00D42D4A"/>
    <w:rsid w:val="00D93DD7"/>
    <w:rsid w:val="00DA3D69"/>
    <w:rsid w:val="00DB7789"/>
    <w:rsid w:val="00EA36FB"/>
    <w:rsid w:val="00F6714E"/>
    <w:rsid w:val="01282E62"/>
    <w:rsid w:val="016F7CC9"/>
    <w:rsid w:val="020A76B2"/>
    <w:rsid w:val="022D1EB6"/>
    <w:rsid w:val="02707F07"/>
    <w:rsid w:val="02781BC8"/>
    <w:rsid w:val="02A729D8"/>
    <w:rsid w:val="02C95F7F"/>
    <w:rsid w:val="03AF73C8"/>
    <w:rsid w:val="040767C4"/>
    <w:rsid w:val="04D94B9F"/>
    <w:rsid w:val="051C1C14"/>
    <w:rsid w:val="05E070FD"/>
    <w:rsid w:val="05E27A84"/>
    <w:rsid w:val="0639166E"/>
    <w:rsid w:val="069A035E"/>
    <w:rsid w:val="07247C28"/>
    <w:rsid w:val="075C3BFB"/>
    <w:rsid w:val="080D2DB2"/>
    <w:rsid w:val="08264B32"/>
    <w:rsid w:val="08907C6B"/>
    <w:rsid w:val="08DA2C94"/>
    <w:rsid w:val="08E9332E"/>
    <w:rsid w:val="090913B1"/>
    <w:rsid w:val="090E6DE2"/>
    <w:rsid w:val="09607537"/>
    <w:rsid w:val="0B3C085F"/>
    <w:rsid w:val="0BF56037"/>
    <w:rsid w:val="0D651E89"/>
    <w:rsid w:val="0DD56120"/>
    <w:rsid w:val="0FB523DA"/>
    <w:rsid w:val="10BA65B6"/>
    <w:rsid w:val="117C79C6"/>
    <w:rsid w:val="11D748AD"/>
    <w:rsid w:val="12090BF4"/>
    <w:rsid w:val="122431D2"/>
    <w:rsid w:val="13CD1912"/>
    <w:rsid w:val="1404150D"/>
    <w:rsid w:val="14657290"/>
    <w:rsid w:val="1609105D"/>
    <w:rsid w:val="16500A3A"/>
    <w:rsid w:val="17121524"/>
    <w:rsid w:val="19C45210"/>
    <w:rsid w:val="1A210F8C"/>
    <w:rsid w:val="1A21727B"/>
    <w:rsid w:val="1BDE0896"/>
    <w:rsid w:val="1D7E5E8C"/>
    <w:rsid w:val="1D807E56"/>
    <w:rsid w:val="1D9D61CD"/>
    <w:rsid w:val="1EB06519"/>
    <w:rsid w:val="1F615A66"/>
    <w:rsid w:val="207C75D2"/>
    <w:rsid w:val="22F61826"/>
    <w:rsid w:val="23DF51AB"/>
    <w:rsid w:val="240F731F"/>
    <w:rsid w:val="24886565"/>
    <w:rsid w:val="24AD52A9"/>
    <w:rsid w:val="250D235D"/>
    <w:rsid w:val="25836C0E"/>
    <w:rsid w:val="25A246E2"/>
    <w:rsid w:val="25D3781A"/>
    <w:rsid w:val="26A97865"/>
    <w:rsid w:val="270F5DA7"/>
    <w:rsid w:val="27160EE4"/>
    <w:rsid w:val="2751016E"/>
    <w:rsid w:val="27DF50A2"/>
    <w:rsid w:val="282B6C11"/>
    <w:rsid w:val="282E424F"/>
    <w:rsid w:val="2AAF3B29"/>
    <w:rsid w:val="2ACF6883"/>
    <w:rsid w:val="2AE80DE9"/>
    <w:rsid w:val="2AFE23BA"/>
    <w:rsid w:val="2B836D64"/>
    <w:rsid w:val="2BCA04EF"/>
    <w:rsid w:val="2C2D60D8"/>
    <w:rsid w:val="2C771EB1"/>
    <w:rsid w:val="2C917C2E"/>
    <w:rsid w:val="2CD011DA"/>
    <w:rsid w:val="2D133FA2"/>
    <w:rsid w:val="2D251BED"/>
    <w:rsid w:val="2D404F0C"/>
    <w:rsid w:val="2D686211"/>
    <w:rsid w:val="2D8868B3"/>
    <w:rsid w:val="2E5642BC"/>
    <w:rsid w:val="2EAA33F6"/>
    <w:rsid w:val="2EEF63D7"/>
    <w:rsid w:val="2F033256"/>
    <w:rsid w:val="2F2D33F3"/>
    <w:rsid w:val="30474804"/>
    <w:rsid w:val="30DF2C8E"/>
    <w:rsid w:val="31B859B9"/>
    <w:rsid w:val="31D245A1"/>
    <w:rsid w:val="31D9186D"/>
    <w:rsid w:val="326956A0"/>
    <w:rsid w:val="32877139"/>
    <w:rsid w:val="33856B0B"/>
    <w:rsid w:val="33D76BD9"/>
    <w:rsid w:val="33EA4FEF"/>
    <w:rsid w:val="346D45B8"/>
    <w:rsid w:val="34B60E6E"/>
    <w:rsid w:val="34B91B48"/>
    <w:rsid w:val="34EA6F4D"/>
    <w:rsid w:val="35285EC0"/>
    <w:rsid w:val="363C6EB2"/>
    <w:rsid w:val="365107A6"/>
    <w:rsid w:val="370B658B"/>
    <w:rsid w:val="37270FA6"/>
    <w:rsid w:val="374D3C94"/>
    <w:rsid w:val="377C5683"/>
    <w:rsid w:val="37F039D3"/>
    <w:rsid w:val="3885411B"/>
    <w:rsid w:val="38F8669B"/>
    <w:rsid w:val="395104A1"/>
    <w:rsid w:val="396E1053"/>
    <w:rsid w:val="39B06F76"/>
    <w:rsid w:val="39B527DE"/>
    <w:rsid w:val="3A125E82"/>
    <w:rsid w:val="3B732951"/>
    <w:rsid w:val="3B813461"/>
    <w:rsid w:val="3C5B7DA1"/>
    <w:rsid w:val="3DCF55D2"/>
    <w:rsid w:val="3DF01399"/>
    <w:rsid w:val="3E341BA0"/>
    <w:rsid w:val="3E4B38ED"/>
    <w:rsid w:val="3E8135D7"/>
    <w:rsid w:val="3E913D34"/>
    <w:rsid w:val="3FB13A48"/>
    <w:rsid w:val="4061546E"/>
    <w:rsid w:val="40A83F7B"/>
    <w:rsid w:val="42E45EE2"/>
    <w:rsid w:val="42FE2185"/>
    <w:rsid w:val="436533AE"/>
    <w:rsid w:val="437652FC"/>
    <w:rsid w:val="44004F9E"/>
    <w:rsid w:val="440A1BE7"/>
    <w:rsid w:val="44190B72"/>
    <w:rsid w:val="45310373"/>
    <w:rsid w:val="45557D66"/>
    <w:rsid w:val="4565330A"/>
    <w:rsid w:val="45662D6A"/>
    <w:rsid w:val="45CA5863"/>
    <w:rsid w:val="46207231"/>
    <w:rsid w:val="463F1DAD"/>
    <w:rsid w:val="47503A3F"/>
    <w:rsid w:val="478163F5"/>
    <w:rsid w:val="47E86474"/>
    <w:rsid w:val="48086B69"/>
    <w:rsid w:val="48931F3C"/>
    <w:rsid w:val="489B7043"/>
    <w:rsid w:val="48BE3F25"/>
    <w:rsid w:val="49774158"/>
    <w:rsid w:val="4A1E2702"/>
    <w:rsid w:val="4A3C45E0"/>
    <w:rsid w:val="4A62250E"/>
    <w:rsid w:val="4A8E6E5F"/>
    <w:rsid w:val="4B3219DD"/>
    <w:rsid w:val="4BF57A0A"/>
    <w:rsid w:val="4C4241F9"/>
    <w:rsid w:val="4C6B169A"/>
    <w:rsid w:val="4D803B43"/>
    <w:rsid w:val="4D994499"/>
    <w:rsid w:val="4E13108B"/>
    <w:rsid w:val="4E423E14"/>
    <w:rsid w:val="4EC0132C"/>
    <w:rsid w:val="4ED45B3B"/>
    <w:rsid w:val="4ED602A7"/>
    <w:rsid w:val="4ED84B4D"/>
    <w:rsid w:val="4F1B0EDE"/>
    <w:rsid w:val="4F802C4D"/>
    <w:rsid w:val="4FF37764"/>
    <w:rsid w:val="4FFE6835"/>
    <w:rsid w:val="500F0A42"/>
    <w:rsid w:val="50AE300E"/>
    <w:rsid w:val="51052348"/>
    <w:rsid w:val="511107EA"/>
    <w:rsid w:val="52546BE0"/>
    <w:rsid w:val="53000B16"/>
    <w:rsid w:val="532D0CC7"/>
    <w:rsid w:val="532F4F57"/>
    <w:rsid w:val="54372FD6"/>
    <w:rsid w:val="544F398E"/>
    <w:rsid w:val="54A05A32"/>
    <w:rsid w:val="54CD4A28"/>
    <w:rsid w:val="54D44008"/>
    <w:rsid w:val="55104673"/>
    <w:rsid w:val="56997630"/>
    <w:rsid w:val="569C2B8E"/>
    <w:rsid w:val="56AC4E69"/>
    <w:rsid w:val="56E9081F"/>
    <w:rsid w:val="57007337"/>
    <w:rsid w:val="573D4CDD"/>
    <w:rsid w:val="575136EE"/>
    <w:rsid w:val="5785783C"/>
    <w:rsid w:val="57E02CC4"/>
    <w:rsid w:val="58E61A0E"/>
    <w:rsid w:val="5BAF6C35"/>
    <w:rsid w:val="5D174DB7"/>
    <w:rsid w:val="5D4C6DCF"/>
    <w:rsid w:val="5DA84284"/>
    <w:rsid w:val="5EC155FD"/>
    <w:rsid w:val="5F1D6F05"/>
    <w:rsid w:val="5F397D34"/>
    <w:rsid w:val="600A34DE"/>
    <w:rsid w:val="60FD7940"/>
    <w:rsid w:val="60FF41BB"/>
    <w:rsid w:val="615D7134"/>
    <w:rsid w:val="617A5F38"/>
    <w:rsid w:val="61890FF3"/>
    <w:rsid w:val="619A0F68"/>
    <w:rsid w:val="626544F2"/>
    <w:rsid w:val="6280757E"/>
    <w:rsid w:val="62EF3277"/>
    <w:rsid w:val="63217121"/>
    <w:rsid w:val="64106CDA"/>
    <w:rsid w:val="651E7C3A"/>
    <w:rsid w:val="65D4798E"/>
    <w:rsid w:val="66996E60"/>
    <w:rsid w:val="67C25F42"/>
    <w:rsid w:val="67CB44CB"/>
    <w:rsid w:val="68103152"/>
    <w:rsid w:val="681D13CB"/>
    <w:rsid w:val="68AE53AB"/>
    <w:rsid w:val="68B24209"/>
    <w:rsid w:val="68E42BFA"/>
    <w:rsid w:val="6ACB5A74"/>
    <w:rsid w:val="6AF4740B"/>
    <w:rsid w:val="6B15264C"/>
    <w:rsid w:val="6B2779ED"/>
    <w:rsid w:val="6C2528A5"/>
    <w:rsid w:val="6C2E1DF8"/>
    <w:rsid w:val="6CF118A4"/>
    <w:rsid w:val="6CF85B4D"/>
    <w:rsid w:val="6D1E3C1B"/>
    <w:rsid w:val="6D45564C"/>
    <w:rsid w:val="6D5163FB"/>
    <w:rsid w:val="6D981C1F"/>
    <w:rsid w:val="6DC72505"/>
    <w:rsid w:val="6E2A65EF"/>
    <w:rsid w:val="6FDB2297"/>
    <w:rsid w:val="71096990"/>
    <w:rsid w:val="71AF12E6"/>
    <w:rsid w:val="721F290F"/>
    <w:rsid w:val="727644F9"/>
    <w:rsid w:val="73591E51"/>
    <w:rsid w:val="736118FD"/>
    <w:rsid w:val="73C46FA3"/>
    <w:rsid w:val="745B39A7"/>
    <w:rsid w:val="748D4561"/>
    <w:rsid w:val="74936C9D"/>
    <w:rsid w:val="74CB0B2C"/>
    <w:rsid w:val="752D0A56"/>
    <w:rsid w:val="75EE1F4B"/>
    <w:rsid w:val="76244692"/>
    <w:rsid w:val="76362014"/>
    <w:rsid w:val="76682756"/>
    <w:rsid w:val="76C70E7F"/>
    <w:rsid w:val="76C8013C"/>
    <w:rsid w:val="76D8308D"/>
    <w:rsid w:val="77F53FE2"/>
    <w:rsid w:val="7801462E"/>
    <w:rsid w:val="78265763"/>
    <w:rsid w:val="78414C61"/>
    <w:rsid w:val="793A6280"/>
    <w:rsid w:val="79884EF0"/>
    <w:rsid w:val="79B871A5"/>
    <w:rsid w:val="79F77517"/>
    <w:rsid w:val="7A447F62"/>
    <w:rsid w:val="7A560E98"/>
    <w:rsid w:val="7CD77035"/>
    <w:rsid w:val="7D494CE4"/>
    <w:rsid w:val="7DBE3A17"/>
    <w:rsid w:val="7F111831"/>
    <w:rsid w:val="7F6A7194"/>
    <w:rsid w:val="7F6D27E0"/>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b/>
      <w:bCs/>
      <w:sz w:val="30"/>
      <w:szCs w:val="32"/>
    </w:rPr>
  </w:style>
  <w:style w:type="paragraph" w:styleId="5">
    <w:name w:val="heading 3"/>
    <w:basedOn w:val="1"/>
    <w:next w:val="1"/>
    <w:qFormat/>
    <w:uiPriority w:val="0"/>
    <w:pPr>
      <w:keepNext/>
      <w:keepLines/>
      <w:spacing w:before="120" w:after="120" w:line="400" w:lineRule="exact"/>
      <w:jc w:val="left"/>
      <w:outlineLvl w:val="2"/>
    </w:pPr>
    <w:rPr>
      <w:rFonts w:ascii="宋体" w:hAnsi="宋体"/>
      <w:b/>
      <w:bCs/>
      <w:sz w:val="24"/>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annotation text"/>
    <w:basedOn w:val="1"/>
    <w:link w:val="41"/>
    <w:qFormat/>
    <w:uiPriority w:val="0"/>
    <w:pPr>
      <w:jc w:val="left"/>
    </w:pPr>
  </w:style>
  <w:style w:type="paragraph" w:styleId="8">
    <w:name w:val="Body Text 3"/>
    <w:basedOn w:val="1"/>
    <w:qFormat/>
    <w:uiPriority w:val="0"/>
    <w:rPr>
      <w:rFonts w:ascii="宋体"/>
      <w:sz w:val="24"/>
      <w:szCs w:val="20"/>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3">
    <w:name w:val="Plain Text"/>
    <w:basedOn w:val="1"/>
    <w:qFormat/>
    <w:uiPriority w:val="0"/>
    <w:rPr>
      <w:rFonts w:ascii="Courier New" w:hAnsi="Courier New"/>
      <w:szCs w:val="20"/>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43"/>
    <w:qFormat/>
    <w:uiPriority w:val="0"/>
    <w:pPr>
      <w:ind w:left="100" w:leftChars="2500"/>
    </w:pPr>
  </w:style>
  <w:style w:type="paragraph" w:styleId="16">
    <w:name w:val="Balloon Text"/>
    <w:basedOn w:val="1"/>
    <w:link w:val="4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060"/>
      </w:tabs>
      <w:spacing w:before="120" w:after="120"/>
      <w:jc w:val="center"/>
    </w:pPr>
    <w:rPr>
      <w:b/>
      <w:bCs/>
      <w:caps/>
      <w:sz w:val="24"/>
    </w:r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qFormat/>
    <w:uiPriority w:val="39"/>
    <w:pPr>
      <w:ind w:left="210"/>
      <w:jc w:val="left"/>
    </w:pPr>
    <w:rPr>
      <w:smallCaps/>
      <w:sz w:val="20"/>
      <w:szCs w:val="20"/>
    </w:r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annotation subject"/>
    <w:basedOn w:val="7"/>
    <w:next w:val="7"/>
    <w:link w:val="42"/>
    <w:qFormat/>
    <w:uiPriority w:val="0"/>
    <w:rPr>
      <w:b/>
      <w:bCs/>
    </w:rPr>
  </w:style>
  <w:style w:type="paragraph" w:styleId="25">
    <w:name w:val="Body Text First Indent"/>
    <w:basedOn w:val="2"/>
    <w:unhideWhenUsed/>
    <w:qFormat/>
    <w:uiPriority w:val="99"/>
    <w:pPr>
      <w:ind w:firstLine="420" w:firstLineChars="100"/>
    </w:pPr>
  </w:style>
  <w:style w:type="paragraph" w:styleId="26">
    <w:name w:val="Body Text First Indent 2"/>
    <w:basedOn w:val="9"/>
    <w:next w:val="1"/>
    <w:qFormat/>
    <w:uiPriority w:val="99"/>
    <w:pPr>
      <w:overflowPunct w:val="0"/>
      <w:spacing w:line="300" w:lineRule="auto"/>
      <w:ind w:left="1021"/>
    </w:pPr>
    <w:rPr>
      <w:szCs w:val="22"/>
    </w:rPr>
  </w:style>
  <w:style w:type="character" w:styleId="29">
    <w:name w:val="page number"/>
    <w:qFormat/>
    <w:uiPriority w:val="0"/>
    <w:rPr>
      <w:rFonts w:ascii="Arial" w:hAnsi="Arial" w:eastAsia="黑体"/>
      <w:kern w:val="2"/>
      <w:sz w:val="21"/>
      <w:szCs w:val="21"/>
      <w:lang w:val="en-US" w:eastAsia="zh-CN" w:bidi="ar-SA"/>
    </w:rPr>
  </w:style>
  <w:style w:type="character" w:styleId="30">
    <w:name w:val="Emphasis"/>
    <w:basedOn w:val="28"/>
    <w:qFormat/>
    <w:uiPriority w:val="0"/>
    <w:rPr>
      <w:i/>
    </w:rPr>
  </w:style>
  <w:style w:type="character" w:styleId="31">
    <w:name w:val="Hyperlink"/>
    <w:qFormat/>
    <w:uiPriority w:val="99"/>
    <w:rPr>
      <w:rFonts w:ascii="Arial" w:hAnsi="Arial" w:eastAsia="黑体"/>
      <w:color w:val="0000FF"/>
      <w:kern w:val="2"/>
      <w:sz w:val="21"/>
      <w:szCs w:val="21"/>
      <w:u w:val="single"/>
      <w:lang w:val="en-US" w:eastAsia="zh-CN" w:bidi="ar-SA"/>
    </w:rPr>
  </w:style>
  <w:style w:type="character" w:styleId="32">
    <w:name w:val="annotation reference"/>
    <w:basedOn w:val="28"/>
    <w:qFormat/>
    <w:uiPriority w:val="0"/>
    <w:rPr>
      <w:sz w:val="21"/>
      <w:szCs w:val="21"/>
    </w:rPr>
  </w:style>
  <w:style w:type="paragraph" w:customStyle="1" w:styleId="33">
    <w:name w:val="Table Paragraph"/>
    <w:basedOn w:val="1"/>
    <w:qFormat/>
    <w:uiPriority w:val="1"/>
    <w:pPr>
      <w:spacing w:line="360" w:lineRule="auto"/>
    </w:pPr>
    <w:rPr>
      <w:szCs w:val="20"/>
    </w:rPr>
  </w:style>
  <w:style w:type="paragraph" w:customStyle="1" w:styleId="34">
    <w:name w:val="表内黑体"/>
    <w:basedOn w:val="1"/>
    <w:qFormat/>
    <w:uiPriority w:val="0"/>
    <w:pPr>
      <w:spacing w:before="40" w:after="40"/>
      <w:ind w:firstLine="340"/>
      <w:jc w:val="left"/>
    </w:pPr>
    <w:rPr>
      <w:rFonts w:ascii="Arial" w:hAnsi="Arial" w:eastAsia="黑体"/>
      <w:szCs w:val="21"/>
    </w:rPr>
  </w:style>
  <w:style w:type="paragraph" w:customStyle="1" w:styleId="35">
    <w:name w:val="p0"/>
    <w:basedOn w:val="1"/>
    <w:qFormat/>
    <w:uiPriority w:val="0"/>
    <w:pPr>
      <w:widowControl/>
    </w:pPr>
    <w:rPr>
      <w:rFonts w:cs="宋体"/>
      <w:kern w:val="0"/>
      <w:szCs w:val="21"/>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 w:type="paragraph" w:styleId="37">
    <w:name w:val="List Paragraph"/>
    <w:basedOn w:val="1"/>
    <w:qFormat/>
    <w:uiPriority w:val="34"/>
    <w:pPr>
      <w:ind w:left="720"/>
      <w:contextualSpacing/>
    </w:pPr>
  </w:style>
  <w:style w:type="paragraph" w:customStyle="1" w:styleId="38">
    <w:name w:val="样式 宋体 行距: 1.5 倍行距"/>
    <w:basedOn w:val="1"/>
    <w:qFormat/>
    <w:uiPriority w:val="0"/>
    <w:pPr>
      <w:jc w:val="center"/>
    </w:pPr>
    <w:rPr>
      <w:b/>
    </w:rPr>
  </w:style>
  <w:style w:type="character" w:customStyle="1" w:styleId="39">
    <w:name w:val="font41"/>
    <w:qFormat/>
    <w:uiPriority w:val="0"/>
    <w:rPr>
      <w:rFonts w:hint="eastAsia" w:ascii="宋体" w:hAnsi="宋体" w:eastAsia="宋体" w:cs="宋体"/>
      <w:color w:val="000000"/>
      <w:sz w:val="40"/>
      <w:szCs w:val="40"/>
      <w:u w:val="none"/>
    </w:rPr>
  </w:style>
  <w:style w:type="character" w:customStyle="1" w:styleId="40">
    <w:name w:val="批注框文本 Char"/>
    <w:basedOn w:val="28"/>
    <w:link w:val="16"/>
    <w:qFormat/>
    <w:uiPriority w:val="0"/>
    <w:rPr>
      <w:rFonts w:ascii="Calibri" w:hAnsi="Calibri"/>
      <w:kern w:val="2"/>
      <w:sz w:val="18"/>
      <w:szCs w:val="18"/>
    </w:rPr>
  </w:style>
  <w:style w:type="character" w:customStyle="1" w:styleId="41">
    <w:name w:val="批注文字 Char"/>
    <w:basedOn w:val="28"/>
    <w:link w:val="7"/>
    <w:qFormat/>
    <w:uiPriority w:val="0"/>
    <w:rPr>
      <w:rFonts w:ascii="Calibri" w:hAnsi="Calibri"/>
      <w:kern w:val="2"/>
      <w:sz w:val="21"/>
      <w:szCs w:val="24"/>
    </w:rPr>
  </w:style>
  <w:style w:type="character" w:customStyle="1" w:styleId="42">
    <w:name w:val="批注主题 Char"/>
    <w:basedOn w:val="41"/>
    <w:link w:val="24"/>
    <w:qFormat/>
    <w:uiPriority w:val="0"/>
    <w:rPr>
      <w:rFonts w:ascii="Calibri" w:hAnsi="Calibri"/>
      <w:b/>
      <w:bCs/>
      <w:kern w:val="2"/>
      <w:sz w:val="21"/>
      <w:szCs w:val="24"/>
    </w:rPr>
  </w:style>
  <w:style w:type="character" w:customStyle="1" w:styleId="43">
    <w:name w:val="日期 Char"/>
    <w:basedOn w:val="28"/>
    <w:link w:val="1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B02D-B5B7-4181-830C-8C92331646BC}">
  <ds:schemaRefs/>
</ds:datastoreItem>
</file>

<file path=docProps/app.xml><?xml version="1.0" encoding="utf-8"?>
<Properties xmlns="http://schemas.openxmlformats.org/officeDocument/2006/extended-properties" xmlns:vt="http://schemas.openxmlformats.org/officeDocument/2006/docPropsVTypes">
  <Template>Normal</Template>
  <Pages>6</Pages>
  <Words>3821</Words>
  <Characters>4143</Characters>
  <Lines>351</Lines>
  <Paragraphs>98</Paragraphs>
  <TotalTime>7</TotalTime>
  <ScaleCrop>false</ScaleCrop>
  <LinksUpToDate>false</LinksUpToDate>
  <CharactersWithSpaces>4199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2024-03-01T08:42:00Z</dcterms:created>
  <dc:creator>熔岩</dc:creator>
  <cp:lastModifiedBy>tpa-sec</cp:lastModifiedBy>
  <dcterms:modified xsi:type="dcterms:W3CDTF">2024-07-04T02:43:35Z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D51140F1F3C846E58E2BF1FA6F450C49_13</vt:lpwstr>
  </property>
</Properties>
</file>