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r>
        <w:rPr>
          <w:rFonts w:hint="eastAsia" w:ascii="宋体" w:hAnsi="宋体"/>
          <w:sz w:val="24"/>
          <w:szCs w:val="24"/>
        </w:rPr>
        <w:t>实质性响应一览表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336"/>
        <w:gridCol w:w="825"/>
        <w:gridCol w:w="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73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实质性响应条款</w:t>
            </w: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投标人响应情况</w:t>
            </w: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73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firstLine="280"/>
              <w:jc w:val="both"/>
              <w:rPr>
                <w:rFonts w:hint="default" w:eastAsia="宋体" w:cs="宋体" w:asciiTheme="minorEastAsia" w:hAnsiTheme="minorEastAsia"/>
                <w:kern w:val="0"/>
                <w:sz w:val="24"/>
                <w:szCs w:val="20"/>
                <w:lang w:val="en-US" w:eastAsia="zh-CN" w:bidi="ar-SA"/>
              </w:rPr>
            </w:pPr>
            <w:r>
              <w:rPr>
                <w:rFonts w:hint="eastAsia"/>
                <w:sz w:val="22"/>
                <w:szCs w:val="22"/>
              </w:rPr>
              <w:t>本次采购产品为非进口产品（进口产品指通过中国海关报关验放进入中国境内且产自关境外的产品）。</w:t>
            </w: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val="en-US" w:eastAsia="zh-CN"/>
              </w:rPr>
              <w:t>2</w:t>
            </w:r>
          </w:p>
        </w:tc>
        <w:tc>
          <w:tcPr>
            <w:tcW w:w="73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firstLine="280"/>
              <w:jc w:val="both"/>
              <w:rPr>
                <w:rFonts w:hint="default"/>
                <w:sz w:val="24"/>
              </w:rPr>
            </w:pPr>
            <w:r>
              <w:rPr>
                <w:rFonts w:hint="eastAsia"/>
                <w:sz w:val="22"/>
                <w:szCs w:val="22"/>
              </w:rPr>
              <w:t>凡属于《中华人民共和国实施强制性产品认证的产品目录》的产品，请投标人在投标文件中承诺在交货时提供该产品的“中国强制性产品认证”（CCC认证）证书。</w:t>
            </w: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val="en-US" w:eastAsia="zh-CN"/>
              </w:rPr>
              <w:t>3</w:t>
            </w:r>
          </w:p>
        </w:tc>
        <w:tc>
          <w:tcPr>
            <w:tcW w:w="73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firstLine="280"/>
              <w:jc w:val="both"/>
              <w:rPr>
                <w:rFonts w:hint="eastAsia"/>
                <w:sz w:val="22"/>
                <w:szCs w:val="22"/>
              </w:rPr>
            </w:pPr>
            <w:r>
              <w:rPr>
                <w:rFonts w:hint="eastAsia" w:ascii="宋体" w:hAnsi="宋体" w:cs="宋体"/>
                <w:sz w:val="22"/>
                <w:szCs w:val="22"/>
              </w:rPr>
              <w:t>采购人拟采购的</w:t>
            </w:r>
            <w:r>
              <w:rPr>
                <w:sz w:val="22"/>
                <w:szCs w:val="22"/>
                <w:u w:val="single"/>
              </w:rPr>
              <w:t>教学终端</w:t>
            </w:r>
            <w:r>
              <w:rPr>
                <w:rFonts w:hint="eastAsia"/>
                <w:sz w:val="22"/>
                <w:szCs w:val="22"/>
                <w:u w:val="single"/>
              </w:rPr>
              <w:t>、学生终端</w:t>
            </w:r>
            <w:r>
              <w:rPr>
                <w:rFonts w:hint="eastAsia" w:ascii="宋体" w:hAnsi="宋体" w:cs="宋体"/>
                <w:sz w:val="22"/>
                <w:szCs w:val="22"/>
              </w:rPr>
              <w:t>属于《节能产品政府采购品目清单》范围中政府强制采购产品类别，投标人须在投标文件中提供：1.该产品属于《节能产品政府采购品目清单》范围中政府强制采购产品类别的相关内容页，并对相关内容作圈记；2.市场监管总局公布的参与实施政府采购节能产品认证机构名录截图；3.该产品获得的由国家确定的认证机构出具的、处于有效期之内的节能产品认证证书（注：1.《节能产品政府采购品目清单》投标人可查询中国政府采购网，网址http://www.ccgp.gov.cn；2.根据《节能产品政府采购品目清单》注2要求，上述产品中认证标准发生变更的，依据原认证标准获得的、仍在有效期内的认证证书可使用至2019 年6 月1 日）。</w:t>
            </w: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val="en-US" w:eastAsia="zh-CN"/>
              </w:rPr>
              <w:t>4</w:t>
            </w:r>
          </w:p>
        </w:tc>
        <w:tc>
          <w:tcPr>
            <w:tcW w:w="73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firstLine="280"/>
              <w:jc w:val="both"/>
              <w:rPr>
                <w:rFonts w:hint="eastAsia" w:ascii="宋体" w:hAnsi="宋体" w:eastAsia="宋体" w:cs="宋体"/>
                <w:sz w:val="22"/>
                <w:szCs w:val="22"/>
                <w:lang w:eastAsia="zh-CN"/>
              </w:rPr>
            </w:pPr>
            <w:r>
              <w:rPr>
                <w:rFonts w:hint="eastAsia" w:ascii="宋体" w:hAnsi="宋体" w:cs="宋体"/>
                <w:kern w:val="0"/>
                <w:sz w:val="22"/>
                <w:szCs w:val="22"/>
                <w:lang w:bidi="ar"/>
              </w:rPr>
              <w:t>教学终端</w:t>
            </w:r>
            <w:r>
              <w:rPr>
                <w:rFonts w:hint="eastAsia" w:ascii="宋体" w:hAnsi="宋体" w:cs="宋体"/>
                <w:kern w:val="0"/>
                <w:sz w:val="22"/>
                <w:szCs w:val="22"/>
                <w:lang w:eastAsia="zh-CN" w:bidi="ar"/>
              </w:rPr>
              <w:t>：</w:t>
            </w:r>
            <w:r>
              <w:rPr>
                <w:rFonts w:ascii="宋体" w:hAnsi="宋体"/>
                <w:color w:val="000000"/>
                <w:sz w:val="22"/>
                <w:szCs w:val="22"/>
              </w:rPr>
              <w:t>显卡：≥4G独显，≥896个CUDA核心；基础频率≥1065Mhz；</w:t>
            </w: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val="en-US" w:eastAsia="zh-CN"/>
              </w:rPr>
              <w:t>5</w:t>
            </w:r>
          </w:p>
        </w:tc>
        <w:tc>
          <w:tcPr>
            <w:tcW w:w="7336" w:type="dxa"/>
            <w:tcBorders>
              <w:top w:val="single" w:color="auto" w:sz="4" w:space="0"/>
              <w:left w:val="single" w:color="auto" w:sz="4" w:space="0"/>
              <w:bottom w:val="single" w:color="auto" w:sz="4" w:space="0"/>
              <w:right w:val="single" w:color="auto" w:sz="4" w:space="0"/>
            </w:tcBorders>
          </w:tcPr>
          <w:p>
            <w:pPr>
              <w:widowControl/>
              <w:jc w:val="left"/>
              <w:textAlignment w:val="center"/>
              <w:rPr>
                <w:sz w:val="22"/>
                <w:szCs w:val="22"/>
              </w:rPr>
            </w:pPr>
            <w:r>
              <w:rPr>
                <w:rFonts w:hint="eastAsia" w:ascii="宋体" w:hAnsi="宋体" w:cs="宋体"/>
                <w:kern w:val="0"/>
                <w:sz w:val="22"/>
                <w:szCs w:val="22"/>
                <w:lang w:bidi="ar"/>
              </w:rPr>
              <w:t>学生终端</w:t>
            </w:r>
            <w:r>
              <w:rPr>
                <w:rFonts w:hint="eastAsia" w:ascii="宋体" w:hAnsi="宋体" w:cs="宋体"/>
                <w:kern w:val="0"/>
                <w:sz w:val="22"/>
                <w:szCs w:val="22"/>
                <w:lang w:eastAsia="zh-CN" w:bidi="ar"/>
              </w:rPr>
              <w:t>：</w:t>
            </w:r>
            <w:r>
              <w:rPr>
                <w:sz w:val="22"/>
                <w:szCs w:val="22"/>
              </w:rPr>
              <w:t>1</w:t>
            </w:r>
            <w:r>
              <w:rPr>
                <w:rFonts w:hint="eastAsia"/>
                <w:sz w:val="22"/>
                <w:szCs w:val="22"/>
              </w:rPr>
              <w:t>、处理器：≥</w:t>
            </w:r>
            <w:r>
              <w:rPr>
                <w:sz w:val="22"/>
                <w:szCs w:val="22"/>
              </w:rPr>
              <w:t>Intel I7-13700</w:t>
            </w:r>
            <w:r>
              <w:rPr>
                <w:rFonts w:hint="eastAsia"/>
                <w:sz w:val="22"/>
                <w:szCs w:val="22"/>
              </w:rPr>
              <w:t>处理器（</w:t>
            </w:r>
            <w:r>
              <w:rPr>
                <w:sz w:val="22"/>
                <w:szCs w:val="22"/>
              </w:rPr>
              <w:t>16C/24T</w:t>
            </w:r>
            <w:r>
              <w:rPr>
                <w:rFonts w:hint="eastAsia"/>
                <w:sz w:val="22"/>
                <w:szCs w:val="22"/>
              </w:rPr>
              <w:t>，</w:t>
            </w:r>
            <w:r>
              <w:rPr>
                <w:sz w:val="22"/>
                <w:szCs w:val="22"/>
              </w:rPr>
              <w:t>2.1GHz</w:t>
            </w:r>
            <w:r>
              <w:rPr>
                <w:rFonts w:hint="eastAsia"/>
                <w:sz w:val="22"/>
                <w:szCs w:val="22"/>
              </w:rPr>
              <w:t>主频、</w:t>
            </w:r>
            <w:r>
              <w:rPr>
                <w:sz w:val="22"/>
                <w:szCs w:val="22"/>
              </w:rPr>
              <w:t>30M</w:t>
            </w:r>
            <w:r>
              <w:rPr>
                <w:rFonts w:hint="eastAsia"/>
                <w:sz w:val="22"/>
                <w:szCs w:val="22"/>
              </w:rPr>
              <w:t>缓存）；</w:t>
            </w:r>
          </w:p>
          <w:p>
            <w:pPr>
              <w:keepNext w:val="0"/>
              <w:keepLines w:val="0"/>
              <w:widowControl/>
              <w:suppressLineNumbers w:val="0"/>
              <w:spacing w:before="0" w:beforeAutospacing="0" w:after="0" w:afterAutospacing="0"/>
              <w:ind w:left="0" w:right="0" w:firstLine="280"/>
              <w:jc w:val="both"/>
              <w:rPr>
                <w:rFonts w:hint="eastAsia" w:ascii="宋体" w:hAnsi="宋体" w:eastAsia="宋体" w:cs="宋体"/>
                <w:sz w:val="22"/>
                <w:szCs w:val="22"/>
                <w:lang w:eastAsia="zh-CN"/>
              </w:rPr>
            </w:pP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val="en-US" w:eastAsia="zh-CN"/>
              </w:rPr>
              <w:t>6</w:t>
            </w:r>
          </w:p>
        </w:tc>
        <w:tc>
          <w:tcPr>
            <w:tcW w:w="7336" w:type="dxa"/>
            <w:tcBorders>
              <w:top w:val="single" w:color="auto" w:sz="4" w:space="0"/>
              <w:left w:val="single" w:color="auto" w:sz="4" w:space="0"/>
              <w:bottom w:val="single" w:color="auto" w:sz="4" w:space="0"/>
              <w:right w:val="single" w:color="auto" w:sz="4" w:space="0"/>
            </w:tcBorders>
          </w:tcPr>
          <w:p>
            <w:pPr>
              <w:widowControl/>
              <w:jc w:val="left"/>
              <w:textAlignment w:val="center"/>
              <w:rPr>
                <w:sz w:val="22"/>
                <w:szCs w:val="22"/>
              </w:rPr>
            </w:pPr>
            <w:r>
              <w:rPr>
                <w:rFonts w:hint="eastAsia" w:ascii="宋体" w:hAnsi="宋体" w:cs="宋体"/>
                <w:kern w:val="0"/>
                <w:sz w:val="22"/>
                <w:szCs w:val="22"/>
                <w:lang w:bidi="ar"/>
              </w:rPr>
              <w:t>学生终端</w:t>
            </w:r>
            <w:r>
              <w:rPr>
                <w:rFonts w:hint="eastAsia" w:ascii="宋体" w:hAnsi="宋体" w:cs="宋体"/>
                <w:kern w:val="0"/>
                <w:sz w:val="22"/>
                <w:szCs w:val="22"/>
                <w:lang w:eastAsia="zh-CN" w:bidi="ar"/>
              </w:rPr>
              <w:t>：</w:t>
            </w:r>
            <w:r>
              <w:rPr>
                <w:sz w:val="22"/>
                <w:szCs w:val="22"/>
              </w:rPr>
              <w:t>4</w:t>
            </w:r>
            <w:r>
              <w:rPr>
                <w:rFonts w:hint="eastAsia"/>
                <w:sz w:val="22"/>
                <w:szCs w:val="22"/>
              </w:rPr>
              <w:t>、显卡：≥</w:t>
            </w:r>
            <w:r>
              <w:rPr>
                <w:sz w:val="22"/>
                <w:szCs w:val="22"/>
              </w:rPr>
              <w:t>4G</w:t>
            </w:r>
            <w:r>
              <w:rPr>
                <w:rFonts w:hint="eastAsia"/>
                <w:sz w:val="22"/>
                <w:szCs w:val="22"/>
              </w:rPr>
              <w:t>独显，≥</w:t>
            </w:r>
            <w:r>
              <w:rPr>
                <w:sz w:val="22"/>
                <w:szCs w:val="22"/>
              </w:rPr>
              <w:t>896</w:t>
            </w:r>
            <w:r>
              <w:rPr>
                <w:rFonts w:hint="eastAsia"/>
                <w:sz w:val="22"/>
                <w:szCs w:val="22"/>
              </w:rPr>
              <w:t>个</w:t>
            </w:r>
            <w:r>
              <w:rPr>
                <w:sz w:val="22"/>
                <w:szCs w:val="22"/>
              </w:rPr>
              <w:t>CUDA</w:t>
            </w:r>
            <w:r>
              <w:rPr>
                <w:rFonts w:hint="eastAsia"/>
                <w:sz w:val="22"/>
                <w:szCs w:val="22"/>
              </w:rPr>
              <w:t>核心；基础频率≥</w:t>
            </w:r>
            <w:r>
              <w:rPr>
                <w:sz w:val="22"/>
                <w:szCs w:val="22"/>
              </w:rPr>
              <w:t>1065Mhz</w:t>
            </w:r>
            <w:r>
              <w:rPr>
                <w:rFonts w:hint="eastAsia"/>
                <w:sz w:val="22"/>
                <w:szCs w:val="22"/>
              </w:rPr>
              <w:t>；</w:t>
            </w:r>
          </w:p>
          <w:p>
            <w:pPr>
              <w:keepNext w:val="0"/>
              <w:keepLines w:val="0"/>
              <w:widowControl/>
              <w:suppressLineNumbers w:val="0"/>
              <w:spacing w:before="0" w:beforeAutospacing="0" w:after="0" w:afterAutospacing="0"/>
              <w:ind w:left="0" w:right="0" w:firstLine="280"/>
              <w:jc w:val="both"/>
              <w:rPr>
                <w:rFonts w:hint="eastAsia" w:ascii="宋体" w:hAnsi="宋体" w:eastAsia="宋体" w:cs="宋体"/>
                <w:sz w:val="22"/>
                <w:szCs w:val="22"/>
                <w:lang w:eastAsia="zh-CN"/>
              </w:rPr>
            </w:pPr>
          </w:p>
        </w:tc>
        <w:tc>
          <w:tcPr>
            <w:tcW w:w="825"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c>
          <w:tcPr>
            <w:tcW w:w="33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360" w:lineRule="auto"/>
              <w:ind w:left="0" w:right="0"/>
              <w:rPr>
                <w:rFonts w:hint="default" w:ascii="宋体" w:hAnsi="宋体"/>
                <w:color w:val="FF0000"/>
                <w:sz w:val="24"/>
                <w:szCs w:val="24"/>
              </w:rPr>
            </w:pPr>
            <w:r>
              <w:rPr>
                <w:rFonts w:hint="eastAsia" w:ascii="宋体" w:hAnsi="宋体"/>
                <w:color w:val="FF0000"/>
                <w:sz w:val="24"/>
                <w:szCs w:val="24"/>
              </w:rPr>
              <w:t>请按需补充</w:t>
            </w:r>
          </w:p>
        </w:tc>
      </w:tr>
    </w:tbl>
    <w:p>
      <w:pPr>
        <w:spacing w:line="360" w:lineRule="auto"/>
        <w:rPr>
          <w:rFonts w:ascii="宋体" w:hAnsi="宋体"/>
          <w:sz w:val="24"/>
          <w:szCs w:val="24"/>
        </w:rPr>
      </w:pPr>
      <w:r>
        <w:rPr>
          <w:rFonts w:hint="eastAsia" w:ascii="宋体" w:hAnsi="宋体"/>
          <w:sz w:val="24"/>
          <w:szCs w:val="24"/>
        </w:rPr>
        <w:t>说明：</w:t>
      </w:r>
    </w:p>
    <w:p>
      <w:pPr>
        <w:pStyle w:val="7"/>
        <w:shd w:val="clear" w:color="auto" w:fill="FFFFFF"/>
        <w:ind w:firstLine="480"/>
        <w:rPr>
          <w:rFonts w:hint="eastAsia" w:eastAsia="宋体"/>
          <w:lang w:val="en-US" w:eastAsia="zh-CN"/>
        </w:rPr>
      </w:pPr>
      <w:r>
        <w:rPr>
          <w:rFonts w:hint="eastAsia"/>
        </w:rPr>
        <w:t>1.实质性响应条款一览表后续内容请根据第二章采购需求</w:t>
      </w:r>
      <w:r>
        <w:rPr>
          <w:rStyle w:val="10"/>
          <w:rFonts w:hint="eastAsia"/>
          <w:b w:val="0"/>
        </w:rPr>
        <w:t>★</w:t>
      </w:r>
      <w:r>
        <w:rPr>
          <w:rFonts w:hint="eastAsia"/>
        </w:rPr>
        <w:t>号条款详细列举</w:t>
      </w:r>
      <w:r>
        <w:rPr>
          <w:rFonts w:hint="eastAsia"/>
          <w:lang w:val="en-US" w:eastAsia="zh-CN"/>
        </w:rPr>
        <w:t>,。</w:t>
      </w:r>
    </w:p>
    <w:p>
      <w:pPr>
        <w:pStyle w:val="7"/>
        <w:shd w:val="clear" w:color="auto" w:fill="FFFFFF"/>
        <w:ind w:firstLine="480"/>
      </w:pPr>
      <w:r>
        <w:rPr>
          <w:rFonts w:hint="eastAsia"/>
        </w:rPr>
        <w:t>2.本表所列条款</w:t>
      </w:r>
      <w:bookmarkStart w:id="0" w:name="_GoBack"/>
      <w:r>
        <w:rPr>
          <w:rFonts w:hint="eastAsia"/>
        </w:rPr>
        <w:t>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bookmarkEnd w:id="0"/>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Songti SC">
    <w:altName w:val="Segoe Print"/>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jY2ZDU2YzVmYmQ1ODY5MTQwMzQ3ZWYxZmNmNzEifQ=="/>
  </w:docVars>
  <w:rsids>
    <w:rsidRoot w:val="002F3044"/>
    <w:rsid w:val="00076C5F"/>
    <w:rsid w:val="00083B02"/>
    <w:rsid w:val="000C13F0"/>
    <w:rsid w:val="001079D2"/>
    <w:rsid w:val="0015735B"/>
    <w:rsid w:val="00194F3E"/>
    <w:rsid w:val="001B369A"/>
    <w:rsid w:val="002048E3"/>
    <w:rsid w:val="0021128E"/>
    <w:rsid w:val="002323C9"/>
    <w:rsid w:val="002F3044"/>
    <w:rsid w:val="003060E6"/>
    <w:rsid w:val="003105EE"/>
    <w:rsid w:val="00321F0D"/>
    <w:rsid w:val="0036576E"/>
    <w:rsid w:val="00387B33"/>
    <w:rsid w:val="004523E4"/>
    <w:rsid w:val="004B30C6"/>
    <w:rsid w:val="00544002"/>
    <w:rsid w:val="0056143B"/>
    <w:rsid w:val="00706877"/>
    <w:rsid w:val="007B77B1"/>
    <w:rsid w:val="008103F4"/>
    <w:rsid w:val="008826E0"/>
    <w:rsid w:val="00906CA6"/>
    <w:rsid w:val="009238D2"/>
    <w:rsid w:val="00926E05"/>
    <w:rsid w:val="00967340"/>
    <w:rsid w:val="00A0648E"/>
    <w:rsid w:val="00A1664F"/>
    <w:rsid w:val="00A30155"/>
    <w:rsid w:val="00A50151"/>
    <w:rsid w:val="00A73AE4"/>
    <w:rsid w:val="00A7604B"/>
    <w:rsid w:val="00B47072"/>
    <w:rsid w:val="00B76C26"/>
    <w:rsid w:val="00BB1460"/>
    <w:rsid w:val="00BB7663"/>
    <w:rsid w:val="00BE6601"/>
    <w:rsid w:val="00C554C7"/>
    <w:rsid w:val="00CD0E81"/>
    <w:rsid w:val="00CF3FAB"/>
    <w:rsid w:val="00DF0BC4"/>
    <w:rsid w:val="00E33BF2"/>
    <w:rsid w:val="00E639D3"/>
    <w:rsid w:val="00F2688D"/>
    <w:rsid w:val="00F45D4E"/>
    <w:rsid w:val="00F84676"/>
    <w:rsid w:val="02AA639C"/>
    <w:rsid w:val="04B34237"/>
    <w:rsid w:val="0A78316C"/>
    <w:rsid w:val="0FFA3C1C"/>
    <w:rsid w:val="19DC4392"/>
    <w:rsid w:val="1A606D71"/>
    <w:rsid w:val="21E36518"/>
    <w:rsid w:val="249026B6"/>
    <w:rsid w:val="29D86637"/>
    <w:rsid w:val="2B54022C"/>
    <w:rsid w:val="2D9D16C6"/>
    <w:rsid w:val="3674299A"/>
    <w:rsid w:val="3D003130"/>
    <w:rsid w:val="3DD328A6"/>
    <w:rsid w:val="3F2006FA"/>
    <w:rsid w:val="43F413E1"/>
    <w:rsid w:val="46401681"/>
    <w:rsid w:val="4EC72940"/>
    <w:rsid w:val="50472AB0"/>
    <w:rsid w:val="592D3CE7"/>
    <w:rsid w:val="61521458"/>
    <w:rsid w:val="689C6793"/>
    <w:rsid w:val="6B673089"/>
    <w:rsid w:val="704A4D27"/>
    <w:rsid w:val="74005701"/>
    <w:rsid w:val="7932225F"/>
    <w:rsid w:val="7E69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annotation text"/>
    <w:basedOn w:val="1"/>
    <w:link w:val="15"/>
    <w:unhideWhenUsed/>
    <w:qFormat/>
    <w:uiPriority w:val="0"/>
    <w:rPr>
      <w:sz w:val="20"/>
    </w:rPr>
  </w:style>
  <w:style w:type="paragraph" w:styleId="3">
    <w:name w:val="Body Text"/>
    <w:basedOn w:val="1"/>
    <w:next w:val="1"/>
    <w:unhideWhenUsed/>
    <w:qFormat/>
    <w:uiPriority w:val="99"/>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qFormat/>
    <w:uiPriority w:val="0"/>
    <w:rPr>
      <w:rFonts w:ascii="Tahoma" w:hAnsi="Tahoma"/>
      <w:kern w:val="2"/>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2"/>
    <w:qFormat/>
    <w:uiPriority w:val="0"/>
    <w:rPr>
      <w:rFonts w:ascii="Times New Roman" w:hAnsi="Times New Roman" w:eastAsia="宋体" w:cs="Times New Roman"/>
      <w:kern w:val="0"/>
      <w:sz w:val="20"/>
      <w:szCs w:val="20"/>
    </w:rPr>
  </w:style>
  <w:style w:type="paragraph" w:styleId="16">
    <w:name w:val="List Paragraph"/>
    <w:basedOn w:val="1"/>
    <w:qFormat/>
    <w:uiPriority w:val="34"/>
    <w:pPr>
      <w:widowControl w:val="0"/>
      <w:ind w:firstLine="420"/>
      <w:jc w:val="both"/>
    </w:pPr>
    <w:rPr>
      <w:rFonts w:cs="Helvetica"/>
      <w:kern w:val="2"/>
      <w:szCs w:val="21"/>
    </w:rPr>
  </w:style>
  <w:style w:type="character" w:customStyle="1" w:styleId="17">
    <w:name w:val="NormalCharacter"/>
    <w:qFormat/>
    <w:uiPriority w:val="0"/>
  </w:style>
  <w:style w:type="paragraph" w:customStyle="1" w:styleId="1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文本_0"/>
    <w:basedOn w:val="1"/>
    <w:qFormat/>
    <w:uiPriority w:val="0"/>
    <w:pPr>
      <w:widowControl/>
    </w:pPr>
    <w:rPr>
      <w:rFonts w:ascii="Times New Roman" w:hAnsi="Times New Roman"/>
      <w:kern w:val="0"/>
      <w:szCs w:val="20"/>
    </w:rPr>
  </w:style>
  <w:style w:type="paragraph" w:customStyle="1" w:styleId="20">
    <w:name w:val="正文_0_0_0"/>
    <w:qFormat/>
    <w:uiPriority w:val="0"/>
    <w:pPr>
      <w:widowControl w:val="0"/>
      <w:spacing w:line="360" w:lineRule="auto"/>
      <w:ind w:firstLine="480" w:firstLineChars="200"/>
      <w:jc w:val="both"/>
    </w:pPr>
    <w:rPr>
      <w:rFonts w:ascii="Times New Roman" w:hAnsi="Times New Roman" w:eastAsia="宋体" w:cs="Times New Roman"/>
      <w:kern w:val="2"/>
      <w:sz w:val="24"/>
      <w:szCs w:val="22"/>
      <w:lang w:val="en-US" w:eastAsia="zh-CN" w:bidi="ar-SA"/>
    </w:rPr>
  </w:style>
  <w:style w:type="paragraph" w:customStyle="1" w:styleId="21">
    <w:name w:val="正文_1"/>
    <w:qFormat/>
    <w:uiPriority w:val="0"/>
    <w:rPr>
      <w:rFonts w:ascii="Times New Roman" w:hAnsi="Times New Roman" w:eastAsia="宋体" w:cs="Times New Roman"/>
      <w:sz w:val="21"/>
      <w:lang w:val="en-US" w:eastAsia="zh-CN" w:bidi="ar-SA"/>
    </w:rPr>
  </w:style>
  <w:style w:type="paragraph" w:customStyle="1" w:styleId="22">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1102</Words>
  <Characters>1217</Characters>
  <Lines>9</Lines>
  <Paragraphs>2</Paragraphs>
  <TotalTime>0</TotalTime>
  <ScaleCrop>false</ScaleCrop>
  <LinksUpToDate>false</LinksUpToDate>
  <CharactersWithSpaces>1226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欧阳晋杰</cp:lastModifiedBy>
  <dcterms:modified xsi:type="dcterms:W3CDTF">2024-07-03T03:44:20Z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C7E597CF00E4425CA264B0035BF04561_12</vt:lpwstr>
  </property>
</Properties>
</file>