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ascii="宋体" w:hAnsi="宋体" w:cs="宋体"/>
          <w:color w:val="auto"/>
          <w:sz w:val="24"/>
        </w:rPr>
      </w:pPr>
    </w:p>
    <w:p>
      <w:pPr>
        <w:spacing w:line="360" w:lineRule="auto"/>
        <w:ind w:firstLine="480" w:firstLineChars="200"/>
        <w:rPr>
          <w:rFonts w:ascii="宋体" w:hAnsi="宋体" w:cs="宋体"/>
          <w:color w:val="auto"/>
          <w:sz w:val="24"/>
        </w:rPr>
      </w:pPr>
    </w:p>
    <w:p>
      <w:pPr>
        <w:spacing w:line="360" w:lineRule="auto"/>
        <w:ind w:firstLine="480" w:firstLineChars="200"/>
        <w:rPr>
          <w:rFonts w:ascii="宋体" w:hAnsi="宋体" w:cs="宋体"/>
          <w:color w:val="auto"/>
          <w:sz w:val="24"/>
        </w:rPr>
      </w:pPr>
    </w:p>
    <w:p>
      <w:pPr>
        <w:spacing w:line="360" w:lineRule="auto"/>
        <w:ind w:firstLine="480" w:firstLineChars="200"/>
        <w:rPr>
          <w:rFonts w:ascii="宋体" w:hAnsi="宋体" w:cs="宋体"/>
          <w:color w:val="auto"/>
          <w:sz w:val="24"/>
        </w:rPr>
      </w:pPr>
    </w:p>
    <w:p>
      <w:pPr>
        <w:jc w:val="center"/>
        <w:rPr>
          <w:color w:val="auto"/>
          <w:sz w:val="52"/>
          <w:szCs w:val="52"/>
        </w:rPr>
      </w:pPr>
      <w:r>
        <w:rPr>
          <w:rFonts w:hint="eastAsia"/>
          <w:color w:val="auto"/>
          <w:sz w:val="52"/>
          <w:szCs w:val="52"/>
        </w:rPr>
        <w:t>天河外国语学校智慧城校区周边</w:t>
      </w:r>
    </w:p>
    <w:p>
      <w:pPr>
        <w:jc w:val="center"/>
        <w:rPr>
          <w:color w:val="auto"/>
          <w:sz w:val="52"/>
          <w:szCs w:val="52"/>
        </w:rPr>
      </w:pPr>
      <w:r>
        <w:rPr>
          <w:rFonts w:hint="eastAsia"/>
          <w:color w:val="auto"/>
          <w:sz w:val="52"/>
          <w:szCs w:val="52"/>
        </w:rPr>
        <w:t>道路建设工程</w:t>
      </w:r>
    </w:p>
    <w:p>
      <w:pPr>
        <w:jc w:val="center"/>
        <w:rPr>
          <w:color w:val="auto"/>
          <w:sz w:val="52"/>
          <w:szCs w:val="52"/>
        </w:rPr>
      </w:pPr>
      <w:r>
        <w:rPr>
          <w:rFonts w:hint="eastAsia"/>
          <w:color w:val="auto"/>
          <w:sz w:val="52"/>
          <w:szCs w:val="52"/>
        </w:rPr>
        <w:t>勘察设计任务书</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0"/>
        <w:rPr>
          <w:color w:val="auto"/>
        </w:rPr>
      </w:pPr>
    </w:p>
    <w:p>
      <w:pPr>
        <w:pStyle w:val="10"/>
        <w:rPr>
          <w:color w:val="auto"/>
        </w:rPr>
      </w:pPr>
    </w:p>
    <w:p>
      <w:pPr>
        <w:pStyle w:val="10"/>
        <w:rPr>
          <w:color w:val="auto"/>
        </w:rPr>
      </w:pPr>
    </w:p>
    <w:p>
      <w:pPr>
        <w:pStyle w:val="10"/>
        <w:rPr>
          <w:color w:val="auto"/>
        </w:rPr>
      </w:pPr>
    </w:p>
    <w:p>
      <w:pPr>
        <w:pStyle w:val="10"/>
        <w:rPr>
          <w:color w:val="auto"/>
        </w:rPr>
      </w:pPr>
    </w:p>
    <w:p>
      <w:pPr>
        <w:pStyle w:val="10"/>
        <w:rPr>
          <w:color w:val="auto"/>
        </w:rPr>
      </w:pPr>
    </w:p>
    <w:p>
      <w:pPr>
        <w:pStyle w:val="10"/>
        <w:rPr>
          <w:color w:val="auto"/>
        </w:rPr>
      </w:pPr>
    </w:p>
    <w:p>
      <w:pPr>
        <w:rPr>
          <w:color w:val="auto"/>
        </w:rPr>
      </w:pPr>
    </w:p>
    <w:p>
      <w:pPr>
        <w:rPr>
          <w:color w:val="auto"/>
        </w:rPr>
      </w:pPr>
    </w:p>
    <w:p>
      <w:pPr>
        <w:rPr>
          <w:color w:val="auto"/>
        </w:rPr>
      </w:pPr>
    </w:p>
    <w:p>
      <w:pPr>
        <w:jc w:val="center"/>
        <w:rPr>
          <w:color w:val="auto"/>
          <w:sz w:val="36"/>
          <w:szCs w:val="36"/>
        </w:rPr>
      </w:pPr>
    </w:p>
    <w:p>
      <w:pPr>
        <w:jc w:val="center"/>
        <w:rPr>
          <w:color w:val="auto"/>
          <w:sz w:val="36"/>
          <w:szCs w:val="36"/>
        </w:rPr>
      </w:pPr>
      <w:r>
        <w:rPr>
          <w:rFonts w:hint="eastAsia"/>
          <w:color w:val="auto"/>
          <w:sz w:val="36"/>
          <w:szCs w:val="36"/>
        </w:rPr>
        <w:t>广州市天河区建设工程项目代建局</w:t>
      </w:r>
    </w:p>
    <w:p>
      <w:pPr>
        <w:jc w:val="center"/>
        <w:rPr>
          <w:color w:val="auto"/>
          <w:sz w:val="36"/>
          <w:szCs w:val="36"/>
        </w:rPr>
      </w:pPr>
      <w:r>
        <w:rPr>
          <w:rFonts w:hint="eastAsia"/>
          <w:color w:val="auto"/>
          <w:sz w:val="36"/>
          <w:szCs w:val="36"/>
        </w:rPr>
        <w:t>2024年</w:t>
      </w:r>
      <w:r>
        <w:rPr>
          <w:rFonts w:hint="eastAsia"/>
          <w:color w:val="auto"/>
          <w:sz w:val="36"/>
          <w:szCs w:val="36"/>
          <w:lang w:val="en-US" w:eastAsia="zh-CN"/>
        </w:rPr>
        <w:t>7</w:t>
      </w:r>
      <w:r>
        <w:rPr>
          <w:rFonts w:hint="eastAsia"/>
          <w:color w:val="auto"/>
          <w:sz w:val="36"/>
          <w:szCs w:val="36"/>
        </w:rPr>
        <w:t>月</w:t>
      </w:r>
    </w:p>
    <w:p>
      <w:pPr>
        <w:spacing w:line="360" w:lineRule="auto"/>
        <w:ind w:firstLine="720" w:firstLineChars="200"/>
        <w:jc w:val="center"/>
        <w:rPr>
          <w:rFonts w:ascii="宋体" w:hAnsi="宋体" w:cs="宋体"/>
          <w:color w:val="auto"/>
          <w:sz w:val="36"/>
          <w:szCs w:val="36"/>
        </w:rPr>
      </w:pPr>
    </w:p>
    <w:p>
      <w:pPr>
        <w:pStyle w:val="2"/>
        <w:tabs>
          <w:tab w:val="left" w:pos="3570"/>
        </w:tabs>
        <w:spacing w:before="156" w:beforeLines="50" w:after="156" w:afterLines="50" w:line="360" w:lineRule="auto"/>
        <w:ind w:firstLine="560" w:firstLineChars="200"/>
        <w:rPr>
          <w:rFonts w:ascii="宋体" w:hAnsi="宋体" w:eastAsia="宋体" w:cs="宋体"/>
          <w:b w:val="0"/>
          <w:color w:val="auto"/>
          <w:sz w:val="28"/>
          <w:szCs w:val="28"/>
        </w:rPr>
        <w:sectPr>
          <w:footerReference r:id="rId6" w:type="first"/>
          <w:headerReference r:id="rId3" w:type="default"/>
          <w:footerReference r:id="rId4" w:type="default"/>
          <w:footerReference r:id="rId5" w:type="even"/>
          <w:pgSz w:w="11906" w:h="16838"/>
          <w:pgMar w:top="1418" w:right="1418" w:bottom="1418" w:left="1418" w:header="851" w:footer="992" w:gutter="0"/>
          <w:pgNumType w:start="0"/>
          <w:cols w:space="720" w:num="1"/>
          <w:docGrid w:type="lines" w:linePitch="312" w:charSpace="0"/>
        </w:sectPr>
      </w:pPr>
      <w:bookmarkStart w:id="220" w:name="_GoBack"/>
      <w:bookmarkEnd w:id="220"/>
    </w:p>
    <w:sdt>
      <w:sdtPr>
        <w:rPr>
          <w:rFonts w:ascii="宋体" w:hAnsi="宋体"/>
          <w:color w:val="auto"/>
        </w:rPr>
        <w:id w:val="147458792"/>
        <w15:color w:val="DBDBDB"/>
        <w:docPartObj>
          <w:docPartGallery w:val="Table of Contents"/>
          <w:docPartUnique/>
        </w:docPartObj>
      </w:sdtPr>
      <w:sdtEndPr>
        <w:rPr>
          <w:rFonts w:ascii="宋体" w:hAnsi="宋体"/>
          <w:b/>
          <w:color w:val="auto"/>
        </w:rPr>
      </w:sdtEndPr>
      <w:sdtContent>
        <w:p>
          <w:pPr>
            <w:jc w:val="center"/>
            <w:rPr>
              <w:color w:val="auto"/>
            </w:rPr>
          </w:pPr>
          <w:r>
            <w:rPr>
              <w:rFonts w:ascii="宋体" w:hAnsi="宋体"/>
              <w:color w:val="auto"/>
            </w:rPr>
            <w:t>目录</w:t>
          </w:r>
        </w:p>
        <w:p>
          <w:pPr>
            <w:pStyle w:val="14"/>
            <w:tabs>
              <w:tab w:val="right" w:leader="dot" w:pos="9070"/>
            </w:tabs>
            <w:rPr>
              <w:color w:val="auto"/>
            </w:rPr>
          </w:pPr>
          <w:r>
            <w:rPr>
              <w:color w:val="auto"/>
            </w:rPr>
            <w:fldChar w:fldCharType="begin"/>
          </w:r>
          <w:r>
            <w:rPr>
              <w:color w:val="auto"/>
            </w:rPr>
            <w:instrText xml:space="preserve">TOC \o "1-2" \h \u </w:instrText>
          </w:r>
          <w:r>
            <w:rPr>
              <w:color w:val="auto"/>
            </w:rPr>
            <w:fldChar w:fldCharType="separate"/>
          </w:r>
          <w:r>
            <w:rPr>
              <w:color w:val="auto"/>
            </w:rPr>
            <w:fldChar w:fldCharType="begin"/>
          </w:r>
          <w:r>
            <w:rPr>
              <w:color w:val="auto"/>
            </w:rPr>
            <w:instrText xml:space="preserve"> HYPERLINK \l "_Toc2466" </w:instrText>
          </w:r>
          <w:r>
            <w:rPr>
              <w:color w:val="auto"/>
            </w:rPr>
            <w:fldChar w:fldCharType="separate"/>
          </w:r>
          <w:r>
            <w:rPr>
              <w:rFonts w:hint="eastAsia" w:ascii="宋体" w:hAnsi="宋体" w:cs="宋体"/>
              <w:bCs/>
              <w:color w:val="auto"/>
              <w:kern w:val="44"/>
              <w:szCs w:val="44"/>
            </w:rPr>
            <w:t>第一章</w:t>
          </w:r>
          <w:r>
            <w:rPr>
              <w:rFonts w:ascii="宋体" w:hAnsi="宋体" w:cs="宋体"/>
              <w:bCs/>
              <w:color w:val="auto"/>
              <w:kern w:val="44"/>
              <w:szCs w:val="44"/>
            </w:rPr>
            <w:t xml:space="preserve"> </w:t>
          </w:r>
          <w:r>
            <w:rPr>
              <w:rFonts w:hint="eastAsia" w:ascii="宋体" w:hAnsi="宋体" w:cs="宋体"/>
              <w:bCs/>
              <w:color w:val="auto"/>
              <w:kern w:val="44"/>
              <w:szCs w:val="44"/>
            </w:rPr>
            <w:t>项目概况</w:t>
          </w:r>
          <w:r>
            <w:rPr>
              <w:color w:val="auto"/>
            </w:rPr>
            <w:tab/>
          </w:r>
          <w:r>
            <w:rPr>
              <w:color w:val="auto"/>
            </w:rPr>
            <w:fldChar w:fldCharType="begin"/>
          </w:r>
          <w:r>
            <w:rPr>
              <w:color w:val="auto"/>
            </w:rPr>
            <w:instrText xml:space="preserve"> PAGEREF _Toc2466 \h </w:instrText>
          </w:r>
          <w:r>
            <w:rPr>
              <w:color w:val="auto"/>
            </w:rPr>
            <w:fldChar w:fldCharType="separate"/>
          </w:r>
          <w:r>
            <w:rPr>
              <w:color w:val="auto"/>
            </w:rPr>
            <w:t>2</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"_Toc13796" </w:instrText>
          </w:r>
          <w:r>
            <w:rPr>
              <w:color w:val="auto"/>
            </w:rPr>
            <w:fldChar w:fldCharType="separate"/>
          </w:r>
          <w:r>
            <w:rPr>
              <w:rFonts w:hint="eastAsia" w:ascii="宋体" w:hAnsi="宋体" w:cs="宋体"/>
              <w:color w:val="auto"/>
            </w:rPr>
            <w:t>1.1项目基本信息</w:t>
          </w:r>
          <w:r>
            <w:rPr>
              <w:color w:val="auto"/>
            </w:rPr>
            <w:tab/>
          </w:r>
          <w:r>
            <w:rPr>
              <w:color w:val="auto"/>
            </w:rPr>
            <w:fldChar w:fldCharType="begin"/>
          </w:r>
          <w:r>
            <w:rPr>
              <w:color w:val="auto"/>
            </w:rPr>
            <w:instrText xml:space="preserve"> PAGEREF _Toc13796 \h </w:instrText>
          </w:r>
          <w:r>
            <w:rPr>
              <w:color w:val="auto"/>
            </w:rPr>
            <w:fldChar w:fldCharType="separate"/>
          </w:r>
          <w:r>
            <w:rPr>
              <w:color w:val="auto"/>
            </w:rPr>
            <w:t>2</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"_Toc22783" </w:instrText>
          </w:r>
          <w:r>
            <w:rPr>
              <w:color w:val="auto"/>
            </w:rPr>
            <w:fldChar w:fldCharType="separate"/>
          </w:r>
          <w:r>
            <w:rPr>
              <w:rFonts w:hint="eastAsia" w:ascii="宋体" w:hAnsi="宋体" w:cs="宋体"/>
              <w:color w:val="auto"/>
            </w:rPr>
            <w:t>1.2项目建设范围及勘察设计范围</w:t>
          </w:r>
          <w:r>
            <w:rPr>
              <w:color w:val="auto"/>
            </w:rPr>
            <w:tab/>
          </w:r>
          <w:r>
            <w:rPr>
              <w:color w:val="auto"/>
            </w:rPr>
            <w:fldChar w:fldCharType="begin"/>
          </w:r>
          <w:r>
            <w:rPr>
              <w:color w:val="auto"/>
            </w:rPr>
            <w:instrText xml:space="preserve"> PAGEREF _Toc22783 \h </w:instrText>
          </w:r>
          <w:r>
            <w:rPr>
              <w:color w:val="auto"/>
            </w:rPr>
            <w:fldChar w:fldCharType="separate"/>
          </w:r>
          <w:r>
            <w:rPr>
              <w:color w:val="auto"/>
            </w:rPr>
            <w:t>6</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"_Toc4668" </w:instrText>
          </w:r>
          <w:r>
            <w:rPr>
              <w:color w:val="auto"/>
            </w:rPr>
            <w:fldChar w:fldCharType="separate"/>
          </w:r>
          <w:r>
            <w:rPr>
              <w:rFonts w:hint="eastAsia" w:ascii="宋体" w:hAnsi="宋体" w:cs="宋体"/>
              <w:color w:val="auto"/>
            </w:rPr>
            <w:t>1.3拟建场址、现状情况</w:t>
          </w:r>
          <w:r>
            <w:rPr>
              <w:color w:val="auto"/>
            </w:rPr>
            <w:tab/>
          </w:r>
          <w:r>
            <w:rPr>
              <w:color w:val="auto"/>
            </w:rPr>
            <w:fldChar w:fldCharType="begin"/>
          </w:r>
          <w:r>
            <w:rPr>
              <w:color w:val="auto"/>
            </w:rPr>
            <w:instrText xml:space="preserve"> PAGEREF _Toc4668 \h </w:instrText>
          </w:r>
          <w:r>
            <w:rPr>
              <w:color w:val="auto"/>
            </w:rPr>
            <w:fldChar w:fldCharType="separate"/>
          </w:r>
          <w:r>
            <w:rPr>
              <w:color w:val="auto"/>
            </w:rPr>
            <w:t>8</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"_Toc28747" </w:instrText>
          </w:r>
          <w:r>
            <w:rPr>
              <w:color w:val="auto"/>
            </w:rPr>
            <w:fldChar w:fldCharType="separate"/>
          </w:r>
          <w:r>
            <w:rPr>
              <w:rFonts w:hint="eastAsia" w:ascii="宋体" w:hAnsi="宋体" w:cs="宋体"/>
              <w:color w:val="auto"/>
            </w:rPr>
            <w:t>第二章 设计原则及设计内容</w:t>
          </w:r>
          <w:r>
            <w:rPr>
              <w:color w:val="auto"/>
            </w:rPr>
            <w:tab/>
          </w:r>
          <w:r>
            <w:rPr>
              <w:color w:val="auto"/>
            </w:rPr>
            <w:fldChar w:fldCharType="begin"/>
          </w:r>
          <w:r>
            <w:rPr>
              <w:color w:val="auto"/>
            </w:rPr>
            <w:instrText xml:space="preserve"> PAGEREF _Toc28747 \h </w:instrText>
          </w:r>
          <w:r>
            <w:rPr>
              <w:color w:val="auto"/>
            </w:rPr>
            <w:fldChar w:fldCharType="separate"/>
          </w:r>
          <w:r>
            <w:rPr>
              <w:color w:val="auto"/>
            </w:rPr>
            <w:t>11</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"_Toc9338" </w:instrText>
          </w:r>
          <w:r>
            <w:rPr>
              <w:color w:val="auto"/>
            </w:rPr>
            <w:fldChar w:fldCharType="separate"/>
          </w:r>
          <w:r>
            <w:rPr>
              <w:rFonts w:hint="eastAsia" w:ascii="宋体" w:hAnsi="宋体" w:cs="宋体"/>
              <w:color w:val="auto"/>
            </w:rPr>
            <w:t>2.1设计原则</w:t>
          </w:r>
          <w:r>
            <w:rPr>
              <w:color w:val="auto"/>
            </w:rPr>
            <w:tab/>
          </w:r>
          <w:r>
            <w:rPr>
              <w:color w:val="auto"/>
            </w:rPr>
            <w:fldChar w:fldCharType="begin"/>
          </w:r>
          <w:r>
            <w:rPr>
              <w:color w:val="auto"/>
            </w:rPr>
            <w:instrText xml:space="preserve"> PAGEREF _Toc9338 \h </w:instrText>
          </w:r>
          <w:r>
            <w:rPr>
              <w:color w:val="auto"/>
            </w:rPr>
            <w:fldChar w:fldCharType="separate"/>
          </w:r>
          <w:r>
            <w:rPr>
              <w:color w:val="auto"/>
            </w:rPr>
            <w:t>11</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"_Toc6605" </w:instrText>
          </w:r>
          <w:r>
            <w:rPr>
              <w:color w:val="auto"/>
            </w:rPr>
            <w:fldChar w:fldCharType="separate"/>
          </w:r>
          <w:r>
            <w:rPr>
              <w:rFonts w:hint="eastAsia" w:ascii="宋体" w:hAnsi="宋体" w:cs="宋体"/>
              <w:color w:val="auto"/>
            </w:rPr>
            <w:t>2.2勘察设计内容</w:t>
          </w:r>
          <w:r>
            <w:rPr>
              <w:color w:val="auto"/>
            </w:rPr>
            <w:tab/>
          </w:r>
          <w:r>
            <w:rPr>
              <w:color w:val="auto"/>
            </w:rPr>
            <w:fldChar w:fldCharType="begin"/>
          </w:r>
          <w:r>
            <w:rPr>
              <w:color w:val="auto"/>
            </w:rPr>
            <w:instrText xml:space="preserve"> PAGEREF _Toc6605 \h </w:instrText>
          </w:r>
          <w:r>
            <w:rPr>
              <w:color w:val="auto"/>
            </w:rPr>
            <w:fldChar w:fldCharType="separate"/>
          </w:r>
          <w:r>
            <w:rPr>
              <w:color w:val="auto"/>
            </w:rPr>
            <w:t>12</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"_Toc19809" </w:instrText>
          </w:r>
          <w:r>
            <w:rPr>
              <w:color w:val="auto"/>
            </w:rPr>
            <w:fldChar w:fldCharType="separate"/>
          </w:r>
          <w:r>
            <w:rPr>
              <w:rFonts w:hint="eastAsia" w:ascii="宋体" w:hAnsi="宋体" w:cs="宋体"/>
              <w:color w:val="auto"/>
            </w:rPr>
            <w:t>第三章 勘察设计要求</w:t>
          </w:r>
          <w:r>
            <w:rPr>
              <w:color w:val="auto"/>
            </w:rPr>
            <w:tab/>
          </w:r>
          <w:r>
            <w:rPr>
              <w:color w:val="auto"/>
            </w:rPr>
            <w:fldChar w:fldCharType="begin"/>
          </w:r>
          <w:r>
            <w:rPr>
              <w:color w:val="auto"/>
            </w:rPr>
            <w:instrText xml:space="preserve"> PAGEREF _Toc19809 \h </w:instrText>
          </w:r>
          <w:r>
            <w:rPr>
              <w:color w:val="auto"/>
            </w:rPr>
            <w:fldChar w:fldCharType="separate"/>
          </w:r>
          <w:r>
            <w:rPr>
              <w:color w:val="auto"/>
            </w:rPr>
            <w:t>14</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"_Toc23658" </w:instrText>
          </w:r>
          <w:r>
            <w:rPr>
              <w:color w:val="auto"/>
            </w:rPr>
            <w:fldChar w:fldCharType="separate"/>
          </w:r>
          <w:r>
            <w:rPr>
              <w:rFonts w:hint="eastAsia" w:ascii="宋体" w:hAnsi="宋体" w:cs="宋体"/>
              <w:color w:val="auto"/>
            </w:rPr>
            <w:t>3.1勘察设计总体要求</w:t>
          </w:r>
          <w:r>
            <w:rPr>
              <w:color w:val="auto"/>
            </w:rPr>
            <w:tab/>
          </w:r>
          <w:r>
            <w:rPr>
              <w:color w:val="auto"/>
            </w:rPr>
            <w:fldChar w:fldCharType="begin"/>
          </w:r>
          <w:r>
            <w:rPr>
              <w:color w:val="auto"/>
            </w:rPr>
            <w:instrText xml:space="preserve"> PAGEREF _Toc23658 \h </w:instrText>
          </w:r>
          <w:r>
            <w:rPr>
              <w:color w:val="auto"/>
            </w:rPr>
            <w:fldChar w:fldCharType="separate"/>
          </w:r>
          <w:r>
            <w:rPr>
              <w:color w:val="auto"/>
            </w:rPr>
            <w:t>14</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"_Toc17584" </w:instrText>
          </w:r>
          <w:r>
            <w:rPr>
              <w:color w:val="auto"/>
            </w:rPr>
            <w:fldChar w:fldCharType="separate"/>
          </w:r>
          <w:r>
            <w:rPr>
              <w:rFonts w:hint="eastAsia" w:ascii="宋体" w:hAnsi="宋体" w:cs="宋体"/>
              <w:color w:val="auto"/>
            </w:rPr>
            <w:t>3.2勘察工作要求</w:t>
          </w:r>
          <w:r>
            <w:rPr>
              <w:color w:val="auto"/>
            </w:rPr>
            <w:tab/>
          </w:r>
          <w:r>
            <w:rPr>
              <w:color w:val="auto"/>
            </w:rPr>
            <w:fldChar w:fldCharType="begin"/>
          </w:r>
          <w:r>
            <w:rPr>
              <w:color w:val="auto"/>
            </w:rPr>
            <w:instrText xml:space="preserve"> PAGEREF _Toc17584 \h </w:instrText>
          </w:r>
          <w:r>
            <w:rPr>
              <w:color w:val="auto"/>
            </w:rPr>
            <w:fldChar w:fldCharType="separate"/>
          </w:r>
          <w:r>
            <w:rPr>
              <w:color w:val="auto"/>
            </w:rPr>
            <w:t>14</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"_Toc21418" </w:instrText>
          </w:r>
          <w:r>
            <w:rPr>
              <w:color w:val="auto"/>
            </w:rPr>
            <w:fldChar w:fldCharType="separate"/>
          </w:r>
          <w:r>
            <w:rPr>
              <w:rFonts w:hint="eastAsia" w:ascii="宋体" w:hAnsi="宋体" w:cs="宋体"/>
              <w:color w:val="auto"/>
            </w:rPr>
            <w:t>3.3设计工作要求</w:t>
          </w:r>
          <w:r>
            <w:rPr>
              <w:color w:val="auto"/>
            </w:rPr>
            <w:tab/>
          </w:r>
          <w:r>
            <w:rPr>
              <w:color w:val="auto"/>
            </w:rPr>
            <w:fldChar w:fldCharType="begin"/>
          </w:r>
          <w:r>
            <w:rPr>
              <w:color w:val="auto"/>
            </w:rPr>
            <w:instrText xml:space="preserve"> PAGEREF _Toc21418 \h </w:instrText>
          </w:r>
          <w:r>
            <w:rPr>
              <w:color w:val="auto"/>
            </w:rPr>
            <w:fldChar w:fldCharType="separate"/>
          </w:r>
          <w:r>
            <w:rPr>
              <w:color w:val="auto"/>
            </w:rPr>
            <w:t>16</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"_Toc30599" </w:instrText>
          </w:r>
          <w:r>
            <w:rPr>
              <w:color w:val="auto"/>
            </w:rPr>
            <w:fldChar w:fldCharType="separate"/>
          </w:r>
          <w:r>
            <w:rPr>
              <w:rFonts w:hint="eastAsia" w:ascii="宋体" w:hAnsi="宋体" w:cs="宋体"/>
              <w:color w:val="auto"/>
            </w:rPr>
            <w:t>3.4造价工作要求</w:t>
          </w:r>
          <w:r>
            <w:rPr>
              <w:color w:val="auto"/>
            </w:rPr>
            <w:tab/>
          </w:r>
          <w:r>
            <w:rPr>
              <w:color w:val="auto"/>
            </w:rPr>
            <w:fldChar w:fldCharType="begin"/>
          </w:r>
          <w:r>
            <w:rPr>
              <w:color w:val="auto"/>
            </w:rPr>
            <w:instrText xml:space="preserve"> PAGEREF _Toc30599 \h </w:instrText>
          </w:r>
          <w:r>
            <w:rPr>
              <w:color w:val="auto"/>
            </w:rPr>
            <w:fldChar w:fldCharType="separate"/>
          </w:r>
          <w:r>
            <w:rPr>
              <w:color w:val="auto"/>
            </w:rPr>
            <w:t>18</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"_Toc24832" </w:instrText>
          </w:r>
          <w:r>
            <w:rPr>
              <w:color w:val="auto"/>
            </w:rPr>
            <w:fldChar w:fldCharType="separate"/>
          </w:r>
          <w:r>
            <w:rPr>
              <w:rFonts w:hint="eastAsia" w:ascii="宋体" w:hAnsi="宋体" w:cs="宋体"/>
              <w:color w:val="auto"/>
            </w:rPr>
            <w:t>第四章  勘察设计人员组织要求</w:t>
          </w:r>
          <w:r>
            <w:rPr>
              <w:color w:val="auto"/>
            </w:rPr>
            <w:tab/>
          </w:r>
          <w:r>
            <w:rPr>
              <w:color w:val="auto"/>
            </w:rPr>
            <w:fldChar w:fldCharType="begin"/>
          </w:r>
          <w:r>
            <w:rPr>
              <w:color w:val="auto"/>
            </w:rPr>
            <w:instrText xml:space="preserve"> PAGEREF _Toc24832 \h </w:instrText>
          </w:r>
          <w:r>
            <w:rPr>
              <w:color w:val="auto"/>
            </w:rPr>
            <w:fldChar w:fldCharType="separate"/>
          </w:r>
          <w:r>
            <w:rPr>
              <w:color w:val="auto"/>
            </w:rPr>
            <w:t>19</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"_Toc3866" </w:instrText>
          </w:r>
          <w:r>
            <w:rPr>
              <w:color w:val="auto"/>
            </w:rPr>
            <w:fldChar w:fldCharType="separate"/>
          </w:r>
          <w:r>
            <w:rPr>
              <w:rFonts w:hint="eastAsia" w:ascii="宋体" w:hAnsi="宋体" w:cs="宋体"/>
              <w:color w:val="auto"/>
            </w:rPr>
            <w:t>4.1设计人员组织管理</w:t>
          </w:r>
          <w:r>
            <w:rPr>
              <w:color w:val="auto"/>
            </w:rPr>
            <w:tab/>
          </w:r>
          <w:r>
            <w:rPr>
              <w:color w:val="auto"/>
            </w:rPr>
            <w:fldChar w:fldCharType="begin"/>
          </w:r>
          <w:r>
            <w:rPr>
              <w:color w:val="auto"/>
            </w:rPr>
            <w:instrText xml:space="preserve"> PAGEREF _Toc3866 \h </w:instrText>
          </w:r>
          <w:r>
            <w:rPr>
              <w:color w:val="auto"/>
            </w:rPr>
            <w:fldChar w:fldCharType="separate"/>
          </w:r>
          <w:r>
            <w:rPr>
              <w:color w:val="auto"/>
            </w:rPr>
            <w:t>19</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"_Toc18478" </w:instrText>
          </w:r>
          <w:r>
            <w:rPr>
              <w:color w:val="auto"/>
            </w:rPr>
            <w:fldChar w:fldCharType="separate"/>
          </w:r>
          <w:r>
            <w:rPr>
              <w:rFonts w:hint="eastAsia" w:ascii="宋体" w:hAnsi="宋体" w:cs="宋体"/>
              <w:color w:val="auto"/>
            </w:rPr>
            <w:t>4.2驻场人员要求</w:t>
          </w:r>
          <w:r>
            <w:rPr>
              <w:color w:val="auto"/>
            </w:rPr>
            <w:tab/>
          </w:r>
          <w:r>
            <w:rPr>
              <w:color w:val="auto"/>
            </w:rPr>
            <w:fldChar w:fldCharType="begin"/>
          </w:r>
          <w:r>
            <w:rPr>
              <w:color w:val="auto"/>
            </w:rPr>
            <w:instrText xml:space="preserve"> PAGEREF _Toc18478 \h </w:instrText>
          </w:r>
          <w:r>
            <w:rPr>
              <w:color w:val="auto"/>
            </w:rPr>
            <w:fldChar w:fldCharType="separate"/>
          </w:r>
          <w:r>
            <w:rPr>
              <w:color w:val="auto"/>
            </w:rPr>
            <w:t>20</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"_Toc2549" </w:instrText>
          </w:r>
          <w:r>
            <w:rPr>
              <w:color w:val="auto"/>
            </w:rPr>
            <w:fldChar w:fldCharType="separate"/>
          </w:r>
          <w:r>
            <w:rPr>
              <w:rFonts w:hint="eastAsia" w:ascii="宋体" w:hAnsi="宋体" w:cs="宋体"/>
              <w:color w:val="auto"/>
            </w:rPr>
            <w:t>第五章 勘察设计成果提交要求</w:t>
          </w:r>
          <w:r>
            <w:rPr>
              <w:color w:val="auto"/>
            </w:rPr>
            <w:tab/>
          </w:r>
          <w:r>
            <w:rPr>
              <w:color w:val="auto"/>
            </w:rPr>
            <w:fldChar w:fldCharType="begin"/>
          </w:r>
          <w:r>
            <w:rPr>
              <w:color w:val="auto"/>
            </w:rPr>
            <w:instrText xml:space="preserve"> PAGEREF _Toc2549 \h </w:instrText>
          </w:r>
          <w:r>
            <w:rPr>
              <w:color w:val="auto"/>
            </w:rPr>
            <w:fldChar w:fldCharType="separate"/>
          </w:r>
          <w:r>
            <w:rPr>
              <w:color w:val="auto"/>
            </w:rPr>
            <w:t>22</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"_Toc6149" </w:instrText>
          </w:r>
          <w:r>
            <w:rPr>
              <w:color w:val="auto"/>
            </w:rPr>
            <w:fldChar w:fldCharType="separate"/>
          </w:r>
          <w:r>
            <w:rPr>
              <w:rFonts w:hint="eastAsia" w:ascii="宋体" w:hAnsi="宋体" w:cs="宋体"/>
              <w:color w:val="auto"/>
            </w:rPr>
            <w:t>5.1通用要求</w:t>
          </w:r>
          <w:r>
            <w:rPr>
              <w:color w:val="auto"/>
            </w:rPr>
            <w:tab/>
          </w:r>
          <w:r>
            <w:rPr>
              <w:color w:val="auto"/>
            </w:rPr>
            <w:fldChar w:fldCharType="begin"/>
          </w:r>
          <w:r>
            <w:rPr>
              <w:color w:val="auto"/>
            </w:rPr>
            <w:instrText xml:space="preserve"> PAGEREF _Toc6149 \h </w:instrText>
          </w:r>
          <w:r>
            <w:rPr>
              <w:color w:val="auto"/>
            </w:rPr>
            <w:fldChar w:fldCharType="separate"/>
          </w:r>
          <w:r>
            <w:rPr>
              <w:color w:val="auto"/>
            </w:rPr>
            <w:t>22</w:t>
          </w:r>
          <w:r>
            <w:rPr>
              <w:color w:val="auto"/>
            </w:rPr>
            <w:fldChar w:fldCharType="end"/>
          </w:r>
          <w:r>
            <w:rPr>
              <w:color w:val="auto"/>
            </w:rPr>
            <w:fldChar w:fldCharType="end"/>
          </w:r>
        </w:p>
        <w:p>
          <w:pPr>
            <w:pStyle w:val="16"/>
            <w:tabs>
              <w:tab w:val="right" w:leader="dot" w:pos="9070"/>
            </w:tabs>
            <w:rPr>
              <w:color w:val="auto"/>
            </w:rPr>
          </w:pPr>
          <w:r>
            <w:rPr>
              <w:color w:val="auto"/>
            </w:rPr>
            <w:fldChar w:fldCharType="begin"/>
          </w:r>
          <w:r>
            <w:rPr>
              <w:color w:val="auto"/>
            </w:rPr>
            <w:instrText xml:space="preserve"> HYPERLINK \l "_Toc25688" </w:instrText>
          </w:r>
          <w:r>
            <w:rPr>
              <w:color w:val="auto"/>
            </w:rPr>
            <w:fldChar w:fldCharType="separate"/>
          </w:r>
          <w:r>
            <w:rPr>
              <w:rFonts w:hint="eastAsia" w:ascii="宋体" w:hAnsi="宋体" w:cs="宋体"/>
              <w:color w:val="auto"/>
            </w:rPr>
            <w:t>5.2提交设计资料要求</w:t>
          </w:r>
          <w:r>
            <w:rPr>
              <w:color w:val="auto"/>
            </w:rPr>
            <w:tab/>
          </w:r>
          <w:r>
            <w:rPr>
              <w:color w:val="auto"/>
            </w:rPr>
            <w:fldChar w:fldCharType="begin"/>
          </w:r>
          <w:r>
            <w:rPr>
              <w:color w:val="auto"/>
            </w:rPr>
            <w:instrText xml:space="preserve"> PAGEREF _Toc25688 \h </w:instrText>
          </w:r>
          <w:r>
            <w:rPr>
              <w:color w:val="auto"/>
            </w:rPr>
            <w:fldChar w:fldCharType="separate"/>
          </w:r>
          <w:r>
            <w:rPr>
              <w:color w:val="auto"/>
            </w:rPr>
            <w:t>22</w:t>
          </w:r>
          <w:r>
            <w:rPr>
              <w:color w:val="auto"/>
            </w:rPr>
            <w:fldChar w:fldCharType="end"/>
          </w:r>
          <w:r>
            <w:rPr>
              <w:color w:val="auto"/>
            </w:rPr>
            <w:fldChar w:fldCharType="end"/>
          </w:r>
        </w:p>
        <w:p>
          <w:pPr>
            <w:rPr>
              <w:color w:val="auto"/>
            </w:rPr>
          </w:pPr>
          <w:r>
            <w:rPr>
              <w:color w:val="auto"/>
            </w:rPr>
            <w:fldChar w:fldCharType="end"/>
          </w:r>
        </w:p>
      </w:sdtContent>
    </w:sdt>
    <w:p>
      <w:pPr>
        <w:pStyle w:val="14"/>
        <w:tabs>
          <w:tab w:val="right" w:leader="dot" w:pos="9060"/>
        </w:tabs>
        <w:spacing w:line="360" w:lineRule="auto"/>
        <w:jc w:val="center"/>
        <w:outlineLvl w:val="0"/>
        <w:rPr>
          <w:rFonts w:ascii="宋体" w:hAnsi="宋体" w:cs="宋体"/>
          <w:color w:val="auto"/>
        </w:rPr>
      </w:pPr>
      <w:r>
        <w:rPr>
          <w:rFonts w:hint="eastAsia" w:ascii="宋体" w:hAnsi="宋体" w:cs="宋体"/>
          <w:color w:val="auto"/>
          <w:szCs w:val="20"/>
        </w:rPr>
        <w:br w:type="page"/>
      </w:r>
      <w:bookmarkStart w:id="0" w:name="_Toc448"/>
      <w:bookmarkStart w:id="1" w:name="_Toc452558092"/>
      <w:bookmarkStart w:id="2" w:name="_Toc452973676"/>
      <w:bookmarkStart w:id="3" w:name="_Toc19265"/>
      <w:bookmarkStart w:id="4" w:name="_Toc18810"/>
      <w:bookmarkStart w:id="5" w:name="_Toc5080"/>
      <w:bookmarkStart w:id="6" w:name="_Toc452558296"/>
      <w:bookmarkStart w:id="7" w:name="_Toc2466"/>
      <w:bookmarkStart w:id="8" w:name="_Toc29128"/>
      <w:bookmarkStart w:id="9" w:name="_Toc27134"/>
      <w:r>
        <w:rPr>
          <w:rFonts w:hint="eastAsia" w:ascii="宋体" w:hAnsi="宋体" w:cs="宋体"/>
          <w:b/>
          <w:bCs/>
          <w:color w:val="auto"/>
          <w:kern w:val="44"/>
          <w:sz w:val="44"/>
          <w:szCs w:val="44"/>
        </w:rPr>
        <w:t>第一章</w:t>
      </w:r>
      <w:r>
        <w:rPr>
          <w:rFonts w:ascii="宋体" w:hAnsi="宋体" w:cs="宋体"/>
          <w:b/>
          <w:bCs/>
          <w:color w:val="auto"/>
          <w:kern w:val="44"/>
          <w:sz w:val="44"/>
          <w:szCs w:val="44"/>
        </w:rPr>
        <w:t xml:space="preserve"> </w:t>
      </w:r>
      <w:r>
        <w:rPr>
          <w:rFonts w:hint="eastAsia" w:ascii="宋体" w:hAnsi="宋体" w:cs="宋体"/>
          <w:b/>
          <w:bCs/>
          <w:color w:val="auto"/>
          <w:kern w:val="44"/>
          <w:sz w:val="44"/>
          <w:szCs w:val="44"/>
        </w:rPr>
        <w:t>项目概况</w:t>
      </w:r>
      <w:bookmarkEnd w:id="0"/>
      <w:bookmarkEnd w:id="1"/>
      <w:bookmarkEnd w:id="2"/>
      <w:bookmarkEnd w:id="3"/>
      <w:bookmarkEnd w:id="4"/>
      <w:bookmarkEnd w:id="5"/>
      <w:bookmarkEnd w:id="6"/>
      <w:bookmarkEnd w:id="7"/>
      <w:bookmarkEnd w:id="8"/>
      <w:bookmarkEnd w:id="9"/>
    </w:p>
    <w:p>
      <w:pPr>
        <w:pStyle w:val="3"/>
        <w:rPr>
          <w:rFonts w:ascii="宋体" w:hAnsi="宋体" w:eastAsia="宋体" w:cs="宋体"/>
          <w:b/>
          <w:bCs w:val="0"/>
          <w:color w:val="auto"/>
          <w:szCs w:val="28"/>
        </w:rPr>
      </w:pPr>
      <w:bookmarkStart w:id="10" w:name="_Toc16106"/>
      <w:bookmarkStart w:id="11" w:name="_Toc452558297"/>
      <w:bookmarkStart w:id="12" w:name="_Toc11600"/>
      <w:bookmarkStart w:id="13" w:name="_Toc1396"/>
      <w:bookmarkStart w:id="14" w:name="_Toc452973677"/>
      <w:bookmarkStart w:id="15" w:name="_Toc5598"/>
      <w:bookmarkStart w:id="16" w:name="_Toc24986"/>
      <w:bookmarkStart w:id="17" w:name="_Toc19373"/>
      <w:bookmarkStart w:id="18" w:name="_Toc452558093"/>
      <w:bookmarkStart w:id="19" w:name="_Toc13796"/>
      <w:r>
        <w:rPr>
          <w:rFonts w:hint="eastAsia" w:ascii="宋体" w:hAnsi="宋体" w:eastAsia="宋体" w:cs="宋体"/>
          <w:b/>
          <w:bCs w:val="0"/>
          <w:color w:val="auto"/>
        </w:rPr>
        <w:t>1.1项目基本信息</w:t>
      </w:r>
      <w:bookmarkEnd w:id="10"/>
      <w:bookmarkEnd w:id="11"/>
      <w:bookmarkEnd w:id="12"/>
      <w:bookmarkEnd w:id="13"/>
      <w:bookmarkEnd w:id="14"/>
      <w:bookmarkEnd w:id="15"/>
      <w:bookmarkEnd w:id="16"/>
      <w:bookmarkEnd w:id="17"/>
      <w:bookmarkEnd w:id="18"/>
      <w:bookmarkEnd w:id="19"/>
    </w:p>
    <w:p>
      <w:pPr>
        <w:pStyle w:val="4"/>
        <w:rPr>
          <w:rFonts w:ascii="宋体" w:hAnsi="宋体" w:eastAsia="宋体" w:cs="宋体"/>
          <w:b/>
          <w:bCs w:val="0"/>
          <w:color w:val="auto"/>
        </w:rPr>
      </w:pPr>
      <w:bookmarkStart w:id="20" w:name="_Toc21929"/>
      <w:bookmarkStart w:id="21" w:name="_Toc452558298"/>
      <w:bookmarkStart w:id="22" w:name="_Toc1753"/>
      <w:bookmarkStart w:id="23" w:name="_Toc415840322"/>
      <w:bookmarkStart w:id="24" w:name="_Toc452973678"/>
      <w:bookmarkStart w:id="25" w:name="_Toc25658"/>
      <w:bookmarkStart w:id="26" w:name="_Toc29465"/>
      <w:r>
        <w:rPr>
          <w:rFonts w:hint="eastAsia" w:ascii="宋体" w:hAnsi="宋体" w:eastAsia="宋体" w:cs="宋体"/>
          <w:b/>
          <w:bCs w:val="0"/>
          <w:color w:val="auto"/>
        </w:rPr>
        <w:t>1.1.1项目名称</w:t>
      </w:r>
      <w:bookmarkEnd w:id="20"/>
      <w:bookmarkEnd w:id="21"/>
      <w:bookmarkEnd w:id="22"/>
      <w:bookmarkEnd w:id="23"/>
      <w:bookmarkEnd w:id="24"/>
      <w:bookmarkEnd w:id="25"/>
      <w:bookmarkEnd w:id="26"/>
    </w:p>
    <w:p>
      <w:pPr>
        <w:spacing w:line="360" w:lineRule="auto"/>
        <w:ind w:firstLine="480" w:firstLineChars="200"/>
        <w:rPr>
          <w:rFonts w:ascii="宋体" w:hAnsi="宋体"/>
          <w:color w:val="auto"/>
          <w:sz w:val="24"/>
        </w:rPr>
      </w:pPr>
      <w:bookmarkStart w:id="27" w:name="_Toc8"/>
      <w:bookmarkStart w:id="28" w:name="_Toc32697"/>
      <w:bookmarkStart w:id="29" w:name="_Toc10428"/>
      <w:bookmarkStart w:id="30" w:name="_Toc415840323"/>
      <w:r>
        <w:rPr>
          <w:rFonts w:hint="eastAsia" w:ascii="宋体" w:hAnsi="宋体"/>
          <w:color w:val="auto"/>
          <w:sz w:val="24"/>
        </w:rPr>
        <w:t>天河外国语学校智慧城校区周边道路建设工程</w:t>
      </w:r>
    </w:p>
    <w:bookmarkEnd w:id="27"/>
    <w:bookmarkEnd w:id="28"/>
    <w:bookmarkEnd w:id="29"/>
    <w:p>
      <w:pPr>
        <w:pStyle w:val="4"/>
        <w:rPr>
          <w:rFonts w:ascii="宋体" w:hAnsi="宋体" w:eastAsia="宋体" w:cs="宋体"/>
          <w:b/>
          <w:bCs w:val="0"/>
          <w:color w:val="auto"/>
        </w:rPr>
      </w:pPr>
      <w:bookmarkStart w:id="31" w:name="_Toc20264"/>
      <w:bookmarkStart w:id="32" w:name="_Toc452973679"/>
      <w:bookmarkStart w:id="33" w:name="_Toc25264"/>
      <w:bookmarkStart w:id="34" w:name="_Toc11809"/>
      <w:bookmarkStart w:id="35" w:name="_Toc452558299"/>
      <w:bookmarkStart w:id="36" w:name="_Toc26010"/>
      <w:r>
        <w:rPr>
          <w:rFonts w:hint="eastAsia" w:ascii="宋体" w:hAnsi="宋体" w:eastAsia="宋体" w:cs="宋体"/>
          <w:b/>
          <w:bCs w:val="0"/>
          <w:color w:val="auto"/>
        </w:rPr>
        <w:t>1.1.2项目位置</w:t>
      </w:r>
      <w:bookmarkEnd w:id="30"/>
      <w:bookmarkEnd w:id="31"/>
      <w:bookmarkEnd w:id="32"/>
      <w:bookmarkEnd w:id="33"/>
      <w:bookmarkEnd w:id="34"/>
      <w:bookmarkEnd w:id="35"/>
      <w:bookmarkEnd w:id="36"/>
    </w:p>
    <w:p>
      <w:pPr>
        <w:pStyle w:val="4"/>
        <w:ind w:firstLine="480" w:firstLineChars="200"/>
        <w:rPr>
          <w:rFonts w:ascii="宋体" w:hAnsi="宋体" w:eastAsia="宋体"/>
          <w:bCs w:val="0"/>
          <w:color w:val="auto"/>
          <w:kern w:val="2"/>
          <w:sz w:val="24"/>
          <w:szCs w:val="24"/>
        </w:rPr>
      </w:pPr>
      <w:bookmarkStart w:id="37" w:name="_Toc19866"/>
      <w:bookmarkStart w:id="38" w:name="_Toc452973680"/>
      <w:bookmarkStart w:id="39" w:name="_Toc452558300"/>
      <w:bookmarkStart w:id="40" w:name="_Toc415840324"/>
      <w:r>
        <w:rPr>
          <w:rFonts w:hint="eastAsia" w:ascii="宋体" w:hAnsi="宋体" w:eastAsia="宋体"/>
          <w:bCs w:val="0"/>
          <w:color w:val="auto"/>
          <w:kern w:val="2"/>
          <w:sz w:val="24"/>
          <w:szCs w:val="24"/>
        </w:rPr>
        <w:t>本次建设实施范围南起广州市育华教育集团长虹学校正门，北至天河外国语学校智慧城校区。</w:t>
      </w:r>
    </w:p>
    <w:p>
      <w:pPr>
        <w:pStyle w:val="4"/>
        <w:rPr>
          <w:rFonts w:ascii="宋体" w:hAnsi="宋体" w:eastAsia="宋体" w:cs="宋体"/>
          <w:b/>
          <w:bCs w:val="0"/>
          <w:color w:val="auto"/>
        </w:rPr>
      </w:pPr>
      <w:r>
        <w:rPr>
          <w:rFonts w:hint="eastAsia" w:ascii="宋体" w:hAnsi="宋体" w:eastAsia="宋体" w:cs="宋体"/>
          <w:b/>
          <w:bCs w:val="0"/>
          <w:color w:val="auto"/>
        </w:rPr>
        <w:t>1.1.3项目业主单位</w:t>
      </w:r>
      <w:bookmarkEnd w:id="37"/>
      <w:bookmarkEnd w:id="38"/>
      <w:bookmarkEnd w:id="39"/>
      <w:bookmarkEnd w:id="40"/>
    </w:p>
    <w:p>
      <w:pPr>
        <w:pStyle w:val="4"/>
        <w:ind w:firstLine="480" w:firstLineChars="200"/>
        <w:rPr>
          <w:rFonts w:ascii="宋体" w:hAnsi="宋体" w:eastAsia="宋体" w:cs="宋体"/>
          <w:bCs w:val="0"/>
          <w:color w:val="auto"/>
          <w:kern w:val="2"/>
          <w:sz w:val="24"/>
          <w:szCs w:val="24"/>
        </w:rPr>
      </w:pPr>
      <w:bookmarkStart w:id="41" w:name="_Toc12585"/>
      <w:bookmarkStart w:id="42" w:name="_Toc415840325"/>
      <w:bookmarkStart w:id="43" w:name="_Toc452973681"/>
      <w:bookmarkStart w:id="44" w:name="_Toc452558301"/>
      <w:r>
        <w:rPr>
          <w:rFonts w:hint="eastAsia" w:ascii="宋体" w:hAnsi="宋体" w:eastAsia="宋体" w:cs="宋体"/>
          <w:bCs w:val="0"/>
          <w:color w:val="auto"/>
          <w:kern w:val="2"/>
          <w:sz w:val="24"/>
          <w:szCs w:val="24"/>
        </w:rPr>
        <w:t>广州市天河区住房建设和园林局</w:t>
      </w:r>
    </w:p>
    <w:p>
      <w:pPr>
        <w:pStyle w:val="4"/>
        <w:rPr>
          <w:rFonts w:ascii="宋体" w:hAnsi="宋体" w:eastAsia="宋体" w:cs="宋体"/>
          <w:color w:val="auto"/>
        </w:rPr>
      </w:pPr>
      <w:r>
        <w:rPr>
          <w:rFonts w:hint="eastAsia" w:ascii="宋体" w:hAnsi="宋体" w:eastAsia="宋体" w:cs="宋体"/>
          <w:b/>
          <w:bCs w:val="0"/>
          <w:color w:val="auto"/>
        </w:rPr>
        <w:t>1.1.4项目建设单位</w:t>
      </w:r>
      <w:bookmarkEnd w:id="41"/>
      <w:bookmarkEnd w:id="42"/>
      <w:bookmarkEnd w:id="43"/>
      <w:bookmarkEnd w:id="44"/>
    </w:p>
    <w:p>
      <w:pPr>
        <w:spacing w:line="360" w:lineRule="auto"/>
        <w:ind w:firstLine="480" w:firstLineChars="200"/>
        <w:rPr>
          <w:rFonts w:ascii="宋体" w:hAnsi="宋体" w:cs="宋体"/>
          <w:color w:val="auto"/>
          <w:sz w:val="24"/>
        </w:rPr>
      </w:pPr>
      <w:bookmarkStart w:id="45" w:name="_Toc415840326"/>
      <w:bookmarkStart w:id="46" w:name="_Toc452973682"/>
      <w:bookmarkStart w:id="47" w:name="_Toc452558302"/>
      <w:r>
        <w:rPr>
          <w:rFonts w:hint="eastAsia" w:ascii="宋体" w:hAnsi="宋体" w:cs="宋体"/>
          <w:color w:val="auto"/>
          <w:sz w:val="24"/>
        </w:rPr>
        <w:t>广州市天河区建设工程项目代建局</w:t>
      </w:r>
    </w:p>
    <w:p>
      <w:pPr>
        <w:pStyle w:val="4"/>
        <w:rPr>
          <w:rFonts w:ascii="宋体" w:hAnsi="宋体" w:eastAsia="宋体" w:cs="宋体"/>
          <w:b/>
          <w:bCs w:val="0"/>
          <w:color w:val="auto"/>
        </w:rPr>
      </w:pPr>
      <w:bookmarkStart w:id="48" w:name="_Toc21512"/>
      <w:r>
        <w:rPr>
          <w:rFonts w:hint="eastAsia" w:ascii="宋体" w:hAnsi="宋体" w:eastAsia="宋体" w:cs="宋体"/>
          <w:b/>
          <w:bCs w:val="0"/>
          <w:color w:val="auto"/>
        </w:rPr>
        <w:t>1.1.5项目背景</w:t>
      </w:r>
      <w:bookmarkEnd w:id="48"/>
    </w:p>
    <w:p>
      <w:pPr>
        <w:spacing w:line="360" w:lineRule="auto"/>
        <w:ind w:firstLine="480" w:firstLineChars="200"/>
        <w:rPr>
          <w:rFonts w:ascii="宋体" w:hAnsi="宋体"/>
          <w:color w:val="auto"/>
          <w:sz w:val="24"/>
        </w:rPr>
      </w:pPr>
      <w:r>
        <w:rPr>
          <w:rFonts w:hint="eastAsia" w:ascii="宋体" w:hAnsi="宋体"/>
          <w:color w:val="auto"/>
          <w:sz w:val="24"/>
        </w:rPr>
        <w:t>为落实国家创新驱动战略，广州市明确提出建成具有国际影响力的创新中心城市和国际科技枢纽。天河区作为核心载体，天河已构建以天河中央商务区、广州国际金融城和天河智慧城“三区支撑”格局，发展前景广阔，同时城市高端要素将进一步向天河东北部辐射扩散。</w:t>
      </w:r>
    </w:p>
    <w:p>
      <w:pPr>
        <w:spacing w:line="360" w:lineRule="auto"/>
        <w:ind w:firstLine="480" w:firstLineChars="200"/>
        <w:rPr>
          <w:rFonts w:ascii="宋体" w:hAnsi="宋体"/>
          <w:color w:val="auto"/>
          <w:sz w:val="24"/>
        </w:rPr>
      </w:pPr>
      <w:r>
        <w:rPr>
          <w:rFonts w:hint="eastAsia" w:ascii="宋体" w:hAnsi="宋体"/>
          <w:color w:val="auto"/>
          <w:sz w:val="24"/>
        </w:rPr>
        <w:t>天河区加快构建“两轴两带多片区”发展新格局：人工智能与数字经济发展轴、现代服务经济发展轴“两轴”；临江高端经济带、中部科技创新带“两带”，比翼齐飞，带动天河中央商务区、广州国际金融城、天河智慧城（含天河高新区）、天河路商圈、沙河片区等多片区发展。</w:t>
      </w:r>
    </w:p>
    <w:p>
      <w:pPr>
        <w:spacing w:line="360" w:lineRule="auto"/>
        <w:ind w:firstLine="480" w:firstLineChars="200"/>
        <w:rPr>
          <w:rFonts w:ascii="宋体" w:hAnsi="宋体"/>
          <w:color w:val="auto"/>
          <w:sz w:val="24"/>
        </w:rPr>
      </w:pPr>
      <w:r>
        <w:rPr>
          <w:rFonts w:hint="eastAsia" w:ascii="宋体" w:hAnsi="宋体"/>
          <w:color w:val="auto"/>
          <w:sz w:val="24"/>
        </w:rPr>
        <w:t>“十四五”期间，天河将高起点创办清华附中湾区学校（筹）、执信中学天河校区，加快天河外国语学校智慧城校区、广州中学凤凰校区南部片区和奥林匹克中学高中部建设，增加优质教育资源供给。实施天河东部教育质量提升行动，构建东部整体提升、集群发展的新格局。因此，结合本区未来的发展思路，急需加快片区道路设施建设，引领城市发展格局。</w:t>
      </w:r>
    </w:p>
    <w:p>
      <w:pPr>
        <w:spacing w:line="360" w:lineRule="auto"/>
        <w:ind w:firstLine="480" w:firstLineChars="200"/>
        <w:rPr>
          <w:rFonts w:hint="eastAsia" w:ascii="宋体" w:hAnsi="宋体"/>
          <w:color w:val="auto"/>
          <w:sz w:val="24"/>
        </w:rPr>
      </w:pPr>
      <w:r>
        <w:rPr>
          <w:rFonts w:hint="eastAsia" w:ascii="宋体" w:hAnsi="宋体"/>
          <w:color w:val="auto"/>
          <w:sz w:val="24"/>
        </w:rPr>
        <w:t>2021年12月，《天河外国语学校智慧城校区地块（AT0204规划管理单元）控制性详细规划》通过广州市人民政府批准。根据该批准内容，原长湴三鸟市场地块约11.84公顷调整为中小学用地。新增一条约20m宽规划支路（该规划支路连接云溪大道）；沿学校外围规划一条7-15m宽环形市政路连通南北两地块，并保证道路公共性。</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Times New Roman"/>
          <w:color w:val="auto"/>
          <w:sz w:val="24"/>
          <w:szCs w:val="24"/>
        </w:rPr>
      </w:pPr>
      <w:r>
        <w:rPr>
          <w:rFonts w:hint="eastAsia" w:ascii="宋体" w:hAnsi="宋体"/>
          <w:color w:val="auto"/>
          <w:sz w:val="24"/>
        </w:rPr>
        <w:t>天河外国语学校智慧城校区周边道路建设工程</w:t>
      </w:r>
      <w:r>
        <w:rPr>
          <w:rFonts w:hint="eastAsia" w:ascii="宋体" w:hAnsi="宋体" w:eastAsia="宋体" w:cs="Times New Roman"/>
          <w:color w:val="auto"/>
          <w:sz w:val="24"/>
          <w:szCs w:val="24"/>
        </w:rPr>
        <w:t>于2023年11月9日完成立项，于2024年4月28日获得可行性研究报告批复。</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Times New Roman"/>
          <w:color w:val="auto"/>
          <w:kern w:val="2"/>
          <w:sz w:val="24"/>
          <w:szCs w:val="24"/>
          <w:lang w:eastAsia="zh-CN"/>
        </w:rPr>
      </w:pPr>
      <w:r>
        <w:rPr>
          <w:rFonts w:hint="eastAsia" w:ascii="宋体" w:hAnsi="宋体" w:cs="Times New Roman"/>
          <w:color w:val="auto"/>
          <w:kern w:val="2"/>
          <w:sz w:val="24"/>
          <w:szCs w:val="24"/>
          <w:lang w:eastAsia="zh-CN"/>
        </w:rPr>
        <w:t>由于</w:t>
      </w:r>
      <w:r>
        <w:rPr>
          <w:rFonts w:hint="eastAsia" w:ascii="宋体" w:hAnsi="宋体" w:eastAsia="宋体" w:cs="Times New Roman"/>
          <w:color w:val="auto"/>
          <w:kern w:val="2"/>
          <w:sz w:val="24"/>
          <w:szCs w:val="24"/>
        </w:rPr>
        <w:t>获悉华南快速路二期（太和</w:t>
      </w:r>
      <w:r>
        <w:rPr>
          <w:rFonts w:hint="eastAsia" w:ascii="宋体" w:hAnsi="宋体" w:eastAsia="宋体" w:cs="Times New Roman"/>
          <w:color w:val="auto"/>
          <w:kern w:val="2"/>
          <w:sz w:val="24"/>
          <w:szCs w:val="24"/>
          <w:lang w:val="en-US" w:eastAsia="zh-CN"/>
        </w:rPr>
        <w:t>-</w:t>
      </w:r>
      <w:r>
        <w:rPr>
          <w:rFonts w:hint="eastAsia" w:ascii="宋体" w:hAnsi="宋体" w:eastAsia="宋体" w:cs="Times New Roman"/>
          <w:color w:val="auto"/>
          <w:kern w:val="2"/>
          <w:sz w:val="24"/>
          <w:szCs w:val="24"/>
        </w:rPr>
        <w:t>岑村）改扩建工程可行性研究报告已通过省交通厅专家评审，广州华南路桥实业有限公司正准备向省发改委申请立项，拟加快推进该工程建设，</w:t>
      </w:r>
      <w:r>
        <w:rPr>
          <w:rFonts w:hint="eastAsia" w:ascii="宋体" w:hAnsi="宋体" w:eastAsia="宋体" w:cs="Times New Roman"/>
          <w:color w:val="auto"/>
          <w:kern w:val="2"/>
          <w:sz w:val="24"/>
          <w:szCs w:val="24"/>
          <w:lang w:eastAsia="zh-CN"/>
        </w:rPr>
        <w:t>该工程</w:t>
      </w:r>
      <w:r>
        <w:rPr>
          <w:rFonts w:hint="eastAsia" w:ascii="宋体" w:hAnsi="宋体" w:eastAsia="宋体" w:cs="Times New Roman"/>
          <w:color w:val="auto"/>
          <w:kern w:val="2"/>
          <w:sz w:val="24"/>
          <w:szCs w:val="24"/>
        </w:rPr>
        <w:t>计划将华南快速路向西侧拓宽建设收费岗亭及</w:t>
      </w:r>
      <w:r>
        <w:rPr>
          <w:rFonts w:hint="eastAsia" w:ascii="宋体" w:hAnsi="宋体" w:eastAsia="宋体" w:cs="Times New Roman"/>
          <w:color w:val="auto"/>
          <w:kern w:val="2"/>
          <w:sz w:val="24"/>
          <w:szCs w:val="24"/>
          <w:lang w:eastAsia="zh-CN"/>
        </w:rPr>
        <w:t>出入口</w:t>
      </w:r>
      <w:r>
        <w:rPr>
          <w:rFonts w:hint="eastAsia" w:ascii="宋体" w:hAnsi="宋体" w:eastAsia="宋体" w:cs="Times New Roman"/>
          <w:color w:val="auto"/>
          <w:kern w:val="2"/>
          <w:sz w:val="24"/>
          <w:szCs w:val="24"/>
        </w:rPr>
        <w:t>匝道，于2025年实施建设。其拓宽区域与本项目学校连接</w:t>
      </w:r>
      <w:r>
        <w:rPr>
          <w:rFonts w:hint="eastAsia" w:ascii="宋体" w:hAnsi="宋体" w:eastAsia="宋体" w:cs="Times New Roman"/>
          <w:color w:val="auto"/>
          <w:kern w:val="2"/>
          <w:sz w:val="24"/>
          <w:szCs w:val="24"/>
          <w:lang w:eastAsia="zh-CN"/>
        </w:rPr>
        <w:t>路</w:t>
      </w:r>
      <w:r>
        <w:rPr>
          <w:rFonts w:hint="eastAsia" w:ascii="宋体" w:hAnsi="宋体" w:eastAsia="宋体" w:cs="Times New Roman"/>
          <w:color w:val="auto"/>
          <w:kern w:val="2"/>
          <w:sz w:val="24"/>
          <w:szCs w:val="24"/>
        </w:rPr>
        <w:t>选址红线大部分重叠，</w:t>
      </w:r>
      <w:r>
        <w:rPr>
          <w:rFonts w:hint="eastAsia" w:ascii="宋体" w:hAnsi="宋体" w:cs="Times New Roman"/>
          <w:color w:val="auto"/>
          <w:kern w:val="2"/>
          <w:sz w:val="24"/>
          <w:szCs w:val="24"/>
          <w:lang w:eastAsia="zh-CN"/>
        </w:rPr>
        <w:t>故</w:t>
      </w:r>
      <w:r>
        <w:rPr>
          <w:rFonts w:hint="eastAsia" w:ascii="宋体" w:hAnsi="宋体" w:eastAsia="宋体" w:cs="Times New Roman"/>
          <w:color w:val="auto"/>
          <w:kern w:val="2"/>
          <w:sz w:val="24"/>
          <w:szCs w:val="24"/>
          <w:lang w:eastAsia="zh-CN"/>
        </w:rPr>
        <w:t>对项目建设方案进行优化。</w:t>
      </w:r>
    </w:p>
    <w:p>
      <w:pPr>
        <w:widowControl/>
        <w:spacing w:line="360" w:lineRule="auto"/>
        <w:ind w:firstLine="480" w:firstLineChars="200"/>
        <w:jc w:val="left"/>
        <w:rPr>
          <w:rFonts w:ascii="宋体" w:hAnsi="宋体"/>
          <w:color w:val="auto"/>
          <w:sz w:val="24"/>
        </w:rPr>
      </w:pPr>
      <w:r>
        <w:rPr>
          <w:rFonts w:hint="eastAsia" w:ascii="宋体" w:hAnsi="宋体" w:eastAsia="宋体" w:cs="Times New Roman"/>
          <w:color w:val="auto"/>
          <w:kern w:val="2"/>
          <w:sz w:val="24"/>
          <w:szCs w:val="24"/>
          <w:lang w:val="en-US" w:eastAsia="zh-CN"/>
        </w:rPr>
        <w:t>2024年5月</w:t>
      </w:r>
      <w:r>
        <w:rPr>
          <w:rFonts w:hint="eastAsia" w:ascii="宋体" w:hAnsi="宋体" w:cs="Times New Roman"/>
          <w:color w:val="auto"/>
          <w:kern w:val="2"/>
          <w:sz w:val="24"/>
          <w:szCs w:val="24"/>
          <w:lang w:val="en-US" w:eastAsia="zh-CN"/>
        </w:rPr>
        <w:t>24</w:t>
      </w:r>
      <w:r>
        <w:rPr>
          <w:rFonts w:hint="eastAsia" w:ascii="宋体" w:hAnsi="宋体" w:eastAsia="宋体" w:cs="Times New Roman"/>
          <w:color w:val="auto"/>
          <w:kern w:val="2"/>
          <w:sz w:val="24"/>
          <w:szCs w:val="24"/>
          <w:lang w:val="en-US" w:eastAsia="zh-CN"/>
        </w:rPr>
        <w:t>日</w:t>
      </w:r>
      <w:r>
        <w:rPr>
          <w:rFonts w:hint="eastAsia" w:ascii="宋体" w:hAnsi="宋体" w:eastAsia="宋体" w:cs="Times New Roman"/>
          <w:color w:val="auto"/>
          <w:sz w:val="24"/>
          <w:szCs w:val="24"/>
        </w:rPr>
        <w:t>《天河外国语学校智慧城校区周边道路建设工程</w:t>
      </w:r>
      <w:r>
        <w:rPr>
          <w:rFonts w:hint="eastAsia" w:ascii="宋体" w:hAnsi="宋体" w:eastAsia="宋体" w:cs="Times New Roman"/>
          <w:color w:val="auto"/>
          <w:sz w:val="24"/>
          <w:szCs w:val="24"/>
          <w:lang w:eastAsia="zh-CN"/>
        </w:rPr>
        <w:t>调整优化方案</w:t>
      </w:r>
      <w:r>
        <w:rPr>
          <w:rFonts w:hint="eastAsia" w:ascii="宋体" w:hAnsi="宋体" w:eastAsia="宋体" w:cs="Times New Roman"/>
          <w:color w:val="auto"/>
          <w:sz w:val="24"/>
          <w:szCs w:val="24"/>
        </w:rPr>
        <w:t>》</w:t>
      </w:r>
      <w:r>
        <w:rPr>
          <w:rFonts w:hint="eastAsia" w:ascii="宋体" w:hAnsi="宋体" w:cs="Times New Roman"/>
          <w:color w:val="auto"/>
          <w:sz w:val="24"/>
          <w:szCs w:val="24"/>
          <w:lang w:eastAsia="zh-CN"/>
        </w:rPr>
        <w:t>通过区委常委会审议通过，下一步加快推进实施</w:t>
      </w:r>
      <w:r>
        <w:rPr>
          <w:rFonts w:hint="eastAsia" w:ascii="宋体" w:hAnsi="宋体" w:eastAsia="宋体" w:cs="Times New Roman"/>
          <w:color w:val="auto"/>
          <w:kern w:val="2"/>
          <w:sz w:val="24"/>
          <w:szCs w:val="24"/>
          <w:lang w:val="en-US" w:eastAsia="zh-CN"/>
        </w:rPr>
        <w:t>。</w:t>
      </w:r>
    </w:p>
    <w:p>
      <w:pPr>
        <w:spacing w:line="360" w:lineRule="auto"/>
        <w:ind w:firstLine="480" w:firstLineChars="200"/>
        <w:rPr>
          <w:rFonts w:hint="eastAsia" w:ascii="宋体" w:hAnsi="宋体"/>
          <w:color w:val="auto"/>
          <w:sz w:val="24"/>
        </w:rPr>
      </w:pPr>
    </w:p>
    <w:p>
      <w:pPr>
        <w:pStyle w:val="4"/>
        <w:rPr>
          <w:rFonts w:ascii="宋体" w:hAnsi="宋体" w:eastAsia="宋体" w:cs="宋体"/>
          <w:b/>
          <w:bCs w:val="0"/>
          <w:color w:val="auto"/>
        </w:rPr>
      </w:pPr>
      <w:bookmarkStart w:id="49" w:name="_Toc4983"/>
      <w:r>
        <w:rPr>
          <w:rFonts w:hint="eastAsia" w:ascii="宋体" w:hAnsi="宋体" w:eastAsia="宋体" w:cs="宋体"/>
          <w:b/>
          <w:bCs w:val="0"/>
          <w:color w:val="auto"/>
        </w:rPr>
        <w:t>1.1.6项目建设的重要性</w:t>
      </w:r>
      <w:bookmarkEnd w:id="49"/>
    </w:p>
    <w:p>
      <w:pPr>
        <w:spacing w:line="360" w:lineRule="auto"/>
        <w:ind w:firstLine="480" w:firstLineChars="200"/>
        <w:rPr>
          <w:rFonts w:ascii="宋体" w:hAnsi="宋体"/>
          <w:color w:val="auto"/>
          <w:sz w:val="24"/>
        </w:rPr>
      </w:pPr>
      <w:r>
        <w:rPr>
          <w:rFonts w:hint="eastAsia" w:ascii="宋体" w:hAnsi="宋体"/>
          <w:color w:val="auto"/>
          <w:sz w:val="24"/>
        </w:rPr>
        <w:t>天河外国语智慧城校区建成后将有60个高中班，30个初中版，学生约4500人。现状仅有的8m宽出行道路，无论是通行能力、使用功能（人行道、管线载体）、现状环境均不能满足学校建成后的出行需求。</w:t>
      </w:r>
    </w:p>
    <w:p>
      <w:pPr>
        <w:spacing w:line="360" w:lineRule="auto"/>
        <w:ind w:firstLine="480" w:firstLineChars="200"/>
        <w:rPr>
          <w:rFonts w:ascii="宋体" w:hAnsi="宋体"/>
          <w:color w:val="auto"/>
          <w:sz w:val="24"/>
        </w:rPr>
      </w:pPr>
      <w:r>
        <w:rPr>
          <w:rFonts w:hint="eastAsia" w:ascii="宋体" w:hAnsi="宋体"/>
          <w:color w:val="auto"/>
          <w:sz w:val="24"/>
        </w:rPr>
        <w:t>此外，华观路西延线、云溪路-华观路/华南快速立交节点目前暂无建设计划，考虑到本校区开学时间为2025年9月，为解决学校近期交通出行及配套管线使用要求，需借用华快红线，新增建设学校连接线南延段至现状长兴路，改造提升现状长兴路（长虹学校-绿化公司）段，解决学校近期交通出行及基础设施配套，保障学校正常运行和师生出行安全。</w:t>
      </w:r>
    </w:p>
    <w:p>
      <w:pPr>
        <w:pStyle w:val="4"/>
        <w:rPr>
          <w:rFonts w:ascii="宋体" w:hAnsi="宋体" w:eastAsia="宋体" w:cs="宋体"/>
          <w:b/>
          <w:bCs w:val="0"/>
          <w:color w:val="auto"/>
        </w:rPr>
      </w:pPr>
      <w:bookmarkStart w:id="50" w:name="_Toc27386"/>
      <w:r>
        <w:rPr>
          <w:rFonts w:hint="eastAsia" w:ascii="宋体" w:hAnsi="宋体" w:eastAsia="宋体" w:cs="宋体"/>
          <w:b/>
          <w:bCs w:val="0"/>
          <w:color w:val="auto"/>
        </w:rPr>
        <w:t>1.1.7项目建设</w:t>
      </w:r>
      <w:bookmarkEnd w:id="45"/>
      <w:bookmarkEnd w:id="46"/>
      <w:bookmarkEnd w:id="47"/>
      <w:r>
        <w:rPr>
          <w:rFonts w:hint="eastAsia" w:ascii="宋体" w:hAnsi="宋体" w:eastAsia="宋体" w:cs="宋体"/>
          <w:b/>
          <w:bCs w:val="0"/>
          <w:color w:val="auto"/>
        </w:rPr>
        <w:t>规模</w:t>
      </w:r>
      <w:bookmarkEnd w:id="50"/>
      <w:r>
        <w:rPr>
          <w:rFonts w:hint="eastAsia" w:ascii="宋体" w:hAnsi="宋体" w:eastAsia="宋体" w:cs="宋体"/>
          <w:b/>
          <w:bCs w:val="0"/>
          <w:color w:val="auto"/>
        </w:rPr>
        <w:t>及内容</w:t>
      </w:r>
    </w:p>
    <w:p>
      <w:pPr>
        <w:spacing w:line="360" w:lineRule="auto"/>
        <w:ind w:firstLine="480" w:firstLineChars="200"/>
        <w:rPr>
          <w:rFonts w:ascii="宋体" w:hAnsi="宋体"/>
          <w:color w:val="auto"/>
          <w:sz w:val="24"/>
        </w:rPr>
      </w:pPr>
      <w:bookmarkStart w:id="51" w:name="_Toc452973675"/>
      <w:bookmarkStart w:id="52" w:name="_Toc452558295"/>
      <w:bookmarkStart w:id="53" w:name="_Toc447612383"/>
      <w:bookmarkStart w:id="54" w:name="_Toc447612862"/>
      <w:r>
        <w:rPr>
          <w:rFonts w:hint="eastAsia" w:ascii="宋体" w:hAnsi="宋体"/>
          <w:color w:val="auto"/>
          <w:sz w:val="24"/>
        </w:rPr>
        <w:t>拟建项目道路包括连接智慧城校区至现状长兴路的学校连接路以及学校环路，总长约</w:t>
      </w:r>
      <w:r>
        <w:rPr>
          <w:rFonts w:hint="eastAsia" w:ascii="宋体" w:hAnsi="宋体"/>
          <w:color w:val="auto"/>
          <w:sz w:val="24"/>
          <w:lang w:val="en-US" w:eastAsia="zh-CN"/>
        </w:rPr>
        <w:t>2402.5</w:t>
      </w:r>
      <w:r>
        <w:rPr>
          <w:rFonts w:hint="eastAsia" w:ascii="宋体" w:hAnsi="宋体"/>
          <w:color w:val="auto"/>
          <w:sz w:val="24"/>
        </w:rPr>
        <w:t>m，长兴路改造段道路等级为城市次干路，设计车速为30km/h；学校连接路</w:t>
      </w:r>
      <w:r>
        <w:rPr>
          <w:rFonts w:hint="eastAsia" w:ascii="宋体" w:hAnsi="宋体"/>
          <w:color w:val="auto"/>
          <w:sz w:val="24"/>
          <w:lang w:eastAsia="zh-CN"/>
        </w:rPr>
        <w:t>拟利用现状水泥道路进行升级改造建设双向两车道及单侧人行道，并对围墙进行风貌提升，</w:t>
      </w:r>
      <w:r>
        <w:rPr>
          <w:rFonts w:hint="eastAsia" w:ascii="宋体" w:hAnsi="宋体"/>
          <w:color w:val="auto"/>
          <w:sz w:val="24"/>
        </w:rPr>
        <w:t>学校东侧路、学校西侧路规划等级为城市支路，设计车速为30km/h，学校北侧路受限于用地红线条件，道路等级按等外道路（消防车道），设计车速15km/h，详细情况如下：</w:t>
      </w:r>
    </w:p>
    <w:p>
      <w:pPr>
        <w:spacing w:line="360" w:lineRule="auto"/>
        <w:ind w:firstLine="480" w:firstLineChars="200"/>
        <w:rPr>
          <w:rFonts w:ascii="宋体" w:hAnsi="宋体"/>
          <w:color w:val="auto"/>
          <w:sz w:val="24"/>
        </w:rPr>
      </w:pPr>
      <w:r>
        <w:rPr>
          <w:rFonts w:hint="eastAsia" w:ascii="宋体" w:hAnsi="宋体"/>
          <w:color w:val="auto"/>
          <w:sz w:val="24"/>
        </w:rPr>
        <w:t>（1）长兴路改造段：长兴路至学校连接路的道路。</w:t>
      </w:r>
      <w:r>
        <w:rPr>
          <w:rFonts w:hint="eastAsia" w:ascii="宋体" w:hAnsi="宋体"/>
          <w:color w:val="auto"/>
          <w:sz w:val="24"/>
          <w:lang w:eastAsia="zh-CN"/>
        </w:rPr>
        <w:t>道路</w:t>
      </w:r>
      <w:r>
        <w:rPr>
          <w:rFonts w:hint="eastAsia" w:ascii="宋体" w:hAnsi="宋体"/>
          <w:color w:val="auto"/>
          <w:sz w:val="24"/>
        </w:rPr>
        <w:t>宽度</w:t>
      </w:r>
      <w:r>
        <w:rPr>
          <w:rFonts w:hint="eastAsia" w:ascii="宋体" w:hAnsi="宋体"/>
          <w:color w:val="auto"/>
          <w:sz w:val="24"/>
          <w:lang w:val="en-US" w:eastAsia="zh-CN"/>
        </w:rPr>
        <w:t>12.5</w:t>
      </w:r>
      <w:r>
        <w:rPr>
          <w:rFonts w:hint="eastAsia" w:ascii="宋体" w:hAnsi="宋体"/>
          <w:color w:val="auto"/>
          <w:sz w:val="24"/>
        </w:rPr>
        <w:t>m，道路长约11</w:t>
      </w:r>
      <w:r>
        <w:rPr>
          <w:rFonts w:hint="eastAsia" w:ascii="宋体" w:hAnsi="宋体"/>
          <w:color w:val="auto"/>
          <w:sz w:val="24"/>
          <w:lang w:val="en-US" w:eastAsia="zh-CN"/>
        </w:rPr>
        <w:t>7</w:t>
      </w:r>
      <w:r>
        <w:rPr>
          <w:rFonts w:hint="eastAsia" w:ascii="宋体" w:hAnsi="宋体"/>
          <w:color w:val="auto"/>
          <w:sz w:val="24"/>
        </w:rPr>
        <w:t>m，设计车速30km/h。</w:t>
      </w:r>
    </w:p>
    <w:p>
      <w:pPr>
        <w:spacing w:line="360" w:lineRule="auto"/>
        <w:ind w:firstLine="480" w:firstLineChars="200"/>
        <w:rPr>
          <w:rFonts w:ascii="宋体" w:hAnsi="宋体"/>
          <w:color w:val="auto"/>
          <w:sz w:val="24"/>
        </w:rPr>
      </w:pPr>
      <w:r>
        <w:rPr>
          <w:rFonts w:hint="eastAsia" w:ascii="宋体" w:hAnsi="宋体"/>
          <w:color w:val="auto"/>
          <w:sz w:val="24"/>
        </w:rPr>
        <w:t>（2）学校连接路：连接长兴路至天河外国语学校。</w:t>
      </w:r>
      <w:r>
        <w:rPr>
          <w:rFonts w:hint="eastAsia" w:ascii="宋体" w:hAnsi="宋体"/>
          <w:color w:val="auto"/>
          <w:sz w:val="24"/>
          <w:lang w:eastAsia="zh-CN"/>
        </w:rPr>
        <w:t>利用现状道路进行升级改造，建设双向两车道及单侧人行道，对现状围墙进行风貌提升，</w:t>
      </w:r>
      <w:r>
        <w:rPr>
          <w:rFonts w:hint="eastAsia" w:ascii="宋体" w:hAnsi="宋体"/>
          <w:color w:val="auto"/>
          <w:sz w:val="24"/>
        </w:rPr>
        <w:t>红线宽度约</w:t>
      </w:r>
      <w:r>
        <w:rPr>
          <w:rFonts w:hint="eastAsia" w:ascii="宋体" w:hAnsi="宋体"/>
          <w:color w:val="auto"/>
          <w:sz w:val="24"/>
          <w:lang w:val="en-US" w:eastAsia="zh-CN"/>
        </w:rPr>
        <w:t>8.5</w:t>
      </w:r>
      <w:r>
        <w:rPr>
          <w:rFonts w:hint="eastAsia" w:ascii="宋体" w:hAnsi="宋体"/>
          <w:color w:val="auto"/>
          <w:sz w:val="24"/>
        </w:rPr>
        <w:t>～</w:t>
      </w:r>
      <w:r>
        <w:rPr>
          <w:rFonts w:hint="eastAsia" w:ascii="宋体" w:hAnsi="宋体"/>
          <w:color w:val="auto"/>
          <w:sz w:val="24"/>
          <w:lang w:val="en-US" w:eastAsia="zh-CN"/>
        </w:rPr>
        <w:t>9.5</w:t>
      </w:r>
      <w:r>
        <w:rPr>
          <w:rFonts w:hint="eastAsia" w:ascii="宋体" w:hAnsi="宋体"/>
          <w:color w:val="auto"/>
          <w:sz w:val="24"/>
        </w:rPr>
        <w:t>m，道路总长约</w:t>
      </w:r>
      <w:r>
        <w:rPr>
          <w:rFonts w:hint="eastAsia" w:ascii="宋体" w:hAnsi="宋体"/>
          <w:color w:val="auto"/>
          <w:sz w:val="24"/>
          <w:lang w:val="en-US" w:eastAsia="zh-CN"/>
        </w:rPr>
        <w:t>717</w:t>
      </w:r>
      <w:r>
        <w:rPr>
          <w:rFonts w:hint="eastAsia" w:ascii="宋体" w:hAnsi="宋体"/>
          <w:color w:val="auto"/>
          <w:sz w:val="24"/>
        </w:rPr>
        <w:t>m。设计车速30km/h。</w:t>
      </w:r>
    </w:p>
    <w:p>
      <w:pPr>
        <w:spacing w:line="360" w:lineRule="auto"/>
        <w:ind w:firstLine="480" w:firstLineChars="200"/>
        <w:rPr>
          <w:rFonts w:ascii="宋体" w:hAnsi="宋体"/>
          <w:color w:val="auto"/>
          <w:sz w:val="24"/>
        </w:rPr>
      </w:pPr>
      <w:r>
        <w:rPr>
          <w:rFonts w:hint="eastAsia" w:ascii="宋体" w:hAnsi="宋体"/>
          <w:color w:val="auto"/>
          <w:sz w:val="24"/>
        </w:rPr>
        <w:t>（3）学校西侧路：规划红线宽度15m，道路长约434m，设计车速30km/h。</w:t>
      </w:r>
    </w:p>
    <w:p>
      <w:pPr>
        <w:spacing w:line="360" w:lineRule="auto"/>
        <w:ind w:firstLine="480" w:firstLineChars="200"/>
        <w:rPr>
          <w:rFonts w:ascii="宋体" w:hAnsi="宋体"/>
          <w:color w:val="auto"/>
          <w:sz w:val="24"/>
        </w:rPr>
      </w:pPr>
      <w:r>
        <w:rPr>
          <w:rFonts w:hint="eastAsia" w:ascii="宋体" w:hAnsi="宋体"/>
          <w:color w:val="auto"/>
          <w:sz w:val="24"/>
        </w:rPr>
        <w:t>（4）学校东侧路：规划红线宽度15m，道路长约422m，设计车速30km/h。</w:t>
      </w:r>
    </w:p>
    <w:p>
      <w:pPr>
        <w:spacing w:line="360" w:lineRule="auto"/>
        <w:ind w:firstLine="480" w:firstLineChars="200"/>
        <w:rPr>
          <w:rFonts w:ascii="宋体" w:hAnsi="宋体"/>
          <w:color w:val="auto"/>
          <w:sz w:val="24"/>
        </w:rPr>
      </w:pPr>
      <w:r>
        <w:rPr>
          <w:rFonts w:hint="eastAsia" w:ascii="宋体" w:hAnsi="宋体"/>
          <w:color w:val="auto"/>
          <w:sz w:val="24"/>
        </w:rPr>
        <w:t>（5）学校北侧路：规划红线宽度7m，道路长约712m，设计车速15km/h。</w:t>
      </w:r>
    </w:p>
    <w:p>
      <w:pPr>
        <w:spacing w:line="360" w:lineRule="auto"/>
        <w:ind w:firstLine="480" w:firstLineChars="200"/>
        <w:rPr>
          <w:rFonts w:ascii="宋体" w:hAnsi="宋体"/>
          <w:color w:val="auto"/>
          <w:sz w:val="24"/>
        </w:rPr>
      </w:pPr>
      <w:r>
        <w:rPr>
          <w:rFonts w:hint="eastAsia" w:ascii="宋体" w:hAnsi="宋体"/>
          <w:color w:val="auto"/>
          <w:sz w:val="24"/>
        </w:rPr>
        <w:t>（6）道路外侧绿化带：用地红线范围内道路外侧已征用地，由学校周边道路项目实施。本项目对道路外侧学校征地红线范围内面积约8957㎡的用地，结合学校师生休憩及景观需求，布置木棉广场等多个绿化景观节点。。</w:t>
      </w:r>
    </w:p>
    <w:p>
      <w:pPr>
        <w:spacing w:line="360" w:lineRule="auto"/>
        <w:ind w:firstLine="480" w:firstLineChars="200"/>
        <w:rPr>
          <w:rFonts w:ascii="宋体" w:hAnsi="宋体"/>
          <w:color w:val="auto"/>
          <w:sz w:val="24"/>
        </w:rPr>
      </w:pPr>
      <w:r>
        <w:rPr>
          <w:rFonts w:hint="eastAsia" w:ascii="宋体" w:hAnsi="宋体"/>
          <w:color w:val="auto"/>
          <w:sz w:val="24"/>
        </w:rPr>
        <w:t>（7）本项目</w:t>
      </w:r>
      <w:r>
        <w:rPr>
          <w:rFonts w:hint="eastAsia" w:ascii="宋体" w:hAnsi="宋体"/>
          <w:color w:val="auto"/>
          <w:sz w:val="24"/>
          <w:lang w:eastAsia="zh-CN"/>
        </w:rPr>
        <w:t>改造现状桥梁一座，</w:t>
      </w:r>
      <w:r>
        <w:rPr>
          <w:rFonts w:hint="eastAsia" w:ascii="宋体" w:hAnsi="宋体"/>
          <w:color w:val="auto"/>
          <w:sz w:val="24"/>
        </w:rPr>
        <w:t>新建桥梁</w:t>
      </w:r>
      <w:r>
        <w:rPr>
          <w:rFonts w:hint="eastAsia" w:ascii="宋体" w:hAnsi="宋体"/>
          <w:color w:val="auto"/>
          <w:sz w:val="24"/>
          <w:lang w:eastAsia="zh-CN"/>
        </w:rPr>
        <w:t>三</w:t>
      </w:r>
      <w:r>
        <w:rPr>
          <w:rFonts w:hint="eastAsia" w:ascii="宋体" w:hAnsi="宋体"/>
          <w:color w:val="auto"/>
          <w:sz w:val="24"/>
        </w:rPr>
        <w:t>座，工程概况如下：</w:t>
      </w:r>
    </w:p>
    <w:p>
      <w:pPr>
        <w:spacing w:beforeLines="0" w:afterLines="0"/>
        <w:ind w:firstLine="480" w:firstLineChars="200"/>
        <w:jc w:val="left"/>
        <w:rPr>
          <w:rFonts w:hint="eastAsia" w:ascii="宋体" w:hAnsi="宋体" w:eastAsia="宋体"/>
          <w:color w:val="auto"/>
          <w:sz w:val="24"/>
        </w:rPr>
      </w:pPr>
      <w:r>
        <w:rPr>
          <w:rFonts w:hint="eastAsia" w:ascii="宋体" w:hAnsi="宋体"/>
          <w:color w:val="auto"/>
          <w:sz w:val="24"/>
        </w:rPr>
        <w:t>1）A线桥（学校连接路）跨越现状</w:t>
      </w:r>
      <w:r>
        <w:rPr>
          <w:rFonts w:hint="eastAsia" w:ascii="宋体" w:hAnsi="宋体"/>
          <w:color w:val="auto"/>
          <w:sz w:val="24"/>
          <w:lang w:eastAsia="zh-CN"/>
        </w:rPr>
        <w:t>车陂涌</w:t>
      </w:r>
      <w:r>
        <w:rPr>
          <w:rFonts w:hint="eastAsia" w:ascii="宋体" w:hAnsi="宋体"/>
          <w:color w:val="auto"/>
          <w:sz w:val="24"/>
        </w:rPr>
        <w:t>，</w:t>
      </w:r>
      <w:r>
        <w:rPr>
          <w:rFonts w:hint="eastAsia" w:ascii="宋体" w:hAnsi="宋体"/>
          <w:color w:val="auto"/>
          <w:sz w:val="24"/>
          <w:lang w:eastAsia="zh-CN"/>
        </w:rPr>
        <w:t>将加固后的现状桥进行升级改造，建设</w:t>
      </w:r>
      <w:r>
        <w:rPr>
          <w:rFonts w:hint="eastAsia" w:ascii="宋体" w:hAnsi="宋体" w:eastAsia="宋体"/>
          <w:color w:val="auto"/>
          <w:sz w:val="24"/>
        </w:rPr>
        <w:t>一条</w:t>
      </w:r>
      <w:r>
        <w:rPr>
          <w:rFonts w:hint="eastAsia" w:ascii="宋体" w:hAnsi="宋体"/>
          <w:color w:val="auto"/>
          <w:sz w:val="24"/>
          <w:lang w:eastAsia="zh-CN"/>
        </w:rPr>
        <w:t>单向</w:t>
      </w:r>
      <w:r>
        <w:rPr>
          <w:rFonts w:hint="eastAsia" w:ascii="宋体" w:hAnsi="宋体" w:eastAsia="宋体"/>
          <w:color w:val="auto"/>
          <w:sz w:val="24"/>
        </w:rPr>
        <w:t>车行道及一条</w:t>
      </w:r>
      <w:r>
        <w:rPr>
          <w:rFonts w:hint="eastAsia" w:ascii="宋体" w:hAnsi="宋体"/>
          <w:color w:val="auto"/>
          <w:sz w:val="24"/>
          <w:lang w:eastAsia="zh-CN"/>
        </w:rPr>
        <w:t>单侧</w:t>
      </w:r>
      <w:r>
        <w:rPr>
          <w:rFonts w:hint="eastAsia" w:ascii="宋体" w:hAnsi="宋体" w:eastAsia="宋体"/>
          <w:color w:val="auto"/>
          <w:sz w:val="24"/>
        </w:rPr>
        <w:t>人行道。</w:t>
      </w:r>
      <w:r>
        <w:rPr>
          <w:rFonts w:hint="eastAsia" w:ascii="宋体" w:hAnsi="宋体"/>
          <w:color w:val="auto"/>
          <w:sz w:val="24"/>
          <w:lang w:eastAsia="zh-CN"/>
        </w:rPr>
        <w:t>（</w:t>
      </w:r>
      <w:r>
        <w:rPr>
          <w:rFonts w:hint="eastAsia" w:ascii="宋体" w:hAnsi="宋体" w:eastAsia="宋体"/>
          <w:color w:val="auto"/>
          <w:sz w:val="24"/>
        </w:rPr>
        <w:t>现状岑村河旧桥桥宽5.2m，限载5t，对旧桥主梁和桥墩加固后满足城-B荷载要求。</w:t>
      </w:r>
      <w:r>
        <w:rPr>
          <w:rFonts w:hint="eastAsia" w:ascii="宋体" w:hAnsi="宋体"/>
          <w:color w:val="auto"/>
          <w:sz w:val="24"/>
          <w:lang w:eastAsia="zh-CN"/>
        </w:rPr>
        <w:t>）</w:t>
      </w:r>
    </w:p>
    <w:p>
      <w:pPr>
        <w:spacing w:beforeLines="0" w:afterLines="0" w:line="240" w:lineRule="auto"/>
        <w:ind w:firstLine="480" w:firstLineChars="200"/>
        <w:jc w:val="left"/>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lang w:eastAsia="zh-CN"/>
        </w:rPr>
        <w:t>）新建钢栈桥</w:t>
      </w:r>
      <w:r>
        <w:rPr>
          <w:rFonts w:hint="eastAsia" w:ascii="宋体" w:hAnsi="宋体"/>
          <w:color w:val="auto"/>
          <w:sz w:val="24"/>
        </w:rPr>
        <w:t>（学校连接路）</w:t>
      </w:r>
      <w:r>
        <w:rPr>
          <w:rFonts w:hint="eastAsia" w:ascii="宋体" w:hAnsi="宋体"/>
          <w:color w:val="auto"/>
          <w:sz w:val="24"/>
          <w:lang w:eastAsia="zh-CN"/>
        </w:rPr>
        <w:t>，</w:t>
      </w:r>
      <w:r>
        <w:rPr>
          <w:rFonts w:hint="eastAsia" w:ascii="宋体" w:hAnsi="宋体"/>
          <w:color w:val="auto"/>
          <w:sz w:val="24"/>
        </w:rPr>
        <w:t>跨越现状</w:t>
      </w:r>
      <w:r>
        <w:rPr>
          <w:rFonts w:hint="eastAsia" w:ascii="宋体" w:hAnsi="宋体"/>
          <w:color w:val="auto"/>
          <w:sz w:val="24"/>
          <w:lang w:eastAsia="zh-CN"/>
        </w:rPr>
        <w:t>车陂涌，</w:t>
      </w:r>
      <w:r>
        <w:rPr>
          <w:rFonts w:hint="eastAsia" w:ascii="宋体" w:hAnsi="宋体" w:eastAsia="宋体"/>
          <w:color w:val="auto"/>
          <w:sz w:val="24"/>
        </w:rPr>
        <w:t>在旧桥东侧新增车行钢</w:t>
      </w:r>
      <w:r>
        <w:rPr>
          <w:rFonts w:hint="eastAsia" w:ascii="宋体" w:hAnsi="宋体"/>
          <w:color w:val="auto"/>
          <w:sz w:val="24"/>
          <w:lang w:eastAsia="zh-CN"/>
        </w:rPr>
        <w:t>栈</w:t>
      </w:r>
      <w:r>
        <w:rPr>
          <w:rFonts w:hint="eastAsia" w:ascii="宋体" w:hAnsi="宋体" w:eastAsia="宋体"/>
          <w:color w:val="auto"/>
          <w:sz w:val="24"/>
        </w:rPr>
        <w:t>桥，</w:t>
      </w:r>
      <w:r>
        <w:rPr>
          <w:rFonts w:hint="eastAsia" w:ascii="宋体" w:hAnsi="宋体"/>
          <w:color w:val="auto"/>
          <w:sz w:val="24"/>
          <w:lang w:eastAsia="zh-CN"/>
        </w:rPr>
        <w:t>桥梁长度约</w:t>
      </w:r>
      <w:r>
        <w:rPr>
          <w:rFonts w:hint="eastAsia" w:ascii="宋体" w:hAnsi="宋体"/>
          <w:color w:val="auto"/>
          <w:sz w:val="24"/>
          <w:lang w:val="en-US" w:eastAsia="zh-CN"/>
        </w:rPr>
        <w:t>36m，桥梁</w:t>
      </w:r>
      <w:r>
        <w:rPr>
          <w:rFonts w:hint="eastAsia" w:ascii="宋体" w:hAnsi="宋体" w:eastAsia="宋体"/>
          <w:color w:val="auto"/>
          <w:sz w:val="24"/>
        </w:rPr>
        <w:t>宽</w:t>
      </w:r>
      <w:r>
        <w:rPr>
          <w:rFonts w:hint="eastAsia" w:ascii="宋体" w:hAnsi="宋体"/>
          <w:color w:val="auto"/>
          <w:sz w:val="24"/>
          <w:lang w:eastAsia="zh-CN"/>
        </w:rPr>
        <w:t>度</w:t>
      </w:r>
      <w:r>
        <w:rPr>
          <w:rFonts w:hint="eastAsia" w:ascii="宋体" w:hAnsi="宋体" w:eastAsia="宋体"/>
          <w:color w:val="auto"/>
          <w:sz w:val="24"/>
        </w:rPr>
        <w:t>4.5m，</w:t>
      </w:r>
      <w:r>
        <w:rPr>
          <w:rFonts w:hint="eastAsia" w:ascii="宋体" w:hAnsi="宋体"/>
          <w:color w:val="auto"/>
          <w:sz w:val="24"/>
          <w:lang w:eastAsia="zh-CN"/>
        </w:rPr>
        <w:t>建设一条单向车道，建议按1×30m单跨布置，结构采用工字钢板梁</w:t>
      </w:r>
      <w:r>
        <w:rPr>
          <w:rFonts w:hint="eastAsia" w:ascii="宋体" w:hAnsi="宋体" w:eastAsia="宋体"/>
          <w:color w:val="auto"/>
          <w:sz w:val="24"/>
        </w:rPr>
        <w:t>。</w:t>
      </w:r>
    </w:p>
    <w:p>
      <w:pPr>
        <w:spacing w:beforeLines="0" w:afterLines="0" w:line="240" w:lineRule="auto"/>
        <w:ind w:firstLine="480" w:firstLineChars="200"/>
        <w:jc w:val="left"/>
        <w:rPr>
          <w:rFonts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）B线桥（学校西侧路）跨越现状岑村河，桥梁长度约</w:t>
      </w:r>
      <w:r>
        <w:rPr>
          <w:rFonts w:hint="eastAsia" w:ascii="宋体" w:hAnsi="宋体"/>
          <w:color w:val="auto"/>
          <w:sz w:val="24"/>
          <w:lang w:val="en-US" w:eastAsia="zh-CN"/>
        </w:rPr>
        <w:t>51</w:t>
      </w:r>
      <w:r>
        <w:rPr>
          <w:rFonts w:hint="eastAsia" w:ascii="宋体" w:hAnsi="宋体"/>
          <w:color w:val="auto"/>
          <w:sz w:val="24"/>
        </w:rPr>
        <w:t>m，桥梁宽度约15m，建议</w:t>
      </w:r>
      <w:r>
        <w:rPr>
          <w:rFonts w:hint="eastAsia" w:ascii="宋体" w:hAnsi="宋体"/>
          <w:color w:val="auto"/>
          <w:sz w:val="24"/>
          <w:lang w:eastAsia="zh-CN"/>
        </w:rPr>
        <w:t>按</w:t>
      </w:r>
      <w:r>
        <w:rPr>
          <w:rFonts w:hint="eastAsia" w:ascii="宋体" w:hAnsi="宋体"/>
          <w:color w:val="auto"/>
          <w:sz w:val="24"/>
          <w:lang w:val="en-US" w:eastAsia="zh-CN"/>
        </w:rPr>
        <w:t>1×45m单跨布置</w:t>
      </w:r>
      <w:r>
        <w:rPr>
          <w:rFonts w:hint="eastAsia" w:ascii="宋体" w:hAnsi="宋体" w:eastAsia="宋体"/>
          <w:color w:val="auto"/>
          <w:sz w:val="24"/>
        </w:rPr>
        <w:t>。护栏采用金属栏杆，外侧放置花箱。</w:t>
      </w:r>
      <w:r>
        <w:rPr>
          <w:rFonts w:hint="eastAsia" w:ascii="宋体" w:hAnsi="宋体"/>
          <w:color w:val="auto"/>
          <w:sz w:val="24"/>
        </w:rPr>
        <w:t>；</w:t>
      </w:r>
    </w:p>
    <w:p>
      <w:pPr>
        <w:spacing w:line="360" w:lineRule="auto"/>
        <w:ind w:firstLine="480" w:firstLineChars="200"/>
        <w:rPr>
          <w:rFonts w:ascii="宋体" w:hAnsi="宋体"/>
          <w:color w:val="auto"/>
          <w:sz w:val="24"/>
        </w:rPr>
      </w:pPr>
      <w:r>
        <w:rPr>
          <w:rFonts w:hint="eastAsia" w:ascii="宋体" w:hAnsi="宋体"/>
          <w:color w:val="auto"/>
          <w:sz w:val="24"/>
          <w:lang w:val="en-US" w:eastAsia="zh-CN"/>
        </w:rPr>
        <w:t>4</w:t>
      </w:r>
      <w:r>
        <w:rPr>
          <w:rFonts w:hint="eastAsia" w:ascii="宋体" w:hAnsi="宋体"/>
          <w:color w:val="auto"/>
          <w:sz w:val="24"/>
        </w:rPr>
        <w:t>)D线桥（学校北侧路）跨越现状岑村河，桥梁长度约5</w:t>
      </w:r>
      <w:r>
        <w:rPr>
          <w:rFonts w:hint="eastAsia" w:ascii="宋体" w:hAnsi="宋体"/>
          <w:color w:val="auto"/>
          <w:sz w:val="24"/>
          <w:lang w:val="en-US" w:eastAsia="zh-CN"/>
        </w:rPr>
        <w:t>1</w:t>
      </w:r>
      <w:r>
        <w:rPr>
          <w:rFonts w:hint="eastAsia" w:ascii="宋体" w:hAnsi="宋体"/>
          <w:color w:val="auto"/>
          <w:sz w:val="24"/>
        </w:rPr>
        <w:t>m，桥梁宽度约</w:t>
      </w:r>
      <w:r>
        <w:rPr>
          <w:rFonts w:hint="eastAsia" w:ascii="宋体" w:hAnsi="宋体"/>
          <w:color w:val="auto"/>
          <w:sz w:val="24"/>
          <w:lang w:val="en-US" w:eastAsia="zh-CN"/>
        </w:rPr>
        <w:t>9.5</w:t>
      </w:r>
      <w:r>
        <w:rPr>
          <w:rFonts w:hint="eastAsia" w:ascii="宋体" w:hAnsi="宋体"/>
          <w:color w:val="auto"/>
          <w:sz w:val="24"/>
        </w:rPr>
        <w:t>m，建议</w:t>
      </w:r>
      <w:r>
        <w:rPr>
          <w:rFonts w:hint="eastAsia" w:ascii="宋体" w:hAnsi="宋体"/>
          <w:color w:val="auto"/>
          <w:sz w:val="24"/>
          <w:lang w:eastAsia="zh-CN"/>
        </w:rPr>
        <w:t>按</w:t>
      </w:r>
      <w:r>
        <w:rPr>
          <w:rFonts w:hint="eastAsia" w:ascii="宋体" w:hAnsi="宋体"/>
          <w:color w:val="auto"/>
          <w:sz w:val="24"/>
          <w:lang w:val="en-US" w:eastAsia="zh-CN"/>
        </w:rPr>
        <w:t>1×45m单跨布置</w:t>
      </w:r>
      <w:r>
        <w:rPr>
          <w:rFonts w:hint="eastAsia" w:ascii="宋体" w:hAnsi="宋体"/>
          <w:color w:val="auto"/>
          <w:sz w:val="24"/>
        </w:rPr>
        <w:t>；</w:t>
      </w:r>
      <w:r>
        <w:rPr>
          <w:rFonts w:hint="eastAsia" w:ascii="宋体" w:hAnsi="宋体" w:eastAsia="宋体"/>
          <w:color w:val="auto"/>
          <w:sz w:val="24"/>
        </w:rPr>
        <w:t>护栏采用金属栏杆，外侧放置花箱。</w:t>
      </w:r>
    </w:p>
    <w:p>
      <w:pPr>
        <w:spacing w:line="360" w:lineRule="auto"/>
        <w:ind w:firstLine="480" w:firstLineChars="200"/>
        <w:rPr>
          <w:rFonts w:hint="eastAsia" w:ascii="宋体" w:hAnsi="宋体"/>
          <w:color w:val="auto"/>
          <w:sz w:val="24"/>
        </w:rPr>
      </w:pPr>
      <w:r>
        <w:rPr>
          <w:rFonts w:hint="eastAsia" w:ascii="宋体" w:hAnsi="宋体"/>
          <w:color w:val="auto"/>
          <w:sz w:val="24"/>
        </w:rPr>
        <w:t>（8）在学校环路内新建雨水管线，设计管径为d500～d1350，雨水管道就近排入岑村河或周边市政管网雨水系统。在</w:t>
      </w:r>
      <w:r>
        <w:rPr>
          <w:rFonts w:hint="eastAsia" w:ascii="宋体" w:hAnsi="宋体"/>
          <w:color w:val="auto"/>
          <w:sz w:val="24"/>
          <w:lang w:eastAsia="zh-CN"/>
        </w:rPr>
        <w:t>连接路</w:t>
      </w:r>
      <w:r>
        <w:rPr>
          <w:rFonts w:hint="eastAsia" w:ascii="宋体" w:hAnsi="宋体"/>
          <w:color w:val="auto"/>
          <w:sz w:val="24"/>
        </w:rPr>
        <w:t>范围内</w:t>
      </w:r>
      <w:r>
        <w:rPr>
          <w:rFonts w:hint="eastAsia" w:ascii="宋体" w:hAnsi="宋体"/>
          <w:color w:val="auto"/>
          <w:sz w:val="24"/>
          <w:lang w:eastAsia="zh-CN"/>
        </w:rPr>
        <w:t>局部</w:t>
      </w:r>
      <w:r>
        <w:rPr>
          <w:rFonts w:hint="eastAsia" w:ascii="宋体" w:hAnsi="宋体"/>
          <w:color w:val="auto"/>
          <w:sz w:val="24"/>
        </w:rPr>
        <w:t>新建雨</w:t>
      </w:r>
      <w:r>
        <w:rPr>
          <w:rFonts w:hint="eastAsia" w:ascii="宋体" w:hAnsi="宋体"/>
          <w:color w:val="auto"/>
          <w:sz w:val="24"/>
          <w:lang w:eastAsia="zh-CN"/>
        </w:rPr>
        <w:t>水盖板边沟</w:t>
      </w:r>
      <w:r>
        <w:rPr>
          <w:rFonts w:hint="eastAsia" w:ascii="宋体" w:hAnsi="宋体"/>
          <w:color w:val="auto"/>
          <w:sz w:val="24"/>
        </w:rPr>
        <w:t>，</w:t>
      </w:r>
      <w:r>
        <w:rPr>
          <w:rFonts w:hint="eastAsia" w:ascii="宋体" w:hAnsi="宋体"/>
          <w:color w:val="auto"/>
          <w:sz w:val="24"/>
          <w:lang w:eastAsia="zh-CN"/>
        </w:rPr>
        <w:t>利用现有雨水管道及现有路侧排水边沟排水，局部位置新建排水口及雨水支管</w:t>
      </w:r>
      <w:r>
        <w:rPr>
          <w:rFonts w:hint="eastAsia" w:ascii="宋体" w:hAnsi="宋体"/>
          <w:color w:val="auto"/>
          <w:sz w:val="24"/>
        </w:rPr>
        <w:t>。</w:t>
      </w:r>
    </w:p>
    <w:p>
      <w:pPr>
        <w:spacing w:line="360" w:lineRule="auto"/>
        <w:ind w:firstLine="480" w:firstLineChars="200"/>
        <w:rPr>
          <w:rFonts w:hint="eastAsia" w:ascii="宋体" w:hAnsi="宋体" w:eastAsia="宋体"/>
          <w:color w:val="auto"/>
          <w:sz w:val="24"/>
          <w:lang w:eastAsia="zh-CN"/>
        </w:rPr>
      </w:pPr>
      <w:r>
        <w:rPr>
          <w:rFonts w:hint="eastAsia" w:ascii="宋体" w:hAnsi="宋体"/>
          <w:color w:val="auto"/>
          <w:sz w:val="24"/>
          <w:lang w:eastAsia="zh-CN"/>
        </w:rPr>
        <w:t>（</w:t>
      </w:r>
      <w:r>
        <w:rPr>
          <w:rFonts w:hint="eastAsia" w:ascii="宋体" w:hAnsi="宋体"/>
          <w:color w:val="auto"/>
          <w:sz w:val="24"/>
          <w:lang w:val="en-US" w:eastAsia="zh-CN"/>
        </w:rPr>
        <w:t>9</w:t>
      </w:r>
      <w:r>
        <w:rPr>
          <w:rFonts w:hint="eastAsia" w:ascii="宋体" w:hAnsi="宋体"/>
          <w:color w:val="auto"/>
          <w:sz w:val="24"/>
          <w:lang w:eastAsia="zh-CN"/>
        </w:rPr>
        <w:t>）在学校环路内新建给水管线，设计管径为DN200～DN300，与学校连接路现状DN400给水管接驳。</w:t>
      </w:r>
    </w:p>
    <w:p>
      <w:pPr>
        <w:spacing w:line="360" w:lineRule="auto"/>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10</w:t>
      </w:r>
      <w:r>
        <w:rPr>
          <w:rFonts w:hint="eastAsia" w:ascii="宋体" w:hAnsi="宋体"/>
          <w:color w:val="auto"/>
          <w:sz w:val="24"/>
        </w:rPr>
        <w:t>）在道路范围内新建电力管廊，统一采用</w:t>
      </w:r>
      <w:r>
        <w:rPr>
          <w:rFonts w:hint="eastAsia" w:ascii="宋体" w:hAnsi="宋体"/>
          <w:color w:val="auto"/>
          <w:sz w:val="24"/>
          <w:lang w:val="en-US" w:eastAsia="zh-CN"/>
        </w:rPr>
        <w:t>4</w:t>
      </w:r>
      <w:r>
        <w:rPr>
          <w:rFonts w:hint="eastAsia" w:ascii="宋体" w:hAnsi="宋体"/>
          <w:color w:val="auto"/>
          <w:sz w:val="24"/>
        </w:rPr>
        <w:t>孔规模，采用排管形式敷设。</w:t>
      </w:r>
    </w:p>
    <w:p>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1</w:t>
      </w:r>
      <w:r>
        <w:rPr>
          <w:rFonts w:hint="eastAsia" w:ascii="宋体" w:hAnsi="宋体"/>
          <w:color w:val="auto"/>
          <w:sz w:val="24"/>
        </w:rPr>
        <w:t>）在道路范围内新建道路照明设施。</w:t>
      </w:r>
    </w:p>
    <w:p>
      <w:pPr>
        <w:spacing w:line="360" w:lineRule="auto"/>
        <w:ind w:firstLine="480" w:firstLineChars="200"/>
        <w:jc w:val="left"/>
        <w:rPr>
          <w:rFonts w:hint="eastAsia" w:ascii="宋体" w:hAnsi="宋体" w:eastAsia="宋体"/>
          <w:color w:val="auto"/>
          <w:sz w:val="24"/>
          <w:lang w:eastAsia="zh-CN"/>
        </w:rPr>
      </w:pPr>
      <w:r>
        <w:rPr>
          <w:rFonts w:hint="eastAsia" w:ascii="宋体" w:hAnsi="宋体"/>
          <w:color w:val="auto"/>
          <w:sz w:val="24"/>
          <w:lang w:eastAsia="zh-CN"/>
        </w:rPr>
        <w:t>（</w:t>
      </w:r>
      <w:r>
        <w:rPr>
          <w:rFonts w:hint="eastAsia" w:ascii="宋体" w:hAnsi="宋体"/>
          <w:color w:val="auto"/>
          <w:sz w:val="24"/>
          <w:lang w:val="en-US" w:eastAsia="zh-CN"/>
        </w:rPr>
        <w:t>12</w:t>
      </w:r>
      <w:r>
        <w:rPr>
          <w:rFonts w:hint="eastAsia" w:ascii="宋体" w:hAnsi="宋体"/>
          <w:color w:val="auto"/>
          <w:sz w:val="24"/>
          <w:lang w:eastAsia="zh-CN"/>
        </w:rPr>
        <w:t>）</w:t>
      </w:r>
      <w:r>
        <w:rPr>
          <w:rFonts w:hint="eastAsia" w:ascii="宋体" w:hAnsi="宋体" w:eastAsia="宋体"/>
          <w:color w:val="auto"/>
          <w:sz w:val="24"/>
        </w:rPr>
        <w:t>采用红棉为主题植物，打造</w:t>
      </w:r>
      <w:r>
        <w:rPr>
          <w:rFonts w:hint="eastAsia" w:ascii="宋体" w:hAnsi="宋体"/>
          <w:color w:val="auto"/>
          <w:sz w:val="24"/>
          <w:lang w:eastAsia="zh-CN"/>
        </w:rPr>
        <w:t>学校出入口核心</w:t>
      </w:r>
      <w:r>
        <w:rPr>
          <w:rFonts w:hint="eastAsia" w:ascii="宋体" w:hAnsi="宋体" w:eastAsia="宋体"/>
          <w:color w:val="auto"/>
          <w:sz w:val="24"/>
        </w:rPr>
        <w:t>景观节点；</w:t>
      </w:r>
      <w:r>
        <w:rPr>
          <w:rFonts w:hint="eastAsia" w:ascii="宋体" w:hAnsi="宋体"/>
          <w:color w:val="auto"/>
          <w:sz w:val="24"/>
          <w:lang w:eastAsia="zh-CN"/>
        </w:rPr>
        <w:t>建设</w:t>
      </w:r>
      <w:r>
        <w:rPr>
          <w:rFonts w:hint="eastAsia" w:ascii="宋体" w:hAnsi="宋体" w:eastAsia="宋体"/>
          <w:color w:val="auto"/>
          <w:sz w:val="24"/>
        </w:rPr>
        <w:t>河岸观景平台</w:t>
      </w:r>
      <w:r>
        <w:rPr>
          <w:rFonts w:hint="eastAsia" w:ascii="宋体" w:hAnsi="宋体"/>
          <w:color w:val="auto"/>
          <w:sz w:val="24"/>
          <w:lang w:eastAsia="zh-CN"/>
        </w:rPr>
        <w:t>；建设学校环路景观节点</w:t>
      </w:r>
      <w:r>
        <w:rPr>
          <w:rFonts w:hint="eastAsia" w:ascii="宋体" w:hAnsi="宋体" w:eastAsia="宋体"/>
          <w:color w:val="auto"/>
          <w:sz w:val="24"/>
        </w:rPr>
        <w:t>。</w:t>
      </w:r>
      <w:r>
        <w:rPr>
          <w:rFonts w:hint="eastAsia" w:ascii="宋体" w:hAnsi="宋体"/>
          <w:color w:val="auto"/>
          <w:sz w:val="24"/>
          <w:lang w:eastAsia="zh-CN"/>
        </w:rPr>
        <w:t>景观设计契合学校整体景观及氛围。</w:t>
      </w:r>
    </w:p>
    <w:p>
      <w:pPr>
        <w:spacing w:line="360" w:lineRule="auto"/>
        <w:ind w:firstLine="480" w:firstLineChars="200"/>
        <w:rPr>
          <w:rFonts w:ascii="宋体" w:hAnsi="宋体"/>
          <w:color w:val="auto"/>
          <w:sz w:val="24"/>
        </w:rPr>
      </w:pPr>
      <w:r>
        <w:rPr>
          <w:rFonts w:hint="eastAsia" w:ascii="宋体" w:hAnsi="宋体"/>
          <w:color w:val="auto"/>
          <w:sz w:val="24"/>
        </w:rPr>
        <w:t>本项目建设内容包括道路、桥梁、交通、雨水、污水、照明、电力及景观绿化工程。</w:t>
      </w:r>
    </w:p>
    <w:p>
      <w:pPr>
        <w:pStyle w:val="4"/>
        <w:rPr>
          <w:rFonts w:ascii="宋体" w:hAnsi="宋体" w:eastAsia="宋体" w:cs="宋体"/>
          <w:b/>
          <w:bCs w:val="0"/>
          <w:color w:val="auto"/>
        </w:rPr>
      </w:pPr>
      <w:bookmarkStart w:id="55" w:name="_Toc14640"/>
      <w:r>
        <w:rPr>
          <w:rFonts w:hint="eastAsia" w:ascii="宋体" w:hAnsi="宋体" w:eastAsia="宋体" w:cs="宋体"/>
          <w:b/>
          <w:bCs w:val="0"/>
          <w:color w:val="auto"/>
        </w:rPr>
        <w:t>1.1.8项目建设依据</w:t>
      </w:r>
      <w:bookmarkEnd w:id="55"/>
    </w:p>
    <w:p>
      <w:pPr>
        <w:ind w:firstLine="562" w:firstLineChars="200"/>
        <w:rPr>
          <w:rFonts w:ascii="宋体" w:hAnsi="宋体" w:cs="宋体"/>
          <w:color w:val="auto"/>
        </w:rPr>
      </w:pPr>
      <w:r>
        <w:rPr>
          <w:rFonts w:hint="eastAsia" w:ascii="宋体" w:hAnsi="宋体" w:cs="宋体"/>
          <w:b/>
          <w:color w:val="auto"/>
          <w:kern w:val="0"/>
          <w:sz w:val="28"/>
          <w:szCs w:val="32"/>
        </w:rPr>
        <w:t>一．国家规范及行业标准</w:t>
      </w:r>
    </w:p>
    <w:p>
      <w:pPr>
        <w:pStyle w:val="29"/>
        <w:rPr>
          <w:rFonts w:cs="宋体"/>
          <w:color w:val="auto"/>
        </w:rPr>
      </w:pPr>
      <w:r>
        <w:rPr>
          <w:rFonts w:cs="宋体"/>
          <w:color w:val="auto"/>
        </w:rPr>
        <w:t>《广州市城市绿地系统规划》（2020－2035年）；</w:t>
      </w:r>
    </w:p>
    <w:p>
      <w:pPr>
        <w:pStyle w:val="29"/>
        <w:rPr>
          <w:rFonts w:cs="宋体"/>
          <w:color w:val="auto"/>
        </w:rPr>
      </w:pPr>
      <w:r>
        <w:rPr>
          <w:rFonts w:cs="宋体"/>
          <w:color w:val="auto"/>
        </w:rPr>
        <w:t>《城市道路工程技术规范》</w:t>
      </w:r>
      <w:r>
        <w:rPr>
          <w:rFonts w:hint="eastAsia" w:cs="宋体"/>
          <w:color w:val="auto"/>
        </w:rPr>
        <w:t>（</w:t>
      </w:r>
      <w:r>
        <w:rPr>
          <w:rFonts w:cs="宋体"/>
          <w:color w:val="auto"/>
        </w:rPr>
        <w:t>GB51286</w:t>
      </w:r>
      <w:r>
        <w:rPr>
          <w:rFonts w:hint="eastAsia" w:cs="宋体"/>
          <w:color w:val="auto"/>
        </w:rPr>
        <w:t>）</w:t>
      </w:r>
      <w:r>
        <w:rPr>
          <w:rFonts w:cs="宋体"/>
          <w:color w:val="auto"/>
        </w:rPr>
        <w:t>；</w:t>
      </w:r>
    </w:p>
    <w:p>
      <w:pPr>
        <w:pStyle w:val="29"/>
        <w:rPr>
          <w:rFonts w:cs="宋体"/>
          <w:color w:val="auto"/>
        </w:rPr>
      </w:pPr>
      <w:r>
        <w:rPr>
          <w:rFonts w:cs="宋体"/>
          <w:color w:val="auto"/>
        </w:rPr>
        <w:t>《城市绿地分类标准》（CJJ／T85－2002）；</w:t>
      </w:r>
    </w:p>
    <w:p>
      <w:pPr>
        <w:pStyle w:val="29"/>
        <w:rPr>
          <w:rFonts w:cs="宋体"/>
          <w:color w:val="auto"/>
        </w:rPr>
      </w:pPr>
      <w:r>
        <w:rPr>
          <w:rFonts w:cs="宋体"/>
          <w:color w:val="auto"/>
        </w:rPr>
        <w:t>《城市绿地设计规范》</w:t>
      </w:r>
      <w:r>
        <w:rPr>
          <w:rFonts w:hint="eastAsia" w:cs="宋体"/>
          <w:color w:val="auto"/>
        </w:rPr>
        <w:t>（</w:t>
      </w:r>
      <w:r>
        <w:rPr>
          <w:rFonts w:cs="宋体"/>
          <w:color w:val="auto"/>
        </w:rPr>
        <w:t>GB 50420-2007</w:t>
      </w:r>
      <w:r>
        <w:rPr>
          <w:rFonts w:hint="eastAsia" w:cs="宋体"/>
          <w:color w:val="auto"/>
        </w:rPr>
        <w:t>）</w:t>
      </w:r>
      <w:r>
        <w:rPr>
          <w:rFonts w:cs="宋体"/>
          <w:color w:val="auto"/>
        </w:rPr>
        <w:t>；</w:t>
      </w:r>
    </w:p>
    <w:p>
      <w:pPr>
        <w:pStyle w:val="29"/>
        <w:rPr>
          <w:rFonts w:cs="宋体"/>
          <w:color w:val="auto"/>
        </w:rPr>
      </w:pPr>
      <w:r>
        <w:rPr>
          <w:rFonts w:cs="宋体"/>
          <w:color w:val="auto"/>
        </w:rPr>
        <w:t>《城市绿化工程施工及验收规范》（CJJ82-2012）；</w:t>
      </w:r>
    </w:p>
    <w:p>
      <w:pPr>
        <w:pStyle w:val="29"/>
        <w:rPr>
          <w:rFonts w:cs="宋体"/>
          <w:color w:val="auto"/>
        </w:rPr>
      </w:pPr>
      <w:r>
        <w:rPr>
          <w:rFonts w:cs="宋体"/>
          <w:color w:val="auto"/>
        </w:rPr>
        <w:t>《公园设计规范》（GB51192-2016）；</w:t>
      </w:r>
    </w:p>
    <w:p>
      <w:pPr>
        <w:pStyle w:val="29"/>
        <w:rPr>
          <w:rFonts w:cs="宋体"/>
          <w:color w:val="auto"/>
        </w:rPr>
      </w:pPr>
      <w:r>
        <w:rPr>
          <w:rFonts w:cs="宋体"/>
          <w:color w:val="auto"/>
        </w:rPr>
        <w:t>《建筑地面工程施工及验收规范》（GB50209-2010）；</w:t>
      </w:r>
    </w:p>
    <w:p>
      <w:pPr>
        <w:pStyle w:val="29"/>
        <w:rPr>
          <w:rFonts w:cs="宋体"/>
          <w:color w:val="auto"/>
        </w:rPr>
      </w:pPr>
      <w:r>
        <w:rPr>
          <w:rFonts w:cs="宋体"/>
          <w:color w:val="auto"/>
        </w:rPr>
        <w:t>《砌体工程施工质量及验收规范》（GB50203-2015）；</w:t>
      </w:r>
    </w:p>
    <w:p>
      <w:pPr>
        <w:pStyle w:val="29"/>
        <w:rPr>
          <w:rFonts w:cs="宋体"/>
          <w:color w:val="auto"/>
        </w:rPr>
      </w:pPr>
      <w:r>
        <w:rPr>
          <w:rFonts w:cs="宋体"/>
          <w:color w:val="auto"/>
        </w:rPr>
        <w:t>《室外给水设计规范》（GB50013－2006）；</w:t>
      </w:r>
    </w:p>
    <w:p>
      <w:pPr>
        <w:pStyle w:val="29"/>
        <w:rPr>
          <w:rFonts w:cs="宋体"/>
          <w:color w:val="auto"/>
        </w:rPr>
      </w:pPr>
      <w:r>
        <w:rPr>
          <w:rFonts w:cs="宋体"/>
          <w:color w:val="auto"/>
        </w:rPr>
        <w:t>《室外排水设计规范》（GB50014－2021）；</w:t>
      </w:r>
    </w:p>
    <w:p>
      <w:pPr>
        <w:pStyle w:val="29"/>
        <w:rPr>
          <w:rFonts w:cs="宋体"/>
          <w:color w:val="auto"/>
        </w:rPr>
      </w:pPr>
      <w:r>
        <w:rPr>
          <w:rFonts w:cs="宋体"/>
          <w:color w:val="auto"/>
        </w:rPr>
        <w:t>《城市道路照明设计标准》(CJJ45－2015) ；</w:t>
      </w:r>
    </w:p>
    <w:p>
      <w:pPr>
        <w:pStyle w:val="29"/>
        <w:rPr>
          <w:rFonts w:cs="宋体"/>
          <w:color w:val="auto"/>
        </w:rPr>
      </w:pPr>
      <w:r>
        <w:rPr>
          <w:rFonts w:cs="宋体"/>
          <w:color w:val="auto"/>
        </w:rPr>
        <w:t>《供配电系统设计规范》（GB 50052-2016）</w:t>
      </w:r>
    </w:p>
    <w:p>
      <w:pPr>
        <w:pStyle w:val="29"/>
        <w:rPr>
          <w:rFonts w:cs="宋体"/>
          <w:color w:val="auto"/>
        </w:rPr>
      </w:pPr>
      <w:r>
        <w:rPr>
          <w:rFonts w:cs="宋体"/>
          <w:color w:val="auto"/>
        </w:rPr>
        <w:t>《城市道路工程设计规范》</w:t>
      </w:r>
      <w:r>
        <w:rPr>
          <w:rFonts w:hint="eastAsia" w:cs="宋体"/>
          <w:color w:val="auto"/>
        </w:rPr>
        <w:t>（</w:t>
      </w:r>
      <w:r>
        <w:rPr>
          <w:rFonts w:cs="宋体"/>
          <w:color w:val="auto"/>
        </w:rPr>
        <w:t>CJJ 37-2012（2016）</w:t>
      </w:r>
      <w:r>
        <w:rPr>
          <w:rFonts w:hint="eastAsia" w:cs="宋体"/>
          <w:color w:val="auto"/>
        </w:rPr>
        <w:t>）</w:t>
      </w:r>
      <w:r>
        <w:rPr>
          <w:rFonts w:cs="宋体"/>
          <w:color w:val="auto"/>
        </w:rPr>
        <w:t>；</w:t>
      </w:r>
    </w:p>
    <w:p>
      <w:pPr>
        <w:pStyle w:val="29"/>
        <w:rPr>
          <w:rFonts w:cs="宋体"/>
          <w:color w:val="auto"/>
        </w:rPr>
      </w:pPr>
      <w:r>
        <w:rPr>
          <w:rFonts w:cs="宋体"/>
          <w:color w:val="auto"/>
        </w:rPr>
        <w:t>《城市道路路线设计规范》</w:t>
      </w:r>
      <w:r>
        <w:rPr>
          <w:rFonts w:hint="eastAsia" w:cs="宋体"/>
          <w:color w:val="auto"/>
        </w:rPr>
        <w:t>（</w:t>
      </w:r>
      <w:r>
        <w:rPr>
          <w:rFonts w:cs="宋体"/>
          <w:color w:val="auto"/>
        </w:rPr>
        <w:t>CJJ 193-2012</w:t>
      </w:r>
      <w:r>
        <w:rPr>
          <w:rFonts w:hint="eastAsia" w:cs="宋体"/>
          <w:color w:val="auto"/>
        </w:rPr>
        <w:t>）</w:t>
      </w:r>
      <w:r>
        <w:rPr>
          <w:rFonts w:cs="宋体"/>
          <w:color w:val="auto"/>
        </w:rPr>
        <w:t>；</w:t>
      </w:r>
    </w:p>
    <w:p>
      <w:pPr>
        <w:pStyle w:val="29"/>
        <w:rPr>
          <w:rFonts w:cs="宋体"/>
          <w:color w:val="auto"/>
        </w:rPr>
      </w:pPr>
      <w:r>
        <w:rPr>
          <w:rFonts w:cs="宋体"/>
          <w:color w:val="auto"/>
        </w:rPr>
        <w:t>《公路沥青路面施工技术规范》</w:t>
      </w:r>
      <w:r>
        <w:rPr>
          <w:rFonts w:hint="eastAsia" w:cs="宋体"/>
          <w:color w:val="auto"/>
        </w:rPr>
        <w:t>（</w:t>
      </w:r>
      <w:r>
        <w:rPr>
          <w:rFonts w:cs="宋体"/>
          <w:color w:val="auto"/>
        </w:rPr>
        <w:t>JTJ F40-2004</w:t>
      </w:r>
      <w:r>
        <w:rPr>
          <w:rFonts w:hint="eastAsia" w:cs="宋体"/>
          <w:color w:val="auto"/>
        </w:rPr>
        <w:t>）</w:t>
      </w:r>
      <w:r>
        <w:rPr>
          <w:rFonts w:cs="宋体"/>
          <w:color w:val="auto"/>
        </w:rPr>
        <w:t>；</w:t>
      </w:r>
    </w:p>
    <w:p>
      <w:pPr>
        <w:pStyle w:val="29"/>
        <w:rPr>
          <w:rFonts w:cs="宋体"/>
          <w:color w:val="auto"/>
        </w:rPr>
      </w:pPr>
      <w:r>
        <w:rPr>
          <w:rFonts w:cs="宋体"/>
          <w:color w:val="auto"/>
        </w:rPr>
        <w:t>《道路交通标志和标线》</w:t>
      </w:r>
      <w:r>
        <w:rPr>
          <w:rFonts w:hint="eastAsia" w:cs="宋体"/>
          <w:color w:val="auto"/>
        </w:rPr>
        <w:t>（</w:t>
      </w:r>
      <w:r>
        <w:rPr>
          <w:rFonts w:cs="宋体"/>
          <w:color w:val="auto"/>
        </w:rPr>
        <w:t>GB5768-2009</w:t>
      </w:r>
      <w:r>
        <w:rPr>
          <w:rFonts w:hint="eastAsia" w:cs="宋体"/>
          <w:color w:val="auto"/>
        </w:rPr>
        <w:t>）</w:t>
      </w:r>
      <w:r>
        <w:rPr>
          <w:rFonts w:cs="宋体"/>
          <w:color w:val="auto"/>
        </w:rPr>
        <w:t>；</w:t>
      </w:r>
    </w:p>
    <w:p>
      <w:pPr>
        <w:pStyle w:val="29"/>
        <w:rPr>
          <w:rFonts w:cs="宋体"/>
          <w:color w:val="auto"/>
        </w:rPr>
      </w:pPr>
      <w:r>
        <w:rPr>
          <w:rFonts w:cs="宋体"/>
          <w:color w:val="auto"/>
        </w:rPr>
        <w:t>《路面标线涂料》</w:t>
      </w:r>
      <w:r>
        <w:rPr>
          <w:rFonts w:hint="eastAsia" w:cs="宋体"/>
          <w:color w:val="auto"/>
        </w:rPr>
        <w:t>（</w:t>
      </w:r>
      <w:r>
        <w:rPr>
          <w:rFonts w:cs="宋体"/>
          <w:color w:val="auto"/>
        </w:rPr>
        <w:t>JT/T280-2004</w:t>
      </w:r>
      <w:r>
        <w:rPr>
          <w:rFonts w:hint="eastAsia" w:cs="宋体"/>
          <w:color w:val="auto"/>
        </w:rPr>
        <w:t>）</w:t>
      </w:r>
      <w:r>
        <w:rPr>
          <w:rFonts w:cs="宋体"/>
          <w:color w:val="auto"/>
        </w:rPr>
        <w:t>；</w:t>
      </w:r>
    </w:p>
    <w:p>
      <w:pPr>
        <w:pStyle w:val="29"/>
        <w:rPr>
          <w:rFonts w:cs="宋体"/>
          <w:color w:val="auto"/>
        </w:rPr>
      </w:pPr>
      <w:r>
        <w:rPr>
          <w:rFonts w:cs="宋体"/>
          <w:color w:val="auto"/>
        </w:rPr>
        <w:t>《中华人民共和国道路交通安全法》；</w:t>
      </w:r>
    </w:p>
    <w:p>
      <w:pPr>
        <w:pStyle w:val="29"/>
        <w:rPr>
          <w:rFonts w:cs="宋体"/>
          <w:color w:val="auto"/>
        </w:rPr>
      </w:pPr>
      <w:r>
        <w:rPr>
          <w:rFonts w:cs="宋体"/>
          <w:color w:val="auto"/>
        </w:rPr>
        <w:t>《无障碍设计规范》</w:t>
      </w:r>
      <w:r>
        <w:rPr>
          <w:rFonts w:hint="eastAsia" w:cs="宋体"/>
          <w:color w:val="auto"/>
        </w:rPr>
        <w:t>（</w:t>
      </w:r>
      <w:r>
        <w:rPr>
          <w:rFonts w:cs="宋体"/>
          <w:color w:val="auto"/>
        </w:rPr>
        <w:t>GB 50763-2012</w:t>
      </w:r>
      <w:r>
        <w:rPr>
          <w:rFonts w:hint="eastAsia" w:cs="宋体"/>
          <w:color w:val="auto"/>
        </w:rPr>
        <w:t>）</w:t>
      </w:r>
      <w:r>
        <w:rPr>
          <w:rFonts w:cs="宋体"/>
          <w:color w:val="auto"/>
        </w:rPr>
        <w:t xml:space="preserve"> ；</w:t>
      </w:r>
    </w:p>
    <w:p>
      <w:pPr>
        <w:pStyle w:val="29"/>
        <w:rPr>
          <w:rFonts w:cs="宋体"/>
          <w:color w:val="auto"/>
        </w:rPr>
      </w:pPr>
      <w:r>
        <w:rPr>
          <w:rFonts w:cs="宋体"/>
          <w:color w:val="auto"/>
        </w:rPr>
        <w:t>《建筑与市政工程无障碍通用规范》（GB 55019-2021）；</w:t>
      </w:r>
    </w:p>
    <w:p>
      <w:pPr>
        <w:pStyle w:val="29"/>
        <w:rPr>
          <w:rFonts w:cs="宋体"/>
          <w:color w:val="auto"/>
        </w:rPr>
      </w:pPr>
      <w:r>
        <w:rPr>
          <w:rFonts w:cs="宋体"/>
          <w:color w:val="auto"/>
        </w:rPr>
        <w:t>《天河区深化干净整洁、平安有序市政设施养护标准》；</w:t>
      </w:r>
    </w:p>
    <w:p>
      <w:pPr>
        <w:pStyle w:val="29"/>
        <w:rPr>
          <w:rFonts w:cs="宋体"/>
          <w:color w:val="auto"/>
        </w:rPr>
      </w:pPr>
      <w:r>
        <w:rPr>
          <w:rFonts w:cs="宋体"/>
          <w:color w:val="auto"/>
        </w:rPr>
        <w:t>《广州市生态城市规划纲要》（2010-2020）；</w:t>
      </w:r>
    </w:p>
    <w:p>
      <w:pPr>
        <w:pStyle w:val="29"/>
        <w:rPr>
          <w:rFonts w:cs="宋体"/>
          <w:color w:val="auto"/>
        </w:rPr>
      </w:pPr>
      <w:r>
        <w:rPr>
          <w:rFonts w:cs="宋体"/>
          <w:color w:val="auto"/>
        </w:rPr>
        <w:t>《园林绿化工程项目规范》</w:t>
      </w:r>
      <w:r>
        <w:rPr>
          <w:rFonts w:hint="eastAsia" w:cs="宋体"/>
          <w:color w:val="auto"/>
        </w:rPr>
        <w:t>（</w:t>
      </w:r>
      <w:r>
        <w:rPr>
          <w:rFonts w:cs="宋体"/>
          <w:color w:val="auto"/>
        </w:rPr>
        <w:t>GB 55014-2021</w:t>
      </w:r>
      <w:r>
        <w:rPr>
          <w:rFonts w:hint="eastAsia" w:cs="宋体"/>
          <w:color w:val="auto"/>
        </w:rPr>
        <w:t>）</w:t>
      </w:r>
      <w:r>
        <w:rPr>
          <w:rFonts w:cs="宋体"/>
          <w:color w:val="auto"/>
        </w:rPr>
        <w:t>；</w:t>
      </w:r>
    </w:p>
    <w:p>
      <w:pPr>
        <w:pStyle w:val="29"/>
        <w:rPr>
          <w:rFonts w:cs="宋体"/>
          <w:color w:val="auto"/>
        </w:rPr>
      </w:pPr>
      <w:r>
        <w:rPr>
          <w:rFonts w:cs="宋体"/>
          <w:color w:val="auto"/>
        </w:rPr>
        <w:t>《广州市绿化条例》；</w:t>
      </w:r>
    </w:p>
    <w:p>
      <w:pPr>
        <w:pStyle w:val="29"/>
        <w:rPr>
          <w:rFonts w:cs="宋体"/>
          <w:color w:val="auto"/>
        </w:rPr>
      </w:pPr>
      <w:r>
        <w:rPr>
          <w:rFonts w:cs="宋体"/>
          <w:color w:val="auto"/>
        </w:rPr>
        <w:t>其他有关的国家及地方强制性规程、标准。</w:t>
      </w:r>
      <w:r>
        <w:rPr>
          <w:rFonts w:hint="eastAsia" w:cs="宋体"/>
          <w:color w:val="auto"/>
        </w:rPr>
        <w:t>如在实施过程中出台新的标准，按新标准执行。</w:t>
      </w:r>
    </w:p>
    <w:p>
      <w:pPr>
        <w:pStyle w:val="29"/>
        <w:ind w:firstLine="562"/>
        <w:rPr>
          <w:rFonts w:cs="宋体"/>
          <w:b/>
          <w:color w:val="auto"/>
          <w:kern w:val="0"/>
          <w:sz w:val="28"/>
          <w:szCs w:val="32"/>
        </w:rPr>
      </w:pPr>
      <w:r>
        <w:rPr>
          <w:rFonts w:hint="eastAsia" w:cs="宋体"/>
          <w:b/>
          <w:color w:val="auto"/>
          <w:kern w:val="0"/>
          <w:sz w:val="28"/>
          <w:szCs w:val="32"/>
        </w:rPr>
        <w:t>二、相关文件</w:t>
      </w:r>
      <w:bookmarkEnd w:id="51"/>
      <w:bookmarkEnd w:id="52"/>
    </w:p>
    <w:p>
      <w:pPr>
        <w:pStyle w:val="29"/>
        <w:rPr>
          <w:rFonts w:cs="宋体"/>
          <w:color w:val="auto"/>
        </w:rPr>
      </w:pPr>
      <w:r>
        <w:rPr>
          <w:rFonts w:cs="宋体"/>
          <w:color w:val="auto"/>
        </w:rPr>
        <w:t>《广州市城市道路全要素设计手册》；</w:t>
      </w:r>
    </w:p>
    <w:p>
      <w:pPr>
        <w:pStyle w:val="29"/>
        <w:rPr>
          <w:rFonts w:cs="宋体"/>
          <w:color w:val="auto"/>
        </w:rPr>
      </w:pPr>
      <w:r>
        <w:rPr>
          <w:rFonts w:hint="eastAsia"/>
          <w:color w:val="auto"/>
          <w:kern w:val="0"/>
        </w:rPr>
        <w:t>《</w:t>
      </w:r>
      <w:r>
        <w:rPr>
          <w:rFonts w:hint="eastAsia"/>
          <w:color w:val="auto"/>
        </w:rPr>
        <w:t>天河外国语学校智慧城校区地块（AT0204规划管理单元)控制性详细规划</w:t>
      </w:r>
      <w:r>
        <w:rPr>
          <w:rFonts w:hint="eastAsia"/>
          <w:color w:val="auto"/>
          <w:kern w:val="0"/>
        </w:rPr>
        <w:t>》</w:t>
      </w:r>
      <w:r>
        <w:rPr>
          <w:rFonts w:hint="eastAsia" w:cs="宋体"/>
          <w:color w:val="auto"/>
        </w:rPr>
        <w:t>；</w:t>
      </w:r>
    </w:p>
    <w:p>
      <w:pPr>
        <w:pStyle w:val="29"/>
        <w:rPr>
          <w:rFonts w:cs="宋体"/>
          <w:color w:val="auto"/>
        </w:rPr>
      </w:pPr>
      <w:r>
        <w:rPr>
          <w:rFonts w:hint="eastAsia"/>
          <w:color w:val="auto"/>
          <w:kern w:val="0"/>
        </w:rPr>
        <w:t>《广州市天河区发展和改革局关于天河外国语学校智慧城校区周边道路建设工程项目建议书的复函》（穗天发改投批〔2023〕58号）</w:t>
      </w:r>
      <w:r>
        <w:rPr>
          <w:rFonts w:hint="eastAsia" w:cs="宋体"/>
          <w:color w:val="auto"/>
        </w:rPr>
        <w:t>；</w:t>
      </w:r>
    </w:p>
    <w:p>
      <w:pPr>
        <w:pStyle w:val="29"/>
        <w:jc w:val="left"/>
        <w:rPr>
          <w:color w:val="auto"/>
          <w:kern w:val="0"/>
        </w:rPr>
      </w:pPr>
      <w:r>
        <w:rPr>
          <w:rFonts w:hint="eastAsia" w:cs="宋体"/>
          <w:color w:val="auto"/>
        </w:rPr>
        <w:t>与本项目有关的其他资料等。</w:t>
      </w:r>
    </w:p>
    <w:p>
      <w:pPr>
        <w:pStyle w:val="3"/>
        <w:rPr>
          <w:rFonts w:ascii="宋体" w:hAnsi="宋体" w:eastAsia="宋体" w:cs="宋体"/>
          <w:b/>
          <w:bCs w:val="0"/>
          <w:color w:val="auto"/>
        </w:rPr>
      </w:pPr>
      <w:bookmarkStart w:id="56" w:name="_Toc12034"/>
      <w:bookmarkStart w:id="57" w:name="_Toc1632"/>
      <w:bookmarkStart w:id="58" w:name="_Toc19901"/>
      <w:bookmarkStart w:id="59" w:name="_Toc22783"/>
      <w:bookmarkStart w:id="60" w:name="_Toc30436"/>
      <w:bookmarkStart w:id="61" w:name="_Toc1975"/>
      <w:bookmarkStart w:id="62" w:name="_Toc22506"/>
      <w:bookmarkStart w:id="63" w:name="_Toc452558303"/>
      <w:bookmarkStart w:id="64" w:name="_Toc452558094"/>
      <w:bookmarkStart w:id="65" w:name="_Toc452973683"/>
      <w:r>
        <w:rPr>
          <w:rFonts w:hint="eastAsia" w:ascii="宋体" w:hAnsi="宋体" w:eastAsia="宋体" w:cs="宋体"/>
          <w:b/>
          <w:bCs w:val="0"/>
          <w:color w:val="auto"/>
        </w:rPr>
        <w:t>1.2项目建设范围及勘察设计范围</w:t>
      </w:r>
      <w:bookmarkEnd w:id="56"/>
      <w:bookmarkEnd w:id="57"/>
      <w:bookmarkEnd w:id="58"/>
      <w:bookmarkEnd w:id="59"/>
      <w:bookmarkEnd w:id="60"/>
      <w:bookmarkEnd w:id="61"/>
      <w:bookmarkEnd w:id="62"/>
    </w:p>
    <w:bookmarkEnd w:id="53"/>
    <w:bookmarkEnd w:id="54"/>
    <w:bookmarkEnd w:id="63"/>
    <w:bookmarkEnd w:id="64"/>
    <w:bookmarkEnd w:id="65"/>
    <w:p>
      <w:pPr>
        <w:pStyle w:val="4"/>
        <w:rPr>
          <w:rFonts w:ascii="宋体" w:hAnsi="宋体" w:eastAsia="宋体" w:cs="宋体"/>
          <w:b/>
          <w:bCs w:val="0"/>
          <w:color w:val="auto"/>
        </w:rPr>
      </w:pPr>
      <w:bookmarkStart w:id="66" w:name="_Toc591"/>
      <w:bookmarkStart w:id="67" w:name="_Toc4619"/>
      <w:bookmarkStart w:id="68" w:name="_Toc28849"/>
      <w:bookmarkStart w:id="69" w:name="_Toc23099"/>
      <w:r>
        <w:rPr>
          <w:rFonts w:hint="eastAsia" w:ascii="宋体" w:hAnsi="宋体" w:eastAsia="宋体" w:cs="宋体"/>
          <w:b/>
          <w:bCs w:val="0"/>
          <w:color w:val="auto"/>
        </w:rPr>
        <w:t>1.2.1项目建设范围</w:t>
      </w:r>
      <w:bookmarkEnd w:id="66"/>
      <w:bookmarkEnd w:id="67"/>
      <w:bookmarkEnd w:id="68"/>
      <w:bookmarkEnd w:id="69"/>
    </w:p>
    <w:p>
      <w:pPr>
        <w:spacing w:line="360" w:lineRule="auto"/>
        <w:ind w:firstLine="480" w:firstLineChars="200"/>
        <w:rPr>
          <w:rFonts w:ascii="宋体" w:hAnsi="宋体"/>
          <w:color w:val="auto"/>
          <w:sz w:val="24"/>
        </w:rPr>
      </w:pPr>
      <w:r>
        <w:rPr>
          <w:rFonts w:hint="eastAsia" w:ascii="宋体" w:hAnsi="宋体"/>
          <w:color w:val="auto"/>
          <w:sz w:val="24"/>
        </w:rPr>
        <w:t>拟建项目道路包括连接智慧城校区至现状长兴路的学校连接路以及学校环路，总长约2377m，规划红线宽度7.0～26.47m不等，学校连接路</w:t>
      </w:r>
      <w:r>
        <w:rPr>
          <w:rFonts w:hint="eastAsia" w:ascii="宋体" w:hAnsi="宋体"/>
          <w:color w:val="auto"/>
          <w:sz w:val="24"/>
          <w:lang w:eastAsia="zh-CN"/>
        </w:rPr>
        <w:t>利用现状道路升级改造建设双向两车道，</w:t>
      </w:r>
      <w:r>
        <w:rPr>
          <w:rFonts w:hint="eastAsia" w:ascii="宋体" w:hAnsi="宋体"/>
          <w:color w:val="auto"/>
          <w:sz w:val="24"/>
        </w:rPr>
        <w:t>学校东侧路、学校西侧路规划等级为城市支路，设计车速为30km/h，学校北侧路受限于用地红线条件，道路等级按等外道路（消防车道），设计车速15km/h。</w:t>
      </w:r>
    </w:p>
    <w:p>
      <w:pPr>
        <w:spacing w:line="360" w:lineRule="auto"/>
        <w:jc w:val="center"/>
        <w:rPr>
          <w:rFonts w:ascii="宋体" w:hAnsi="宋体"/>
          <w:color w:val="auto"/>
          <w:kern w:val="0"/>
          <w:sz w:val="24"/>
        </w:rPr>
      </w:pPr>
      <w:r>
        <w:rPr>
          <w:color w:val="auto"/>
        </w:rPr>
        <w:drawing>
          <wp:inline distT="0" distB="0" distL="114300" distR="114300">
            <wp:extent cx="5963920" cy="4777105"/>
            <wp:effectExtent l="0" t="0" r="1778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963920" cy="4777105"/>
                    </a:xfrm>
                    <a:prstGeom prst="rect">
                      <a:avLst/>
                    </a:prstGeom>
                    <a:noFill/>
                    <a:ln>
                      <a:noFill/>
                    </a:ln>
                  </pic:spPr>
                </pic:pic>
              </a:graphicData>
            </a:graphic>
          </wp:inline>
        </w:drawing>
      </w:r>
    </w:p>
    <w:p>
      <w:pPr>
        <w:jc w:val="center"/>
        <w:rPr>
          <w:rFonts w:ascii="黑体" w:hAnsi="黑体" w:eastAsia="黑体"/>
          <w:color w:val="auto"/>
        </w:rPr>
      </w:pPr>
      <w:r>
        <w:rPr>
          <w:rFonts w:hint="eastAsia" w:ascii="黑体" w:hAnsi="黑体" w:eastAsia="黑体"/>
          <w:color w:val="auto"/>
        </w:rPr>
        <w:t>建设范围示意图</w:t>
      </w:r>
    </w:p>
    <w:p>
      <w:pPr>
        <w:spacing w:line="360" w:lineRule="auto"/>
        <w:jc w:val="center"/>
        <w:rPr>
          <w:rFonts w:ascii="宋体" w:hAnsi="宋体" w:cs="宋体"/>
          <w:color w:val="auto"/>
        </w:rPr>
        <w:sectPr>
          <w:footerReference r:id="rId9" w:type="first"/>
          <w:headerReference r:id="rId7" w:type="default"/>
          <w:footerReference r:id="rId8" w:type="default"/>
          <w:footnotePr>
            <w:numRestart w:val="eachPage"/>
          </w:footnotePr>
          <w:pgSz w:w="11906" w:h="16838"/>
          <w:pgMar w:top="1418" w:right="1418" w:bottom="1418" w:left="1418" w:header="851" w:footer="992" w:gutter="0"/>
          <w:cols w:space="720" w:num="1"/>
          <w:titlePg/>
          <w:docGrid w:type="lines" w:linePitch="312" w:charSpace="0"/>
        </w:sectPr>
      </w:pPr>
    </w:p>
    <w:p>
      <w:pPr>
        <w:pStyle w:val="4"/>
        <w:keepNext w:val="0"/>
        <w:keepLines w:val="0"/>
        <w:rPr>
          <w:rFonts w:ascii="宋体" w:hAnsi="宋体" w:eastAsia="宋体" w:cs="宋体"/>
          <w:b/>
          <w:bCs w:val="0"/>
          <w:color w:val="auto"/>
        </w:rPr>
      </w:pPr>
      <w:bookmarkStart w:id="70" w:name="_Toc16191"/>
      <w:bookmarkStart w:id="71" w:name="_Toc775"/>
      <w:bookmarkStart w:id="72" w:name="_Toc26754"/>
      <w:bookmarkStart w:id="73" w:name="_Toc23665"/>
      <w:r>
        <w:rPr>
          <w:rFonts w:hint="eastAsia" w:ascii="宋体" w:hAnsi="宋体" w:eastAsia="宋体" w:cs="宋体"/>
          <w:b/>
          <w:bCs w:val="0"/>
          <w:color w:val="auto"/>
        </w:rPr>
        <w:t>1.2.2项目勘察设计范围</w:t>
      </w:r>
      <w:bookmarkEnd w:id="70"/>
      <w:bookmarkEnd w:id="71"/>
      <w:bookmarkEnd w:id="72"/>
      <w:bookmarkEnd w:id="73"/>
    </w:p>
    <w:p>
      <w:pPr>
        <w:spacing w:line="360" w:lineRule="auto"/>
        <w:ind w:firstLine="480" w:firstLineChars="200"/>
        <w:jc w:val="left"/>
        <w:rPr>
          <w:rFonts w:ascii="宋体" w:hAnsi="宋体" w:cs="宋体"/>
          <w:color w:val="auto"/>
          <w:sz w:val="24"/>
          <w:szCs w:val="21"/>
        </w:rPr>
      </w:pPr>
      <w:r>
        <w:rPr>
          <w:rFonts w:hint="eastAsia" w:ascii="宋体" w:hAnsi="宋体" w:cs="宋体"/>
          <w:color w:val="auto"/>
          <w:sz w:val="24"/>
        </w:rPr>
        <w:t>本项目建设范围所涉及建设内容的全部设计工作，勘察内容包括</w:t>
      </w:r>
      <w:r>
        <w:rPr>
          <w:rFonts w:hint="eastAsia" w:ascii="宋体" w:hAnsi="宋体" w:cs="宋体"/>
          <w:color w:val="auto"/>
          <w:sz w:val="24"/>
          <w:lang w:eastAsia="zh-CN"/>
        </w:rPr>
        <w:t>岩土</w:t>
      </w:r>
      <w:r>
        <w:rPr>
          <w:rFonts w:hint="eastAsia" w:ascii="宋体" w:hAnsi="宋体" w:cs="宋体"/>
          <w:color w:val="auto"/>
          <w:sz w:val="24"/>
        </w:rPr>
        <w:t>工程勘察、工程测量及管线探测，工程测量范围为本项目建设范围，工程勘察、管线探测范围以后期经建设单位审定的方案为准。</w:t>
      </w:r>
    </w:p>
    <w:p>
      <w:pPr>
        <w:pStyle w:val="3"/>
        <w:rPr>
          <w:rFonts w:ascii="宋体" w:hAnsi="宋体" w:eastAsia="宋体" w:cs="宋体"/>
          <w:b/>
          <w:bCs w:val="0"/>
          <w:color w:val="auto"/>
        </w:rPr>
      </w:pPr>
      <w:bookmarkStart w:id="74" w:name="_Toc452558306"/>
      <w:bookmarkStart w:id="75" w:name="_Toc22387"/>
      <w:bookmarkStart w:id="76" w:name="_Toc452973690"/>
      <w:bookmarkStart w:id="77" w:name="_Toc5095"/>
      <w:bookmarkStart w:id="78" w:name="_Toc29981"/>
      <w:bookmarkStart w:id="79" w:name="_Toc30182"/>
      <w:bookmarkStart w:id="80" w:name="_Toc18114"/>
      <w:bookmarkStart w:id="81" w:name="_Toc452558095"/>
      <w:bookmarkStart w:id="82" w:name="_Toc12905"/>
      <w:bookmarkStart w:id="83" w:name="_Toc4668"/>
      <w:r>
        <w:rPr>
          <w:rFonts w:hint="eastAsia" w:ascii="宋体" w:hAnsi="宋体" w:eastAsia="宋体" w:cs="宋体"/>
          <w:b/>
          <w:bCs w:val="0"/>
          <w:color w:val="auto"/>
        </w:rPr>
        <w:t>1.3拟建场址、</w:t>
      </w:r>
      <w:bookmarkEnd w:id="74"/>
      <w:bookmarkEnd w:id="75"/>
      <w:bookmarkEnd w:id="76"/>
      <w:bookmarkEnd w:id="77"/>
      <w:bookmarkEnd w:id="78"/>
      <w:bookmarkEnd w:id="79"/>
      <w:bookmarkEnd w:id="80"/>
      <w:bookmarkEnd w:id="81"/>
      <w:bookmarkEnd w:id="82"/>
      <w:r>
        <w:rPr>
          <w:rFonts w:hint="eastAsia" w:ascii="宋体" w:hAnsi="宋体" w:eastAsia="宋体" w:cs="宋体"/>
          <w:b/>
          <w:bCs w:val="0"/>
          <w:color w:val="auto"/>
        </w:rPr>
        <w:t>现状情况</w:t>
      </w:r>
      <w:bookmarkEnd w:id="83"/>
    </w:p>
    <w:p>
      <w:pPr>
        <w:pStyle w:val="4"/>
        <w:rPr>
          <w:rFonts w:ascii="宋体" w:hAnsi="宋体" w:eastAsia="宋体"/>
          <w:color w:val="auto"/>
          <w:kern w:val="2"/>
          <w:sz w:val="24"/>
          <w:szCs w:val="24"/>
        </w:rPr>
      </w:pPr>
      <w:bookmarkStart w:id="84" w:name="_Toc415840329"/>
      <w:bookmarkStart w:id="85" w:name="_Toc452973691"/>
      <w:bookmarkStart w:id="86" w:name="_Toc452558307"/>
      <w:bookmarkStart w:id="87" w:name="_Toc20814"/>
      <w:r>
        <w:rPr>
          <w:rFonts w:hint="eastAsia" w:ascii="宋体" w:hAnsi="宋体" w:eastAsia="宋体" w:cs="宋体"/>
          <w:b/>
          <w:bCs w:val="0"/>
          <w:color w:val="auto"/>
        </w:rPr>
        <w:t>1.3.1</w:t>
      </w:r>
      <w:bookmarkEnd w:id="84"/>
      <w:bookmarkEnd w:id="85"/>
      <w:bookmarkEnd w:id="86"/>
      <w:bookmarkEnd w:id="87"/>
      <w:r>
        <w:rPr>
          <w:rFonts w:hint="eastAsia" w:ascii="宋体" w:hAnsi="宋体" w:eastAsia="宋体" w:cs="宋体"/>
          <w:b/>
          <w:bCs w:val="0"/>
          <w:color w:val="auto"/>
        </w:rPr>
        <w:t>拟建场址选择</w:t>
      </w:r>
      <w:bookmarkStart w:id="88" w:name="_Toc415840330"/>
    </w:p>
    <w:p>
      <w:pPr>
        <w:widowControl/>
        <w:spacing w:line="360" w:lineRule="auto"/>
        <w:jc w:val="left"/>
        <w:rPr>
          <w:rFonts w:ascii="宋体" w:hAnsi="宋体"/>
          <w:color w:val="auto"/>
          <w:sz w:val="24"/>
        </w:rPr>
      </w:pPr>
      <w:r>
        <w:rPr>
          <w:rFonts w:hint="eastAsia" w:ascii="宋体" w:hAnsi="宋体"/>
          <w:color w:val="auto"/>
          <w:sz w:val="24"/>
        </w:rPr>
        <w:t>1.沿线地形地貌</w:t>
      </w:r>
    </w:p>
    <w:p>
      <w:pPr>
        <w:widowControl/>
        <w:spacing w:line="360" w:lineRule="auto"/>
        <w:ind w:firstLine="480" w:firstLineChars="200"/>
        <w:jc w:val="left"/>
        <w:rPr>
          <w:rFonts w:ascii="宋体" w:hAnsi="宋体"/>
          <w:color w:val="auto"/>
          <w:sz w:val="24"/>
        </w:rPr>
      </w:pPr>
      <w:r>
        <w:rPr>
          <w:rFonts w:hint="eastAsia" w:ascii="宋体" w:hAnsi="宋体"/>
          <w:color w:val="auto"/>
          <w:sz w:val="24"/>
        </w:rPr>
        <w:t>拟建场地地貌为剥蚀残丘地貌，地形整体平坦，局部起伏稍大。钻孔孔口标高在24.27～38.36m之间，平均标高28.76m，场地地表多为碎石、砖渣、砼块、工业垃圾等，场地中部为一条河涌，将场地分为南、北两个地块，南侧地块分布零星已建低层建筑，局部植被较密集，北侧地块为空地。</w:t>
      </w:r>
    </w:p>
    <w:p>
      <w:pPr>
        <w:widowControl/>
        <w:spacing w:line="360" w:lineRule="auto"/>
        <w:jc w:val="left"/>
        <w:rPr>
          <w:rFonts w:ascii="宋体" w:hAnsi="宋体"/>
          <w:color w:val="auto"/>
          <w:sz w:val="24"/>
        </w:rPr>
      </w:pPr>
      <w:r>
        <w:rPr>
          <w:rFonts w:hint="eastAsia" w:ascii="宋体" w:hAnsi="宋体"/>
          <w:color w:val="auto"/>
          <w:sz w:val="24"/>
        </w:rPr>
        <w:t>2.学校连接线</w:t>
      </w:r>
    </w:p>
    <w:p>
      <w:pPr>
        <w:widowControl/>
        <w:spacing w:line="360" w:lineRule="auto"/>
        <w:ind w:firstLine="480" w:firstLineChars="200"/>
        <w:jc w:val="left"/>
        <w:rPr>
          <w:rFonts w:ascii="宋体" w:hAnsi="宋体"/>
          <w:color w:val="auto"/>
          <w:sz w:val="24"/>
        </w:rPr>
      </w:pPr>
      <w:r>
        <w:rPr>
          <w:rFonts w:hint="eastAsia" w:ascii="宋体" w:hAnsi="宋体"/>
          <w:color w:val="auto"/>
          <w:sz w:val="24"/>
        </w:rPr>
        <w:t>项目起点为现状长兴路末段，该路段现状路面状况较差，基础设施不完善，可考虑对该路段进行提升改造，提升道路通行能力，满足片区交通使用需求。现状道路东侧紧贴华快，西侧为广州绿化公司等权属用地。现状道路8m宽，路面存在不少损坏。</w:t>
      </w:r>
    </w:p>
    <w:p>
      <w:pPr>
        <w:widowControl/>
        <w:spacing w:line="360" w:lineRule="auto"/>
        <w:jc w:val="left"/>
        <w:rPr>
          <w:rFonts w:ascii="宋体" w:hAnsi="宋体"/>
          <w:color w:val="auto"/>
          <w:sz w:val="24"/>
        </w:rPr>
      </w:pPr>
      <w:r>
        <w:rPr>
          <w:rFonts w:hint="eastAsia" w:ascii="宋体" w:hAnsi="宋体"/>
          <w:color w:val="auto"/>
          <w:sz w:val="24"/>
        </w:rPr>
        <w:t>3.现状桥梁</w:t>
      </w:r>
    </w:p>
    <w:p>
      <w:pPr>
        <w:widowControl/>
        <w:spacing w:line="360" w:lineRule="auto"/>
        <w:ind w:firstLine="480" w:firstLineChars="200"/>
        <w:jc w:val="left"/>
        <w:rPr>
          <w:rFonts w:ascii="宋体" w:hAnsi="宋体"/>
          <w:color w:val="auto"/>
          <w:sz w:val="24"/>
        </w:rPr>
      </w:pPr>
      <w:r>
        <w:rPr>
          <w:rFonts w:hint="eastAsia" w:ascii="宋体" w:hAnsi="宋体"/>
          <w:color w:val="auto"/>
          <w:sz w:val="24"/>
        </w:rPr>
        <w:t>现状道路横跨岑村河（车陂涌），现状桥梁限载5吨，河底宽约12m，顶宽不定，两侧布置亲水步道。</w:t>
      </w:r>
    </w:p>
    <w:p>
      <w:pPr>
        <w:widowControl/>
        <w:spacing w:line="360" w:lineRule="auto"/>
        <w:jc w:val="left"/>
        <w:rPr>
          <w:rFonts w:ascii="宋体" w:hAnsi="宋体"/>
          <w:color w:val="auto"/>
          <w:sz w:val="24"/>
        </w:rPr>
      </w:pPr>
      <w:r>
        <w:rPr>
          <w:rFonts w:hint="eastAsia" w:ascii="宋体" w:hAnsi="宋体"/>
          <w:color w:val="auto"/>
          <w:sz w:val="24"/>
        </w:rPr>
        <w:t>4.现状涵洞</w:t>
      </w:r>
    </w:p>
    <w:p>
      <w:pPr>
        <w:widowControl/>
        <w:spacing w:line="360" w:lineRule="auto"/>
        <w:ind w:firstLine="480" w:firstLineChars="200"/>
        <w:jc w:val="left"/>
        <w:rPr>
          <w:rFonts w:ascii="宋体" w:hAnsi="宋体"/>
          <w:color w:val="auto"/>
          <w:sz w:val="24"/>
        </w:rPr>
      </w:pPr>
      <w:r>
        <w:rPr>
          <w:rFonts w:hint="eastAsia" w:ascii="宋体" w:hAnsi="宋体"/>
          <w:color w:val="auto"/>
          <w:sz w:val="24"/>
        </w:rPr>
        <w:t>华南快速路现状涵洞限高2m，宽6m，地面现状标高为24.5～25m，涵洞为封闭不通行状态。涵洞内测存在现状电缆，实际可通行宽度约为5.5m。没有照明设施，涵洞现状排水设施堵塞情况，涵洞内部路面有较多淤泥，存在内涝现象。涵洞东侧可通过现状土路连接到华观路。</w:t>
      </w:r>
    </w:p>
    <w:p>
      <w:pPr>
        <w:pStyle w:val="4"/>
        <w:rPr>
          <w:rFonts w:ascii="宋体" w:hAnsi="宋体" w:eastAsia="宋体" w:cs="宋体"/>
          <w:b/>
          <w:bCs w:val="0"/>
          <w:color w:val="auto"/>
        </w:rPr>
      </w:pPr>
      <w:r>
        <w:rPr>
          <w:rFonts w:hint="eastAsia" w:ascii="宋体" w:hAnsi="宋体" w:eastAsia="宋体" w:cs="宋体"/>
          <w:b/>
          <w:bCs w:val="0"/>
          <w:color w:val="auto"/>
        </w:rPr>
        <w:t>1.3.2道路交通现状</w:t>
      </w:r>
    </w:p>
    <w:p>
      <w:pPr>
        <w:numPr>
          <w:ilvl w:val="0"/>
          <w:numId w:val="1"/>
        </w:num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道路交通等级及路网组织情况</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项目周边道路等级如下：</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高快速路包括：北环高速、华南快速干线；主干路：天源路；次干路包括：长兴路、华南快速东侧路、长源路；支路包括：美景路、兴科路、长湴东路。</w:t>
      </w:r>
    </w:p>
    <w:p>
      <w:pPr>
        <w:numPr>
          <w:ilvl w:val="0"/>
          <w:numId w:val="1"/>
        </w:num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周边现状路网关系</w:t>
      </w:r>
    </w:p>
    <w:p>
      <w:pPr>
        <w:pStyle w:val="29"/>
        <w:spacing w:line="360" w:lineRule="auto"/>
        <w:rPr>
          <w:rFonts w:cs="宋体"/>
          <w:color w:val="auto"/>
        </w:rPr>
      </w:pPr>
      <w:r>
        <w:rPr>
          <w:rFonts w:hint="eastAsia" w:cs="宋体"/>
          <w:color w:val="auto"/>
        </w:rPr>
        <w:t>长兴路为东西走向次干道，西侧衔接天源路，东侧连接华南东侧路，与南北走向的长湴西大街、长湴中路、长湴东路和美景路共同形成4个交通交叉口。</w:t>
      </w:r>
    </w:p>
    <w:p>
      <w:pPr>
        <w:numPr>
          <w:ilvl w:val="0"/>
          <w:numId w:val="1"/>
        </w:num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规划拟建路网关系</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根据2021年批准《天河外国语学校智慧城校区地块（AT0204规划管理单元)控制性详细规划》的通告，片区新增一条规划支路，连通拓宽后的华快西辅路并与华观路、长兴路衔接，解决地块与区域交通衔接及对外出入问题。由于华观路西延线近期暂无建设计划，学校连接路利用华南快速路西侧现状路</w:t>
      </w:r>
      <w:r>
        <w:rPr>
          <w:rFonts w:hint="eastAsia" w:ascii="宋体" w:hAnsi="宋体" w:cs="宋体"/>
          <w:color w:val="auto"/>
          <w:sz w:val="24"/>
          <w:lang w:eastAsia="zh-CN"/>
        </w:rPr>
        <w:t>进行升级改造建设双向两车道及单侧人行道</w:t>
      </w:r>
      <w:r>
        <w:rPr>
          <w:rFonts w:hint="eastAsia" w:ascii="宋体" w:hAnsi="宋体" w:cs="宋体"/>
          <w:color w:val="auto"/>
          <w:sz w:val="24"/>
          <w:lang w:val="en-US" w:eastAsia="zh-CN"/>
        </w:rPr>
        <w:t>,并对围墙进行风貌提升</w:t>
      </w:r>
      <w:r>
        <w:rPr>
          <w:rFonts w:hint="eastAsia" w:ascii="宋体" w:hAnsi="宋体" w:cs="宋体"/>
          <w:color w:val="auto"/>
          <w:sz w:val="24"/>
        </w:rPr>
        <w:t>，以解决学校近期出行需求。</w:t>
      </w:r>
    </w:p>
    <w:p>
      <w:pPr>
        <w:spacing w:line="360" w:lineRule="auto"/>
        <w:ind w:left="420" w:leftChars="200" w:right="420" w:rightChars="200"/>
        <w:rPr>
          <w:rFonts w:ascii="宋体" w:hAnsi="宋体" w:cs="宋体"/>
          <w:color w:val="auto"/>
          <w:sz w:val="24"/>
        </w:rPr>
      </w:pPr>
      <w:r>
        <w:rPr>
          <w:rFonts w:hint="eastAsia" w:ascii="宋体" w:hAnsi="宋体" w:cs="宋体"/>
          <w:color w:val="auto"/>
          <w:sz w:val="24"/>
        </w:rPr>
        <w:t>4、路面及交通设施现状</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华快西侧</w:t>
      </w:r>
      <w:r>
        <w:rPr>
          <w:rFonts w:hint="eastAsia" w:ascii="宋体" w:hAnsi="宋体" w:cs="宋体"/>
          <w:color w:val="auto"/>
          <w:sz w:val="24"/>
          <w:lang w:eastAsia="zh-CN"/>
        </w:rPr>
        <w:t>现状路</w:t>
      </w:r>
      <w:r>
        <w:rPr>
          <w:rFonts w:hint="eastAsia" w:ascii="宋体" w:hAnsi="宋体" w:cs="宋体"/>
          <w:color w:val="auto"/>
          <w:sz w:val="24"/>
        </w:rPr>
        <w:t>为水泥砼路面，</w:t>
      </w:r>
      <w:r>
        <w:rPr>
          <w:rFonts w:hint="eastAsia" w:ascii="宋体" w:hAnsi="宋体"/>
          <w:color w:val="auto"/>
          <w:sz w:val="24"/>
        </w:rPr>
        <w:t>现状路面状况较差，基础设施不完善，考虑对该路段进行提升改造</w:t>
      </w:r>
      <w:r>
        <w:rPr>
          <w:rFonts w:hint="eastAsia" w:ascii="宋体" w:hAnsi="宋体"/>
          <w:color w:val="auto"/>
          <w:sz w:val="24"/>
          <w:lang w:eastAsia="zh-CN"/>
        </w:rPr>
        <w:t>及风貌提升</w:t>
      </w:r>
      <w:r>
        <w:rPr>
          <w:rFonts w:hint="eastAsia" w:ascii="宋体" w:hAnsi="宋体"/>
          <w:color w:val="auto"/>
          <w:sz w:val="24"/>
        </w:rPr>
        <w:t>，</w:t>
      </w:r>
      <w:r>
        <w:rPr>
          <w:rFonts w:hint="eastAsia" w:ascii="宋体" w:hAnsi="宋体"/>
          <w:color w:val="auto"/>
          <w:sz w:val="24"/>
          <w:lang w:eastAsia="zh-CN"/>
        </w:rPr>
        <w:t>建设双向两车道及单侧人行道</w:t>
      </w:r>
      <w:r>
        <w:rPr>
          <w:rFonts w:hint="eastAsia" w:ascii="宋体" w:hAnsi="宋体"/>
          <w:color w:val="auto"/>
          <w:sz w:val="24"/>
        </w:rPr>
        <w:t>，满足片区交通使用需求</w:t>
      </w:r>
      <w:r>
        <w:rPr>
          <w:rFonts w:hint="eastAsia" w:ascii="宋体" w:hAnsi="宋体"/>
          <w:color w:val="auto"/>
          <w:sz w:val="24"/>
          <w:lang w:val="en-US" w:eastAsia="zh-CN"/>
        </w:rPr>
        <w:t>,解决人行、车行通行问题</w:t>
      </w:r>
      <w:r>
        <w:rPr>
          <w:rFonts w:hint="eastAsia" w:ascii="宋体" w:hAnsi="宋体"/>
          <w:color w:val="auto"/>
          <w:sz w:val="24"/>
        </w:rPr>
        <w:t>。现状道路8m宽，路面存在不少损坏</w:t>
      </w:r>
      <w:r>
        <w:rPr>
          <w:rFonts w:hint="eastAsia" w:ascii="宋体" w:hAnsi="宋体" w:cs="宋体"/>
          <w:color w:val="auto"/>
          <w:sz w:val="24"/>
        </w:rPr>
        <w:t>。</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部分交叉口交通组织不合理，应对问题交叉口进行优化改造，科学合理疏导交通，以解决交通堵塞问题，保证行车便捷舒适的要求。</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道路沿线部分标识牌导视牌破损较严重，部分路段缺乏必要的标识系统，且标识系统缺乏系统性与科学性。</w:t>
      </w:r>
    </w:p>
    <w:p>
      <w:pPr>
        <w:pStyle w:val="29"/>
        <w:rPr>
          <w:rFonts w:ascii="仿宋_GB2312" w:eastAsia="仿宋_GB2312"/>
          <w:color w:val="auto"/>
          <w:sz w:val="28"/>
        </w:rPr>
      </w:pPr>
      <w:r>
        <w:rPr>
          <w:rFonts w:hint="eastAsia" w:cs="宋体"/>
          <w:color w:val="auto"/>
        </w:rPr>
        <w:t>沿线小标志牌较多，冗杂混乱，按照品质化提升标准与路灯杆合杆，做到集约节俭，更加现代化。</w:t>
      </w:r>
    </w:p>
    <w:p>
      <w:pPr>
        <w:widowControl/>
        <w:spacing w:line="360" w:lineRule="auto"/>
        <w:ind w:firstLine="480" w:firstLineChars="200"/>
        <w:jc w:val="left"/>
        <w:rPr>
          <w:rFonts w:ascii="宋体" w:hAnsi="宋体"/>
          <w:color w:val="auto"/>
          <w:sz w:val="24"/>
        </w:rPr>
      </w:pPr>
      <w:r>
        <w:rPr>
          <w:rFonts w:hint="eastAsia" w:ascii="宋体" w:hAnsi="宋体"/>
          <w:color w:val="auto"/>
          <w:sz w:val="24"/>
        </w:rPr>
        <w:t>5.人行道现状</w:t>
      </w:r>
    </w:p>
    <w:p>
      <w:pPr>
        <w:widowControl/>
        <w:spacing w:line="360" w:lineRule="auto"/>
        <w:ind w:firstLine="480" w:firstLineChars="200"/>
        <w:jc w:val="left"/>
        <w:rPr>
          <w:rFonts w:ascii="宋体" w:hAnsi="宋体"/>
          <w:color w:val="auto"/>
          <w:sz w:val="24"/>
        </w:rPr>
      </w:pPr>
      <w:r>
        <w:rPr>
          <w:rFonts w:hint="eastAsia" w:ascii="宋体" w:hAnsi="宋体" w:cs="宋体"/>
          <w:color w:val="auto"/>
          <w:sz w:val="24"/>
        </w:rPr>
        <w:t>华快西侧</w:t>
      </w:r>
      <w:r>
        <w:rPr>
          <w:rFonts w:hint="eastAsia" w:ascii="宋体" w:hAnsi="宋体" w:cs="宋体"/>
          <w:color w:val="auto"/>
          <w:sz w:val="24"/>
          <w:lang w:eastAsia="zh-CN"/>
        </w:rPr>
        <w:t>现状路</w:t>
      </w:r>
      <w:r>
        <w:rPr>
          <w:rFonts w:hint="eastAsia" w:ascii="宋体" w:hAnsi="宋体" w:cs="宋体"/>
          <w:color w:val="auto"/>
          <w:sz w:val="24"/>
        </w:rPr>
        <w:t>没有布置人行道</w:t>
      </w:r>
      <w:r>
        <w:rPr>
          <w:rFonts w:hint="eastAsia" w:ascii="宋体" w:hAnsi="宋体"/>
          <w:color w:val="auto"/>
          <w:sz w:val="24"/>
        </w:rPr>
        <w:t>。</w:t>
      </w:r>
    </w:p>
    <w:bookmarkEnd w:id="88"/>
    <w:p>
      <w:pPr>
        <w:pStyle w:val="4"/>
        <w:rPr>
          <w:rFonts w:ascii="宋体" w:hAnsi="宋体" w:eastAsia="宋体" w:cs="宋体"/>
          <w:color w:val="auto"/>
        </w:rPr>
      </w:pPr>
      <w:bookmarkStart w:id="89" w:name="_Toc452558309"/>
      <w:bookmarkStart w:id="90" w:name="_Toc452973693"/>
      <w:bookmarkStart w:id="91" w:name="_Toc415840331"/>
      <w:bookmarkStart w:id="92" w:name="_Toc23089"/>
      <w:r>
        <w:rPr>
          <w:rFonts w:hint="eastAsia" w:ascii="宋体" w:hAnsi="宋体" w:eastAsia="宋体" w:cs="宋体"/>
          <w:b/>
          <w:bCs w:val="0"/>
          <w:color w:val="auto"/>
        </w:rPr>
        <w:t>1.3.3气候条件</w:t>
      </w:r>
      <w:bookmarkEnd w:id="89"/>
      <w:bookmarkEnd w:id="90"/>
      <w:bookmarkEnd w:id="91"/>
      <w:bookmarkEnd w:id="92"/>
    </w:p>
    <w:p>
      <w:pPr>
        <w:spacing w:line="360" w:lineRule="auto"/>
        <w:ind w:firstLine="480" w:firstLineChars="200"/>
        <w:rPr>
          <w:rFonts w:ascii="宋体" w:hAnsi="宋体" w:cs="宋体"/>
          <w:color w:val="auto"/>
          <w:sz w:val="24"/>
        </w:rPr>
      </w:pPr>
      <w:bookmarkStart w:id="93" w:name="_Toc452558310"/>
      <w:bookmarkStart w:id="94" w:name="_Toc452973694"/>
      <w:bookmarkStart w:id="95" w:name="_Toc415840332"/>
      <w:r>
        <w:rPr>
          <w:rFonts w:hint="eastAsia" w:ascii="宋体" w:hAnsi="宋体" w:cs="宋体"/>
          <w:color w:val="auto"/>
          <w:sz w:val="24"/>
        </w:rPr>
        <w:t>天河区属亚热带季风气候，热源丰富，无霜期长，雨量充沛。</w:t>
      </w:r>
    </w:p>
    <w:p>
      <w:pPr>
        <w:spacing w:line="360" w:lineRule="auto"/>
        <w:ind w:firstLine="480" w:firstLineChars="200"/>
        <w:rPr>
          <w:rFonts w:ascii="宋体" w:hAnsi="宋体" w:cs="宋体"/>
          <w:color w:val="auto"/>
          <w:sz w:val="24"/>
        </w:rPr>
      </w:pPr>
      <w:r>
        <w:rPr>
          <w:rFonts w:hint="eastAsia" w:ascii="宋体" w:hAnsi="宋体" w:cs="宋体"/>
          <w:color w:val="auto"/>
          <w:sz w:val="24"/>
        </w:rPr>
        <w:t>日照：地处热带北回归线以南，纬度较低，太阳辐射角度较大，太阳年辐射热量106.7千卡/平方厘米，年平均日照射时数1906小时,日照率43%，热量资源丰富，光照充足，适宜农作物和热带、亚热带水果生长。</w:t>
      </w:r>
    </w:p>
    <w:p>
      <w:pPr>
        <w:spacing w:line="360" w:lineRule="auto"/>
        <w:ind w:firstLine="480" w:firstLineChars="200"/>
        <w:rPr>
          <w:rFonts w:ascii="宋体" w:hAnsi="宋体" w:cs="宋体"/>
          <w:color w:val="auto"/>
          <w:sz w:val="24"/>
        </w:rPr>
      </w:pPr>
      <w:r>
        <w:rPr>
          <w:rFonts w:hint="eastAsia" w:ascii="宋体" w:hAnsi="宋体" w:cs="宋体"/>
          <w:color w:val="auto"/>
          <w:sz w:val="24"/>
        </w:rPr>
        <w:t>气温：具有夏长冬短，终年温暖，偶有奇寒，无霜期长，四季宜耕的特点。年平均气温22摄氏度，最冷月1月份平均为13.3摄氏度，最热月7月份，平均为28.4摄氏度，气温年际变化很少。</w:t>
      </w:r>
    </w:p>
    <w:p>
      <w:pPr>
        <w:spacing w:line="360" w:lineRule="auto"/>
        <w:ind w:firstLine="480" w:firstLineChars="200"/>
        <w:rPr>
          <w:rFonts w:ascii="宋体" w:hAnsi="宋体" w:cs="宋体"/>
          <w:color w:val="auto"/>
          <w:sz w:val="24"/>
        </w:rPr>
      </w:pPr>
      <w:r>
        <w:rPr>
          <w:rFonts w:hint="eastAsia" w:ascii="宋体" w:hAnsi="宋体" w:cs="宋体"/>
          <w:color w:val="auto"/>
          <w:sz w:val="24"/>
        </w:rPr>
        <w:t>雨量：主要集中在4－9月，这6个月占全年降雨量的82%。降雨充沛，雨热同期，对喜温需水量大的作物生长十分有利。</w:t>
      </w:r>
    </w:p>
    <w:bookmarkEnd w:id="93"/>
    <w:bookmarkEnd w:id="94"/>
    <w:bookmarkEnd w:id="95"/>
    <w:p>
      <w:pPr>
        <w:pStyle w:val="2"/>
        <w:pageBreakBefore/>
        <w:spacing w:line="360" w:lineRule="auto"/>
        <w:rPr>
          <w:rFonts w:ascii="宋体" w:hAnsi="宋体" w:eastAsia="宋体" w:cs="宋体"/>
          <w:color w:val="auto"/>
        </w:rPr>
      </w:pPr>
      <w:bookmarkStart w:id="96" w:name="_Toc452558096"/>
      <w:bookmarkStart w:id="97" w:name="_Toc452558312"/>
      <w:bookmarkStart w:id="98" w:name="_Toc452973699"/>
      <w:bookmarkStart w:id="99" w:name="_Toc1794"/>
      <w:bookmarkStart w:id="100" w:name="_Toc28747"/>
      <w:bookmarkStart w:id="101" w:name="_Toc8500"/>
      <w:bookmarkStart w:id="102" w:name="_Toc20925"/>
      <w:bookmarkStart w:id="103" w:name="_Toc17189"/>
      <w:bookmarkStart w:id="104" w:name="_Toc12872"/>
      <w:bookmarkStart w:id="105" w:name="_Toc280"/>
      <w:r>
        <w:rPr>
          <w:rFonts w:hint="eastAsia" w:ascii="宋体" w:hAnsi="宋体" w:eastAsia="宋体" w:cs="宋体"/>
          <w:color w:val="auto"/>
        </w:rPr>
        <w:t>第二章 设计原则</w:t>
      </w:r>
      <w:bookmarkEnd w:id="96"/>
      <w:bookmarkEnd w:id="97"/>
      <w:bookmarkEnd w:id="98"/>
      <w:r>
        <w:rPr>
          <w:rFonts w:hint="eastAsia" w:ascii="宋体" w:hAnsi="宋体" w:eastAsia="宋体" w:cs="宋体"/>
          <w:color w:val="auto"/>
        </w:rPr>
        <w:t>及设计内容</w:t>
      </w:r>
      <w:bookmarkEnd w:id="99"/>
      <w:bookmarkEnd w:id="100"/>
      <w:bookmarkEnd w:id="101"/>
      <w:bookmarkEnd w:id="102"/>
      <w:bookmarkEnd w:id="103"/>
      <w:bookmarkEnd w:id="104"/>
      <w:bookmarkEnd w:id="105"/>
    </w:p>
    <w:p>
      <w:pPr>
        <w:spacing w:line="360" w:lineRule="auto"/>
        <w:ind w:firstLine="480" w:firstLineChars="200"/>
        <w:rPr>
          <w:rFonts w:ascii="宋体" w:hAnsi="宋体" w:cs="宋体"/>
          <w:color w:val="auto"/>
          <w:sz w:val="24"/>
        </w:rPr>
      </w:pPr>
      <w:r>
        <w:rPr>
          <w:rFonts w:hint="eastAsia" w:ascii="宋体" w:hAnsi="宋体" w:cs="宋体"/>
          <w:color w:val="auto"/>
          <w:sz w:val="24"/>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pPr>
        <w:pStyle w:val="3"/>
        <w:rPr>
          <w:rFonts w:ascii="宋体" w:hAnsi="宋体" w:eastAsia="宋体" w:cs="宋体"/>
          <w:b/>
          <w:bCs w:val="0"/>
          <w:color w:val="auto"/>
        </w:rPr>
      </w:pPr>
      <w:bookmarkStart w:id="106" w:name="_Toc24967"/>
      <w:bookmarkStart w:id="107" w:name="_Toc16158"/>
      <w:bookmarkStart w:id="108" w:name="_Toc8265"/>
      <w:bookmarkStart w:id="109" w:name="_Toc17096"/>
      <w:bookmarkStart w:id="110" w:name="_Toc452973701"/>
      <w:bookmarkStart w:id="111" w:name="_Toc452558098"/>
      <w:bookmarkStart w:id="112" w:name="_Toc18789"/>
      <w:bookmarkStart w:id="113" w:name="_Toc452558314"/>
      <w:bookmarkStart w:id="114" w:name="_Toc9338"/>
      <w:bookmarkStart w:id="115" w:name="_Toc9975"/>
      <w:r>
        <w:rPr>
          <w:rFonts w:hint="eastAsia" w:ascii="宋体" w:hAnsi="宋体" w:eastAsia="宋体" w:cs="宋体"/>
          <w:b/>
          <w:bCs w:val="0"/>
          <w:color w:val="auto"/>
        </w:rPr>
        <w:t>2.1设计原则</w:t>
      </w:r>
      <w:bookmarkEnd w:id="106"/>
      <w:bookmarkEnd w:id="107"/>
      <w:bookmarkEnd w:id="108"/>
      <w:bookmarkEnd w:id="109"/>
      <w:bookmarkEnd w:id="110"/>
      <w:bookmarkEnd w:id="111"/>
      <w:bookmarkEnd w:id="112"/>
      <w:bookmarkEnd w:id="113"/>
      <w:bookmarkEnd w:id="114"/>
      <w:bookmarkEnd w:id="115"/>
      <w:bookmarkStart w:id="116" w:name="_Toc399430872"/>
      <w:bookmarkStart w:id="117" w:name="_Toc329351504"/>
      <w:bookmarkStart w:id="118" w:name="_Toc330375408"/>
    </w:p>
    <w:bookmarkEnd w:id="116"/>
    <w:bookmarkEnd w:id="117"/>
    <w:bookmarkEnd w:id="118"/>
    <w:p>
      <w:pPr>
        <w:pStyle w:val="4"/>
        <w:rPr>
          <w:rFonts w:ascii="宋体" w:hAnsi="宋体" w:eastAsia="宋体" w:cs="宋体"/>
          <w:b/>
          <w:bCs w:val="0"/>
          <w:color w:val="auto"/>
        </w:rPr>
      </w:pPr>
      <w:bookmarkStart w:id="119" w:name="_Toc13357"/>
      <w:bookmarkStart w:id="120" w:name="_Toc452973702"/>
      <w:bookmarkStart w:id="121" w:name="_Toc452558315"/>
      <w:r>
        <w:rPr>
          <w:rFonts w:hint="eastAsia" w:ascii="宋体" w:hAnsi="宋体" w:eastAsia="宋体" w:cs="宋体"/>
          <w:b/>
          <w:bCs w:val="0"/>
          <w:color w:val="auto"/>
        </w:rPr>
        <w:t>2.1.1限额设计原则</w:t>
      </w:r>
      <w:bookmarkEnd w:id="119"/>
    </w:p>
    <w:p>
      <w:pPr>
        <w:spacing w:line="360" w:lineRule="auto"/>
        <w:ind w:firstLine="480" w:firstLineChars="200"/>
        <w:rPr>
          <w:rFonts w:ascii="宋体" w:hAnsi="宋体" w:cs="宋体"/>
          <w:color w:val="auto"/>
          <w:sz w:val="24"/>
        </w:rPr>
      </w:pPr>
      <w:r>
        <w:rPr>
          <w:rFonts w:hint="eastAsia" w:ascii="宋体" w:hAnsi="宋体" w:cs="宋体"/>
          <w:color w:val="auto"/>
          <w:sz w:val="24"/>
        </w:rPr>
        <w:t>设计单位应坚持估算控制概算、概算控制预算、预算控制结算的原则，执行《广州市政府投资管理条例》、《广州市财政投资评审监督管理办法》做好限额设计。</w:t>
      </w:r>
    </w:p>
    <w:p>
      <w:pPr>
        <w:spacing w:line="360" w:lineRule="auto"/>
        <w:ind w:firstLine="480" w:firstLineChars="200"/>
        <w:rPr>
          <w:rFonts w:ascii="宋体" w:hAnsi="宋体" w:cs="宋体"/>
          <w:color w:val="auto"/>
          <w:sz w:val="24"/>
        </w:rPr>
      </w:pPr>
      <w:r>
        <w:rPr>
          <w:rFonts w:hint="eastAsia" w:ascii="宋体" w:hAnsi="宋体" w:cs="宋体"/>
          <w:color w:val="auto"/>
          <w:sz w:val="24"/>
        </w:rPr>
        <w:t>（一）设计的建设内容和建设规模原则上不得超过初步设计、可行性研究报告的范围，承包人应按批准的限额设计指标开展设计工作。</w:t>
      </w:r>
    </w:p>
    <w:p>
      <w:pPr>
        <w:spacing w:line="360" w:lineRule="auto"/>
        <w:ind w:firstLine="480" w:firstLineChars="200"/>
        <w:rPr>
          <w:rFonts w:ascii="宋体" w:hAnsi="宋体" w:cs="宋体"/>
          <w:color w:val="auto"/>
          <w:sz w:val="24"/>
        </w:rPr>
      </w:pPr>
      <w:r>
        <w:rPr>
          <w:rFonts w:hint="eastAsia" w:ascii="宋体" w:hAnsi="宋体" w:cs="宋体"/>
          <w:color w:val="auto"/>
          <w:sz w:val="24"/>
        </w:rPr>
        <w:t>（二）承包人应遵循功能适用、标准合理、经济合理的原则开展设计工作，在投资限额目标的基础上结合工程设计内容进一步分解投资，明确投资控制主要指标，在编制设计预算时逐步细化落实。</w:t>
      </w:r>
    </w:p>
    <w:p>
      <w:pPr>
        <w:spacing w:line="360" w:lineRule="auto"/>
        <w:ind w:firstLine="480" w:firstLineChars="200"/>
        <w:rPr>
          <w:rFonts w:ascii="宋体" w:hAnsi="宋体" w:cs="宋体"/>
          <w:color w:val="auto"/>
          <w:sz w:val="24"/>
        </w:rPr>
      </w:pPr>
      <w:r>
        <w:rPr>
          <w:rFonts w:hint="eastAsia" w:ascii="宋体" w:hAnsi="宋体" w:cs="宋体"/>
          <w:color w:val="auto"/>
          <w:sz w:val="24"/>
        </w:rPr>
        <w:t>（三）承包人在限额设计范围内应充分运用性价比分析、多方案技术经济比较等技术手段，对设计方案进行优化。在所有方案比较的过程中，必须进行相应深度的投资估算比较，确保方案的可比性，并提供相应的工程数量表、主要材料表、主要设备清单等，在确保工程质量的前提下，降低工程投资。</w:t>
      </w:r>
    </w:p>
    <w:p>
      <w:pPr>
        <w:spacing w:line="360" w:lineRule="auto"/>
        <w:ind w:firstLine="480" w:firstLineChars="200"/>
        <w:rPr>
          <w:rFonts w:ascii="宋体" w:hAnsi="宋体" w:cs="宋体"/>
          <w:color w:val="auto"/>
          <w:sz w:val="24"/>
        </w:rPr>
      </w:pPr>
      <w:r>
        <w:rPr>
          <w:rFonts w:hint="eastAsia" w:ascii="宋体" w:hAnsi="宋体" w:cs="宋体"/>
          <w:color w:val="auto"/>
          <w:sz w:val="24"/>
        </w:rPr>
        <w:t>（四）承包人对工程设计文件的任何修改、变动或由于修改工程设计文件所引起的工艺、技术、材料、设备的变更，应经过发包人审批同意。</w:t>
      </w:r>
    </w:p>
    <w:p>
      <w:pPr>
        <w:spacing w:line="360" w:lineRule="auto"/>
        <w:ind w:firstLine="480" w:firstLineChars="200"/>
        <w:rPr>
          <w:rFonts w:ascii="宋体" w:hAnsi="宋体" w:cs="宋体"/>
          <w:color w:val="auto"/>
          <w:sz w:val="24"/>
        </w:rPr>
      </w:pPr>
      <w:r>
        <w:rPr>
          <w:rFonts w:hint="eastAsia" w:ascii="宋体" w:hAnsi="宋体" w:cs="宋体"/>
          <w:color w:val="auto"/>
          <w:sz w:val="24"/>
        </w:rPr>
        <w:t>限额设计具体原则与要求详见合同，以合同为准。</w:t>
      </w:r>
    </w:p>
    <w:p>
      <w:pPr>
        <w:pStyle w:val="4"/>
        <w:rPr>
          <w:rFonts w:ascii="宋体" w:hAnsi="宋体" w:eastAsia="宋体" w:cs="宋体"/>
          <w:b/>
          <w:bCs w:val="0"/>
          <w:color w:val="auto"/>
        </w:rPr>
      </w:pPr>
      <w:bookmarkStart w:id="122" w:name="_Toc14201"/>
      <w:r>
        <w:rPr>
          <w:rFonts w:hint="eastAsia" w:ascii="宋体" w:hAnsi="宋体" w:eastAsia="宋体" w:cs="宋体"/>
          <w:b/>
          <w:bCs w:val="0"/>
          <w:color w:val="auto"/>
        </w:rPr>
        <w:t>2.1.2满足规范标准原则</w:t>
      </w:r>
      <w:bookmarkEnd w:id="120"/>
      <w:bookmarkEnd w:id="121"/>
      <w:bookmarkEnd w:id="122"/>
    </w:p>
    <w:p>
      <w:pPr>
        <w:spacing w:line="360" w:lineRule="auto"/>
        <w:ind w:firstLine="480" w:firstLineChars="200"/>
        <w:rPr>
          <w:rFonts w:ascii="宋体" w:hAnsi="宋体" w:cs="宋体"/>
          <w:color w:val="auto"/>
          <w:sz w:val="24"/>
        </w:rPr>
      </w:pPr>
      <w:r>
        <w:rPr>
          <w:rFonts w:hint="eastAsia" w:ascii="宋体" w:hAnsi="宋体" w:cs="宋体"/>
          <w:color w:val="auto"/>
          <w:sz w:val="24"/>
        </w:rPr>
        <w:t>应参考相关规范的要求，并满足现行国家相关设计的规范标准的要求及设计行业相关技术规范条文的要求，严格执行国家工程建设标准强制性条文。</w:t>
      </w:r>
    </w:p>
    <w:p>
      <w:pPr>
        <w:pStyle w:val="4"/>
        <w:rPr>
          <w:rFonts w:ascii="宋体" w:hAnsi="宋体" w:eastAsia="宋体" w:cs="宋体"/>
          <w:b/>
          <w:bCs w:val="0"/>
          <w:color w:val="auto"/>
        </w:rPr>
      </w:pPr>
      <w:bookmarkStart w:id="123" w:name="_Toc17295"/>
      <w:bookmarkStart w:id="124" w:name="_Toc452973703"/>
      <w:bookmarkStart w:id="125" w:name="_Toc452558316"/>
      <w:r>
        <w:rPr>
          <w:rFonts w:hint="eastAsia" w:ascii="宋体" w:hAnsi="宋体" w:eastAsia="宋体" w:cs="宋体"/>
          <w:b/>
          <w:bCs w:val="0"/>
          <w:color w:val="auto"/>
        </w:rPr>
        <w:t>2.1.4总体设计原则</w:t>
      </w:r>
      <w:bookmarkEnd w:id="123"/>
    </w:p>
    <w:p>
      <w:pPr>
        <w:spacing w:line="360" w:lineRule="auto"/>
        <w:ind w:firstLine="480" w:firstLineChars="200"/>
        <w:rPr>
          <w:rFonts w:ascii="宋体" w:hAnsi="宋体" w:cs="宋体"/>
          <w:color w:val="auto"/>
          <w:sz w:val="24"/>
        </w:rPr>
      </w:pPr>
      <w:r>
        <w:rPr>
          <w:rFonts w:hint="eastAsia" w:ascii="宋体" w:hAnsi="宋体" w:cs="宋体"/>
          <w:color w:val="auto"/>
          <w:sz w:val="24"/>
        </w:rPr>
        <w:t>应满足方案最优、经济最合理等原则，包括且不限于以下：</w:t>
      </w:r>
    </w:p>
    <w:p>
      <w:pPr>
        <w:spacing w:line="360" w:lineRule="auto"/>
        <w:ind w:firstLine="480" w:firstLineChars="200"/>
        <w:rPr>
          <w:rFonts w:ascii="宋体" w:hAnsi="宋体" w:cs="宋体"/>
          <w:color w:val="auto"/>
          <w:sz w:val="24"/>
        </w:rPr>
      </w:pPr>
      <w:r>
        <w:rPr>
          <w:rFonts w:hint="eastAsia" w:ascii="宋体" w:hAnsi="宋体" w:cs="宋体"/>
          <w:color w:val="auto"/>
          <w:sz w:val="24"/>
        </w:rPr>
        <w:t>（一）满足交通功能的要求，通过项目所在区域内的社会经济发展、路网交通量的调查，依据分析结果对片区规划路网进一步分析研究，提出合理、可行的交通组织优化方案。</w:t>
      </w:r>
    </w:p>
    <w:p>
      <w:pPr>
        <w:spacing w:line="360" w:lineRule="auto"/>
        <w:ind w:firstLine="480" w:firstLineChars="200"/>
        <w:rPr>
          <w:rFonts w:ascii="宋体" w:hAnsi="宋体" w:cs="宋体"/>
          <w:color w:val="auto"/>
          <w:sz w:val="24"/>
        </w:rPr>
      </w:pPr>
      <w:r>
        <w:rPr>
          <w:rFonts w:hint="eastAsia" w:ascii="宋体" w:hAnsi="宋体" w:cs="宋体"/>
          <w:color w:val="auto"/>
          <w:sz w:val="24"/>
        </w:rPr>
        <w:t>（二）在尊重建设现状和城市规划所确定的城市空间结构、土地利用方式、道路交通组织及不违反强制性条文的前提下，对项目的影响效果、风险管控、建设用地、周边建筑情况、工程经济性等影响因素分析论证，提出相应的解决方案及措施结合场地现场情况对道路红线内及与周边地块的衔接处进行综合考虑与深化设计。</w:t>
      </w:r>
    </w:p>
    <w:p>
      <w:pPr>
        <w:spacing w:line="360" w:lineRule="auto"/>
        <w:ind w:firstLine="480" w:firstLineChars="200"/>
        <w:rPr>
          <w:rFonts w:ascii="宋体" w:hAnsi="宋体" w:cs="宋体"/>
          <w:color w:val="auto"/>
          <w:sz w:val="24"/>
        </w:rPr>
      </w:pPr>
      <w:r>
        <w:rPr>
          <w:rFonts w:hint="eastAsia" w:ascii="宋体" w:hAnsi="宋体" w:cs="宋体"/>
          <w:color w:val="auto"/>
          <w:sz w:val="24"/>
        </w:rPr>
        <w:t>（三）妥善解决好各种交通流对片区路网的要求。</w:t>
      </w:r>
    </w:p>
    <w:p>
      <w:pPr>
        <w:spacing w:line="360" w:lineRule="auto"/>
        <w:ind w:firstLine="480" w:firstLineChars="200"/>
        <w:rPr>
          <w:rFonts w:ascii="宋体" w:hAnsi="宋体" w:cs="宋体"/>
          <w:color w:val="auto"/>
          <w:sz w:val="24"/>
        </w:rPr>
      </w:pPr>
      <w:r>
        <w:rPr>
          <w:rFonts w:hint="eastAsia" w:ascii="宋体" w:hAnsi="宋体" w:cs="宋体"/>
          <w:color w:val="auto"/>
          <w:sz w:val="24"/>
        </w:rPr>
        <w:t>（四）工程建设方案分析论证，对本项目各专业的工程建设方案进行分析与研究，比选后提出推荐方案。设计总体原则符合标准、规范、规程的有关规定，技术先进，经济合理，工程在使用年限内安全可靠。</w:t>
      </w:r>
    </w:p>
    <w:p>
      <w:pPr>
        <w:spacing w:line="360" w:lineRule="auto"/>
        <w:ind w:firstLine="480" w:firstLineChars="200"/>
        <w:rPr>
          <w:rFonts w:ascii="宋体" w:hAnsi="宋体" w:cs="宋体"/>
          <w:color w:val="auto"/>
          <w:sz w:val="24"/>
        </w:rPr>
      </w:pPr>
      <w:r>
        <w:rPr>
          <w:rFonts w:hint="eastAsia" w:ascii="宋体" w:hAnsi="宋体" w:cs="宋体"/>
          <w:color w:val="auto"/>
          <w:sz w:val="24"/>
        </w:rPr>
        <w:t>（五）充分考虑城市环境和城市面貌的要求，解决好人、车、路、环境各种要素的相互关系。</w:t>
      </w:r>
    </w:p>
    <w:p>
      <w:pPr>
        <w:spacing w:line="360" w:lineRule="auto"/>
        <w:ind w:firstLine="480" w:firstLineChars="200"/>
        <w:rPr>
          <w:rFonts w:ascii="宋体" w:hAnsi="宋体" w:cs="宋体"/>
          <w:color w:val="auto"/>
          <w:sz w:val="24"/>
        </w:rPr>
      </w:pPr>
      <w:r>
        <w:rPr>
          <w:rFonts w:hint="eastAsia" w:ascii="宋体" w:hAnsi="宋体" w:cs="宋体"/>
          <w:color w:val="auto"/>
          <w:sz w:val="24"/>
        </w:rPr>
        <w:t>（六）设计应落实全要素设计概念，设计以“面向人”为设计理念，采用“控空间”的原则，让道路与周边环境形成完整空间；体现“国际化、高端化、精细化、品质化”。</w:t>
      </w:r>
    </w:p>
    <w:p>
      <w:pPr>
        <w:spacing w:line="360" w:lineRule="auto"/>
        <w:ind w:firstLine="480" w:firstLineChars="200"/>
        <w:rPr>
          <w:rFonts w:ascii="宋体" w:hAnsi="宋体" w:cs="宋体"/>
          <w:color w:val="auto"/>
        </w:rPr>
      </w:pPr>
      <w:r>
        <w:rPr>
          <w:rFonts w:hint="eastAsia" w:ascii="宋体" w:hAnsi="宋体" w:cs="宋体"/>
          <w:color w:val="auto"/>
          <w:sz w:val="24"/>
        </w:rPr>
        <w:t>（七）项目工作安排是否科学合理，进度计划是否满足建设单位要求。</w:t>
      </w:r>
    </w:p>
    <w:bookmarkEnd w:id="124"/>
    <w:bookmarkEnd w:id="125"/>
    <w:p>
      <w:pPr>
        <w:pStyle w:val="3"/>
        <w:rPr>
          <w:rFonts w:ascii="宋体" w:hAnsi="宋体" w:eastAsia="宋体" w:cs="宋体"/>
          <w:b/>
          <w:bCs w:val="0"/>
          <w:color w:val="auto"/>
        </w:rPr>
      </w:pPr>
      <w:bookmarkStart w:id="126" w:name="_Toc447612385"/>
      <w:bookmarkStart w:id="127" w:name="_Toc447612864"/>
      <w:bookmarkStart w:id="128" w:name="_Toc25015"/>
      <w:bookmarkStart w:id="129" w:name="_Toc24631"/>
      <w:bookmarkStart w:id="130" w:name="_Toc452973685"/>
      <w:bookmarkStart w:id="131" w:name="_Toc5021"/>
      <w:bookmarkStart w:id="132" w:name="_Toc6605"/>
      <w:bookmarkStart w:id="133" w:name="_Toc452558305"/>
      <w:bookmarkStart w:id="134" w:name="_Toc7667"/>
      <w:bookmarkStart w:id="135" w:name="_Toc26185"/>
      <w:bookmarkStart w:id="136" w:name="_Toc12239"/>
      <w:r>
        <w:rPr>
          <w:rFonts w:hint="eastAsia" w:ascii="宋体" w:hAnsi="宋体" w:eastAsia="宋体" w:cs="宋体"/>
          <w:b/>
          <w:bCs w:val="0"/>
          <w:color w:val="auto"/>
        </w:rPr>
        <w:t>2.2勘察设计内容</w:t>
      </w:r>
      <w:bookmarkEnd w:id="126"/>
      <w:bookmarkEnd w:id="127"/>
      <w:bookmarkEnd w:id="128"/>
      <w:bookmarkEnd w:id="129"/>
      <w:bookmarkEnd w:id="130"/>
      <w:bookmarkEnd w:id="131"/>
      <w:bookmarkEnd w:id="132"/>
      <w:bookmarkEnd w:id="133"/>
      <w:bookmarkEnd w:id="134"/>
      <w:bookmarkEnd w:id="135"/>
      <w:bookmarkEnd w:id="136"/>
    </w:p>
    <w:p>
      <w:pPr>
        <w:spacing w:line="360" w:lineRule="auto"/>
        <w:ind w:firstLine="480" w:firstLineChars="200"/>
        <w:rPr>
          <w:rFonts w:ascii="宋体" w:hAnsi="宋体" w:cs="宋体"/>
          <w:snapToGrid w:val="0"/>
          <w:color w:val="auto"/>
          <w:kern w:val="0"/>
          <w:sz w:val="24"/>
        </w:rPr>
      </w:pPr>
      <w:r>
        <w:rPr>
          <w:rFonts w:hint="eastAsia" w:ascii="宋体" w:hAnsi="宋体" w:cs="宋体"/>
          <w:snapToGrid w:val="0"/>
          <w:color w:val="auto"/>
          <w:kern w:val="0"/>
          <w:sz w:val="24"/>
        </w:rPr>
        <w:t>天河外国语学校智慧城校区周边道路建设工程位于广州市天河区长兴街，项目南起长兴路，北至天河外国语学校智慧城校区，路线东侧紧靠华南快速路。拟建道路包括连接智慧城校区至现状长兴路的学校连接路以及学校环路，总长约2377m，规划红线宽度7.0-26.47m不等，学校连接路、学校东侧路、学校西侧路规划等级为城市支路，设计车速为30km/h，学校北侧路受限于用地红线条件，道路等级按等外道路（消防车道），设计车速15km/h。</w:t>
      </w:r>
    </w:p>
    <w:p>
      <w:pPr>
        <w:spacing w:line="360" w:lineRule="auto"/>
        <w:ind w:firstLine="480" w:firstLineChars="200"/>
        <w:rPr>
          <w:rFonts w:ascii="宋体" w:hAnsi="宋体" w:cs="宋体"/>
          <w:color w:val="auto"/>
          <w:sz w:val="24"/>
          <w:szCs w:val="21"/>
        </w:rPr>
      </w:pPr>
      <w:r>
        <w:rPr>
          <w:rFonts w:hint="eastAsia" w:ascii="宋体" w:hAnsi="宋体" w:cs="宋体"/>
          <w:snapToGrid w:val="0"/>
          <w:color w:val="auto"/>
          <w:kern w:val="0"/>
          <w:sz w:val="24"/>
        </w:rPr>
        <w:t>本项目建设内容包括道路、桥梁、交通、给水、雨水、污水、照明、电力及景观绿化工程（具体内容以可研报告为准）。方案设计、初步设计、施工图设计的具体设计内容参见可行性研究报告，包括但不限于以下内容：</w:t>
      </w:r>
    </w:p>
    <w:p>
      <w:pPr>
        <w:spacing w:line="360" w:lineRule="auto"/>
        <w:ind w:firstLine="360" w:firstLineChars="200"/>
        <w:jc w:val="left"/>
        <w:rPr>
          <w:rFonts w:ascii="宋体" w:hAnsi="宋体"/>
          <w:snapToGrid w:val="0"/>
          <w:color w:val="auto"/>
          <w:kern w:val="0"/>
          <w:sz w:val="24"/>
        </w:rPr>
      </w:pPr>
      <w:r>
        <w:rPr>
          <w:rFonts w:hint="eastAsia" w:ascii="宋体" w:hAnsi="宋体" w:cs="宋体"/>
          <w:bCs/>
          <w:snapToGrid w:val="0"/>
          <w:color w:val="auto"/>
          <w:kern w:val="0"/>
          <w:sz w:val="18"/>
          <w:szCs w:val="18"/>
          <w:bdr w:val="single" w:color="auto" w:sz="4" w:space="0"/>
        </w:rPr>
        <w:t>√</w:t>
      </w:r>
      <w:r>
        <w:rPr>
          <w:rFonts w:hint="eastAsia" w:ascii="宋体" w:hAnsi="宋体" w:cs="宋体"/>
          <w:snapToGrid w:val="0"/>
          <w:color w:val="auto"/>
          <w:kern w:val="0"/>
          <w:sz w:val="24"/>
        </w:rPr>
        <w:t>（1）本项目建设范围所涉及建设内容的全部设计工作，勘察内容包括</w:t>
      </w:r>
      <w:r>
        <w:rPr>
          <w:rFonts w:hint="eastAsia" w:ascii="宋体" w:hAnsi="宋体" w:cs="宋体"/>
          <w:snapToGrid w:val="0"/>
          <w:color w:val="auto"/>
          <w:kern w:val="0"/>
          <w:sz w:val="24"/>
          <w:lang w:eastAsia="zh-CN"/>
        </w:rPr>
        <w:t>岩土</w:t>
      </w:r>
      <w:r>
        <w:rPr>
          <w:rFonts w:hint="eastAsia" w:ascii="宋体" w:hAnsi="宋体" w:cs="宋体"/>
          <w:snapToGrid w:val="0"/>
          <w:color w:val="auto"/>
          <w:kern w:val="0"/>
          <w:sz w:val="24"/>
        </w:rPr>
        <w:t>工程勘察、工程测量及管线探测，工程测量范围为本项目建设范围，工程勘察、管线探测范围以后期经建设单位审定的方案为准</w:t>
      </w:r>
      <w:r>
        <w:rPr>
          <w:rFonts w:hint="eastAsia" w:ascii="宋体" w:hAnsi="宋体" w:cs="宋体"/>
          <w:color w:val="auto"/>
          <w:sz w:val="24"/>
        </w:rPr>
        <w:t>。</w:t>
      </w:r>
    </w:p>
    <w:p>
      <w:pPr>
        <w:adjustRightInd w:val="0"/>
        <w:snapToGrid w:val="0"/>
        <w:spacing w:line="360" w:lineRule="auto"/>
        <w:ind w:firstLine="480" w:firstLineChars="200"/>
        <w:rPr>
          <w:rFonts w:ascii="宋体" w:hAnsi="宋体"/>
          <w:snapToGrid w:val="0"/>
          <w:color w:val="auto"/>
          <w:kern w:val="0"/>
          <w:sz w:val="24"/>
        </w:rPr>
      </w:pPr>
      <w:r>
        <w:rPr>
          <w:rFonts w:hint="eastAsia" w:ascii="宋体" w:hAnsi="宋体"/>
          <w:snapToGrid w:val="0"/>
          <w:color w:val="auto"/>
          <w:kern w:val="0"/>
          <w:sz w:val="24"/>
        </w:rPr>
        <w:t>乙方不得拒绝执行为完成全部工程而须执行的不可或缺的附带工作，甲方保留调整发包范围的权利，以甲方书面委托为主，乙方不得提出异议。</w:t>
      </w:r>
    </w:p>
    <w:p>
      <w:pPr>
        <w:adjustRightInd w:val="0"/>
        <w:snapToGrid w:val="0"/>
        <w:spacing w:line="360" w:lineRule="auto"/>
        <w:ind w:firstLine="360" w:firstLineChars="200"/>
        <w:rPr>
          <w:rFonts w:ascii="宋体" w:hAnsi="宋体" w:cs="宋体"/>
          <w:snapToGrid w:val="0"/>
          <w:color w:val="auto"/>
          <w:kern w:val="0"/>
          <w:sz w:val="24"/>
        </w:rPr>
      </w:pPr>
      <w:r>
        <w:rPr>
          <w:rFonts w:hint="eastAsia" w:ascii="宋体" w:hAnsi="宋体" w:cs="宋体"/>
          <w:bCs/>
          <w:snapToGrid w:val="0"/>
          <w:color w:val="auto"/>
          <w:kern w:val="0"/>
          <w:sz w:val="18"/>
          <w:szCs w:val="18"/>
          <w:bdr w:val="single" w:color="auto" w:sz="4" w:space="0"/>
        </w:rPr>
        <w:t>√</w:t>
      </w:r>
      <w:r>
        <w:rPr>
          <w:rFonts w:hint="eastAsia" w:ascii="宋体" w:hAnsi="宋体" w:cs="宋体"/>
          <w:snapToGrid w:val="0"/>
          <w:color w:val="auto"/>
          <w:kern w:val="0"/>
          <w:sz w:val="24"/>
        </w:rPr>
        <w:t>（2）方案修改及完善：根据《市政公用工程设计文件编制深度规定（2013年版）》中关于方案设计应达到的设计深度要求，同时根据专家评审意见和相关职能部门提出的修改意见，对发包人选定的设计方案进行修改和完善。</w:t>
      </w:r>
    </w:p>
    <w:p>
      <w:pPr>
        <w:adjustRightInd w:val="0"/>
        <w:snapToGrid w:val="0"/>
        <w:spacing w:line="360" w:lineRule="auto"/>
        <w:ind w:firstLine="360" w:firstLineChars="200"/>
        <w:rPr>
          <w:rFonts w:ascii="宋体" w:hAnsi="宋体" w:cs="宋体"/>
          <w:snapToGrid w:val="0"/>
          <w:color w:val="auto"/>
          <w:kern w:val="0"/>
          <w:sz w:val="24"/>
        </w:rPr>
      </w:pPr>
      <w:r>
        <w:rPr>
          <w:rFonts w:hint="eastAsia" w:ascii="宋体" w:hAnsi="宋体" w:cs="宋体"/>
          <w:bCs/>
          <w:snapToGrid w:val="0"/>
          <w:color w:val="auto"/>
          <w:kern w:val="0"/>
          <w:sz w:val="18"/>
          <w:szCs w:val="18"/>
          <w:bdr w:val="single" w:color="auto" w:sz="4" w:space="0"/>
        </w:rPr>
        <w:t>√</w:t>
      </w:r>
      <w:r>
        <w:rPr>
          <w:rFonts w:hint="eastAsia" w:ascii="宋体" w:hAnsi="宋体" w:cs="宋体"/>
          <w:snapToGrid w:val="0"/>
          <w:color w:val="auto"/>
          <w:kern w:val="0"/>
          <w:sz w:val="24"/>
        </w:rPr>
        <w:t>（3）编制方案设计投资估算。</w:t>
      </w:r>
    </w:p>
    <w:p>
      <w:pPr>
        <w:pStyle w:val="10"/>
        <w:spacing w:line="360" w:lineRule="auto"/>
        <w:ind w:firstLine="360" w:firstLineChars="200"/>
        <w:rPr>
          <w:color w:val="auto"/>
        </w:rPr>
      </w:pPr>
      <w:r>
        <w:rPr>
          <w:rFonts w:hint="eastAsia" w:hAnsi="宋体" w:cs="宋体"/>
          <w:bCs/>
          <w:snapToGrid w:val="0"/>
          <w:color w:val="auto"/>
          <w:sz w:val="18"/>
          <w:szCs w:val="18"/>
          <w:bdr w:val="single" w:color="auto" w:sz="4" w:space="0"/>
        </w:rPr>
        <w:t>√</w:t>
      </w:r>
      <w:r>
        <w:rPr>
          <w:rFonts w:hint="eastAsia" w:hAnsi="宋体" w:cs="宋体"/>
          <w:snapToGrid w:val="0"/>
          <w:color w:val="auto"/>
          <w:sz w:val="24"/>
        </w:rPr>
        <w:t>（4）完成初步设计。</w:t>
      </w:r>
    </w:p>
    <w:p>
      <w:pPr>
        <w:adjustRightInd w:val="0"/>
        <w:snapToGrid w:val="0"/>
        <w:spacing w:line="360" w:lineRule="auto"/>
        <w:ind w:firstLine="360" w:firstLineChars="200"/>
        <w:rPr>
          <w:rFonts w:ascii="宋体" w:hAnsi="宋体" w:cs="宋体"/>
          <w:snapToGrid w:val="0"/>
          <w:color w:val="auto"/>
          <w:kern w:val="0"/>
          <w:sz w:val="24"/>
        </w:rPr>
      </w:pPr>
      <w:r>
        <w:rPr>
          <w:rFonts w:hint="eastAsia" w:ascii="宋体" w:hAnsi="宋体" w:cs="宋体"/>
          <w:bCs/>
          <w:snapToGrid w:val="0"/>
          <w:color w:val="auto"/>
          <w:kern w:val="0"/>
          <w:sz w:val="18"/>
          <w:szCs w:val="18"/>
          <w:bdr w:val="single" w:color="auto" w:sz="4" w:space="0"/>
        </w:rPr>
        <w:t>√</w:t>
      </w:r>
      <w:r>
        <w:rPr>
          <w:rFonts w:hint="eastAsia" w:ascii="宋体" w:hAnsi="宋体" w:cs="宋体"/>
          <w:snapToGrid w:val="0"/>
          <w:color w:val="auto"/>
          <w:kern w:val="0"/>
          <w:sz w:val="24"/>
        </w:rPr>
        <w:t>（5）编制初步设计概算。</w:t>
      </w:r>
    </w:p>
    <w:p>
      <w:pPr>
        <w:adjustRightInd w:val="0"/>
        <w:snapToGrid w:val="0"/>
        <w:spacing w:line="360" w:lineRule="auto"/>
        <w:ind w:firstLine="360" w:firstLineChars="200"/>
        <w:rPr>
          <w:color w:val="auto"/>
        </w:rPr>
      </w:pPr>
      <w:r>
        <w:rPr>
          <w:rFonts w:hint="eastAsia" w:ascii="宋体" w:hAnsi="宋体" w:cs="宋体"/>
          <w:bCs/>
          <w:snapToGrid w:val="0"/>
          <w:color w:val="auto"/>
          <w:kern w:val="0"/>
          <w:sz w:val="18"/>
          <w:szCs w:val="18"/>
          <w:bdr w:val="single" w:color="auto" w:sz="4" w:space="0"/>
        </w:rPr>
        <w:t>√</w:t>
      </w:r>
      <w:r>
        <w:rPr>
          <w:rFonts w:hint="eastAsia" w:ascii="宋体" w:hAnsi="宋体" w:cs="宋体"/>
          <w:snapToGrid w:val="0"/>
          <w:color w:val="auto"/>
          <w:kern w:val="0"/>
          <w:sz w:val="24"/>
        </w:rPr>
        <w:t>（6）完成施工图设计。</w:t>
      </w:r>
    </w:p>
    <w:p>
      <w:pPr>
        <w:adjustRightInd w:val="0"/>
        <w:snapToGrid w:val="0"/>
        <w:spacing w:line="360" w:lineRule="auto"/>
        <w:ind w:firstLine="360" w:firstLineChars="200"/>
        <w:rPr>
          <w:rFonts w:ascii="宋体" w:hAnsi="宋体" w:cs="宋体"/>
          <w:snapToGrid w:val="0"/>
          <w:color w:val="auto"/>
          <w:kern w:val="0"/>
          <w:sz w:val="24"/>
        </w:rPr>
      </w:pPr>
      <w:r>
        <w:rPr>
          <w:rFonts w:hint="eastAsia" w:ascii="宋体" w:hAnsi="宋体" w:cs="宋体"/>
          <w:bCs/>
          <w:snapToGrid w:val="0"/>
          <w:color w:val="auto"/>
          <w:kern w:val="0"/>
          <w:sz w:val="18"/>
          <w:szCs w:val="18"/>
          <w:bdr w:val="single" w:color="auto" w:sz="4" w:space="0"/>
        </w:rPr>
        <w:t>√</w:t>
      </w:r>
      <w:r>
        <w:rPr>
          <w:rFonts w:hint="eastAsia" w:ascii="宋体" w:hAnsi="宋体" w:cs="宋体"/>
          <w:snapToGrid w:val="0"/>
          <w:color w:val="auto"/>
          <w:kern w:val="0"/>
          <w:sz w:val="24"/>
        </w:rPr>
        <w:t>（7）配合编制施工图预算。</w:t>
      </w:r>
    </w:p>
    <w:p>
      <w:pPr>
        <w:adjustRightInd w:val="0"/>
        <w:snapToGrid w:val="0"/>
        <w:spacing w:line="360" w:lineRule="auto"/>
        <w:ind w:firstLine="360" w:firstLineChars="200"/>
        <w:rPr>
          <w:color w:val="auto"/>
        </w:rPr>
      </w:pPr>
      <w:r>
        <w:rPr>
          <w:rFonts w:hint="eastAsia" w:ascii="宋体" w:hAnsi="宋体" w:cs="宋体"/>
          <w:bCs/>
          <w:snapToGrid w:val="0"/>
          <w:color w:val="auto"/>
          <w:kern w:val="0"/>
          <w:sz w:val="18"/>
          <w:szCs w:val="18"/>
          <w:bdr w:val="single" w:color="auto" w:sz="4" w:space="0"/>
        </w:rPr>
        <w:t>√</w:t>
      </w:r>
      <w:r>
        <w:rPr>
          <w:rFonts w:hint="eastAsia" w:ascii="宋体" w:hAnsi="宋体" w:cs="宋体"/>
          <w:snapToGrid w:val="0"/>
          <w:color w:val="auto"/>
          <w:kern w:val="0"/>
          <w:sz w:val="24"/>
        </w:rPr>
        <w:t>（8）编制由设计单位发起的设计变更造价文件。</w:t>
      </w:r>
    </w:p>
    <w:p>
      <w:pPr>
        <w:adjustRightInd w:val="0"/>
        <w:snapToGrid w:val="0"/>
        <w:spacing w:line="360" w:lineRule="auto"/>
        <w:ind w:firstLine="360" w:firstLineChars="200"/>
        <w:rPr>
          <w:rFonts w:ascii="宋体" w:hAnsi="宋体" w:cs="宋体"/>
          <w:snapToGrid w:val="0"/>
          <w:color w:val="auto"/>
          <w:kern w:val="0"/>
          <w:sz w:val="24"/>
        </w:rPr>
      </w:pPr>
      <w:r>
        <w:rPr>
          <w:rFonts w:hint="eastAsia" w:ascii="宋体" w:hAnsi="宋体" w:cs="宋体"/>
          <w:snapToGrid w:val="0"/>
          <w:color w:val="auto"/>
          <w:kern w:val="0"/>
          <w:sz w:val="18"/>
          <w:szCs w:val="18"/>
          <w:bdr w:val="single" w:color="auto" w:sz="4" w:space="0"/>
        </w:rPr>
        <w:t>√</w:t>
      </w:r>
      <w:r>
        <w:rPr>
          <w:rFonts w:hint="eastAsia" w:ascii="宋体" w:hAnsi="宋体" w:cs="宋体"/>
          <w:snapToGrid w:val="0"/>
          <w:color w:val="auto"/>
          <w:kern w:val="0"/>
          <w:sz w:val="24"/>
        </w:rPr>
        <w:t>（9）海绵城市设计：设计方案需落实海绵城市设计，满足《海绵城市建设评价标准》（GB/T 51345-2018)、《广州市水务局关于深化广州市建设工程项目联审决策建设方案海绵城市专项编制的函》、《广州市海绵城市建设专篇编制要点》、《广州市建设项目海绵城市建设管控指标分类指引（试行）》要求；</w:t>
      </w:r>
    </w:p>
    <w:p>
      <w:pPr>
        <w:tabs>
          <w:tab w:val="left" w:pos="540"/>
        </w:tabs>
        <w:spacing w:before="120" w:after="120" w:line="360" w:lineRule="auto"/>
        <w:ind w:firstLine="360" w:firstLineChars="200"/>
        <w:rPr>
          <w:rFonts w:ascii="宋体" w:hAnsi="宋体" w:cs="宋体"/>
          <w:color w:val="auto"/>
          <w:sz w:val="24"/>
        </w:rPr>
      </w:pPr>
      <w:r>
        <w:rPr>
          <w:rFonts w:hint="eastAsia" w:ascii="宋体" w:hAnsi="宋体" w:cs="宋体"/>
          <w:snapToGrid w:val="0"/>
          <w:color w:val="auto"/>
          <w:kern w:val="0"/>
          <w:sz w:val="18"/>
          <w:szCs w:val="18"/>
          <w:bdr w:val="single" w:color="auto" w:sz="4" w:space="0"/>
        </w:rPr>
        <w:t>√</w:t>
      </w:r>
      <w:r>
        <w:rPr>
          <w:rFonts w:hint="eastAsia" w:ascii="宋体" w:hAnsi="宋体" w:cs="宋体"/>
          <w:snapToGrid w:val="0"/>
          <w:color w:val="auto"/>
          <w:kern w:val="0"/>
          <w:sz w:val="24"/>
        </w:rPr>
        <w:t>（10）有关场地树木保护内容设计：设计单位需在方案设计、初步设计、施工图各阶段落实树木保护专章内容，统筹考虑项目方案实施的科学、合理性，</w:t>
      </w:r>
      <w:r>
        <w:rPr>
          <w:rFonts w:hint="eastAsia" w:ascii="宋体" w:hAnsi="宋体" w:cs="宋体"/>
          <w:b/>
          <w:snapToGrid w:val="0"/>
          <w:color w:val="auto"/>
          <w:sz w:val="24"/>
        </w:rPr>
        <w:t>满足《广州市绿化条例（2022修订）》《广州市古树名木迁移管理办法》（穗林业园林规〔2020〕1号）《广州市城市树木保护管理规定（试行）》（穗林业园林规字〔2022〕1号）要求。</w:t>
      </w:r>
    </w:p>
    <w:p>
      <w:pPr>
        <w:spacing w:line="360" w:lineRule="auto"/>
        <w:ind w:firstLine="480" w:firstLineChars="200"/>
        <w:rPr>
          <w:rFonts w:ascii="宋体" w:hAnsi="宋体" w:cs="宋体"/>
          <w:color w:val="auto"/>
          <w:sz w:val="24"/>
        </w:rPr>
        <w:sectPr>
          <w:footnotePr>
            <w:numRestart w:val="eachPage"/>
          </w:footnotePr>
          <w:pgSz w:w="11906" w:h="16838"/>
          <w:pgMar w:top="1418" w:right="1418" w:bottom="1418" w:left="1418" w:header="851" w:footer="992" w:gutter="0"/>
          <w:cols w:space="720" w:num="1"/>
          <w:titlePg/>
          <w:docGrid w:type="lines" w:linePitch="312" w:charSpace="0"/>
        </w:sectPr>
      </w:pPr>
    </w:p>
    <w:p>
      <w:pPr>
        <w:pStyle w:val="2"/>
        <w:rPr>
          <w:rFonts w:ascii="宋体" w:hAnsi="宋体" w:eastAsia="宋体" w:cs="宋体"/>
          <w:color w:val="auto"/>
          <w:szCs w:val="30"/>
        </w:rPr>
      </w:pPr>
      <w:bookmarkStart w:id="137" w:name="_Toc29408"/>
      <w:bookmarkStart w:id="138" w:name="_Toc452558322"/>
      <w:bookmarkStart w:id="139" w:name="_Toc19809"/>
      <w:bookmarkStart w:id="140" w:name="_Toc452558101"/>
      <w:bookmarkStart w:id="141" w:name="_Toc23125"/>
      <w:bookmarkStart w:id="142" w:name="_Toc1873"/>
      <w:bookmarkStart w:id="143" w:name="_Toc452973709"/>
      <w:bookmarkStart w:id="144" w:name="_Toc29942"/>
      <w:bookmarkStart w:id="145" w:name="_Toc15552"/>
      <w:bookmarkStart w:id="146" w:name="_Toc20209"/>
      <w:r>
        <w:rPr>
          <w:rFonts w:hint="eastAsia" w:ascii="宋体" w:hAnsi="宋体" w:eastAsia="宋体" w:cs="宋体"/>
          <w:color w:val="auto"/>
        </w:rPr>
        <w:t>第三章 勘察设计要求</w:t>
      </w:r>
      <w:bookmarkEnd w:id="137"/>
      <w:bookmarkEnd w:id="138"/>
      <w:bookmarkEnd w:id="139"/>
      <w:bookmarkEnd w:id="140"/>
      <w:bookmarkEnd w:id="141"/>
      <w:bookmarkEnd w:id="142"/>
      <w:bookmarkEnd w:id="143"/>
      <w:bookmarkEnd w:id="144"/>
      <w:bookmarkEnd w:id="145"/>
      <w:bookmarkEnd w:id="146"/>
    </w:p>
    <w:p>
      <w:pPr>
        <w:pStyle w:val="3"/>
        <w:spacing w:before="120" w:after="120"/>
        <w:rPr>
          <w:rFonts w:ascii="宋体" w:hAnsi="宋体" w:eastAsia="宋体" w:cs="宋体"/>
          <w:b/>
          <w:bCs w:val="0"/>
          <w:color w:val="auto"/>
        </w:rPr>
      </w:pPr>
      <w:bookmarkStart w:id="147" w:name="_Toc27122"/>
      <w:bookmarkStart w:id="148" w:name="_Toc22148"/>
      <w:bookmarkStart w:id="149" w:name="_Toc11628"/>
      <w:bookmarkStart w:id="150" w:name="_Toc23658"/>
      <w:bookmarkStart w:id="151" w:name="_Toc13523"/>
      <w:bookmarkStart w:id="152" w:name="_Toc20962"/>
      <w:bookmarkStart w:id="153" w:name="_Toc11748"/>
      <w:bookmarkStart w:id="154" w:name="_Toc447612874"/>
      <w:bookmarkStart w:id="155" w:name="_Toc452558102"/>
      <w:bookmarkStart w:id="156" w:name="_Toc11212"/>
      <w:bookmarkStart w:id="157" w:name="_Toc452973710"/>
      <w:bookmarkStart w:id="158" w:name="_Toc452558323"/>
      <w:bookmarkStart w:id="159" w:name="_Toc447612395"/>
      <w:r>
        <w:rPr>
          <w:rFonts w:hint="eastAsia" w:ascii="宋体" w:hAnsi="宋体" w:eastAsia="宋体" w:cs="宋体"/>
          <w:b/>
          <w:bCs w:val="0"/>
          <w:color w:val="auto"/>
        </w:rPr>
        <w:t>3.1勘察设计总体要求</w:t>
      </w:r>
      <w:bookmarkEnd w:id="147"/>
      <w:bookmarkEnd w:id="148"/>
      <w:bookmarkEnd w:id="149"/>
      <w:bookmarkEnd w:id="150"/>
      <w:bookmarkEnd w:id="151"/>
      <w:bookmarkEnd w:id="152"/>
      <w:bookmarkEnd w:id="153"/>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勘察设计单位遵循现行法律法规和规范标准，根据项目可行性研究报告和勘察设计任务书，按照广州市建设相关设计管理要求进行勘察设计工作。项目可行性研究报告批复的建设事项、内容、标准和要求，应与初步设计成果、施工图设计成果以及概（预）算编制的事项、内容等要相统一。初步设计与概算、施工图设计（含技术需求书）与预算要同步完成、同步提交。</w:t>
      </w:r>
    </w:p>
    <w:p>
      <w:pPr>
        <w:spacing w:line="360" w:lineRule="auto"/>
        <w:ind w:firstLine="482" w:firstLineChars="200"/>
        <w:rPr>
          <w:rFonts w:ascii="宋体" w:hAnsi="宋体" w:cs="宋体"/>
          <w:b/>
          <w:snapToGrid w:val="0"/>
          <w:color w:val="auto"/>
          <w:kern w:val="0"/>
          <w:sz w:val="24"/>
        </w:rPr>
      </w:pPr>
      <w:r>
        <w:rPr>
          <w:rFonts w:hint="eastAsia" w:ascii="宋体" w:hAnsi="宋体" w:cs="宋体"/>
          <w:b/>
          <w:color w:val="auto"/>
          <w:kern w:val="0"/>
          <w:sz w:val="24"/>
        </w:rPr>
        <w:t>设计单位除了落实</w:t>
      </w:r>
      <w:r>
        <w:rPr>
          <w:rFonts w:hint="eastAsia" w:ascii="宋体" w:hAnsi="宋体" w:cs="宋体"/>
          <w:b/>
          <w:snapToGrid w:val="0"/>
          <w:color w:val="auto"/>
          <w:sz w:val="24"/>
        </w:rPr>
        <w:t>《天河外国语学校智慧城校区周边道路建设工程</w:t>
      </w:r>
      <w:r>
        <w:rPr>
          <w:rFonts w:hint="eastAsia" w:ascii="宋体" w:hAnsi="宋体" w:cs="宋体"/>
          <w:b/>
          <w:color w:val="auto"/>
          <w:kern w:val="0"/>
          <w:sz w:val="24"/>
        </w:rPr>
        <w:t>可行性研究报告》（详见附件1），还需要落实以下3.2-3.4的勘察设计及造价各专业要求，且勘察方案报业主审批后方可实施。</w:t>
      </w:r>
    </w:p>
    <w:p>
      <w:pPr>
        <w:pStyle w:val="3"/>
        <w:spacing w:before="120" w:after="120"/>
        <w:rPr>
          <w:rFonts w:ascii="宋体" w:hAnsi="宋体" w:cs="宋体"/>
          <w:color w:val="auto"/>
          <w:sz w:val="24"/>
        </w:rPr>
      </w:pPr>
      <w:bookmarkStart w:id="160" w:name="_Toc12377"/>
      <w:bookmarkStart w:id="161" w:name="_Toc27458"/>
      <w:bookmarkStart w:id="162" w:name="_Toc2955"/>
      <w:bookmarkStart w:id="163" w:name="_Toc3384"/>
      <w:bookmarkStart w:id="164" w:name="_Toc17501"/>
      <w:bookmarkStart w:id="165" w:name="_Toc14400"/>
      <w:bookmarkStart w:id="166" w:name="_Toc17584"/>
      <w:r>
        <w:rPr>
          <w:rFonts w:hint="eastAsia" w:ascii="宋体" w:hAnsi="宋体" w:eastAsia="宋体" w:cs="宋体"/>
          <w:b/>
          <w:bCs w:val="0"/>
          <w:color w:val="auto"/>
        </w:rPr>
        <w:t>3.2勘察工作要求</w:t>
      </w:r>
      <w:bookmarkEnd w:id="160"/>
      <w:bookmarkEnd w:id="161"/>
      <w:bookmarkEnd w:id="162"/>
      <w:bookmarkEnd w:id="163"/>
      <w:bookmarkEnd w:id="164"/>
      <w:bookmarkEnd w:id="165"/>
      <w:bookmarkEnd w:id="166"/>
    </w:p>
    <w:p>
      <w:pPr>
        <w:spacing w:line="360" w:lineRule="auto"/>
        <w:ind w:firstLine="480" w:firstLineChars="200"/>
        <w:rPr>
          <w:rFonts w:ascii="宋体" w:hAnsi="宋体" w:cs="宋体"/>
          <w:color w:val="auto"/>
          <w:sz w:val="24"/>
        </w:rPr>
      </w:pPr>
      <w:r>
        <w:rPr>
          <w:rFonts w:hint="eastAsia" w:ascii="宋体" w:hAnsi="宋体" w:cs="宋体"/>
          <w:color w:val="auto"/>
          <w:sz w:val="24"/>
        </w:rPr>
        <w:t>3.2.1工程测量成果深度要求</w:t>
      </w:r>
    </w:p>
    <w:p>
      <w:pPr>
        <w:spacing w:line="360" w:lineRule="auto"/>
        <w:ind w:firstLine="480" w:firstLineChars="200"/>
        <w:rPr>
          <w:rFonts w:ascii="宋体" w:hAnsi="宋体" w:cs="宋体"/>
          <w:color w:val="auto"/>
          <w:sz w:val="24"/>
        </w:rPr>
      </w:pPr>
      <w:r>
        <w:rPr>
          <w:rFonts w:ascii="宋体" w:hAnsi="宋体" w:cs="宋体"/>
          <w:color w:val="auto"/>
          <w:sz w:val="24"/>
        </w:rPr>
        <w:t>（1）</w:t>
      </w:r>
      <w:r>
        <w:rPr>
          <w:rFonts w:hint="eastAsia" w:ascii="宋体" w:hAnsi="宋体" w:cs="宋体"/>
          <w:color w:val="auto"/>
          <w:sz w:val="24"/>
        </w:rPr>
        <w:t>完成地形测量，测图比例尺为1：500。根据项目规模依据规范规定，布设满足工程测量及施工交桩的测量平面、高</w:t>
      </w:r>
      <w:r>
        <w:rPr>
          <w:rFonts w:ascii="宋体" w:hAnsi="宋体" w:cs="宋体"/>
          <w:color w:val="auto"/>
          <w:sz w:val="24"/>
        </w:rPr>
        <w:t xml:space="preserve"> </w:t>
      </w:r>
      <w:r>
        <w:rPr>
          <w:rFonts w:hint="eastAsia" w:ascii="宋体" w:hAnsi="宋体" w:cs="宋体"/>
          <w:color w:val="auto"/>
          <w:sz w:val="24"/>
        </w:rPr>
        <w:t>程控制点。</w:t>
      </w:r>
    </w:p>
    <w:p>
      <w:pPr>
        <w:spacing w:line="360" w:lineRule="auto"/>
        <w:ind w:firstLine="480" w:firstLineChars="200"/>
        <w:rPr>
          <w:rFonts w:ascii="宋体" w:hAnsi="宋体" w:cs="宋体"/>
          <w:color w:val="auto"/>
          <w:sz w:val="24"/>
        </w:rPr>
      </w:pPr>
      <w:r>
        <w:rPr>
          <w:rFonts w:ascii="宋体" w:hAnsi="宋体" w:cs="宋体"/>
          <w:color w:val="auto"/>
          <w:sz w:val="24"/>
        </w:rPr>
        <w:t>（2）</w:t>
      </w:r>
      <w:r>
        <w:rPr>
          <w:rFonts w:hint="eastAsia" w:ascii="宋体" w:hAnsi="宋体" w:cs="宋体"/>
          <w:color w:val="auto"/>
          <w:sz w:val="24"/>
        </w:rPr>
        <w:t>本次测量工作应符合《工程测量标准》（GB50026-2020）、《全球定位系统（GPS）测量规范》（GB/T 18314-2009）及其他现行的有关规范。</w:t>
      </w:r>
    </w:p>
    <w:p>
      <w:pPr>
        <w:spacing w:line="360" w:lineRule="auto"/>
        <w:ind w:firstLine="480" w:firstLineChars="200"/>
        <w:rPr>
          <w:rFonts w:ascii="宋体" w:hAnsi="宋体" w:cs="宋体"/>
          <w:color w:val="auto"/>
          <w:sz w:val="24"/>
        </w:rPr>
      </w:pPr>
      <w:r>
        <w:rPr>
          <w:rFonts w:ascii="宋体" w:hAnsi="宋体" w:cs="宋体"/>
          <w:color w:val="auto"/>
          <w:sz w:val="24"/>
        </w:rPr>
        <w:t>（3）</w:t>
      </w:r>
      <w:r>
        <w:rPr>
          <w:rFonts w:hint="eastAsia" w:ascii="宋体" w:hAnsi="宋体" w:cs="宋体"/>
          <w:color w:val="auto"/>
          <w:sz w:val="24"/>
        </w:rPr>
        <w:t>测量方法采用GPS-RTK定位技术进行，通过野外采集数据，手工现场勾绘草图，在内业中使用专用的地形地籍成图软件进行编辑绘图。</w:t>
      </w:r>
    </w:p>
    <w:p>
      <w:pPr>
        <w:spacing w:line="360" w:lineRule="auto"/>
        <w:ind w:firstLine="480" w:firstLineChars="200"/>
        <w:rPr>
          <w:rFonts w:ascii="宋体" w:hAnsi="宋体" w:cs="宋体"/>
          <w:color w:val="auto"/>
          <w:sz w:val="24"/>
        </w:rPr>
      </w:pPr>
      <w:r>
        <w:rPr>
          <w:rFonts w:ascii="宋体" w:hAnsi="宋体" w:cs="宋体"/>
          <w:color w:val="auto"/>
          <w:sz w:val="24"/>
        </w:rPr>
        <w:t>（4）</w:t>
      </w:r>
      <w:r>
        <w:rPr>
          <w:rFonts w:hint="eastAsia" w:ascii="宋体" w:hAnsi="宋体" w:cs="宋体"/>
          <w:color w:val="auto"/>
          <w:sz w:val="24"/>
        </w:rPr>
        <w:t>数据处理及成图：在内业工作中，成图编绘符合以下要求：</w:t>
      </w:r>
    </w:p>
    <w:p>
      <w:pPr>
        <w:spacing w:line="360" w:lineRule="auto"/>
        <w:ind w:firstLine="480" w:firstLineChars="200"/>
        <w:rPr>
          <w:rFonts w:ascii="宋体" w:hAnsi="宋体" w:cs="宋体"/>
          <w:color w:val="auto"/>
          <w:sz w:val="24"/>
        </w:rPr>
      </w:pPr>
      <w:r>
        <w:rPr>
          <w:rFonts w:hint="eastAsia" w:ascii="宋体" w:hAnsi="宋体" w:cs="宋体"/>
          <w:color w:val="auto"/>
          <w:sz w:val="24"/>
        </w:rPr>
        <w:t>①采用南方CASS软件或其他专业软件成图；</w:t>
      </w:r>
    </w:p>
    <w:p>
      <w:pPr>
        <w:spacing w:line="360" w:lineRule="auto"/>
        <w:ind w:firstLine="480" w:firstLineChars="200"/>
        <w:rPr>
          <w:rFonts w:ascii="宋体" w:hAnsi="宋体" w:cs="宋体"/>
          <w:color w:val="auto"/>
          <w:sz w:val="24"/>
        </w:rPr>
      </w:pPr>
      <w:r>
        <w:rPr>
          <w:rFonts w:hint="eastAsia" w:ascii="宋体" w:hAnsi="宋体" w:cs="宋体"/>
          <w:color w:val="auto"/>
          <w:sz w:val="24"/>
        </w:rPr>
        <w:t>②制图投影采用高斯—克吕格正形投影，并根据具体情况自由分幅，坐标格网为Km网；</w:t>
      </w:r>
    </w:p>
    <w:p>
      <w:pPr>
        <w:spacing w:line="360" w:lineRule="auto"/>
        <w:ind w:firstLine="480" w:firstLineChars="200"/>
        <w:rPr>
          <w:rFonts w:ascii="宋体" w:hAnsi="宋体" w:cs="宋体"/>
          <w:color w:val="auto"/>
          <w:sz w:val="24"/>
        </w:rPr>
      </w:pPr>
      <w:r>
        <w:rPr>
          <w:rFonts w:hint="eastAsia" w:ascii="宋体" w:hAnsi="宋体" w:cs="宋体"/>
          <w:color w:val="auto"/>
          <w:sz w:val="24"/>
        </w:rPr>
        <w:t>③地形点的高程标注取位至0.01m；</w:t>
      </w:r>
    </w:p>
    <w:p>
      <w:pPr>
        <w:spacing w:line="360" w:lineRule="auto"/>
        <w:ind w:firstLine="480" w:firstLineChars="200"/>
        <w:rPr>
          <w:rFonts w:ascii="宋体" w:hAnsi="宋体" w:cs="宋体"/>
          <w:color w:val="auto"/>
          <w:sz w:val="24"/>
        </w:rPr>
      </w:pPr>
      <w:r>
        <w:rPr>
          <w:rFonts w:hint="eastAsia" w:ascii="宋体" w:hAnsi="宋体" w:cs="宋体"/>
          <w:color w:val="auto"/>
          <w:sz w:val="24"/>
        </w:rPr>
        <w:t>④所用图例、符号、注记等均按南方CASS软件或其他专业软件的图式参考采用。</w:t>
      </w:r>
    </w:p>
    <w:p>
      <w:pPr>
        <w:spacing w:line="360" w:lineRule="auto"/>
        <w:ind w:firstLine="480" w:firstLineChars="200"/>
        <w:rPr>
          <w:rFonts w:ascii="宋体" w:hAnsi="宋体" w:cs="宋体"/>
          <w:color w:val="auto"/>
          <w:sz w:val="24"/>
        </w:rPr>
      </w:pPr>
      <w:r>
        <w:rPr>
          <w:rFonts w:hint="eastAsia" w:ascii="宋体" w:hAnsi="宋体" w:cs="宋体"/>
          <w:color w:val="auto"/>
          <w:sz w:val="24"/>
        </w:rPr>
        <w:t>3.2.2工程勘察成果深度要求</w:t>
      </w:r>
    </w:p>
    <w:p>
      <w:pPr>
        <w:spacing w:line="360" w:lineRule="auto"/>
        <w:ind w:firstLine="480" w:firstLineChars="200"/>
        <w:rPr>
          <w:rFonts w:ascii="宋体" w:hAnsi="宋体" w:cs="宋体"/>
          <w:color w:val="auto"/>
          <w:sz w:val="24"/>
        </w:rPr>
      </w:pPr>
      <w:r>
        <w:rPr>
          <w:rFonts w:hint="eastAsia" w:ascii="宋体" w:hAnsi="宋体" w:cs="宋体"/>
          <w:color w:val="auto"/>
          <w:sz w:val="24"/>
        </w:rPr>
        <w:t>（1）钻孔位置按设计单位根据需求提供的钻孔布置平面图。原则上严格按坐标布孔，若由于地下管线、架空电线及建筑物影响，可适当调整孔位。</w:t>
      </w:r>
    </w:p>
    <w:p>
      <w:pPr>
        <w:spacing w:line="360" w:lineRule="auto"/>
        <w:ind w:firstLine="480" w:firstLineChars="200"/>
        <w:rPr>
          <w:rFonts w:ascii="宋体" w:hAnsi="宋体" w:cs="宋体"/>
          <w:color w:val="auto"/>
          <w:sz w:val="24"/>
        </w:rPr>
      </w:pPr>
      <w:r>
        <w:rPr>
          <w:rFonts w:hint="eastAsia" w:ascii="宋体" w:hAnsi="宋体" w:cs="宋体"/>
          <w:color w:val="auto"/>
          <w:sz w:val="24"/>
        </w:rPr>
        <w:t>（2）查明主要防护构筑范围内及其邻近地段的地形、地貌特征，地层结构、基岩的岩性构造、风化程度及深度、断层的位置，破碎带宽度及填充情况和含水性，并对地基条件进行评价，提供岩土物理、力学参数（包括水平抗力系数、地基系数的比例系数m的范围和渗透系数）及验算基底抗倾覆和抗滑稳定性所需的参数，淤泥或淤泥质土等软土应同时提供土层的快剪、固结快剪、慢剪指标，各类桩型（水泥搅拌桩、CGF桩、预制桩和钻孔桩等）桩侧摩阻力。砂土层应提供地震液化判别指标。</w:t>
      </w:r>
    </w:p>
    <w:p>
      <w:pPr>
        <w:spacing w:line="360" w:lineRule="auto"/>
        <w:ind w:firstLine="480" w:firstLineChars="200"/>
        <w:rPr>
          <w:rFonts w:ascii="宋体" w:hAnsi="宋体" w:cs="宋体"/>
          <w:color w:val="auto"/>
          <w:sz w:val="24"/>
        </w:rPr>
      </w:pPr>
      <w:r>
        <w:rPr>
          <w:rFonts w:hint="eastAsia" w:ascii="宋体" w:hAnsi="宋体" w:cs="宋体"/>
          <w:color w:val="auto"/>
          <w:sz w:val="24"/>
        </w:rPr>
        <w:t>（3）查明沿线场地不良地质现象及分布范围，查明渠底、塘底淤泥层分布情况。</w:t>
      </w:r>
    </w:p>
    <w:p>
      <w:pPr>
        <w:spacing w:line="360" w:lineRule="auto"/>
        <w:ind w:firstLine="480" w:firstLineChars="200"/>
        <w:rPr>
          <w:rFonts w:ascii="宋体" w:hAnsi="宋体" w:cs="宋体"/>
          <w:color w:val="auto"/>
          <w:sz w:val="24"/>
        </w:rPr>
      </w:pPr>
      <w:r>
        <w:rPr>
          <w:rFonts w:hint="eastAsia" w:ascii="宋体" w:hAnsi="宋体" w:cs="宋体"/>
          <w:color w:val="auto"/>
          <w:sz w:val="24"/>
        </w:rPr>
        <w:t>（4）查明场地地下水情况，地下水变化幅度。提供相关试验数据（含压缩曲线、渗透系数、水平固结系数、竖向固结系数等）及有关软土，</w:t>
      </w:r>
    </w:p>
    <w:p>
      <w:pPr>
        <w:spacing w:line="360" w:lineRule="auto"/>
        <w:ind w:firstLine="480" w:firstLineChars="200"/>
        <w:rPr>
          <w:rFonts w:ascii="宋体" w:hAnsi="宋体" w:cs="宋体"/>
          <w:color w:val="auto"/>
          <w:sz w:val="24"/>
        </w:rPr>
      </w:pPr>
      <w:r>
        <w:rPr>
          <w:rFonts w:hint="eastAsia" w:ascii="宋体" w:hAnsi="宋体" w:cs="宋体"/>
          <w:color w:val="auto"/>
          <w:sz w:val="24"/>
        </w:rPr>
        <w:t>（5）技术性钻孔数量占钻孔总数的不少于一半。</w:t>
      </w:r>
    </w:p>
    <w:p>
      <w:pPr>
        <w:spacing w:line="360" w:lineRule="auto"/>
        <w:ind w:firstLine="480" w:firstLineChars="200"/>
        <w:rPr>
          <w:rFonts w:ascii="宋体" w:hAnsi="宋体" w:cs="宋体"/>
          <w:color w:val="auto"/>
          <w:sz w:val="24"/>
        </w:rPr>
      </w:pPr>
      <w:bookmarkStart w:id="167" w:name="_Toc491680113"/>
      <w:bookmarkEnd w:id="167"/>
      <w:r>
        <w:rPr>
          <w:rFonts w:hint="eastAsia" w:ascii="宋体" w:hAnsi="宋体" w:cs="宋体"/>
          <w:color w:val="auto"/>
          <w:sz w:val="24"/>
        </w:rPr>
        <w:t>（6）提供地基勘察照片等附件。</w:t>
      </w:r>
    </w:p>
    <w:p>
      <w:pPr>
        <w:spacing w:line="360" w:lineRule="auto"/>
        <w:ind w:firstLine="480" w:firstLineChars="200"/>
        <w:rPr>
          <w:rFonts w:ascii="宋体" w:hAnsi="宋体" w:cs="宋体"/>
          <w:color w:val="auto"/>
          <w:sz w:val="24"/>
        </w:rPr>
      </w:pPr>
      <w:r>
        <w:rPr>
          <w:rFonts w:hint="eastAsia" w:ascii="宋体" w:hAnsi="宋体" w:cs="宋体"/>
          <w:color w:val="auto"/>
          <w:sz w:val="24"/>
        </w:rPr>
        <w:t>（7）地质报告请于建设方要求时间提供，</w:t>
      </w:r>
      <w:bookmarkStart w:id="168" w:name="OLE_LINK1"/>
      <w:r>
        <w:rPr>
          <w:rFonts w:hint="eastAsia" w:ascii="宋体" w:hAnsi="宋体" w:cs="宋体"/>
          <w:color w:val="auto"/>
          <w:sz w:val="24"/>
        </w:rPr>
        <w:t>勘察期间应配合设计提供相关勘探成果资料。</w:t>
      </w:r>
      <w:bookmarkEnd w:id="168"/>
    </w:p>
    <w:p>
      <w:pPr>
        <w:spacing w:line="360" w:lineRule="auto"/>
        <w:ind w:firstLine="480" w:firstLineChars="200"/>
        <w:rPr>
          <w:rFonts w:ascii="宋体" w:hAnsi="宋体" w:cs="宋体"/>
          <w:color w:val="auto"/>
          <w:sz w:val="24"/>
        </w:rPr>
      </w:pPr>
      <w:r>
        <w:rPr>
          <w:rFonts w:hint="eastAsia" w:ascii="宋体" w:hAnsi="宋体" w:cs="宋体"/>
          <w:color w:val="auto"/>
          <w:sz w:val="24"/>
        </w:rPr>
        <w:t>（8）其它未说明请按照国家公路及市政工程的相关规范要求进行地质勘察。</w:t>
      </w:r>
    </w:p>
    <w:p>
      <w:pPr>
        <w:spacing w:line="360" w:lineRule="auto"/>
        <w:ind w:firstLine="480" w:firstLineChars="200"/>
        <w:rPr>
          <w:rFonts w:ascii="宋体" w:hAnsi="宋体" w:cs="宋体"/>
          <w:color w:val="auto"/>
          <w:sz w:val="24"/>
        </w:rPr>
      </w:pPr>
      <w:r>
        <w:rPr>
          <w:rFonts w:hint="eastAsia" w:ascii="宋体" w:hAnsi="宋体" w:cs="宋体"/>
          <w:color w:val="auto"/>
          <w:sz w:val="24"/>
        </w:rPr>
        <w:t>（9）外业工作结束后，钻孔后应以封闭，采用水泥封孔。</w:t>
      </w:r>
    </w:p>
    <w:p>
      <w:pPr>
        <w:spacing w:line="360" w:lineRule="auto"/>
        <w:ind w:firstLine="480" w:firstLineChars="200"/>
        <w:rPr>
          <w:rFonts w:ascii="宋体" w:hAnsi="宋体" w:cs="宋体"/>
          <w:color w:val="auto"/>
          <w:sz w:val="24"/>
        </w:rPr>
      </w:pPr>
      <w:r>
        <w:rPr>
          <w:rFonts w:hint="eastAsia" w:ascii="宋体" w:hAnsi="宋体" w:cs="宋体"/>
          <w:color w:val="auto"/>
          <w:sz w:val="24"/>
        </w:rPr>
        <w:t>（10）钻探时若发现溶洞，应根据岩溶发育的地质背景、溶洞塌陷的形态、平面位置和顶底标高，分析岩溶的稳定性及其对拟建工程的影响，提出治理和监测的建议。</w:t>
      </w:r>
    </w:p>
    <w:p>
      <w:pPr>
        <w:spacing w:line="360" w:lineRule="auto"/>
        <w:ind w:firstLine="480" w:firstLineChars="200"/>
        <w:rPr>
          <w:rFonts w:ascii="宋体" w:hAnsi="宋体" w:cs="宋体"/>
          <w:color w:val="auto"/>
          <w:sz w:val="24"/>
        </w:rPr>
      </w:pPr>
      <w:r>
        <w:rPr>
          <w:rFonts w:hint="eastAsia" w:ascii="宋体" w:hAnsi="宋体" w:cs="宋体"/>
          <w:color w:val="auto"/>
          <w:sz w:val="24"/>
        </w:rPr>
        <w:t>（11）查明邻近重要建筑物的具体位置、荷载、结构、基础形式及埋深，地下设施的分布及埋深，评价拟建工程基础施工过程中对相邻建筑物安全性的影响。</w:t>
      </w:r>
    </w:p>
    <w:p>
      <w:pPr>
        <w:spacing w:line="360" w:lineRule="auto"/>
        <w:ind w:firstLine="480" w:firstLineChars="200"/>
        <w:rPr>
          <w:rFonts w:ascii="宋体" w:hAnsi="宋体" w:cs="宋体"/>
          <w:color w:val="auto"/>
          <w:sz w:val="24"/>
        </w:rPr>
      </w:pPr>
      <w:r>
        <w:rPr>
          <w:rFonts w:hint="eastAsia" w:ascii="宋体" w:hAnsi="宋体" w:cs="宋体"/>
          <w:color w:val="auto"/>
          <w:sz w:val="24"/>
        </w:rPr>
        <w:t>3.2.3工程物探成果深度要求</w:t>
      </w:r>
    </w:p>
    <w:p>
      <w:pPr>
        <w:spacing w:line="360" w:lineRule="auto"/>
        <w:ind w:firstLine="480" w:firstLineChars="200"/>
        <w:rPr>
          <w:rFonts w:ascii="宋体" w:hAnsi="宋体" w:cs="宋体"/>
          <w:color w:val="auto"/>
          <w:sz w:val="24"/>
        </w:rPr>
      </w:pPr>
      <w:r>
        <w:rPr>
          <w:rFonts w:ascii="宋体" w:hAnsi="宋体" w:cs="宋体"/>
          <w:color w:val="auto"/>
          <w:sz w:val="24"/>
        </w:rPr>
        <w:t>（1）</w:t>
      </w:r>
      <w:r>
        <w:rPr>
          <w:rFonts w:hint="eastAsia" w:ascii="宋体" w:hAnsi="宋体" w:cs="宋体"/>
          <w:color w:val="auto"/>
          <w:sz w:val="24"/>
        </w:rPr>
        <w:t>地下管线探测范围以后期经建设单位审定的管线探测方案为准。</w:t>
      </w:r>
    </w:p>
    <w:p>
      <w:pPr>
        <w:spacing w:line="360" w:lineRule="auto"/>
        <w:ind w:firstLine="480" w:firstLineChars="200"/>
        <w:rPr>
          <w:rFonts w:ascii="宋体" w:hAnsi="宋体" w:cs="宋体"/>
          <w:color w:val="auto"/>
          <w:sz w:val="24"/>
        </w:rPr>
      </w:pPr>
      <w:r>
        <w:rPr>
          <w:rFonts w:ascii="宋体" w:hAnsi="宋体" w:cs="宋体"/>
          <w:color w:val="auto"/>
          <w:sz w:val="24"/>
        </w:rPr>
        <w:t>（2）</w:t>
      </w:r>
      <w:r>
        <w:rPr>
          <w:rFonts w:hint="eastAsia" w:ascii="宋体" w:hAnsi="宋体" w:cs="宋体"/>
          <w:color w:val="auto"/>
          <w:sz w:val="24"/>
        </w:rPr>
        <w:t>探测范围内地下埋藏物状况；查明测区内所有现状、正在施工的各种地上、地下管线、管沟的平面位置、走向、埋深、规格、材质和权属单位等，包括给水、雨水、污水、电力、电讯（各种通讯光缆）、燃气及其他埋地管线等,包括不限于以下内容：</w:t>
      </w:r>
    </w:p>
    <w:p>
      <w:pPr>
        <w:spacing w:line="360" w:lineRule="auto"/>
        <w:ind w:firstLine="480" w:firstLineChars="200"/>
        <w:rPr>
          <w:rFonts w:ascii="宋体" w:hAnsi="宋体" w:cs="宋体"/>
          <w:color w:val="auto"/>
          <w:sz w:val="24"/>
        </w:rPr>
      </w:pPr>
      <w:r>
        <w:rPr>
          <w:rFonts w:hint="eastAsia" w:ascii="宋体" w:hAnsi="宋体" w:cs="宋体"/>
          <w:color w:val="auto"/>
          <w:sz w:val="24"/>
        </w:rPr>
        <w:t>①现状给水管道的管材、管径、管位以及节点的标高、特性；</w:t>
      </w:r>
    </w:p>
    <w:p>
      <w:pPr>
        <w:spacing w:line="360" w:lineRule="auto"/>
        <w:ind w:firstLine="480" w:firstLineChars="200"/>
        <w:rPr>
          <w:rFonts w:ascii="宋体" w:hAnsi="宋体" w:cs="宋体"/>
          <w:color w:val="auto"/>
          <w:sz w:val="24"/>
        </w:rPr>
      </w:pPr>
      <w:r>
        <w:rPr>
          <w:rFonts w:hint="eastAsia" w:ascii="宋体" w:hAnsi="宋体" w:cs="宋体"/>
          <w:color w:val="auto"/>
          <w:sz w:val="24"/>
        </w:rPr>
        <w:t>②现状雨水管渠的管材、管径、管位、检查井井底标高及管底标高；</w:t>
      </w:r>
    </w:p>
    <w:p>
      <w:pPr>
        <w:spacing w:line="360" w:lineRule="auto"/>
        <w:ind w:firstLine="480" w:firstLineChars="200"/>
        <w:rPr>
          <w:rFonts w:ascii="宋体" w:hAnsi="宋体" w:cs="宋体"/>
          <w:color w:val="auto"/>
          <w:sz w:val="24"/>
        </w:rPr>
      </w:pPr>
      <w:r>
        <w:rPr>
          <w:rFonts w:hint="eastAsia" w:ascii="宋体" w:hAnsi="宋体" w:cs="宋体"/>
          <w:color w:val="auto"/>
          <w:sz w:val="24"/>
        </w:rPr>
        <w:t>③管道横穿的河沟、过路或路边的渠道需要测出箱涵的断面、顶板厚度、位置坐标、渠底标高、地面标高、流向等；</w:t>
      </w:r>
    </w:p>
    <w:p>
      <w:pPr>
        <w:spacing w:line="360" w:lineRule="auto"/>
        <w:ind w:firstLine="480" w:firstLineChars="200"/>
        <w:rPr>
          <w:rFonts w:ascii="宋体" w:hAnsi="宋体" w:cs="宋体"/>
          <w:color w:val="auto"/>
          <w:sz w:val="24"/>
        </w:rPr>
      </w:pPr>
      <w:r>
        <w:rPr>
          <w:rFonts w:hint="eastAsia" w:ascii="宋体" w:hAnsi="宋体" w:cs="宋体"/>
          <w:color w:val="auto"/>
          <w:sz w:val="24"/>
        </w:rPr>
        <w:t>④现状污水管道的管材、管径、管位、检查井井底标高及管底标高；</w:t>
      </w:r>
    </w:p>
    <w:p>
      <w:pPr>
        <w:spacing w:line="360" w:lineRule="auto"/>
        <w:ind w:firstLine="480" w:firstLineChars="200"/>
        <w:rPr>
          <w:rFonts w:ascii="宋体" w:hAnsi="宋体" w:cs="宋体"/>
          <w:color w:val="auto"/>
          <w:sz w:val="24"/>
        </w:rPr>
      </w:pPr>
      <w:r>
        <w:rPr>
          <w:rFonts w:hint="eastAsia" w:ascii="宋体" w:hAnsi="宋体" w:cs="宋体"/>
          <w:color w:val="auto"/>
          <w:sz w:val="24"/>
        </w:rPr>
        <w:t>⑤电气专业地上管线，包括现状路灯、10w、110kv架空线；</w:t>
      </w:r>
    </w:p>
    <w:p>
      <w:pPr>
        <w:spacing w:line="360" w:lineRule="auto"/>
        <w:ind w:firstLine="480" w:firstLineChars="200"/>
        <w:rPr>
          <w:rFonts w:ascii="宋体" w:hAnsi="宋体" w:cs="宋体"/>
          <w:color w:val="auto"/>
          <w:sz w:val="24"/>
        </w:rPr>
      </w:pPr>
      <w:r>
        <w:rPr>
          <w:rFonts w:hint="eastAsia" w:ascii="宋体" w:hAnsi="宋体" w:cs="宋体"/>
          <w:color w:val="auto"/>
          <w:sz w:val="24"/>
        </w:rPr>
        <w:t>⑥电气专业地下管沟，包括现状电缆沟、埋地电缆、通讯井、通讯线；</w:t>
      </w:r>
    </w:p>
    <w:p>
      <w:pPr>
        <w:spacing w:line="360" w:lineRule="auto"/>
        <w:ind w:firstLine="480" w:firstLineChars="200"/>
        <w:rPr>
          <w:rFonts w:ascii="宋体" w:hAnsi="宋体" w:cs="宋体"/>
          <w:color w:val="auto"/>
          <w:sz w:val="24"/>
        </w:rPr>
      </w:pPr>
      <w:r>
        <w:rPr>
          <w:rFonts w:hint="eastAsia" w:ascii="宋体" w:hAnsi="宋体" w:cs="宋体"/>
          <w:color w:val="auto"/>
          <w:sz w:val="24"/>
        </w:rPr>
        <w:t>⑦现状燃气管道的管材、管径、管位、各节点的坐标、地面标高及管底标高；</w:t>
      </w:r>
    </w:p>
    <w:p>
      <w:pPr>
        <w:spacing w:line="360" w:lineRule="auto"/>
        <w:ind w:firstLine="480" w:firstLineChars="200"/>
        <w:rPr>
          <w:rFonts w:ascii="宋体" w:hAnsi="宋体" w:cs="宋体"/>
          <w:color w:val="auto"/>
          <w:sz w:val="24"/>
        </w:rPr>
      </w:pPr>
      <w:r>
        <w:rPr>
          <w:rFonts w:hint="eastAsia" w:ascii="宋体" w:hAnsi="宋体" w:cs="宋体"/>
          <w:color w:val="auto"/>
          <w:sz w:val="24"/>
        </w:rPr>
        <w:t>⑧查明地上管线，包括架空线路、通信架空线、交通信号灯和公安监控设备等，平面位置、走向、对地净空，杆塔位置、高度、基础尺寸等；</w:t>
      </w:r>
    </w:p>
    <w:p>
      <w:pPr>
        <w:spacing w:line="360" w:lineRule="auto"/>
        <w:ind w:firstLine="480" w:firstLineChars="200"/>
        <w:rPr>
          <w:rFonts w:ascii="宋体" w:hAnsi="宋体" w:cs="宋体"/>
          <w:color w:val="auto"/>
          <w:sz w:val="24"/>
        </w:rPr>
      </w:pPr>
      <w:r>
        <w:rPr>
          <w:rFonts w:hint="eastAsia" w:ascii="宋体" w:hAnsi="宋体" w:cs="宋体"/>
          <w:color w:val="auto"/>
          <w:sz w:val="24"/>
        </w:rPr>
        <w:t>⑨调查测区内的地下人防巷道和其他地下设施；</w:t>
      </w:r>
    </w:p>
    <w:p>
      <w:pPr>
        <w:spacing w:line="360" w:lineRule="auto"/>
        <w:ind w:firstLine="480" w:firstLineChars="200"/>
        <w:rPr>
          <w:rFonts w:ascii="宋体" w:hAnsi="宋体" w:cs="宋体"/>
          <w:color w:val="auto"/>
          <w:sz w:val="24"/>
        </w:rPr>
      </w:pPr>
      <w:r>
        <w:rPr>
          <w:rFonts w:ascii="宋体" w:hAnsi="宋体" w:cs="宋体"/>
          <w:color w:val="auto"/>
          <w:sz w:val="24"/>
        </w:rPr>
        <w:t>（3）</w:t>
      </w:r>
      <w:r>
        <w:rPr>
          <w:rFonts w:hint="eastAsia" w:ascii="宋体" w:hAnsi="宋体" w:cs="宋体"/>
          <w:color w:val="auto"/>
          <w:sz w:val="24"/>
        </w:rPr>
        <w:t>管线图的编绘：管线图的编绘在特制的软件中进行。管线图中管径、断面尺寸、总孔数／已用孔数、电缆根数只在管线变异处两侧注记。管线注记与地形图中的符号注记重叠时删去地形图中的注记和符号。管线图的图廓整饰甲方的要求进行。</w:t>
      </w:r>
    </w:p>
    <w:p>
      <w:pPr>
        <w:spacing w:line="360" w:lineRule="auto"/>
        <w:ind w:firstLine="480" w:firstLineChars="200"/>
        <w:rPr>
          <w:rFonts w:ascii="宋体" w:hAnsi="宋体" w:cs="宋体"/>
          <w:color w:val="auto"/>
          <w:sz w:val="24"/>
        </w:rPr>
      </w:pPr>
      <w:r>
        <w:rPr>
          <w:rFonts w:ascii="宋体" w:hAnsi="宋体" w:cs="宋体"/>
          <w:color w:val="auto"/>
          <w:sz w:val="24"/>
        </w:rPr>
        <w:t>（4）</w:t>
      </w:r>
      <w:r>
        <w:rPr>
          <w:rFonts w:hint="eastAsia" w:ascii="宋体" w:hAnsi="宋体" w:cs="宋体"/>
          <w:color w:val="auto"/>
          <w:sz w:val="24"/>
        </w:rPr>
        <w:t>管线点成果表数据：包括编号；管线埋设方向；管线及设施种类及性质；管线材料；几何尺寸(管径大小或构筑物平面投影尺寸)；埋设深度[包括地面、管(沟、块底、面、构筑物顶、底面标高等相关数据]；平面坐标；埋设日期；权属或主管单位的名称等。</w:t>
      </w:r>
    </w:p>
    <w:p>
      <w:pPr>
        <w:spacing w:line="360" w:lineRule="auto"/>
        <w:ind w:firstLine="480" w:firstLineChars="200"/>
        <w:rPr>
          <w:rFonts w:ascii="宋体" w:hAnsi="宋体" w:cs="宋体"/>
          <w:color w:val="auto"/>
          <w:sz w:val="24"/>
        </w:rPr>
      </w:pPr>
      <w:r>
        <w:rPr>
          <w:rFonts w:ascii="宋体" w:hAnsi="宋体" w:cs="宋体"/>
          <w:color w:val="auto"/>
          <w:sz w:val="24"/>
        </w:rPr>
        <w:t>（5）</w:t>
      </w:r>
      <w:r>
        <w:rPr>
          <w:rFonts w:hint="eastAsia" w:ascii="宋体" w:hAnsi="宋体" w:cs="宋体"/>
          <w:color w:val="auto"/>
          <w:sz w:val="24"/>
        </w:rPr>
        <w:t>包括但不限于以上要求。</w:t>
      </w:r>
    </w:p>
    <w:p>
      <w:pPr>
        <w:pStyle w:val="3"/>
        <w:spacing w:before="120" w:after="120"/>
        <w:rPr>
          <w:rFonts w:ascii="宋体" w:hAnsi="宋体" w:eastAsia="宋体" w:cs="宋体"/>
          <w:b/>
          <w:bCs w:val="0"/>
          <w:color w:val="auto"/>
        </w:rPr>
      </w:pPr>
      <w:bookmarkStart w:id="169" w:name="_Toc13548"/>
      <w:bookmarkStart w:id="170" w:name="_Toc19902"/>
      <w:bookmarkStart w:id="171" w:name="_Toc21418"/>
      <w:bookmarkStart w:id="172" w:name="_Toc17636"/>
      <w:bookmarkStart w:id="173" w:name="_Toc30924"/>
      <w:bookmarkStart w:id="174" w:name="_Toc6822"/>
      <w:bookmarkStart w:id="175" w:name="_Toc13139"/>
      <w:r>
        <w:rPr>
          <w:rFonts w:hint="eastAsia" w:ascii="宋体" w:hAnsi="宋体" w:eastAsia="宋体" w:cs="宋体"/>
          <w:b/>
          <w:bCs w:val="0"/>
          <w:color w:val="auto"/>
        </w:rPr>
        <w:t>3.3设计工作要求</w:t>
      </w:r>
      <w:bookmarkEnd w:id="169"/>
      <w:bookmarkEnd w:id="170"/>
      <w:bookmarkEnd w:id="171"/>
      <w:bookmarkEnd w:id="172"/>
      <w:bookmarkEnd w:id="173"/>
      <w:bookmarkEnd w:id="174"/>
      <w:bookmarkEnd w:id="175"/>
    </w:p>
    <w:p>
      <w:pPr>
        <w:spacing w:line="360" w:lineRule="auto"/>
        <w:ind w:firstLine="480" w:firstLineChars="200"/>
        <w:rPr>
          <w:rFonts w:ascii="宋体" w:hAnsi="宋体" w:cs="宋体"/>
          <w:color w:val="auto"/>
          <w:sz w:val="24"/>
        </w:rPr>
      </w:pPr>
      <w:r>
        <w:rPr>
          <w:rFonts w:hint="eastAsia" w:ascii="宋体" w:hAnsi="宋体" w:cs="宋体"/>
          <w:color w:val="auto"/>
          <w:sz w:val="24"/>
        </w:rPr>
        <w:t>各阶段的设计工作除遵照勘察设计合同、可行性研究报告、勘察设计任务书、现行法律法规和规范标准、政府有关部门的规定和审批意见的有关规定等外，还需要做到招标人提出的下列设计要求（包括并不限于）。</w:t>
      </w:r>
    </w:p>
    <w:p>
      <w:pPr>
        <w:pStyle w:val="4"/>
        <w:spacing w:line="360" w:lineRule="auto"/>
        <w:rPr>
          <w:rFonts w:ascii="宋体" w:hAnsi="宋体" w:eastAsia="宋体" w:cs="宋体"/>
          <w:b/>
          <w:bCs w:val="0"/>
          <w:color w:val="auto"/>
        </w:rPr>
      </w:pPr>
      <w:bookmarkStart w:id="176" w:name="_Toc22500"/>
      <w:r>
        <w:rPr>
          <w:rFonts w:hint="eastAsia" w:ascii="宋体" w:hAnsi="宋体" w:eastAsia="宋体" w:cs="宋体"/>
          <w:b/>
          <w:bCs w:val="0"/>
          <w:color w:val="auto"/>
        </w:rPr>
        <w:t>3.3.1道路部分设计要求</w:t>
      </w:r>
      <w:bookmarkEnd w:id="176"/>
    </w:p>
    <w:p>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仿宋"/>
          <w:color w:val="auto"/>
          <w:sz w:val="24"/>
        </w:rPr>
        <w:t>充分调研，分析项目背景，论证项目实施的建设必要性、建设规模标准；与周边既有道路、规划道路等交叉衔接得当；对区域内路网的交通组织完善合理，总体思路清晰；路线平、纵、横等设计科学合理</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仿宋"/>
          <w:color w:val="auto"/>
          <w:sz w:val="24"/>
        </w:rPr>
        <w:t>总体设计方案思路清晰，论证总体路线对规划、古树名木、基本农田、高压线、华南快速、周边现状道路等，对本项目方案技术合理性、经济性、使用安全性等因素的影响，路线方案比选应充分论证各种因素的影响。路线平、纵、横等设计科学合理，交叉节点功能定位合理；设计指标符合规范且标准较高，技术措施优良</w:t>
      </w:r>
      <w:r>
        <w:rPr>
          <w:rFonts w:hint="eastAsia" w:ascii="宋体" w:hAnsi="宋体" w:cs="宋体"/>
          <w:color w:val="auto"/>
          <w:sz w:val="24"/>
        </w:rPr>
        <w:t>。</w:t>
      </w:r>
    </w:p>
    <w:p>
      <w:pPr>
        <w:pStyle w:val="10"/>
        <w:spacing w:line="360" w:lineRule="auto"/>
        <w:ind w:firstLine="480" w:firstLineChars="200"/>
        <w:rPr>
          <w:rFonts w:hAnsi="宋体" w:cs="宋体"/>
          <w:color w:val="auto"/>
          <w:sz w:val="24"/>
        </w:rPr>
      </w:pPr>
      <w:r>
        <w:rPr>
          <w:rFonts w:hint="eastAsia" w:hAnsi="宋体" w:cs="宋体"/>
          <w:color w:val="auto"/>
          <w:sz w:val="24"/>
        </w:rPr>
        <w:t>3.设计应落实全要素设计概念，</w:t>
      </w:r>
      <w:r>
        <w:rPr>
          <w:rFonts w:hint="eastAsia" w:hAnsi="宋体" w:cs="宋体"/>
          <w:color w:val="auto"/>
          <w:sz w:val="24"/>
          <w:lang w:val="zh-CN"/>
        </w:rPr>
        <w:t>道路公用设施（公共交通站点布置、绿化照明、行人设施、道路元素等）设计科学合理、处理得当、特点鲜明</w:t>
      </w:r>
      <w:r>
        <w:rPr>
          <w:rFonts w:hint="eastAsia" w:hAnsi="宋体" w:cs="宋体"/>
          <w:color w:val="auto"/>
          <w:sz w:val="24"/>
        </w:rPr>
        <w:t>，让道路与周边环境形成完整空间。</w:t>
      </w:r>
    </w:p>
    <w:p>
      <w:pPr>
        <w:pStyle w:val="10"/>
        <w:spacing w:line="360" w:lineRule="auto"/>
        <w:ind w:firstLine="480" w:firstLineChars="200"/>
        <w:rPr>
          <w:rFonts w:hAnsi="宋体" w:cs="宋体"/>
          <w:color w:val="auto"/>
          <w:sz w:val="24"/>
        </w:rPr>
      </w:pPr>
      <w:r>
        <w:rPr>
          <w:rFonts w:hint="eastAsia" w:hAnsi="宋体" w:cs="宋体"/>
          <w:color w:val="auto"/>
          <w:sz w:val="24"/>
        </w:rPr>
        <w:t>4、路基路面、不良地基处理、护坡及挡土墙等基础工程的设计安全、合理、经济且能满足工期的要求；土方平衡合理。</w:t>
      </w:r>
    </w:p>
    <w:p>
      <w:pPr>
        <w:pStyle w:val="4"/>
        <w:spacing w:line="360" w:lineRule="auto"/>
        <w:rPr>
          <w:rFonts w:ascii="宋体" w:hAnsi="宋体" w:eastAsia="宋体" w:cs="宋体"/>
          <w:b/>
          <w:bCs w:val="0"/>
          <w:color w:val="auto"/>
        </w:rPr>
      </w:pPr>
      <w:r>
        <w:rPr>
          <w:rFonts w:hint="eastAsia" w:ascii="宋体" w:hAnsi="宋体" w:eastAsia="宋体" w:cs="宋体"/>
          <w:b/>
          <w:bCs w:val="0"/>
          <w:color w:val="auto"/>
        </w:rPr>
        <w:t>3.3.2交通设计要求</w:t>
      </w:r>
    </w:p>
    <w:p>
      <w:pPr>
        <w:pStyle w:val="10"/>
        <w:numPr>
          <w:ilvl w:val="0"/>
          <w:numId w:val="2"/>
        </w:numPr>
        <w:spacing w:line="360" w:lineRule="auto"/>
        <w:ind w:firstLine="460"/>
        <w:rPr>
          <w:rFonts w:hAnsi="宋体" w:cs="宋体"/>
          <w:color w:val="auto"/>
          <w:kern w:val="2"/>
          <w:sz w:val="24"/>
          <w:szCs w:val="24"/>
        </w:rPr>
      </w:pPr>
      <w:r>
        <w:rPr>
          <w:rFonts w:hint="eastAsia" w:hAnsi="宋体" w:cs="宋体"/>
          <w:color w:val="auto"/>
          <w:kern w:val="2"/>
          <w:sz w:val="24"/>
          <w:szCs w:val="24"/>
        </w:rPr>
        <w:t>交通标线：升级改造对部分道路路面进行重新加铺沥青，加铺沥青后重新设置标线、箭头及人行横道、路面文字等，划线应结合现状路口及路段交通组织，对整体进行梳理，需要重新施划交通标线的区域进行更新。路面标线应符合现行规范以及其它各项规定。</w:t>
      </w:r>
    </w:p>
    <w:p>
      <w:pPr>
        <w:pStyle w:val="10"/>
        <w:numPr>
          <w:ilvl w:val="0"/>
          <w:numId w:val="2"/>
        </w:numPr>
        <w:spacing w:line="360" w:lineRule="auto"/>
        <w:ind w:firstLine="460"/>
        <w:rPr>
          <w:rFonts w:hAnsi="宋体" w:cs="宋体"/>
          <w:color w:val="auto"/>
          <w:kern w:val="2"/>
          <w:sz w:val="24"/>
          <w:szCs w:val="24"/>
        </w:rPr>
      </w:pPr>
      <w:r>
        <w:rPr>
          <w:rFonts w:hint="eastAsia" w:hAnsi="宋体" w:cs="宋体"/>
          <w:color w:val="auto"/>
          <w:kern w:val="2"/>
          <w:sz w:val="24"/>
          <w:szCs w:val="24"/>
        </w:rPr>
        <w:t>交通标志：部分标志牌不符合全要素要求，包含版面规格及版面信息等。道路沿线部分标识牌导视牌破损较严重，部分路段缺乏必要的标识系统，且标识系统缺乏系统性与科学性。沿线小标志牌较多，冗杂混乱，按照品质化提升标准与路灯杆合杆，做到集约节俭，更加现代化。全线小型标志牌与路灯杆合杆。梳理全线大型标志牌，对于全要素要求不符合的标志牌进行更换。</w:t>
      </w:r>
    </w:p>
    <w:p>
      <w:pPr>
        <w:pStyle w:val="10"/>
        <w:numPr>
          <w:ilvl w:val="0"/>
          <w:numId w:val="2"/>
        </w:numPr>
        <w:spacing w:line="360" w:lineRule="auto"/>
        <w:ind w:firstLine="460"/>
        <w:rPr>
          <w:rFonts w:hAnsi="宋体" w:cs="宋体"/>
          <w:color w:val="auto"/>
          <w:kern w:val="2"/>
          <w:sz w:val="24"/>
          <w:szCs w:val="24"/>
        </w:rPr>
      </w:pPr>
      <w:r>
        <w:rPr>
          <w:rFonts w:hint="eastAsia" w:hAnsi="宋体" w:cs="宋体"/>
          <w:color w:val="auto"/>
          <w:kern w:val="2"/>
          <w:sz w:val="24"/>
          <w:szCs w:val="24"/>
        </w:rPr>
        <w:t>交通信号灯：结合交警部门意见及实际情况对长兴路沿线交通灯提出优化建议。</w:t>
      </w:r>
    </w:p>
    <w:p>
      <w:pPr>
        <w:pStyle w:val="10"/>
        <w:numPr>
          <w:ilvl w:val="0"/>
          <w:numId w:val="2"/>
        </w:numPr>
        <w:spacing w:line="360" w:lineRule="auto"/>
        <w:ind w:firstLine="460"/>
        <w:rPr>
          <w:rFonts w:hAnsi="宋体" w:cs="宋体"/>
          <w:color w:val="auto"/>
          <w:kern w:val="2"/>
          <w:sz w:val="24"/>
          <w:szCs w:val="24"/>
        </w:rPr>
      </w:pPr>
      <w:r>
        <w:rPr>
          <w:rFonts w:hint="eastAsia" w:hAnsi="宋体" w:cs="宋体"/>
          <w:color w:val="auto"/>
          <w:kern w:val="2"/>
          <w:sz w:val="24"/>
          <w:szCs w:val="24"/>
          <w:lang w:val="zh-CN"/>
        </w:rPr>
        <w:t>施工期间交通组织、施工实施方案切合实际。</w:t>
      </w:r>
    </w:p>
    <w:p>
      <w:pPr>
        <w:pStyle w:val="4"/>
        <w:spacing w:line="360" w:lineRule="auto"/>
        <w:rPr>
          <w:rFonts w:ascii="宋体" w:hAnsi="宋体" w:eastAsia="宋体" w:cs="宋体"/>
          <w:b/>
          <w:bCs w:val="0"/>
          <w:color w:val="auto"/>
        </w:rPr>
      </w:pPr>
      <w:r>
        <w:rPr>
          <w:rFonts w:hint="eastAsia" w:ascii="宋体" w:hAnsi="宋体" w:eastAsia="宋体" w:cs="宋体"/>
          <w:b/>
          <w:bCs w:val="0"/>
          <w:color w:val="auto"/>
        </w:rPr>
        <w:t>3.3.3绿化设计要求</w:t>
      </w:r>
    </w:p>
    <w:p>
      <w:pPr>
        <w:spacing w:line="360" w:lineRule="auto"/>
        <w:ind w:firstLine="480" w:firstLineChars="200"/>
        <w:rPr>
          <w:color w:val="auto"/>
        </w:rPr>
      </w:pPr>
      <w:r>
        <w:rPr>
          <w:rFonts w:hint="eastAsia" w:ascii="宋体" w:hAnsi="宋体" w:cs="宋体"/>
          <w:snapToGrid w:val="0"/>
          <w:color w:val="auto"/>
          <w:sz w:val="24"/>
          <w:szCs w:val="21"/>
        </w:rPr>
        <w:t>设计单位需在方案、初步设计、施工图各阶段按要求编制树木保护专章，统筹考虑项目方案实施的科学、合理性。在绿化设计过程中，应严格落实有关绿化保护文件，以生态优先为原则，以保护自然生态系统为目标，合理搭配植被，因地制宜，根据当地现有的条件和气候条件合理的选择树种。</w:t>
      </w:r>
    </w:p>
    <w:p>
      <w:pPr>
        <w:spacing w:line="360" w:lineRule="auto"/>
        <w:ind w:firstLine="420" w:firstLineChars="200"/>
        <w:rPr>
          <w:color w:val="auto"/>
        </w:rPr>
      </w:pPr>
    </w:p>
    <w:p>
      <w:pPr>
        <w:pStyle w:val="4"/>
        <w:spacing w:line="360" w:lineRule="auto"/>
        <w:rPr>
          <w:rFonts w:ascii="宋体" w:hAnsi="宋体" w:eastAsia="宋体" w:cs="宋体"/>
          <w:b/>
          <w:bCs w:val="0"/>
          <w:color w:val="auto"/>
        </w:rPr>
      </w:pPr>
      <w:r>
        <w:rPr>
          <w:rFonts w:hint="eastAsia" w:ascii="宋体" w:hAnsi="宋体" w:eastAsia="宋体" w:cs="宋体"/>
          <w:b/>
          <w:bCs w:val="0"/>
          <w:color w:val="auto"/>
        </w:rPr>
        <w:t>3.3.4给排水设计要求</w:t>
      </w:r>
    </w:p>
    <w:p>
      <w:pPr>
        <w:spacing w:line="360" w:lineRule="auto"/>
        <w:ind w:firstLine="480" w:firstLineChars="200"/>
        <w:rPr>
          <w:rFonts w:ascii="宋体" w:hAnsi="宋体" w:cs="宋体"/>
          <w:snapToGrid w:val="0"/>
          <w:color w:val="auto"/>
          <w:sz w:val="24"/>
          <w:szCs w:val="21"/>
        </w:rPr>
      </w:pPr>
      <w:r>
        <w:rPr>
          <w:rFonts w:ascii="宋体" w:hAnsi="宋体" w:cs="宋体"/>
          <w:snapToGrid w:val="0"/>
          <w:color w:val="auto"/>
          <w:sz w:val="24"/>
          <w:szCs w:val="21"/>
        </w:rPr>
        <w:t>充分考虑已建排水设施，结合现状及规划污水处理需求，综合考虑近远期结合的要求；排水管道系统总体布局充分利用地形，尽量采用自流，尽量避免穿越河道，缩短管线长度，减小主干管管径，充分考虑其可实施性和可操作性</w:t>
      </w:r>
      <w:r>
        <w:rPr>
          <w:rFonts w:hint="eastAsia" w:ascii="宋体" w:hAnsi="宋体" w:cs="宋体"/>
          <w:snapToGrid w:val="0"/>
          <w:color w:val="auto"/>
          <w:sz w:val="24"/>
          <w:szCs w:val="21"/>
        </w:rPr>
        <w:t>。</w:t>
      </w:r>
    </w:p>
    <w:p>
      <w:pPr>
        <w:spacing w:line="360" w:lineRule="auto"/>
        <w:ind w:firstLine="480" w:firstLineChars="200"/>
        <w:rPr>
          <w:rFonts w:ascii="宋体" w:hAnsi="宋体" w:cs="宋体"/>
          <w:snapToGrid w:val="0"/>
          <w:color w:val="auto"/>
          <w:sz w:val="24"/>
          <w:szCs w:val="21"/>
        </w:rPr>
      </w:pPr>
      <w:r>
        <w:rPr>
          <w:rFonts w:ascii="宋体" w:hAnsi="宋体" w:cs="宋体"/>
          <w:snapToGrid w:val="0"/>
          <w:color w:val="auto"/>
          <w:sz w:val="24"/>
          <w:szCs w:val="21"/>
        </w:rPr>
        <w:t>综合管线的布置形式系统、合理、经济、实用；管理模式先进合理；能充分考虑与市政道路的衔接与协调。</w:t>
      </w:r>
    </w:p>
    <w:p>
      <w:pPr>
        <w:pStyle w:val="4"/>
        <w:spacing w:line="360" w:lineRule="auto"/>
        <w:rPr>
          <w:rFonts w:ascii="宋体" w:hAnsi="宋体" w:eastAsia="宋体" w:cs="宋体"/>
          <w:b/>
          <w:bCs w:val="0"/>
          <w:color w:val="auto"/>
        </w:rPr>
      </w:pPr>
      <w:r>
        <w:rPr>
          <w:rFonts w:hint="eastAsia" w:ascii="宋体" w:hAnsi="宋体" w:eastAsia="宋体" w:cs="宋体"/>
          <w:b/>
          <w:bCs w:val="0"/>
          <w:color w:val="auto"/>
        </w:rPr>
        <w:t>3.3.5桥梁设计要求</w:t>
      </w:r>
    </w:p>
    <w:p>
      <w:pPr>
        <w:spacing w:line="360" w:lineRule="auto"/>
        <w:ind w:firstLine="480" w:firstLineChars="200"/>
        <w:rPr>
          <w:rFonts w:ascii="宋体" w:hAnsi="宋体" w:cs="宋体"/>
          <w:snapToGrid w:val="0"/>
          <w:color w:val="auto"/>
          <w:sz w:val="24"/>
          <w:szCs w:val="21"/>
        </w:rPr>
      </w:pPr>
      <w:r>
        <w:rPr>
          <w:rFonts w:ascii="宋体" w:hAnsi="宋体" w:cs="宋体"/>
          <w:snapToGrid w:val="0"/>
          <w:color w:val="auto"/>
          <w:sz w:val="24"/>
          <w:szCs w:val="21"/>
        </w:rPr>
        <w:t>桥梁结构方案合理，满足安全性、经济性、工艺可行、有所创新、造型优美；各构件体量比例恰当、景观与功能协调统一。</w:t>
      </w:r>
    </w:p>
    <w:p>
      <w:pPr>
        <w:pStyle w:val="3"/>
        <w:spacing w:before="120" w:after="120"/>
        <w:rPr>
          <w:rFonts w:ascii="宋体" w:hAnsi="宋体" w:eastAsia="宋体" w:cs="宋体"/>
          <w:color w:val="auto"/>
        </w:rPr>
      </w:pPr>
      <w:bookmarkStart w:id="177" w:name="_Toc17622"/>
      <w:bookmarkStart w:id="178" w:name="_Toc2984"/>
      <w:bookmarkStart w:id="179" w:name="_Toc30599"/>
      <w:bookmarkStart w:id="180" w:name="_Toc12627"/>
      <w:bookmarkStart w:id="181" w:name="_Toc32064"/>
      <w:r>
        <w:rPr>
          <w:rFonts w:hint="eastAsia" w:ascii="宋体" w:hAnsi="宋体" w:eastAsia="宋体" w:cs="宋体"/>
          <w:color w:val="auto"/>
        </w:rPr>
        <w:t>3.4造价工作要求</w:t>
      </w:r>
      <w:bookmarkEnd w:id="177"/>
      <w:bookmarkEnd w:id="178"/>
      <w:bookmarkEnd w:id="179"/>
      <w:bookmarkEnd w:id="180"/>
      <w:bookmarkEnd w:id="181"/>
    </w:p>
    <w:p>
      <w:pPr>
        <w:pStyle w:val="4"/>
        <w:rPr>
          <w:rFonts w:ascii="宋体" w:hAnsi="宋体" w:eastAsia="宋体" w:cs="宋体"/>
          <w:snapToGrid w:val="0"/>
          <w:color w:val="auto"/>
        </w:rPr>
      </w:pPr>
      <w:bookmarkStart w:id="182" w:name="_Toc1890"/>
      <w:r>
        <w:rPr>
          <w:rFonts w:hint="eastAsia" w:ascii="宋体" w:hAnsi="宋体" w:eastAsia="宋体" w:cs="宋体"/>
          <w:snapToGrid w:val="0"/>
          <w:color w:val="auto"/>
        </w:rPr>
        <w:t>3.4.1造价文件编制及报审工作</w:t>
      </w:r>
      <w:bookmarkEnd w:id="182"/>
    </w:p>
    <w:p>
      <w:pPr>
        <w:spacing w:line="360" w:lineRule="auto"/>
        <w:ind w:firstLine="360" w:firstLineChars="150"/>
        <w:rPr>
          <w:rFonts w:ascii="宋体" w:hAnsi="宋体" w:cs="宋体"/>
          <w:snapToGrid w:val="0"/>
          <w:color w:val="auto"/>
          <w:sz w:val="24"/>
          <w:szCs w:val="21"/>
        </w:rPr>
      </w:pPr>
      <w:r>
        <w:rPr>
          <w:rFonts w:hint="eastAsia" w:ascii="宋体" w:hAnsi="宋体" w:cs="宋体"/>
          <w:snapToGrid w:val="0"/>
          <w:color w:val="auto"/>
          <w:sz w:val="24"/>
          <w:szCs w:val="21"/>
        </w:rPr>
        <w:t>（1）编制合同设计范围内方案估算（按分</w:t>
      </w:r>
      <w:r>
        <w:rPr>
          <w:rFonts w:ascii="宋体" w:hAnsi="宋体" w:cs="宋体"/>
          <w:snapToGrid w:val="0"/>
          <w:color w:val="auto"/>
          <w:sz w:val="24"/>
          <w:szCs w:val="21"/>
        </w:rPr>
        <w:t>部</w:t>
      </w:r>
      <w:r>
        <w:rPr>
          <w:rFonts w:hint="eastAsia" w:ascii="宋体" w:hAnsi="宋体" w:cs="宋体"/>
          <w:snapToGrid w:val="0"/>
          <w:color w:val="auto"/>
          <w:sz w:val="24"/>
          <w:szCs w:val="21"/>
        </w:rPr>
        <w:t>分项进行限额控制）、初步设计概算。</w:t>
      </w:r>
    </w:p>
    <w:p>
      <w:pPr>
        <w:spacing w:line="360" w:lineRule="auto"/>
        <w:ind w:firstLine="360" w:firstLineChars="150"/>
        <w:rPr>
          <w:rFonts w:ascii="宋体" w:hAnsi="宋体" w:cs="宋体"/>
          <w:snapToGrid w:val="0"/>
          <w:color w:val="auto"/>
          <w:sz w:val="24"/>
          <w:szCs w:val="21"/>
        </w:rPr>
      </w:pPr>
      <w:r>
        <w:rPr>
          <w:rFonts w:hint="eastAsia" w:ascii="宋体" w:hAnsi="宋体" w:cs="宋体"/>
          <w:snapToGrid w:val="0"/>
          <w:color w:val="auto"/>
          <w:sz w:val="24"/>
          <w:szCs w:val="21"/>
        </w:rPr>
        <w:t>（2）负责配合初步设计概算送报审工作，概算送审总价不超过可研估算总价，并保证与行政主管部门概算批复的最终总价相比核减率不超过3%；如超过3%将承担相关违约责任。</w:t>
      </w:r>
    </w:p>
    <w:p>
      <w:pPr>
        <w:spacing w:line="360" w:lineRule="auto"/>
        <w:ind w:firstLine="360" w:firstLineChars="150"/>
        <w:rPr>
          <w:rFonts w:ascii="宋体" w:hAnsi="宋体" w:cs="宋体"/>
          <w:snapToGrid w:val="0"/>
          <w:color w:val="auto"/>
          <w:sz w:val="24"/>
          <w:szCs w:val="21"/>
        </w:rPr>
      </w:pPr>
      <w:r>
        <w:rPr>
          <w:rFonts w:hint="eastAsia" w:ascii="宋体" w:hAnsi="宋体" w:cs="宋体"/>
          <w:snapToGrid w:val="0"/>
          <w:color w:val="auto"/>
          <w:sz w:val="24"/>
          <w:szCs w:val="21"/>
        </w:rPr>
        <w:t>（3）负责配合预算编制工作。</w:t>
      </w:r>
    </w:p>
    <w:p>
      <w:pPr>
        <w:spacing w:line="360" w:lineRule="auto"/>
        <w:ind w:firstLine="360" w:firstLineChars="150"/>
        <w:rPr>
          <w:rFonts w:ascii="宋体" w:hAnsi="宋体" w:cs="宋体"/>
          <w:snapToGrid w:val="0"/>
          <w:color w:val="auto"/>
          <w:sz w:val="24"/>
          <w:szCs w:val="21"/>
        </w:rPr>
      </w:pPr>
      <w:r>
        <w:rPr>
          <w:rFonts w:hint="eastAsia" w:ascii="宋体" w:hAnsi="宋体" w:cs="宋体"/>
          <w:snapToGrid w:val="0"/>
          <w:color w:val="auto"/>
          <w:sz w:val="24"/>
          <w:szCs w:val="21"/>
        </w:rPr>
        <w:t>（4）各设计阶段进行各类方案比选时编制造价分析材料，给出造价分析结论；施工阶段，编制设计变更预算及相应造价增减说明。</w:t>
      </w:r>
    </w:p>
    <w:p>
      <w:pPr>
        <w:adjustRightInd w:val="0"/>
        <w:snapToGrid w:val="0"/>
        <w:spacing w:line="360" w:lineRule="auto"/>
        <w:ind w:firstLine="480" w:firstLineChars="200"/>
        <w:rPr>
          <w:color w:val="auto"/>
        </w:rPr>
      </w:pPr>
      <w:r>
        <w:rPr>
          <w:rFonts w:hAnsi="宋体" w:cs="宋体"/>
          <w:snapToGrid w:val="0"/>
          <w:color w:val="auto"/>
          <w:sz w:val="24"/>
          <w:szCs w:val="21"/>
        </w:rPr>
        <w:t>(5)</w:t>
      </w:r>
      <w:r>
        <w:rPr>
          <w:rFonts w:hint="eastAsia" w:ascii="宋体" w:hAnsi="宋体" w:cs="宋体"/>
          <w:snapToGrid w:val="0"/>
          <w:color w:val="auto"/>
          <w:kern w:val="0"/>
          <w:sz w:val="24"/>
        </w:rPr>
        <w:t>编制由设计单位发起设计变更的造价文件。</w:t>
      </w:r>
    </w:p>
    <w:p>
      <w:pPr>
        <w:pStyle w:val="4"/>
        <w:rPr>
          <w:rFonts w:ascii="宋体" w:hAnsi="宋体" w:eastAsia="宋体" w:cs="宋体"/>
          <w:snapToGrid w:val="0"/>
          <w:color w:val="auto"/>
        </w:rPr>
      </w:pPr>
      <w:bookmarkStart w:id="183" w:name="_Toc15023"/>
      <w:r>
        <w:rPr>
          <w:rFonts w:hint="eastAsia" w:ascii="宋体" w:hAnsi="宋体" w:eastAsia="宋体" w:cs="宋体"/>
          <w:snapToGrid w:val="0"/>
          <w:color w:val="auto"/>
        </w:rPr>
        <w:t>3.4.2 造价控制要求及工作要求</w:t>
      </w:r>
      <w:bookmarkEnd w:id="183"/>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投标人除按合同要求做好工程投资控制外，还要做到以下要求：</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1．各阶段的造价文件编制需满足对应阶段造价文件深度要求。各阶段造价成果文件误差控制不超过±10%。</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2.投标人须根据</w:t>
      </w:r>
      <w:r>
        <w:rPr>
          <w:rFonts w:hint="eastAsia" w:ascii="宋体" w:hAnsi="宋体" w:cs="宋体"/>
          <w:snapToGrid w:val="0"/>
          <w:color w:val="auto"/>
          <w:kern w:val="0"/>
          <w:sz w:val="24"/>
        </w:rPr>
        <w:t>招标人</w:t>
      </w:r>
      <w:r>
        <w:rPr>
          <w:rFonts w:hint="eastAsia" w:ascii="宋体" w:hAnsi="宋体" w:cs="宋体"/>
          <w:snapToGrid w:val="0"/>
          <w:color w:val="auto"/>
          <w:sz w:val="24"/>
          <w:szCs w:val="21"/>
        </w:rPr>
        <w:t>的相关规定和要求进行工程设计概算的编制，概算文件中的开项必须与图纸完全对应和齐全完整，造价指标必须准确，须满足工程投资控制的要求。投标人编制的工程概算须同时满足</w:t>
      </w:r>
      <w:r>
        <w:rPr>
          <w:rFonts w:hint="eastAsia" w:ascii="宋体" w:hAnsi="宋体" w:cs="宋体"/>
          <w:snapToGrid w:val="0"/>
          <w:color w:val="auto"/>
          <w:kern w:val="0"/>
          <w:sz w:val="24"/>
        </w:rPr>
        <w:t>招标人</w:t>
      </w:r>
      <w:r>
        <w:rPr>
          <w:rFonts w:hint="eastAsia" w:ascii="宋体" w:hAnsi="宋体" w:cs="宋体"/>
          <w:snapToGrid w:val="0"/>
          <w:color w:val="auto"/>
          <w:sz w:val="24"/>
          <w:szCs w:val="21"/>
        </w:rPr>
        <w:t>信息化管理的相关要求。</w:t>
      </w:r>
    </w:p>
    <w:p>
      <w:pPr>
        <w:pStyle w:val="2"/>
        <w:rPr>
          <w:rFonts w:ascii="宋体" w:hAnsi="宋体" w:eastAsia="宋体" w:cs="宋体"/>
          <w:color w:val="auto"/>
          <w:sz w:val="24"/>
          <w:szCs w:val="24"/>
        </w:rPr>
      </w:pPr>
      <w:r>
        <w:rPr>
          <w:rFonts w:hint="eastAsia" w:ascii="宋体" w:hAnsi="宋体" w:eastAsia="宋体" w:cs="宋体"/>
          <w:color w:val="auto"/>
        </w:rPr>
        <w:br w:type="page"/>
      </w:r>
      <w:bookmarkStart w:id="184" w:name="_Toc24057"/>
      <w:bookmarkStart w:id="185" w:name="_Toc32341"/>
      <w:bookmarkStart w:id="186" w:name="_Toc11569"/>
      <w:bookmarkStart w:id="187" w:name="_Toc24832"/>
      <w:bookmarkStart w:id="188" w:name="_Toc26557"/>
      <w:bookmarkStart w:id="189" w:name="_Toc21514"/>
      <w:bookmarkStart w:id="190" w:name="_Toc16577"/>
      <w:r>
        <w:rPr>
          <w:rFonts w:hint="eastAsia" w:ascii="宋体" w:hAnsi="宋体" w:eastAsia="宋体" w:cs="宋体"/>
          <w:color w:val="auto"/>
        </w:rPr>
        <w:t>第四章  勘察设计人员组织要求</w:t>
      </w:r>
      <w:bookmarkEnd w:id="184"/>
      <w:bookmarkEnd w:id="185"/>
      <w:bookmarkEnd w:id="186"/>
      <w:bookmarkEnd w:id="187"/>
      <w:bookmarkEnd w:id="188"/>
      <w:bookmarkEnd w:id="189"/>
      <w:bookmarkEnd w:id="190"/>
    </w:p>
    <w:p>
      <w:pPr>
        <w:pStyle w:val="3"/>
        <w:spacing w:before="120" w:after="120"/>
        <w:rPr>
          <w:rFonts w:ascii="宋体" w:hAnsi="宋体" w:eastAsia="宋体" w:cs="宋体"/>
          <w:b/>
          <w:bCs w:val="0"/>
          <w:color w:val="auto"/>
        </w:rPr>
      </w:pPr>
      <w:bookmarkStart w:id="191" w:name="_Toc20329"/>
      <w:bookmarkStart w:id="192" w:name="_Toc3866"/>
      <w:bookmarkStart w:id="193" w:name="_Toc14882"/>
      <w:bookmarkStart w:id="194" w:name="_Toc23101"/>
      <w:r>
        <w:rPr>
          <w:rFonts w:hint="eastAsia" w:ascii="宋体" w:hAnsi="宋体" w:eastAsia="宋体" w:cs="宋体"/>
          <w:b/>
          <w:bCs w:val="0"/>
          <w:color w:val="auto"/>
        </w:rPr>
        <w:t>4.1设计人员组织管理</w:t>
      </w:r>
      <w:bookmarkEnd w:id="191"/>
      <w:bookmarkEnd w:id="192"/>
      <w:bookmarkEnd w:id="193"/>
      <w:bookmarkEnd w:id="194"/>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1、为便于</w:t>
      </w:r>
      <w:r>
        <w:rPr>
          <w:rFonts w:hint="eastAsia" w:ascii="宋体" w:hAnsi="宋体" w:cs="宋体"/>
          <w:snapToGrid w:val="0"/>
          <w:color w:val="auto"/>
          <w:kern w:val="0"/>
          <w:sz w:val="24"/>
        </w:rPr>
        <w:t>招标人</w:t>
      </w:r>
      <w:r>
        <w:rPr>
          <w:rFonts w:hint="eastAsia" w:ascii="宋体" w:hAnsi="宋体" w:cs="宋体"/>
          <w:snapToGrid w:val="0"/>
          <w:color w:val="auto"/>
          <w:sz w:val="24"/>
          <w:szCs w:val="21"/>
        </w:rPr>
        <w:t>与投标人及时沟通及协调，以保证投标人的设计成果文件能更好地体现</w:t>
      </w:r>
      <w:r>
        <w:rPr>
          <w:rFonts w:hint="eastAsia" w:ascii="宋体" w:hAnsi="宋体" w:cs="宋体"/>
          <w:snapToGrid w:val="0"/>
          <w:color w:val="auto"/>
          <w:kern w:val="0"/>
          <w:sz w:val="24"/>
        </w:rPr>
        <w:t>招标人</w:t>
      </w:r>
      <w:r>
        <w:rPr>
          <w:rFonts w:hint="eastAsia" w:ascii="宋体" w:hAnsi="宋体" w:cs="宋体"/>
          <w:snapToGrid w:val="0"/>
          <w:color w:val="auto"/>
          <w:sz w:val="24"/>
          <w:szCs w:val="21"/>
        </w:rPr>
        <w:t>的建设意图，投标人应根据</w:t>
      </w:r>
      <w:r>
        <w:rPr>
          <w:rFonts w:hint="eastAsia" w:ascii="宋体" w:hAnsi="宋体" w:cs="宋体"/>
          <w:snapToGrid w:val="0"/>
          <w:color w:val="auto"/>
          <w:kern w:val="0"/>
          <w:sz w:val="24"/>
        </w:rPr>
        <w:t>招标人</w:t>
      </w:r>
      <w:r>
        <w:rPr>
          <w:rFonts w:hint="eastAsia" w:ascii="宋体" w:hAnsi="宋体" w:cs="宋体"/>
          <w:snapToGrid w:val="0"/>
          <w:color w:val="auto"/>
          <w:sz w:val="24"/>
          <w:szCs w:val="21"/>
        </w:rPr>
        <w:t>的要求，分阶段在指定的地点投入本合同约定的专业人员、设备及设施，实施本合同工程的设计工作。</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投标人应根据项目设计任务及工期要求建立项目组。有关设计人员要求详见表4-1。</w:t>
      </w:r>
    </w:p>
    <w:p>
      <w:pPr>
        <w:spacing w:line="360" w:lineRule="auto"/>
        <w:ind w:firstLine="480" w:firstLineChars="200"/>
        <w:jc w:val="center"/>
        <w:rPr>
          <w:rFonts w:ascii="宋体" w:hAnsi="宋体" w:cs="宋体"/>
          <w:snapToGrid w:val="0"/>
          <w:color w:val="auto"/>
          <w:sz w:val="24"/>
          <w:szCs w:val="21"/>
        </w:rPr>
      </w:pPr>
      <w:r>
        <w:rPr>
          <w:rFonts w:hint="eastAsia" w:ascii="宋体" w:hAnsi="宋体" w:cs="宋体"/>
          <w:snapToGrid w:val="0"/>
          <w:color w:val="auto"/>
          <w:sz w:val="24"/>
          <w:szCs w:val="21"/>
        </w:rPr>
        <w:t>表4-1  主要人员投入要求</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5575"/>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专业分工</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专业、职称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最低投入</w:t>
            </w:r>
          </w:p>
          <w:p>
            <w:pPr>
              <w:spacing w:line="360" w:lineRule="auto"/>
              <w:jc w:val="center"/>
              <w:rPr>
                <w:rFonts w:ascii="宋体" w:hAnsi="宋体" w:cs="宋体"/>
                <w:color w:val="auto"/>
                <w:szCs w:val="21"/>
              </w:rPr>
            </w:pPr>
            <w:r>
              <w:rPr>
                <w:rFonts w:hint="eastAsia" w:ascii="宋体" w:hAnsi="宋体" w:cs="宋体"/>
                <w:color w:val="auto"/>
                <w:szCs w:val="21"/>
              </w:rPr>
              <w:t>人数要求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总负责人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设计单位副职领导或以上职务</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项目负责人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按招标公告要求</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228"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szCs w:val="21"/>
              </w:rPr>
            </w:pPr>
            <w:r>
              <w:rPr>
                <w:rFonts w:hint="eastAsia" w:ascii="宋体" w:hAnsi="宋体" w:cs="宋体"/>
                <w:b/>
                <w:bCs/>
                <w:color w:val="auto"/>
                <w:szCs w:val="21"/>
              </w:rPr>
              <w:t>一、</w:t>
            </w:r>
            <w:r>
              <w:rPr>
                <w:rFonts w:hint="eastAsia"/>
                <w:b/>
                <w:bCs/>
                <w:color w:val="auto"/>
                <w:szCs w:val="21"/>
              </w:rPr>
              <w:t>设计专业人员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道路专业负责人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hAnsi="宋体" w:cs="宋体"/>
                <w:color w:val="auto"/>
                <w:szCs w:val="21"/>
              </w:rPr>
              <w:t>注册土木工程师（道路工程）或</w:t>
            </w:r>
            <w:r>
              <w:rPr>
                <w:rFonts w:hint="eastAsia" w:ascii="宋体" w:hAnsi="宋体" w:cs="宋体"/>
                <w:color w:val="auto"/>
                <w:szCs w:val="21"/>
              </w:rPr>
              <w:t>本专业高级（或以上）职称</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交通专业负责人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注册土木工程师（道路工程）或本专业高级（或以上）职称</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风景园林专业负责人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本专业高级或以上职称</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给排水专业负责人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hAnsi="宋体" w:cs="宋体"/>
                <w:color w:val="auto"/>
                <w:szCs w:val="21"/>
              </w:rPr>
              <w:t>注册公用设备工程师（给水排水）或</w:t>
            </w:r>
            <w:r>
              <w:rPr>
                <w:rFonts w:hint="eastAsia" w:ascii="宋体" w:hAnsi="宋体" w:cs="宋体"/>
                <w:color w:val="auto"/>
                <w:szCs w:val="21"/>
              </w:rPr>
              <w:t>本专业高级（或以上）职称</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桥梁专业负责人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hAnsi="宋体" w:cs="宋体"/>
                <w:color w:val="auto"/>
                <w:szCs w:val="21"/>
              </w:rPr>
              <w:t>注册结构工程师或</w:t>
            </w:r>
            <w:r>
              <w:rPr>
                <w:rFonts w:hint="eastAsia" w:ascii="宋体" w:hAnsi="宋体" w:cs="宋体"/>
                <w:color w:val="auto"/>
                <w:szCs w:val="21"/>
              </w:rPr>
              <w:t>本专业高级（或以上）职称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ascii="宋体" w:hAnsi="宋体" w:cs="宋体"/>
                <w:color w:val="auto"/>
                <w:szCs w:val="21"/>
              </w:rPr>
              <w:t>造价</w:t>
            </w:r>
            <w:r>
              <w:rPr>
                <w:rFonts w:hint="eastAsia" w:ascii="宋体" w:hAnsi="宋体" w:cs="宋体"/>
                <w:color w:val="auto"/>
                <w:szCs w:val="21"/>
              </w:rPr>
              <w:t>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注册造价工程师（或一级注册造价工程师）或本专业高级（或以上）职称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电气专业负责人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注册电气工程师及本专业高级（或以上）职称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228"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szCs w:val="21"/>
              </w:rPr>
            </w:pPr>
            <w:r>
              <w:rPr>
                <w:rFonts w:hint="eastAsia" w:ascii="宋体" w:hAnsi="宋体" w:cs="宋体"/>
                <w:b/>
                <w:bCs/>
                <w:color w:val="auto"/>
                <w:szCs w:val="21"/>
              </w:rPr>
              <w:t>二、</w:t>
            </w:r>
            <w:r>
              <w:rPr>
                <w:rFonts w:hint="eastAsia"/>
                <w:b/>
                <w:bCs/>
                <w:color w:val="auto"/>
                <w:szCs w:val="21"/>
              </w:rPr>
              <w:t>勘察专业人员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勘察专业负责人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注册岩土工程师或本专业高级（或以上）职称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勘察现场配合人</w:t>
            </w:r>
          </w:p>
        </w:tc>
        <w:tc>
          <w:tcPr>
            <w:tcW w:w="5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工程类相关专业高级（或以上）职称或从事工程类相关专业工作5年及以上的中级职称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s="宋体"/>
                <w:color w:val="auto"/>
                <w:szCs w:val="21"/>
              </w:rPr>
              <w:t>2</w:t>
            </w:r>
          </w:p>
        </w:tc>
      </w:tr>
    </w:tbl>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2、在设计高峰或项目承建单位认为有必要时，设计方必须集中力量确保设计进度。</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3、设计单位在明确分工各负其责的基础上，按照招标文件所列要求承诺为本项目合同约定项目指定的设计总负责人、各专业设计负责人、各专业设计人，并向建设管理单位出具相应的授权文件。</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4、项目设计总负责人，各专业设计负责人应能够胜任所承担任务的设计、组织、计划、协调工作。</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5、须报送项目设计总负责人、各专业设计负责人、其他参与设计工作的人员姓名、年龄、学历、专业、职称、职务、相关经历和主要技术成果以及在本合同约定项目中负责的设计任务等资料。</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6、必须保证参与本项目各设计单位人员的稳定性，不可随意撤换，且短时离开本地须向项目承建单位请假并制定离开后的协调人，否则必须承担相应责任。</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7、设计单位的设计人员数量、专业水平、专业配套等达不到设计所需时，需更换及补充设计人员；未能在指定时间内及时更换和补充的，将视为违约行为, 项目承建单位将根据对项目设计(咨询)单位综合考评办法予以相应的处罚。</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8.项目设计、实施过程中，投标人的设计项目负责人、各专业设负责人及相关专业人员（可按照专业施工进度分专业参加）需参加由招标人组织的方案汇报会、协调会、设计交底会、图纸会审会、每周在施工现场组织召开的设计例会和工程例会、技术问题协调会、看样定板会、设计巡场，及时解决现场技术问题，并按照招标人相应管理制度和办法开展相应工作。</w:t>
      </w:r>
    </w:p>
    <w:p>
      <w:pPr>
        <w:spacing w:line="360" w:lineRule="auto"/>
        <w:ind w:firstLine="480" w:firstLineChars="200"/>
        <w:rPr>
          <w:rFonts w:ascii="宋体" w:hAnsi="宋体" w:cs="宋体"/>
          <w:snapToGrid w:val="0"/>
          <w:color w:val="auto"/>
          <w:kern w:val="0"/>
          <w:sz w:val="24"/>
          <w:szCs w:val="21"/>
        </w:rPr>
      </w:pPr>
      <w:r>
        <w:rPr>
          <w:rFonts w:hint="eastAsia" w:ascii="宋体" w:hAnsi="宋体" w:cs="宋体"/>
          <w:snapToGrid w:val="0"/>
          <w:color w:val="auto"/>
          <w:sz w:val="24"/>
          <w:szCs w:val="21"/>
        </w:rPr>
        <w:t>9、设计单位应安排专人（至少2名）全面配合跟进所有报审报建工作（包括提供项目承建单位报审报建及有关外出协调所需的交通便利，</w:t>
      </w:r>
      <w:r>
        <w:rPr>
          <w:rFonts w:hint="eastAsia" w:ascii="宋体" w:hAnsi="宋体" w:cs="宋体"/>
          <w:snapToGrid w:val="0"/>
          <w:color w:val="auto"/>
          <w:kern w:val="0"/>
          <w:sz w:val="24"/>
          <w:szCs w:val="21"/>
        </w:rPr>
        <w:t>办公设备、加晒加印图纸资料等</w:t>
      </w:r>
      <w:r>
        <w:rPr>
          <w:rFonts w:hint="eastAsia" w:ascii="宋体" w:hAnsi="宋体" w:cs="宋体"/>
          <w:snapToGrid w:val="0"/>
          <w:color w:val="auto"/>
          <w:sz w:val="24"/>
          <w:szCs w:val="21"/>
        </w:rPr>
        <w:t>相关报建费用、</w:t>
      </w:r>
      <w:r>
        <w:rPr>
          <w:rFonts w:hint="eastAsia" w:ascii="宋体" w:hAnsi="宋体" w:cs="宋体"/>
          <w:snapToGrid w:val="0"/>
          <w:color w:val="auto"/>
          <w:kern w:val="0"/>
          <w:sz w:val="24"/>
          <w:szCs w:val="21"/>
        </w:rPr>
        <w:t>各阶段的汇报文件和送审文件晒制等费用</w:t>
      </w:r>
      <w:r>
        <w:rPr>
          <w:rFonts w:hint="eastAsia" w:ascii="宋体" w:hAnsi="宋体" w:cs="宋体"/>
          <w:snapToGrid w:val="0"/>
          <w:color w:val="auto"/>
          <w:sz w:val="24"/>
          <w:szCs w:val="21"/>
        </w:rPr>
        <w:t>已包含在勘察设计费中）</w:t>
      </w:r>
      <w:r>
        <w:rPr>
          <w:rFonts w:hint="eastAsia" w:ascii="宋体" w:hAnsi="宋体" w:cs="宋体"/>
          <w:b/>
          <w:snapToGrid w:val="0"/>
          <w:color w:val="auto"/>
          <w:sz w:val="24"/>
          <w:szCs w:val="21"/>
        </w:rPr>
        <w:t>。</w:t>
      </w:r>
    </w:p>
    <w:p>
      <w:pPr>
        <w:pStyle w:val="3"/>
        <w:spacing w:before="120" w:after="120"/>
        <w:rPr>
          <w:rFonts w:ascii="宋体" w:hAnsi="宋体" w:eastAsia="宋体" w:cs="宋体"/>
          <w:b/>
          <w:bCs w:val="0"/>
          <w:color w:val="auto"/>
        </w:rPr>
      </w:pPr>
      <w:bookmarkStart w:id="195" w:name="_Toc18478"/>
      <w:bookmarkStart w:id="196" w:name="_Toc21725"/>
      <w:bookmarkStart w:id="197" w:name="_Toc12286"/>
      <w:bookmarkStart w:id="198" w:name="_Toc19854"/>
      <w:r>
        <w:rPr>
          <w:rFonts w:hint="eastAsia" w:ascii="宋体" w:hAnsi="宋体" w:eastAsia="宋体" w:cs="宋体"/>
          <w:b/>
          <w:bCs w:val="0"/>
          <w:color w:val="auto"/>
        </w:rPr>
        <w:t>4.2驻场人员要求</w:t>
      </w:r>
      <w:bookmarkEnd w:id="195"/>
      <w:bookmarkEnd w:id="196"/>
      <w:bookmarkEnd w:id="197"/>
      <w:bookmarkEnd w:id="198"/>
    </w:p>
    <w:p>
      <w:pPr>
        <w:spacing w:line="360" w:lineRule="auto"/>
        <w:ind w:firstLine="480" w:firstLineChars="200"/>
        <w:rPr>
          <w:rFonts w:ascii="宋体" w:hAnsi="宋体" w:cs="宋体"/>
          <w:color w:val="auto"/>
          <w:sz w:val="24"/>
          <w:szCs w:val="21"/>
        </w:rPr>
      </w:pPr>
      <w:r>
        <w:rPr>
          <w:rFonts w:hint="eastAsia" w:ascii="宋体" w:hAnsi="宋体" w:cs="宋体"/>
          <w:snapToGrid w:val="0"/>
          <w:color w:val="auto"/>
          <w:sz w:val="24"/>
          <w:szCs w:val="21"/>
        </w:rPr>
        <w:t>根据建设管理需要，应设立驻场组，至少</w:t>
      </w:r>
      <w:r>
        <w:rPr>
          <w:rFonts w:hint="eastAsia" w:ascii="宋体" w:hAnsi="宋体" w:cs="宋体"/>
          <w:snapToGrid w:val="0"/>
          <w:color w:val="auto"/>
          <w:sz w:val="24"/>
          <w:szCs w:val="21"/>
          <w:u w:val="single"/>
        </w:rPr>
        <w:t xml:space="preserve"> </w:t>
      </w:r>
      <w:r>
        <w:rPr>
          <w:rFonts w:ascii="宋体" w:hAnsi="宋体" w:cs="宋体"/>
          <w:snapToGrid w:val="0"/>
          <w:color w:val="auto"/>
          <w:sz w:val="24"/>
          <w:szCs w:val="21"/>
          <w:u w:val="single"/>
        </w:rPr>
        <w:t>1</w:t>
      </w:r>
      <w:r>
        <w:rPr>
          <w:rFonts w:hint="eastAsia" w:ascii="宋体" w:hAnsi="宋体" w:cs="宋体"/>
          <w:snapToGrid w:val="0"/>
          <w:color w:val="auto"/>
          <w:sz w:val="24"/>
          <w:szCs w:val="21"/>
          <w:u w:val="single"/>
        </w:rPr>
        <w:t xml:space="preserve"> </w:t>
      </w:r>
      <w:r>
        <w:rPr>
          <w:rFonts w:hint="eastAsia" w:ascii="宋体" w:hAnsi="宋体" w:cs="宋体"/>
          <w:snapToGrid w:val="0"/>
          <w:color w:val="auto"/>
          <w:sz w:val="24"/>
          <w:szCs w:val="21"/>
        </w:rPr>
        <w:t>名以上，根据不同施工阶段按甲方要求配备相应专业人员，按甲方</w:t>
      </w:r>
      <w:r>
        <w:rPr>
          <w:rFonts w:hint="eastAsia" w:ascii="宋体" w:hAnsi="宋体" w:cs="宋体"/>
          <w:color w:val="auto"/>
          <w:sz w:val="24"/>
          <w:szCs w:val="21"/>
        </w:rPr>
        <w:t>要求负责跟进至现场竣工验收为止，并于每周按甲方要求出具设计巡场意见书。项目设计负责人在深化设计、初步设计阶段提供驻场服务。</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1、若投标人的设计工作不能满足本项目的质量和进度控制要求，投标人需根据招标人的要求进行驻场设计，各专业设计人和项目负责人员须驻场设计，时间可从签订设计合同开始到竣工验收完成为止。设计单位应配备电脑、彩色打印机、复印机、扫描仪等设备。</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2、乙方驻场人员应满足招标文件及合同条款的相关要求，并全部统一纳入甲方的统一管理，其出勤、休假等考勤由甲方负责。乙方驻场人员只为本合同招标人服务，设计单位不得再安排其参与设计单位的其他工作。</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乙方驻场人员的名单须在进场前提交甲方审核，乙方驻场设计组的人员数量、专业水平、专业配套以及设备设施须满足设计质量与进度的需要。甲方有权根据实际情况在施工实施的过程中对乙方的驻场人员进行适当调整。</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4、乙方应保证驻场人员的稳定性，原则在驻场期间上不得更换，确须更换的应向甲方提出书面报告且征得同意后方可更换。</w:t>
      </w:r>
    </w:p>
    <w:p>
      <w:pPr>
        <w:spacing w:line="360" w:lineRule="auto"/>
        <w:rPr>
          <w:rFonts w:ascii="宋体" w:hAnsi="宋体" w:cs="宋体"/>
          <w:color w:val="auto"/>
        </w:rPr>
      </w:pPr>
    </w:p>
    <w:p>
      <w:pPr>
        <w:pStyle w:val="10"/>
        <w:rPr>
          <w:color w:val="auto"/>
        </w:rPr>
        <w:sectPr>
          <w:headerReference r:id="rId10" w:type="default"/>
          <w:footerReference r:id="rId11" w:type="default"/>
          <w:footnotePr>
            <w:numRestart w:val="eachPage"/>
          </w:footnotePr>
          <w:pgSz w:w="11906" w:h="16838"/>
          <w:pgMar w:top="1418" w:right="1418" w:bottom="1418" w:left="1418" w:header="851" w:footer="992" w:gutter="0"/>
          <w:cols w:space="720" w:num="1"/>
          <w:docGrid w:linePitch="312" w:charSpace="0"/>
        </w:sectPr>
      </w:pPr>
    </w:p>
    <w:p>
      <w:pPr>
        <w:pStyle w:val="2"/>
        <w:rPr>
          <w:rFonts w:ascii="宋体" w:hAnsi="宋体" w:eastAsia="宋体" w:cs="宋体"/>
          <w:color w:val="auto"/>
        </w:rPr>
      </w:pPr>
      <w:bookmarkStart w:id="199" w:name="_Toc28064"/>
      <w:bookmarkStart w:id="200" w:name="_Toc29122"/>
      <w:bookmarkStart w:id="201" w:name="_Toc18013"/>
      <w:bookmarkStart w:id="202" w:name="_Toc2549"/>
      <w:bookmarkStart w:id="203" w:name="_Toc30205"/>
      <w:bookmarkStart w:id="204" w:name="_Toc7560"/>
      <w:bookmarkStart w:id="205" w:name="_Toc19544"/>
      <w:r>
        <w:rPr>
          <w:rFonts w:hint="eastAsia" w:ascii="宋体" w:hAnsi="宋体" w:eastAsia="宋体" w:cs="宋体"/>
          <w:color w:val="auto"/>
        </w:rPr>
        <w:t>第五章 勘察设计成果提交要求</w:t>
      </w:r>
      <w:bookmarkEnd w:id="199"/>
      <w:bookmarkEnd w:id="200"/>
      <w:bookmarkEnd w:id="201"/>
      <w:bookmarkEnd w:id="202"/>
      <w:bookmarkEnd w:id="203"/>
      <w:bookmarkEnd w:id="204"/>
      <w:bookmarkEnd w:id="205"/>
    </w:p>
    <w:p>
      <w:pPr>
        <w:pStyle w:val="3"/>
        <w:spacing w:before="120" w:after="120"/>
        <w:rPr>
          <w:rFonts w:ascii="宋体" w:hAnsi="宋体" w:eastAsia="宋体" w:cs="宋体"/>
          <w:b/>
          <w:bCs w:val="0"/>
          <w:color w:val="auto"/>
        </w:rPr>
      </w:pPr>
      <w:bookmarkStart w:id="206" w:name="_Toc24636"/>
      <w:bookmarkStart w:id="207" w:name="_Toc15391"/>
      <w:bookmarkStart w:id="208" w:name="_Toc18488"/>
      <w:bookmarkStart w:id="209" w:name="_Toc6149"/>
      <w:bookmarkStart w:id="210" w:name="_Toc31381"/>
      <w:bookmarkStart w:id="211" w:name="_Toc18792"/>
      <w:bookmarkStart w:id="212" w:name="_Toc22967"/>
      <w:r>
        <w:rPr>
          <w:rFonts w:hint="eastAsia" w:ascii="宋体" w:hAnsi="宋体" w:eastAsia="宋体" w:cs="宋体"/>
          <w:b/>
          <w:bCs w:val="0"/>
          <w:color w:val="auto"/>
        </w:rPr>
        <w:t>5.1通用要求</w:t>
      </w:r>
      <w:bookmarkEnd w:id="206"/>
      <w:bookmarkEnd w:id="207"/>
      <w:bookmarkEnd w:id="208"/>
      <w:bookmarkEnd w:id="209"/>
      <w:bookmarkEnd w:id="210"/>
      <w:bookmarkEnd w:id="211"/>
      <w:bookmarkEnd w:id="212"/>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一、设计成果文件要求齐全、完整，内容、深度应符合规定，文字说明、图纸要准确清晰,各阶段设计应达到中华人民共和国建设部颁发的《市政公用工程设计文件编制深度规定（2013版）》设计阶段深度。</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二、凡是涉及到报批报建图纸文件，均需要按专业主管部门的报审要求，按时报送，并负责通过审批。</w:t>
      </w:r>
    </w:p>
    <w:p>
      <w:pPr>
        <w:pStyle w:val="3"/>
        <w:spacing w:before="120" w:after="120"/>
        <w:rPr>
          <w:rFonts w:ascii="宋体" w:hAnsi="宋体" w:eastAsia="宋体" w:cs="宋体"/>
          <w:b/>
          <w:bCs w:val="0"/>
          <w:color w:val="auto"/>
        </w:rPr>
      </w:pPr>
      <w:bookmarkStart w:id="213" w:name="_Toc6315"/>
      <w:bookmarkStart w:id="214" w:name="_Toc8050"/>
      <w:bookmarkStart w:id="215" w:name="_Toc2735"/>
      <w:bookmarkStart w:id="216" w:name="_Toc16048"/>
      <w:bookmarkStart w:id="217" w:name="_Toc19997"/>
      <w:bookmarkStart w:id="218" w:name="_Toc25688"/>
      <w:bookmarkStart w:id="219" w:name="_Toc31081"/>
      <w:r>
        <w:rPr>
          <w:rFonts w:hint="eastAsia" w:ascii="宋体" w:hAnsi="宋体" w:eastAsia="宋体" w:cs="宋体"/>
          <w:b/>
          <w:bCs w:val="0"/>
          <w:color w:val="auto"/>
        </w:rPr>
        <w:t>5.2提交设计资料要求</w:t>
      </w:r>
      <w:bookmarkEnd w:id="213"/>
      <w:bookmarkEnd w:id="214"/>
      <w:bookmarkEnd w:id="215"/>
      <w:bookmarkEnd w:id="216"/>
      <w:bookmarkEnd w:id="217"/>
      <w:bookmarkEnd w:id="218"/>
      <w:bookmarkEnd w:id="219"/>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1、中标设计单位设计成果文件的提交时间以符合合同约定质量的设计成果文件的提交时间为准。设计成果文件提交的时间及份数如下</w:t>
      </w:r>
    </w:p>
    <w:p>
      <w:pPr>
        <w:spacing w:line="360" w:lineRule="auto"/>
        <w:ind w:firstLine="480" w:firstLineChars="200"/>
        <w:rPr>
          <w:rFonts w:ascii="宋体" w:hAnsi="宋体" w:cs="宋体"/>
          <w:snapToGrid w:val="0"/>
          <w:color w:val="auto"/>
          <w:sz w:val="24"/>
          <w:szCs w:val="21"/>
        </w:rPr>
      </w:pPr>
      <w:r>
        <w:rPr>
          <w:rFonts w:hint="eastAsia" w:ascii="宋体" w:hAnsi="宋体" w:cs="宋体"/>
          <w:snapToGrid w:val="0"/>
          <w:color w:val="auto"/>
          <w:sz w:val="24"/>
          <w:szCs w:val="21"/>
        </w:rPr>
        <w:t>表6-1 设计各阶段提交时间控制表</w:t>
      </w:r>
    </w:p>
    <w:tbl>
      <w:tblPr>
        <w:tblStyle w:val="18"/>
        <w:tblW w:w="9748" w:type="dxa"/>
        <w:tblInd w:w="0" w:type="dxa"/>
        <w:tblLayout w:type="fixed"/>
        <w:tblCellMar>
          <w:top w:w="0" w:type="dxa"/>
          <w:left w:w="108" w:type="dxa"/>
          <w:bottom w:w="0" w:type="dxa"/>
          <w:right w:w="108" w:type="dxa"/>
        </w:tblCellMar>
      </w:tblPr>
      <w:tblGrid>
        <w:gridCol w:w="817"/>
        <w:gridCol w:w="1135"/>
        <w:gridCol w:w="2692"/>
        <w:gridCol w:w="1560"/>
        <w:gridCol w:w="1737"/>
        <w:gridCol w:w="1807"/>
      </w:tblGrid>
      <w:tr>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szCs w:val="21"/>
              </w:rPr>
            </w:pPr>
            <w:r>
              <w:rPr>
                <w:rFonts w:hint="eastAsia" w:ascii="宋体" w:hAnsi="宋体" w:cs="宋体"/>
                <w:color w:val="auto"/>
                <w:sz w:val="24"/>
                <w:szCs w:val="21"/>
              </w:rPr>
              <w:t>序号</w:t>
            </w:r>
          </w:p>
        </w:tc>
        <w:tc>
          <w:tcPr>
            <w:tcW w:w="3827" w:type="dxa"/>
            <w:gridSpan w:val="2"/>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资料及文件名称</w:t>
            </w:r>
          </w:p>
        </w:tc>
        <w:tc>
          <w:tcPr>
            <w:tcW w:w="1560" w:type="dxa"/>
            <w:tcBorders>
              <w:top w:val="single" w:color="auto" w:sz="4" w:space="0"/>
              <w:left w:val="nil"/>
              <w:bottom w:val="single" w:color="auto" w:sz="4" w:space="0"/>
              <w:right w:val="single" w:color="auto" w:sz="4" w:space="0"/>
            </w:tcBorders>
            <w:vAlign w:val="center"/>
          </w:tcPr>
          <w:p>
            <w:pPr>
              <w:rPr>
                <w:rFonts w:ascii="宋体" w:hAnsi="宋体" w:cs="宋体"/>
                <w:color w:val="auto"/>
                <w:sz w:val="24"/>
                <w:szCs w:val="21"/>
              </w:rPr>
            </w:pPr>
            <w:r>
              <w:rPr>
                <w:rFonts w:hint="eastAsia" w:ascii="宋体" w:hAnsi="宋体" w:cs="宋体"/>
                <w:color w:val="auto"/>
                <w:sz w:val="24"/>
                <w:szCs w:val="21"/>
              </w:rPr>
              <w:t>提交日期</w:t>
            </w:r>
          </w:p>
        </w:tc>
        <w:tc>
          <w:tcPr>
            <w:tcW w:w="1737" w:type="dxa"/>
            <w:tcBorders>
              <w:top w:val="single" w:color="auto" w:sz="4" w:space="0"/>
              <w:left w:val="nil"/>
              <w:bottom w:val="single" w:color="auto" w:sz="4" w:space="0"/>
              <w:right w:val="single" w:color="auto" w:sz="4" w:space="0"/>
            </w:tcBorders>
            <w:vAlign w:val="center"/>
          </w:tcPr>
          <w:p>
            <w:pPr>
              <w:rPr>
                <w:rFonts w:ascii="宋体" w:hAnsi="宋体" w:cs="宋体"/>
                <w:color w:val="auto"/>
                <w:sz w:val="24"/>
                <w:szCs w:val="21"/>
              </w:rPr>
            </w:pPr>
            <w:r>
              <w:rPr>
                <w:rFonts w:hint="eastAsia" w:ascii="宋体" w:hAnsi="宋体" w:cs="宋体"/>
                <w:color w:val="auto"/>
                <w:sz w:val="24"/>
                <w:szCs w:val="21"/>
              </w:rPr>
              <w:t>份数</w:t>
            </w:r>
          </w:p>
        </w:tc>
        <w:tc>
          <w:tcPr>
            <w:tcW w:w="1807"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备注</w:t>
            </w:r>
          </w:p>
        </w:tc>
      </w:tr>
      <w:tr>
        <w:tblPrEx>
          <w:tblCellMar>
            <w:top w:w="0" w:type="dxa"/>
            <w:left w:w="108" w:type="dxa"/>
            <w:bottom w:w="0" w:type="dxa"/>
            <w:right w:w="108" w:type="dxa"/>
          </w:tblCellMar>
        </w:tblPrEx>
        <w:trPr>
          <w:trHeight w:val="307" w:hRule="atLeast"/>
        </w:trPr>
        <w:tc>
          <w:tcPr>
            <w:tcW w:w="8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p>
        </w:tc>
        <w:tc>
          <w:tcPr>
            <w:tcW w:w="3827" w:type="dxa"/>
            <w:gridSpan w:val="2"/>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深化方案设计成果文件</w:t>
            </w:r>
          </w:p>
        </w:tc>
        <w:tc>
          <w:tcPr>
            <w:tcW w:w="1560"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合同签订之日起10天内</w:t>
            </w:r>
          </w:p>
        </w:tc>
        <w:tc>
          <w:tcPr>
            <w:tcW w:w="173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6，或按招标人要求提供</w:t>
            </w:r>
          </w:p>
        </w:tc>
        <w:tc>
          <w:tcPr>
            <w:tcW w:w="180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p>
        </w:tc>
      </w:tr>
      <w:tr>
        <w:tblPrEx>
          <w:tblCellMar>
            <w:top w:w="0" w:type="dxa"/>
            <w:left w:w="108" w:type="dxa"/>
            <w:bottom w:w="0" w:type="dxa"/>
            <w:right w:w="108" w:type="dxa"/>
          </w:tblCellMar>
        </w:tblPrEx>
        <w:trPr>
          <w:trHeight w:val="307" w:hRule="atLeast"/>
        </w:trPr>
        <w:tc>
          <w:tcPr>
            <w:tcW w:w="8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1</w:t>
            </w:r>
          </w:p>
        </w:tc>
        <w:tc>
          <w:tcPr>
            <w:tcW w:w="3827" w:type="dxa"/>
            <w:gridSpan w:val="2"/>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初步设计成果文件（含概算）</w:t>
            </w:r>
          </w:p>
        </w:tc>
        <w:tc>
          <w:tcPr>
            <w:tcW w:w="1560"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深化方案确定之日起15天内</w:t>
            </w:r>
          </w:p>
        </w:tc>
        <w:tc>
          <w:tcPr>
            <w:tcW w:w="173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3，或按招标人要求提供</w:t>
            </w:r>
          </w:p>
        </w:tc>
        <w:tc>
          <w:tcPr>
            <w:tcW w:w="180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电子文档1份（含符合评审要求的软件版）</w:t>
            </w:r>
          </w:p>
        </w:tc>
      </w:tr>
      <w:tr>
        <w:tblPrEx>
          <w:tblCellMar>
            <w:top w:w="0" w:type="dxa"/>
            <w:left w:w="108" w:type="dxa"/>
            <w:bottom w:w="0" w:type="dxa"/>
            <w:right w:w="108" w:type="dxa"/>
          </w:tblCellMar>
        </w:tblPrEx>
        <w:trPr>
          <w:trHeight w:val="630" w:hRule="atLeast"/>
        </w:trPr>
        <w:tc>
          <w:tcPr>
            <w:tcW w:w="8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2</w:t>
            </w:r>
          </w:p>
        </w:tc>
        <w:tc>
          <w:tcPr>
            <w:tcW w:w="3827" w:type="dxa"/>
            <w:gridSpan w:val="2"/>
            <w:tcBorders>
              <w:top w:val="single" w:color="auto" w:sz="4" w:space="0"/>
              <w:left w:val="nil"/>
              <w:bottom w:val="single" w:color="auto" w:sz="4" w:space="0"/>
              <w:right w:val="single" w:color="auto" w:sz="4" w:space="0"/>
            </w:tcBorders>
            <w:vAlign w:val="center"/>
          </w:tcPr>
          <w:p>
            <w:pPr>
              <w:rPr>
                <w:rFonts w:ascii="宋体" w:hAnsi="宋体" w:cs="宋体"/>
                <w:b/>
                <w:color w:val="auto"/>
                <w:sz w:val="20"/>
                <w:szCs w:val="20"/>
              </w:rPr>
            </w:pPr>
            <w:r>
              <w:rPr>
                <w:rFonts w:hint="eastAsia" w:ascii="宋体" w:hAnsi="宋体" w:cs="宋体"/>
                <w:color w:val="auto"/>
                <w:sz w:val="20"/>
                <w:szCs w:val="20"/>
              </w:rPr>
              <w:t>初步设计阶段相关报批成果文件</w:t>
            </w:r>
          </w:p>
        </w:tc>
        <w:tc>
          <w:tcPr>
            <w:tcW w:w="1560"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按工作计划</w:t>
            </w:r>
          </w:p>
        </w:tc>
        <w:tc>
          <w:tcPr>
            <w:tcW w:w="173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按报建要求或招标人要求提供</w:t>
            </w:r>
          </w:p>
        </w:tc>
        <w:tc>
          <w:tcPr>
            <w:tcW w:w="180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电子文档1份</w:t>
            </w:r>
          </w:p>
        </w:tc>
      </w:tr>
      <w:tr>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3</w:t>
            </w:r>
          </w:p>
        </w:tc>
        <w:tc>
          <w:tcPr>
            <w:tcW w:w="3827" w:type="dxa"/>
            <w:gridSpan w:val="2"/>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施工图设计成果文件（送施工图审查单位审查）</w:t>
            </w:r>
          </w:p>
        </w:tc>
        <w:tc>
          <w:tcPr>
            <w:tcW w:w="1560"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初步设计经专家技术评审之日起15天内</w:t>
            </w:r>
          </w:p>
        </w:tc>
        <w:tc>
          <w:tcPr>
            <w:tcW w:w="173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3，或按招标人要求提供</w:t>
            </w:r>
          </w:p>
        </w:tc>
        <w:tc>
          <w:tcPr>
            <w:tcW w:w="1807" w:type="dxa"/>
            <w:tcBorders>
              <w:top w:val="single" w:color="auto" w:sz="4" w:space="0"/>
              <w:left w:val="nil"/>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电子文档1份</w:t>
            </w:r>
          </w:p>
        </w:tc>
      </w:tr>
      <w:tr>
        <w:tblPrEx>
          <w:tblCellMar>
            <w:top w:w="0" w:type="dxa"/>
            <w:left w:w="108" w:type="dxa"/>
            <w:bottom w:w="0" w:type="dxa"/>
            <w:right w:w="108" w:type="dxa"/>
          </w:tblCellMar>
        </w:tblPrEx>
        <w:trPr>
          <w:trHeight w:val="660" w:hRule="atLeast"/>
        </w:trPr>
        <w:tc>
          <w:tcPr>
            <w:tcW w:w="817"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4</w:t>
            </w:r>
          </w:p>
        </w:tc>
        <w:tc>
          <w:tcPr>
            <w:tcW w:w="1135"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施工图（按施工图审查单位意见修改并审批通过，包括主要材料清单、技术规范要求等文件）</w:t>
            </w: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施工图</w:t>
            </w:r>
          </w:p>
        </w:tc>
        <w:tc>
          <w:tcPr>
            <w:tcW w:w="15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深化方案确定之日起30天</w:t>
            </w:r>
          </w:p>
        </w:tc>
        <w:tc>
          <w:tcPr>
            <w:tcW w:w="17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8，或按招标人要求提供</w:t>
            </w:r>
          </w:p>
        </w:tc>
        <w:tc>
          <w:tcPr>
            <w:tcW w:w="180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电子文档1份</w:t>
            </w:r>
          </w:p>
        </w:tc>
      </w:tr>
      <w:tr>
        <w:tblPrEx>
          <w:tblCellMar>
            <w:top w:w="0" w:type="dxa"/>
            <w:left w:w="108" w:type="dxa"/>
            <w:bottom w:w="0" w:type="dxa"/>
            <w:right w:w="108" w:type="dxa"/>
          </w:tblCellMar>
        </w:tblPrEx>
        <w:trPr>
          <w:trHeight w:val="840"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 w:val="20"/>
                <w:szCs w:val="20"/>
              </w:rPr>
            </w:pP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 w:val="20"/>
                <w:szCs w:val="20"/>
              </w:rPr>
            </w:pPr>
          </w:p>
        </w:tc>
        <w:tc>
          <w:tcPr>
            <w:tcW w:w="269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snapToGrid w:val="0"/>
                <w:color w:val="auto"/>
                <w:kern w:val="0"/>
                <w:sz w:val="20"/>
              </w:rPr>
              <w:t>完整版设计变更内容台账及相关资料</w:t>
            </w:r>
          </w:p>
        </w:tc>
        <w:tc>
          <w:tcPr>
            <w:tcW w:w="15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竣工验收前</w:t>
            </w:r>
          </w:p>
        </w:tc>
        <w:tc>
          <w:tcPr>
            <w:tcW w:w="17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按甲方要求提供</w:t>
            </w:r>
          </w:p>
        </w:tc>
        <w:tc>
          <w:tcPr>
            <w:tcW w:w="180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0"/>
                <w:szCs w:val="20"/>
              </w:rPr>
            </w:pPr>
            <w:r>
              <w:rPr>
                <w:rFonts w:hint="eastAsia" w:ascii="宋体" w:hAnsi="宋体" w:cs="宋体"/>
                <w:color w:val="auto"/>
                <w:sz w:val="20"/>
                <w:szCs w:val="20"/>
              </w:rPr>
              <w:t>电子文档1份</w:t>
            </w:r>
          </w:p>
        </w:tc>
      </w:tr>
    </w:tbl>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备注：上述各阶段成果提交时间由甲方控制，可根据实际情况调整；各配合阶段（如招标阶段、施工阶段）及设计变更等所需文件份数及时间按合同约定和甲方要求执行。</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2、各阶段所有提供的效果图必须同时提交电子版文件，精度要求：分辨率不低于4kx4k。</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设计文件除应提供本设计全标段的设计图、设计说明、工程项目及数量汇总表外，还应按施工标段分别提供所需设计图纸、工程量清单、设备资料表和，以及必要的设计资料、分区示意图和设计计算书。每次交付设计文件和资料时应附带清单</w:t>
      </w:r>
      <w:r>
        <w:rPr>
          <w:rFonts w:hint="eastAsia" w:ascii="宋体" w:hAnsi="宋体" w:cs="宋体"/>
          <w:snapToGrid w:val="0"/>
          <w:color w:val="auto"/>
          <w:sz w:val="24"/>
          <w:szCs w:val="21"/>
        </w:rPr>
        <w:t>。</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4、中标设计单位按合同约定的时限将设计成果文件或资料交付至本项目建设单位指定的地点，相关费用（包括运输、邮寄、电传、关税等费用）已经含于设计费中。</w:t>
      </w:r>
    </w:p>
    <w:p>
      <w:pPr>
        <w:spacing w:line="360" w:lineRule="auto"/>
        <w:ind w:firstLine="480" w:firstLineChars="200"/>
        <w:jc w:val="left"/>
        <w:rPr>
          <w:rFonts w:ascii="宋体" w:hAnsi="宋体" w:cs="宋体"/>
          <w:color w:val="auto"/>
          <w:sz w:val="24"/>
          <w:szCs w:val="21"/>
        </w:rPr>
      </w:pPr>
      <w:r>
        <w:rPr>
          <w:rFonts w:hint="eastAsia" w:ascii="宋体" w:hAnsi="宋体" w:cs="宋体"/>
          <w:color w:val="auto"/>
          <w:sz w:val="24"/>
          <w:szCs w:val="21"/>
        </w:rPr>
        <w:t>5、甲方可根据项目推进情况及重要性，组织相关专家对乙方提供的方案、初步设计（含概算）、施工图设计等设计成果进行评审。甲方根据需要召开的各阶段设计成果（含概算）专家评审/审核会的场地费、专家费、交通费、餐费等相关费用已包含在本合同勘察设计收费里，不另外计取。设计成果（含概算）必须经过乙方内部各专业总工审核（分包的单项设计、概算由乙方统筹负责，所以也要由乙方内部各专业总工审核）、施工图审查单位审查并修改完善后方可提交专家评审/审核会。</w:t>
      </w:r>
    </w:p>
    <w:p>
      <w:pPr>
        <w:spacing w:line="360" w:lineRule="auto"/>
        <w:ind w:firstLine="480" w:firstLineChars="200"/>
        <w:jc w:val="left"/>
        <w:rPr>
          <w:rFonts w:ascii="宋体" w:hAnsi="宋体" w:cs="宋体"/>
          <w:color w:val="auto"/>
        </w:rPr>
      </w:pPr>
      <w:r>
        <w:rPr>
          <w:rFonts w:hint="eastAsia" w:ascii="宋体" w:hAnsi="宋体" w:cs="宋体"/>
          <w:color w:val="auto"/>
          <w:sz w:val="24"/>
          <w:szCs w:val="21"/>
        </w:rPr>
        <w:t>如乙方未能在设计评审的最终意见发出之日起3日内积极响应或逾期未能完成相关设计成果文件的修改完善工作，乙方应按合同条款的相关约定承担违约责任。甲方有权直接按设计评审的最终评审意见实施（但不因此免除乙方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bookmarkEnd w:id="154"/>
      <w:bookmarkEnd w:id="155"/>
      <w:bookmarkEnd w:id="156"/>
      <w:bookmarkEnd w:id="157"/>
      <w:bookmarkEnd w:id="158"/>
      <w:bookmarkEnd w:id="159"/>
    </w:p>
    <w:sectPr>
      <w:headerReference r:id="rId12" w:type="default"/>
      <w:footerReference r:id="rId13" w:type="default"/>
      <w:footnotePr>
        <w:numRestart w:val="eachPage"/>
      </w:footnote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1"/>
      </w:rPr>
    </w:pPr>
    <w:r>
      <w:fldChar w:fldCharType="begin"/>
    </w:r>
    <w:r>
      <w:rPr>
        <w:rStyle w:val="21"/>
      </w:rPr>
      <w:instrText xml:space="preserve">PAGE  </w:instrText>
    </w:r>
    <w:r>
      <w:fldChar w:fldCharType="end"/>
    </w:r>
  </w:p>
  <w:p>
    <w:pPr>
      <w:pStyle w:val="12"/>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32" name="文本框 10"/>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L3UTQAAAAAgEAAA8AAAAAAAAAAQAgAAAAIgAAAGRycy9kb3ducmV2Lnht&#10;bFBLAQIUABQAAAAIAIdO4kAkKy/TyAEAAIwDAAAOAAAAAAAAAAEAIAAAAB8BAABkcnMvZTJvRG9j&#10;LnhtbFBLBQYAAAAABgAGAFkBAABZ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29"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5X5J0AAAAAMBAAAPAAAAAAAAAAEAIAAAACIA&#10;AABkcnMvZG93bnJldi54bWxQSwECFAAUAAAACACHTuJAITiJKhECAAARBAAADgAAAAAAAAABACAA&#10;AAAfAQAAZHJzL2Uyb0RvYy54bWxQSwUGAAAAAAYABgBZAQAAog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8"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12"/>
                            <w:jc w:val="center"/>
                          </w:pP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DxdfEEAIAABEEAAAOAAAAAAAAAAEAIAAA&#10;AB8BAABkcnMvZTJvRG9jLnhtbFBLBQYAAAAABgAGAFkBAAChBQAAAAA=&#10;">
              <v:fill on="f" focussize="0,0"/>
              <v:stroke on="f"/>
              <v:imagedata o:title=""/>
              <o:lock v:ext="edit" aspectratio="f"/>
              <v:textbox inset="0mm,0mm,0mm,0mm" style="mso-fit-shape-to-text:t;">
                <w:txbxContent>
                  <w:p>
                    <w:pPr>
                      <w:pStyle w:val="12"/>
                      <w:jc w:val="cente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31445"/>
              <wp:effectExtent l="0" t="0" r="0" b="0"/>
              <wp:wrapNone/>
              <wp:docPr id="34" name="文本框 10"/>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0.35pt;width:4.55pt;mso-position-horizontal:center;mso-position-horizontal-relative:margin;mso-wrap-style:none;z-index:25166540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L3UTQAAAAAgEAAA8AAAAAAAAAAQAgAAAAIgAAAGRycy9kb3ducmV2Lnht&#10;bFBLAQIUABQAAAAIAIdO4kDN8wj9yAEAAIwDAAAOAAAAAAAAAAEAIAAAAB8BAABkcnMvZTJvRG9j&#10;LnhtbFBLBQYAAAAABgAGAFkBAABZ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282722955</wp:posOffset>
              </wp:positionV>
              <wp:extent cx="180340" cy="76200"/>
              <wp:effectExtent l="0" t="0" r="0" b="0"/>
              <wp:wrapNone/>
              <wp:docPr id="31" name="文本框 5"/>
              <wp:cNvGraphicFramePr/>
              <a:graphic xmlns:a="http://schemas.openxmlformats.org/drawingml/2006/main">
                <a:graphicData uri="http://schemas.microsoft.com/office/word/2010/wordprocessingShape">
                  <wps:wsp>
                    <wps:cNvSpPr txBox="1">
                      <a:spLocks noChangeArrowheads="1"/>
                    </wps:cNvSpPr>
                    <wps:spPr bwMode="auto">
                      <a:xfrm flipH="1">
                        <a:off x="0" y="0"/>
                        <a:ext cx="180340" cy="762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46</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flip:x;margin-top:22261.65pt;height:6pt;width:14.2pt;mso-position-horizontal:center;mso-position-horizontal-relative:margin;z-index:251662336;mso-width-relative:page;mso-height-relative:page;" filled="f" stroked="f" coordsize="21600,21600" o:gfxdata="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ZZ7J9kAAAALAQAADwAA&#10;AAAAAAABACAAAAAiAAAAZHJzL2Rvd25yZXYueG1sUEsBAhQAFAAAAAgAh07iQHduJ8UVAgAAHAQA&#10;AA4AAAAAAAAAAQAgAAAAKAEAAGRycy9lMm9Eb2MueG1sUEsFBgAAAAAGAAYAWQEAAK8FAAAAAA==&#10;">
              <v:fill on="f" focussize="0,0"/>
              <v:stroke on="f"/>
              <v:imagedata o:title=""/>
              <o:lock v:ext="edit" aspectratio="f"/>
              <v:textbox inset="0mm,0mm,0mm,0mm">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46</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0"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12"/>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&#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V+SdAAAAADAQAADwAAAAAAAAABACAAAAAiAAAA&#10;ZHJzL2Rvd25yZXYueG1sUEsBAhQAFAAAAAgAh07iQNK60fUPAgAAEQQAAA4AAAAAAAAAAQAgAAAA&#10;HwEAAGRycy9lMm9Eb2MueG1sUEsFBgAAAAAGAAYAWQEAAKAFAAAAAA==&#10;">
              <v:fill on="f" focussize="0,0"/>
              <v:stroke on="f"/>
              <v:imagedata o:title=""/>
              <o:lock v:ext="edit" aspectratio="f"/>
              <v:textbox inset="0mm,0mm,0mm,0mm" style="mso-fit-shape-to-text:t;">
                <w:txbxContent>
                  <w:p>
                    <w:pPr>
                      <w:pStyle w:val="12"/>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33985" cy="153035"/>
              <wp:effectExtent l="0" t="0" r="0" b="0"/>
              <wp:wrapNone/>
              <wp:docPr id="3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48</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4384;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HtdM9AAAAADAQAADwAAAAAAAAABACAAAAAiAAAA&#10;ZHJzL2Rvd25yZXYueG1sUEsBAhQAFAAAAAgAh07iQE4pgzYPAgAAEQQAAA4AAAAAAAAAAQAgAAAA&#10;HwEAAGRycy9lMm9Eb2MueG1sUEsFBgAAAAAGAAYAWQEAAKA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D900C"/>
    <w:multiLevelType w:val="singleLevel"/>
    <w:tmpl w:val="CF5D900C"/>
    <w:lvl w:ilvl="0" w:tentative="0">
      <w:start w:val="1"/>
      <w:numFmt w:val="decimal"/>
      <w:lvlText w:val="%1."/>
      <w:lvlJc w:val="left"/>
      <w:pPr>
        <w:tabs>
          <w:tab w:val="left" w:pos="312"/>
        </w:tabs>
      </w:pPr>
    </w:lvl>
  </w:abstractNum>
  <w:abstractNum w:abstractNumId="1">
    <w:nsid w:val="5093120E"/>
    <w:multiLevelType w:val="singleLevel"/>
    <w:tmpl w:val="5093120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YmI1MzA1YTMyZTBmY2M5NThjZWZlYThhMjBmZDAifQ=="/>
  </w:docVars>
  <w:rsids>
    <w:rsidRoot w:val="00172A27"/>
    <w:rsid w:val="0005470B"/>
    <w:rsid w:val="00075989"/>
    <w:rsid w:val="000B4BCC"/>
    <w:rsid w:val="000B63BA"/>
    <w:rsid w:val="000C1BB6"/>
    <w:rsid w:val="000D709C"/>
    <w:rsid w:val="000F07E8"/>
    <w:rsid w:val="001356A8"/>
    <w:rsid w:val="00151DFF"/>
    <w:rsid w:val="001559D5"/>
    <w:rsid w:val="0015658A"/>
    <w:rsid w:val="00191284"/>
    <w:rsid w:val="00194383"/>
    <w:rsid w:val="001B1C72"/>
    <w:rsid w:val="001C0275"/>
    <w:rsid w:val="001D28DC"/>
    <w:rsid w:val="001E22EB"/>
    <w:rsid w:val="001E4E1C"/>
    <w:rsid w:val="001F5C41"/>
    <w:rsid w:val="00206CB5"/>
    <w:rsid w:val="002201B9"/>
    <w:rsid w:val="00222570"/>
    <w:rsid w:val="00230650"/>
    <w:rsid w:val="00233B7D"/>
    <w:rsid w:val="00240919"/>
    <w:rsid w:val="00255567"/>
    <w:rsid w:val="00262676"/>
    <w:rsid w:val="002672B7"/>
    <w:rsid w:val="002844C2"/>
    <w:rsid w:val="002935E3"/>
    <w:rsid w:val="002A74CA"/>
    <w:rsid w:val="002D453F"/>
    <w:rsid w:val="002D790F"/>
    <w:rsid w:val="002F5EBD"/>
    <w:rsid w:val="00316D8F"/>
    <w:rsid w:val="0036390C"/>
    <w:rsid w:val="00377F0F"/>
    <w:rsid w:val="00383376"/>
    <w:rsid w:val="003B4B30"/>
    <w:rsid w:val="003D18D3"/>
    <w:rsid w:val="003D20CA"/>
    <w:rsid w:val="003E131C"/>
    <w:rsid w:val="003F6532"/>
    <w:rsid w:val="00421C57"/>
    <w:rsid w:val="00440B4E"/>
    <w:rsid w:val="00471B83"/>
    <w:rsid w:val="004A76CD"/>
    <w:rsid w:val="004C02C6"/>
    <w:rsid w:val="004C6D42"/>
    <w:rsid w:val="004D2B9C"/>
    <w:rsid w:val="004E31BC"/>
    <w:rsid w:val="004F51AB"/>
    <w:rsid w:val="004F7002"/>
    <w:rsid w:val="00502C62"/>
    <w:rsid w:val="0051316A"/>
    <w:rsid w:val="00513843"/>
    <w:rsid w:val="0051420B"/>
    <w:rsid w:val="00557048"/>
    <w:rsid w:val="00566532"/>
    <w:rsid w:val="0057040E"/>
    <w:rsid w:val="00572534"/>
    <w:rsid w:val="0058781D"/>
    <w:rsid w:val="00591FE1"/>
    <w:rsid w:val="005D7386"/>
    <w:rsid w:val="005E0793"/>
    <w:rsid w:val="005E7A94"/>
    <w:rsid w:val="005F0A9F"/>
    <w:rsid w:val="005F1164"/>
    <w:rsid w:val="005F566D"/>
    <w:rsid w:val="00626BDE"/>
    <w:rsid w:val="00642B72"/>
    <w:rsid w:val="00646CEF"/>
    <w:rsid w:val="006501C3"/>
    <w:rsid w:val="006763CD"/>
    <w:rsid w:val="006934D3"/>
    <w:rsid w:val="006B137B"/>
    <w:rsid w:val="006D2AB9"/>
    <w:rsid w:val="006D600D"/>
    <w:rsid w:val="006F21FD"/>
    <w:rsid w:val="00717D44"/>
    <w:rsid w:val="007271FD"/>
    <w:rsid w:val="00744F86"/>
    <w:rsid w:val="00757BAE"/>
    <w:rsid w:val="00771FF9"/>
    <w:rsid w:val="007723E3"/>
    <w:rsid w:val="00772F12"/>
    <w:rsid w:val="007A1E3B"/>
    <w:rsid w:val="007A45D9"/>
    <w:rsid w:val="007D77D0"/>
    <w:rsid w:val="00844279"/>
    <w:rsid w:val="008968C8"/>
    <w:rsid w:val="008A3A9D"/>
    <w:rsid w:val="008B4D4A"/>
    <w:rsid w:val="008D552B"/>
    <w:rsid w:val="008E14CA"/>
    <w:rsid w:val="008E59C5"/>
    <w:rsid w:val="008F18E0"/>
    <w:rsid w:val="009209DE"/>
    <w:rsid w:val="00924C18"/>
    <w:rsid w:val="0095216F"/>
    <w:rsid w:val="0096075F"/>
    <w:rsid w:val="009A0351"/>
    <w:rsid w:val="009A18B9"/>
    <w:rsid w:val="009B0684"/>
    <w:rsid w:val="009B58D2"/>
    <w:rsid w:val="009C5AB2"/>
    <w:rsid w:val="009D7BDC"/>
    <w:rsid w:val="009F4822"/>
    <w:rsid w:val="00A05F82"/>
    <w:rsid w:val="00A15CB9"/>
    <w:rsid w:val="00A32514"/>
    <w:rsid w:val="00A522EF"/>
    <w:rsid w:val="00A73991"/>
    <w:rsid w:val="00A83210"/>
    <w:rsid w:val="00AA49AF"/>
    <w:rsid w:val="00AB1969"/>
    <w:rsid w:val="00AD1435"/>
    <w:rsid w:val="00AE6D2E"/>
    <w:rsid w:val="00B05EFF"/>
    <w:rsid w:val="00B30C58"/>
    <w:rsid w:val="00B577F1"/>
    <w:rsid w:val="00B84C10"/>
    <w:rsid w:val="00B861F5"/>
    <w:rsid w:val="00BB13F7"/>
    <w:rsid w:val="00BB2E62"/>
    <w:rsid w:val="00BC2817"/>
    <w:rsid w:val="00C04547"/>
    <w:rsid w:val="00C23B41"/>
    <w:rsid w:val="00C37675"/>
    <w:rsid w:val="00C46913"/>
    <w:rsid w:val="00C53A44"/>
    <w:rsid w:val="00C947C6"/>
    <w:rsid w:val="00CB495B"/>
    <w:rsid w:val="00CE2E6F"/>
    <w:rsid w:val="00D0546F"/>
    <w:rsid w:val="00D144A6"/>
    <w:rsid w:val="00D26809"/>
    <w:rsid w:val="00D534DC"/>
    <w:rsid w:val="00D71435"/>
    <w:rsid w:val="00D872CE"/>
    <w:rsid w:val="00D91A55"/>
    <w:rsid w:val="00DA554B"/>
    <w:rsid w:val="00DA5DF6"/>
    <w:rsid w:val="00DE2B10"/>
    <w:rsid w:val="00E0733B"/>
    <w:rsid w:val="00E25335"/>
    <w:rsid w:val="00E745BD"/>
    <w:rsid w:val="00E86292"/>
    <w:rsid w:val="00E86B1F"/>
    <w:rsid w:val="00EE24B3"/>
    <w:rsid w:val="00EF677F"/>
    <w:rsid w:val="00F03CF4"/>
    <w:rsid w:val="00F30EE9"/>
    <w:rsid w:val="00F35480"/>
    <w:rsid w:val="00F92028"/>
    <w:rsid w:val="00F95A41"/>
    <w:rsid w:val="00FA05A2"/>
    <w:rsid w:val="00FA17A9"/>
    <w:rsid w:val="00FA7414"/>
    <w:rsid w:val="00FA75C2"/>
    <w:rsid w:val="00FA798F"/>
    <w:rsid w:val="00FB01FA"/>
    <w:rsid w:val="00FB0D11"/>
    <w:rsid w:val="00FB1306"/>
    <w:rsid w:val="00FB5794"/>
    <w:rsid w:val="01105851"/>
    <w:rsid w:val="019F50DD"/>
    <w:rsid w:val="02100BA9"/>
    <w:rsid w:val="02151003"/>
    <w:rsid w:val="026C0160"/>
    <w:rsid w:val="02EB1A1F"/>
    <w:rsid w:val="038E2399"/>
    <w:rsid w:val="03B62514"/>
    <w:rsid w:val="03C2786D"/>
    <w:rsid w:val="03D61413"/>
    <w:rsid w:val="03F430D6"/>
    <w:rsid w:val="04277007"/>
    <w:rsid w:val="04B63E42"/>
    <w:rsid w:val="050C59AA"/>
    <w:rsid w:val="05B37B91"/>
    <w:rsid w:val="05FC3F94"/>
    <w:rsid w:val="063D317E"/>
    <w:rsid w:val="06D82B8E"/>
    <w:rsid w:val="06EC1C04"/>
    <w:rsid w:val="07030302"/>
    <w:rsid w:val="07215F0A"/>
    <w:rsid w:val="077010BF"/>
    <w:rsid w:val="078F0936"/>
    <w:rsid w:val="07F605CE"/>
    <w:rsid w:val="08591544"/>
    <w:rsid w:val="08CF668A"/>
    <w:rsid w:val="08FC1C15"/>
    <w:rsid w:val="09161F90"/>
    <w:rsid w:val="0A2223A9"/>
    <w:rsid w:val="0A902C67"/>
    <w:rsid w:val="0AAB6C72"/>
    <w:rsid w:val="0AB95BD2"/>
    <w:rsid w:val="0ACB373B"/>
    <w:rsid w:val="0B561DB3"/>
    <w:rsid w:val="0B7550AB"/>
    <w:rsid w:val="0C160487"/>
    <w:rsid w:val="0C46709F"/>
    <w:rsid w:val="0C5E605E"/>
    <w:rsid w:val="0C724227"/>
    <w:rsid w:val="0CE54DE1"/>
    <w:rsid w:val="0DA60A0B"/>
    <w:rsid w:val="0DDD69B2"/>
    <w:rsid w:val="0E2F5506"/>
    <w:rsid w:val="0EA869F5"/>
    <w:rsid w:val="0EDB59B8"/>
    <w:rsid w:val="0F013BE7"/>
    <w:rsid w:val="0F79171B"/>
    <w:rsid w:val="0FA3749F"/>
    <w:rsid w:val="0FC45A30"/>
    <w:rsid w:val="0FE2618A"/>
    <w:rsid w:val="101C6238"/>
    <w:rsid w:val="10BC5954"/>
    <w:rsid w:val="11020FDA"/>
    <w:rsid w:val="113E4165"/>
    <w:rsid w:val="119555A6"/>
    <w:rsid w:val="122F12D4"/>
    <w:rsid w:val="123734F1"/>
    <w:rsid w:val="124848BD"/>
    <w:rsid w:val="129116EB"/>
    <w:rsid w:val="12B36C3C"/>
    <w:rsid w:val="12F36C1D"/>
    <w:rsid w:val="13E209A2"/>
    <w:rsid w:val="140F52E3"/>
    <w:rsid w:val="14205AFF"/>
    <w:rsid w:val="14477E86"/>
    <w:rsid w:val="14826D11"/>
    <w:rsid w:val="14AC793B"/>
    <w:rsid w:val="14E86739"/>
    <w:rsid w:val="15E34B6A"/>
    <w:rsid w:val="1685057A"/>
    <w:rsid w:val="16DE4778"/>
    <w:rsid w:val="16F70D59"/>
    <w:rsid w:val="172126C6"/>
    <w:rsid w:val="17312065"/>
    <w:rsid w:val="18362A05"/>
    <w:rsid w:val="18F21326"/>
    <w:rsid w:val="197166E0"/>
    <w:rsid w:val="199F26CA"/>
    <w:rsid w:val="19FC27FD"/>
    <w:rsid w:val="1A9C3221"/>
    <w:rsid w:val="1C09332F"/>
    <w:rsid w:val="1C6D254B"/>
    <w:rsid w:val="1CA83A89"/>
    <w:rsid w:val="1CAC629E"/>
    <w:rsid w:val="1D0445AC"/>
    <w:rsid w:val="1D8F0B5E"/>
    <w:rsid w:val="1EA55ECC"/>
    <w:rsid w:val="1EB64672"/>
    <w:rsid w:val="1EDF2066"/>
    <w:rsid w:val="1F1FE1B3"/>
    <w:rsid w:val="1F394761"/>
    <w:rsid w:val="1F3E3886"/>
    <w:rsid w:val="1F4B6C14"/>
    <w:rsid w:val="1F4F6A1C"/>
    <w:rsid w:val="1F666B5C"/>
    <w:rsid w:val="1FB33663"/>
    <w:rsid w:val="1FBD559A"/>
    <w:rsid w:val="207A4492"/>
    <w:rsid w:val="21464E8C"/>
    <w:rsid w:val="218410D3"/>
    <w:rsid w:val="21886524"/>
    <w:rsid w:val="22302057"/>
    <w:rsid w:val="223C7605"/>
    <w:rsid w:val="228338F3"/>
    <w:rsid w:val="22920C8E"/>
    <w:rsid w:val="22DFFB30"/>
    <w:rsid w:val="22F11EAD"/>
    <w:rsid w:val="235A7C8D"/>
    <w:rsid w:val="23C37436"/>
    <w:rsid w:val="23DF0C8A"/>
    <w:rsid w:val="24066E05"/>
    <w:rsid w:val="240E09CF"/>
    <w:rsid w:val="24E964E0"/>
    <w:rsid w:val="2524026D"/>
    <w:rsid w:val="2544440F"/>
    <w:rsid w:val="25C27809"/>
    <w:rsid w:val="25E04A4A"/>
    <w:rsid w:val="263E4BA6"/>
    <w:rsid w:val="272C345A"/>
    <w:rsid w:val="27D8142C"/>
    <w:rsid w:val="28EF05A9"/>
    <w:rsid w:val="2919513E"/>
    <w:rsid w:val="29EE0A89"/>
    <w:rsid w:val="2A0B6E2C"/>
    <w:rsid w:val="2A331FE3"/>
    <w:rsid w:val="2AE27039"/>
    <w:rsid w:val="2B996ED4"/>
    <w:rsid w:val="2BAC69F3"/>
    <w:rsid w:val="2BC31377"/>
    <w:rsid w:val="2BD95644"/>
    <w:rsid w:val="2BD97706"/>
    <w:rsid w:val="2BDC01AF"/>
    <w:rsid w:val="2BE73237"/>
    <w:rsid w:val="2C515B49"/>
    <w:rsid w:val="2C5F0EA1"/>
    <w:rsid w:val="2DAD35CA"/>
    <w:rsid w:val="2E6A3DDD"/>
    <w:rsid w:val="2EA67D22"/>
    <w:rsid w:val="2EFB4555"/>
    <w:rsid w:val="2F073AD1"/>
    <w:rsid w:val="2FBB13BE"/>
    <w:rsid w:val="2FD8498F"/>
    <w:rsid w:val="30247876"/>
    <w:rsid w:val="30425A30"/>
    <w:rsid w:val="304C522A"/>
    <w:rsid w:val="304E348C"/>
    <w:rsid w:val="309141A2"/>
    <w:rsid w:val="30FA3FE0"/>
    <w:rsid w:val="311D18A3"/>
    <w:rsid w:val="3178463A"/>
    <w:rsid w:val="31980F1E"/>
    <w:rsid w:val="32544E3E"/>
    <w:rsid w:val="3283216B"/>
    <w:rsid w:val="32911211"/>
    <w:rsid w:val="32CE3A0E"/>
    <w:rsid w:val="32EB5898"/>
    <w:rsid w:val="32FB6013"/>
    <w:rsid w:val="33477BDA"/>
    <w:rsid w:val="34F67526"/>
    <w:rsid w:val="35397FA2"/>
    <w:rsid w:val="35CD1096"/>
    <w:rsid w:val="366140E2"/>
    <w:rsid w:val="36901D91"/>
    <w:rsid w:val="37014EF7"/>
    <w:rsid w:val="373F42B8"/>
    <w:rsid w:val="37490E4D"/>
    <w:rsid w:val="378B1568"/>
    <w:rsid w:val="37E01F8B"/>
    <w:rsid w:val="38060F3D"/>
    <w:rsid w:val="38F344BC"/>
    <w:rsid w:val="391520C3"/>
    <w:rsid w:val="396A18C9"/>
    <w:rsid w:val="398F4AD8"/>
    <w:rsid w:val="3A223D95"/>
    <w:rsid w:val="3A270442"/>
    <w:rsid w:val="3A502507"/>
    <w:rsid w:val="3A605119"/>
    <w:rsid w:val="3ADC7ACC"/>
    <w:rsid w:val="3B2D241A"/>
    <w:rsid w:val="3B775F26"/>
    <w:rsid w:val="3BB8614D"/>
    <w:rsid w:val="3BCB78B0"/>
    <w:rsid w:val="3C2809AC"/>
    <w:rsid w:val="3C443F32"/>
    <w:rsid w:val="3C4E4514"/>
    <w:rsid w:val="3CAE341F"/>
    <w:rsid w:val="3CC7597B"/>
    <w:rsid w:val="3CD45671"/>
    <w:rsid w:val="3D9F74E9"/>
    <w:rsid w:val="3DB74F9C"/>
    <w:rsid w:val="3DC375EF"/>
    <w:rsid w:val="3DD27E02"/>
    <w:rsid w:val="3DD87D77"/>
    <w:rsid w:val="3DE67633"/>
    <w:rsid w:val="3E5B65B5"/>
    <w:rsid w:val="3E7E7642"/>
    <w:rsid w:val="3E896B67"/>
    <w:rsid w:val="3ED02234"/>
    <w:rsid w:val="3F7E1A42"/>
    <w:rsid w:val="3F9633AC"/>
    <w:rsid w:val="3F9A5178"/>
    <w:rsid w:val="3FAF3488"/>
    <w:rsid w:val="40584CBF"/>
    <w:rsid w:val="40A2046E"/>
    <w:rsid w:val="41581F8E"/>
    <w:rsid w:val="417C2523"/>
    <w:rsid w:val="41B0497E"/>
    <w:rsid w:val="429C58F8"/>
    <w:rsid w:val="438976E2"/>
    <w:rsid w:val="438F30B7"/>
    <w:rsid w:val="439C0BCF"/>
    <w:rsid w:val="441478CB"/>
    <w:rsid w:val="44223A9C"/>
    <w:rsid w:val="44CE0B9A"/>
    <w:rsid w:val="45335D21"/>
    <w:rsid w:val="45393D34"/>
    <w:rsid w:val="45972C4B"/>
    <w:rsid w:val="45A94956"/>
    <w:rsid w:val="45E46ABB"/>
    <w:rsid w:val="462C59E4"/>
    <w:rsid w:val="4654337F"/>
    <w:rsid w:val="4665733A"/>
    <w:rsid w:val="46D5482D"/>
    <w:rsid w:val="477203DF"/>
    <w:rsid w:val="479D3B83"/>
    <w:rsid w:val="47C63E08"/>
    <w:rsid w:val="47D57E86"/>
    <w:rsid w:val="47DF4A13"/>
    <w:rsid w:val="481D17A2"/>
    <w:rsid w:val="483A0F6D"/>
    <w:rsid w:val="487970A6"/>
    <w:rsid w:val="48D57C7F"/>
    <w:rsid w:val="491A4DDB"/>
    <w:rsid w:val="49593149"/>
    <w:rsid w:val="49696CFA"/>
    <w:rsid w:val="499E1C7D"/>
    <w:rsid w:val="4A086221"/>
    <w:rsid w:val="4A456798"/>
    <w:rsid w:val="4B2330BA"/>
    <w:rsid w:val="4BB14D3E"/>
    <w:rsid w:val="4C477D06"/>
    <w:rsid w:val="4C575ADC"/>
    <w:rsid w:val="4C905D93"/>
    <w:rsid w:val="4DC744E1"/>
    <w:rsid w:val="4E0E2ABE"/>
    <w:rsid w:val="4E3A0F3E"/>
    <w:rsid w:val="4E3F18B1"/>
    <w:rsid w:val="4E5006D8"/>
    <w:rsid w:val="4EB56C3B"/>
    <w:rsid w:val="4F2E7D4A"/>
    <w:rsid w:val="4FA87551"/>
    <w:rsid w:val="4FB21842"/>
    <w:rsid w:val="509D0CE8"/>
    <w:rsid w:val="50AC6291"/>
    <w:rsid w:val="50E33C7D"/>
    <w:rsid w:val="5133724C"/>
    <w:rsid w:val="51782BA1"/>
    <w:rsid w:val="51931E30"/>
    <w:rsid w:val="51E25CD0"/>
    <w:rsid w:val="52B91CDE"/>
    <w:rsid w:val="53035F10"/>
    <w:rsid w:val="532A2606"/>
    <w:rsid w:val="5376763F"/>
    <w:rsid w:val="538C4158"/>
    <w:rsid w:val="53A25729"/>
    <w:rsid w:val="53C538F4"/>
    <w:rsid w:val="54590A95"/>
    <w:rsid w:val="553D7E00"/>
    <w:rsid w:val="557302C7"/>
    <w:rsid w:val="560327F0"/>
    <w:rsid w:val="562D5F59"/>
    <w:rsid w:val="56D66091"/>
    <w:rsid w:val="5728260C"/>
    <w:rsid w:val="5791114F"/>
    <w:rsid w:val="57B26D1A"/>
    <w:rsid w:val="57C850F2"/>
    <w:rsid w:val="57E51FEF"/>
    <w:rsid w:val="57FA4DB0"/>
    <w:rsid w:val="587B1A3E"/>
    <w:rsid w:val="589C5EB0"/>
    <w:rsid w:val="58AD22BC"/>
    <w:rsid w:val="590B532F"/>
    <w:rsid w:val="59AD4E28"/>
    <w:rsid w:val="59E92091"/>
    <w:rsid w:val="5A5D23AA"/>
    <w:rsid w:val="5B9526A5"/>
    <w:rsid w:val="5C194646"/>
    <w:rsid w:val="5C432CA5"/>
    <w:rsid w:val="5C7B05AD"/>
    <w:rsid w:val="5C8B59FB"/>
    <w:rsid w:val="5CA14C04"/>
    <w:rsid w:val="5CF95EB8"/>
    <w:rsid w:val="5D51360E"/>
    <w:rsid w:val="5EAA2EE1"/>
    <w:rsid w:val="5EB943F7"/>
    <w:rsid w:val="5EE333A6"/>
    <w:rsid w:val="5EEC2746"/>
    <w:rsid w:val="5EFD0600"/>
    <w:rsid w:val="5F780E0F"/>
    <w:rsid w:val="5FB16240"/>
    <w:rsid w:val="5FE24422"/>
    <w:rsid w:val="5FE50461"/>
    <w:rsid w:val="6031556F"/>
    <w:rsid w:val="60760DA7"/>
    <w:rsid w:val="60F174B7"/>
    <w:rsid w:val="611913F0"/>
    <w:rsid w:val="61A16820"/>
    <w:rsid w:val="62445266"/>
    <w:rsid w:val="624D0E15"/>
    <w:rsid w:val="634405AB"/>
    <w:rsid w:val="63EB4022"/>
    <w:rsid w:val="641C036F"/>
    <w:rsid w:val="64351138"/>
    <w:rsid w:val="64B67645"/>
    <w:rsid w:val="653164AB"/>
    <w:rsid w:val="65583504"/>
    <w:rsid w:val="656A3B7A"/>
    <w:rsid w:val="669258FE"/>
    <w:rsid w:val="66E90D3E"/>
    <w:rsid w:val="679C4E12"/>
    <w:rsid w:val="68525131"/>
    <w:rsid w:val="68993E11"/>
    <w:rsid w:val="692273C1"/>
    <w:rsid w:val="6947366C"/>
    <w:rsid w:val="695F1E94"/>
    <w:rsid w:val="69C46AC9"/>
    <w:rsid w:val="69FC40B4"/>
    <w:rsid w:val="6A5A3ADE"/>
    <w:rsid w:val="6AFF300A"/>
    <w:rsid w:val="6B1D70F1"/>
    <w:rsid w:val="6B323582"/>
    <w:rsid w:val="6B5E6BE6"/>
    <w:rsid w:val="6BA96AC6"/>
    <w:rsid w:val="6C850F7D"/>
    <w:rsid w:val="6DB66FB1"/>
    <w:rsid w:val="6DD82578"/>
    <w:rsid w:val="6E340719"/>
    <w:rsid w:val="6E4F452D"/>
    <w:rsid w:val="6E936463"/>
    <w:rsid w:val="6EE10A2C"/>
    <w:rsid w:val="6F253876"/>
    <w:rsid w:val="6F70292D"/>
    <w:rsid w:val="6F927CFC"/>
    <w:rsid w:val="6FC36CE6"/>
    <w:rsid w:val="6FCE529B"/>
    <w:rsid w:val="6FFF7EA9"/>
    <w:rsid w:val="70454C61"/>
    <w:rsid w:val="70782134"/>
    <w:rsid w:val="70A46B2D"/>
    <w:rsid w:val="71000B1B"/>
    <w:rsid w:val="71D56CAE"/>
    <w:rsid w:val="71D675CA"/>
    <w:rsid w:val="722A35C5"/>
    <w:rsid w:val="72504B9F"/>
    <w:rsid w:val="72C31A2F"/>
    <w:rsid w:val="736C5FB0"/>
    <w:rsid w:val="740F6F6A"/>
    <w:rsid w:val="742069CD"/>
    <w:rsid w:val="74633434"/>
    <w:rsid w:val="74831F06"/>
    <w:rsid w:val="74A507B9"/>
    <w:rsid w:val="750257B8"/>
    <w:rsid w:val="755844DF"/>
    <w:rsid w:val="764240BB"/>
    <w:rsid w:val="7644739B"/>
    <w:rsid w:val="76753AB8"/>
    <w:rsid w:val="76C02525"/>
    <w:rsid w:val="76DD1DE8"/>
    <w:rsid w:val="76EFF328"/>
    <w:rsid w:val="76F24DEB"/>
    <w:rsid w:val="77052E16"/>
    <w:rsid w:val="777A3593"/>
    <w:rsid w:val="777D24CE"/>
    <w:rsid w:val="77825418"/>
    <w:rsid w:val="779D278B"/>
    <w:rsid w:val="77BC682F"/>
    <w:rsid w:val="77DD2846"/>
    <w:rsid w:val="783F6C39"/>
    <w:rsid w:val="789C3CE3"/>
    <w:rsid w:val="78FC4CC2"/>
    <w:rsid w:val="790C54A3"/>
    <w:rsid w:val="79790474"/>
    <w:rsid w:val="7A3937B8"/>
    <w:rsid w:val="7B2A6109"/>
    <w:rsid w:val="7B91286E"/>
    <w:rsid w:val="7B9A2899"/>
    <w:rsid w:val="7C5B0523"/>
    <w:rsid w:val="7CC42D64"/>
    <w:rsid w:val="7D061CD0"/>
    <w:rsid w:val="7D5FF838"/>
    <w:rsid w:val="7D9E5AC7"/>
    <w:rsid w:val="7DE53DB9"/>
    <w:rsid w:val="7DFDDD75"/>
    <w:rsid w:val="7E2B2DFF"/>
    <w:rsid w:val="7E634873"/>
    <w:rsid w:val="7E667290"/>
    <w:rsid w:val="7E9310B4"/>
    <w:rsid w:val="7EB61509"/>
    <w:rsid w:val="7EBA572E"/>
    <w:rsid w:val="7F791B67"/>
    <w:rsid w:val="7FA10D1A"/>
    <w:rsid w:val="7FFC0B43"/>
    <w:rsid w:val="D4C7F157"/>
    <w:rsid w:val="E375CE05"/>
    <w:rsid w:val="FBFF17B8"/>
    <w:rsid w:val="FF9F12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0"/>
    <w:pPr>
      <w:keepNext/>
      <w:keepLines/>
      <w:spacing w:before="340" w:after="330" w:line="578" w:lineRule="auto"/>
      <w:jc w:val="center"/>
      <w:outlineLvl w:val="0"/>
    </w:pPr>
    <w:rPr>
      <w:rFonts w:eastAsia="华文中宋"/>
      <w:b/>
      <w:bCs/>
      <w:kern w:val="44"/>
      <w:sz w:val="44"/>
      <w:szCs w:val="44"/>
    </w:rPr>
  </w:style>
  <w:style w:type="paragraph" w:styleId="3">
    <w:name w:val="heading 2"/>
    <w:basedOn w:val="1"/>
    <w:next w:val="1"/>
    <w:link w:val="40"/>
    <w:qFormat/>
    <w:uiPriority w:val="0"/>
    <w:pPr>
      <w:keepNext/>
      <w:keepLines/>
      <w:spacing w:before="156" w:beforeLines="50" w:after="156" w:afterLines="50"/>
      <w:contextualSpacing/>
      <w:outlineLvl w:val="1"/>
    </w:pPr>
    <w:rPr>
      <w:rFonts w:ascii="Arial" w:hAnsi="Arial" w:eastAsia="黑体"/>
      <w:bCs/>
      <w:kern w:val="0"/>
      <w:sz w:val="30"/>
      <w:szCs w:val="32"/>
    </w:rPr>
  </w:style>
  <w:style w:type="paragraph" w:styleId="4">
    <w:name w:val="heading 3"/>
    <w:basedOn w:val="1"/>
    <w:next w:val="1"/>
    <w:link w:val="37"/>
    <w:qFormat/>
    <w:uiPriority w:val="0"/>
    <w:pPr>
      <w:keepNext/>
      <w:keepLines/>
      <w:spacing w:before="260" w:after="260" w:line="416" w:lineRule="auto"/>
      <w:outlineLvl w:val="2"/>
    </w:pPr>
    <w:rPr>
      <w:rFonts w:eastAsia="黑体"/>
      <w:bCs/>
      <w:kern w:val="0"/>
      <w:sz w:val="28"/>
      <w:szCs w:val="32"/>
    </w:rPr>
  </w:style>
  <w:style w:type="paragraph" w:styleId="5">
    <w:name w:val="heading 4"/>
    <w:basedOn w:val="4"/>
    <w:next w:val="1"/>
    <w:link w:val="36"/>
    <w:qFormat/>
    <w:uiPriority w:val="0"/>
    <w:pPr>
      <w:spacing w:line="415" w:lineRule="auto"/>
      <w:outlineLvl w:val="3"/>
    </w:pPr>
    <w:rPr>
      <w:rFonts w:ascii="宋体" w:hAnsi="宋体"/>
      <w:color w:val="000000"/>
    </w:rPr>
  </w:style>
  <w:style w:type="paragraph" w:styleId="6">
    <w:name w:val="heading 5"/>
    <w:basedOn w:val="1"/>
    <w:next w:val="1"/>
    <w:link w:val="39"/>
    <w:qFormat/>
    <w:uiPriority w:val="0"/>
    <w:pPr>
      <w:keepNext/>
      <w:keepLines/>
      <w:spacing w:before="280" w:after="290" w:line="376" w:lineRule="auto"/>
      <w:outlineLvl w:val="4"/>
    </w:pPr>
    <w:rPr>
      <w:rFonts w:eastAsia="黑体"/>
      <w:bCs/>
      <w:kern w:val="0"/>
      <w:sz w:val="24"/>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toc 3"/>
    <w:basedOn w:val="1"/>
    <w:next w:val="1"/>
    <w:qFormat/>
    <w:uiPriority w:val="0"/>
    <w:pPr>
      <w:ind w:left="840" w:leftChars="400"/>
    </w:pPr>
  </w:style>
  <w:style w:type="paragraph" w:styleId="10">
    <w:name w:val="Plain Text"/>
    <w:basedOn w:val="1"/>
    <w:next w:val="1"/>
    <w:link w:val="38"/>
    <w:qFormat/>
    <w:uiPriority w:val="0"/>
    <w:rPr>
      <w:rFonts w:ascii="宋体" w:hAnsi="Courier New"/>
      <w:kern w:val="0"/>
      <w:sz w:val="20"/>
      <w:szCs w:val="21"/>
    </w:rPr>
  </w:style>
  <w:style w:type="paragraph" w:styleId="11">
    <w:name w:val="Balloon Text"/>
    <w:basedOn w:val="1"/>
    <w:semiHidden/>
    <w:qFormat/>
    <w:uiPriority w:val="0"/>
    <w:rPr>
      <w:sz w:val="18"/>
      <w:szCs w:val="18"/>
    </w:rPr>
  </w:style>
  <w:style w:type="paragraph" w:styleId="12">
    <w:name w:val="footer"/>
    <w:basedOn w:val="1"/>
    <w:link w:val="31"/>
    <w:qFormat/>
    <w:uiPriority w:val="0"/>
    <w:pPr>
      <w:tabs>
        <w:tab w:val="center" w:pos="4153"/>
        <w:tab w:val="right" w:pos="8306"/>
      </w:tabs>
      <w:snapToGrid w:val="0"/>
      <w:jc w:val="left"/>
    </w:pPr>
    <w:rPr>
      <w:kern w:val="0"/>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qFormat/>
    <w:uiPriority w:val="0"/>
  </w:style>
  <w:style w:type="paragraph" w:styleId="15">
    <w:name w:val="List"/>
    <w:basedOn w:val="1"/>
    <w:qFormat/>
    <w:uiPriority w:val="0"/>
    <w:pPr>
      <w:ind w:left="200" w:hanging="200" w:hangingChars="200"/>
    </w:pPr>
  </w:style>
  <w:style w:type="paragraph" w:styleId="16">
    <w:name w:val="toc 2"/>
    <w:basedOn w:val="1"/>
    <w:next w:val="1"/>
    <w:qFormat/>
    <w:uiPriority w:val="0"/>
    <w:pPr>
      <w:ind w:left="420" w:leftChars="200"/>
    </w:pPr>
    <w:rPr>
      <w:szCs w:val="21"/>
    </w:rPr>
  </w:style>
  <w:style w:type="paragraph" w:styleId="17">
    <w:name w:val="Body Text First Indent"/>
    <w:basedOn w:val="8"/>
    <w:link w:val="41"/>
    <w:qFormat/>
    <w:uiPriority w:val="0"/>
    <w:pPr>
      <w:ind w:firstLine="420" w:firstLineChars="100"/>
    </w:pPr>
    <w:rPr>
      <w:rFonts w:ascii="Calibri" w:hAnsi="Calibri"/>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Emphasis"/>
    <w:basedOn w:val="20"/>
    <w:qFormat/>
    <w:uiPriority w:val="0"/>
    <w:rPr>
      <w:i/>
    </w:rPr>
  </w:style>
  <w:style w:type="paragraph" w:customStyle="1" w:styleId="2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4">
    <w:name w:val="List Paragraph"/>
    <w:basedOn w:val="1"/>
    <w:qFormat/>
    <w:uiPriority w:val="34"/>
    <w:pPr>
      <w:ind w:firstLine="420" w:firstLineChars="200"/>
    </w:pPr>
    <w:rPr>
      <w:szCs w:val="20"/>
    </w:rPr>
  </w:style>
  <w:style w:type="paragraph" w:customStyle="1" w:styleId="25">
    <w:name w:val="段"/>
    <w:qFormat/>
    <w:uiPriority w:val="0"/>
    <w:pPr>
      <w:autoSpaceDE w:val="0"/>
      <w:autoSpaceDN w:val="0"/>
      <w:spacing w:line="0" w:lineRule="atLeast"/>
      <w:ind w:firstLine="200" w:firstLineChars="200"/>
      <w:jc w:val="both"/>
    </w:pPr>
    <w:rPr>
      <w:rFonts w:hint="eastAsia" w:ascii="宋体" w:hAnsi="Times New Roman" w:eastAsia="宋体" w:cs="Times New Roman"/>
      <w:sz w:val="21"/>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列出段落111"/>
    <w:basedOn w:val="1"/>
    <w:qFormat/>
    <w:uiPriority w:val="34"/>
    <w:pPr>
      <w:spacing w:after="200" w:line="276" w:lineRule="auto"/>
      <w:ind w:firstLine="420" w:firstLineChars="200"/>
      <w:jc w:val="left"/>
    </w:pPr>
    <w:rPr>
      <w:kern w:val="0"/>
      <w:sz w:val="22"/>
      <w:lang w:eastAsia="en-US"/>
    </w:rPr>
  </w:style>
  <w:style w:type="paragraph" w:customStyle="1" w:styleId="28">
    <w:name w:val="样式 首行缩进:  0.85 厘米"/>
    <w:basedOn w:val="1"/>
    <w:link w:val="33"/>
    <w:qFormat/>
    <w:uiPriority w:val="0"/>
    <w:pPr>
      <w:spacing w:line="360" w:lineRule="auto"/>
      <w:ind w:firstLine="482"/>
    </w:pPr>
    <w:rPr>
      <w:sz w:val="24"/>
      <w:szCs w:val="20"/>
    </w:rPr>
  </w:style>
  <w:style w:type="paragraph" w:customStyle="1" w:styleId="29">
    <w:name w:val="3eee"/>
    <w:basedOn w:val="1"/>
    <w:link w:val="32"/>
    <w:qFormat/>
    <w:uiPriority w:val="0"/>
    <w:pPr>
      <w:spacing w:line="440" w:lineRule="exact"/>
      <w:ind w:firstLine="480" w:firstLineChars="200"/>
    </w:pPr>
    <w:rPr>
      <w:rFonts w:ascii="宋体" w:hAnsi="宋体"/>
      <w:sz w:val="24"/>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1">
    <w:name w:val="页脚 字符"/>
    <w:link w:val="12"/>
    <w:qFormat/>
    <w:uiPriority w:val="0"/>
    <w:rPr>
      <w:rFonts w:eastAsia="宋体"/>
      <w:sz w:val="18"/>
      <w:szCs w:val="18"/>
      <w:lang w:bidi="ar-SA"/>
    </w:rPr>
  </w:style>
  <w:style w:type="character" w:customStyle="1" w:styleId="32">
    <w:name w:val="3eee Char"/>
    <w:link w:val="29"/>
    <w:qFormat/>
    <w:uiPriority w:val="0"/>
    <w:rPr>
      <w:rFonts w:ascii="宋体" w:hAnsi="宋体" w:cs="宋体"/>
      <w:kern w:val="2"/>
      <w:sz w:val="24"/>
      <w:szCs w:val="24"/>
    </w:rPr>
  </w:style>
  <w:style w:type="character" w:customStyle="1" w:styleId="33">
    <w:name w:val="样式 首行缩进:  0.85 厘米 Char"/>
    <w:link w:val="28"/>
    <w:qFormat/>
    <w:uiPriority w:val="0"/>
    <w:rPr>
      <w:kern w:val="2"/>
      <w:sz w:val="24"/>
    </w:rPr>
  </w:style>
  <w:style w:type="character" w:customStyle="1" w:styleId="34">
    <w:name w:val="标题 1 字符"/>
    <w:link w:val="2"/>
    <w:qFormat/>
    <w:uiPriority w:val="0"/>
    <w:rPr>
      <w:rFonts w:eastAsia="华文中宋"/>
      <w:b/>
      <w:bCs/>
      <w:kern w:val="44"/>
      <w:sz w:val="44"/>
      <w:szCs w:val="44"/>
      <w:lang w:val="en-US" w:eastAsia="zh-CN" w:bidi="ar-SA"/>
    </w:rPr>
  </w:style>
  <w:style w:type="character" w:customStyle="1" w:styleId="35">
    <w:name w:val="页眉 字符"/>
    <w:link w:val="13"/>
    <w:qFormat/>
    <w:uiPriority w:val="0"/>
    <w:rPr>
      <w:rFonts w:eastAsia="宋体"/>
      <w:sz w:val="18"/>
      <w:szCs w:val="18"/>
      <w:lang w:bidi="ar-SA"/>
    </w:rPr>
  </w:style>
  <w:style w:type="character" w:customStyle="1" w:styleId="36">
    <w:name w:val="标题 4 字符"/>
    <w:link w:val="5"/>
    <w:qFormat/>
    <w:uiPriority w:val="0"/>
    <w:rPr>
      <w:rFonts w:ascii="宋体" w:hAnsi="宋体" w:eastAsia="黑体"/>
      <w:bCs/>
      <w:color w:val="000000"/>
      <w:sz w:val="28"/>
      <w:szCs w:val="32"/>
      <w:lang w:val="en-US" w:eastAsia="zh-CN" w:bidi="ar-SA"/>
    </w:rPr>
  </w:style>
  <w:style w:type="character" w:customStyle="1" w:styleId="37">
    <w:name w:val="标题 3 字符"/>
    <w:link w:val="4"/>
    <w:qFormat/>
    <w:uiPriority w:val="0"/>
    <w:rPr>
      <w:rFonts w:eastAsia="黑体"/>
      <w:bCs/>
      <w:sz w:val="28"/>
      <w:szCs w:val="32"/>
      <w:lang w:val="en-US" w:eastAsia="zh-CN" w:bidi="ar-SA"/>
    </w:rPr>
  </w:style>
  <w:style w:type="character" w:customStyle="1" w:styleId="38">
    <w:name w:val="纯文本 字符"/>
    <w:link w:val="10"/>
    <w:qFormat/>
    <w:uiPriority w:val="0"/>
    <w:rPr>
      <w:rFonts w:ascii="宋体" w:hAnsi="Courier New" w:eastAsia="宋体"/>
      <w:szCs w:val="21"/>
      <w:lang w:bidi="ar-SA"/>
    </w:rPr>
  </w:style>
  <w:style w:type="character" w:customStyle="1" w:styleId="39">
    <w:name w:val="标题 5 字符"/>
    <w:link w:val="6"/>
    <w:qFormat/>
    <w:uiPriority w:val="0"/>
    <w:rPr>
      <w:rFonts w:eastAsia="黑体"/>
      <w:bCs/>
      <w:sz w:val="24"/>
      <w:szCs w:val="28"/>
      <w:lang w:val="en-US" w:eastAsia="zh-CN" w:bidi="ar-SA"/>
    </w:rPr>
  </w:style>
  <w:style w:type="character" w:customStyle="1" w:styleId="40">
    <w:name w:val="标题 2 字符"/>
    <w:link w:val="3"/>
    <w:qFormat/>
    <w:uiPriority w:val="0"/>
    <w:rPr>
      <w:rFonts w:ascii="Arial" w:hAnsi="Arial" w:eastAsia="黑体"/>
      <w:bCs/>
      <w:sz w:val="30"/>
      <w:szCs w:val="32"/>
      <w:lang w:val="en-US" w:eastAsia="zh-CN" w:bidi="ar-SA"/>
    </w:rPr>
  </w:style>
  <w:style w:type="character" w:customStyle="1" w:styleId="41">
    <w:name w:val="正文文本首行缩进 字符"/>
    <w:link w:val="17"/>
    <w:qFormat/>
    <w:uiPriority w:val="0"/>
    <w:rPr>
      <w:rFonts w:ascii="Calibri" w:hAnsi="Calibri" w:eastAsia="宋体"/>
      <w:kern w:val="2"/>
      <w:sz w:val="21"/>
      <w:szCs w:val="24"/>
      <w:lang w:val="en-US" w:eastAsia="zh-CN" w:bidi="ar-SA"/>
    </w:rPr>
  </w:style>
  <w:style w:type="paragraph" w:customStyle="1" w:styleId="42">
    <w:name w:val="[基本段落]"/>
    <w:basedOn w:val="43"/>
    <w:qFormat/>
    <w:uiPriority w:val="0"/>
  </w:style>
  <w:style w:type="paragraph" w:customStyle="1" w:styleId="43">
    <w:name w:val="[无段落样式]"/>
    <w:qFormat/>
    <w:uiPriority w:val="0"/>
    <w:pPr>
      <w:widowControl w:val="0"/>
      <w:autoSpaceDE w:val="0"/>
      <w:autoSpaceDN w:val="0"/>
      <w:spacing w:line="288" w:lineRule="auto"/>
      <w:jc w:val="both"/>
      <w:textAlignment w:val="center"/>
    </w:pPr>
    <w:rPr>
      <w:rFonts w:hint="eastAsia" w:ascii="宋体" w:hAnsi="宋体" w:eastAsia="宋体" w:cs="Times New Roman"/>
      <w:color w:val="000000"/>
      <w:sz w:val="24"/>
      <w:lang w:val="zh-CN" w:eastAsia="zh-CN" w:bidi="ar-SA"/>
    </w:rPr>
  </w:style>
  <w:style w:type="paragraph" w:customStyle="1" w:styleId="4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Www.SangSan.Cn</Company>
  <Pages>24</Pages>
  <Words>13249</Words>
  <Characters>14014</Characters>
  <Lines>110</Lines>
  <Paragraphs>30</Paragraphs>
  <TotalTime>7</TotalTime>
  <ScaleCrop>false</ScaleCrop>
  <LinksUpToDate>false</LinksUpToDate>
  <CharactersWithSpaces>14172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2020-02-11T10:25:00Z</dcterms:created>
  <dc:creator>赵冬芳</dc:creator>
  <cp:lastModifiedBy>ZJW嘉雯</cp:lastModifiedBy>
  <cp:lastPrinted>2021-12-02T17:48:00Z</cp:lastPrinted>
  <dcterms:modified xsi:type="dcterms:W3CDTF">2024-07-02T07:05:25Z</dcterms:modified>
  <dc:title>广州市第一人民医院整体扩建项目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0F22B7093AE345F4A9D3C1A78B20A4E9_13</vt:lpwstr>
  </property>
</Properties>
</file>