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spacing w:line="360" w:lineRule="auto"/>
        <w:jc w:val="center"/>
        <w:rPr>
          <w:rFonts w:hint="eastAsia" w:ascii="宋体" w:hAnsi="宋体" w:eastAsia="宋体" w:cs="宋体"/>
          <w:b/>
          <w:bCs/>
          <w:spacing w:val="26"/>
          <w:sz w:val="44"/>
          <w:szCs w:val="44"/>
          <w:highlight w:val="none"/>
          <w:lang w:eastAsia="zh-CN"/>
        </w:rPr>
      </w:pPr>
      <w:r>
        <w:rPr>
          <w:rFonts w:hint="eastAsia" w:ascii="宋体" w:hAnsi="宋体" w:cs="宋体"/>
          <w:b/>
          <w:bCs/>
          <w:spacing w:val="26"/>
          <w:sz w:val="44"/>
          <w:szCs w:val="44"/>
          <w:highlight w:val="none"/>
          <w:lang w:eastAsia="zh-CN"/>
        </w:rPr>
        <w:t>深业颐泽府二、三期厨电供货与安装工程（第二次招标）</w:t>
      </w:r>
    </w:p>
    <w:p>
      <w:pPr>
        <w:spacing w:line="600" w:lineRule="auto"/>
        <w:jc w:val="center"/>
        <w:outlineLvl w:val="0"/>
        <w:rPr>
          <w:rFonts w:ascii="宋体" w:hAnsi="宋体" w:cs="宋体"/>
          <w:b/>
          <w:bCs/>
          <w:spacing w:val="26"/>
          <w:sz w:val="48"/>
          <w:szCs w:val="48"/>
          <w:highlight w:val="none"/>
        </w:rPr>
      </w:pPr>
    </w:p>
    <w:p>
      <w:pPr>
        <w:spacing w:line="360" w:lineRule="auto"/>
        <w:jc w:val="center"/>
        <w:rPr>
          <w:rFonts w:ascii="宋体" w:hAnsi="宋体"/>
          <w:sz w:val="36"/>
          <w:highlight w:val="none"/>
          <w:u w:val="single"/>
        </w:rPr>
      </w:pPr>
    </w:p>
    <w:p>
      <w:pPr>
        <w:spacing w:line="360" w:lineRule="auto"/>
        <w:jc w:val="center"/>
        <w:rPr>
          <w:rFonts w:ascii="宋体" w:hAnsi="宋体"/>
          <w:sz w:val="36"/>
          <w:highlight w:val="none"/>
          <w:u w:val="single"/>
        </w:rPr>
      </w:pPr>
    </w:p>
    <w:p>
      <w:pPr>
        <w:spacing w:line="360" w:lineRule="auto"/>
        <w:jc w:val="center"/>
        <w:rPr>
          <w:rFonts w:ascii="宋体" w:hAnsi="宋体"/>
          <w:sz w:val="36"/>
          <w:highlight w:val="none"/>
          <w:u w:val="single"/>
        </w:rPr>
      </w:pPr>
    </w:p>
    <w:p>
      <w:pPr>
        <w:pStyle w:val="8"/>
        <w:rPr>
          <w:highlight w:val="none"/>
        </w:rPr>
      </w:pPr>
    </w:p>
    <w:p>
      <w:pPr>
        <w:spacing w:line="360" w:lineRule="auto"/>
        <w:jc w:val="center"/>
        <w:rPr>
          <w:rFonts w:ascii="宋体" w:hAnsi="宋体"/>
          <w:sz w:val="36"/>
          <w:highlight w:val="none"/>
          <w:u w:val="single"/>
        </w:rPr>
      </w:pPr>
    </w:p>
    <w:p>
      <w:pPr>
        <w:spacing w:line="360" w:lineRule="auto"/>
        <w:jc w:val="center"/>
        <w:rPr>
          <w:rFonts w:ascii="宋体" w:hAnsi="宋体"/>
          <w:sz w:val="36"/>
          <w:highlight w:val="none"/>
          <w:u w:val="single"/>
        </w:rPr>
      </w:pPr>
    </w:p>
    <w:p>
      <w:pPr>
        <w:spacing w:line="300" w:lineRule="auto"/>
        <w:jc w:val="center"/>
        <w:outlineLvl w:val="0"/>
        <w:rPr>
          <w:rFonts w:ascii="宋体" w:hAnsi="宋体"/>
          <w:b/>
          <w:bCs/>
          <w:spacing w:val="26"/>
          <w:sz w:val="96"/>
          <w:szCs w:val="96"/>
          <w:highlight w:val="none"/>
        </w:rPr>
      </w:pPr>
      <w:r>
        <w:rPr>
          <w:rFonts w:hint="eastAsia" w:ascii="宋体" w:hAnsi="宋体"/>
          <w:b/>
          <w:bCs/>
          <w:spacing w:val="26"/>
          <w:sz w:val="96"/>
          <w:szCs w:val="96"/>
          <w:highlight w:val="none"/>
        </w:rPr>
        <w:t>招标文件</w:t>
      </w:r>
    </w:p>
    <w:p>
      <w:pPr>
        <w:spacing w:line="360" w:lineRule="auto"/>
        <w:jc w:val="center"/>
        <w:rPr>
          <w:rFonts w:ascii="宋体" w:hAnsi="宋体"/>
          <w:sz w:val="32"/>
          <w:highlight w:val="none"/>
        </w:rPr>
      </w:pPr>
    </w:p>
    <w:p>
      <w:pPr>
        <w:spacing w:line="360" w:lineRule="auto"/>
        <w:ind w:firstLine="2560" w:firstLineChars="800"/>
        <w:rPr>
          <w:rFonts w:ascii="宋体" w:hAnsi="宋体"/>
          <w:sz w:val="32"/>
          <w:highlight w:val="none"/>
        </w:rPr>
      </w:pPr>
    </w:p>
    <w:p>
      <w:pPr>
        <w:spacing w:line="360" w:lineRule="auto"/>
        <w:rPr>
          <w:rFonts w:ascii="宋体" w:hAnsi="宋体"/>
          <w:sz w:val="52"/>
          <w:highlight w:val="none"/>
        </w:rPr>
      </w:pPr>
    </w:p>
    <w:p>
      <w:pPr>
        <w:spacing w:line="360" w:lineRule="auto"/>
        <w:rPr>
          <w:rFonts w:ascii="宋体" w:hAnsi="宋体"/>
          <w:sz w:val="52"/>
          <w:highlight w:val="none"/>
        </w:rPr>
      </w:pPr>
    </w:p>
    <w:p>
      <w:pPr>
        <w:spacing w:line="360" w:lineRule="auto"/>
        <w:rPr>
          <w:rFonts w:ascii="宋体" w:hAnsi="宋体"/>
          <w:sz w:val="52"/>
          <w:highlight w:val="none"/>
        </w:rPr>
      </w:pPr>
    </w:p>
    <w:p>
      <w:pPr>
        <w:spacing w:line="360" w:lineRule="auto"/>
        <w:ind w:firstLine="1500" w:firstLineChars="500"/>
        <w:outlineLvl w:val="0"/>
        <w:rPr>
          <w:rFonts w:ascii="宋体" w:hAnsi="宋体"/>
          <w:sz w:val="30"/>
          <w:szCs w:val="30"/>
          <w:highlight w:val="none"/>
          <w:u w:val="single"/>
        </w:rPr>
      </w:pPr>
      <w:r>
        <w:rPr>
          <w:rFonts w:hint="eastAsia" w:ascii="宋体" w:hAnsi="宋体"/>
          <w:sz w:val="30"/>
          <w:szCs w:val="30"/>
          <w:highlight w:val="none"/>
        </w:rPr>
        <w:t>招标单位：</w:t>
      </w:r>
      <w:r>
        <w:rPr>
          <w:rFonts w:hint="eastAsia" w:ascii="宋体" w:hAnsi="宋体"/>
          <w:sz w:val="30"/>
          <w:szCs w:val="30"/>
          <w:highlight w:val="none"/>
          <w:u w:val="single"/>
        </w:rPr>
        <w:t>深业置地（广州）有限公司</w:t>
      </w:r>
    </w:p>
    <w:p>
      <w:pPr>
        <w:spacing w:line="360" w:lineRule="auto"/>
        <w:ind w:firstLine="1500" w:firstLineChars="500"/>
        <w:outlineLvl w:val="0"/>
        <w:rPr>
          <w:rFonts w:ascii="宋体" w:hAnsi="宋体"/>
          <w:sz w:val="30"/>
          <w:szCs w:val="30"/>
          <w:highlight w:val="none"/>
          <w:u w:val="single"/>
        </w:rPr>
      </w:pPr>
      <w:r>
        <w:rPr>
          <w:rFonts w:hint="eastAsia" w:ascii="宋体" w:hAnsi="宋体"/>
          <w:sz w:val="30"/>
          <w:szCs w:val="30"/>
          <w:highlight w:val="none"/>
        </w:rPr>
        <w:t>招标代理单位：</w:t>
      </w:r>
      <w:r>
        <w:rPr>
          <w:rFonts w:hint="eastAsia" w:ascii="宋体" w:hAnsi="宋体"/>
          <w:sz w:val="30"/>
          <w:szCs w:val="30"/>
          <w:highlight w:val="none"/>
          <w:u w:val="single"/>
        </w:rPr>
        <w:t>广东粤能工程管理有限公司</w:t>
      </w:r>
    </w:p>
    <w:p>
      <w:pPr>
        <w:spacing w:line="360" w:lineRule="auto"/>
        <w:ind w:firstLine="1500" w:firstLineChars="500"/>
        <w:outlineLvl w:val="0"/>
        <w:rPr>
          <w:rFonts w:ascii="宋体" w:hAnsi="宋体"/>
          <w:sz w:val="30"/>
          <w:szCs w:val="30"/>
          <w:highlight w:val="none"/>
        </w:rPr>
      </w:pPr>
      <w:r>
        <w:rPr>
          <w:rFonts w:hint="eastAsia" w:ascii="宋体" w:hAnsi="宋体"/>
          <w:sz w:val="30"/>
          <w:szCs w:val="30"/>
          <w:highlight w:val="none"/>
        </w:rPr>
        <w:t>日        期：</w:t>
      </w:r>
      <w:r>
        <w:rPr>
          <w:rFonts w:hint="eastAsia" w:ascii="宋体" w:hAnsi="宋体"/>
          <w:sz w:val="30"/>
          <w:szCs w:val="30"/>
          <w:highlight w:val="none"/>
          <w:u w:val="single"/>
        </w:rPr>
        <w:t>2024年</w:t>
      </w:r>
      <w:r>
        <w:rPr>
          <w:rFonts w:hint="eastAsia" w:ascii="宋体" w:hAnsi="宋体"/>
          <w:sz w:val="30"/>
          <w:szCs w:val="30"/>
          <w:highlight w:val="none"/>
          <w:u w:val="single"/>
          <w:lang w:val="en-US" w:eastAsia="zh-CN"/>
        </w:rPr>
        <w:t>7</w:t>
      </w:r>
      <w:r>
        <w:rPr>
          <w:rFonts w:hint="eastAsia" w:ascii="宋体" w:hAnsi="宋体"/>
          <w:sz w:val="30"/>
          <w:szCs w:val="30"/>
          <w:highlight w:val="none"/>
          <w:u w:val="single"/>
        </w:rPr>
        <w:t>月</w:t>
      </w:r>
    </w:p>
    <w:p>
      <w:pPr>
        <w:jc w:val="center"/>
        <w:outlineLvl w:val="1"/>
        <w:rPr>
          <w:rFonts w:ascii="宋体" w:hAnsi="宋体"/>
          <w:b/>
          <w:caps/>
          <w:kern w:val="0"/>
          <w:sz w:val="44"/>
          <w:szCs w:val="44"/>
          <w:highlight w:val="none"/>
        </w:rPr>
      </w:pPr>
      <w:r>
        <w:rPr>
          <w:rStyle w:val="46"/>
          <w:rFonts w:ascii="宋体" w:hAnsi="宋体"/>
          <w:b/>
          <w:bCs/>
          <w:color w:val="auto"/>
          <w:highlight w:val="none"/>
        </w:rPr>
        <w:br w:type="page"/>
      </w:r>
      <w:r>
        <w:rPr>
          <w:rStyle w:val="46"/>
          <w:rFonts w:hint="eastAsia" w:ascii="宋体" w:hAnsi="宋体"/>
          <w:b/>
          <w:bCs/>
          <w:color w:val="auto"/>
          <w:sz w:val="44"/>
          <w:szCs w:val="44"/>
          <w:highlight w:val="none"/>
          <w:u w:val="none"/>
        </w:rPr>
        <w:t>目   录</w:t>
      </w:r>
    </w:p>
    <w:p>
      <w:pPr>
        <w:pStyle w:val="30"/>
        <w:tabs>
          <w:tab w:val="right" w:leader="dot" w:pos="9060"/>
        </w:tabs>
        <w:rPr>
          <w:rFonts w:cs="Times New Roman"/>
          <w:b w:val="0"/>
          <w:bCs w:val="0"/>
          <w:caps w:val="0"/>
          <w:sz w:val="21"/>
          <w:szCs w:val="22"/>
          <w:highlight w:val="none"/>
        </w:rPr>
      </w:pPr>
      <w:r>
        <w:rPr>
          <w:rFonts w:ascii="宋体" w:hAnsi="宋体"/>
          <w:highlight w:val="none"/>
        </w:rPr>
        <w:fldChar w:fldCharType="begin"/>
      </w:r>
      <w:r>
        <w:rPr>
          <w:rFonts w:ascii="宋体" w:hAnsi="宋体"/>
          <w:highlight w:val="none"/>
        </w:rPr>
        <w:instrText xml:space="preserve"> TOC \o "1-3" \h \z \u </w:instrText>
      </w:r>
      <w:r>
        <w:rPr>
          <w:rFonts w:ascii="宋体" w:hAnsi="宋体"/>
          <w:highlight w:val="none"/>
        </w:rPr>
        <w:fldChar w:fldCharType="separate"/>
      </w:r>
      <w:r>
        <w:rPr>
          <w:highlight w:val="none"/>
        </w:rPr>
        <w:fldChar w:fldCharType="begin"/>
      </w:r>
      <w:r>
        <w:rPr>
          <w:highlight w:val="none"/>
        </w:rPr>
        <w:instrText xml:space="preserve"> HYPERLINK \l "_Toc80289059" </w:instrText>
      </w:r>
      <w:r>
        <w:rPr>
          <w:highlight w:val="none"/>
        </w:rPr>
        <w:fldChar w:fldCharType="separate"/>
      </w:r>
      <w:r>
        <w:rPr>
          <w:rStyle w:val="46"/>
          <w:rFonts w:hint="eastAsia" w:ascii="宋体" w:hAnsi="宋体"/>
          <w:color w:val="auto"/>
          <w:highlight w:val="none"/>
        </w:rPr>
        <w:t>第一章投标须知</w:t>
      </w:r>
      <w:r>
        <w:rPr>
          <w:highlight w:val="none"/>
        </w:rPr>
        <w:tab/>
      </w:r>
      <w:r>
        <w:rPr>
          <w:rFonts w:hint="eastAsia"/>
          <w:highlight w:val="none"/>
          <w:lang w:val="en-US" w:eastAsia="zh-CN"/>
        </w:rPr>
        <w:t>2</w:t>
      </w:r>
      <w:r>
        <w:rPr>
          <w:highlight w:val="none"/>
        </w:rPr>
        <w:fldChar w:fldCharType="end"/>
      </w:r>
    </w:p>
    <w:p>
      <w:pPr>
        <w:pStyle w:val="35"/>
        <w:tabs>
          <w:tab w:val="right" w:leader="dot" w:pos="9060"/>
        </w:tabs>
        <w:rPr>
          <w:rFonts w:cs="Times New Roman"/>
          <w:smallCaps w:val="0"/>
          <w:sz w:val="21"/>
          <w:szCs w:val="22"/>
          <w:highlight w:val="none"/>
        </w:rPr>
      </w:pPr>
      <w:r>
        <w:rPr>
          <w:highlight w:val="none"/>
        </w:rPr>
        <w:fldChar w:fldCharType="begin"/>
      </w:r>
      <w:r>
        <w:rPr>
          <w:highlight w:val="none"/>
        </w:rPr>
        <w:instrText xml:space="preserve"> HYPERLINK \l "_Toc80289060" </w:instrText>
      </w:r>
      <w:r>
        <w:rPr>
          <w:highlight w:val="none"/>
        </w:rPr>
        <w:fldChar w:fldCharType="separate"/>
      </w:r>
      <w:r>
        <w:rPr>
          <w:rStyle w:val="46"/>
          <w:rFonts w:hint="eastAsia"/>
          <w:color w:val="auto"/>
          <w:highlight w:val="none"/>
        </w:rPr>
        <w:t>一、投标须知前附表</w:t>
      </w:r>
      <w:r>
        <w:rPr>
          <w:highlight w:val="none"/>
        </w:rPr>
        <w:tab/>
      </w:r>
      <w:r>
        <w:rPr>
          <w:highlight w:val="none"/>
        </w:rPr>
        <w:fldChar w:fldCharType="begin"/>
      </w:r>
      <w:r>
        <w:rPr>
          <w:highlight w:val="none"/>
        </w:rPr>
        <w:instrText xml:space="preserve"> PAGEREF _Toc80289060 \h </w:instrText>
      </w:r>
      <w:r>
        <w:rPr>
          <w:highlight w:val="none"/>
        </w:rPr>
        <w:fldChar w:fldCharType="separate"/>
      </w:r>
      <w:r>
        <w:rPr>
          <w:highlight w:val="none"/>
        </w:rPr>
        <w:t>2</w:t>
      </w:r>
      <w:r>
        <w:rPr>
          <w:highlight w:val="none"/>
        </w:rPr>
        <w:fldChar w:fldCharType="end"/>
      </w:r>
      <w:r>
        <w:rPr>
          <w:highlight w:val="none"/>
        </w:rPr>
        <w:fldChar w:fldCharType="end"/>
      </w:r>
    </w:p>
    <w:p>
      <w:pPr>
        <w:pStyle w:val="35"/>
        <w:tabs>
          <w:tab w:val="right" w:leader="dot" w:pos="9060"/>
        </w:tabs>
        <w:rPr>
          <w:rFonts w:cs="Times New Roman"/>
          <w:smallCaps w:val="0"/>
          <w:sz w:val="21"/>
          <w:szCs w:val="22"/>
          <w:highlight w:val="none"/>
        </w:rPr>
      </w:pPr>
      <w:r>
        <w:rPr>
          <w:highlight w:val="none"/>
        </w:rPr>
        <w:fldChar w:fldCharType="begin"/>
      </w:r>
      <w:r>
        <w:rPr>
          <w:highlight w:val="none"/>
        </w:rPr>
        <w:instrText xml:space="preserve"> HYPERLINK \l "_Toc80289061" </w:instrText>
      </w:r>
      <w:r>
        <w:rPr>
          <w:highlight w:val="none"/>
        </w:rPr>
        <w:fldChar w:fldCharType="separate"/>
      </w:r>
      <w:r>
        <w:rPr>
          <w:rStyle w:val="46"/>
          <w:rFonts w:hint="eastAsia"/>
          <w:color w:val="auto"/>
          <w:highlight w:val="none"/>
        </w:rPr>
        <w:t>二、投标须知修改表</w:t>
      </w:r>
      <w:r>
        <w:rPr>
          <w:highlight w:val="none"/>
        </w:rPr>
        <w:tab/>
      </w:r>
      <w:r>
        <w:rPr>
          <w:highlight w:val="none"/>
        </w:rPr>
        <w:fldChar w:fldCharType="begin"/>
      </w:r>
      <w:r>
        <w:rPr>
          <w:highlight w:val="none"/>
        </w:rPr>
        <w:instrText xml:space="preserve"> PAGEREF _Toc80289061 \h </w:instrText>
      </w:r>
      <w:r>
        <w:rPr>
          <w:highlight w:val="none"/>
        </w:rPr>
        <w:fldChar w:fldCharType="separate"/>
      </w:r>
      <w:r>
        <w:rPr>
          <w:highlight w:val="none"/>
        </w:rPr>
        <w:t>8</w:t>
      </w:r>
      <w:r>
        <w:rPr>
          <w:highlight w:val="none"/>
        </w:rPr>
        <w:fldChar w:fldCharType="end"/>
      </w:r>
      <w:r>
        <w:rPr>
          <w:highlight w:val="none"/>
        </w:rPr>
        <w:fldChar w:fldCharType="end"/>
      </w:r>
    </w:p>
    <w:p>
      <w:pPr>
        <w:pStyle w:val="35"/>
        <w:tabs>
          <w:tab w:val="right" w:leader="dot" w:pos="9060"/>
        </w:tabs>
        <w:rPr>
          <w:rFonts w:cs="Times New Roman"/>
          <w:smallCaps w:val="0"/>
          <w:sz w:val="21"/>
          <w:szCs w:val="22"/>
          <w:highlight w:val="none"/>
        </w:rPr>
      </w:pPr>
      <w:r>
        <w:rPr>
          <w:highlight w:val="none"/>
        </w:rPr>
        <w:fldChar w:fldCharType="begin"/>
      </w:r>
      <w:r>
        <w:rPr>
          <w:highlight w:val="none"/>
        </w:rPr>
        <w:instrText xml:space="preserve"> HYPERLINK \l "_Toc80289062" </w:instrText>
      </w:r>
      <w:r>
        <w:rPr>
          <w:highlight w:val="none"/>
        </w:rPr>
        <w:fldChar w:fldCharType="separate"/>
      </w:r>
      <w:r>
        <w:rPr>
          <w:rStyle w:val="46"/>
          <w:rFonts w:hint="eastAsia"/>
          <w:color w:val="auto"/>
          <w:highlight w:val="none"/>
        </w:rPr>
        <w:t>三、投标须知通用条款</w:t>
      </w:r>
      <w:r>
        <w:rPr>
          <w:highlight w:val="none"/>
        </w:rPr>
        <w:tab/>
      </w:r>
      <w:r>
        <w:rPr>
          <w:highlight w:val="none"/>
        </w:rPr>
        <w:fldChar w:fldCharType="begin"/>
      </w:r>
      <w:r>
        <w:rPr>
          <w:highlight w:val="none"/>
        </w:rPr>
        <w:instrText xml:space="preserve"> PAGEREF _Toc80289062 \h </w:instrText>
      </w:r>
      <w:r>
        <w:rPr>
          <w:highlight w:val="none"/>
        </w:rPr>
        <w:fldChar w:fldCharType="separate"/>
      </w:r>
      <w:r>
        <w:rPr>
          <w:highlight w:val="none"/>
        </w:rPr>
        <w:t>21</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"_Toc80289063" </w:instrText>
      </w:r>
      <w:r>
        <w:rPr>
          <w:highlight w:val="none"/>
        </w:rPr>
        <w:fldChar w:fldCharType="separate"/>
      </w:r>
      <w:r>
        <w:rPr>
          <w:rStyle w:val="46"/>
          <w:rFonts w:hint="eastAsia"/>
          <w:color w:val="auto"/>
          <w:highlight w:val="none"/>
        </w:rPr>
        <w:t>（一）总则</w:t>
      </w:r>
      <w:r>
        <w:rPr>
          <w:highlight w:val="none"/>
        </w:rPr>
        <w:tab/>
      </w:r>
      <w:r>
        <w:rPr>
          <w:highlight w:val="none"/>
        </w:rPr>
        <w:fldChar w:fldCharType="begin"/>
      </w:r>
      <w:r>
        <w:rPr>
          <w:highlight w:val="none"/>
        </w:rPr>
        <w:instrText xml:space="preserve"> PAGEREF _Toc80289063 \h </w:instrText>
      </w:r>
      <w:r>
        <w:rPr>
          <w:highlight w:val="none"/>
        </w:rPr>
        <w:fldChar w:fldCharType="separate"/>
      </w:r>
      <w:r>
        <w:rPr>
          <w:highlight w:val="none"/>
        </w:rPr>
        <w:t>21</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"_Toc80289064" </w:instrText>
      </w:r>
      <w:r>
        <w:rPr>
          <w:highlight w:val="none"/>
        </w:rPr>
        <w:fldChar w:fldCharType="separate"/>
      </w:r>
      <w:r>
        <w:rPr>
          <w:rStyle w:val="46"/>
          <w:rFonts w:hint="eastAsia"/>
          <w:color w:val="auto"/>
          <w:highlight w:val="none"/>
        </w:rPr>
        <w:t>（二）招标文件</w:t>
      </w:r>
      <w:r>
        <w:rPr>
          <w:highlight w:val="none"/>
        </w:rPr>
        <w:tab/>
      </w:r>
      <w:r>
        <w:rPr>
          <w:highlight w:val="none"/>
        </w:rPr>
        <w:fldChar w:fldCharType="begin"/>
      </w:r>
      <w:r>
        <w:rPr>
          <w:highlight w:val="none"/>
        </w:rPr>
        <w:instrText xml:space="preserve"> PAGEREF _Toc80289064 \h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"_Toc80289065" </w:instrText>
      </w:r>
      <w:r>
        <w:rPr>
          <w:highlight w:val="none"/>
        </w:rPr>
        <w:fldChar w:fldCharType="separate"/>
      </w:r>
      <w:r>
        <w:rPr>
          <w:rStyle w:val="46"/>
          <w:rFonts w:hint="eastAsia"/>
          <w:color w:val="auto"/>
          <w:highlight w:val="none"/>
        </w:rPr>
        <w:t>（三）投标文件的编制</w:t>
      </w:r>
      <w:r>
        <w:rPr>
          <w:highlight w:val="none"/>
        </w:rPr>
        <w:tab/>
      </w:r>
      <w:r>
        <w:rPr>
          <w:highlight w:val="none"/>
        </w:rPr>
        <w:fldChar w:fldCharType="begin"/>
      </w:r>
      <w:r>
        <w:rPr>
          <w:highlight w:val="none"/>
        </w:rPr>
        <w:instrText xml:space="preserve"> PAGEREF _Toc80289065 \h </w:instrText>
      </w:r>
      <w:r>
        <w:rPr>
          <w:highlight w:val="none"/>
        </w:rPr>
        <w:fldChar w:fldCharType="separate"/>
      </w:r>
      <w:r>
        <w:rPr>
          <w:highlight w:val="none"/>
        </w:rPr>
        <w:t>23</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"_Toc80289066" </w:instrText>
      </w:r>
      <w:r>
        <w:rPr>
          <w:highlight w:val="none"/>
        </w:rPr>
        <w:fldChar w:fldCharType="separate"/>
      </w:r>
      <w:r>
        <w:rPr>
          <w:rStyle w:val="46"/>
          <w:rFonts w:hint="eastAsia"/>
          <w:color w:val="auto"/>
          <w:highlight w:val="none"/>
        </w:rPr>
        <w:t>（四）投标文件的提交</w:t>
      </w:r>
      <w:r>
        <w:rPr>
          <w:highlight w:val="none"/>
        </w:rPr>
        <w:tab/>
      </w:r>
      <w:r>
        <w:rPr>
          <w:highlight w:val="none"/>
        </w:rPr>
        <w:fldChar w:fldCharType="begin"/>
      </w:r>
      <w:r>
        <w:rPr>
          <w:highlight w:val="none"/>
        </w:rPr>
        <w:instrText xml:space="preserve"> PAGEREF _Toc80289066 \h </w:instrText>
      </w:r>
      <w:r>
        <w:rPr>
          <w:highlight w:val="none"/>
        </w:rPr>
        <w:fldChar w:fldCharType="separate"/>
      </w:r>
      <w:r>
        <w:rPr>
          <w:highlight w:val="none"/>
        </w:rPr>
        <w:t>30</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"_Toc80289067" </w:instrText>
      </w:r>
      <w:r>
        <w:rPr>
          <w:highlight w:val="none"/>
        </w:rPr>
        <w:fldChar w:fldCharType="separate"/>
      </w:r>
      <w:r>
        <w:rPr>
          <w:rStyle w:val="46"/>
          <w:rFonts w:hint="eastAsia"/>
          <w:color w:val="auto"/>
          <w:highlight w:val="none"/>
        </w:rPr>
        <w:t>（五）开标、评标、定标及合同签定</w:t>
      </w:r>
      <w:r>
        <w:rPr>
          <w:highlight w:val="none"/>
        </w:rPr>
        <w:tab/>
      </w:r>
      <w:r>
        <w:rPr>
          <w:highlight w:val="none"/>
        </w:rPr>
        <w:fldChar w:fldCharType="begin"/>
      </w:r>
      <w:r>
        <w:rPr>
          <w:highlight w:val="none"/>
        </w:rPr>
        <w:instrText xml:space="preserve"> PAGEREF _Toc80289067 \h </w:instrText>
      </w:r>
      <w:r>
        <w:rPr>
          <w:highlight w:val="none"/>
        </w:rPr>
        <w:fldChar w:fldCharType="separate"/>
      </w:r>
      <w:r>
        <w:rPr>
          <w:highlight w:val="none"/>
        </w:rPr>
        <w:t>31</w:t>
      </w:r>
      <w:r>
        <w:rPr>
          <w:highlight w:val="none"/>
        </w:rPr>
        <w:fldChar w:fldCharType="end"/>
      </w:r>
      <w:r>
        <w:rPr>
          <w:highlight w:val="none"/>
        </w:rPr>
        <w:fldChar w:fldCharType="end"/>
      </w:r>
    </w:p>
    <w:p>
      <w:pPr>
        <w:pStyle w:val="30"/>
        <w:tabs>
          <w:tab w:val="right" w:leader="dot" w:pos="9060"/>
        </w:tabs>
        <w:rPr>
          <w:rFonts w:cs="Times New Roman"/>
          <w:b w:val="0"/>
          <w:bCs w:val="0"/>
          <w:caps w:val="0"/>
          <w:sz w:val="21"/>
          <w:szCs w:val="22"/>
          <w:highlight w:val="none"/>
        </w:rPr>
      </w:pPr>
      <w:r>
        <w:rPr>
          <w:highlight w:val="none"/>
        </w:rPr>
        <w:fldChar w:fldCharType="begin"/>
      </w:r>
      <w:r>
        <w:rPr>
          <w:highlight w:val="none"/>
        </w:rPr>
        <w:instrText xml:space="preserve"> HYPERLINK \l "_Toc80289068" </w:instrText>
      </w:r>
      <w:r>
        <w:rPr>
          <w:highlight w:val="none"/>
        </w:rPr>
        <w:fldChar w:fldCharType="separate"/>
      </w:r>
      <w:r>
        <w:rPr>
          <w:rStyle w:val="46"/>
          <w:rFonts w:hint="eastAsia" w:ascii="宋体" w:hAnsi="宋体"/>
          <w:color w:val="auto"/>
          <w:highlight w:val="none"/>
        </w:rPr>
        <w:t>第二章开标、评标及定标办法</w:t>
      </w:r>
      <w:r>
        <w:rPr>
          <w:highlight w:val="none"/>
        </w:rPr>
        <w:tab/>
      </w:r>
      <w:r>
        <w:rPr>
          <w:highlight w:val="none"/>
        </w:rPr>
        <w:fldChar w:fldCharType="begin"/>
      </w:r>
      <w:r>
        <w:rPr>
          <w:highlight w:val="none"/>
        </w:rPr>
        <w:instrText xml:space="preserve"> PAGEREF _Toc80289068 \h </w:instrText>
      </w:r>
      <w:r>
        <w:rPr>
          <w:highlight w:val="none"/>
        </w:rPr>
        <w:fldChar w:fldCharType="separate"/>
      </w:r>
      <w:r>
        <w:rPr>
          <w:highlight w:val="none"/>
        </w:rPr>
        <w:t>34</w:t>
      </w:r>
      <w:r>
        <w:rPr>
          <w:highlight w:val="none"/>
        </w:rPr>
        <w:fldChar w:fldCharType="end"/>
      </w:r>
      <w:r>
        <w:rPr>
          <w:highlight w:val="none"/>
        </w:rPr>
        <w:fldChar w:fldCharType="end"/>
      </w:r>
    </w:p>
    <w:p>
      <w:pPr>
        <w:pStyle w:val="35"/>
        <w:tabs>
          <w:tab w:val="right" w:leader="dot" w:pos="9060"/>
        </w:tabs>
        <w:rPr>
          <w:rFonts w:cs="Times New Roman"/>
          <w:smallCaps w:val="0"/>
          <w:sz w:val="21"/>
          <w:szCs w:val="22"/>
          <w:highlight w:val="none"/>
        </w:rPr>
      </w:pPr>
      <w:r>
        <w:rPr>
          <w:highlight w:val="none"/>
        </w:rPr>
        <w:fldChar w:fldCharType="begin"/>
      </w:r>
      <w:r>
        <w:rPr>
          <w:highlight w:val="none"/>
        </w:rPr>
        <w:instrText xml:space="preserve"> HYPERLINK \l "_Toc80289069" </w:instrText>
      </w:r>
      <w:r>
        <w:rPr>
          <w:highlight w:val="none"/>
        </w:rPr>
        <w:fldChar w:fldCharType="separate"/>
      </w:r>
      <w:r>
        <w:rPr>
          <w:rStyle w:val="46"/>
          <w:rFonts w:hint="eastAsia"/>
          <w:color w:val="auto"/>
          <w:highlight w:val="none"/>
        </w:rPr>
        <w:t>一、开标、评标及定标办法修改表</w:t>
      </w:r>
      <w:r>
        <w:rPr>
          <w:highlight w:val="none"/>
        </w:rPr>
        <w:tab/>
      </w:r>
      <w:r>
        <w:rPr>
          <w:highlight w:val="none"/>
        </w:rPr>
        <w:fldChar w:fldCharType="begin"/>
      </w:r>
      <w:r>
        <w:rPr>
          <w:highlight w:val="none"/>
        </w:rPr>
        <w:instrText xml:space="preserve"> PAGEREF _Toc80289069 \h </w:instrText>
      </w:r>
      <w:r>
        <w:rPr>
          <w:highlight w:val="none"/>
        </w:rPr>
        <w:fldChar w:fldCharType="separate"/>
      </w:r>
      <w:r>
        <w:rPr>
          <w:highlight w:val="none"/>
        </w:rPr>
        <w:t>34</w:t>
      </w:r>
      <w:r>
        <w:rPr>
          <w:highlight w:val="none"/>
        </w:rPr>
        <w:fldChar w:fldCharType="end"/>
      </w:r>
      <w:r>
        <w:rPr>
          <w:highlight w:val="none"/>
        </w:rPr>
        <w:fldChar w:fldCharType="end"/>
      </w:r>
    </w:p>
    <w:p>
      <w:pPr>
        <w:pStyle w:val="35"/>
        <w:tabs>
          <w:tab w:val="right" w:leader="dot" w:pos="9060"/>
        </w:tabs>
        <w:rPr>
          <w:rFonts w:cs="Times New Roman"/>
          <w:smallCaps w:val="0"/>
          <w:sz w:val="21"/>
          <w:szCs w:val="22"/>
          <w:highlight w:val="none"/>
        </w:rPr>
      </w:pPr>
      <w:r>
        <w:rPr>
          <w:highlight w:val="none"/>
        </w:rPr>
        <w:fldChar w:fldCharType="begin"/>
      </w:r>
      <w:r>
        <w:rPr>
          <w:highlight w:val="none"/>
        </w:rPr>
        <w:instrText xml:space="preserve"> HYPERLINK \l "_Toc80289070" </w:instrText>
      </w:r>
      <w:r>
        <w:rPr>
          <w:highlight w:val="none"/>
        </w:rPr>
        <w:fldChar w:fldCharType="separate"/>
      </w:r>
      <w:r>
        <w:rPr>
          <w:rStyle w:val="46"/>
          <w:rFonts w:hint="eastAsia"/>
          <w:color w:val="auto"/>
          <w:highlight w:val="none"/>
        </w:rPr>
        <w:t>二、开标、评标及定标办法通用条款</w:t>
      </w:r>
      <w:r>
        <w:rPr>
          <w:highlight w:val="none"/>
        </w:rPr>
        <w:tab/>
      </w:r>
      <w:r>
        <w:rPr>
          <w:highlight w:val="none"/>
        </w:rPr>
        <w:fldChar w:fldCharType="begin"/>
      </w:r>
      <w:r>
        <w:rPr>
          <w:highlight w:val="none"/>
        </w:rPr>
        <w:instrText xml:space="preserve"> PAGEREF _Toc80289070 \h </w:instrText>
      </w:r>
      <w:r>
        <w:rPr>
          <w:highlight w:val="none"/>
        </w:rPr>
        <w:fldChar w:fldCharType="separate"/>
      </w:r>
      <w:r>
        <w:rPr>
          <w:highlight w:val="none"/>
        </w:rPr>
        <w:t>44</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"_Toc80289071" </w:instrText>
      </w:r>
      <w:r>
        <w:rPr>
          <w:highlight w:val="none"/>
        </w:rPr>
        <w:fldChar w:fldCharType="separate"/>
      </w:r>
      <w:r>
        <w:rPr>
          <w:rStyle w:val="46"/>
          <w:rFonts w:hint="eastAsia"/>
          <w:color w:val="auto"/>
          <w:highlight w:val="none"/>
        </w:rPr>
        <w:t>（一）总则</w:t>
      </w:r>
      <w:r>
        <w:rPr>
          <w:highlight w:val="none"/>
        </w:rPr>
        <w:tab/>
      </w:r>
      <w:r>
        <w:rPr>
          <w:highlight w:val="none"/>
        </w:rPr>
        <w:fldChar w:fldCharType="begin"/>
      </w:r>
      <w:r>
        <w:rPr>
          <w:highlight w:val="none"/>
        </w:rPr>
        <w:instrText xml:space="preserve"> PAGEREF _Toc80289071 \h </w:instrText>
      </w:r>
      <w:r>
        <w:rPr>
          <w:highlight w:val="none"/>
        </w:rPr>
        <w:fldChar w:fldCharType="separate"/>
      </w:r>
      <w:r>
        <w:rPr>
          <w:highlight w:val="none"/>
        </w:rPr>
        <w:t>44</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"_Toc80289072" </w:instrText>
      </w:r>
      <w:r>
        <w:rPr>
          <w:highlight w:val="none"/>
        </w:rPr>
        <w:fldChar w:fldCharType="separate"/>
      </w:r>
      <w:r>
        <w:rPr>
          <w:rStyle w:val="46"/>
          <w:rFonts w:hint="eastAsia"/>
          <w:color w:val="auto"/>
          <w:highlight w:val="none"/>
        </w:rPr>
        <w:t>（二）开标评标办法程序和细则</w:t>
      </w:r>
      <w:r>
        <w:rPr>
          <w:highlight w:val="none"/>
        </w:rPr>
        <w:tab/>
      </w:r>
      <w:r>
        <w:rPr>
          <w:highlight w:val="none"/>
        </w:rPr>
        <w:fldChar w:fldCharType="begin"/>
      </w:r>
      <w:r>
        <w:rPr>
          <w:highlight w:val="none"/>
        </w:rPr>
        <w:instrText xml:space="preserve"> PAGEREF _Toc80289072 \h </w:instrText>
      </w:r>
      <w:r>
        <w:rPr>
          <w:highlight w:val="none"/>
        </w:rPr>
        <w:fldChar w:fldCharType="separate"/>
      </w:r>
      <w:r>
        <w:rPr>
          <w:highlight w:val="none"/>
        </w:rPr>
        <w:t>46</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"_Toc80289073" </w:instrText>
      </w:r>
      <w:r>
        <w:rPr>
          <w:highlight w:val="none"/>
        </w:rPr>
        <w:fldChar w:fldCharType="separate"/>
      </w:r>
      <w:r>
        <w:rPr>
          <w:rStyle w:val="46"/>
          <w:rFonts w:hint="eastAsia"/>
          <w:b/>
          <w:color w:val="auto"/>
          <w:highlight w:val="none"/>
        </w:rPr>
        <w:t>通过制评标办法</w:t>
      </w:r>
      <w:r>
        <w:rPr>
          <w:highlight w:val="none"/>
        </w:rPr>
        <w:tab/>
      </w:r>
      <w:r>
        <w:rPr>
          <w:highlight w:val="none"/>
        </w:rPr>
        <w:fldChar w:fldCharType="begin"/>
      </w:r>
      <w:r>
        <w:rPr>
          <w:highlight w:val="none"/>
        </w:rPr>
        <w:instrText xml:space="preserve"> PAGEREF _Toc80289073 \h </w:instrText>
      </w:r>
      <w:r>
        <w:rPr>
          <w:highlight w:val="none"/>
        </w:rPr>
        <w:fldChar w:fldCharType="separate"/>
      </w:r>
      <w:r>
        <w:rPr>
          <w:highlight w:val="none"/>
        </w:rPr>
        <w:t>47</w:t>
      </w:r>
      <w:r>
        <w:rPr>
          <w:highlight w:val="none"/>
        </w:rPr>
        <w:fldChar w:fldCharType="end"/>
      </w:r>
      <w:r>
        <w:rPr>
          <w:highlight w:val="none"/>
        </w:rPr>
        <w:fldChar w:fldCharType="end"/>
      </w:r>
    </w:p>
    <w:p>
      <w:pPr>
        <w:pStyle w:val="30"/>
        <w:tabs>
          <w:tab w:val="right" w:leader="dot" w:pos="9060"/>
        </w:tabs>
        <w:rPr>
          <w:rFonts w:cs="Times New Roman"/>
          <w:b w:val="0"/>
          <w:bCs w:val="0"/>
          <w:caps w:val="0"/>
          <w:sz w:val="21"/>
          <w:szCs w:val="22"/>
          <w:highlight w:val="none"/>
        </w:rPr>
      </w:pPr>
      <w:r>
        <w:rPr>
          <w:highlight w:val="none"/>
        </w:rPr>
        <w:fldChar w:fldCharType="begin"/>
      </w:r>
      <w:r>
        <w:rPr>
          <w:highlight w:val="none"/>
        </w:rPr>
        <w:instrText xml:space="preserve"> HYPERLINK \l "_Toc80289074" </w:instrText>
      </w:r>
      <w:r>
        <w:rPr>
          <w:highlight w:val="none"/>
        </w:rPr>
        <w:fldChar w:fldCharType="separate"/>
      </w:r>
      <w:r>
        <w:rPr>
          <w:rStyle w:val="46"/>
          <w:rFonts w:hint="eastAsia" w:ascii="宋体" w:hAnsi="宋体"/>
          <w:color w:val="auto"/>
          <w:highlight w:val="none"/>
        </w:rPr>
        <w:t>第三章合同条款</w:t>
      </w:r>
      <w:r>
        <w:rPr>
          <w:highlight w:val="none"/>
        </w:rPr>
        <w:tab/>
      </w:r>
      <w:r>
        <w:rPr>
          <w:highlight w:val="none"/>
        </w:rPr>
        <w:fldChar w:fldCharType="begin"/>
      </w:r>
      <w:r>
        <w:rPr>
          <w:highlight w:val="none"/>
        </w:rPr>
        <w:instrText xml:space="preserve"> PAGEREF _Toc80289074 \h </w:instrText>
      </w:r>
      <w:r>
        <w:rPr>
          <w:highlight w:val="none"/>
        </w:rPr>
        <w:fldChar w:fldCharType="separate"/>
      </w:r>
      <w:r>
        <w:rPr>
          <w:highlight w:val="none"/>
        </w:rPr>
        <w:t>68</w:t>
      </w:r>
      <w:r>
        <w:rPr>
          <w:highlight w:val="none"/>
        </w:rPr>
        <w:fldChar w:fldCharType="end"/>
      </w:r>
      <w:r>
        <w:rPr>
          <w:highlight w:val="none"/>
        </w:rPr>
        <w:fldChar w:fldCharType="end"/>
      </w:r>
    </w:p>
    <w:p>
      <w:pPr>
        <w:pStyle w:val="30"/>
        <w:tabs>
          <w:tab w:val="right" w:leader="dot" w:pos="9060"/>
        </w:tabs>
        <w:rPr>
          <w:rFonts w:cs="Times New Roman"/>
          <w:b w:val="0"/>
          <w:bCs w:val="0"/>
          <w:caps w:val="0"/>
          <w:sz w:val="21"/>
          <w:szCs w:val="22"/>
          <w:highlight w:val="none"/>
        </w:rPr>
      </w:pPr>
      <w:r>
        <w:rPr>
          <w:highlight w:val="none"/>
        </w:rPr>
        <w:fldChar w:fldCharType="begin"/>
      </w:r>
      <w:r>
        <w:rPr>
          <w:highlight w:val="none"/>
        </w:rPr>
        <w:instrText xml:space="preserve"> HYPERLINK \l "_Toc80289075" </w:instrText>
      </w:r>
      <w:r>
        <w:rPr>
          <w:highlight w:val="none"/>
        </w:rPr>
        <w:fldChar w:fldCharType="separate"/>
      </w:r>
      <w:r>
        <w:rPr>
          <w:rStyle w:val="46"/>
          <w:rFonts w:hint="eastAsia" w:ascii="宋体" w:hAnsi="宋体"/>
          <w:color w:val="auto"/>
          <w:highlight w:val="none"/>
        </w:rPr>
        <w:t>第四章投标文件格式</w:t>
      </w:r>
      <w:r>
        <w:rPr>
          <w:highlight w:val="none"/>
        </w:rPr>
        <w:tab/>
      </w:r>
      <w:r>
        <w:rPr>
          <w:highlight w:val="none"/>
        </w:rPr>
        <w:fldChar w:fldCharType="begin"/>
      </w:r>
      <w:r>
        <w:rPr>
          <w:highlight w:val="none"/>
        </w:rPr>
        <w:instrText xml:space="preserve"> PAGEREF _Toc80289075 \h </w:instrText>
      </w:r>
      <w:r>
        <w:rPr>
          <w:highlight w:val="none"/>
        </w:rPr>
        <w:fldChar w:fldCharType="separate"/>
      </w:r>
      <w:r>
        <w:rPr>
          <w:highlight w:val="none"/>
        </w:rPr>
        <w:t>69</w:t>
      </w:r>
      <w:r>
        <w:rPr>
          <w:highlight w:val="none"/>
        </w:rPr>
        <w:fldChar w:fldCharType="end"/>
      </w:r>
      <w:r>
        <w:rPr>
          <w:highlight w:val="none"/>
        </w:rPr>
        <w:fldChar w:fldCharType="end"/>
      </w:r>
    </w:p>
    <w:p>
      <w:pPr>
        <w:pStyle w:val="35"/>
        <w:tabs>
          <w:tab w:val="right" w:leader="dot" w:pos="9060"/>
        </w:tabs>
        <w:rPr>
          <w:rFonts w:cs="Times New Roman"/>
          <w:smallCaps w:val="0"/>
          <w:sz w:val="21"/>
          <w:szCs w:val="22"/>
          <w:highlight w:val="none"/>
        </w:rPr>
      </w:pPr>
      <w:r>
        <w:rPr>
          <w:highlight w:val="none"/>
        </w:rPr>
        <w:fldChar w:fldCharType="begin"/>
      </w:r>
      <w:r>
        <w:rPr>
          <w:highlight w:val="none"/>
        </w:rPr>
        <w:instrText xml:space="preserve"> HYPERLINK \l "_Toc80289076" </w:instrText>
      </w:r>
      <w:r>
        <w:rPr>
          <w:highlight w:val="none"/>
        </w:rPr>
        <w:fldChar w:fldCharType="separate"/>
      </w:r>
      <w:r>
        <w:rPr>
          <w:rStyle w:val="46"/>
          <w:rFonts w:hint="eastAsia" w:ascii="宋体" w:hAnsi="宋体"/>
          <w:color w:val="auto"/>
          <w:highlight w:val="none"/>
        </w:rPr>
        <w:t>一、技术标投标文件格式</w:t>
      </w:r>
      <w:r>
        <w:rPr>
          <w:highlight w:val="none"/>
        </w:rPr>
        <w:tab/>
      </w:r>
      <w:r>
        <w:rPr>
          <w:highlight w:val="none"/>
        </w:rPr>
        <w:fldChar w:fldCharType="begin"/>
      </w:r>
      <w:r>
        <w:rPr>
          <w:highlight w:val="none"/>
        </w:rPr>
        <w:instrText xml:space="preserve"> PAGEREF _Toc80289076 \h </w:instrText>
      </w:r>
      <w:r>
        <w:rPr>
          <w:highlight w:val="none"/>
        </w:rPr>
        <w:fldChar w:fldCharType="separate"/>
      </w:r>
      <w:r>
        <w:rPr>
          <w:highlight w:val="none"/>
        </w:rPr>
        <w:t>69</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"_Toc80289077" </w:instrText>
      </w:r>
      <w:r>
        <w:rPr>
          <w:highlight w:val="none"/>
        </w:rPr>
        <w:fldChar w:fldCharType="separate"/>
      </w:r>
      <w:r>
        <w:rPr>
          <w:rStyle w:val="46"/>
          <w:rFonts w:hint="eastAsia" w:ascii="宋体"/>
          <w:color w:val="auto"/>
          <w:highlight w:val="none"/>
        </w:rPr>
        <w:t>格式一：技术标封面</w:t>
      </w:r>
      <w:r>
        <w:rPr>
          <w:highlight w:val="none"/>
        </w:rPr>
        <w:tab/>
      </w:r>
      <w:r>
        <w:rPr>
          <w:highlight w:val="none"/>
        </w:rPr>
        <w:fldChar w:fldCharType="begin"/>
      </w:r>
      <w:r>
        <w:rPr>
          <w:highlight w:val="none"/>
        </w:rPr>
        <w:instrText xml:space="preserve"> PAGEREF _Toc80289077 \h </w:instrText>
      </w:r>
      <w:r>
        <w:rPr>
          <w:highlight w:val="none"/>
        </w:rPr>
        <w:fldChar w:fldCharType="separate"/>
      </w:r>
      <w:r>
        <w:rPr>
          <w:highlight w:val="none"/>
        </w:rPr>
        <w:t>70</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"_Toc80289078" </w:instrText>
      </w:r>
      <w:r>
        <w:rPr>
          <w:highlight w:val="none"/>
        </w:rPr>
        <w:fldChar w:fldCharType="separate"/>
      </w:r>
      <w:r>
        <w:rPr>
          <w:rStyle w:val="46"/>
          <w:rFonts w:hint="eastAsia" w:ascii="宋体"/>
          <w:bCs/>
          <w:color w:val="auto"/>
          <w:highlight w:val="none"/>
        </w:rPr>
        <w:t>格式二：广州建设工程施工招标投标书</w:t>
      </w:r>
      <w:r>
        <w:rPr>
          <w:highlight w:val="none"/>
        </w:rPr>
        <w:tab/>
      </w:r>
      <w:r>
        <w:rPr>
          <w:highlight w:val="none"/>
        </w:rPr>
        <w:fldChar w:fldCharType="begin"/>
      </w:r>
      <w:r>
        <w:rPr>
          <w:highlight w:val="none"/>
        </w:rPr>
        <w:instrText xml:space="preserve"> PAGEREF _Toc80289078 \h </w:instrText>
      </w:r>
      <w:r>
        <w:rPr>
          <w:highlight w:val="none"/>
        </w:rPr>
        <w:fldChar w:fldCharType="separate"/>
      </w:r>
      <w:r>
        <w:rPr>
          <w:highlight w:val="none"/>
        </w:rPr>
        <w:t>71</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"_Toc80289079" </w:instrText>
      </w:r>
      <w:r>
        <w:rPr>
          <w:highlight w:val="none"/>
        </w:rPr>
        <w:fldChar w:fldCharType="separate"/>
      </w:r>
      <w:r>
        <w:rPr>
          <w:rStyle w:val="46"/>
          <w:rFonts w:hint="eastAsia" w:ascii="宋体"/>
          <w:color w:val="auto"/>
          <w:highlight w:val="none"/>
        </w:rPr>
        <w:t>格式三：参与编制技术标投标文件人员名单</w:t>
      </w:r>
      <w:r>
        <w:rPr>
          <w:highlight w:val="none"/>
        </w:rPr>
        <w:tab/>
      </w:r>
      <w:r>
        <w:rPr>
          <w:highlight w:val="none"/>
        </w:rPr>
        <w:fldChar w:fldCharType="begin"/>
      </w:r>
      <w:r>
        <w:rPr>
          <w:highlight w:val="none"/>
        </w:rPr>
        <w:instrText xml:space="preserve"> PAGEREF _Toc80289079 \h </w:instrText>
      </w:r>
      <w:r>
        <w:rPr>
          <w:highlight w:val="none"/>
        </w:rPr>
        <w:fldChar w:fldCharType="separate"/>
      </w:r>
      <w:r>
        <w:rPr>
          <w:highlight w:val="none"/>
        </w:rPr>
        <w:t>72</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"_Toc80289080" </w:instrText>
      </w:r>
      <w:r>
        <w:rPr>
          <w:highlight w:val="none"/>
        </w:rPr>
        <w:fldChar w:fldCharType="separate"/>
      </w:r>
      <w:r>
        <w:rPr>
          <w:rStyle w:val="46"/>
          <w:rFonts w:hint="eastAsia" w:ascii="宋体"/>
          <w:color w:val="auto"/>
          <w:highlight w:val="none"/>
        </w:rPr>
        <w:t>格式四：施工项目管理团队人员信息表</w:t>
      </w:r>
      <w:r>
        <w:rPr>
          <w:highlight w:val="none"/>
        </w:rPr>
        <w:tab/>
      </w:r>
      <w:r>
        <w:rPr>
          <w:highlight w:val="none"/>
        </w:rPr>
        <w:fldChar w:fldCharType="begin"/>
      </w:r>
      <w:r>
        <w:rPr>
          <w:highlight w:val="none"/>
        </w:rPr>
        <w:instrText xml:space="preserve"> PAGEREF _Toc80289080 \h </w:instrText>
      </w:r>
      <w:r>
        <w:rPr>
          <w:highlight w:val="none"/>
        </w:rPr>
        <w:fldChar w:fldCharType="separate"/>
      </w:r>
      <w:r>
        <w:rPr>
          <w:highlight w:val="none"/>
        </w:rPr>
        <w:t>73</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"_Toc80289086" </w:instrText>
      </w:r>
      <w:r>
        <w:rPr>
          <w:highlight w:val="none"/>
        </w:rPr>
        <w:fldChar w:fldCharType="separate"/>
      </w:r>
      <w:r>
        <w:rPr>
          <w:rStyle w:val="46"/>
          <w:rFonts w:hint="eastAsia" w:ascii="宋体"/>
          <w:color w:val="auto"/>
          <w:highlight w:val="none"/>
        </w:rPr>
        <w:t>格式五：企业类似工程业绩表（适用于资格审查业绩）</w:t>
      </w:r>
      <w:r>
        <w:rPr>
          <w:highlight w:val="none"/>
        </w:rPr>
        <w:tab/>
      </w:r>
      <w:r>
        <w:rPr>
          <w:highlight w:val="none"/>
        </w:rPr>
        <w:fldChar w:fldCharType="begin"/>
      </w:r>
      <w:r>
        <w:rPr>
          <w:highlight w:val="none"/>
        </w:rPr>
        <w:instrText xml:space="preserve"> PAGEREF _Toc80289086 \h </w:instrText>
      </w:r>
      <w:r>
        <w:rPr>
          <w:highlight w:val="none"/>
        </w:rPr>
        <w:fldChar w:fldCharType="separate"/>
      </w:r>
      <w:r>
        <w:rPr>
          <w:highlight w:val="none"/>
        </w:rPr>
        <w:t>74</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"_Toc80289087" </w:instrText>
      </w:r>
      <w:r>
        <w:rPr>
          <w:highlight w:val="none"/>
        </w:rPr>
        <w:fldChar w:fldCharType="separate"/>
      </w:r>
      <w:r>
        <w:rPr>
          <w:rStyle w:val="46"/>
          <w:rFonts w:hint="eastAsia" w:ascii="宋体"/>
          <w:color w:val="auto"/>
          <w:highlight w:val="none"/>
        </w:rPr>
        <w:t>格式六：企业类似工程业绩表（适用于定标阶段评审业绩）</w:t>
      </w:r>
      <w:r>
        <w:rPr>
          <w:highlight w:val="none"/>
        </w:rPr>
        <w:tab/>
      </w:r>
      <w:r>
        <w:rPr>
          <w:highlight w:val="none"/>
        </w:rPr>
        <w:fldChar w:fldCharType="begin"/>
      </w:r>
      <w:r>
        <w:rPr>
          <w:highlight w:val="none"/>
        </w:rPr>
        <w:instrText xml:space="preserve"> PAGEREF _Toc80289087 \h </w:instrText>
      </w:r>
      <w:r>
        <w:rPr>
          <w:highlight w:val="none"/>
        </w:rPr>
        <w:fldChar w:fldCharType="separate"/>
      </w:r>
      <w:r>
        <w:rPr>
          <w:highlight w:val="none"/>
        </w:rPr>
        <w:t>75</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"_Toc80289089" </w:instrText>
      </w:r>
      <w:r>
        <w:rPr>
          <w:highlight w:val="none"/>
        </w:rPr>
        <w:fldChar w:fldCharType="separate"/>
      </w:r>
      <w:r>
        <w:rPr>
          <w:rStyle w:val="46"/>
          <w:rFonts w:hint="eastAsia" w:ascii="宋体"/>
          <w:color w:val="auto"/>
          <w:highlight w:val="none"/>
        </w:rPr>
        <w:t>格式七：法定代表人身份证明及授权委托书</w:t>
      </w:r>
      <w:r>
        <w:rPr>
          <w:highlight w:val="none"/>
        </w:rPr>
        <w:tab/>
      </w:r>
      <w:r>
        <w:rPr>
          <w:highlight w:val="none"/>
        </w:rPr>
        <w:fldChar w:fldCharType="begin"/>
      </w:r>
      <w:r>
        <w:rPr>
          <w:highlight w:val="none"/>
        </w:rPr>
        <w:instrText xml:space="preserve"> PAGEREF _Toc80289089 \h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9060"/>
        </w:tabs>
        <w:rPr>
          <w:rFonts w:hint="default" w:eastAsia="宋体" w:cs="Times New Roman"/>
          <w:i w:val="0"/>
          <w:iCs w:val="0"/>
          <w:sz w:val="21"/>
          <w:szCs w:val="22"/>
          <w:highlight w:val="none"/>
          <w:lang w:val="en-US" w:eastAsia="zh-CN"/>
        </w:rPr>
      </w:pPr>
      <w:r>
        <w:rPr>
          <w:highlight w:val="none"/>
        </w:rPr>
        <w:fldChar w:fldCharType="begin"/>
      </w:r>
      <w:r>
        <w:rPr>
          <w:highlight w:val="none"/>
        </w:rPr>
        <w:instrText xml:space="preserve"> HYPERLINK \l "_Toc80289090" </w:instrText>
      </w:r>
      <w:r>
        <w:rPr>
          <w:highlight w:val="none"/>
        </w:rPr>
        <w:fldChar w:fldCharType="separate"/>
      </w:r>
      <w:r>
        <w:rPr>
          <w:rStyle w:val="46"/>
          <w:rFonts w:hint="eastAsia" w:ascii="宋体"/>
          <w:color w:val="auto"/>
          <w:highlight w:val="none"/>
        </w:rPr>
        <w:t>格式八：施工投标承诺函</w:t>
      </w:r>
      <w:r>
        <w:rPr>
          <w:highlight w:val="none"/>
        </w:rPr>
        <w:tab/>
      </w:r>
      <w:r>
        <w:rPr>
          <w:highlight w:val="none"/>
        </w:rPr>
        <w:fldChar w:fldCharType="end"/>
      </w:r>
      <w:r>
        <w:rPr>
          <w:rFonts w:hint="eastAsia"/>
          <w:highlight w:val="none"/>
          <w:lang w:val="en-US" w:eastAsia="zh-CN"/>
        </w:rPr>
        <w:t>77</w:t>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"_Toc80289091" </w:instrText>
      </w:r>
      <w:r>
        <w:rPr>
          <w:highlight w:val="none"/>
        </w:rPr>
        <w:fldChar w:fldCharType="separate"/>
      </w:r>
      <w:r>
        <w:rPr>
          <w:rStyle w:val="46"/>
          <w:rFonts w:hint="eastAsia" w:ascii="宋体"/>
          <w:color w:val="auto"/>
          <w:highlight w:val="none"/>
        </w:rPr>
        <w:t>格式九：主要机械设备表</w:t>
      </w:r>
      <w:r>
        <w:rPr>
          <w:highlight w:val="none"/>
        </w:rPr>
        <w:tab/>
      </w:r>
      <w:r>
        <w:rPr>
          <w:highlight w:val="none"/>
        </w:rPr>
        <w:fldChar w:fldCharType="begin"/>
      </w:r>
      <w:r>
        <w:rPr>
          <w:highlight w:val="none"/>
        </w:rPr>
        <w:instrText xml:space="preserve"> PAGEREF _Toc80289091 \h </w:instrText>
      </w:r>
      <w:r>
        <w:rPr>
          <w:highlight w:val="none"/>
        </w:rPr>
        <w:fldChar w:fldCharType="separate"/>
      </w:r>
      <w:r>
        <w:rPr>
          <w:highlight w:val="none"/>
        </w:rPr>
        <w:t>81</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"_Toc80289092" </w:instrText>
      </w:r>
      <w:r>
        <w:rPr>
          <w:highlight w:val="none"/>
        </w:rPr>
        <w:fldChar w:fldCharType="separate"/>
      </w:r>
      <w:r>
        <w:rPr>
          <w:rStyle w:val="46"/>
          <w:rFonts w:hint="eastAsia" w:ascii="宋体"/>
          <w:color w:val="auto"/>
          <w:highlight w:val="none"/>
        </w:rPr>
        <w:t>格式十：投标人认为应该提供的其他资料</w:t>
      </w:r>
      <w:r>
        <w:rPr>
          <w:highlight w:val="none"/>
        </w:rPr>
        <w:tab/>
      </w:r>
      <w:r>
        <w:rPr>
          <w:highlight w:val="none"/>
        </w:rPr>
        <w:fldChar w:fldCharType="begin"/>
      </w:r>
      <w:r>
        <w:rPr>
          <w:highlight w:val="none"/>
        </w:rPr>
        <w:instrText xml:space="preserve"> PAGEREF _Toc80289092 \h </w:instrText>
      </w:r>
      <w:r>
        <w:rPr>
          <w:highlight w:val="none"/>
        </w:rPr>
        <w:fldChar w:fldCharType="separate"/>
      </w:r>
      <w:r>
        <w:rPr>
          <w:highlight w:val="none"/>
        </w:rPr>
        <w:t>82</w:t>
      </w:r>
      <w:r>
        <w:rPr>
          <w:highlight w:val="none"/>
        </w:rPr>
        <w:fldChar w:fldCharType="end"/>
      </w:r>
      <w:r>
        <w:rPr>
          <w:highlight w:val="none"/>
        </w:rPr>
        <w:fldChar w:fldCharType="end"/>
      </w:r>
    </w:p>
    <w:p>
      <w:pPr>
        <w:pStyle w:val="35"/>
        <w:tabs>
          <w:tab w:val="right" w:leader="dot" w:pos="9060"/>
        </w:tabs>
        <w:rPr>
          <w:rFonts w:cs="Times New Roman"/>
          <w:smallCaps w:val="0"/>
          <w:sz w:val="21"/>
          <w:szCs w:val="22"/>
          <w:highlight w:val="none"/>
        </w:rPr>
      </w:pPr>
      <w:r>
        <w:rPr>
          <w:highlight w:val="none"/>
        </w:rPr>
        <w:fldChar w:fldCharType="begin"/>
      </w:r>
      <w:r>
        <w:rPr>
          <w:highlight w:val="none"/>
        </w:rPr>
        <w:instrText xml:space="preserve"> HYPERLINK \l "_Toc80289093" </w:instrText>
      </w:r>
      <w:r>
        <w:rPr>
          <w:highlight w:val="none"/>
        </w:rPr>
        <w:fldChar w:fldCharType="separate"/>
      </w:r>
      <w:r>
        <w:rPr>
          <w:rStyle w:val="46"/>
          <w:rFonts w:hint="eastAsia" w:ascii="宋体" w:hAnsi="宋体"/>
          <w:color w:val="auto"/>
          <w:highlight w:val="none"/>
        </w:rPr>
        <w:t>二、经济标投标文件格式</w:t>
      </w:r>
      <w:r>
        <w:rPr>
          <w:highlight w:val="none"/>
        </w:rPr>
        <w:tab/>
      </w:r>
      <w:r>
        <w:rPr>
          <w:highlight w:val="none"/>
        </w:rPr>
        <w:fldChar w:fldCharType="begin"/>
      </w:r>
      <w:r>
        <w:rPr>
          <w:highlight w:val="none"/>
        </w:rPr>
        <w:instrText xml:space="preserve"> PAGEREF _Toc80289093 \h </w:instrText>
      </w:r>
      <w:r>
        <w:rPr>
          <w:highlight w:val="none"/>
        </w:rPr>
        <w:fldChar w:fldCharType="separate"/>
      </w:r>
      <w:r>
        <w:rPr>
          <w:highlight w:val="none"/>
        </w:rPr>
        <w:t>85</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"_Toc80289094" </w:instrText>
      </w:r>
      <w:r>
        <w:rPr>
          <w:highlight w:val="none"/>
        </w:rPr>
        <w:fldChar w:fldCharType="separate"/>
      </w:r>
      <w:r>
        <w:rPr>
          <w:rStyle w:val="46"/>
          <w:rFonts w:hint="eastAsia" w:ascii="宋体"/>
          <w:color w:val="auto"/>
          <w:highlight w:val="none"/>
        </w:rPr>
        <w:t>格式一：经济标封面</w:t>
      </w:r>
      <w:r>
        <w:rPr>
          <w:highlight w:val="none"/>
        </w:rPr>
        <w:tab/>
      </w:r>
      <w:r>
        <w:rPr>
          <w:highlight w:val="none"/>
        </w:rPr>
        <w:fldChar w:fldCharType="begin"/>
      </w:r>
      <w:r>
        <w:rPr>
          <w:highlight w:val="none"/>
        </w:rPr>
        <w:instrText xml:space="preserve"> PAGEREF _Toc80289094 \h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"_Toc80289095" </w:instrText>
      </w:r>
      <w:r>
        <w:rPr>
          <w:highlight w:val="none"/>
        </w:rPr>
        <w:fldChar w:fldCharType="separate"/>
      </w:r>
      <w:r>
        <w:rPr>
          <w:rStyle w:val="46"/>
          <w:rFonts w:hint="eastAsia" w:ascii="宋体"/>
          <w:color w:val="auto"/>
          <w:highlight w:val="none"/>
        </w:rPr>
        <w:t>格式二：工程量清单计价表</w:t>
      </w:r>
      <w:r>
        <w:rPr>
          <w:highlight w:val="none"/>
        </w:rPr>
        <w:tab/>
      </w:r>
      <w:r>
        <w:rPr>
          <w:highlight w:val="none"/>
        </w:rPr>
        <w:fldChar w:fldCharType="begin"/>
      </w:r>
      <w:r>
        <w:rPr>
          <w:highlight w:val="none"/>
        </w:rPr>
        <w:instrText xml:space="preserve"> PAGEREF _Toc80289095 \h </w:instrText>
      </w:r>
      <w:r>
        <w:rPr>
          <w:highlight w:val="none"/>
        </w:rPr>
        <w:fldChar w:fldCharType="separate"/>
      </w:r>
      <w:r>
        <w:rPr>
          <w:highlight w:val="none"/>
        </w:rPr>
        <w:t>87</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"_Toc80289096" </w:instrText>
      </w:r>
      <w:r>
        <w:rPr>
          <w:highlight w:val="none"/>
        </w:rPr>
        <w:fldChar w:fldCharType="separate"/>
      </w:r>
      <w:r>
        <w:rPr>
          <w:rStyle w:val="46"/>
          <w:rFonts w:hint="eastAsia" w:ascii="宋体"/>
          <w:color w:val="auto"/>
          <w:highlight w:val="none"/>
        </w:rPr>
        <w:t>格式三：参与编制经济标投标文件人员名单</w:t>
      </w:r>
      <w:r>
        <w:rPr>
          <w:highlight w:val="none"/>
        </w:rPr>
        <w:tab/>
      </w:r>
      <w:r>
        <w:rPr>
          <w:highlight w:val="none"/>
        </w:rPr>
        <w:fldChar w:fldCharType="begin"/>
      </w:r>
      <w:r>
        <w:rPr>
          <w:highlight w:val="none"/>
        </w:rPr>
        <w:instrText xml:space="preserve"> PAGEREF _Toc80289096 \h </w:instrText>
      </w:r>
      <w:r>
        <w:rPr>
          <w:highlight w:val="none"/>
        </w:rPr>
        <w:fldChar w:fldCharType="separate"/>
      </w:r>
      <w:r>
        <w:rPr>
          <w:highlight w:val="none"/>
        </w:rPr>
        <w:t>88</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"_Toc80289097" </w:instrText>
      </w:r>
      <w:r>
        <w:rPr>
          <w:highlight w:val="none"/>
        </w:rPr>
        <w:fldChar w:fldCharType="separate"/>
      </w:r>
      <w:r>
        <w:rPr>
          <w:rStyle w:val="46"/>
          <w:rFonts w:hint="eastAsia" w:ascii="宋体"/>
          <w:color w:val="auto"/>
          <w:highlight w:val="none"/>
        </w:rPr>
        <w:t>格式四：对投标文件编制的承诺、投标文件编制情况</w:t>
      </w:r>
      <w:r>
        <w:rPr>
          <w:highlight w:val="none"/>
        </w:rPr>
        <w:tab/>
      </w:r>
      <w:r>
        <w:rPr>
          <w:highlight w:val="none"/>
        </w:rPr>
        <w:fldChar w:fldCharType="begin"/>
      </w:r>
      <w:r>
        <w:rPr>
          <w:highlight w:val="none"/>
        </w:rPr>
        <w:instrText xml:space="preserve"> PAGEREF _Toc80289097 \h </w:instrText>
      </w:r>
      <w:r>
        <w:rPr>
          <w:highlight w:val="none"/>
        </w:rPr>
        <w:fldChar w:fldCharType="separate"/>
      </w:r>
      <w:r>
        <w:rPr>
          <w:highlight w:val="none"/>
        </w:rPr>
        <w:t>89</w:t>
      </w:r>
      <w:r>
        <w:rPr>
          <w:highlight w:val="none"/>
        </w:rPr>
        <w:fldChar w:fldCharType="end"/>
      </w:r>
      <w:r>
        <w:rPr>
          <w:highlight w:val="none"/>
        </w:rPr>
        <w:fldChar w:fldCharType="end"/>
      </w:r>
    </w:p>
    <w:p>
      <w:pPr>
        <w:pStyle w:val="22"/>
        <w:tabs>
          <w:tab w:val="right" w:leader="dot" w:pos="9060"/>
        </w:tabs>
        <w:rPr>
          <w:rFonts w:cs="Times New Roman"/>
          <w:i w:val="0"/>
          <w:iCs w:val="0"/>
          <w:sz w:val="21"/>
          <w:szCs w:val="22"/>
          <w:highlight w:val="none"/>
        </w:rPr>
      </w:pPr>
      <w:r>
        <w:rPr>
          <w:highlight w:val="none"/>
        </w:rPr>
        <w:fldChar w:fldCharType="begin"/>
      </w:r>
      <w:r>
        <w:rPr>
          <w:highlight w:val="none"/>
        </w:rPr>
        <w:instrText xml:space="preserve"> HYPERLINK \l "_Toc80289098" </w:instrText>
      </w:r>
      <w:r>
        <w:rPr>
          <w:highlight w:val="none"/>
        </w:rPr>
        <w:fldChar w:fldCharType="separate"/>
      </w:r>
      <w:r>
        <w:rPr>
          <w:rStyle w:val="46"/>
          <w:rFonts w:hint="eastAsia" w:ascii="宋体"/>
          <w:color w:val="auto"/>
          <w:highlight w:val="none"/>
        </w:rPr>
        <w:t>格式五：施工投标承诺函</w:t>
      </w:r>
      <w:r>
        <w:rPr>
          <w:highlight w:val="none"/>
        </w:rPr>
        <w:tab/>
      </w:r>
      <w:r>
        <w:rPr>
          <w:highlight w:val="none"/>
        </w:rPr>
        <w:fldChar w:fldCharType="begin"/>
      </w:r>
      <w:r>
        <w:rPr>
          <w:highlight w:val="none"/>
        </w:rPr>
        <w:instrText xml:space="preserve"> PAGEREF _Toc80289098 \h </w:instrText>
      </w:r>
      <w:r>
        <w:rPr>
          <w:highlight w:val="none"/>
        </w:rPr>
        <w:fldChar w:fldCharType="separate"/>
      </w:r>
      <w:r>
        <w:rPr>
          <w:highlight w:val="none"/>
        </w:rPr>
        <w:t>90</w:t>
      </w:r>
      <w:r>
        <w:rPr>
          <w:highlight w:val="none"/>
        </w:rPr>
        <w:fldChar w:fldCharType="end"/>
      </w:r>
      <w:r>
        <w:rPr>
          <w:highlight w:val="none"/>
        </w:rPr>
        <w:fldChar w:fldCharType="end"/>
      </w:r>
    </w:p>
    <w:p>
      <w:pPr>
        <w:pStyle w:val="30"/>
        <w:tabs>
          <w:tab w:val="right" w:leader="dot" w:pos="9060"/>
        </w:tabs>
        <w:rPr>
          <w:rFonts w:cs="Times New Roman"/>
          <w:b w:val="0"/>
          <w:bCs w:val="0"/>
          <w:caps w:val="0"/>
          <w:sz w:val="21"/>
          <w:szCs w:val="22"/>
          <w:highlight w:val="none"/>
        </w:rPr>
      </w:pPr>
      <w:r>
        <w:rPr>
          <w:highlight w:val="none"/>
        </w:rPr>
        <w:fldChar w:fldCharType="begin"/>
      </w:r>
      <w:r>
        <w:rPr>
          <w:highlight w:val="none"/>
        </w:rPr>
        <w:instrText xml:space="preserve"> HYPERLINK \l "_Toc80289099" </w:instrText>
      </w:r>
      <w:r>
        <w:rPr>
          <w:highlight w:val="none"/>
        </w:rPr>
        <w:fldChar w:fldCharType="separate"/>
      </w:r>
      <w:r>
        <w:rPr>
          <w:rStyle w:val="46"/>
          <w:rFonts w:hint="eastAsia" w:ascii="宋体" w:hAnsi="宋体"/>
          <w:color w:val="auto"/>
          <w:highlight w:val="none"/>
        </w:rPr>
        <w:t>第五章技术条件（工程建设标准）</w:t>
      </w:r>
      <w:r>
        <w:rPr>
          <w:highlight w:val="none"/>
        </w:rPr>
        <w:tab/>
      </w:r>
      <w:r>
        <w:rPr>
          <w:highlight w:val="none"/>
        </w:rPr>
        <w:fldChar w:fldCharType="begin"/>
      </w:r>
      <w:r>
        <w:rPr>
          <w:highlight w:val="none"/>
        </w:rPr>
        <w:instrText xml:space="preserve"> PAGEREF _Toc80289099 \h </w:instrText>
      </w:r>
      <w:r>
        <w:rPr>
          <w:highlight w:val="none"/>
        </w:rPr>
        <w:fldChar w:fldCharType="separate"/>
      </w:r>
      <w:r>
        <w:rPr>
          <w:highlight w:val="none"/>
        </w:rPr>
        <w:t>92</w:t>
      </w:r>
      <w:r>
        <w:rPr>
          <w:highlight w:val="none"/>
        </w:rPr>
        <w:fldChar w:fldCharType="end"/>
      </w:r>
      <w:r>
        <w:rPr>
          <w:highlight w:val="none"/>
        </w:rPr>
        <w:fldChar w:fldCharType="end"/>
      </w:r>
    </w:p>
    <w:p>
      <w:pPr>
        <w:pStyle w:val="30"/>
        <w:tabs>
          <w:tab w:val="right" w:leader="dot" w:pos="9060"/>
        </w:tabs>
        <w:rPr>
          <w:rFonts w:cs="Times New Roman"/>
          <w:b w:val="0"/>
          <w:bCs w:val="0"/>
          <w:caps w:val="0"/>
          <w:sz w:val="21"/>
          <w:szCs w:val="22"/>
          <w:highlight w:val="none"/>
        </w:rPr>
      </w:pPr>
      <w:r>
        <w:rPr>
          <w:highlight w:val="none"/>
        </w:rPr>
        <w:fldChar w:fldCharType="begin"/>
      </w:r>
      <w:r>
        <w:rPr>
          <w:highlight w:val="none"/>
        </w:rPr>
        <w:instrText xml:space="preserve"> HYPERLINK \l "_Toc80289100" </w:instrText>
      </w:r>
      <w:r>
        <w:rPr>
          <w:highlight w:val="none"/>
        </w:rPr>
        <w:fldChar w:fldCharType="separate"/>
      </w:r>
      <w:r>
        <w:rPr>
          <w:rStyle w:val="46"/>
          <w:rFonts w:hint="eastAsia" w:ascii="宋体" w:hAnsi="宋体"/>
          <w:color w:val="auto"/>
          <w:highlight w:val="none"/>
        </w:rPr>
        <w:t>第六章图纸及勘察资料</w:t>
      </w:r>
      <w:r>
        <w:rPr>
          <w:highlight w:val="none"/>
        </w:rPr>
        <w:tab/>
      </w:r>
      <w:r>
        <w:rPr>
          <w:highlight w:val="none"/>
        </w:rPr>
        <w:fldChar w:fldCharType="begin"/>
      </w:r>
      <w:r>
        <w:rPr>
          <w:highlight w:val="none"/>
        </w:rPr>
        <w:instrText xml:space="preserve"> PAGEREF _Toc80289100 \h </w:instrText>
      </w:r>
      <w:r>
        <w:rPr>
          <w:highlight w:val="none"/>
        </w:rPr>
        <w:fldChar w:fldCharType="separate"/>
      </w:r>
      <w:r>
        <w:rPr>
          <w:highlight w:val="none"/>
        </w:rPr>
        <w:t>93</w:t>
      </w:r>
      <w:r>
        <w:rPr>
          <w:highlight w:val="none"/>
        </w:rPr>
        <w:fldChar w:fldCharType="end"/>
      </w:r>
      <w:r>
        <w:rPr>
          <w:highlight w:val="none"/>
        </w:rPr>
        <w:fldChar w:fldCharType="end"/>
      </w:r>
    </w:p>
    <w:p>
      <w:pPr>
        <w:pStyle w:val="30"/>
        <w:tabs>
          <w:tab w:val="right" w:leader="dot" w:pos="9060"/>
        </w:tabs>
        <w:rPr>
          <w:rFonts w:cs="Times New Roman"/>
          <w:b w:val="0"/>
          <w:bCs w:val="0"/>
          <w:caps w:val="0"/>
          <w:sz w:val="21"/>
          <w:szCs w:val="22"/>
          <w:highlight w:val="none"/>
        </w:rPr>
      </w:pPr>
      <w:r>
        <w:rPr>
          <w:highlight w:val="none"/>
        </w:rPr>
        <w:fldChar w:fldCharType="begin"/>
      </w:r>
      <w:r>
        <w:rPr>
          <w:highlight w:val="none"/>
        </w:rPr>
        <w:instrText xml:space="preserve"> HYPERLINK \l "_Toc80289101" </w:instrText>
      </w:r>
      <w:r>
        <w:rPr>
          <w:highlight w:val="none"/>
        </w:rPr>
        <w:fldChar w:fldCharType="separate"/>
      </w:r>
      <w:r>
        <w:rPr>
          <w:rStyle w:val="46"/>
          <w:rFonts w:hint="eastAsia" w:ascii="宋体" w:hAnsi="宋体"/>
          <w:color w:val="auto"/>
          <w:highlight w:val="none"/>
        </w:rPr>
        <w:t>第七章工程量清单</w:t>
      </w:r>
      <w:r>
        <w:rPr>
          <w:highlight w:val="none"/>
        </w:rPr>
        <w:tab/>
      </w:r>
      <w:r>
        <w:rPr>
          <w:highlight w:val="none"/>
        </w:rPr>
        <w:fldChar w:fldCharType="begin"/>
      </w:r>
      <w:r>
        <w:rPr>
          <w:highlight w:val="none"/>
        </w:rPr>
        <w:instrText xml:space="preserve"> PAGEREF _Toc80289101 \h </w:instrText>
      </w:r>
      <w:r>
        <w:rPr>
          <w:highlight w:val="none"/>
        </w:rPr>
        <w:fldChar w:fldCharType="separate"/>
      </w:r>
      <w:r>
        <w:rPr>
          <w:highlight w:val="none"/>
        </w:rPr>
        <w:t>94</w:t>
      </w:r>
      <w:r>
        <w:rPr>
          <w:highlight w:val="none"/>
        </w:rPr>
        <w:fldChar w:fldCharType="end"/>
      </w:r>
      <w:r>
        <w:rPr>
          <w:highlight w:val="none"/>
        </w:rPr>
        <w:fldChar w:fldCharType="end"/>
      </w:r>
    </w:p>
    <w:p>
      <w:pPr>
        <w:pStyle w:val="30"/>
        <w:tabs>
          <w:tab w:val="right" w:leader="dot" w:pos="9060"/>
        </w:tabs>
        <w:rPr>
          <w:rFonts w:cs="Times New Roman"/>
          <w:b w:val="0"/>
          <w:bCs w:val="0"/>
          <w:caps w:val="0"/>
          <w:sz w:val="21"/>
          <w:szCs w:val="22"/>
          <w:highlight w:val="none"/>
        </w:rPr>
      </w:pPr>
      <w:r>
        <w:rPr>
          <w:highlight w:val="none"/>
        </w:rPr>
        <w:fldChar w:fldCharType="begin"/>
      </w:r>
      <w:r>
        <w:rPr>
          <w:highlight w:val="none"/>
        </w:rPr>
        <w:instrText xml:space="preserve"> HYPERLINK \l "_Toc80289102" </w:instrText>
      </w:r>
      <w:r>
        <w:rPr>
          <w:highlight w:val="none"/>
        </w:rPr>
        <w:fldChar w:fldCharType="separate"/>
      </w:r>
      <w:r>
        <w:rPr>
          <w:rStyle w:val="46"/>
          <w:rFonts w:hint="eastAsia" w:ascii="宋体" w:hAnsi="宋体"/>
          <w:color w:val="auto"/>
          <w:highlight w:val="none"/>
        </w:rPr>
        <w:t>第八章最高投标限价</w:t>
      </w:r>
      <w:r>
        <w:rPr>
          <w:highlight w:val="none"/>
        </w:rPr>
        <w:tab/>
      </w:r>
      <w:r>
        <w:rPr>
          <w:highlight w:val="none"/>
        </w:rPr>
        <w:fldChar w:fldCharType="begin"/>
      </w:r>
      <w:r>
        <w:rPr>
          <w:highlight w:val="none"/>
        </w:rPr>
        <w:instrText xml:space="preserve"> PAGEREF _Toc80289102 \h </w:instrText>
      </w:r>
      <w:r>
        <w:rPr>
          <w:highlight w:val="none"/>
        </w:rPr>
        <w:fldChar w:fldCharType="separate"/>
      </w:r>
      <w:r>
        <w:rPr>
          <w:highlight w:val="none"/>
        </w:rPr>
        <w:t>95</w:t>
      </w:r>
      <w:r>
        <w:rPr>
          <w:highlight w:val="none"/>
        </w:rPr>
        <w:fldChar w:fldCharType="end"/>
      </w:r>
      <w:r>
        <w:rPr>
          <w:highlight w:val="none"/>
        </w:rPr>
        <w:fldChar w:fldCharType="end"/>
      </w:r>
    </w:p>
    <w:p>
      <w:pPr>
        <w:pStyle w:val="30"/>
        <w:tabs>
          <w:tab w:val="right" w:leader="dot" w:pos="9060"/>
        </w:tabs>
        <w:rPr>
          <w:rFonts w:ascii="宋体" w:hAnsi="宋体"/>
          <w:highlight w:val="none"/>
        </w:rPr>
      </w:pPr>
      <w:r>
        <w:rPr>
          <w:highlight w:val="none"/>
        </w:rPr>
        <w:fldChar w:fldCharType="end"/>
      </w:r>
    </w:p>
    <w:p>
      <w:pPr>
        <w:pStyle w:val="7"/>
        <w:rPr>
          <w:rFonts w:hint="eastAsia" w:ascii="宋体" w:hAnsi="宋体" w:eastAsia="宋体" w:cs="Times New Roman"/>
          <w:b/>
          <w:color w:val="auto"/>
          <w:kern w:val="44"/>
          <w:sz w:val="28"/>
          <w:szCs w:val="28"/>
          <w:highlight w:val="none"/>
          <w:lang w:val="en-US" w:eastAsia="zh-CN" w:bidi="ar-SA"/>
        </w:rPr>
      </w:pPr>
      <w:bookmarkStart w:id="0" w:name="_Toc80289060"/>
      <w:r>
        <w:rPr>
          <w:rFonts w:hint="eastAsia" w:ascii="宋体" w:hAnsi="宋体" w:eastAsia="宋体" w:cs="Times New Roman"/>
          <w:b/>
          <w:color w:val="auto"/>
          <w:kern w:val="44"/>
          <w:sz w:val="28"/>
          <w:szCs w:val="28"/>
          <w:highlight w:val="none"/>
          <w:lang w:val="en-US" w:eastAsia="zh-CN" w:bidi="ar-SA"/>
        </w:rPr>
        <w:t>第一章投标须知</w:t>
      </w:r>
    </w:p>
    <w:p>
      <w:pPr>
        <w:pStyle w:val="7"/>
        <w:rPr>
          <w:color w:val="auto"/>
          <w:highlight w:val="none"/>
        </w:rPr>
      </w:pPr>
      <w:r>
        <w:rPr>
          <w:rFonts w:hint="eastAsia"/>
          <w:color w:val="auto"/>
          <w:highlight w:val="none"/>
        </w:rPr>
        <w:t>一、投标须知前附表</w:t>
      </w:r>
      <w:bookmarkEnd w:id="0"/>
    </w:p>
    <w:p>
      <w:pPr>
        <w:pStyle w:val="8"/>
        <w:spacing w:line="360" w:lineRule="auto"/>
        <w:ind w:firstLine="0"/>
        <w:rPr>
          <w:rFonts w:ascii="宋体" w:hAnsi="宋体"/>
          <w:b/>
          <w:szCs w:val="21"/>
          <w:highlight w:val="none"/>
        </w:rPr>
      </w:pPr>
      <w:r>
        <w:rPr>
          <w:rFonts w:hint="eastAsia" w:ascii="宋体" w:hAnsi="宋体"/>
          <w:b/>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0"/>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r>
              <w:rPr>
                <w:rFonts w:hint="eastAsia" w:ascii="宋体" w:hAnsi="宋体"/>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4"/>
              <w:ind w:firstLine="458"/>
              <w:jc w:val="center"/>
              <w:rPr>
                <w:rFonts w:ascii="宋体" w:hAnsi="宋体"/>
                <w:kern w:val="2"/>
                <w:sz w:val="21"/>
                <w:szCs w:val="21"/>
                <w:highlight w:val="none"/>
              </w:rPr>
            </w:pPr>
            <w:r>
              <w:rPr>
                <w:rFonts w:hint="eastAsia" w:ascii="宋体" w:hAnsi="宋体"/>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招标人（即发包人）：</w:t>
            </w:r>
            <w:r>
              <w:rPr>
                <w:rFonts w:hint="eastAsia" w:ascii="宋体" w:hAnsi="宋体"/>
                <w:szCs w:val="21"/>
                <w:highlight w:val="none"/>
                <w:u w:val="single"/>
              </w:rPr>
              <w:t>深业置地（广州）有限公司</w:t>
            </w:r>
          </w:p>
          <w:p>
            <w:pPr>
              <w:rPr>
                <w:rFonts w:ascii="宋体" w:hAnsi="宋体"/>
                <w:szCs w:val="21"/>
                <w:highlight w:val="none"/>
              </w:rPr>
            </w:pPr>
            <w:r>
              <w:rPr>
                <w:rFonts w:hint="eastAsia" w:ascii="宋体" w:hAnsi="宋体"/>
                <w:szCs w:val="21"/>
                <w:highlight w:val="none"/>
              </w:rPr>
              <w:t>项目建设管理单位：</w:t>
            </w:r>
            <w:r>
              <w:rPr>
                <w:rFonts w:hint="eastAsia" w:ascii="宋体" w:hAnsi="宋体"/>
                <w:szCs w:val="21"/>
                <w:highlight w:val="none"/>
                <w:u w:val="single"/>
              </w:rPr>
              <w:t xml:space="preserve">            /         </w:t>
            </w:r>
          </w:p>
          <w:p>
            <w:pPr>
              <w:rPr>
                <w:rFonts w:ascii="宋体" w:hAnsi="宋体"/>
                <w:szCs w:val="21"/>
                <w:highlight w:val="none"/>
              </w:rPr>
            </w:pPr>
            <w:r>
              <w:rPr>
                <w:rFonts w:hint="eastAsia" w:ascii="宋体" w:hAnsi="宋体"/>
                <w:szCs w:val="21"/>
                <w:highlight w:val="none"/>
              </w:rPr>
              <w:t>招标代理：</w:t>
            </w:r>
            <w:r>
              <w:rPr>
                <w:rFonts w:hint="eastAsia" w:ascii="宋体" w:hAnsi="宋体"/>
                <w:szCs w:val="21"/>
                <w:highlight w:val="none"/>
                <w:u w:val="single"/>
              </w:rPr>
              <w:t>广东粤能工程管理有限公司</w:t>
            </w:r>
          </w:p>
          <w:p>
            <w:pPr>
              <w:rPr>
                <w:rFonts w:ascii="宋体" w:hAnsi="宋体"/>
                <w:szCs w:val="21"/>
                <w:highlight w:val="none"/>
              </w:rPr>
            </w:pPr>
            <w:r>
              <w:rPr>
                <w:rFonts w:hint="eastAsia" w:ascii="宋体" w:hAnsi="宋体"/>
                <w:szCs w:val="21"/>
                <w:highlight w:val="none"/>
              </w:rPr>
              <w:t>设计单位：</w:t>
            </w:r>
            <w:r>
              <w:rPr>
                <w:rFonts w:hint="eastAsia" w:ascii="宋体" w:hAnsi="宋体"/>
                <w:szCs w:val="21"/>
                <w:highlight w:val="none"/>
                <w:u w:val="single"/>
              </w:rPr>
              <w:t>深圳市华阳国际工程设计股份有限公司</w:t>
            </w:r>
          </w:p>
          <w:p>
            <w:pPr>
              <w:rPr>
                <w:rFonts w:ascii="宋体" w:hAnsi="宋体"/>
                <w:szCs w:val="21"/>
                <w:highlight w:val="none"/>
              </w:rPr>
            </w:pPr>
            <w:r>
              <w:rPr>
                <w:rFonts w:hint="eastAsia" w:ascii="宋体" w:hAnsi="宋体"/>
                <w:szCs w:val="21"/>
                <w:highlight w:val="none"/>
              </w:rPr>
              <w:t>监理单位：</w:t>
            </w:r>
            <w:r>
              <w:rPr>
                <w:rFonts w:hint="eastAsia" w:ascii="宋体" w:hAnsi="宋体"/>
                <w:szCs w:val="21"/>
                <w:highlight w:val="none"/>
                <w:u w:val="single"/>
              </w:rPr>
              <w:t>广州珠江工程建设监理有限公司</w:t>
            </w:r>
          </w:p>
          <w:p>
            <w:pPr>
              <w:rPr>
                <w:rFonts w:ascii="宋体" w:hAnsi="宋体"/>
                <w:szCs w:val="21"/>
                <w:highlight w:val="none"/>
              </w:rPr>
            </w:pPr>
            <w:r>
              <w:rPr>
                <w:rFonts w:hint="eastAsia" w:ascii="宋体" w:hAnsi="宋体"/>
                <w:szCs w:val="21"/>
                <w:highlight w:val="none"/>
              </w:rPr>
              <w:t>检测机构：</w:t>
            </w:r>
            <w:r>
              <w:rPr>
                <w:rFonts w:hint="eastAsia" w:ascii="宋体" w:hAnsi="宋体"/>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left"/>
              <w:rPr>
                <w:rFonts w:hint="eastAsia" w:ascii="宋体" w:hAnsi="宋体" w:eastAsia="宋体"/>
                <w:kern w:val="0"/>
                <w:szCs w:val="21"/>
                <w:highlight w:val="none"/>
                <w:lang w:eastAsia="zh-CN"/>
              </w:rPr>
            </w:pPr>
            <w:r>
              <w:rPr>
                <w:rFonts w:hint="eastAsia" w:ascii="宋体" w:hAnsi="宋体"/>
                <w:kern w:val="0"/>
                <w:szCs w:val="21"/>
                <w:highlight w:val="none"/>
                <w:lang w:eastAsia="zh-CN"/>
              </w:rPr>
              <w:t>深业颐泽府二、三期厨电供货与安装工程（第二次招标）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广州市南沙自贸区横沥岛DH0502单元内，大元路以北、星灿路以西地块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kern w:val="0"/>
                <w:szCs w:val="21"/>
                <w:highlight w:val="none"/>
              </w:rPr>
              <w:t>本工程采用固定</w:t>
            </w:r>
            <w:r>
              <w:rPr>
                <w:rFonts w:ascii="宋体" w:hAnsi="宋体"/>
                <w:kern w:val="0"/>
                <w:szCs w:val="21"/>
                <w:highlight w:val="none"/>
              </w:rPr>
              <w:t>总价</w:t>
            </w:r>
            <w:r>
              <w:rPr>
                <w:rFonts w:hint="eastAsia" w:ascii="宋体" w:hAnsi="宋体"/>
                <w:kern w:val="0"/>
                <w:szCs w:val="21"/>
                <w:highlight w:val="none"/>
              </w:rPr>
              <w:t>包干，投标报价包括但不限于人工、材料、机械、管理费、利润、水电费、各类措施费。</w:t>
            </w:r>
            <w:r>
              <w:rPr>
                <w:rFonts w:hint="eastAsia"/>
                <w:highlight w:val="none"/>
              </w:rPr>
              <w:t>在报价中综合考虑所有涉及到完成图纸要求做法的费用</w:t>
            </w:r>
            <w:r>
              <w:rPr>
                <w:rFonts w:hint="eastAsia" w:ascii="宋体" w:hAnsi="宋体"/>
                <w:kern w:val="0"/>
                <w:szCs w:val="21"/>
                <w:highlight w:val="none"/>
              </w:rPr>
              <w:t>（包括但不限于主材、辅材、相关材料检验及试验费、成品保护费、冬雨季施工、设备进出场及安拆、二次搬运、施工降排水、塔吊及人货电梯加班费、</w:t>
            </w:r>
            <w:r>
              <w:rPr>
                <w:rFonts w:hint="eastAsia" w:ascii="Times New Roman" w:hAnsi="Times New Roman"/>
                <w:szCs w:val="24"/>
                <w:highlight w:val="none"/>
              </w:rPr>
              <w:t>赶工费、</w:t>
            </w:r>
            <w:r>
              <w:rPr>
                <w:rFonts w:hint="eastAsia" w:ascii="宋体" w:hAnsi="宋体"/>
                <w:kern w:val="0"/>
                <w:szCs w:val="21"/>
                <w:highlight w:val="none"/>
              </w:rPr>
              <w:t>安全、文明施工、</w:t>
            </w:r>
            <w:r>
              <w:rPr>
                <w:rFonts w:hint="eastAsia"/>
                <w:highlight w:val="none"/>
              </w:rPr>
              <w:t>主材、辅材、相关材料检验及试验费</w:t>
            </w:r>
            <w:r>
              <w:rPr>
                <w:rFonts w:hint="eastAsia" w:ascii="宋体" w:hAnsi="宋体"/>
                <w:kern w:val="0"/>
                <w:szCs w:val="21"/>
                <w:highlight w:val="none"/>
              </w:rPr>
              <w:t>等）合同文本规定的不可抗力以外的所有风险及其他一切不可预见因素（包括但不限于市场波动、法律政策调整、工期、天气等因素）、保修、质量、项目协调管理、验收移交（含政府主管部门的验收及相关费用）、竣工资料收集整理移交档案、税费、规费等投标人为履行本招标文件项下所有义务的任何费用等。</w:t>
            </w:r>
            <w:r>
              <w:rPr>
                <w:rFonts w:ascii="宋体" w:hAnsi="宋体"/>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bottom"/>
          </w:tcPr>
          <w:p>
            <w:pPr>
              <w:pStyle w:val="82"/>
              <w:ind w:firstLine="0" w:firstLineChars="0"/>
              <w:jc w:val="left"/>
              <w:rPr>
                <w:rFonts w:ascii="宋体" w:hAnsi="宋体"/>
                <w:spacing w:val="0"/>
                <w:kern w:val="2"/>
                <w:sz w:val="21"/>
                <w:szCs w:val="21"/>
                <w:highlight w:val="none"/>
                <w:u w:val="single"/>
              </w:rPr>
            </w:pPr>
            <w:r>
              <w:rPr>
                <w:rFonts w:hint="eastAsia" w:ascii="宋体" w:hAnsi="宋体"/>
                <w:sz w:val="21"/>
                <w:szCs w:val="21"/>
                <w:highlight w:val="none"/>
                <w:u w:val="single"/>
              </w:rPr>
              <w:t>一次竣工验收合格，</w:t>
            </w:r>
            <w:r>
              <w:rPr>
                <w:rFonts w:ascii="宋体" w:hAnsi="宋体"/>
                <w:sz w:val="21"/>
                <w:szCs w:val="21"/>
                <w:highlight w:val="none"/>
                <w:u w:val="single"/>
              </w:rPr>
              <w:t>并达到国家</w:t>
            </w:r>
            <w:r>
              <w:rPr>
                <w:rFonts w:hint="eastAsia" w:ascii="宋体" w:hAnsi="宋体"/>
                <w:sz w:val="21"/>
                <w:szCs w:val="21"/>
                <w:highlight w:val="none"/>
                <w:u w:val="single"/>
              </w:rPr>
              <w:t>、</w:t>
            </w:r>
            <w:r>
              <w:rPr>
                <w:rFonts w:ascii="宋体" w:hAnsi="宋体"/>
                <w:sz w:val="21"/>
                <w:szCs w:val="21"/>
                <w:highlight w:val="none"/>
                <w:u w:val="single"/>
              </w:rPr>
              <w:t>行业主管部门颁布的质量验收标准。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20" w:lineRule="exact"/>
              <w:rPr>
                <w:rFonts w:ascii="宋体" w:hAnsi="宋体"/>
                <w:szCs w:val="21"/>
                <w:highlight w:val="none"/>
                <w:u w:val="single"/>
              </w:rPr>
            </w:pPr>
            <w:r>
              <w:rPr>
                <w:rFonts w:hint="eastAsia" w:ascii="宋体" w:hAnsi="宋体"/>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bookmarkStart w:id="1" w:name="_Hlk132112778"/>
            <w:r>
              <w:rPr>
                <w:rFonts w:hint="eastAsia" w:ascii="宋体" w:hAnsi="宋体"/>
                <w:szCs w:val="21"/>
                <w:highlight w:val="none"/>
                <w:u w:val="single"/>
              </w:rPr>
              <w:t>二期9~15栋楼暂定为2024年</w:t>
            </w:r>
            <w:r>
              <w:rPr>
                <w:rFonts w:hint="eastAsia" w:ascii="宋体" w:hAnsi="宋体"/>
                <w:szCs w:val="21"/>
                <w:highlight w:val="none"/>
                <w:u w:val="single"/>
                <w:lang w:val="en-US" w:eastAsia="zh-CN"/>
              </w:rPr>
              <w:t>8</w:t>
            </w:r>
            <w:r>
              <w:rPr>
                <w:rFonts w:hint="eastAsia" w:ascii="宋体" w:hAnsi="宋体"/>
                <w:szCs w:val="21"/>
                <w:highlight w:val="none"/>
                <w:u w:val="single"/>
              </w:rPr>
              <w:t>月1日-2024年</w:t>
            </w:r>
            <w:r>
              <w:rPr>
                <w:rFonts w:hint="eastAsia" w:ascii="宋体" w:hAnsi="宋体"/>
                <w:szCs w:val="21"/>
                <w:highlight w:val="none"/>
                <w:u w:val="single"/>
                <w:lang w:val="en-US" w:eastAsia="zh-CN"/>
              </w:rPr>
              <w:t>9</w:t>
            </w:r>
            <w:r>
              <w:rPr>
                <w:rFonts w:hint="eastAsia" w:ascii="宋体" w:hAnsi="宋体"/>
                <w:szCs w:val="21"/>
                <w:highlight w:val="none"/>
                <w:u w:val="single"/>
              </w:rPr>
              <w:t>月3</w:t>
            </w:r>
            <w:r>
              <w:rPr>
                <w:rFonts w:hint="eastAsia" w:ascii="宋体" w:hAnsi="宋体"/>
                <w:szCs w:val="21"/>
                <w:highlight w:val="none"/>
                <w:u w:val="single"/>
                <w:lang w:val="en-US" w:eastAsia="zh-CN"/>
              </w:rPr>
              <w:t>0</w:t>
            </w:r>
            <w:r>
              <w:rPr>
                <w:rFonts w:hint="eastAsia" w:ascii="宋体" w:hAnsi="宋体"/>
                <w:szCs w:val="21"/>
                <w:highlight w:val="none"/>
                <w:u w:val="single"/>
              </w:rPr>
              <w:t>日，三期1~8栋楼暂定为2024年</w:t>
            </w:r>
            <w:r>
              <w:rPr>
                <w:rFonts w:hint="eastAsia" w:ascii="宋体" w:hAnsi="宋体"/>
                <w:szCs w:val="21"/>
                <w:highlight w:val="none"/>
                <w:u w:val="single"/>
                <w:lang w:val="en-US" w:eastAsia="zh-CN"/>
              </w:rPr>
              <w:t>9</w:t>
            </w:r>
            <w:r>
              <w:rPr>
                <w:rFonts w:hint="eastAsia" w:ascii="宋体" w:hAnsi="宋体"/>
                <w:szCs w:val="21"/>
                <w:highlight w:val="none"/>
                <w:u w:val="single"/>
              </w:rPr>
              <w:t>月1日-2024年</w:t>
            </w:r>
            <w:r>
              <w:rPr>
                <w:rFonts w:hint="eastAsia" w:ascii="宋体" w:hAnsi="宋体"/>
                <w:szCs w:val="21"/>
                <w:highlight w:val="none"/>
                <w:u w:val="single"/>
                <w:lang w:val="en-US" w:eastAsia="zh-CN"/>
              </w:rPr>
              <w:t>10</w:t>
            </w:r>
            <w:r>
              <w:rPr>
                <w:rFonts w:hint="eastAsia" w:ascii="宋体" w:hAnsi="宋体"/>
                <w:szCs w:val="21"/>
                <w:highlight w:val="none"/>
                <w:u w:val="single"/>
              </w:rPr>
              <w:t>月3</w:t>
            </w:r>
            <w:r>
              <w:rPr>
                <w:rFonts w:hint="eastAsia" w:ascii="宋体" w:hAnsi="宋体"/>
                <w:szCs w:val="21"/>
                <w:highlight w:val="none"/>
                <w:u w:val="single"/>
                <w:lang w:val="en-US" w:eastAsia="zh-CN"/>
              </w:rPr>
              <w:t>1</w:t>
            </w:r>
            <w:r>
              <w:rPr>
                <w:rFonts w:hint="eastAsia" w:ascii="宋体" w:hAnsi="宋体"/>
                <w:szCs w:val="21"/>
                <w:highlight w:val="none"/>
                <w:u w:val="single"/>
              </w:rPr>
              <w:t>日，二三期各61天。（具体开工日期以招标人下发的开工指令中的进场日期为准）</w:t>
            </w:r>
            <w:bookmarkEnd w:id="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企业自筹资金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20" w:lineRule="exact"/>
              <w:rPr>
                <w:rFonts w:ascii="宋体" w:hAnsi="宋体"/>
                <w:szCs w:val="21"/>
                <w:highlight w:val="none"/>
                <w:u w:val="single"/>
              </w:rPr>
            </w:pPr>
            <w:r>
              <w:rPr>
                <w:rFonts w:hint="eastAsia" w:ascii="宋体" w:hAnsi="宋体"/>
                <w:szCs w:val="21"/>
                <w:highlight w:val="none"/>
                <w:u w:val="single"/>
              </w:rPr>
              <w:t>本工程的投标报价采用工程量清单计价方式，投标人根据工程量清单、施工图纸、招标范围界面（详见合同补充条款）及有关资料自行报价。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90</w:t>
            </w:r>
            <w:r>
              <w:rPr>
                <w:rFonts w:hint="eastAsia" w:ascii="宋体" w:hAnsi="宋体"/>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szCs w:val="21"/>
                <w:highlight w:val="none"/>
                <w:u w:val="single"/>
              </w:rPr>
            </w:pPr>
            <w:r>
              <w:rPr>
                <w:rFonts w:hint="eastAsia" w:ascii="宋体" w:hAnsi="宋体"/>
                <w:szCs w:val="21"/>
                <w:highlight w:val="none"/>
                <w:u w:val="single"/>
              </w:rPr>
              <w:t>1、投标担保的金额：</w:t>
            </w:r>
            <w:r>
              <w:rPr>
                <w:rFonts w:hint="eastAsia" w:ascii="宋体" w:hAnsi="宋体"/>
                <w:szCs w:val="21"/>
                <w:highlight w:val="none"/>
                <w:u w:val="single"/>
              </w:rPr>
              <w:t>人民币</w:t>
            </w:r>
            <w:r>
              <w:rPr>
                <w:rFonts w:ascii="宋体" w:hAnsi="宋体"/>
                <w:szCs w:val="21"/>
                <w:highlight w:val="none"/>
                <w:u w:val="single"/>
              </w:rPr>
              <w:t xml:space="preserve"> </w:t>
            </w:r>
            <w:r>
              <w:rPr>
                <w:rFonts w:hint="eastAsia" w:ascii="宋体" w:hAnsi="宋体"/>
                <w:szCs w:val="21"/>
                <w:highlight w:val="none"/>
                <w:u w:val="single"/>
              </w:rPr>
              <w:t>10</w:t>
            </w:r>
            <w:r>
              <w:rPr>
                <w:rFonts w:ascii="宋体" w:hAnsi="宋体"/>
                <w:szCs w:val="21"/>
                <w:highlight w:val="none"/>
                <w:u w:val="single"/>
              </w:rPr>
              <w:t xml:space="preserve"> </w:t>
            </w:r>
            <w:r>
              <w:rPr>
                <w:rFonts w:hint="eastAsia" w:ascii="宋体" w:hAnsi="宋体"/>
                <w:szCs w:val="21"/>
                <w:highlight w:val="none"/>
                <w:u w:val="single"/>
              </w:rPr>
              <w:t>万元。</w:t>
            </w:r>
          </w:p>
          <w:p>
            <w:pPr>
              <w:rPr>
                <w:rFonts w:ascii="宋体" w:hAnsi="宋体"/>
                <w:szCs w:val="21"/>
                <w:highlight w:val="none"/>
                <w:u w:val="single"/>
              </w:rPr>
            </w:pPr>
            <w:r>
              <w:rPr>
                <w:rFonts w:hint="eastAsia" w:ascii="宋体" w:hAnsi="宋体"/>
                <w:szCs w:val="21"/>
                <w:highlight w:val="none"/>
                <w:u w:val="single"/>
              </w:rPr>
              <w:t>2、提交截止时间：投标截止时间前。</w:t>
            </w:r>
            <w:r>
              <w:rPr>
                <w:rFonts w:hint="eastAsia" w:ascii="宋体" w:hAnsi="宋体"/>
                <w:szCs w:val="21"/>
                <w:highlight w:val="none"/>
                <w:u w:val="single"/>
              </w:rPr>
              <w:cr/>
            </w:r>
            <w:r>
              <w:rPr>
                <w:rFonts w:hint="eastAsia" w:ascii="宋体" w:hAnsi="宋体"/>
                <w:szCs w:val="21"/>
                <w:highlight w:val="none"/>
                <w:u w:val="single"/>
              </w:rPr>
              <w:t>3、投标保证金有效期：与投标有效期一致。</w:t>
            </w:r>
            <w:r>
              <w:rPr>
                <w:rFonts w:hint="eastAsia" w:ascii="宋体" w:hAnsi="宋体"/>
                <w:szCs w:val="21"/>
                <w:highlight w:val="none"/>
                <w:u w:val="single"/>
              </w:rPr>
              <w:cr/>
            </w:r>
            <w:r>
              <w:rPr>
                <w:rFonts w:hint="eastAsia" w:ascii="宋体" w:hAnsi="宋体"/>
                <w:szCs w:val="21"/>
                <w:highlight w:val="none"/>
                <w:u w:val="single"/>
              </w:rPr>
              <w:t>4、投标保证金的形式：投标保证金可采用现金、银行汇票、银行本票、银行电汇、支票（现金支票、转账支票）、投标保证保险、投标保函（银行或专业担保公司出具）等形式。</w:t>
            </w:r>
          </w:p>
          <w:p>
            <w:pPr>
              <w:rPr>
                <w:rFonts w:ascii="宋体" w:hAnsi="宋体"/>
                <w:szCs w:val="21"/>
                <w:highlight w:val="none"/>
                <w:u w:val="single"/>
              </w:rPr>
            </w:pPr>
            <w:r>
              <w:rPr>
                <w:rFonts w:hint="eastAsia" w:ascii="宋体" w:hAnsi="宋体"/>
                <w:szCs w:val="21"/>
                <w:highlight w:val="none"/>
                <w:u w:val="single"/>
              </w:rPr>
              <w:t>5、递交方式：</w:t>
            </w:r>
            <w:r>
              <w:rPr>
                <w:rFonts w:hint="eastAsia" w:ascii="宋体" w:hAnsi="宋体"/>
                <w:szCs w:val="21"/>
                <w:highlight w:val="none"/>
                <w:u w:val="single"/>
              </w:rPr>
              <w:cr/>
            </w:r>
            <w:r>
              <w:rPr>
                <w:rFonts w:hint="eastAsia" w:ascii="宋体" w:hAnsi="宋体"/>
                <w:szCs w:val="21"/>
                <w:highlight w:val="none"/>
                <w:u w:val="single"/>
              </w:rPr>
              <w:t>（1）如采用现金、银行汇票、银行本票、银行电汇、支票（现金支票、转账支票）形式提交的，投标保证金从投标人基本账户递交，由广州交易集团有限公司代收。具体操作要求详见广州公共资源交易中心有关指引，递交事宜请自行咨询广州公共资源交易中心(咨询电话：020-28866000)或参考http://www.gzggzy.cn/fwznbszycwxg/850331.jhtml；请各投标人在投标文件递交截止时间前按上述金额递交至广州公共资源交易中心，到账情况以开标时广州公共资源交易中心数据库查询的信息为准。</w:t>
            </w:r>
          </w:p>
          <w:p>
            <w:pPr>
              <w:rPr>
                <w:rFonts w:ascii="宋体" w:hAnsi="宋体"/>
                <w:szCs w:val="21"/>
                <w:highlight w:val="none"/>
                <w:u w:val="single"/>
              </w:rPr>
            </w:pPr>
            <w:r>
              <w:rPr>
                <w:rFonts w:hint="eastAsia" w:ascii="宋体" w:hAnsi="宋体"/>
                <w:szCs w:val="21"/>
                <w:highlight w:val="none"/>
                <w:u w:val="single"/>
              </w:rPr>
              <w:t>（2）采用投标保证保险、投标保函（银行或专业担保公司出具）提交投标保证金的，须开具给招标人（保险受益人须为招标人）。在开标前不强制要求投标人提交纸质原件，但投标人应在投标文件中提交投标保证保险、投标保函（银行或专业担保公司出具）扫描件并加盖投标人电子印章，完成评标后，由中标候选人在中标候选人公示前向招标代理单位提交纸质原件并在网上公示。银行投标保函有效期应长于或等于投标有效期，若投标有效期延长的，银行投标保函有效期应相应延长，且延长后的有效期应满足前述要求。投标人提供的银行投标保函应为银行出具的无条件、见索即付、不可撤销的保函。如投标人选择在开标前提交纸质原件的，可在投标截止时间前单独密封递交至开标室。</w:t>
            </w:r>
          </w:p>
          <w:p>
            <w:pPr>
              <w:rPr>
                <w:rFonts w:ascii="宋体" w:hAnsi="宋体"/>
                <w:szCs w:val="21"/>
                <w:highlight w:val="none"/>
                <w:u w:val="single"/>
              </w:rPr>
            </w:pPr>
            <w:r>
              <w:rPr>
                <w:rFonts w:hint="eastAsia" w:ascii="宋体" w:hAnsi="宋体"/>
                <w:szCs w:val="21"/>
                <w:highlight w:val="none"/>
                <w:u w:val="single"/>
              </w:rPr>
              <w:t>（3）如采用非现金电子化形式递交投标保证金，按广州公共资源交易中心发布的《广州公共资源交易中心关于开通电子保函服务功能的通知》操作。详见：http://ggzy.gz.gov.cn/zxgg/822128.jhtml。到账情况以开标时广州公共资源交易中心数据库查询信息为准。</w:t>
            </w:r>
          </w:p>
          <w:p>
            <w:pPr>
              <w:rPr>
                <w:rFonts w:ascii="宋体" w:hAnsi="宋体"/>
                <w:szCs w:val="21"/>
                <w:highlight w:val="none"/>
                <w:u w:val="single"/>
              </w:rPr>
            </w:pPr>
            <w:r>
              <w:rPr>
                <w:rFonts w:hint="eastAsia" w:ascii="宋体" w:hAnsi="宋体"/>
                <w:szCs w:val="21"/>
                <w:highlight w:val="none"/>
                <w:u w:val="single"/>
              </w:rPr>
              <w:t>6、开标时投标人没有按要求提供投标保证金的，其投标文件将被否决。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4"/>
              <w:rPr>
                <w:rFonts w:ascii="宋体" w:hAnsi="宋体"/>
                <w:kern w:val="2"/>
                <w:sz w:val="21"/>
                <w:szCs w:val="21"/>
                <w:highlight w:val="none"/>
              </w:rPr>
            </w:pPr>
            <w:r>
              <w:rPr>
                <w:rFonts w:hint="eastAsia" w:ascii="宋体" w:hAnsi="宋体"/>
                <w:kern w:val="2"/>
                <w:sz w:val="21"/>
                <w:szCs w:val="21"/>
                <w:highlight w:val="none"/>
                <w:u w:val="single"/>
              </w:rPr>
              <w:t>招标人不集中组织，由投标人自行踏勘</w:t>
            </w:r>
            <w:r>
              <w:rPr>
                <w:rFonts w:hint="eastAsia" w:ascii="宋体" w:hAnsi="宋体"/>
                <w:sz w:val="21"/>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highlight w:val="none"/>
              </w:rPr>
            </w:pPr>
            <w:r>
              <w:rPr>
                <w:rFonts w:hint="eastAsia" w:ascii="宋体" w:hAnsi="宋体" w:cs="宋体"/>
                <w:szCs w:val="21"/>
                <w:highlight w:val="none"/>
              </w:rPr>
              <w:t>形式及时间：</w:t>
            </w:r>
          </w:p>
          <w:p>
            <w:pPr>
              <w:ind w:firstLine="420" w:firstLineChars="200"/>
              <w:rPr>
                <w:rFonts w:ascii="宋体" w:hAnsi="宋体" w:cs="宋体"/>
                <w:highlight w:val="none"/>
              </w:rPr>
            </w:pPr>
            <w:r>
              <w:rPr>
                <w:rFonts w:hint="eastAsia" w:ascii="宋体" w:hAnsi="宋体" w:cs="宋体"/>
                <w:szCs w:val="21"/>
                <w:highlight w:val="none"/>
                <w:u w:val="single"/>
              </w:rPr>
              <w:t>招标答疑采用网上答疑方式进行。投标人若对招标文件有疑问的，可在规定的时间内通过广州公共资源交易中心数字交易平台提交。</w:t>
            </w:r>
          </w:p>
          <w:p>
            <w:pPr>
              <w:ind w:firstLine="420" w:firstLineChars="200"/>
              <w:rPr>
                <w:rFonts w:ascii="宋体" w:hAnsi="宋体" w:cs="宋体"/>
                <w:szCs w:val="21"/>
                <w:highlight w:val="none"/>
                <w:u w:val="single"/>
              </w:rPr>
            </w:pPr>
            <w:r>
              <w:rPr>
                <w:rFonts w:hint="eastAsia" w:ascii="宋体" w:hAnsi="宋体" w:cs="宋体"/>
                <w:szCs w:val="21"/>
                <w:highlight w:val="none"/>
                <w:u w:val="single"/>
              </w:rPr>
              <w:t>投标人应在</w:t>
            </w:r>
            <w:r>
              <w:rPr>
                <w:rFonts w:hint="eastAsia" w:ascii="宋体" w:hAnsi="宋体" w:cs="宋体"/>
                <w:b/>
                <w:szCs w:val="21"/>
                <w:highlight w:val="none"/>
                <w:u w:val="single"/>
              </w:rPr>
              <w:t>约定的时间内（以广州公共资源交易中心网站发布的时间为准）</w:t>
            </w:r>
            <w:r>
              <w:rPr>
                <w:rFonts w:hint="eastAsia" w:ascii="宋体" w:hAnsi="宋体" w:cs="宋体"/>
                <w:szCs w:val="21"/>
                <w:highlight w:val="none"/>
                <w:u w:val="single"/>
              </w:rPr>
              <w:t>提出答疑问题。招标人应在投标截止时间15日前解答投标人对招标文件提出的疑问，形成答疑纪要，在广州公共资源交易中心网站发布。</w:t>
            </w:r>
          </w:p>
          <w:p>
            <w:pPr>
              <w:rPr>
                <w:rFonts w:ascii="宋体" w:hAnsi="宋体"/>
                <w:szCs w:val="21"/>
                <w:highlight w:val="none"/>
                <w:u w:val="single"/>
              </w:rPr>
            </w:pPr>
            <w:r>
              <w:rPr>
                <w:rFonts w:hint="eastAsia" w:ascii="宋体" w:hAnsi="宋体"/>
                <w:szCs w:val="21"/>
                <w:highlight w:val="none"/>
                <w:u w:val="single"/>
              </w:rPr>
              <w:t>具体操作方法按照广州公共资源交易平台关于全流程电子化项目的相关指南进行操作，详见：广州公共资源交易中心网站发布的最新版操作指引。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r>
              <w:rPr>
                <w:rFonts w:hint="eastAsia"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20</w:t>
            </w:r>
            <w:r>
              <w:rPr>
                <w:rFonts w:ascii="宋体" w:hAnsi="宋体"/>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ind w:firstLine="210" w:firstLineChars="100"/>
              <w:rPr>
                <w:rFonts w:ascii="宋体" w:hAnsi="宋体"/>
                <w:strike/>
                <w:szCs w:val="21"/>
                <w:highlight w:val="none"/>
              </w:rPr>
            </w:pP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日时</w:t>
            </w:r>
            <w:r>
              <w:rPr>
                <w:rFonts w:hint="eastAsia" w:ascii="宋体" w:hAnsi="宋体" w:cs="仿宋_GB2312"/>
                <w:szCs w:val="21"/>
                <w:highlight w:val="none"/>
              </w:rPr>
              <w:t>分</w:t>
            </w:r>
            <w:r>
              <w:rPr>
                <w:rFonts w:hint="eastAsia" w:ascii="宋体" w:hAnsi="宋体"/>
                <w:szCs w:val="21"/>
                <w:highlight w:val="none"/>
              </w:rPr>
              <w:t>（北京时间）。（具体见招标公告）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u w:val="single"/>
              </w:rPr>
            </w:pPr>
            <w:r>
              <w:rPr>
                <w:rFonts w:hint="eastAsia" w:ascii="宋体" w:hAnsi="宋体"/>
                <w:szCs w:val="21"/>
                <w:highlight w:val="none"/>
                <w:u w:val="singl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（技术标和经济标同时开标）（具体见招标公告）</w:t>
            </w:r>
          </w:p>
          <w:p>
            <w:pPr>
              <w:widowControl/>
              <w:jc w:val="left"/>
              <w:rPr>
                <w:rFonts w:ascii="仿宋" w:hAnsi="仿宋" w:eastAsia="仿宋" w:cs="宋体"/>
                <w:bCs/>
                <w:kern w:val="0"/>
                <w:sz w:val="22"/>
                <w:highlight w:val="none"/>
              </w:rPr>
            </w:pPr>
            <w:r>
              <w:rPr>
                <w:rFonts w:hint="eastAsia" w:ascii="宋体" w:hAnsi="宋体"/>
                <w:szCs w:val="21"/>
                <w:highlight w:val="none"/>
              </w:rPr>
              <w:t>1．开标开始时间：</w:t>
            </w:r>
            <w:r>
              <w:rPr>
                <w:rFonts w:hint="eastAsia" w:ascii="宋体" w:hAnsi="宋体"/>
                <w:szCs w:val="21"/>
                <w:highlight w:val="none"/>
                <w:u w:val="single"/>
              </w:rPr>
              <w:t xml:space="preserve">  </w:t>
            </w:r>
            <w:r>
              <w:rPr>
                <w:rFonts w:hint="eastAsia" w:ascii="宋体" w:hAnsi="宋体"/>
                <w:szCs w:val="21"/>
                <w:highlight w:val="none"/>
              </w:rPr>
              <w:t>年月日时分（与</w:t>
            </w:r>
            <w:r>
              <w:rPr>
                <w:rFonts w:ascii="宋体" w:hAnsi="宋体"/>
                <w:szCs w:val="21"/>
                <w:highlight w:val="none"/>
              </w:rPr>
              <w:t>投标截止时间</w:t>
            </w:r>
            <w:r>
              <w:rPr>
                <w:rFonts w:hint="eastAsia" w:ascii="宋体" w:hAnsi="宋体"/>
                <w:szCs w:val="21"/>
                <w:highlight w:val="none"/>
              </w:rPr>
              <w:t>为</w:t>
            </w:r>
            <w:r>
              <w:rPr>
                <w:rFonts w:ascii="宋体" w:hAnsi="宋体"/>
                <w:szCs w:val="21"/>
                <w:highlight w:val="none"/>
              </w:rPr>
              <w:t>同一时间</w:t>
            </w:r>
            <w:r>
              <w:rPr>
                <w:rFonts w:hint="eastAsia" w:ascii="宋体" w:hAnsi="宋体"/>
                <w:szCs w:val="21"/>
                <w:highlight w:val="none"/>
              </w:rPr>
              <w:t>），地点：</w:t>
            </w:r>
            <w:r>
              <w:rPr>
                <w:rFonts w:hint="eastAsia" w:ascii="宋体" w:hAnsi="宋体"/>
                <w:szCs w:val="21"/>
                <w:highlight w:val="none"/>
                <w:u w:val="single"/>
              </w:rPr>
              <w:t xml:space="preserve">广州公共资源交易中心南沙交易部第   开标室。（广州市南沙区环市大道中成汇街2号） </w:t>
            </w:r>
            <w:r>
              <w:rPr>
                <w:rFonts w:hint="eastAsia" w:ascii="仿宋" w:hAnsi="仿宋" w:eastAsia="仿宋" w:cs="宋体"/>
                <w:b/>
                <w:bCs/>
                <w:kern w:val="0"/>
                <w:sz w:val="22"/>
                <w:highlight w:val="none"/>
              </w:rPr>
              <w:t>投标人也可选择参加在线开标，具体按照交易平台相关指南进行操作。详见：广州公共资源交易中心网站发布的最新版操作指引。</w:t>
            </w:r>
          </w:p>
          <w:p>
            <w:pPr>
              <w:rPr>
                <w:rFonts w:ascii="宋体" w:hAnsi="宋体"/>
                <w:szCs w:val="21"/>
                <w:highlight w:val="none"/>
              </w:rPr>
            </w:pPr>
            <w:r>
              <w:rPr>
                <w:rFonts w:hint="eastAsia" w:ascii="宋体" w:hAnsi="宋体"/>
                <w:szCs w:val="21"/>
                <w:highlight w:val="none"/>
              </w:rPr>
              <w:t>注：投标文件解密问题。投标人只用执行一次解密，招标人执行解密次数根据招标文件开标次数确定。</w:t>
            </w:r>
          </w:p>
          <w:p>
            <w:pPr>
              <w:rPr>
                <w:rFonts w:ascii="宋体" w:hAnsi="宋体"/>
                <w:b/>
                <w:szCs w:val="21"/>
                <w:highlight w:val="none"/>
              </w:rPr>
            </w:pPr>
            <w:r>
              <w:rPr>
                <w:rFonts w:hint="eastAsia" w:ascii="宋体" w:hAnsi="宋体"/>
                <w:szCs w:val="21"/>
                <w:highlight w:val="none"/>
              </w:rPr>
              <w:t>2.递交投标文件备用U盘时间：</w:t>
            </w:r>
            <w:r>
              <w:rPr>
                <w:rFonts w:hint="eastAsia" w:ascii="宋体" w:hAnsi="宋体"/>
                <w:szCs w:val="21"/>
                <w:highlight w:val="none"/>
                <w:u w:val="single"/>
                <w:lang w:val="en-US" w:eastAsia="zh-CN"/>
              </w:rPr>
              <w:t xml:space="preserve"> </w:t>
            </w:r>
            <w:r>
              <w:rPr>
                <w:rFonts w:hint="eastAsia" w:ascii="宋体" w:hAnsi="宋体"/>
                <w:szCs w:val="21"/>
                <w:highlight w:val="none"/>
              </w:rPr>
              <w:t>年月日时分至年月日时分；递交地点：</w:t>
            </w:r>
            <w:r>
              <w:rPr>
                <w:rFonts w:hint="eastAsia" w:ascii="宋体" w:hAnsi="宋体"/>
                <w:szCs w:val="21"/>
                <w:highlight w:val="none"/>
                <w:u w:val="single"/>
              </w:rPr>
              <w:t>广州公共资源交易中心南沙交易部第   开标室。（广州市南沙区环市大道中成汇街2号）</w:t>
            </w:r>
            <w:r>
              <w:rPr>
                <w:rFonts w:hint="eastAsia" w:ascii="宋体" w:hAnsi="宋体"/>
                <w:szCs w:val="21"/>
                <w:highlight w:val="none"/>
              </w:rPr>
              <w:t>。</w:t>
            </w:r>
            <w:r>
              <w:rPr>
                <w:rFonts w:hint="eastAsia" w:ascii="宋体" w:hAnsi="宋体"/>
                <w:b/>
                <w:szCs w:val="21"/>
                <w:highlight w:val="none"/>
              </w:rPr>
              <w:t>(在投标文件截止时间前15分钟至投标文件截止时间）</w:t>
            </w:r>
          </w:p>
          <w:p>
            <w:pPr>
              <w:rPr>
                <w:rFonts w:ascii="宋体" w:hAnsi="宋体"/>
                <w:szCs w:val="21"/>
                <w:highlight w:val="none"/>
                <w:u w:val="single"/>
              </w:rPr>
            </w:pPr>
            <w:r>
              <w:rPr>
                <w:rFonts w:hint="eastAsia" w:ascii="宋体" w:hAnsi="宋体"/>
                <w:szCs w:val="21"/>
                <w:highlight w:val="none"/>
                <w:u w:val="single"/>
              </w:rPr>
              <w:t>3.递交纸质定标辅助文件时间</w:t>
            </w:r>
            <w:r>
              <w:rPr>
                <w:rFonts w:hint="eastAsia" w:ascii="宋体" w:hAnsi="宋体"/>
                <w:b/>
                <w:szCs w:val="21"/>
                <w:highlight w:val="none"/>
                <w:u w:val="single"/>
              </w:rPr>
              <w:t>（与递交投标文件备用U盘时间一致）</w:t>
            </w:r>
            <w:r>
              <w:rPr>
                <w:rFonts w:hint="eastAsia" w:ascii="宋体" w:hAnsi="宋体"/>
                <w:szCs w:val="21"/>
                <w:highlight w:val="none"/>
                <w:u w:val="single"/>
              </w:rPr>
              <w:t>；递交后由交易中心见证人员进行封存，中标候选人公示结束后在交易中心见证人员的见证下开封，并由招标人从交易中心提取。</w:t>
            </w:r>
          </w:p>
          <w:p>
            <w:pPr>
              <w:rPr>
                <w:rFonts w:ascii="宋体" w:hAnsi="宋体"/>
                <w:szCs w:val="21"/>
                <w:highlight w:val="none"/>
              </w:rPr>
            </w:pPr>
            <w:r>
              <w:rPr>
                <w:rFonts w:hint="eastAsia" w:ascii="宋体" w:hAnsi="宋体"/>
                <w:szCs w:val="21"/>
                <w:highlight w:val="none"/>
              </w:rPr>
              <w:t>递交地点：</w:t>
            </w:r>
            <w:r>
              <w:rPr>
                <w:rFonts w:hint="eastAsia" w:ascii="宋体" w:hAnsi="宋体"/>
                <w:b/>
                <w:szCs w:val="21"/>
                <w:highlight w:val="none"/>
              </w:rPr>
              <w:t>（与递交投标文件备用U盘时间一致）</w:t>
            </w:r>
            <w:r>
              <w:rPr>
                <w:rFonts w:hint="eastAsia" w:ascii="宋体" w:hAnsi="宋体"/>
                <w:szCs w:val="21"/>
                <w:highlight w:val="none"/>
              </w:rPr>
              <w:t>。</w:t>
            </w:r>
          </w:p>
          <w:p>
            <w:pPr>
              <w:rPr>
                <w:rFonts w:ascii="宋体" w:hAnsi="宋体"/>
                <w:szCs w:val="21"/>
                <w:highlight w:val="none"/>
              </w:rPr>
            </w:pPr>
            <w:r>
              <w:rPr>
                <w:rFonts w:hint="eastAsia" w:ascii="宋体" w:hAnsi="宋体" w:cs="仿宋_GB2312"/>
                <w:szCs w:val="21"/>
                <w:highlight w:val="none"/>
              </w:rPr>
              <w:t>上述时间及地点是否有改变，请密切留意</w:t>
            </w:r>
            <w:r>
              <w:rPr>
                <w:rFonts w:hint="eastAsia" w:ascii="宋体" w:hAnsi="宋体" w:cs="宋体"/>
                <w:szCs w:val="21"/>
                <w:highlight w:val="none"/>
                <w:u w:val="single"/>
              </w:rPr>
              <w:t>广州公共资源交易中心网站公布</w:t>
            </w:r>
            <w:r>
              <w:rPr>
                <w:rFonts w:hint="eastAsia" w:ascii="宋体" w:hAnsi="宋体" w:cs="仿宋_GB2312"/>
                <w:szCs w:val="21"/>
                <w:highlight w:val="none"/>
              </w:rPr>
              <w:t>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vMerge w:val="restart"/>
            <w:tcBorders>
              <w:top w:val="single" w:color="auto" w:sz="4" w:space="0"/>
              <w:left w:val="doub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19</w:t>
            </w:r>
          </w:p>
        </w:tc>
        <w:tc>
          <w:tcPr>
            <w:tcW w:w="981" w:type="dxa"/>
            <w:vMerge w:val="restart"/>
            <w:tcBorders>
              <w:top w:val="single" w:color="auto" w:sz="4" w:space="0"/>
              <w:left w:val="single" w:color="auto" w:sz="4" w:space="0"/>
              <w:right w:val="single" w:color="auto" w:sz="4" w:space="0"/>
            </w:tcBorders>
            <w:vAlign w:val="center"/>
          </w:tcPr>
          <w:p>
            <w:pPr>
              <w:rPr>
                <w:rFonts w:ascii="宋体" w:hAnsi="宋体"/>
                <w:szCs w:val="21"/>
                <w:highlight w:val="none"/>
                <w:u w:val="single"/>
              </w:rPr>
            </w:pPr>
            <w:r>
              <w:rPr>
                <w:rFonts w:hint="eastAsia" w:ascii="宋体" w:hAnsi="宋体"/>
                <w:szCs w:val="21"/>
                <w:highlight w:val="none"/>
                <w:u w:val="single"/>
              </w:rPr>
              <w:t>35.10</w:t>
            </w:r>
          </w:p>
        </w:tc>
        <w:tc>
          <w:tcPr>
            <w:tcW w:w="1810" w:type="dxa"/>
            <w:vMerge w:val="restart"/>
            <w:tcBorders>
              <w:top w:val="single" w:color="auto" w:sz="4" w:space="0"/>
              <w:left w:val="single" w:color="auto" w:sz="4" w:space="0"/>
              <w:right w:val="single" w:color="auto" w:sz="4" w:space="0"/>
            </w:tcBorders>
            <w:vAlign w:val="center"/>
          </w:tcPr>
          <w:p>
            <w:pPr>
              <w:rPr>
                <w:rFonts w:ascii="宋体" w:hAnsi="宋体"/>
                <w:szCs w:val="21"/>
                <w:highlight w:val="none"/>
                <w:u w:val="single"/>
              </w:rPr>
            </w:pPr>
            <w:r>
              <w:rPr>
                <w:rFonts w:hint="eastAsia" w:ascii="宋体" w:hAnsi="宋体"/>
                <w:szCs w:val="21"/>
                <w:highlight w:val="none"/>
                <w:u w:val="single"/>
              </w:rPr>
              <w:t>采用评定分离定标办法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5"/>
              <w:ind w:firstLine="0"/>
              <w:rPr>
                <w:rFonts w:ascii="宋体" w:hAnsi="宋体"/>
                <w:kern w:val="2"/>
                <w:sz w:val="21"/>
                <w:szCs w:val="21"/>
                <w:highlight w:val="none"/>
                <w:u w:val="single"/>
              </w:rPr>
            </w:pPr>
            <w:r>
              <w:rPr>
                <w:rFonts w:hint="eastAsia" w:ascii="宋体" w:hAnsi="宋体"/>
                <w:kern w:val="2"/>
                <w:sz w:val="21"/>
                <w:szCs w:val="21"/>
                <w:highlight w:val="none"/>
                <w:u w:val="single"/>
              </w:rPr>
              <w:t>评标办法：通过制评审法</w:t>
            </w:r>
          </w:p>
          <w:p>
            <w:pPr>
              <w:pStyle w:val="5"/>
              <w:rPr>
                <w:rFonts w:ascii="宋体" w:hAnsi="宋体"/>
                <w:kern w:val="2"/>
                <w:sz w:val="21"/>
                <w:szCs w:val="21"/>
                <w:highlight w:val="none"/>
                <w:u w:val="single"/>
              </w:rPr>
            </w:pPr>
            <w:r>
              <w:rPr>
                <w:rFonts w:hint="eastAsia" w:ascii="宋体" w:hAnsi="宋体"/>
                <w:kern w:val="2"/>
                <w:sz w:val="21"/>
                <w:szCs w:val="21"/>
                <w:highlight w:val="none"/>
                <w:u w:val="single"/>
              </w:rPr>
              <w:t>评标委员会对投标文件进行资格审查，再对通过资格审查的投标文件经济标和技术标进行有效性审查，评出合格的中标候选人。若通过有效性审查的合格投标人大于等于</w:t>
            </w:r>
            <w:r>
              <w:rPr>
                <w:rFonts w:ascii="宋体" w:hAnsi="宋体"/>
                <w:kern w:val="2"/>
                <w:sz w:val="21"/>
                <w:szCs w:val="21"/>
                <w:highlight w:val="none"/>
                <w:u w:val="single"/>
              </w:rPr>
              <w:t>3家的，则全部通过有效性审查的合格</w:t>
            </w:r>
            <w:r>
              <w:rPr>
                <w:rFonts w:hint="eastAsia" w:ascii="宋体" w:hAnsi="宋体"/>
                <w:kern w:val="2"/>
                <w:sz w:val="21"/>
                <w:szCs w:val="21"/>
                <w:highlight w:val="none"/>
                <w:u w:val="single"/>
              </w:rPr>
              <w:t>中标候选人均</w:t>
            </w:r>
            <w:r>
              <w:rPr>
                <w:rFonts w:ascii="宋体" w:hAnsi="宋体"/>
                <w:kern w:val="2"/>
                <w:sz w:val="21"/>
                <w:szCs w:val="21"/>
                <w:highlight w:val="none"/>
                <w:u w:val="single"/>
              </w:rPr>
              <w:t>进入定标阶段；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02" w:type="dxa"/>
            <w:vMerge w:val="continue"/>
            <w:tcBorders>
              <w:left w:val="double" w:color="auto" w:sz="4" w:space="0"/>
              <w:bottom w:val="single" w:color="auto" w:sz="4" w:space="0"/>
              <w:right w:val="single" w:color="auto" w:sz="4" w:space="0"/>
            </w:tcBorders>
            <w:vAlign w:val="center"/>
          </w:tcPr>
          <w:p>
            <w:pPr>
              <w:rPr>
                <w:rFonts w:ascii="宋体" w:hAnsi="宋体"/>
                <w:szCs w:val="21"/>
                <w:highlight w:val="none"/>
              </w:rPr>
            </w:pPr>
          </w:p>
        </w:tc>
        <w:tc>
          <w:tcPr>
            <w:tcW w:w="981" w:type="dxa"/>
            <w:vMerge w:val="continue"/>
            <w:tcBorders>
              <w:left w:val="single" w:color="auto" w:sz="4" w:space="0"/>
              <w:bottom w:val="single" w:color="auto" w:sz="4" w:space="0"/>
              <w:right w:val="single" w:color="auto" w:sz="4" w:space="0"/>
            </w:tcBorders>
            <w:vAlign w:val="center"/>
          </w:tcPr>
          <w:p>
            <w:pPr>
              <w:rPr>
                <w:rFonts w:ascii="宋体" w:hAnsi="宋体"/>
                <w:szCs w:val="21"/>
                <w:highlight w:val="none"/>
                <w:u w:val="single"/>
              </w:rPr>
            </w:pPr>
          </w:p>
        </w:tc>
        <w:tc>
          <w:tcPr>
            <w:tcW w:w="1810" w:type="dxa"/>
            <w:vMerge w:val="continue"/>
            <w:tcBorders>
              <w:left w:val="single" w:color="auto" w:sz="4" w:space="0"/>
              <w:bottom w:val="single" w:color="auto" w:sz="4" w:space="0"/>
              <w:right w:val="single" w:color="auto" w:sz="4" w:space="0"/>
            </w:tcBorders>
            <w:vAlign w:val="center"/>
          </w:tcPr>
          <w:p>
            <w:pPr>
              <w:rPr>
                <w:rFonts w:ascii="宋体" w:hAnsi="宋体"/>
                <w:szCs w:val="21"/>
                <w:highlight w:val="none"/>
                <w:u w:val="single"/>
              </w:rPr>
            </w:pPr>
          </w:p>
        </w:tc>
        <w:tc>
          <w:tcPr>
            <w:tcW w:w="5857" w:type="dxa"/>
            <w:tcBorders>
              <w:top w:val="single" w:color="auto" w:sz="4" w:space="0"/>
              <w:left w:val="single" w:color="auto" w:sz="4" w:space="0"/>
              <w:bottom w:val="single" w:color="auto" w:sz="4" w:space="0"/>
              <w:right w:val="double" w:color="auto" w:sz="4" w:space="0"/>
            </w:tcBorders>
            <w:vAlign w:val="center"/>
          </w:tcPr>
          <w:p>
            <w:pPr>
              <w:pStyle w:val="5"/>
              <w:ind w:firstLine="0"/>
              <w:rPr>
                <w:rFonts w:ascii="宋体" w:hAnsi="宋体"/>
                <w:kern w:val="2"/>
                <w:sz w:val="21"/>
                <w:szCs w:val="21"/>
                <w:highlight w:val="none"/>
                <w:u w:val="single"/>
              </w:rPr>
            </w:pPr>
            <w:r>
              <w:rPr>
                <w:rFonts w:hint="eastAsia" w:ascii="宋体" w:hAnsi="宋体"/>
                <w:kern w:val="2"/>
                <w:sz w:val="21"/>
                <w:szCs w:val="21"/>
                <w:highlight w:val="none"/>
                <w:u w:val="single"/>
              </w:rPr>
              <w:t>定标办法：本项目采用 “记名投票+撰写评语” 定标方法。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u w:val="single"/>
              </w:rPr>
            </w:pPr>
            <w:r>
              <w:rPr>
                <w:rFonts w:hint="eastAsia" w:ascii="宋体" w:hAnsi="宋体" w:cs="宋体"/>
                <w:highlight w:val="none"/>
              </w:rPr>
              <w:t>不提供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u w:val="single"/>
              </w:rPr>
              <w:t>详见《最高投标限价公布函》</w:t>
            </w:r>
            <w:r>
              <w:rPr>
                <w:rFonts w:hint="eastAsia" w:ascii="宋体" w:hAnsi="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u w:val="single"/>
              </w:rPr>
              <w:t>详见《最高投标限价公布函》。</w:t>
            </w:r>
            <w:r>
              <w:rPr>
                <w:rFonts w:hint="eastAsia" w:ascii="宋体" w:hAnsi="宋体" w:cs="宋体"/>
                <w:szCs w:val="21"/>
                <w:highlight w:val="none"/>
              </w:rPr>
              <w:t>（未按招标文件规定的金额填写的，由评标委员会按照招标文件规定的金额进行修正）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kern w:val="2"/>
                <w:sz w:val="21"/>
                <w:szCs w:val="21"/>
                <w:highlight w:val="none"/>
              </w:rPr>
            </w:pPr>
            <w:r>
              <w:rPr>
                <w:rFonts w:hint="eastAsia" w:ascii="宋体" w:hAnsi="宋体"/>
                <w:kern w:val="2"/>
                <w:sz w:val="21"/>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按照《工程质量保修书》规定。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ascii="宋体" w:hAnsi="宋体"/>
                <w:strike/>
                <w:szCs w:val="21"/>
                <w:highlight w:val="none"/>
              </w:rPr>
              <w:t>2</w:t>
            </w:r>
            <w:r>
              <w:rPr>
                <w:rFonts w:hint="eastAsia" w:ascii="宋体" w:hAnsi="宋体"/>
                <w:strike/>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u w:val="singl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计算评标参考价的等分点值</w:t>
            </w:r>
            <w:r>
              <w:rPr>
                <w:rFonts w:ascii="宋体" w:hAnsi="宋体"/>
                <w:strike/>
                <w:szCs w:val="21"/>
                <w:highlight w:val="none"/>
              </w:rPr>
              <w:t>X</w:t>
            </w:r>
            <w:r>
              <w:rPr>
                <w:rFonts w:hint="eastAsia" w:ascii="宋体" w:hAnsi="宋体"/>
                <w:strike/>
                <w:szCs w:val="21"/>
                <w:highlight w:val="none"/>
              </w:rPr>
              <w:t>从[0,100] 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①通过技术有效性审查的投标人均进入第二阶段（适用于通过技术有效性审查家数在[3,  ]中的）。</w:t>
            </w:r>
          </w:p>
          <w:p>
            <w:pPr>
              <w:rPr>
                <w:rFonts w:ascii="宋体" w:hAnsi="宋体"/>
                <w:strike/>
                <w:szCs w:val="21"/>
                <w:highlight w:val="none"/>
              </w:rPr>
            </w:pPr>
            <w:r>
              <w:rPr>
                <w:rFonts w:hint="eastAsia" w:ascii="宋体" w:hAnsi="宋体"/>
                <w:strike/>
                <w:szCs w:val="21"/>
                <w:highlight w:val="none"/>
              </w:rPr>
              <w:t>②将第一阶段得分由高至低排序，前   名投标人进入第二阶段评审（适用于通过技术有效性审查家数大于  家的，招标人可根据工程具体情况，确定不少于   家进入第二阶段）。</w:t>
            </w:r>
          </w:p>
          <w:p>
            <w:pPr>
              <w:rPr>
                <w:rFonts w:ascii="宋体" w:hAnsi="宋体"/>
                <w:strike/>
                <w:szCs w:val="21"/>
                <w:highlight w:val="none"/>
              </w:rPr>
            </w:pPr>
            <w:r>
              <w:rPr>
                <w:rFonts w:hint="eastAsia" w:ascii="宋体" w:hAnsi="宋体"/>
                <w:strike/>
                <w:szCs w:val="21"/>
                <w:highlight w:val="none"/>
              </w:rPr>
              <w:t>注：本款适用于选择评标办法一至评标办法六。进入第二阶段的投标人家数应符合行政监管部门的要求。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工程成本警戒价为元</w:t>
            </w:r>
            <w:r>
              <w:rPr>
                <w:rFonts w:hint="eastAsia" w:ascii="宋体" w:hAnsi="宋体" w:cs="Arial"/>
                <w:strike/>
                <w:szCs w:val="21"/>
                <w:highlight w:val="none"/>
              </w:rPr>
              <w:t>（最高投标限价×</w:t>
            </w:r>
            <w:r>
              <w:rPr>
                <w:rFonts w:hint="eastAsia" w:ascii="宋体" w:hAnsi="宋体" w:cs="Arial"/>
                <w:strike/>
                <w:szCs w:val="21"/>
                <w:highlight w:val="none"/>
                <w:u w:val="single"/>
              </w:rPr>
              <w:t>90</w:t>
            </w:r>
            <w:r>
              <w:rPr>
                <w:rFonts w:hint="eastAsia" w:ascii="宋体" w:hAnsi="宋体" w:cs="Arial"/>
                <w:strike/>
                <w:szCs w:val="21"/>
                <w:highlight w:val="none"/>
              </w:rPr>
              <w:t>%）</w:t>
            </w:r>
            <w:r>
              <w:rPr>
                <w:rFonts w:hint="eastAsia" w:ascii="宋体" w:hAnsi="宋体"/>
                <w:strike/>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szCs w:val="21"/>
                <w:highlight w:val="none"/>
                <w:u w:val="single"/>
              </w:rPr>
            </w:pPr>
            <w:r>
              <w:rPr>
                <w:rFonts w:hint="eastAsia" w:ascii="宋体" w:hAnsi="宋体"/>
                <w:strike/>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strike/>
                <w:szCs w:val="21"/>
                <w:highlight w:val="none"/>
              </w:rPr>
            </w:pPr>
            <w:r>
              <w:rPr>
                <w:rFonts w:hint="eastAsia"/>
                <w:strike/>
                <w:szCs w:val="21"/>
                <w:highlight w:val="none"/>
              </w:rPr>
              <w:t>第一阶段各分值的权重：技术分权重为</w:t>
            </w:r>
            <w:r>
              <w:rPr>
                <w:strike/>
                <w:szCs w:val="21"/>
                <w:highlight w:val="none"/>
              </w:rPr>
              <w:t>%，综合诚信评价分数权重为%。</w:t>
            </w:r>
          </w:p>
          <w:p>
            <w:pPr>
              <w:rPr>
                <w:szCs w:val="21"/>
                <w:highlight w:val="none"/>
              </w:rPr>
            </w:pPr>
            <w:r>
              <w:rPr>
                <w:rFonts w:hint="eastAsia"/>
                <w:strike/>
                <w:szCs w:val="21"/>
                <w:highlight w:val="none"/>
              </w:rPr>
              <w:t>注：综合诚信评价得分权重按</w:t>
            </w:r>
            <w:r>
              <w:rPr>
                <w:rFonts w:hint="eastAsia"/>
                <w:b/>
                <w:strike/>
                <w:szCs w:val="21"/>
                <w:highlight w:val="none"/>
              </w:rPr>
              <w:t>《关于诚信综合评价在招标投标环节中应用的指引》（招标</w:t>
            </w:r>
            <w:r>
              <w:rPr>
                <w:b/>
                <w:strike/>
                <w:szCs w:val="21"/>
                <w:highlight w:val="none"/>
              </w:rPr>
              <w:t>投标指引</w:t>
            </w:r>
            <w:r>
              <w:rPr>
                <w:rFonts w:hint="eastAsia"/>
                <w:b/>
                <w:strike/>
                <w:szCs w:val="21"/>
                <w:highlight w:val="none"/>
              </w:rPr>
              <w:t>2020年</w:t>
            </w:r>
            <w:r>
              <w:rPr>
                <w:b/>
                <w:strike/>
                <w:szCs w:val="21"/>
                <w:highlight w:val="none"/>
              </w:rPr>
              <w:t>第</w:t>
            </w:r>
            <w:r>
              <w:rPr>
                <w:rFonts w:hint="eastAsia"/>
                <w:b/>
                <w:strike/>
                <w:szCs w:val="21"/>
                <w:highlight w:val="none"/>
              </w:rPr>
              <w:t>6期）</w:t>
            </w:r>
            <w:r>
              <w:rPr>
                <w:strike/>
                <w:szCs w:val="21"/>
                <w:highlight w:val="none"/>
              </w:rPr>
              <w:t>规定执行，招标人可在[0,20%]选择。技术分权重=100%-综合诚信评价得分权重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48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u w:val="single"/>
              </w:rPr>
            </w:pPr>
            <w:r>
              <w:rPr>
                <w:rFonts w:hint="eastAsia" w:ascii="宋体" w:hAnsi="宋体"/>
                <w:szCs w:val="21"/>
                <w:highlight w:val="none"/>
                <w:u w:val="single"/>
              </w:rPr>
              <w:t>进入定标阶段的合格中标候选人</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通过技术标和经济标有效性审查的投标人均进入定标阶段。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02" w:type="dxa"/>
            <w:vMerge w:val="restart"/>
            <w:tcBorders>
              <w:top w:val="single" w:color="auto" w:sz="4" w:space="0"/>
              <w:left w:val="doub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37.1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continue"/>
            <w:tcBorders>
              <w:left w:val="double" w:color="auto" w:sz="4" w:space="0"/>
              <w:bottom w:val="single" w:color="auto" w:sz="4" w:space="0"/>
              <w:right w:val="single" w:color="auto" w:sz="4" w:space="0"/>
            </w:tcBorders>
            <w:vAlign w:val="center"/>
          </w:tcPr>
          <w:p>
            <w:pPr>
              <w:rPr>
                <w:rFonts w:ascii="宋体" w:hAnsi="宋体"/>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39</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u w:val="single"/>
              </w:rPr>
            </w:pPr>
            <w:r>
              <w:rPr>
                <w:rFonts w:hint="eastAsia" w:ascii="宋体" w:hAnsi="宋体"/>
                <w:szCs w:val="21"/>
                <w:highlight w:val="none"/>
                <w:u w:val="single"/>
              </w:rPr>
              <w:t>定标委员会人数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定标委员会由招标人依法组建。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本项目的企业综合诚信评价分数，以排名为准。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highlight w:val="none"/>
              </w:rPr>
            </w:pPr>
            <w:r>
              <w:rPr>
                <w:rFonts w:hint="eastAsia" w:ascii="宋体" w:hAnsi="宋体"/>
                <w:strike/>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 xml:space="preserve">选取方法     </w:t>
            </w:r>
          </w:p>
          <w:p>
            <w:pPr>
              <w:rPr>
                <w:rFonts w:ascii="宋体" w:hAnsi="宋体"/>
                <w:strike/>
                <w:szCs w:val="21"/>
                <w:highlight w:val="none"/>
              </w:rPr>
            </w:pPr>
            <w:r>
              <w:rPr>
                <w:rFonts w:hint="eastAsia" w:ascii="宋体" w:hAnsi="宋体"/>
                <w:strike/>
                <w:szCs w:val="21"/>
                <w:highlight w:val="none"/>
              </w:rPr>
              <w:t xml:space="preserve">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 </w:t>
            </w:r>
          </w:p>
          <w:p>
            <w:pPr>
              <w:rPr>
                <w:rFonts w:ascii="宋体" w:hAnsi="宋体"/>
                <w:strike/>
                <w:szCs w:val="21"/>
                <w:highlight w:val="none"/>
              </w:rPr>
            </w:pPr>
            <w:r>
              <w:rPr>
                <w:rFonts w:hint="eastAsia" w:ascii="宋体" w:hAnsi="宋体"/>
                <w:strike/>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rPr>
                <w:rFonts w:ascii="宋体" w:hAnsi="宋体"/>
                <w:strike/>
                <w:szCs w:val="21"/>
                <w:highlight w:val="none"/>
              </w:rPr>
            </w:pPr>
            <w:r>
              <w:rPr>
                <w:rFonts w:hint="eastAsia" w:ascii="宋体" w:hAnsi="宋体"/>
                <w:strike/>
                <w:szCs w:val="21"/>
                <w:highlight w:val="none"/>
              </w:rPr>
              <w:t>方法三： （由招标人自行确定）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 xml:space="preserve">选取方法     </w:t>
            </w:r>
          </w:p>
          <w:p>
            <w:pPr>
              <w:rPr>
                <w:rFonts w:ascii="宋体" w:hAnsi="宋体"/>
                <w:strike/>
                <w:szCs w:val="21"/>
                <w:highlight w:val="none"/>
              </w:rPr>
            </w:pPr>
            <w:r>
              <w:rPr>
                <w:rFonts w:hint="eastAsia" w:ascii="宋体" w:hAnsi="宋体"/>
                <w:strike/>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rPr>
                <w:rFonts w:ascii="宋体" w:hAnsi="宋体"/>
                <w:strike/>
                <w:szCs w:val="21"/>
                <w:highlight w:val="none"/>
              </w:rPr>
            </w:pPr>
            <w:r>
              <w:rPr>
                <w:rFonts w:hint="eastAsia" w:ascii="宋体" w:hAnsi="宋体"/>
                <w:strike/>
                <w:szCs w:val="21"/>
                <w:highlight w:val="none"/>
              </w:rPr>
              <w:t>方法二：经济分相同的投标文件，由评标委员会采用随机方式，确定投标人的排序。</w:t>
            </w:r>
          </w:p>
          <w:p>
            <w:pPr>
              <w:rPr>
                <w:rFonts w:ascii="宋体" w:hAnsi="宋体"/>
                <w:strike/>
                <w:szCs w:val="21"/>
                <w:highlight w:val="none"/>
              </w:rPr>
            </w:pPr>
            <w:r>
              <w:rPr>
                <w:rFonts w:hint="eastAsia" w:ascii="宋体" w:hAnsi="宋体"/>
                <w:strike/>
                <w:szCs w:val="21"/>
                <w:highlight w:val="none"/>
              </w:rPr>
              <w:t>方法三：  （由招标人自行确定）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选取方法</w:t>
            </w:r>
          </w:p>
          <w:p>
            <w:pPr>
              <w:rPr>
                <w:rFonts w:ascii="宋体" w:hAnsi="宋体"/>
                <w:strike/>
                <w:szCs w:val="21"/>
                <w:highlight w:val="none"/>
              </w:rPr>
            </w:pPr>
            <w:r>
              <w:rPr>
                <w:rFonts w:hint="eastAsia" w:ascii="宋体" w:hAnsi="宋体"/>
                <w:strike/>
                <w:szCs w:val="21"/>
                <w:highlight w:val="none"/>
              </w:rPr>
              <w:t>方法一：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pPr>
              <w:rPr>
                <w:rFonts w:ascii="宋体" w:hAnsi="宋体"/>
                <w:strike/>
                <w:szCs w:val="21"/>
                <w:highlight w:val="none"/>
              </w:rPr>
            </w:pPr>
            <w:r>
              <w:rPr>
                <w:rFonts w:hint="eastAsia" w:ascii="宋体" w:hAnsi="宋体"/>
                <w:strike/>
                <w:szCs w:val="21"/>
                <w:highlight w:val="none"/>
              </w:rPr>
              <w:t>方法二：  （由招标人自行确定）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13.4</w:t>
            </w:r>
            <w:r>
              <w:rPr>
                <w:rFonts w:hint="eastAsia" w:ascii="宋体" w:hAnsi="宋体"/>
                <w:szCs w:val="21"/>
                <w:highlight w:val="none"/>
              </w:rPr>
              <w:t>、</w:t>
            </w:r>
            <w:r>
              <w:rPr>
                <w:rFonts w:ascii="宋体" w:hAnsi="宋体"/>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bCs/>
                <w:szCs w:val="21"/>
                <w:highlight w:val="none"/>
                <w:u w:val="single"/>
              </w:rPr>
              <w:t>按</w:t>
            </w:r>
            <w:r>
              <w:rPr>
                <w:rFonts w:ascii="宋体" w:hAnsi="宋体"/>
                <w:bCs/>
                <w:szCs w:val="21"/>
                <w:highlight w:val="none"/>
                <w:u w:val="single"/>
              </w:rPr>
              <w:t>合同</w:t>
            </w:r>
            <w:r>
              <w:rPr>
                <w:rFonts w:hint="eastAsia" w:ascii="宋体" w:hAnsi="宋体"/>
                <w:bCs/>
                <w:szCs w:val="21"/>
                <w:highlight w:val="none"/>
                <w:u w:val="single"/>
              </w:rPr>
              <w:t>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r>
              <w:rPr>
                <w:rFonts w:hint="eastAsia" w:ascii="宋体" w:hAnsi="宋体"/>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kern w:val="0"/>
                <w:szCs w:val="21"/>
                <w:highlight w:val="none"/>
                <w:lang w:val="zh-CN"/>
              </w:rPr>
              <w:t>建设工程质量检测管理办法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highlight w:val="none"/>
                <w:lang w:val="zh-CN"/>
              </w:rPr>
            </w:pPr>
            <w:r>
              <w:rPr>
                <w:rFonts w:hint="eastAsia"/>
                <w:highlight w:val="none"/>
              </w:rPr>
              <w:t>根据《建设工程质量检测管理办法》，建设工程质量、安全检测业务应由建设单位依法委托，不列入本次招标范围。</w:t>
            </w:r>
            <w:r>
              <w:rPr>
                <w:rFonts w:hint="eastAsia" w:ascii="宋体" w:hAnsi="宋体"/>
                <w:szCs w:val="21"/>
                <w:highlight w:val="none"/>
                <w:lang w:val="zh-CN"/>
              </w:rPr>
              <w:t>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lang w:val="zh-CN"/>
              </w:rPr>
            </w:pPr>
            <w:r>
              <w:rPr>
                <w:rFonts w:hint="eastAsia" w:ascii="宋体" w:hAnsi="宋体"/>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MS Mincho" w:hAnsi="MS Mincho" w:eastAsia="MS Mincho" w:cs="MS Mincho"/>
                <w:szCs w:val="21"/>
                <w:highlight w:val="none"/>
              </w:rPr>
              <w:t>☑</w:t>
            </w:r>
            <w:r>
              <w:rPr>
                <w:rFonts w:hint="eastAsia" w:ascii="宋体" w:hAnsi="宋体"/>
                <w:szCs w:val="21"/>
                <w:highlight w:val="none"/>
              </w:rPr>
              <w:t>不允许；</w:t>
            </w:r>
          </w:p>
          <w:p>
            <w:pPr>
              <w:rPr>
                <w:rFonts w:ascii="宋体" w:hAnsi="宋体"/>
                <w:szCs w:val="21"/>
                <w:highlight w:val="none"/>
              </w:rPr>
            </w:pPr>
            <w:r>
              <w:rPr>
                <w:rFonts w:hint="eastAsia" w:ascii="宋体" w:hAnsi="宋体"/>
                <w:szCs w:val="21"/>
                <w:highlight w:val="none"/>
              </w:rPr>
              <w:t>□允许，分包内容要求：对于非主体、非关键性工程，投标人不具备相应资质的，需经招标人审核批准后分包给具有相应资质和能力的专业单位实施。</w:t>
            </w:r>
          </w:p>
          <w:p>
            <w:pPr>
              <w:rPr>
                <w:rFonts w:ascii="宋体" w:hAnsi="宋体"/>
                <w:szCs w:val="21"/>
                <w:highlight w:val="none"/>
              </w:rPr>
            </w:pPr>
            <w:r>
              <w:rPr>
                <w:rFonts w:hint="eastAsia" w:ascii="宋体" w:hAnsi="宋体"/>
                <w:szCs w:val="21"/>
                <w:highlight w:val="none"/>
              </w:rPr>
              <w:t>分包金额要求：按国家现行规定执行。</w:t>
            </w:r>
          </w:p>
          <w:p>
            <w:pPr>
              <w:rPr>
                <w:rFonts w:ascii="宋体" w:hAnsi="宋体"/>
                <w:kern w:val="0"/>
                <w:szCs w:val="21"/>
                <w:highlight w:val="none"/>
                <w:lang w:val="zh-CN"/>
              </w:rPr>
            </w:pPr>
            <w:r>
              <w:rPr>
                <w:rFonts w:hint="eastAsia" w:ascii="宋体" w:hAnsi="宋体"/>
                <w:szCs w:val="21"/>
                <w:highlight w:val="none"/>
              </w:rPr>
              <w:t>对分包人的资格要求：按国家资质管理规定执行。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u w:val="single"/>
              </w:rPr>
            </w:pPr>
            <w:r>
              <w:rPr>
                <w:rFonts w:hint="eastAsia" w:ascii="宋体" w:hAnsi="宋体"/>
                <w:szCs w:val="21"/>
                <w:highlight w:val="none"/>
                <w:u w:val="single"/>
              </w:rPr>
              <w:t>36.5.2</w:t>
            </w: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szCs w:val="21"/>
                <w:highlight w:val="none"/>
              </w:rPr>
            </w:pPr>
            <w:r>
              <w:rPr>
                <w:rFonts w:hint="eastAsia" w:ascii="宋体" w:hAnsi="宋体" w:cs="Courier New"/>
                <w:szCs w:val="21"/>
                <w:highlight w:val="none"/>
              </w:rPr>
              <w:t>1、按照交易平台关于全流程电子化项目的相关指南进行操作。详见：</w:t>
            </w:r>
            <w:r>
              <w:rPr>
                <w:rFonts w:hint="eastAsia" w:ascii="宋体" w:hAnsi="宋体"/>
                <w:bCs/>
                <w:kern w:val="0"/>
                <w:szCs w:val="21"/>
                <w:highlight w:val="none"/>
                <w:u w:val="single"/>
              </w:rPr>
              <w:t>广州公共资源交易中心网站</w:t>
            </w:r>
            <w:r>
              <w:rPr>
                <w:rFonts w:hint="eastAsia" w:ascii="宋体" w:hAnsi="宋体" w:cs="Courier New"/>
                <w:szCs w:val="21"/>
                <w:highlight w:val="none"/>
              </w:rPr>
              <w:t xml:space="preserve">。  </w:t>
            </w:r>
          </w:p>
          <w:p>
            <w:pPr>
              <w:rPr>
                <w:rFonts w:ascii="宋体" w:hAnsi="宋体" w:cs="Courier New"/>
                <w:szCs w:val="21"/>
                <w:highlight w:val="none"/>
              </w:rPr>
            </w:pPr>
            <w:r>
              <w:rPr>
                <w:rFonts w:hint="eastAsia" w:ascii="宋体" w:hAnsi="宋体" w:cs="Courier New"/>
                <w:szCs w:val="21"/>
                <w:highlight w:val="none"/>
              </w:rPr>
              <w:t>2、提交投标文件U盘备用</w:t>
            </w:r>
          </w:p>
          <w:p>
            <w:pPr>
              <w:rPr>
                <w:rFonts w:ascii="宋体" w:hAnsi="宋体" w:cs="Courier New"/>
                <w:b/>
                <w:szCs w:val="21"/>
                <w:highlight w:val="none"/>
                <w:u w:val="single"/>
              </w:rPr>
            </w:pPr>
            <w:r>
              <w:rPr>
                <w:rFonts w:hint="eastAsia" w:ascii="宋体" w:hAnsi="宋体" w:cs="Courier New"/>
                <w:szCs w:val="21"/>
                <w:highlight w:val="none"/>
              </w:rPr>
              <w:t>投标人可制作非加密的电子投标文件（PDF格式）存入U盘（1份），在投标须知前附表第18项规定的时间、地点提交备用。投标文件U盘密封在密封袋中，并在封口处加盖投标人单位公章。密封袋上应写明项目名称和招标人名称。递交的U盘不得加密。U盘无法读取或导入的，则视为未提交备用投标文件U盘。如果投标人没有按规定通过交易平台网上递交电子投标文件的，不再读取提交的U盘。投标人也可不提交备用U盘。</w:t>
            </w:r>
          </w:p>
          <w:p>
            <w:pPr>
              <w:rPr>
                <w:rFonts w:ascii="宋体" w:hAnsi="宋体" w:cs="Courier New"/>
                <w:szCs w:val="21"/>
                <w:highlight w:val="none"/>
              </w:rPr>
            </w:pPr>
            <w:r>
              <w:rPr>
                <w:rFonts w:hint="eastAsia" w:ascii="宋体" w:hAnsi="宋体" w:cs="Courier New"/>
                <w:szCs w:val="21"/>
                <w:highlight w:val="none"/>
              </w:rPr>
              <w:t xml:space="preserve"> 3、补救方案</w:t>
            </w:r>
          </w:p>
          <w:p>
            <w:pPr>
              <w:rPr>
                <w:rFonts w:ascii="宋体" w:hAnsi="宋体" w:cs="Courier New"/>
                <w:szCs w:val="21"/>
                <w:highlight w:val="none"/>
              </w:rPr>
            </w:pPr>
            <w:r>
              <w:rPr>
                <w:rFonts w:hint="eastAsia" w:ascii="宋体" w:hAnsi="宋体" w:cs="Courier New"/>
                <w:szCs w:val="21"/>
                <w:highlight w:val="none"/>
              </w:rPr>
              <w:t>（1）投标文件解密失败的补救方案：</w:t>
            </w:r>
          </w:p>
          <w:p>
            <w:pPr>
              <w:rPr>
                <w:rFonts w:ascii="宋体" w:hAnsi="宋体" w:cs="Courier New"/>
                <w:szCs w:val="21"/>
                <w:highlight w:val="none"/>
              </w:rPr>
            </w:pPr>
            <w:r>
              <w:rPr>
                <w:rFonts w:hint="eastAsia" w:ascii="宋体" w:hAnsi="宋体" w:cs="Courier New"/>
                <w:szCs w:val="21"/>
                <w:highlight w:val="none"/>
              </w:rPr>
              <w:t>在规定时间内，因投标人之外原因(指网络瘫痪、服务器损坏、交易系统故障短期无法恢复)导致的电子投标文件解密失败，在开标现场读取U盘内容，继续开标程序。评标委员会对其投标文件的评审以U盘内容为准。因投标人之外原因解密失败且未递交电子U盘的，视为撤回投标文件。</w:t>
            </w:r>
          </w:p>
          <w:p>
            <w:pPr>
              <w:rPr>
                <w:rFonts w:ascii="宋体" w:hAnsi="宋体" w:cs="Courier New"/>
                <w:szCs w:val="21"/>
                <w:highlight w:val="none"/>
              </w:rPr>
            </w:pPr>
            <w:r>
              <w:rPr>
                <w:rFonts w:hint="eastAsia" w:ascii="宋体" w:hAnsi="宋体" w:cs="Courier New"/>
                <w:szCs w:val="21"/>
                <w:highlight w:val="none"/>
              </w:rPr>
              <w:t>（2）评标时突发情况的补救方案</w:t>
            </w:r>
          </w:p>
          <w:p>
            <w:pPr>
              <w:rPr>
                <w:rFonts w:ascii="宋体" w:hAnsi="宋体" w:cs="Courier New"/>
                <w:szCs w:val="21"/>
                <w:highlight w:val="none"/>
              </w:rPr>
            </w:pPr>
            <w:r>
              <w:rPr>
                <w:rFonts w:hint="eastAsia" w:ascii="宋体" w:hAnsi="宋体" w:cs="Courier New"/>
                <w:szCs w:val="21"/>
                <w:highlight w:val="none"/>
              </w:rPr>
              <w:t>若遇不可抗力发生（指网络瘫痪、服务器损坏、交易系统故障短期无法恢复等因素），由评标委员会开启投标人递交的全部投标文件U盘，并按U盘内容进行评审。</w:t>
            </w:r>
          </w:p>
          <w:p>
            <w:pPr>
              <w:rPr>
                <w:rFonts w:ascii="宋体" w:hAnsi="宋体" w:cs="Courier New"/>
                <w:szCs w:val="21"/>
                <w:highlight w:val="none"/>
              </w:rPr>
            </w:pPr>
            <w:r>
              <w:rPr>
                <w:rFonts w:hint="eastAsia" w:ascii="宋体" w:hAnsi="宋体" w:cs="Courier New"/>
                <w:szCs w:val="21"/>
                <w:highlight w:val="none"/>
              </w:rPr>
              <w:t>（3）除发生上述情况外，开标、评标均以投标人通过交易平台网上递交的电子投标文件为准。</w:t>
            </w:r>
          </w:p>
        </w:tc>
      </w:tr>
    </w:tbl>
    <w:p>
      <w:pPr>
        <w:pStyle w:val="111"/>
        <w:tabs>
          <w:tab w:val="left" w:pos="3663"/>
        </w:tabs>
        <w:rPr>
          <w:highlight w:val="none"/>
        </w:rPr>
      </w:pPr>
    </w:p>
    <w:p>
      <w:pPr>
        <w:pStyle w:val="111"/>
        <w:outlineLvl w:val="1"/>
        <w:rPr>
          <w:highlight w:val="none"/>
        </w:rPr>
      </w:pPr>
      <w:r>
        <w:rPr>
          <w:highlight w:val="none"/>
        </w:rPr>
        <w:br w:type="page"/>
      </w:r>
      <w:bookmarkStart w:id="2" w:name="_Toc80289061"/>
      <w:r>
        <w:rPr>
          <w:rFonts w:hint="eastAsia"/>
          <w:highlight w:val="none"/>
        </w:rPr>
        <w:t>二、投标须知修改表</w:t>
      </w:r>
      <w:bookmarkEnd w:id="2"/>
    </w:p>
    <w:p>
      <w:pPr>
        <w:pStyle w:val="5"/>
        <w:spacing w:line="360" w:lineRule="auto"/>
        <w:rPr>
          <w:rFonts w:ascii="宋体" w:hAnsi="宋体"/>
          <w:b/>
          <w:szCs w:val="21"/>
          <w:highlight w:val="none"/>
        </w:rPr>
      </w:pPr>
      <w:r>
        <w:rPr>
          <w:rFonts w:hint="eastAsia" w:ascii="宋体" w:hAnsi="宋体"/>
          <w:b/>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宋体" w:hAnsi="宋体"/>
          <w:b/>
          <w:szCs w:val="21"/>
          <w:highlight w:val="none"/>
        </w:rPr>
        <w:t>http://zfcj.gz.gov.cn/</w:t>
      </w:r>
      <w:r>
        <w:rPr>
          <w:rFonts w:hint="eastAsia" w:ascii="宋体" w:hAnsi="宋体"/>
          <w:b/>
          <w:szCs w:val="21"/>
          <w:highlight w:val="none"/>
        </w:rPr>
        <w:t>）下载查阅。</w:t>
      </w:r>
    </w:p>
    <w:p>
      <w:pPr>
        <w:spacing w:line="480" w:lineRule="auto"/>
        <w:ind w:firstLine="540" w:firstLineChars="224"/>
        <w:rPr>
          <w:rFonts w:ascii="宋体" w:hAnsi="宋体"/>
          <w:b/>
          <w:sz w:val="24"/>
          <w:szCs w:val="24"/>
          <w:highlight w:val="none"/>
        </w:rPr>
      </w:pPr>
      <w:r>
        <w:rPr>
          <w:rFonts w:hint="eastAsia" w:ascii="宋体" w:hAnsi="宋体"/>
          <w:b/>
          <w:sz w:val="24"/>
          <w:szCs w:val="24"/>
          <w:highlight w:val="none"/>
        </w:rPr>
        <w:t>条款号：5.1修改类型：修改</w:t>
      </w:r>
    </w:p>
    <w:p>
      <w:pPr>
        <w:spacing w:line="440" w:lineRule="exact"/>
        <w:ind w:firstLine="540" w:firstLineChars="224"/>
        <w:rPr>
          <w:rFonts w:ascii="宋体" w:hAnsi="宋体"/>
          <w:b/>
          <w:sz w:val="24"/>
          <w:szCs w:val="24"/>
          <w:highlight w:val="none"/>
        </w:rPr>
      </w:pPr>
      <w:r>
        <w:rPr>
          <w:rFonts w:ascii="宋体" w:hAnsi="宋体"/>
          <w:b/>
          <w:sz w:val="24"/>
          <w:szCs w:val="24"/>
          <w:highlight w:val="none"/>
        </w:rPr>
        <w:t>原文</w:t>
      </w:r>
      <w:r>
        <w:rPr>
          <w:rFonts w:hint="eastAsia" w:ascii="宋体" w:hAnsi="宋体"/>
          <w:b/>
          <w:sz w:val="24"/>
          <w:szCs w:val="24"/>
          <w:highlight w:val="none"/>
        </w:rPr>
        <w:t>：</w:t>
      </w:r>
      <w:r>
        <w:rPr>
          <w:rFonts w:hint="eastAsia" w:ascii="宋体" w:hAnsi="宋体"/>
          <w:bCs/>
          <w:sz w:val="24"/>
          <w:szCs w:val="24"/>
          <w:highlight w:val="none"/>
        </w:rPr>
        <w:t>投标人应按本投标须知前附表第</w:t>
      </w:r>
      <w:r>
        <w:rPr>
          <w:rFonts w:ascii="宋体" w:hAnsi="宋体"/>
          <w:bCs/>
          <w:sz w:val="24"/>
          <w:szCs w:val="24"/>
          <w:highlight w:val="none"/>
        </w:rPr>
        <w:t>15</w:t>
      </w:r>
      <w:r>
        <w:rPr>
          <w:rFonts w:hint="eastAsia" w:ascii="宋体" w:hAnsi="宋体"/>
          <w:bCs/>
          <w:sz w:val="24"/>
          <w:szCs w:val="24"/>
          <w:highlight w:val="none"/>
        </w:rPr>
        <w:t>项所述时间和要求对工程现场及周围环境进行踏勘，</w:t>
      </w:r>
      <w:r>
        <w:rPr>
          <w:rFonts w:hint="eastAsia" w:ascii="宋体" w:hAnsi="宋体"/>
          <w:sz w:val="24"/>
          <w:szCs w:val="24"/>
          <w:highlight w:val="none"/>
        </w:rPr>
        <w:t>投标人应充分重视和仔细地进行这种考察，</w:t>
      </w:r>
      <w:r>
        <w:rPr>
          <w:rFonts w:hint="eastAsia" w:ascii="宋体" w:hAnsi="宋体"/>
          <w:bCs/>
          <w:sz w:val="24"/>
          <w:szCs w:val="24"/>
          <w:highlight w:val="none"/>
        </w:rPr>
        <w:t>以便投标人获取</w:t>
      </w:r>
      <w:r>
        <w:rPr>
          <w:rFonts w:hint="eastAsia" w:ascii="宋体" w:hAnsi="宋体"/>
          <w:sz w:val="24"/>
          <w:szCs w:val="24"/>
          <w:highlight w:val="none"/>
        </w:rPr>
        <w:t>那些须投标人自己负责的</w:t>
      </w:r>
      <w:r>
        <w:rPr>
          <w:rFonts w:hint="eastAsia" w:ascii="宋体" w:hAnsi="宋体"/>
          <w:bCs/>
          <w:sz w:val="24"/>
          <w:szCs w:val="24"/>
          <w:highlight w:val="none"/>
        </w:rPr>
        <w:t>有关编制投标文件和签署合同所涉及现场所有的资料。</w:t>
      </w:r>
      <w:r>
        <w:rPr>
          <w:rFonts w:hint="eastAsia" w:ascii="宋体" w:hAnsi="宋体"/>
          <w:sz w:val="24"/>
          <w:szCs w:val="24"/>
          <w:highlight w:val="none"/>
        </w:rPr>
        <w:t>一旦中标，这种考察即被认为其结果已在中标文件中得到充分反映。考察现场的费用由投标人自己承担。</w:t>
      </w:r>
    </w:p>
    <w:p>
      <w:pPr>
        <w:pBdr>
          <w:bottom w:val="single" w:color="auto" w:sz="6" w:space="1"/>
        </w:pBdr>
        <w:spacing w:line="440" w:lineRule="exact"/>
        <w:ind w:firstLine="540" w:firstLineChars="224"/>
        <w:rPr>
          <w:rFonts w:ascii="宋体" w:hAnsi="宋体"/>
          <w:sz w:val="24"/>
          <w:szCs w:val="24"/>
          <w:highlight w:val="none"/>
        </w:rPr>
      </w:pPr>
      <w:r>
        <w:rPr>
          <w:rFonts w:hint="eastAsia" w:ascii="宋体" w:hAnsi="宋体"/>
          <w:b/>
          <w:sz w:val="24"/>
          <w:szCs w:val="24"/>
          <w:highlight w:val="none"/>
        </w:rPr>
        <w:t>现文：</w:t>
      </w:r>
      <w:r>
        <w:rPr>
          <w:rFonts w:hint="eastAsia" w:ascii="宋体" w:hAnsi="宋体"/>
          <w:bCs/>
          <w:sz w:val="24"/>
          <w:szCs w:val="24"/>
          <w:highlight w:val="none"/>
        </w:rPr>
        <w:t>投标人应按本投标须知前附表第</w:t>
      </w:r>
      <w:r>
        <w:rPr>
          <w:rFonts w:ascii="宋体" w:hAnsi="宋体"/>
          <w:bCs/>
          <w:sz w:val="24"/>
          <w:szCs w:val="24"/>
          <w:highlight w:val="none"/>
        </w:rPr>
        <w:t>15</w:t>
      </w:r>
      <w:r>
        <w:rPr>
          <w:rFonts w:hint="eastAsia" w:ascii="宋体" w:hAnsi="宋体"/>
          <w:bCs/>
          <w:sz w:val="24"/>
          <w:szCs w:val="24"/>
          <w:highlight w:val="none"/>
        </w:rPr>
        <w:t>项所述时间和要求对工程现场及周围环境进行踏勘，</w:t>
      </w:r>
      <w:r>
        <w:rPr>
          <w:rFonts w:hint="eastAsia" w:ascii="宋体" w:hAnsi="宋体"/>
          <w:sz w:val="24"/>
          <w:szCs w:val="24"/>
          <w:highlight w:val="none"/>
        </w:rPr>
        <w:t>投标人应充分重视和仔细地进行这种考察，</w:t>
      </w:r>
      <w:r>
        <w:rPr>
          <w:rFonts w:hint="eastAsia" w:ascii="宋体" w:hAnsi="宋体"/>
          <w:bCs/>
          <w:sz w:val="24"/>
          <w:szCs w:val="24"/>
          <w:highlight w:val="none"/>
        </w:rPr>
        <w:t>以便投标人获取</w:t>
      </w:r>
      <w:r>
        <w:rPr>
          <w:rFonts w:hint="eastAsia" w:ascii="宋体" w:hAnsi="宋体"/>
          <w:sz w:val="24"/>
          <w:szCs w:val="24"/>
          <w:highlight w:val="none"/>
        </w:rPr>
        <w:t>那些须投标人自己负责的</w:t>
      </w:r>
      <w:r>
        <w:rPr>
          <w:rFonts w:hint="eastAsia" w:ascii="宋体" w:hAnsi="宋体"/>
          <w:bCs/>
          <w:sz w:val="24"/>
          <w:szCs w:val="24"/>
          <w:highlight w:val="none"/>
        </w:rPr>
        <w:t>有关编制投标文件和签署合同所涉及现场所有的资料。</w:t>
      </w:r>
      <w:r>
        <w:rPr>
          <w:rFonts w:hint="eastAsia" w:ascii="宋体" w:hAnsi="宋体"/>
          <w:bCs/>
          <w:sz w:val="24"/>
          <w:szCs w:val="24"/>
          <w:highlight w:val="none"/>
          <w:u w:val="single"/>
        </w:rPr>
        <w:t>投标人递交投标文件，视为已熟知现场条件，自行承担相关风险。</w:t>
      </w:r>
      <w:r>
        <w:rPr>
          <w:rFonts w:hint="eastAsia" w:ascii="宋体" w:hAnsi="宋体"/>
          <w:sz w:val="24"/>
          <w:szCs w:val="24"/>
          <w:highlight w:val="none"/>
        </w:rPr>
        <w:t>一旦中标，这种考察即被认为其结果已在中标文件中得到充分反映。考察现场的费用由投标人自己承担。</w:t>
      </w:r>
    </w:p>
    <w:p>
      <w:pPr>
        <w:spacing w:line="480" w:lineRule="auto"/>
        <w:ind w:firstLine="540" w:firstLineChars="224"/>
        <w:rPr>
          <w:rFonts w:ascii="宋体" w:hAnsi="宋体"/>
          <w:b/>
          <w:sz w:val="24"/>
          <w:szCs w:val="24"/>
          <w:highlight w:val="none"/>
        </w:rPr>
      </w:pPr>
      <w:r>
        <w:rPr>
          <w:rFonts w:hint="eastAsia" w:ascii="宋体" w:hAnsi="宋体"/>
          <w:b/>
          <w:sz w:val="24"/>
          <w:szCs w:val="24"/>
          <w:highlight w:val="none"/>
        </w:rPr>
        <w:t>条款号：</w:t>
      </w:r>
      <w:r>
        <w:rPr>
          <w:rFonts w:ascii="宋体" w:hAnsi="宋体"/>
          <w:b/>
          <w:sz w:val="24"/>
          <w:szCs w:val="24"/>
          <w:highlight w:val="none"/>
        </w:rPr>
        <w:t>6.1</w:t>
      </w:r>
      <w:r>
        <w:rPr>
          <w:rFonts w:hint="eastAsia" w:ascii="宋体" w:hAnsi="宋体"/>
          <w:b/>
          <w:sz w:val="24"/>
          <w:szCs w:val="24"/>
          <w:highlight w:val="none"/>
        </w:rPr>
        <w:t>修改类型：修改</w:t>
      </w:r>
    </w:p>
    <w:p>
      <w:pPr>
        <w:tabs>
          <w:tab w:val="left" w:pos="105"/>
        </w:tabs>
        <w:spacing w:line="360" w:lineRule="auto"/>
        <w:ind w:firstLine="482" w:firstLineChars="200"/>
        <w:rPr>
          <w:rFonts w:ascii="宋体" w:hAnsi="宋体"/>
          <w:sz w:val="24"/>
          <w:highlight w:val="none"/>
        </w:rPr>
      </w:pPr>
      <w:r>
        <w:rPr>
          <w:rFonts w:ascii="宋体" w:hAnsi="宋体"/>
          <w:b/>
          <w:sz w:val="24"/>
          <w:szCs w:val="24"/>
          <w:highlight w:val="none"/>
        </w:rPr>
        <w:t>原文</w:t>
      </w:r>
      <w:r>
        <w:rPr>
          <w:rFonts w:hint="eastAsia" w:ascii="宋体" w:hAnsi="宋体"/>
          <w:b/>
          <w:sz w:val="24"/>
          <w:szCs w:val="24"/>
          <w:highlight w:val="none"/>
        </w:rPr>
        <w:t>：</w:t>
      </w:r>
      <w:r>
        <w:rPr>
          <w:rFonts w:hint="eastAsia" w:ascii="宋体" w:hAnsi="宋体"/>
          <w:sz w:val="24"/>
          <w:highlight w:val="none"/>
        </w:rPr>
        <w:t>不论投标结果如何，投标人应承担</w:t>
      </w:r>
      <w:r>
        <w:rPr>
          <w:rFonts w:hint="eastAsia" w:ascii="宋体" w:hAnsi="宋体"/>
          <w:bCs/>
          <w:sz w:val="24"/>
          <w:highlight w:val="none"/>
        </w:rPr>
        <w:t>自身</w:t>
      </w:r>
      <w:r>
        <w:rPr>
          <w:rFonts w:hint="eastAsia" w:ascii="宋体" w:hAnsi="宋体"/>
          <w:sz w:val="24"/>
          <w:highlight w:val="none"/>
        </w:rPr>
        <w:t>因投标文件编制、递交及其他</w:t>
      </w:r>
      <w:r>
        <w:rPr>
          <w:rFonts w:hint="eastAsia" w:ascii="宋体" w:hAnsi="宋体"/>
          <w:bCs/>
          <w:sz w:val="24"/>
          <w:highlight w:val="none"/>
        </w:rPr>
        <w:t>参加本招标活动</w:t>
      </w:r>
      <w:r>
        <w:rPr>
          <w:rFonts w:hint="eastAsia" w:ascii="宋体" w:hAnsi="宋体"/>
          <w:sz w:val="24"/>
          <w:highlight w:val="none"/>
        </w:rPr>
        <w:t>所涉及的一切费用，招标人对上述费用不负任何责任。</w:t>
      </w:r>
    </w:p>
    <w:p>
      <w:pPr>
        <w:spacing w:line="440" w:lineRule="exact"/>
        <w:ind w:firstLine="482" w:firstLineChars="200"/>
        <w:rPr>
          <w:rFonts w:ascii="宋体" w:hAnsi="宋体"/>
          <w:bCs/>
          <w:sz w:val="24"/>
          <w:szCs w:val="24"/>
          <w:highlight w:val="none"/>
          <w:u w:val="single"/>
        </w:rPr>
      </w:pPr>
      <w:r>
        <w:rPr>
          <w:rFonts w:hint="eastAsia" w:ascii="宋体" w:hAnsi="宋体"/>
          <w:b/>
          <w:bCs/>
          <w:sz w:val="24"/>
          <w:szCs w:val="24"/>
          <w:highlight w:val="none"/>
        </w:rPr>
        <w:t>现文：</w:t>
      </w:r>
      <w:r>
        <w:rPr>
          <w:rFonts w:hint="eastAsia" w:ascii="宋体" w:hAnsi="宋体"/>
          <w:bCs/>
          <w:sz w:val="24"/>
          <w:szCs w:val="24"/>
          <w:highlight w:val="none"/>
        </w:rPr>
        <w:t>不论投标结果如何，投标人应承担自身因投标文件编制、递交及其他参加本招标活动所涉及的一切费用</w:t>
      </w:r>
      <w:r>
        <w:rPr>
          <w:rFonts w:hint="eastAsia" w:ascii="宋体" w:hAnsi="宋体"/>
          <w:bCs/>
          <w:sz w:val="24"/>
          <w:szCs w:val="24"/>
          <w:highlight w:val="none"/>
          <w:u w:val="single"/>
        </w:rPr>
        <w:t>（包括广州公共资源交易中心交易服务费）</w:t>
      </w:r>
      <w:r>
        <w:rPr>
          <w:rFonts w:hint="eastAsia" w:ascii="宋体" w:hAnsi="宋体"/>
          <w:bCs/>
          <w:sz w:val="24"/>
          <w:szCs w:val="24"/>
          <w:highlight w:val="none"/>
        </w:rPr>
        <w:t>，招标人对上述</w:t>
      </w:r>
      <w:r>
        <w:rPr>
          <w:rFonts w:hint="eastAsia" w:ascii="宋体" w:hAnsi="宋体"/>
          <w:bCs/>
          <w:sz w:val="24"/>
          <w:szCs w:val="24"/>
          <w:highlight w:val="none"/>
          <w:u w:val="single"/>
        </w:rPr>
        <w:t xml:space="preserve">费用不负任何责任。 </w:t>
      </w:r>
      <w:r>
        <w:rPr>
          <w:rFonts w:ascii="宋体" w:hAnsi="宋体"/>
          <w:bCs/>
          <w:sz w:val="24"/>
          <w:szCs w:val="24"/>
          <w:highlight w:val="none"/>
          <w:u w:val="single"/>
        </w:rPr>
        <w:t xml:space="preserve">                                                        </w:t>
      </w:r>
    </w:p>
    <w:p>
      <w:pPr>
        <w:spacing w:line="440" w:lineRule="exact"/>
        <w:ind w:firstLine="540" w:firstLineChars="224"/>
        <w:rPr>
          <w:rFonts w:ascii="宋体" w:hAnsi="宋体"/>
          <w:b/>
          <w:sz w:val="24"/>
          <w:szCs w:val="24"/>
          <w:highlight w:val="none"/>
        </w:rPr>
      </w:pPr>
      <w:r>
        <w:rPr>
          <w:rFonts w:hint="eastAsia" w:ascii="宋体" w:hAnsi="宋体"/>
          <w:b/>
          <w:sz w:val="24"/>
          <w:szCs w:val="24"/>
          <w:highlight w:val="none"/>
        </w:rPr>
        <w:t>条款号：</w:t>
      </w:r>
      <w:r>
        <w:rPr>
          <w:rFonts w:ascii="宋体" w:hAnsi="宋体"/>
          <w:b/>
          <w:sz w:val="24"/>
          <w:szCs w:val="24"/>
          <w:highlight w:val="none"/>
        </w:rPr>
        <w:t xml:space="preserve">8.1              </w:t>
      </w:r>
      <w:r>
        <w:rPr>
          <w:rFonts w:hint="eastAsia" w:ascii="宋体" w:hAnsi="宋体"/>
          <w:b/>
          <w:sz w:val="24"/>
          <w:szCs w:val="24"/>
          <w:highlight w:val="none"/>
        </w:rPr>
        <w:t>修改类型：修改</w:t>
      </w:r>
    </w:p>
    <w:p>
      <w:pPr>
        <w:pBdr>
          <w:bottom w:val="single" w:color="auto" w:sz="6" w:space="1"/>
        </w:pBdr>
        <w:spacing w:line="440" w:lineRule="exact"/>
        <w:ind w:firstLine="540" w:firstLineChars="224"/>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投标人若对招标文件（包括招标图纸）中有疑问，可以书面形式通过交易平台提交给招标人或招标代理人，提交形式见本须知前附表第</w:t>
      </w:r>
      <w:r>
        <w:rPr>
          <w:rFonts w:ascii="宋体" w:hAnsi="宋体"/>
          <w:sz w:val="24"/>
          <w:szCs w:val="24"/>
          <w:highlight w:val="none"/>
        </w:rPr>
        <w:t>16</w:t>
      </w:r>
      <w:r>
        <w:rPr>
          <w:rFonts w:hint="eastAsia" w:ascii="宋体" w:hAnsi="宋体"/>
          <w:sz w:val="24"/>
          <w:szCs w:val="24"/>
          <w:highlight w:val="none"/>
        </w:rPr>
        <w:t>项。</w:t>
      </w:r>
    </w:p>
    <w:p>
      <w:pPr>
        <w:pBdr>
          <w:bottom w:val="single" w:color="auto" w:sz="6" w:space="1"/>
        </w:pBdr>
        <w:spacing w:line="440" w:lineRule="exact"/>
        <w:ind w:firstLine="540" w:firstLineChars="224"/>
        <w:rPr>
          <w:rFonts w:ascii="宋体" w:hAnsi="宋体"/>
          <w:b/>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投标人若对招标文件（包括招标图纸）中有疑问，可以书面形式通过</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hAnsi="宋体"/>
          <w:sz w:val="24"/>
          <w:szCs w:val="24"/>
          <w:highlight w:val="none"/>
        </w:rPr>
        <w:t>交易平台提交给招标人或招标代理人，提交形式和</w:t>
      </w:r>
      <w:r>
        <w:rPr>
          <w:rFonts w:ascii="宋体" w:hAnsi="宋体"/>
          <w:sz w:val="24"/>
          <w:szCs w:val="24"/>
          <w:highlight w:val="none"/>
        </w:rPr>
        <w:t>时间</w:t>
      </w:r>
      <w:r>
        <w:rPr>
          <w:rFonts w:hint="eastAsia" w:ascii="宋体" w:hAnsi="宋体"/>
          <w:sz w:val="24"/>
          <w:szCs w:val="24"/>
          <w:highlight w:val="none"/>
        </w:rPr>
        <w:t>见本须知前附表第</w:t>
      </w:r>
      <w:r>
        <w:rPr>
          <w:rFonts w:ascii="宋体" w:hAnsi="宋体"/>
          <w:sz w:val="24"/>
          <w:szCs w:val="24"/>
          <w:highlight w:val="none"/>
        </w:rPr>
        <w:t>16</w:t>
      </w:r>
      <w:r>
        <w:rPr>
          <w:rFonts w:hint="eastAsia" w:ascii="宋体" w:hAnsi="宋体"/>
          <w:sz w:val="24"/>
          <w:szCs w:val="24"/>
          <w:highlight w:val="none"/>
        </w:rPr>
        <w:t>项。</w:t>
      </w:r>
    </w:p>
    <w:p>
      <w:pPr>
        <w:spacing w:line="440" w:lineRule="exact"/>
        <w:ind w:firstLine="590" w:firstLineChars="245"/>
        <w:rPr>
          <w:rFonts w:ascii="宋体" w:hAnsi="宋体"/>
          <w:b/>
          <w:sz w:val="24"/>
          <w:szCs w:val="24"/>
          <w:highlight w:val="none"/>
        </w:rPr>
      </w:pPr>
      <w:r>
        <w:rPr>
          <w:rFonts w:hint="eastAsia" w:ascii="宋体" w:hAnsi="宋体"/>
          <w:b/>
          <w:sz w:val="24"/>
          <w:szCs w:val="24"/>
          <w:highlight w:val="none"/>
        </w:rPr>
        <w:t>条款号：</w:t>
      </w:r>
      <w:r>
        <w:rPr>
          <w:rFonts w:ascii="宋体" w:hAnsi="宋体"/>
          <w:b/>
          <w:sz w:val="24"/>
          <w:szCs w:val="24"/>
          <w:highlight w:val="none"/>
        </w:rPr>
        <w:t>8.</w:t>
      </w:r>
      <w:r>
        <w:rPr>
          <w:rFonts w:hint="eastAsia" w:ascii="宋体" w:hAnsi="宋体"/>
          <w:b/>
          <w:sz w:val="24"/>
          <w:szCs w:val="24"/>
          <w:highlight w:val="none"/>
        </w:rPr>
        <w:t>2-8.4修改类型：修改</w:t>
      </w:r>
    </w:p>
    <w:p>
      <w:pPr>
        <w:pStyle w:val="5"/>
        <w:spacing w:after="0" w:line="440" w:lineRule="exact"/>
        <w:ind w:firstLine="590" w:firstLineChars="245"/>
        <w:rPr>
          <w:rFonts w:ascii="宋体" w:hAnsi="宋体"/>
          <w:sz w:val="24"/>
          <w:szCs w:val="24"/>
          <w:highlight w:val="none"/>
        </w:rPr>
      </w:pPr>
      <w:r>
        <w:rPr>
          <w:rFonts w:hint="eastAsia" w:ascii="宋体" w:hAnsi="宋体"/>
          <w:b/>
          <w:sz w:val="24"/>
          <w:szCs w:val="24"/>
          <w:highlight w:val="none"/>
        </w:rPr>
        <w:t>原文：8.2</w:t>
      </w:r>
      <w:r>
        <w:rPr>
          <w:rFonts w:hint="eastAsia" w:ascii="宋体" w:hAnsi="宋体"/>
          <w:sz w:val="24"/>
          <w:szCs w:val="24"/>
          <w:highlight w:val="none"/>
        </w:rPr>
        <w:t>招标答疑会会议纪要将在提交投标文件截止时间15日前在交易平台 “项目答疑纪要”专区公开发布。答疑纪要一经在交易平台发布，视作已发放给所有投标人。</w:t>
      </w:r>
    </w:p>
    <w:p>
      <w:pPr>
        <w:pStyle w:val="5"/>
        <w:spacing w:line="440" w:lineRule="exact"/>
        <w:ind w:firstLine="588" w:firstLineChars="245"/>
        <w:rPr>
          <w:rFonts w:ascii="宋体" w:hAnsi="宋体"/>
          <w:sz w:val="24"/>
          <w:szCs w:val="24"/>
          <w:highlight w:val="none"/>
        </w:rPr>
      </w:pPr>
      <w:r>
        <w:rPr>
          <w:rFonts w:ascii="宋体" w:hAnsi="宋体"/>
          <w:sz w:val="24"/>
          <w:szCs w:val="24"/>
          <w:highlight w:val="none"/>
        </w:rPr>
        <w:t>8.3</w:t>
      </w:r>
      <w:r>
        <w:rPr>
          <w:rFonts w:hint="eastAsia" w:ascii="宋体" w:hAnsi="宋体"/>
          <w:sz w:val="24"/>
          <w:szCs w:val="24"/>
          <w:highlight w:val="none"/>
        </w:rPr>
        <w:t>答疑会会议纪要为招标文件的一部分。</w:t>
      </w:r>
    </w:p>
    <w:p>
      <w:pPr>
        <w:pStyle w:val="5"/>
        <w:spacing w:after="0" w:line="440" w:lineRule="exact"/>
        <w:ind w:firstLine="588" w:firstLineChars="245"/>
        <w:rPr>
          <w:rFonts w:ascii="宋体" w:hAnsi="宋体"/>
          <w:sz w:val="24"/>
          <w:szCs w:val="24"/>
          <w:highlight w:val="none"/>
        </w:rPr>
      </w:pPr>
      <w:r>
        <w:rPr>
          <w:rFonts w:ascii="宋体" w:hAnsi="宋体"/>
          <w:sz w:val="24"/>
          <w:szCs w:val="24"/>
          <w:highlight w:val="none"/>
        </w:rPr>
        <w:t>8.4</w:t>
      </w:r>
      <w:r>
        <w:rPr>
          <w:rFonts w:hint="eastAsia" w:ascii="宋体" w:hAnsi="宋体"/>
          <w:sz w:val="24"/>
          <w:szCs w:val="24"/>
          <w:highlight w:val="none"/>
        </w:rPr>
        <w:t>若招标答疑会会议纪要与招标文件有矛盾，以答疑会议纪要最后发出的书面形式的文件为准。</w:t>
      </w:r>
    </w:p>
    <w:p>
      <w:pPr>
        <w:pStyle w:val="5"/>
        <w:spacing w:after="0" w:line="360" w:lineRule="auto"/>
        <w:ind w:firstLine="482" w:firstLineChars="200"/>
        <w:rPr>
          <w:rFonts w:ascii="宋体" w:hAnsi="宋体"/>
          <w:b/>
          <w:sz w:val="24"/>
          <w:szCs w:val="24"/>
          <w:highlight w:val="none"/>
        </w:rPr>
      </w:pPr>
      <w:r>
        <w:rPr>
          <w:rFonts w:hint="eastAsia" w:ascii="宋体" w:hAnsi="宋体"/>
          <w:b/>
          <w:sz w:val="24"/>
          <w:szCs w:val="24"/>
          <w:highlight w:val="none"/>
        </w:rPr>
        <w:t>现文：8.2</w:t>
      </w:r>
      <w:r>
        <w:rPr>
          <w:rFonts w:hint="eastAsia" w:ascii="宋体" w:hAnsi="宋体"/>
          <w:sz w:val="24"/>
          <w:szCs w:val="24"/>
          <w:highlight w:val="none"/>
          <w:u w:val="single"/>
        </w:rPr>
        <w:t>招标答疑纪要</w:t>
      </w:r>
      <w:r>
        <w:rPr>
          <w:rFonts w:hint="eastAsia" w:ascii="宋体" w:hAnsi="宋体"/>
          <w:sz w:val="24"/>
          <w:szCs w:val="24"/>
          <w:highlight w:val="none"/>
        </w:rPr>
        <w:t>将在提交投标文件截止时间15日前在</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hAnsi="宋体"/>
          <w:sz w:val="24"/>
          <w:szCs w:val="24"/>
          <w:highlight w:val="none"/>
        </w:rPr>
        <w:t>交易平台“项目答疑纪要”专区公开发布。答疑纪要一经在</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hAnsi="宋体"/>
          <w:sz w:val="24"/>
          <w:szCs w:val="24"/>
          <w:highlight w:val="none"/>
        </w:rPr>
        <w:t>交易平台发布，视作已发放给所有投标人。</w:t>
      </w:r>
    </w:p>
    <w:p>
      <w:pPr>
        <w:pStyle w:val="5"/>
        <w:spacing w:after="0" w:line="360" w:lineRule="auto"/>
        <w:ind w:firstLine="597" w:firstLineChars="249"/>
        <w:rPr>
          <w:rFonts w:ascii="宋体"/>
          <w:sz w:val="24"/>
          <w:highlight w:val="none"/>
        </w:rPr>
      </w:pPr>
      <w:r>
        <w:rPr>
          <w:rFonts w:ascii="宋体" w:hAnsi="宋体"/>
          <w:sz w:val="24"/>
          <w:highlight w:val="none"/>
        </w:rPr>
        <w:t>8.3</w:t>
      </w:r>
      <w:r>
        <w:rPr>
          <w:rFonts w:hint="eastAsia" w:ascii="宋体" w:hAnsi="宋体"/>
          <w:sz w:val="24"/>
          <w:szCs w:val="24"/>
          <w:highlight w:val="none"/>
          <w:u w:val="single"/>
        </w:rPr>
        <w:t>招标答疑纪要</w:t>
      </w:r>
      <w:r>
        <w:rPr>
          <w:rFonts w:hint="eastAsia" w:ascii="宋体" w:hAnsi="宋体"/>
          <w:sz w:val="24"/>
          <w:highlight w:val="none"/>
        </w:rPr>
        <w:t>为招标文件的一部分。</w:t>
      </w:r>
    </w:p>
    <w:p>
      <w:pPr>
        <w:pBdr>
          <w:bottom w:val="single" w:color="auto" w:sz="6" w:space="1"/>
        </w:pBdr>
        <w:spacing w:line="440" w:lineRule="exact"/>
        <w:ind w:firstLine="588" w:firstLineChars="245"/>
        <w:rPr>
          <w:rFonts w:ascii="宋体" w:hAnsi="宋体"/>
          <w:b/>
          <w:sz w:val="24"/>
          <w:szCs w:val="24"/>
          <w:highlight w:val="none"/>
        </w:rPr>
      </w:pPr>
      <w:r>
        <w:rPr>
          <w:rFonts w:ascii="宋体" w:hAnsi="宋体"/>
          <w:sz w:val="24"/>
          <w:highlight w:val="none"/>
        </w:rPr>
        <w:t>8.4</w:t>
      </w:r>
      <w:r>
        <w:rPr>
          <w:rFonts w:hint="eastAsia" w:ascii="宋体" w:hAnsi="宋体"/>
          <w:sz w:val="24"/>
          <w:highlight w:val="none"/>
        </w:rPr>
        <w:t>若</w:t>
      </w:r>
      <w:r>
        <w:rPr>
          <w:rFonts w:hint="eastAsia" w:ascii="宋体" w:hAnsi="宋体"/>
          <w:sz w:val="24"/>
          <w:szCs w:val="24"/>
          <w:highlight w:val="none"/>
          <w:u w:val="single"/>
        </w:rPr>
        <w:t>招标答疑纪要</w:t>
      </w:r>
      <w:r>
        <w:rPr>
          <w:rFonts w:hint="eastAsia" w:ascii="宋体" w:hAnsi="宋体"/>
          <w:sz w:val="24"/>
          <w:highlight w:val="none"/>
        </w:rPr>
        <w:t>与招标文件有矛盾，以</w:t>
      </w:r>
      <w:r>
        <w:rPr>
          <w:rFonts w:hint="eastAsia" w:ascii="宋体" w:hAnsi="宋体"/>
          <w:sz w:val="24"/>
          <w:szCs w:val="24"/>
          <w:highlight w:val="none"/>
          <w:u w:val="single"/>
        </w:rPr>
        <w:t>招标答疑纪要</w:t>
      </w:r>
      <w:r>
        <w:rPr>
          <w:rFonts w:hint="eastAsia" w:ascii="宋体" w:hAnsi="宋体"/>
          <w:sz w:val="24"/>
          <w:highlight w:val="none"/>
        </w:rPr>
        <w:t>最后发出的书面形式的文件为准。</w:t>
      </w:r>
    </w:p>
    <w:p>
      <w:pPr>
        <w:spacing w:line="440" w:lineRule="exact"/>
        <w:ind w:firstLine="540" w:firstLineChars="224"/>
        <w:rPr>
          <w:rFonts w:ascii="宋体" w:hAnsi="宋体"/>
          <w:b/>
          <w:sz w:val="24"/>
          <w:szCs w:val="24"/>
          <w:highlight w:val="none"/>
        </w:rPr>
      </w:pPr>
      <w:r>
        <w:rPr>
          <w:rFonts w:hint="eastAsia" w:ascii="宋体" w:hAnsi="宋体"/>
          <w:b/>
          <w:sz w:val="24"/>
          <w:szCs w:val="24"/>
          <w:highlight w:val="none"/>
        </w:rPr>
        <w:t>条款号：9.2修改类型：修改</w:t>
      </w:r>
    </w:p>
    <w:p>
      <w:pPr>
        <w:pBdr>
          <w:bottom w:val="single" w:color="auto" w:sz="6" w:space="1"/>
        </w:pBdr>
        <w:spacing w:line="440" w:lineRule="exact"/>
        <w:ind w:firstLine="540" w:firstLineChars="224"/>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440" w:lineRule="exact"/>
        <w:ind w:firstLine="540" w:firstLineChars="224"/>
        <w:rPr>
          <w:rFonts w:ascii="宋体" w:hAnsi="宋体"/>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招标文件的澄清或修改将在</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hAnsi="宋体"/>
          <w:sz w:val="24"/>
          <w:szCs w:val="24"/>
          <w:highlight w:val="none"/>
        </w:rPr>
        <w:t>交易平台“项目答疑纪要”专区公开发布。答疑纪要一经在</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hAnsi="宋体"/>
          <w:sz w:val="24"/>
          <w:szCs w:val="24"/>
          <w:highlight w:val="none"/>
        </w:rPr>
        <w:t>交易平台发布，视作已发放给所有投标人，以</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hAnsi="宋体"/>
          <w:sz w:val="24"/>
          <w:szCs w:val="24"/>
          <w:highlight w:val="none"/>
        </w:rPr>
        <w:t>交易平台上网发布时间作为送达时间。</w:t>
      </w:r>
    </w:p>
    <w:p>
      <w:pPr>
        <w:spacing w:line="440" w:lineRule="exact"/>
        <w:ind w:firstLine="472" w:firstLineChars="196"/>
        <w:rPr>
          <w:rFonts w:ascii="宋体" w:hAnsi="宋体"/>
          <w:b/>
          <w:sz w:val="24"/>
          <w:szCs w:val="24"/>
          <w:highlight w:val="none"/>
        </w:rPr>
      </w:pPr>
      <w:r>
        <w:rPr>
          <w:rFonts w:hint="eastAsia" w:ascii="宋体" w:hAnsi="宋体"/>
          <w:b/>
          <w:sz w:val="24"/>
          <w:szCs w:val="24"/>
          <w:highlight w:val="none"/>
        </w:rPr>
        <w:t>条款号：</w:t>
      </w:r>
      <w:r>
        <w:rPr>
          <w:rFonts w:hint="eastAsia" w:ascii="宋体" w:hAnsi="宋体"/>
          <w:b/>
          <w:bCs/>
          <w:sz w:val="24"/>
          <w:szCs w:val="24"/>
          <w:highlight w:val="none"/>
        </w:rPr>
        <w:t>11.2、11.3</w:t>
      </w:r>
      <w:r>
        <w:rPr>
          <w:rFonts w:hint="eastAsia" w:ascii="宋体" w:hAnsi="宋体"/>
          <w:b/>
          <w:sz w:val="24"/>
          <w:szCs w:val="24"/>
          <w:highlight w:val="none"/>
        </w:rPr>
        <w:t>修改类型：修改</w:t>
      </w:r>
    </w:p>
    <w:p>
      <w:pPr>
        <w:spacing w:line="360" w:lineRule="auto"/>
        <w:ind w:firstLine="482" w:firstLineChars="200"/>
        <w:rPr>
          <w:rFonts w:ascii="宋体" w:hAnsi="宋体"/>
          <w:bCs/>
          <w:sz w:val="24"/>
          <w:highlight w:val="none"/>
        </w:rPr>
      </w:pPr>
      <w:r>
        <w:rPr>
          <w:rFonts w:hint="eastAsia" w:ascii="宋体" w:hAnsi="宋体"/>
          <w:b/>
          <w:sz w:val="24"/>
          <w:szCs w:val="24"/>
          <w:highlight w:val="none"/>
        </w:rPr>
        <w:t>原文：</w:t>
      </w:r>
      <w:r>
        <w:rPr>
          <w:rFonts w:ascii="宋体" w:hAnsi="宋体"/>
          <w:bCs/>
          <w:sz w:val="24"/>
          <w:highlight w:val="none"/>
        </w:rPr>
        <w:t>11.2</w:t>
      </w:r>
      <w:r>
        <w:rPr>
          <w:rFonts w:hint="eastAsia" w:ascii="宋体" w:hAnsi="宋体"/>
          <w:bCs/>
          <w:sz w:val="24"/>
          <w:highlight w:val="none"/>
        </w:rPr>
        <w:t>投标文件技术标部分主要包括下列内容</w:t>
      </w:r>
      <w:r>
        <w:rPr>
          <w:rFonts w:ascii="宋体" w:hAnsi="宋体"/>
          <w:bCs/>
          <w:sz w:val="24"/>
          <w:highlight w:val="none"/>
        </w:rPr>
        <w:t>:</w:t>
      </w:r>
    </w:p>
    <w:p>
      <w:pPr>
        <w:spacing w:line="360" w:lineRule="auto"/>
        <w:ind w:firstLine="480" w:firstLineChars="200"/>
        <w:rPr>
          <w:rFonts w:ascii="宋体"/>
          <w:bCs/>
          <w:sz w:val="24"/>
          <w:highlight w:val="none"/>
        </w:rPr>
      </w:pPr>
      <w:r>
        <w:rPr>
          <w:rFonts w:hint="eastAsia" w:ascii="宋体"/>
          <w:bCs/>
          <w:sz w:val="24"/>
          <w:highlight w:val="none"/>
        </w:rPr>
        <w:t>11.2.1 技术投标文件</w:t>
      </w:r>
      <w:r>
        <w:rPr>
          <w:rFonts w:ascii="宋体" w:hAnsi="宋体"/>
          <w:sz w:val="24"/>
          <w:highlight w:val="none"/>
        </w:rPr>
        <w:t>(</w:t>
      </w:r>
      <w:r>
        <w:rPr>
          <w:rFonts w:hint="eastAsia" w:ascii="宋体" w:hAnsi="宋体"/>
          <w:sz w:val="24"/>
          <w:highlight w:val="none"/>
        </w:rPr>
        <w:t>按招标文件的要求填写</w:t>
      </w:r>
      <w:r>
        <w:rPr>
          <w:rFonts w:ascii="宋体" w:hAnsi="宋体"/>
          <w:sz w:val="24"/>
          <w:highlight w:val="none"/>
        </w:rPr>
        <w:t>)</w:t>
      </w:r>
      <w:r>
        <w:rPr>
          <w:rFonts w:hint="eastAsia" w:ascii="宋体"/>
          <w:bCs/>
          <w:sz w:val="24"/>
          <w:highlight w:val="none"/>
        </w:rPr>
        <w:t>；</w:t>
      </w:r>
    </w:p>
    <w:p>
      <w:pPr>
        <w:spacing w:line="360" w:lineRule="auto"/>
        <w:ind w:firstLine="480" w:firstLineChars="200"/>
        <w:rPr>
          <w:rFonts w:ascii="宋体"/>
          <w:bCs/>
          <w:sz w:val="24"/>
          <w:highlight w:val="none"/>
        </w:rPr>
      </w:pPr>
      <w:r>
        <w:rPr>
          <w:rFonts w:hint="eastAsia" w:ascii="宋体"/>
          <w:bCs/>
          <w:sz w:val="24"/>
          <w:highlight w:val="none"/>
        </w:rPr>
        <w:t>11.2.2 资格审查文件：</w:t>
      </w:r>
    </w:p>
    <w:p>
      <w:pPr>
        <w:spacing w:line="360" w:lineRule="auto"/>
        <w:ind w:firstLine="480" w:firstLineChars="200"/>
        <w:rPr>
          <w:rFonts w:ascii="宋体"/>
          <w:bCs/>
          <w:sz w:val="24"/>
          <w:highlight w:val="none"/>
        </w:rPr>
      </w:pPr>
      <w:r>
        <w:rPr>
          <w:rFonts w:hint="eastAsia" w:ascii="宋体"/>
          <w:bCs/>
          <w:sz w:val="24"/>
          <w:highlight w:val="none"/>
        </w:rPr>
        <w:t xml:space="preserve">（1）投标人声明； </w:t>
      </w:r>
    </w:p>
    <w:p>
      <w:pPr>
        <w:spacing w:line="360" w:lineRule="auto"/>
        <w:ind w:firstLine="480" w:firstLineChars="200"/>
        <w:rPr>
          <w:rFonts w:ascii="宋体"/>
          <w:bCs/>
          <w:sz w:val="24"/>
          <w:highlight w:val="none"/>
        </w:rPr>
      </w:pPr>
      <w:r>
        <w:rPr>
          <w:rFonts w:hint="eastAsia" w:ascii="宋体"/>
          <w:bCs/>
          <w:sz w:val="24"/>
          <w:highlight w:val="none"/>
        </w:rPr>
        <w:t>（2）法定代表人证明书、法定代表人签字或盖章的本投标文件授权委托证明书；</w:t>
      </w:r>
    </w:p>
    <w:p>
      <w:pPr>
        <w:spacing w:line="360" w:lineRule="auto"/>
        <w:ind w:firstLine="480" w:firstLineChars="200"/>
        <w:rPr>
          <w:rFonts w:ascii="宋体"/>
          <w:bCs/>
          <w:sz w:val="24"/>
          <w:highlight w:val="none"/>
        </w:rPr>
      </w:pPr>
      <w:r>
        <w:rPr>
          <w:rFonts w:hint="eastAsia" w:ascii="宋体"/>
          <w:bCs/>
          <w:sz w:val="24"/>
          <w:highlight w:val="none"/>
        </w:rPr>
        <w:t>（3）企业营业执照（取自平台内上传件）；</w:t>
      </w:r>
    </w:p>
    <w:p>
      <w:pPr>
        <w:spacing w:line="360" w:lineRule="auto"/>
        <w:ind w:firstLine="480" w:firstLineChars="200"/>
        <w:rPr>
          <w:rFonts w:ascii="宋体"/>
          <w:bCs/>
          <w:sz w:val="24"/>
          <w:highlight w:val="none"/>
        </w:rPr>
      </w:pPr>
      <w:r>
        <w:rPr>
          <w:rFonts w:hint="eastAsia" w:ascii="宋体"/>
          <w:bCs/>
          <w:sz w:val="24"/>
          <w:highlight w:val="none"/>
        </w:rPr>
        <w:t>（4）企业资质证书（取自平台内上传件）；</w:t>
      </w:r>
    </w:p>
    <w:p>
      <w:pPr>
        <w:spacing w:line="360" w:lineRule="auto"/>
        <w:ind w:firstLine="480" w:firstLineChars="200"/>
        <w:rPr>
          <w:rFonts w:ascii="宋体"/>
          <w:bCs/>
          <w:sz w:val="24"/>
          <w:highlight w:val="none"/>
        </w:rPr>
      </w:pPr>
      <w:r>
        <w:rPr>
          <w:rFonts w:hint="eastAsia" w:ascii="宋体"/>
          <w:bCs/>
          <w:sz w:val="24"/>
          <w:highlight w:val="none"/>
        </w:rPr>
        <w:t>（5）建筑施工企业安全生产许可证（取自平台内上传件）；</w:t>
      </w:r>
    </w:p>
    <w:p>
      <w:pPr>
        <w:spacing w:line="360" w:lineRule="auto"/>
        <w:ind w:firstLine="480" w:firstLineChars="200"/>
        <w:rPr>
          <w:rFonts w:ascii="宋体" w:hAnsi="宋体"/>
          <w:bCs/>
          <w:sz w:val="24"/>
          <w:szCs w:val="24"/>
          <w:highlight w:val="none"/>
        </w:rPr>
      </w:pPr>
      <w:r>
        <w:rPr>
          <w:rFonts w:hint="eastAsia" w:ascii="宋体"/>
          <w:bCs/>
          <w:sz w:val="24"/>
          <w:highlight w:val="none"/>
        </w:rPr>
        <w:t>（6）</w:t>
      </w:r>
      <w:r>
        <w:rPr>
          <w:rFonts w:hint="eastAsia" w:ascii="宋体" w:hAnsi="宋体"/>
          <w:bCs/>
          <w:sz w:val="24"/>
          <w:szCs w:val="24"/>
          <w:highlight w:val="none"/>
        </w:rPr>
        <w:t>项目负责人（按网上投标登记时选择拟投标的项目负责人）；</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（7）专职安全员（按网上投标登记时选择拟投标的专职安全员）；</w:t>
      </w:r>
    </w:p>
    <w:p>
      <w:pPr>
        <w:spacing w:line="360" w:lineRule="auto"/>
        <w:ind w:firstLine="480" w:firstLineChars="200"/>
        <w:rPr>
          <w:rFonts w:ascii="宋体"/>
          <w:bCs/>
          <w:sz w:val="24"/>
          <w:highlight w:val="none"/>
        </w:rPr>
      </w:pPr>
      <w:r>
        <w:rPr>
          <w:rFonts w:hint="eastAsia" w:ascii="宋体"/>
          <w:bCs/>
          <w:sz w:val="24"/>
          <w:highlight w:val="none"/>
        </w:rPr>
        <w:t>（8）拟委托技术负责人的相关证书、资料（具体要求由招标人明确）；</w:t>
      </w:r>
    </w:p>
    <w:p>
      <w:pPr>
        <w:spacing w:line="360" w:lineRule="auto"/>
        <w:ind w:firstLine="480" w:firstLineChars="200"/>
        <w:rPr>
          <w:rFonts w:ascii="宋体"/>
          <w:bCs/>
          <w:sz w:val="24"/>
          <w:highlight w:val="none"/>
        </w:rPr>
      </w:pPr>
      <w:r>
        <w:rPr>
          <w:rFonts w:hint="eastAsia" w:ascii="宋体"/>
          <w:bCs/>
          <w:sz w:val="24"/>
          <w:highlight w:val="none"/>
        </w:rPr>
        <w:t xml:space="preserve">（9）拟委派项目负责人的建造师注册证书或小型项目负责人相关证明（取自平台内上传件）； </w:t>
      </w:r>
    </w:p>
    <w:p>
      <w:pPr>
        <w:spacing w:line="360" w:lineRule="auto"/>
        <w:ind w:firstLine="480" w:firstLineChars="200"/>
        <w:rPr>
          <w:rFonts w:ascii="宋体"/>
          <w:bCs/>
          <w:sz w:val="24"/>
          <w:highlight w:val="none"/>
        </w:rPr>
      </w:pPr>
      <w:r>
        <w:rPr>
          <w:rFonts w:hint="eastAsia" w:ascii="宋体"/>
          <w:bCs/>
          <w:sz w:val="24"/>
          <w:highlight w:val="none"/>
        </w:rPr>
        <w:t>（10）项目负责人安全培训考核合格证明或在有效期内的安全考核合格证书（B类）或建筑施工企业项目负责人安全生产考核合格证书（取自平台内上传件）</w:t>
      </w:r>
      <w:r>
        <w:rPr>
          <w:rFonts w:hint="eastAsia" w:ascii="宋体"/>
          <w:bCs/>
          <w:sz w:val="24"/>
          <w:szCs w:val="24"/>
          <w:highlight w:val="none"/>
        </w:rPr>
        <w:t>；</w:t>
      </w:r>
    </w:p>
    <w:p>
      <w:pPr>
        <w:spacing w:line="360" w:lineRule="auto"/>
        <w:ind w:firstLine="480" w:firstLineChars="200"/>
        <w:rPr>
          <w:rFonts w:ascii="宋体"/>
          <w:bCs/>
          <w:sz w:val="24"/>
          <w:szCs w:val="24"/>
          <w:highlight w:val="none"/>
        </w:rPr>
      </w:pPr>
      <w:r>
        <w:rPr>
          <w:rFonts w:hint="eastAsia" w:ascii="宋体"/>
          <w:bCs/>
          <w:sz w:val="24"/>
          <w:highlight w:val="none"/>
        </w:rPr>
        <w:t>（11）专职安全员须具有在有效期内的安全考核合格证书（C类）或建筑施工企业专职安全生产管理人员安全生产考核合格证书</w:t>
      </w:r>
      <w:r>
        <w:rPr>
          <w:rFonts w:hint="eastAsia" w:ascii="宋体"/>
          <w:bCs/>
          <w:sz w:val="24"/>
          <w:szCs w:val="24"/>
          <w:highlight w:val="none"/>
        </w:rPr>
        <w:t>（取自平台内上传件）；</w:t>
      </w:r>
    </w:p>
    <w:p>
      <w:pPr>
        <w:spacing w:line="360" w:lineRule="auto"/>
        <w:ind w:firstLine="480" w:firstLineChars="200"/>
        <w:rPr>
          <w:rFonts w:ascii="宋体"/>
          <w:bCs/>
          <w:sz w:val="24"/>
          <w:szCs w:val="24"/>
          <w:highlight w:val="none"/>
        </w:rPr>
      </w:pPr>
      <w:r>
        <w:rPr>
          <w:rFonts w:hint="eastAsia" w:ascii="宋体"/>
          <w:bCs/>
          <w:sz w:val="24"/>
          <w:szCs w:val="24"/>
          <w:highlight w:val="none"/>
        </w:rPr>
        <w:t>（12）</w:t>
      </w:r>
      <w:r>
        <w:rPr>
          <w:rFonts w:hint="eastAsia" w:ascii="宋体" w:hAnsi="宋体"/>
          <w:bCs/>
          <w:sz w:val="24"/>
          <w:szCs w:val="24"/>
          <w:highlight w:val="none"/>
        </w:rPr>
        <w:t>用于资格审查的业绩（设置业绩要求时选择此项，投标人</w:t>
      </w:r>
      <w:r>
        <w:rPr>
          <w:rFonts w:hint="eastAsia" w:ascii="宋体" w:hAnsi="宋体"/>
          <w:sz w:val="24"/>
          <w:highlight w:val="none"/>
        </w:rPr>
        <w:t>须提供类似工程业绩的项目名称及项目编号，具体格式由招标人自定</w:t>
      </w:r>
      <w:r>
        <w:rPr>
          <w:rFonts w:hint="eastAsia" w:ascii="宋体" w:hAnsi="宋体"/>
          <w:bCs/>
          <w:sz w:val="24"/>
          <w:szCs w:val="24"/>
          <w:highlight w:val="none"/>
        </w:rPr>
        <w:t>）；</w:t>
      </w:r>
    </w:p>
    <w:p>
      <w:pPr>
        <w:spacing w:line="360" w:lineRule="auto"/>
        <w:ind w:firstLine="480" w:firstLineChars="200"/>
        <w:rPr>
          <w:rFonts w:ascii="宋体"/>
          <w:bCs/>
          <w:sz w:val="24"/>
          <w:highlight w:val="none"/>
        </w:rPr>
      </w:pPr>
      <w:r>
        <w:rPr>
          <w:rFonts w:hint="eastAsia" w:ascii="宋体"/>
          <w:bCs/>
          <w:sz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sz w:val="24"/>
          <w:szCs w:val="24"/>
          <w:highlight w:val="none"/>
        </w:rPr>
        <w:t>联合体工作协议应明确约定各方拟承担的工作和责任</w:t>
      </w:r>
      <w:r>
        <w:rPr>
          <w:rFonts w:hint="eastAsia" w:ascii="宋体" w:hAnsi="宋体"/>
          <w:bCs/>
          <w:sz w:val="24"/>
          <w:szCs w:val="24"/>
          <w:highlight w:val="none"/>
        </w:rPr>
        <w:t xml:space="preserve">）； </w:t>
      </w:r>
    </w:p>
    <w:p>
      <w:pPr>
        <w:spacing w:line="360" w:lineRule="auto"/>
        <w:ind w:firstLine="480" w:firstLineChars="200"/>
        <w:rPr>
          <w:rFonts w:ascii="宋体"/>
          <w:sz w:val="24"/>
          <w:highlight w:val="none"/>
        </w:rPr>
      </w:pPr>
      <w:r>
        <w:rPr>
          <w:rFonts w:ascii="宋体" w:hAnsi="宋体"/>
          <w:sz w:val="24"/>
          <w:highlight w:val="none"/>
        </w:rPr>
        <w:t>11.2.3</w:t>
      </w:r>
      <w:r>
        <w:rPr>
          <w:rFonts w:hint="eastAsia" w:ascii="宋体" w:hAnsi="宋体"/>
          <w:sz w:val="24"/>
          <w:highlight w:val="none"/>
        </w:rPr>
        <w:t>项目管理机构配备。</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）投标人应列出该项目工程的施工组织机构构成和画出机构框架图及其负责人；</w:t>
      </w:r>
    </w:p>
    <w:p>
      <w:pPr>
        <w:spacing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）其他辅助说明资料。</w:t>
      </w:r>
    </w:p>
    <w:p>
      <w:pPr>
        <w:spacing w:line="360" w:lineRule="auto"/>
        <w:ind w:firstLine="480" w:firstLineChars="200"/>
        <w:rPr>
          <w:rFonts w:ascii="宋体"/>
          <w:sz w:val="24"/>
          <w:highlight w:val="none"/>
        </w:rPr>
      </w:pPr>
      <w:r>
        <w:rPr>
          <w:rFonts w:ascii="宋体" w:hAnsi="宋体"/>
          <w:sz w:val="24"/>
          <w:highlight w:val="none"/>
        </w:rPr>
        <w:t>11.2.4</w:t>
      </w:r>
      <w:r>
        <w:rPr>
          <w:rFonts w:hint="eastAsia" w:ascii="宋体" w:hAnsi="宋体"/>
          <w:sz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sz w:val="24"/>
          <w:highlight w:val="none"/>
        </w:rPr>
      </w:pPr>
      <w:r>
        <w:rPr>
          <w:rFonts w:ascii="宋体" w:hAnsi="宋体"/>
          <w:sz w:val="24"/>
          <w:highlight w:val="none"/>
        </w:rPr>
        <w:t>11.2.5</w:t>
      </w:r>
      <w:r>
        <w:rPr>
          <w:rFonts w:hint="eastAsia" w:ascii="宋体" w:hAnsi="宋体"/>
          <w:sz w:val="24"/>
          <w:highlight w:val="none"/>
        </w:rPr>
        <w:t>施工组织设计或施工方案。</w:t>
      </w:r>
    </w:p>
    <w:p>
      <w:pPr>
        <w:tabs>
          <w:tab w:val="left" w:pos="1125"/>
        </w:tabs>
        <w:spacing w:line="360" w:lineRule="auto"/>
        <w:ind w:firstLine="480" w:firstLineChars="200"/>
        <w:rPr>
          <w:rFonts w:ascii="宋体"/>
          <w:sz w:val="24"/>
          <w:highlight w:val="none"/>
        </w:rPr>
      </w:pPr>
      <w:r>
        <w:rPr>
          <w:rFonts w:ascii="宋体" w:hAnsi="宋体"/>
          <w:sz w:val="24"/>
          <w:highlight w:val="none"/>
        </w:rPr>
        <w:t>11.2.</w:t>
      </w:r>
      <w:r>
        <w:rPr>
          <w:rFonts w:hint="eastAsia" w:ascii="宋体" w:hAnsi="宋体"/>
          <w:sz w:val="24"/>
          <w:highlight w:val="none"/>
        </w:rPr>
        <w:t>6按照</w:t>
      </w:r>
      <w:r>
        <w:rPr>
          <w:rFonts w:hint="eastAsia" w:ascii="宋体" w:hAnsi="宋体"/>
          <w:bCs/>
          <w:sz w:val="24"/>
          <w:highlight w:val="none"/>
        </w:rPr>
        <w:t>招标文件要求</w:t>
      </w:r>
      <w:r>
        <w:rPr>
          <w:rFonts w:hint="eastAsia" w:ascii="宋体" w:hAnsi="宋体"/>
          <w:sz w:val="24"/>
          <w:highlight w:val="none"/>
        </w:rPr>
        <w:t>填写的《参与编制技术标投标文件人员名单》。</w:t>
      </w:r>
    </w:p>
    <w:p>
      <w:pPr>
        <w:spacing w:line="360" w:lineRule="auto"/>
        <w:ind w:firstLine="480" w:firstLineChars="200"/>
        <w:rPr>
          <w:rFonts w:ascii="宋体"/>
          <w:bCs/>
          <w:sz w:val="24"/>
          <w:highlight w:val="none"/>
        </w:rPr>
      </w:pPr>
      <w:r>
        <w:rPr>
          <w:rFonts w:ascii="宋体" w:hAnsi="宋体"/>
          <w:bCs/>
          <w:sz w:val="24"/>
          <w:highlight w:val="none"/>
        </w:rPr>
        <w:t xml:space="preserve">11.3 </w:t>
      </w:r>
      <w:r>
        <w:rPr>
          <w:rFonts w:hint="eastAsia" w:ascii="宋体" w:hAnsi="宋体"/>
          <w:bCs/>
          <w:sz w:val="24"/>
          <w:highlight w:val="none"/>
        </w:rPr>
        <w:t>经济部分投标文件主要包括下列内容：</w:t>
      </w:r>
    </w:p>
    <w:p>
      <w:pPr>
        <w:spacing w:line="360" w:lineRule="auto"/>
        <w:ind w:firstLine="480" w:firstLineChars="200"/>
        <w:rPr>
          <w:rFonts w:ascii="宋体"/>
          <w:sz w:val="24"/>
          <w:highlight w:val="none"/>
        </w:rPr>
      </w:pPr>
      <w:r>
        <w:rPr>
          <w:rFonts w:ascii="宋体" w:hAnsi="宋体"/>
          <w:sz w:val="24"/>
          <w:highlight w:val="none"/>
        </w:rPr>
        <w:t xml:space="preserve">11.3.1 </w:t>
      </w:r>
      <w:r>
        <w:rPr>
          <w:rFonts w:hint="eastAsia" w:ascii="宋体" w:hAnsi="宋体"/>
          <w:sz w:val="24"/>
          <w:highlight w:val="none"/>
        </w:rPr>
        <w:t>经济投标文件</w:t>
      </w:r>
      <w:r>
        <w:rPr>
          <w:rFonts w:ascii="宋体" w:hAnsi="宋体"/>
          <w:sz w:val="24"/>
          <w:highlight w:val="none"/>
        </w:rPr>
        <w:t>(</w:t>
      </w:r>
      <w:r>
        <w:rPr>
          <w:rFonts w:hint="eastAsia" w:ascii="宋体" w:hAnsi="宋体"/>
          <w:sz w:val="24"/>
          <w:highlight w:val="none"/>
        </w:rPr>
        <w:t>按招标文件的要求填写</w:t>
      </w:r>
      <w:r>
        <w:rPr>
          <w:rFonts w:ascii="宋体" w:hAnsi="宋体"/>
          <w:sz w:val="24"/>
          <w:highlight w:val="none"/>
        </w:rPr>
        <w:t>)</w:t>
      </w:r>
      <w:r>
        <w:rPr>
          <w:rFonts w:hint="eastAsia" w:ascii="宋体" w:hAnsi="宋体"/>
          <w:sz w:val="24"/>
          <w:highlight w:val="none"/>
        </w:rPr>
        <w:t>。</w:t>
      </w:r>
    </w:p>
    <w:p>
      <w:pPr>
        <w:spacing w:line="360" w:lineRule="auto"/>
        <w:ind w:firstLine="480" w:firstLineChars="200"/>
        <w:rPr>
          <w:rFonts w:ascii="宋体"/>
          <w:sz w:val="24"/>
          <w:highlight w:val="none"/>
        </w:rPr>
      </w:pPr>
      <w:r>
        <w:rPr>
          <w:rFonts w:ascii="宋体" w:hAnsi="宋体"/>
          <w:sz w:val="24"/>
          <w:highlight w:val="none"/>
        </w:rPr>
        <w:t>11.3.2</w:t>
      </w:r>
      <w:r>
        <w:rPr>
          <w:rFonts w:hint="eastAsia" w:ascii="宋体" w:hAnsi="宋体"/>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highlight w:val="none"/>
        </w:rPr>
        <w:t>其中包括如下：</w:t>
      </w:r>
      <w:r>
        <w:rPr>
          <w:rFonts w:ascii="宋体"/>
          <w:sz w:val="24"/>
          <w:highlight w:val="none"/>
        </w:rPr>
        <w:t xml:space="preserve"> </w:t>
      </w:r>
    </w:p>
    <w:p>
      <w:pPr>
        <w:spacing w:line="360" w:lineRule="auto"/>
        <w:ind w:firstLine="566" w:firstLineChars="236"/>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）投标总价封面、扉页；</w:t>
      </w:r>
    </w:p>
    <w:p>
      <w:pPr>
        <w:spacing w:line="360" w:lineRule="auto"/>
        <w:ind w:firstLine="566" w:firstLineChars="236"/>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）总说明</w:t>
      </w:r>
    </w:p>
    <w:p>
      <w:pPr>
        <w:spacing w:line="360" w:lineRule="auto"/>
        <w:ind w:firstLine="566" w:firstLineChars="236"/>
        <w:rPr>
          <w:rFonts w:ascii="宋体"/>
          <w:sz w:val="24"/>
          <w:szCs w:val="24"/>
          <w:highlight w:val="none"/>
        </w:rPr>
      </w:pPr>
      <w:r>
        <w:rPr>
          <w:rFonts w:hint="eastAsia" w:ascii="宋体" w:hAnsi="宋体"/>
          <w:sz w:val="24"/>
          <w:szCs w:val="24"/>
          <w:highlight w:val="none"/>
        </w:rPr>
        <w:t>（3）工程项目投标报价汇总表；</w:t>
      </w:r>
    </w:p>
    <w:p>
      <w:pPr>
        <w:spacing w:line="360" w:lineRule="auto"/>
        <w:ind w:firstLine="566" w:firstLineChars="236"/>
        <w:rPr>
          <w:rFonts w:ascii="宋体" w:hAnsi="宋体"/>
          <w:sz w:val="24"/>
          <w:szCs w:val="24"/>
          <w:highlight w:val="none"/>
        </w:rPr>
      </w:pPr>
      <w:r>
        <w:rPr>
          <w:rFonts w:hint="eastAsia" w:ascii="宋体" w:hAnsi="宋体"/>
          <w:sz w:val="24"/>
          <w:szCs w:val="24"/>
          <w:highlight w:val="none"/>
        </w:rPr>
        <w:t>（4）单项工程投标报价汇总表；</w:t>
      </w:r>
    </w:p>
    <w:p>
      <w:pPr>
        <w:spacing w:line="360" w:lineRule="auto"/>
        <w:ind w:firstLine="566" w:firstLineChars="236"/>
        <w:rPr>
          <w:rFonts w:ascii="宋体"/>
          <w:sz w:val="24"/>
          <w:szCs w:val="24"/>
          <w:highlight w:val="none"/>
        </w:rPr>
      </w:pPr>
      <w:r>
        <w:rPr>
          <w:rFonts w:hint="eastAsia" w:ascii="宋体" w:hAnsi="宋体"/>
          <w:sz w:val="24"/>
          <w:szCs w:val="24"/>
          <w:highlight w:val="none"/>
        </w:rPr>
        <w:t>（5）单位工程投标报价汇总表；</w:t>
      </w:r>
    </w:p>
    <w:p>
      <w:pPr>
        <w:spacing w:line="360" w:lineRule="auto"/>
        <w:ind w:firstLine="566" w:firstLineChars="236"/>
        <w:rPr>
          <w:rFonts w:ascii="宋体"/>
          <w:sz w:val="24"/>
          <w:szCs w:val="24"/>
          <w:highlight w:val="none"/>
        </w:rPr>
      </w:pPr>
      <w:r>
        <w:rPr>
          <w:rFonts w:hint="eastAsia" w:ascii="宋体" w:hAnsi="宋体"/>
          <w:sz w:val="24"/>
          <w:szCs w:val="24"/>
          <w:highlight w:val="none"/>
        </w:rPr>
        <w:t>（6）分部分项工程清单与计价表；</w:t>
      </w:r>
    </w:p>
    <w:p>
      <w:pPr>
        <w:spacing w:line="360" w:lineRule="auto"/>
        <w:ind w:firstLine="566" w:firstLineChars="236"/>
        <w:rPr>
          <w:rFonts w:ascii="宋体"/>
          <w:sz w:val="24"/>
          <w:szCs w:val="24"/>
          <w:highlight w:val="none"/>
        </w:rPr>
      </w:pPr>
      <w:r>
        <w:rPr>
          <w:rFonts w:hint="eastAsia" w:ascii="宋体" w:hAnsi="宋体"/>
          <w:sz w:val="24"/>
          <w:szCs w:val="24"/>
          <w:highlight w:val="none"/>
        </w:rPr>
        <w:t>（7）单价措施项目清单与计价表；</w:t>
      </w:r>
    </w:p>
    <w:p>
      <w:pPr>
        <w:spacing w:line="360" w:lineRule="auto"/>
        <w:ind w:firstLine="566" w:firstLineChars="236"/>
        <w:rPr>
          <w:rFonts w:ascii="宋体"/>
          <w:sz w:val="24"/>
          <w:szCs w:val="24"/>
          <w:highlight w:val="none"/>
        </w:rPr>
      </w:pPr>
      <w:r>
        <w:rPr>
          <w:rFonts w:hint="eastAsia" w:ascii="宋体" w:hAnsi="宋体"/>
          <w:sz w:val="24"/>
          <w:szCs w:val="24"/>
          <w:highlight w:val="none"/>
        </w:rPr>
        <w:t>（8）总价措施项目清单与计价表；</w:t>
      </w:r>
    </w:p>
    <w:p>
      <w:pPr>
        <w:spacing w:line="360" w:lineRule="auto"/>
        <w:ind w:firstLine="566" w:firstLineChars="236"/>
        <w:rPr>
          <w:rFonts w:ascii="宋体"/>
          <w:sz w:val="24"/>
          <w:szCs w:val="24"/>
          <w:highlight w:val="none"/>
        </w:rPr>
      </w:pPr>
      <w:r>
        <w:rPr>
          <w:rFonts w:hint="eastAsia" w:ascii="宋体" w:hAnsi="宋体"/>
          <w:sz w:val="24"/>
          <w:szCs w:val="24"/>
          <w:highlight w:val="none"/>
        </w:rPr>
        <w:t>（9）综合单价分析表；</w:t>
      </w:r>
    </w:p>
    <w:p>
      <w:pPr>
        <w:spacing w:line="360" w:lineRule="auto"/>
        <w:ind w:firstLine="566" w:firstLineChars="236"/>
        <w:rPr>
          <w:rFonts w:ascii="宋体"/>
          <w:sz w:val="24"/>
          <w:szCs w:val="24"/>
          <w:highlight w:val="none"/>
        </w:rPr>
      </w:pPr>
      <w:r>
        <w:rPr>
          <w:rFonts w:hint="eastAsia" w:ascii="宋体" w:hAnsi="宋体"/>
          <w:sz w:val="24"/>
          <w:szCs w:val="24"/>
          <w:highlight w:val="none"/>
        </w:rPr>
        <w:t>（10）其他项目清单与计价汇总表；</w:t>
      </w:r>
    </w:p>
    <w:p>
      <w:pPr>
        <w:spacing w:line="360" w:lineRule="auto"/>
        <w:ind w:firstLine="566" w:firstLineChars="236"/>
        <w:rPr>
          <w:rFonts w:ascii="宋体"/>
          <w:sz w:val="24"/>
          <w:szCs w:val="24"/>
          <w:highlight w:val="none"/>
        </w:rPr>
      </w:pPr>
      <w:r>
        <w:rPr>
          <w:rFonts w:hint="eastAsia" w:ascii="宋体" w:hAnsi="宋体"/>
          <w:sz w:val="24"/>
          <w:szCs w:val="24"/>
          <w:highlight w:val="none"/>
        </w:rPr>
        <w:t>（11）暂列金额明细表；</w:t>
      </w:r>
    </w:p>
    <w:p>
      <w:pPr>
        <w:spacing w:line="360" w:lineRule="auto"/>
        <w:ind w:firstLine="566" w:firstLineChars="236"/>
        <w:rPr>
          <w:rFonts w:ascii="宋体"/>
          <w:sz w:val="24"/>
          <w:szCs w:val="24"/>
          <w:highlight w:val="none"/>
        </w:rPr>
      </w:pPr>
      <w:r>
        <w:rPr>
          <w:rFonts w:hint="eastAsia" w:ascii="宋体" w:hAnsi="宋体"/>
          <w:sz w:val="24"/>
          <w:szCs w:val="24"/>
          <w:highlight w:val="none"/>
        </w:rPr>
        <w:t>（12）材料（工程设备）暂估价明细表；</w:t>
      </w:r>
    </w:p>
    <w:p>
      <w:pPr>
        <w:spacing w:line="360" w:lineRule="auto"/>
        <w:ind w:firstLine="566" w:firstLineChars="236"/>
        <w:rPr>
          <w:rFonts w:ascii="宋体"/>
          <w:sz w:val="24"/>
          <w:szCs w:val="24"/>
          <w:highlight w:val="none"/>
        </w:rPr>
      </w:pPr>
      <w:r>
        <w:rPr>
          <w:rFonts w:hint="eastAsia" w:ascii="宋体" w:hAnsi="宋体"/>
          <w:sz w:val="24"/>
          <w:szCs w:val="24"/>
          <w:highlight w:val="none"/>
        </w:rPr>
        <w:t>（13）专业工程暂估价明细表；</w:t>
      </w:r>
    </w:p>
    <w:p>
      <w:pPr>
        <w:spacing w:line="360" w:lineRule="auto"/>
        <w:ind w:firstLine="566" w:firstLineChars="236"/>
        <w:rPr>
          <w:rFonts w:ascii="宋体"/>
          <w:sz w:val="24"/>
          <w:szCs w:val="24"/>
          <w:highlight w:val="none"/>
        </w:rPr>
      </w:pPr>
      <w:r>
        <w:rPr>
          <w:rFonts w:hint="eastAsia" w:ascii="宋体" w:hAnsi="宋体"/>
          <w:sz w:val="24"/>
          <w:szCs w:val="24"/>
          <w:highlight w:val="none"/>
        </w:rPr>
        <w:t>（14）计日工表；</w:t>
      </w:r>
    </w:p>
    <w:p>
      <w:pPr>
        <w:spacing w:line="360" w:lineRule="auto"/>
        <w:ind w:firstLine="566" w:firstLineChars="236"/>
        <w:rPr>
          <w:rFonts w:ascii="宋体"/>
          <w:sz w:val="24"/>
          <w:szCs w:val="24"/>
          <w:highlight w:val="none"/>
        </w:rPr>
      </w:pPr>
      <w:r>
        <w:rPr>
          <w:rFonts w:hint="eastAsia" w:ascii="宋体" w:hAnsi="宋体"/>
          <w:sz w:val="24"/>
          <w:szCs w:val="24"/>
          <w:highlight w:val="none"/>
        </w:rPr>
        <w:t>（15）总承包服务计价表；</w:t>
      </w:r>
    </w:p>
    <w:p>
      <w:pPr>
        <w:spacing w:line="360" w:lineRule="auto"/>
        <w:ind w:firstLine="566" w:firstLineChars="236"/>
        <w:rPr>
          <w:rFonts w:ascii="宋体"/>
          <w:sz w:val="24"/>
          <w:szCs w:val="24"/>
          <w:highlight w:val="none"/>
        </w:rPr>
      </w:pPr>
      <w:r>
        <w:rPr>
          <w:rFonts w:hint="eastAsia" w:ascii="宋体" w:hAnsi="宋体"/>
          <w:sz w:val="24"/>
          <w:szCs w:val="24"/>
          <w:highlight w:val="none"/>
        </w:rPr>
        <w:t>（16）规费和税金项目计价表；</w:t>
      </w:r>
    </w:p>
    <w:p>
      <w:pPr>
        <w:spacing w:line="360" w:lineRule="auto"/>
        <w:ind w:firstLine="480" w:firstLineChars="200"/>
        <w:rPr>
          <w:rFonts w:ascii="宋体"/>
          <w:sz w:val="24"/>
          <w:highlight w:val="none"/>
        </w:rPr>
      </w:pPr>
      <w:r>
        <w:rPr>
          <w:rFonts w:hint="eastAsia" w:ascii="宋体" w:hAnsi="宋体"/>
          <w:sz w:val="24"/>
          <w:szCs w:val="24"/>
          <w:highlight w:val="none"/>
        </w:rPr>
        <w:t xml:space="preserve"> （17）人工、主要材料和设备一览表</w:t>
      </w:r>
    </w:p>
    <w:p>
      <w:pPr>
        <w:tabs>
          <w:tab w:val="left" w:pos="1125"/>
        </w:tabs>
        <w:spacing w:line="360" w:lineRule="auto"/>
        <w:ind w:firstLine="480" w:firstLineChars="200"/>
        <w:rPr>
          <w:rFonts w:ascii="宋体" w:hAnsi="宋体"/>
          <w:sz w:val="24"/>
          <w:highlight w:val="none"/>
        </w:rPr>
      </w:pPr>
      <w:r>
        <w:rPr>
          <w:rFonts w:ascii="宋体" w:hAnsi="宋体"/>
          <w:sz w:val="24"/>
          <w:highlight w:val="none"/>
        </w:rPr>
        <w:t>11.3.</w:t>
      </w:r>
      <w:r>
        <w:rPr>
          <w:rFonts w:hint="eastAsia" w:ascii="宋体" w:hAnsi="宋体"/>
          <w:sz w:val="24"/>
          <w:highlight w:val="none"/>
        </w:rPr>
        <w:t>3按照</w:t>
      </w:r>
      <w:r>
        <w:rPr>
          <w:rFonts w:hint="eastAsia" w:ascii="宋体" w:hAnsi="宋体"/>
          <w:bCs/>
          <w:sz w:val="24"/>
          <w:highlight w:val="none"/>
        </w:rPr>
        <w:t>招标文件要求</w:t>
      </w:r>
      <w:r>
        <w:rPr>
          <w:rFonts w:hint="eastAsia" w:ascii="宋体" w:hAnsi="宋体"/>
          <w:sz w:val="24"/>
          <w:highlight w:val="none"/>
        </w:rPr>
        <w:t>填写的《参与编制经济标投标文件人员名单》。</w:t>
      </w:r>
    </w:p>
    <w:p>
      <w:pPr>
        <w:spacing w:line="440" w:lineRule="exact"/>
        <w:ind w:firstLine="480" w:firstLineChars="200"/>
        <w:rPr>
          <w:rFonts w:ascii="宋体" w:hAnsi="宋体"/>
          <w:bCs/>
          <w:sz w:val="24"/>
          <w:szCs w:val="24"/>
          <w:highlight w:val="none"/>
        </w:rPr>
      </w:pPr>
      <w:r>
        <w:rPr>
          <w:rFonts w:hint="eastAsia" w:ascii="宋体" w:hAnsi="宋体"/>
          <w:sz w:val="24"/>
          <w:highlight w:val="none"/>
        </w:rPr>
        <w:t>11.3.4若投标人的投标报价低于工程成本警戒价的，投标人还须提供详细的施工组织设计、单价、措施性费用、单价分析表、主要材料价格表、投标人成本分析供评标委员会评审</w:t>
      </w:r>
      <w:r>
        <w:rPr>
          <w:rFonts w:hint="eastAsia" w:ascii="宋体" w:hAnsi="宋体"/>
          <w:sz w:val="24"/>
          <w:szCs w:val="24"/>
          <w:highlight w:val="none"/>
        </w:rPr>
        <w:t>。</w:t>
      </w:r>
    </w:p>
    <w:p>
      <w:pPr>
        <w:spacing w:line="440" w:lineRule="exact"/>
        <w:ind w:firstLine="482" w:firstLineChars="200"/>
        <w:rPr>
          <w:rFonts w:ascii="宋体" w:hAnsi="宋体"/>
          <w:sz w:val="24"/>
          <w:szCs w:val="24"/>
          <w:highlight w:val="none"/>
          <w:u w:val="single"/>
        </w:rPr>
      </w:pPr>
      <w:r>
        <w:rPr>
          <w:rFonts w:hint="eastAsia" w:ascii="宋体" w:hAnsi="宋体"/>
          <w:b/>
          <w:sz w:val="24"/>
          <w:szCs w:val="24"/>
          <w:highlight w:val="none"/>
        </w:rPr>
        <w:t>现文：</w:t>
      </w:r>
      <w:r>
        <w:rPr>
          <w:rFonts w:hint="eastAsia" w:ascii="宋体" w:hAnsi="宋体"/>
          <w:sz w:val="24"/>
          <w:szCs w:val="24"/>
          <w:highlight w:val="none"/>
        </w:rPr>
        <w:t>11.2技术部分（含资格审查文件）主要包括下列内容:</w:t>
      </w:r>
    </w:p>
    <w:p>
      <w:pPr>
        <w:tabs>
          <w:tab w:val="left" w:pos="1125"/>
        </w:tabs>
        <w:spacing w:line="360" w:lineRule="auto"/>
        <w:ind w:firstLine="480" w:firstLineChars="200"/>
        <w:rPr>
          <w:rFonts w:ascii="宋体"/>
          <w:bCs/>
          <w:sz w:val="24"/>
          <w:highlight w:val="none"/>
        </w:rPr>
      </w:pPr>
      <w:r>
        <w:rPr>
          <w:rFonts w:hint="eastAsia" w:ascii="宋体"/>
          <w:bCs/>
          <w:sz w:val="24"/>
          <w:highlight w:val="none"/>
        </w:rPr>
        <w:t>11.2.1广州建设工程施工招标投标书（按招标文件的要求填写）；</w:t>
      </w:r>
    </w:p>
    <w:p>
      <w:pPr>
        <w:tabs>
          <w:tab w:val="left" w:pos="1125"/>
        </w:tabs>
        <w:spacing w:line="360" w:lineRule="auto"/>
        <w:ind w:firstLine="480" w:firstLineChars="200"/>
        <w:rPr>
          <w:rFonts w:ascii="宋体"/>
          <w:bCs/>
          <w:sz w:val="24"/>
          <w:highlight w:val="none"/>
        </w:rPr>
      </w:pPr>
      <w:r>
        <w:rPr>
          <w:rFonts w:hint="eastAsia" w:ascii="宋体"/>
          <w:bCs/>
          <w:sz w:val="24"/>
          <w:highlight w:val="none"/>
        </w:rPr>
        <w:t>11.2.2资格审查文件：</w:t>
      </w:r>
    </w:p>
    <w:p>
      <w:pPr>
        <w:tabs>
          <w:tab w:val="left" w:pos="1125"/>
        </w:tabs>
        <w:spacing w:line="360" w:lineRule="auto"/>
        <w:ind w:firstLine="480" w:firstLineChars="200"/>
        <w:rPr>
          <w:rFonts w:ascii="宋体"/>
          <w:bCs/>
          <w:sz w:val="24"/>
          <w:highlight w:val="none"/>
        </w:rPr>
      </w:pPr>
      <w:r>
        <w:rPr>
          <w:rFonts w:hint="eastAsia" w:ascii="宋体"/>
          <w:bCs/>
          <w:sz w:val="24"/>
          <w:highlight w:val="none"/>
        </w:rPr>
        <w:t>（1）投标人声明</w:t>
      </w:r>
      <w:r>
        <w:rPr>
          <w:rFonts w:hint="eastAsia" w:ascii="宋体"/>
          <w:bCs/>
          <w:sz w:val="24"/>
          <w:highlight w:val="none"/>
          <w:u w:val="single"/>
        </w:rPr>
        <w:t>（见招标公告附件一）</w:t>
      </w:r>
      <w:r>
        <w:rPr>
          <w:rFonts w:hint="eastAsia" w:ascii="宋体"/>
          <w:bCs/>
          <w:sz w:val="24"/>
          <w:highlight w:val="none"/>
        </w:rPr>
        <w:t xml:space="preserve">； </w:t>
      </w:r>
    </w:p>
    <w:p>
      <w:pPr>
        <w:tabs>
          <w:tab w:val="left" w:pos="1125"/>
        </w:tabs>
        <w:spacing w:line="360" w:lineRule="auto"/>
        <w:ind w:firstLine="480" w:firstLineChars="200"/>
        <w:rPr>
          <w:rFonts w:ascii="宋体"/>
          <w:bCs/>
          <w:sz w:val="24"/>
          <w:highlight w:val="none"/>
        </w:rPr>
      </w:pPr>
      <w:r>
        <w:rPr>
          <w:rFonts w:hint="eastAsia" w:ascii="宋体"/>
          <w:bCs/>
          <w:sz w:val="24"/>
          <w:highlight w:val="none"/>
        </w:rPr>
        <w:t>（2）法定代表人证明书、法定代表人签字或盖章的本投标文件授权委托证明书；</w:t>
      </w:r>
    </w:p>
    <w:p>
      <w:pPr>
        <w:tabs>
          <w:tab w:val="left" w:pos="1125"/>
        </w:tabs>
        <w:spacing w:line="360" w:lineRule="auto"/>
        <w:ind w:firstLine="480" w:firstLineChars="200"/>
        <w:rPr>
          <w:rFonts w:ascii="宋体"/>
          <w:bCs/>
          <w:sz w:val="24"/>
          <w:highlight w:val="none"/>
        </w:rPr>
      </w:pPr>
      <w:r>
        <w:rPr>
          <w:rFonts w:hint="eastAsia" w:ascii="宋体"/>
          <w:bCs/>
          <w:sz w:val="24"/>
          <w:highlight w:val="none"/>
        </w:rPr>
        <w:t>（3）企业营业执照（扫描件）；</w:t>
      </w:r>
    </w:p>
    <w:p>
      <w:pPr>
        <w:tabs>
          <w:tab w:val="left" w:pos="1125"/>
        </w:tabs>
        <w:spacing w:line="360" w:lineRule="auto"/>
        <w:ind w:firstLine="480" w:firstLineChars="200"/>
        <w:rPr>
          <w:rFonts w:ascii="宋体"/>
          <w:bCs/>
          <w:sz w:val="24"/>
          <w:highlight w:val="none"/>
        </w:rPr>
      </w:pPr>
      <w:r>
        <w:rPr>
          <w:rFonts w:hint="eastAsia" w:ascii="宋体"/>
          <w:bCs/>
          <w:sz w:val="24"/>
          <w:highlight w:val="none"/>
        </w:rPr>
        <w:t>（</w:t>
      </w:r>
      <w:r>
        <w:rPr>
          <w:rFonts w:ascii="宋体"/>
          <w:bCs/>
          <w:sz w:val="24"/>
          <w:highlight w:val="none"/>
        </w:rPr>
        <w:t>4</w:t>
      </w:r>
      <w:r>
        <w:rPr>
          <w:rFonts w:hint="eastAsia" w:ascii="宋体"/>
          <w:bCs/>
          <w:sz w:val="24"/>
          <w:highlight w:val="none"/>
        </w:rPr>
        <w:t>）用于资格审查的业绩；</w:t>
      </w:r>
    </w:p>
    <w:p>
      <w:pPr>
        <w:spacing w:line="440" w:lineRule="exact"/>
        <w:ind w:firstLine="480" w:firstLineChars="200"/>
        <w:rPr>
          <w:rFonts w:ascii="宋体"/>
          <w:bCs/>
          <w:sz w:val="24"/>
          <w:szCs w:val="24"/>
          <w:highlight w:val="none"/>
          <w:u w:val="single"/>
        </w:rPr>
      </w:pPr>
      <w:r>
        <w:rPr>
          <w:rFonts w:hint="eastAsia" w:ascii="宋体"/>
          <w:bCs/>
          <w:sz w:val="24"/>
          <w:szCs w:val="24"/>
          <w:highlight w:val="none"/>
          <w:u w:val="single"/>
        </w:rPr>
        <w:t>11.2.</w:t>
      </w:r>
      <w:r>
        <w:rPr>
          <w:rFonts w:ascii="宋体"/>
          <w:bCs/>
          <w:sz w:val="24"/>
          <w:szCs w:val="24"/>
          <w:highlight w:val="none"/>
          <w:u w:val="single"/>
        </w:rPr>
        <w:t>3</w:t>
      </w:r>
      <w:r>
        <w:rPr>
          <w:rFonts w:hint="eastAsia" w:ascii="宋体"/>
          <w:bCs/>
          <w:sz w:val="24"/>
          <w:szCs w:val="24"/>
          <w:highlight w:val="none"/>
          <w:u w:val="single"/>
        </w:rPr>
        <w:t>施工投标承诺函（技术标）（按招标文件的要求填写）。</w:t>
      </w:r>
    </w:p>
    <w:p>
      <w:pPr>
        <w:spacing w:line="440" w:lineRule="exact"/>
        <w:ind w:firstLine="480" w:firstLineChars="200"/>
        <w:rPr>
          <w:rFonts w:ascii="宋体"/>
          <w:bCs/>
          <w:sz w:val="24"/>
          <w:szCs w:val="24"/>
          <w:highlight w:val="none"/>
        </w:rPr>
      </w:pPr>
      <w:r>
        <w:rPr>
          <w:rFonts w:hint="eastAsia" w:ascii="宋体"/>
          <w:bCs/>
          <w:sz w:val="24"/>
          <w:szCs w:val="24"/>
          <w:highlight w:val="none"/>
        </w:rPr>
        <w:t>11.2.</w:t>
      </w:r>
      <w:r>
        <w:rPr>
          <w:rFonts w:ascii="宋体"/>
          <w:bCs/>
          <w:sz w:val="24"/>
          <w:szCs w:val="24"/>
          <w:highlight w:val="none"/>
        </w:rPr>
        <w:t>4</w:t>
      </w:r>
      <w:r>
        <w:rPr>
          <w:rFonts w:hint="eastAsia" w:ascii="宋体"/>
          <w:bCs/>
          <w:sz w:val="24"/>
          <w:szCs w:val="24"/>
          <w:highlight w:val="none"/>
        </w:rPr>
        <w:t>《参与编制技术标投标文件人员名单》（按招标文件的要求填写）。</w:t>
      </w:r>
    </w:p>
    <w:p>
      <w:pPr>
        <w:spacing w:line="440" w:lineRule="exact"/>
        <w:ind w:firstLine="480" w:firstLineChars="200"/>
        <w:rPr>
          <w:rFonts w:ascii="宋体" w:hAnsi="宋体"/>
          <w:bCs/>
          <w:sz w:val="24"/>
          <w:highlight w:val="none"/>
          <w:u w:val="single"/>
        </w:rPr>
      </w:pPr>
      <w:r>
        <w:rPr>
          <w:rFonts w:hint="eastAsia" w:ascii="宋体"/>
          <w:bCs/>
          <w:sz w:val="24"/>
          <w:szCs w:val="24"/>
          <w:highlight w:val="none"/>
        </w:rPr>
        <w:t>11.2.</w:t>
      </w:r>
      <w:r>
        <w:rPr>
          <w:rFonts w:ascii="宋体"/>
          <w:bCs/>
          <w:sz w:val="24"/>
          <w:szCs w:val="24"/>
          <w:highlight w:val="none"/>
        </w:rPr>
        <w:t>5</w:t>
      </w:r>
      <w:r>
        <w:rPr>
          <w:rFonts w:hint="eastAsia" w:ascii="宋体" w:hAnsi="宋体"/>
          <w:bCs/>
          <w:sz w:val="24"/>
          <w:highlight w:val="none"/>
          <w:u w:val="single"/>
        </w:rPr>
        <w:t>《独立承诺函》（格式见第四章）。</w:t>
      </w:r>
    </w:p>
    <w:p>
      <w:pPr>
        <w:spacing w:line="440" w:lineRule="exact"/>
        <w:ind w:firstLine="480" w:firstLineChars="200"/>
        <w:rPr>
          <w:rFonts w:ascii="宋体"/>
          <w:bCs/>
          <w:sz w:val="24"/>
          <w:szCs w:val="24"/>
          <w:highlight w:val="none"/>
        </w:rPr>
      </w:pPr>
      <w:r>
        <w:rPr>
          <w:rFonts w:hint="eastAsia" w:ascii="宋体"/>
          <w:bCs/>
          <w:sz w:val="24"/>
          <w:szCs w:val="24"/>
          <w:highlight w:val="none"/>
        </w:rPr>
        <w:t>11.2.</w:t>
      </w:r>
      <w:r>
        <w:rPr>
          <w:rFonts w:ascii="宋体"/>
          <w:bCs/>
          <w:sz w:val="24"/>
          <w:szCs w:val="24"/>
          <w:highlight w:val="none"/>
        </w:rPr>
        <w:t>6</w:t>
      </w:r>
      <w:r>
        <w:rPr>
          <w:rFonts w:hint="eastAsia" w:ascii="宋体" w:hAnsi="宋体"/>
          <w:bCs/>
          <w:sz w:val="24"/>
          <w:highlight w:val="none"/>
          <w:u w:val="single"/>
        </w:rPr>
        <w:t>《无不廉洁行为承诺函》（格式见第四章）。</w:t>
      </w:r>
    </w:p>
    <w:p>
      <w:pPr>
        <w:spacing w:line="440" w:lineRule="exact"/>
        <w:ind w:firstLine="480" w:firstLineChars="200"/>
        <w:rPr>
          <w:rFonts w:ascii="宋体"/>
          <w:bCs/>
          <w:sz w:val="24"/>
          <w:szCs w:val="24"/>
          <w:highlight w:val="none"/>
        </w:rPr>
      </w:pPr>
      <w:r>
        <w:rPr>
          <w:rFonts w:hint="eastAsia" w:ascii="宋体"/>
          <w:bCs/>
          <w:sz w:val="24"/>
          <w:szCs w:val="24"/>
          <w:highlight w:val="none"/>
        </w:rPr>
        <w:t>11.2.</w:t>
      </w:r>
      <w:r>
        <w:rPr>
          <w:rFonts w:ascii="宋体"/>
          <w:bCs/>
          <w:sz w:val="24"/>
          <w:szCs w:val="24"/>
          <w:highlight w:val="none"/>
        </w:rPr>
        <w:t>7</w:t>
      </w:r>
      <w:r>
        <w:rPr>
          <w:rFonts w:hint="eastAsia" w:ascii="宋体"/>
          <w:bCs/>
          <w:sz w:val="24"/>
          <w:szCs w:val="24"/>
          <w:highlight w:val="none"/>
        </w:rPr>
        <w:t>投标人认为应该提供的其他资料。</w:t>
      </w:r>
    </w:p>
    <w:p>
      <w:pPr>
        <w:spacing w:line="440" w:lineRule="exact"/>
        <w:ind w:firstLine="480" w:firstLineChars="200"/>
        <w:outlineLvl w:val="2"/>
        <w:rPr>
          <w:rFonts w:ascii="宋体" w:hAnsi="宋体"/>
          <w:sz w:val="24"/>
          <w:szCs w:val="24"/>
          <w:highlight w:val="none"/>
          <w:u w:val="single"/>
        </w:rPr>
      </w:pPr>
      <w:r>
        <w:rPr>
          <w:rFonts w:hint="eastAsia" w:ascii="宋体" w:hAnsi="宋体"/>
          <w:sz w:val="24"/>
          <w:szCs w:val="24"/>
          <w:highlight w:val="none"/>
          <w:u w:val="single"/>
        </w:rPr>
        <w:t>11.3 经济部分投标文件主要包括下列内容：</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 xml:space="preserve">11.3.1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（1）投标总价封面、扉页；</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（2）总说明；</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（3）工程项目投标报价汇总表；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（4）单项工程投标报价汇总表；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（5）单位工程投标报价汇总表；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（6）分部分项工程清单与计价表；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（7）单价措施项目清单与计价表；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（8）总价措施项目清单与计价表；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（9）综合单价分析表；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（10）其他项目清单与计价汇总表；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（11）暂列金额明细表；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（12）材料（工程设备）暂估价明细表；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（13）专业工程暂估价明细表；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（14）计日工表；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（15）总承包服务计价表；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（16）规费和税金项目计价表；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（17）人工、主要材料和设备一览表。</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11.3.2按照招标文件要求填写的《参与编制经济标投标文件人员名单》。</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11.3.3对投标文件编制的承诺。</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11.3.4施工投标承诺函（经济标）</w:t>
      </w:r>
      <w:r>
        <w:rPr>
          <w:rFonts w:hint="eastAsia" w:ascii="宋体"/>
          <w:bCs/>
          <w:sz w:val="24"/>
          <w:szCs w:val="24"/>
          <w:highlight w:val="none"/>
          <w:u w:val="single"/>
        </w:rPr>
        <w:t>（按招标文件的要求填写）</w:t>
      </w:r>
      <w:r>
        <w:rPr>
          <w:rFonts w:hint="eastAsia" w:ascii="宋体" w:hAnsi="宋体"/>
          <w:sz w:val="24"/>
          <w:szCs w:val="24"/>
          <w:highlight w:val="none"/>
          <w:u w:val="single"/>
        </w:rPr>
        <w:t>。</w:t>
      </w:r>
    </w:p>
    <w:p>
      <w:pPr>
        <w:pBdr>
          <w:bottom w:val="single" w:color="auto" w:sz="6" w:space="0"/>
        </w:pBdr>
        <w:spacing w:line="440" w:lineRule="exact"/>
        <w:rPr>
          <w:rFonts w:ascii="宋体" w:hAnsi="宋体"/>
          <w:sz w:val="24"/>
          <w:szCs w:val="24"/>
          <w:highlight w:val="none"/>
        </w:rPr>
      </w:pPr>
    </w:p>
    <w:p>
      <w:pPr>
        <w:spacing w:line="440" w:lineRule="exact"/>
        <w:ind w:firstLine="472" w:firstLineChars="196"/>
        <w:rPr>
          <w:rFonts w:ascii="宋体" w:hAnsi="宋体"/>
          <w:b/>
          <w:sz w:val="24"/>
          <w:szCs w:val="24"/>
          <w:highlight w:val="none"/>
        </w:rPr>
      </w:pPr>
      <w:r>
        <w:rPr>
          <w:rFonts w:hint="eastAsia" w:ascii="宋体" w:hAnsi="宋体"/>
          <w:b/>
          <w:sz w:val="24"/>
          <w:szCs w:val="24"/>
          <w:highlight w:val="none"/>
        </w:rPr>
        <w:t>条款号：11.4 修改类型：增加</w:t>
      </w:r>
    </w:p>
    <w:p>
      <w:pPr>
        <w:spacing w:line="440" w:lineRule="exact"/>
        <w:ind w:firstLine="540" w:firstLineChars="224"/>
        <w:rPr>
          <w:rFonts w:ascii="宋体" w:hAnsi="宋体"/>
          <w:sz w:val="24"/>
          <w:szCs w:val="24"/>
          <w:highlight w:val="none"/>
          <w:u w:val="single"/>
        </w:rPr>
      </w:pPr>
      <w:r>
        <w:rPr>
          <w:rFonts w:hint="eastAsia" w:ascii="宋体" w:hAnsi="宋体"/>
          <w:b/>
          <w:sz w:val="24"/>
          <w:szCs w:val="24"/>
          <w:highlight w:val="none"/>
        </w:rPr>
        <w:t>现文：</w:t>
      </w:r>
      <w:r>
        <w:rPr>
          <w:rFonts w:hint="eastAsia" w:ascii="宋体" w:hAnsi="宋体"/>
          <w:sz w:val="24"/>
          <w:szCs w:val="24"/>
          <w:highlight w:val="none"/>
          <w:u w:val="single"/>
        </w:rPr>
        <w:t>11.4定标辅助文件的组成（由投标人根据定性评审表的内容，清晰、有条理、有针对性地编制，各部分文字应直接简炼，不得出现大量宣传性及无实质性意义或直接引用范本照搬照套的描述）：</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11.4.1目录（必须标注页码）；</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11.4.2工程业绩：按《定性评审表》的要求提供；</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11.4.3企业资信（营业执照或国家企业信用信息公示系统网站截图；质量、环境、职业健康安全管理体系认证证书）；</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11.4.4供货与安装组织设计（货物品牌及用材；排产方案、计划、管理机构及供货期的承诺；与现场各施工单位的协调、配合情况；专项施工方案、质保措施、抢工措施及维保方案；包装运输及成品保护方案；移交验收及入伙方案等）；</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11.4.5投标价格（除综合单价分析表外所有工程量清单表格）；</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11.4.6投标人认为应该提供的其它资料。</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11.4.7定标辅助文件电子文件U盘（内容与投标人打印产生的纸质定标辅助文件内容一致，且必须包含COS格式清单电子版及Excel版清单电子版）。</w:t>
      </w:r>
    </w:p>
    <w:p>
      <w:pPr>
        <w:pStyle w:val="2"/>
        <w:rPr>
          <w:highlight w:val="none"/>
        </w:rPr>
      </w:pPr>
    </w:p>
    <w:p>
      <w:pPr>
        <w:spacing w:line="440" w:lineRule="exact"/>
        <w:ind w:firstLine="540" w:firstLineChars="224"/>
        <w:rPr>
          <w:rFonts w:ascii="宋体" w:hAnsi="宋体"/>
          <w:b/>
          <w:kern w:val="0"/>
          <w:sz w:val="24"/>
          <w:highlight w:val="none"/>
          <w:u w:val="single"/>
        </w:rPr>
      </w:pPr>
      <w:r>
        <w:rPr>
          <w:rFonts w:hint="eastAsia" w:ascii="宋体" w:hAnsi="宋体"/>
          <w:b/>
          <w:kern w:val="0"/>
          <w:sz w:val="24"/>
          <w:highlight w:val="none"/>
          <w:u w:val="single"/>
        </w:rPr>
        <w:t>注：定标辅助文件（纸质扫描件）可以为纸质版定标辅助文件的扫描件（PDF格式），应上传至电子投标文件中“定标辅助文件（纸质扫描件）”节点处。定标辅助文件纸质版的递交时间和形式由投标人按照投标须知前附表第18项所规定的时间及本须知第18条的相关要求执行</w:t>
      </w:r>
      <w:r>
        <w:rPr>
          <w:rFonts w:ascii="宋体" w:hAnsi="宋体"/>
          <w:b/>
          <w:kern w:val="0"/>
          <w:sz w:val="24"/>
          <w:highlight w:val="none"/>
          <w:u w:val="single"/>
        </w:rPr>
        <w:t>。</w:t>
      </w:r>
    </w:p>
    <w:p>
      <w:pPr>
        <w:pBdr>
          <w:bottom w:val="single" w:color="auto" w:sz="6" w:space="0"/>
        </w:pBdr>
        <w:spacing w:line="440" w:lineRule="exact"/>
        <w:rPr>
          <w:rFonts w:ascii="宋体" w:hAnsi="宋体"/>
          <w:sz w:val="24"/>
          <w:szCs w:val="24"/>
          <w:highlight w:val="none"/>
        </w:rPr>
      </w:pPr>
    </w:p>
    <w:p>
      <w:pPr>
        <w:spacing w:line="440" w:lineRule="exact"/>
        <w:ind w:firstLine="472" w:firstLineChars="196"/>
        <w:rPr>
          <w:rFonts w:ascii="宋体" w:hAnsi="宋体"/>
          <w:b/>
          <w:sz w:val="24"/>
          <w:szCs w:val="24"/>
          <w:highlight w:val="none"/>
        </w:rPr>
      </w:pPr>
      <w:r>
        <w:rPr>
          <w:rFonts w:hint="eastAsia" w:ascii="宋体" w:hAnsi="宋体"/>
          <w:b/>
          <w:sz w:val="24"/>
          <w:szCs w:val="24"/>
          <w:highlight w:val="none"/>
        </w:rPr>
        <w:t>条款号：12.2 修改类型：修改</w:t>
      </w:r>
    </w:p>
    <w:p>
      <w:pPr>
        <w:pStyle w:val="5"/>
        <w:spacing w:after="0" w:line="440" w:lineRule="exact"/>
        <w:ind w:firstLine="482" w:firstLineChars="200"/>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p>
    <w:p>
      <w:pPr>
        <w:pBdr>
          <w:bottom w:val="single" w:color="auto" w:sz="6" w:space="1"/>
        </w:pBdr>
        <w:spacing w:line="440" w:lineRule="exact"/>
        <w:ind w:firstLine="602" w:firstLineChars="250"/>
        <w:rPr>
          <w:rFonts w:ascii="宋体" w:hAnsi="宋体"/>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bCs/>
          <w:kern w:val="0"/>
          <w:sz w:val="24"/>
          <w:szCs w:val="24"/>
          <w:highlight w:val="none"/>
          <w:u w:val="single"/>
        </w:rPr>
        <w:t>广州公共资源交易中心网站。</w:t>
      </w:r>
    </w:p>
    <w:p>
      <w:pPr>
        <w:spacing w:line="440" w:lineRule="exact"/>
        <w:ind w:firstLine="540" w:firstLineChars="224"/>
        <w:rPr>
          <w:rFonts w:ascii="宋体" w:hAnsi="宋体"/>
          <w:b/>
          <w:sz w:val="24"/>
          <w:szCs w:val="24"/>
          <w:highlight w:val="none"/>
        </w:rPr>
      </w:pPr>
      <w:r>
        <w:rPr>
          <w:rFonts w:hint="eastAsia" w:ascii="宋体" w:hAnsi="宋体"/>
          <w:b/>
          <w:sz w:val="24"/>
          <w:szCs w:val="24"/>
          <w:highlight w:val="none"/>
        </w:rPr>
        <w:t>条款号：12.3修改类型：修改</w:t>
      </w:r>
    </w:p>
    <w:p>
      <w:pPr>
        <w:spacing w:line="440" w:lineRule="exact"/>
        <w:ind w:firstLine="540" w:firstLineChars="224"/>
        <w:rPr>
          <w:rFonts w:ascii="宋体" w:hAnsi="宋体"/>
          <w:b/>
          <w:sz w:val="24"/>
          <w:szCs w:val="24"/>
          <w:highlight w:val="none"/>
        </w:rPr>
      </w:pPr>
      <w:r>
        <w:rPr>
          <w:rFonts w:hint="eastAsia" w:ascii="宋体" w:hAnsi="宋体"/>
          <w:b/>
          <w:sz w:val="24"/>
          <w:szCs w:val="24"/>
          <w:highlight w:val="none"/>
        </w:rPr>
        <w:t>原文：</w:t>
      </w:r>
      <w:r>
        <w:rPr>
          <w:rFonts w:hint="eastAsia" w:ascii="宋体" w:hAnsi="宋体"/>
          <w:bCs/>
          <w:sz w:val="24"/>
          <w:szCs w:val="24"/>
          <w:highlight w:val="none"/>
        </w:rPr>
        <w:t>投标文件应按</w:t>
      </w:r>
      <w:r>
        <w:rPr>
          <w:rFonts w:hint="eastAsia" w:ascii="宋体" w:hAnsi="宋体"/>
          <w:sz w:val="24"/>
          <w:szCs w:val="24"/>
          <w:highlight w:val="none"/>
        </w:rPr>
        <w:t>照交易平台关于全流程电子化项目的相关指南进行编制，详见：。</w:t>
      </w:r>
    </w:p>
    <w:p>
      <w:pPr>
        <w:pBdr>
          <w:bottom w:val="single" w:color="auto" w:sz="6" w:space="1"/>
        </w:pBdr>
        <w:spacing w:line="440" w:lineRule="exact"/>
        <w:ind w:firstLine="590" w:firstLineChars="245"/>
        <w:rPr>
          <w:rFonts w:ascii="宋体" w:hAnsi="宋体"/>
          <w:sz w:val="24"/>
          <w:szCs w:val="24"/>
          <w:highlight w:val="none"/>
        </w:rPr>
      </w:pPr>
      <w:r>
        <w:rPr>
          <w:rFonts w:hint="eastAsia" w:ascii="宋体" w:hAnsi="宋体"/>
          <w:b/>
          <w:sz w:val="24"/>
          <w:szCs w:val="24"/>
          <w:highlight w:val="none"/>
        </w:rPr>
        <w:t>现文：</w:t>
      </w:r>
      <w:r>
        <w:rPr>
          <w:rFonts w:hint="eastAsia" w:ascii="宋体" w:hAnsi="宋体"/>
          <w:bCs/>
          <w:sz w:val="24"/>
          <w:szCs w:val="24"/>
          <w:highlight w:val="none"/>
        </w:rPr>
        <w:t>投标文件应按</w:t>
      </w:r>
      <w:r>
        <w:rPr>
          <w:rFonts w:hint="eastAsia" w:ascii="宋体" w:hAnsi="宋体"/>
          <w:sz w:val="24"/>
          <w:szCs w:val="24"/>
          <w:highlight w:val="none"/>
        </w:rPr>
        <w:t>照交易平台关于全流程电子化项目的相关指南进行编制，详见：</w:t>
      </w:r>
      <w:r>
        <w:rPr>
          <w:rFonts w:hint="eastAsia" w:ascii="宋体" w:hAnsi="宋体"/>
          <w:bCs/>
          <w:kern w:val="0"/>
          <w:sz w:val="24"/>
          <w:szCs w:val="24"/>
          <w:highlight w:val="none"/>
          <w:u w:val="single"/>
        </w:rPr>
        <w:t>广州公共资源交易中心网站</w:t>
      </w:r>
      <w:r>
        <w:rPr>
          <w:rFonts w:hint="eastAsia" w:ascii="宋体" w:hAnsi="宋体"/>
          <w:sz w:val="24"/>
          <w:szCs w:val="24"/>
          <w:highlight w:val="none"/>
        </w:rPr>
        <w:t>。</w:t>
      </w:r>
    </w:p>
    <w:p>
      <w:pPr>
        <w:spacing w:line="360" w:lineRule="auto"/>
        <w:ind w:firstLine="540" w:firstLineChars="224"/>
        <w:rPr>
          <w:rFonts w:ascii="宋体" w:hAnsi="宋体"/>
          <w:b/>
          <w:sz w:val="24"/>
          <w:highlight w:val="none"/>
        </w:rPr>
      </w:pPr>
      <w:r>
        <w:rPr>
          <w:rFonts w:hint="eastAsia" w:ascii="宋体" w:hAnsi="宋体"/>
          <w:b/>
          <w:sz w:val="24"/>
          <w:highlight w:val="none"/>
        </w:rPr>
        <w:t>条款号：</w:t>
      </w:r>
      <w:r>
        <w:rPr>
          <w:rFonts w:ascii="宋体" w:hAnsi="宋体"/>
          <w:b/>
          <w:sz w:val="24"/>
          <w:highlight w:val="none"/>
        </w:rPr>
        <w:t>13.</w:t>
      </w:r>
      <w:r>
        <w:rPr>
          <w:rFonts w:hint="eastAsia" w:ascii="宋体" w:hAnsi="宋体"/>
          <w:b/>
          <w:sz w:val="24"/>
          <w:highlight w:val="none"/>
        </w:rPr>
        <w:t>4、13.5          修改类型：修改</w:t>
      </w:r>
    </w:p>
    <w:p>
      <w:pPr>
        <w:pStyle w:val="5"/>
        <w:spacing w:after="0" w:line="360" w:lineRule="auto"/>
        <w:ind w:firstLine="482" w:firstLineChars="200"/>
        <w:rPr>
          <w:rFonts w:ascii="宋体"/>
          <w:sz w:val="24"/>
          <w:highlight w:val="none"/>
        </w:rPr>
      </w:pPr>
      <w:r>
        <w:rPr>
          <w:rFonts w:hint="eastAsia" w:ascii="宋体" w:hAnsi="宋体"/>
          <w:b/>
          <w:sz w:val="24"/>
          <w:szCs w:val="24"/>
          <w:highlight w:val="none"/>
        </w:rPr>
        <w:t>原文：</w:t>
      </w:r>
      <w:r>
        <w:rPr>
          <w:rFonts w:ascii="宋体" w:hAnsi="宋体"/>
          <w:sz w:val="24"/>
          <w:highlight w:val="none"/>
        </w:rPr>
        <w:t>13.4</w:t>
      </w:r>
      <w:r>
        <w:rPr>
          <w:rFonts w:hint="eastAsia" w:ascii="宋体" w:hAnsi="宋体"/>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sz w:val="24"/>
          <w:highlight w:val="none"/>
        </w:rPr>
      </w:pPr>
      <w:r>
        <w:rPr>
          <w:rFonts w:ascii="宋体" w:hAnsi="宋体"/>
          <w:sz w:val="24"/>
          <w:highlight w:val="none"/>
        </w:rPr>
        <w:t>13.5</w:t>
      </w:r>
      <w:r>
        <w:rPr>
          <w:rFonts w:hint="eastAsia" w:ascii="宋体" w:hAnsi="宋体"/>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sz w:val="24"/>
          <w:highlight w:val="none"/>
        </w:rPr>
      </w:pPr>
      <w:r>
        <w:rPr>
          <w:rFonts w:ascii="宋体" w:hAnsi="宋体"/>
          <w:sz w:val="24"/>
          <w:highlight w:val="none"/>
        </w:rPr>
        <w:t>13.5.1</w:t>
      </w:r>
      <w:r>
        <w:rPr>
          <w:rFonts w:hint="eastAsia" w:ascii="宋体" w:hAnsi="宋体"/>
          <w:sz w:val="24"/>
          <w:highlight w:val="none"/>
        </w:rPr>
        <w:t>中标的投标文件工程量清单中已有相同项目的适用综合单价，则沿用；</w:t>
      </w:r>
    </w:p>
    <w:p>
      <w:pPr>
        <w:pStyle w:val="5"/>
        <w:spacing w:after="0" w:line="360" w:lineRule="auto"/>
        <w:ind w:firstLine="480" w:firstLineChars="200"/>
        <w:rPr>
          <w:rFonts w:ascii="宋体"/>
          <w:sz w:val="24"/>
          <w:highlight w:val="none"/>
        </w:rPr>
      </w:pPr>
      <w:r>
        <w:rPr>
          <w:rFonts w:ascii="宋体" w:hAnsi="宋体"/>
          <w:sz w:val="24"/>
          <w:highlight w:val="none"/>
        </w:rPr>
        <w:t>13.5.2</w:t>
      </w:r>
      <w:r>
        <w:rPr>
          <w:rFonts w:hint="eastAsia" w:ascii="宋体" w:hAnsi="宋体"/>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sz w:val="24"/>
          <w:highlight w:val="none"/>
        </w:rPr>
      </w:pPr>
      <w:r>
        <w:rPr>
          <w:rFonts w:ascii="宋体" w:hAnsi="宋体"/>
          <w:sz w:val="24"/>
          <w:highlight w:val="none"/>
        </w:rPr>
        <w:t xml:space="preserve">13.5.3 </w:t>
      </w:r>
      <w:r>
        <w:rPr>
          <w:rFonts w:hint="eastAsia" w:ascii="宋体" w:hAnsi="宋体"/>
          <w:sz w:val="24"/>
          <w:highlight w:val="none"/>
        </w:rPr>
        <w:t>中标的投标文件工程量清单中没有相同项目或类似项目的，如可套取相关定额，则以相关定额为基数下浮计算单价</w:t>
      </w:r>
      <w:r>
        <w:rPr>
          <w:rFonts w:ascii="宋体"/>
          <w:sz w:val="24"/>
          <w:highlight w:val="none"/>
        </w:rPr>
        <w:t>,</w:t>
      </w:r>
      <w:r>
        <w:rPr>
          <w:rFonts w:hint="eastAsia" w:ascii="宋体" w:hAnsi="宋体"/>
          <w:sz w:val="24"/>
          <w:highlight w:val="none"/>
        </w:rPr>
        <w:t>下浮率为中标价</w:t>
      </w:r>
      <w:r>
        <w:rPr>
          <w:rFonts w:hint="eastAsia" w:ascii="宋体" w:hAnsi="宋体"/>
          <w:sz w:val="24"/>
          <w:szCs w:val="24"/>
          <w:highlight w:val="none"/>
        </w:rPr>
        <w:t>相对于最高投标限价的下</w:t>
      </w:r>
      <w:r>
        <w:rPr>
          <w:rFonts w:hint="eastAsia" w:ascii="宋体" w:hAnsi="宋体"/>
          <w:sz w:val="24"/>
          <w:highlight w:val="none"/>
        </w:rPr>
        <w:t>浮率（下浮率</w:t>
      </w:r>
      <w:r>
        <w:rPr>
          <w:rFonts w:ascii="宋体" w:hAnsi="宋体"/>
          <w:sz w:val="24"/>
          <w:highlight w:val="none"/>
        </w:rPr>
        <w:t>=(</w:t>
      </w:r>
      <w:r>
        <w:rPr>
          <w:rFonts w:hint="eastAsia" w:ascii="宋体" w:hAnsi="宋体"/>
          <w:sz w:val="24"/>
          <w:szCs w:val="24"/>
          <w:highlight w:val="none"/>
        </w:rPr>
        <w:t>最高投标限价</w:t>
      </w:r>
      <w:r>
        <w:rPr>
          <w:rFonts w:ascii="宋体"/>
          <w:sz w:val="24"/>
          <w:highlight w:val="none"/>
        </w:rPr>
        <w:t>-</w:t>
      </w:r>
      <w:r>
        <w:rPr>
          <w:rFonts w:hint="eastAsia" w:ascii="宋体" w:hAnsi="宋体"/>
          <w:sz w:val="24"/>
          <w:highlight w:val="none"/>
        </w:rPr>
        <w:t>中标价</w:t>
      </w:r>
      <w:r>
        <w:rPr>
          <w:rFonts w:ascii="宋体" w:hAnsi="宋体"/>
          <w:sz w:val="24"/>
          <w:highlight w:val="none"/>
        </w:rPr>
        <w:t>)/</w:t>
      </w:r>
      <w:r>
        <w:rPr>
          <w:rFonts w:ascii="宋体" w:hAnsi="宋体"/>
          <w:sz w:val="24"/>
          <w:szCs w:val="24"/>
          <w:highlight w:val="none"/>
        </w:rPr>
        <w:t xml:space="preserve"> </w:t>
      </w:r>
      <w:r>
        <w:rPr>
          <w:rFonts w:hint="eastAsia" w:ascii="宋体" w:hAnsi="宋体"/>
          <w:sz w:val="24"/>
          <w:szCs w:val="24"/>
          <w:highlight w:val="none"/>
        </w:rPr>
        <w:t>最高投标限价</w:t>
      </w:r>
      <w:r>
        <w:rPr>
          <w:rFonts w:hint="eastAsia" w:ascii="宋体" w:hAnsi="宋体"/>
          <w:sz w:val="24"/>
          <w:highlight w:val="none"/>
        </w:rPr>
        <w:t>）。</w:t>
      </w:r>
    </w:p>
    <w:p>
      <w:pPr>
        <w:pStyle w:val="5"/>
        <w:pBdr>
          <w:bottom w:val="single" w:color="auto" w:sz="6" w:space="1"/>
        </w:pBdr>
        <w:spacing w:after="0" w:line="360" w:lineRule="auto"/>
        <w:ind w:firstLine="480" w:firstLineChars="200"/>
        <w:rPr>
          <w:rFonts w:ascii="宋体" w:hAnsi="宋体"/>
          <w:sz w:val="24"/>
          <w:szCs w:val="24"/>
          <w:highlight w:val="none"/>
        </w:rPr>
      </w:pPr>
      <w:r>
        <w:rPr>
          <w:rFonts w:ascii="宋体" w:hAnsi="宋体"/>
          <w:sz w:val="24"/>
          <w:highlight w:val="none"/>
        </w:rPr>
        <w:t xml:space="preserve">13.5.4 </w:t>
      </w:r>
      <w:r>
        <w:rPr>
          <w:rFonts w:hint="eastAsia" w:ascii="宋体" w:hAnsi="宋体"/>
          <w:sz w:val="24"/>
          <w:highlight w:val="none"/>
        </w:rPr>
        <w:t>如相关定额没有相应子目的，其计价方式由招标人在本招标文件第三章中另行规定。未规定的，中标后双方协商约定</w:t>
      </w:r>
      <w:r>
        <w:rPr>
          <w:rFonts w:hint="eastAsia" w:ascii="宋体" w:hAnsi="宋体"/>
          <w:sz w:val="24"/>
          <w:szCs w:val="24"/>
          <w:highlight w:val="none"/>
        </w:rPr>
        <w:t>。</w:t>
      </w:r>
    </w:p>
    <w:p>
      <w:pPr>
        <w:pStyle w:val="5"/>
        <w:pBdr>
          <w:bottom w:val="single" w:color="auto" w:sz="6" w:space="1"/>
        </w:pBdr>
        <w:spacing w:line="360" w:lineRule="auto"/>
        <w:ind w:firstLine="482" w:firstLineChars="200"/>
        <w:rPr>
          <w:rFonts w:ascii="宋体" w:hAnsi="宋体"/>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调整原则按照</w:t>
      </w:r>
      <w:r>
        <w:rPr>
          <w:rFonts w:hint="eastAsia" w:ascii="宋体" w:hAnsi="宋体"/>
          <w:sz w:val="24"/>
          <w:szCs w:val="24"/>
          <w:highlight w:val="none"/>
          <w:u w:val="single"/>
        </w:rPr>
        <w:t>《施工合同》相应条款调整</w:t>
      </w:r>
      <w:r>
        <w:rPr>
          <w:rFonts w:hint="eastAsia" w:ascii="宋体" w:hAnsi="宋体"/>
          <w:sz w:val="24"/>
          <w:szCs w:val="24"/>
          <w:highlight w:val="none"/>
        </w:rPr>
        <w:t>。因应计算的实际工程量与招标工程量清单出现偏差或因工程变更等原因导致的工程量偏差，引起相关措施项目相应发生变化时，中标投标文件列出的综合单价和措施项目费也不发生改变。</w:t>
      </w:r>
    </w:p>
    <w:p>
      <w:pPr>
        <w:pStyle w:val="5"/>
        <w:pBdr>
          <w:bottom w:val="single" w:color="auto" w:sz="6" w:space="1"/>
        </w:pBdr>
        <w:spacing w:line="360" w:lineRule="auto"/>
        <w:ind w:firstLine="480" w:firstLineChars="200"/>
        <w:rPr>
          <w:rFonts w:ascii="宋体" w:hAnsi="宋体"/>
          <w:sz w:val="24"/>
          <w:szCs w:val="24"/>
          <w:highlight w:val="none"/>
        </w:rPr>
      </w:pPr>
      <w:r>
        <w:rPr>
          <w:rFonts w:hint="eastAsia" w:ascii="宋体" w:hAnsi="宋体"/>
          <w:sz w:val="24"/>
          <w:szCs w:val="24"/>
          <w:highlight w:val="none"/>
        </w:rPr>
        <w:t>13.5工程项目实施期间和结算时，</w:t>
      </w:r>
      <w:r>
        <w:rPr>
          <w:rFonts w:hint="eastAsia" w:ascii="宋体" w:hAnsi="宋体"/>
          <w:sz w:val="24"/>
          <w:highlight w:val="none"/>
        </w:rPr>
        <w:t>招标文件工程量清单中漏列而由监理单位和招标人现场签证确认的工程项目、原设计没有而由招标人批准设计变更产生的工程项目，视为新增项目，按以下顺序确定价格</w:t>
      </w:r>
      <w:r>
        <w:rPr>
          <w:rFonts w:hint="eastAsia" w:ascii="宋体" w:hAnsi="宋体"/>
          <w:sz w:val="24"/>
          <w:szCs w:val="24"/>
          <w:highlight w:val="none"/>
        </w:rPr>
        <w:t>：</w:t>
      </w:r>
    </w:p>
    <w:p>
      <w:pPr>
        <w:pStyle w:val="5"/>
        <w:pBdr>
          <w:bottom w:val="single" w:color="auto" w:sz="6" w:space="1"/>
        </w:pBdr>
        <w:spacing w:line="360" w:lineRule="auto"/>
        <w:ind w:firstLine="480" w:firstLineChars="200"/>
        <w:rPr>
          <w:rFonts w:ascii="宋体" w:hAnsi="宋体"/>
          <w:sz w:val="24"/>
          <w:szCs w:val="24"/>
          <w:highlight w:val="none"/>
        </w:rPr>
      </w:pPr>
      <w:r>
        <w:rPr>
          <w:rFonts w:hint="eastAsia" w:ascii="宋体" w:hAnsi="宋体"/>
          <w:sz w:val="24"/>
          <w:szCs w:val="24"/>
          <w:highlight w:val="none"/>
        </w:rPr>
        <w:t>13.5.1中标的投标文件工程量清单中已有相同项目的适用综合单价，</w:t>
      </w:r>
      <w:r>
        <w:rPr>
          <w:rFonts w:hint="eastAsia" w:ascii="宋体" w:hAnsi="宋体"/>
          <w:sz w:val="24"/>
          <w:szCs w:val="24"/>
          <w:highlight w:val="none"/>
          <w:u w:val="single"/>
        </w:rPr>
        <w:t>投标报价中已有适用于变更、签证工程的综合单价（或下挂定额子目单价），按投标报价书中的综合单价（或下挂定额子目单价）确定变更、签证价款。如投标书存在相同清单项目不同综合单价（含电子文件）不一致的情况，增加造价时按低价计取，核减造价时按高价计取；</w:t>
      </w:r>
    </w:p>
    <w:p>
      <w:pPr>
        <w:pStyle w:val="5"/>
        <w:pBdr>
          <w:bottom w:val="single" w:color="auto" w:sz="6" w:space="1"/>
        </w:pBdr>
        <w:spacing w:line="360" w:lineRule="auto"/>
        <w:ind w:firstLine="480" w:firstLineChars="200"/>
        <w:rPr>
          <w:rFonts w:ascii="宋体" w:hAnsi="宋体"/>
          <w:sz w:val="24"/>
          <w:szCs w:val="24"/>
          <w:highlight w:val="none"/>
        </w:rPr>
      </w:pPr>
      <w:r>
        <w:rPr>
          <w:rFonts w:hint="eastAsia" w:ascii="宋体" w:hAnsi="宋体"/>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pBdr>
          <w:bottom w:val="single" w:color="auto" w:sz="6" w:space="1"/>
        </w:pBdr>
        <w:spacing w:line="360" w:lineRule="auto"/>
        <w:ind w:firstLine="480" w:firstLineChars="200"/>
        <w:rPr>
          <w:rFonts w:ascii="宋体" w:hAnsi="宋体"/>
          <w:sz w:val="24"/>
          <w:szCs w:val="24"/>
          <w:highlight w:val="none"/>
        </w:rPr>
      </w:pPr>
      <w:r>
        <w:rPr>
          <w:rFonts w:hint="eastAsia" w:ascii="宋体" w:hAnsi="宋体"/>
          <w:sz w:val="24"/>
          <w:szCs w:val="24"/>
          <w:highlight w:val="none"/>
        </w:rPr>
        <w:t>13.5.3 中标的投标文件工程量清单中没有相同项目或类似项目的，</w:t>
      </w:r>
      <w:r>
        <w:rPr>
          <w:rFonts w:hint="eastAsia" w:ascii="宋体" w:hAnsi="宋体"/>
          <w:sz w:val="24"/>
          <w:szCs w:val="24"/>
          <w:highlight w:val="none"/>
          <w:u w:val="single"/>
        </w:rPr>
        <w:t>执行本工程《施工合同》相关条款规定</w:t>
      </w:r>
      <w:r>
        <w:rPr>
          <w:rFonts w:hint="eastAsia" w:ascii="宋体" w:hAnsi="宋体"/>
          <w:sz w:val="24"/>
          <w:szCs w:val="24"/>
          <w:highlight w:val="none"/>
        </w:rPr>
        <w:t>。</w:t>
      </w:r>
    </w:p>
    <w:p>
      <w:pPr>
        <w:pStyle w:val="5"/>
        <w:pBdr>
          <w:bottom w:val="single" w:color="auto" w:sz="6" w:space="1"/>
        </w:pBdr>
        <w:spacing w:after="0" w:line="360" w:lineRule="auto"/>
        <w:ind w:firstLine="480" w:firstLineChars="200"/>
        <w:rPr>
          <w:rFonts w:ascii="宋体" w:hAnsi="宋体"/>
          <w:sz w:val="24"/>
          <w:szCs w:val="24"/>
          <w:highlight w:val="none"/>
        </w:rPr>
      </w:pPr>
      <w:r>
        <w:rPr>
          <w:rFonts w:hint="eastAsia" w:ascii="宋体" w:hAnsi="宋体"/>
          <w:sz w:val="24"/>
          <w:szCs w:val="24"/>
          <w:highlight w:val="none"/>
        </w:rPr>
        <w:t>13.5.4 如相关定额没有相应子目的，其计价方式由招标人在本招标文件第三章中另行规定。未规定的，中标后双方协商约定，具体按合同要求。</w:t>
      </w:r>
    </w:p>
    <w:p>
      <w:pPr>
        <w:spacing w:line="440" w:lineRule="exact"/>
        <w:ind w:firstLine="540" w:firstLineChars="224"/>
        <w:rPr>
          <w:rFonts w:ascii="宋体" w:hAnsi="宋体"/>
          <w:b/>
          <w:sz w:val="24"/>
          <w:szCs w:val="24"/>
          <w:highlight w:val="none"/>
        </w:rPr>
      </w:pPr>
      <w:r>
        <w:rPr>
          <w:rFonts w:hint="eastAsia" w:ascii="宋体" w:hAnsi="宋体"/>
          <w:b/>
          <w:sz w:val="24"/>
          <w:szCs w:val="24"/>
          <w:highlight w:val="none"/>
        </w:rPr>
        <w:t>条款号：13.9修改类型：修改</w:t>
      </w:r>
    </w:p>
    <w:p>
      <w:pPr>
        <w:pBdr>
          <w:bottom w:val="single" w:color="auto" w:sz="6" w:space="1"/>
        </w:pBdr>
        <w:spacing w:line="440" w:lineRule="exact"/>
        <w:ind w:firstLine="602" w:firstLineChars="250"/>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Bdr>
          <w:bottom w:val="single" w:color="auto" w:sz="6" w:space="1"/>
        </w:pBdr>
        <w:spacing w:line="440" w:lineRule="exact"/>
        <w:ind w:firstLine="602" w:firstLineChars="250"/>
        <w:rPr>
          <w:rFonts w:ascii="宋体" w:hAnsi="宋体"/>
          <w:b/>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招标人与中标人应本着实事求是、风险共担的原则，充分考虑施工合同履行期间人工、建筑材料、机械设备价格因素的影响。对于各类砂浆、石材等主要材料以及人工、机械设备等，应结合合同工期、各价格因素对工程总造价的影响等，合理约定调价机制。调价机制</w:t>
      </w:r>
      <w:r>
        <w:rPr>
          <w:rFonts w:hint="eastAsia" w:ascii="宋体" w:hAnsi="宋体"/>
          <w:sz w:val="24"/>
          <w:szCs w:val="24"/>
          <w:highlight w:val="none"/>
          <w:u w:val="single"/>
        </w:rPr>
        <w:t>按照《施工合同》相应条款调整</w:t>
      </w:r>
      <w:r>
        <w:rPr>
          <w:rFonts w:hint="eastAsia" w:ascii="宋体" w:hAnsi="宋体"/>
          <w:sz w:val="24"/>
          <w:szCs w:val="24"/>
          <w:highlight w:val="none"/>
        </w:rPr>
        <w:t>。</w:t>
      </w:r>
    </w:p>
    <w:p>
      <w:pPr>
        <w:spacing w:line="440" w:lineRule="exact"/>
        <w:ind w:firstLine="590" w:firstLineChars="245"/>
        <w:rPr>
          <w:rFonts w:ascii="宋体" w:hAnsi="宋体"/>
          <w:b/>
          <w:sz w:val="24"/>
          <w:szCs w:val="24"/>
          <w:highlight w:val="none"/>
        </w:rPr>
      </w:pPr>
      <w:r>
        <w:rPr>
          <w:rFonts w:hint="eastAsia" w:ascii="宋体" w:hAnsi="宋体"/>
          <w:b/>
          <w:sz w:val="24"/>
          <w:szCs w:val="24"/>
          <w:highlight w:val="none"/>
        </w:rPr>
        <w:t>条款号：</w:t>
      </w:r>
      <w:r>
        <w:rPr>
          <w:rFonts w:ascii="宋体" w:hAnsi="宋体"/>
          <w:b/>
          <w:sz w:val="24"/>
          <w:szCs w:val="24"/>
          <w:highlight w:val="none"/>
        </w:rPr>
        <w:t>1</w:t>
      </w:r>
      <w:r>
        <w:rPr>
          <w:rFonts w:hint="eastAsia" w:ascii="宋体" w:hAnsi="宋体"/>
          <w:b/>
          <w:sz w:val="24"/>
          <w:szCs w:val="24"/>
          <w:highlight w:val="none"/>
        </w:rPr>
        <w:t>6 修改类型：修改</w:t>
      </w:r>
    </w:p>
    <w:p>
      <w:pPr>
        <w:spacing w:line="440" w:lineRule="exact"/>
        <w:ind w:firstLine="590" w:firstLineChars="245"/>
        <w:rPr>
          <w:rFonts w:ascii="宋体" w:hAnsi="宋体"/>
          <w:b/>
          <w:sz w:val="24"/>
          <w:szCs w:val="24"/>
          <w:highlight w:val="none"/>
        </w:rPr>
      </w:pPr>
      <w:r>
        <w:rPr>
          <w:rFonts w:hint="eastAsia" w:ascii="宋体" w:hAnsi="宋体"/>
          <w:b/>
          <w:sz w:val="24"/>
          <w:szCs w:val="24"/>
          <w:highlight w:val="none"/>
        </w:rPr>
        <w:t>原文：16.投标保证金</w:t>
      </w:r>
    </w:p>
    <w:p>
      <w:pPr>
        <w:spacing w:line="360" w:lineRule="auto"/>
        <w:ind w:firstLine="480" w:firstLineChars="200"/>
        <w:rPr>
          <w:rFonts w:ascii="宋体" w:hAnsi="宋体"/>
          <w:sz w:val="24"/>
          <w:highlight w:val="none"/>
        </w:rPr>
      </w:pPr>
      <w:r>
        <w:rPr>
          <w:rFonts w:ascii="宋体" w:hAnsi="宋体"/>
          <w:sz w:val="24"/>
          <w:highlight w:val="none"/>
        </w:rPr>
        <w:t>16.1</w:t>
      </w:r>
      <w:r>
        <w:rPr>
          <w:rFonts w:hint="eastAsia" w:ascii="宋体" w:hAnsi="宋体"/>
          <w:sz w:val="24"/>
          <w:highlight w:val="none"/>
        </w:rPr>
        <w:t>投标人应按投标须知前附表第</w:t>
      </w:r>
      <w:r>
        <w:rPr>
          <w:rFonts w:ascii="宋体" w:hAnsi="宋体"/>
          <w:sz w:val="24"/>
          <w:highlight w:val="none"/>
        </w:rPr>
        <w:t>14</w:t>
      </w:r>
      <w:r>
        <w:rPr>
          <w:rFonts w:hint="eastAsia" w:ascii="宋体" w:hAnsi="宋体"/>
          <w:sz w:val="24"/>
          <w:highlight w:val="none"/>
        </w:rPr>
        <w:t>项所述金额和时间递交</w:t>
      </w:r>
      <w:r>
        <w:rPr>
          <w:rFonts w:hint="eastAsia" w:ascii="宋体" w:hAnsi="宋体"/>
          <w:bCs/>
          <w:sz w:val="24"/>
          <w:highlight w:val="none"/>
        </w:rPr>
        <w:t>投标保证金</w:t>
      </w:r>
      <w:r>
        <w:rPr>
          <w:rFonts w:hint="eastAsia" w:ascii="宋体" w:hAnsi="宋体"/>
          <w:sz w:val="24"/>
          <w:highlight w:val="none"/>
        </w:rPr>
        <w:t>。招标人应当允许投标人自主选择现金、银行保函、保证保险、专业工程担保公司担保等方式缴纳投标保证金。</w:t>
      </w:r>
    </w:p>
    <w:p>
      <w:pPr>
        <w:spacing w:line="360" w:lineRule="auto"/>
        <w:ind w:firstLine="480" w:firstLineChars="200"/>
        <w:rPr>
          <w:rFonts w:ascii="宋体" w:hAnsi="宋体"/>
          <w:sz w:val="24"/>
          <w:highlight w:val="none"/>
        </w:rPr>
      </w:pPr>
      <w:r>
        <w:rPr>
          <w:rFonts w:hint="eastAsia" w:ascii="宋体" w:hAnsi="宋体"/>
          <w:sz w:val="24"/>
          <w:highlight w:val="none"/>
        </w:rPr>
        <w:t>16.1.1 采用现金或者支票形式提交的，投标保证金须从投标人的银行基本账户转出。</w:t>
      </w:r>
    </w:p>
    <w:p>
      <w:pPr>
        <w:spacing w:line="360" w:lineRule="auto"/>
        <w:ind w:firstLine="480" w:firstLineChars="200"/>
        <w:rPr>
          <w:rFonts w:ascii="宋体" w:hAnsi="宋体"/>
          <w:sz w:val="24"/>
          <w:highlight w:val="none"/>
        </w:rPr>
      </w:pPr>
      <w:r>
        <w:rPr>
          <w:rFonts w:hint="eastAsia" w:ascii="宋体" w:hAnsi="宋体"/>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sz w:val="24"/>
          <w:highlight w:val="none"/>
        </w:rPr>
      </w:pPr>
      <w:r>
        <w:rPr>
          <w:rFonts w:hint="eastAsia" w:ascii="宋体" w:hAnsi="宋体"/>
          <w:sz w:val="24"/>
          <w:highlight w:val="none"/>
        </w:rPr>
        <w:t>16.1.3 采用电子形式的保函、担保或保证保险提交投标保证金的，应在招标文件中明确电子递交途径。</w:t>
      </w:r>
    </w:p>
    <w:p>
      <w:pPr>
        <w:spacing w:line="360" w:lineRule="auto"/>
        <w:ind w:firstLine="480" w:firstLineChars="200"/>
        <w:rPr>
          <w:rFonts w:ascii="宋体" w:hAnsi="宋体"/>
          <w:sz w:val="24"/>
          <w:highlight w:val="none"/>
        </w:rPr>
      </w:pPr>
      <w:r>
        <w:rPr>
          <w:rFonts w:hint="eastAsia" w:ascii="宋体" w:hAnsi="宋体"/>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sz w:val="24"/>
          <w:highlight w:val="none"/>
        </w:rPr>
      </w:pPr>
      <w:r>
        <w:rPr>
          <w:rFonts w:hint="eastAsia" w:ascii="宋体" w:hAnsi="宋体"/>
          <w:sz w:val="24"/>
          <w:highlight w:val="none"/>
        </w:rPr>
        <w:t>16.3投标保证金应依据法律法规的相关规定退还。</w:t>
      </w:r>
    </w:p>
    <w:p>
      <w:pPr>
        <w:spacing w:line="360" w:lineRule="auto"/>
        <w:ind w:firstLine="480" w:firstLineChars="200"/>
        <w:rPr>
          <w:rFonts w:ascii="宋体" w:hAnsi="宋体"/>
          <w:sz w:val="24"/>
          <w:highlight w:val="none"/>
        </w:rPr>
      </w:pPr>
      <w:r>
        <w:rPr>
          <w:rFonts w:hint="eastAsia" w:ascii="宋体" w:hAnsi="宋体"/>
          <w:sz w:val="24"/>
          <w:highlight w:val="none"/>
        </w:rPr>
        <w:t>16.4如有下列情况之一的，招标人可以不予退还投标保证金（是否退还投标保证金由招标人在招标文件中规定）：</w:t>
      </w:r>
    </w:p>
    <w:p>
      <w:pPr>
        <w:spacing w:line="360" w:lineRule="auto"/>
        <w:ind w:firstLine="480" w:firstLineChars="200"/>
        <w:rPr>
          <w:rFonts w:ascii="宋体" w:hAnsi="宋体"/>
          <w:sz w:val="24"/>
          <w:highlight w:val="none"/>
        </w:rPr>
      </w:pPr>
      <w:r>
        <w:rPr>
          <w:rFonts w:hint="eastAsia" w:ascii="宋体" w:hAnsi="宋体"/>
          <w:sz w:val="24"/>
          <w:highlight w:val="none"/>
        </w:rPr>
        <w:t>16.4.1因投标人原因造成投标文件未解密的；</w:t>
      </w:r>
    </w:p>
    <w:p>
      <w:pPr>
        <w:spacing w:line="360" w:lineRule="auto"/>
        <w:ind w:firstLine="480" w:firstLineChars="200"/>
        <w:rPr>
          <w:rFonts w:ascii="宋体" w:hAnsi="宋体"/>
          <w:sz w:val="24"/>
          <w:highlight w:val="none"/>
        </w:rPr>
      </w:pPr>
      <w:r>
        <w:rPr>
          <w:rFonts w:hint="eastAsia" w:ascii="宋体" w:hAnsi="宋体"/>
          <w:sz w:val="24"/>
          <w:highlight w:val="none"/>
        </w:rPr>
        <w:t>16.4.2投标人在投标有效期内撤销投标文件；</w:t>
      </w:r>
    </w:p>
    <w:p>
      <w:pPr>
        <w:spacing w:line="360" w:lineRule="auto"/>
        <w:ind w:firstLine="480" w:firstLineChars="200"/>
        <w:rPr>
          <w:rFonts w:ascii="宋体" w:hAnsi="宋体"/>
          <w:sz w:val="24"/>
          <w:highlight w:val="none"/>
        </w:rPr>
      </w:pPr>
      <w:r>
        <w:rPr>
          <w:rFonts w:hint="eastAsia" w:ascii="宋体" w:hAnsi="宋体"/>
          <w:sz w:val="24"/>
          <w:highlight w:val="none"/>
        </w:rPr>
        <w:t>16.4.3中标人未能在规定期限内按要求提交履约担保；</w:t>
      </w:r>
    </w:p>
    <w:p>
      <w:pPr>
        <w:spacing w:line="360" w:lineRule="auto"/>
        <w:ind w:firstLine="480" w:firstLineChars="200"/>
        <w:rPr>
          <w:rFonts w:ascii="宋体" w:hAnsi="宋体"/>
          <w:sz w:val="24"/>
          <w:highlight w:val="none"/>
        </w:rPr>
      </w:pPr>
      <w:r>
        <w:rPr>
          <w:rFonts w:hint="eastAsia" w:ascii="宋体" w:hAnsi="宋体"/>
          <w:sz w:val="24"/>
          <w:highlight w:val="none"/>
        </w:rPr>
        <w:t>16.4.4中标人未能在规定期限内签署合同协议。</w:t>
      </w:r>
    </w:p>
    <w:p>
      <w:pPr>
        <w:spacing w:line="360" w:lineRule="auto"/>
        <w:ind w:firstLine="480" w:firstLineChars="200"/>
        <w:rPr>
          <w:rFonts w:ascii="宋体" w:hAnsi="宋体"/>
          <w:sz w:val="24"/>
          <w:highlight w:val="none"/>
        </w:rPr>
      </w:pPr>
      <w:r>
        <w:rPr>
          <w:rFonts w:hint="eastAsia" w:ascii="宋体" w:hAnsi="宋体"/>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ascii="宋体" w:hAnsi="宋体"/>
          <w:sz w:val="24"/>
          <w:highlight w:val="none"/>
        </w:rPr>
      </w:pPr>
      <w:r>
        <w:rPr>
          <w:rFonts w:hint="eastAsia" w:ascii="宋体" w:hAnsi="宋体"/>
          <w:sz w:val="24"/>
          <w:highlight w:val="none"/>
        </w:rPr>
        <w:t>16.5.1投标人存在16.4条款所列情形且投标人提交的保函、担保或保证保险无法兑付的；</w:t>
      </w:r>
    </w:p>
    <w:p>
      <w:pPr>
        <w:spacing w:line="360" w:lineRule="auto"/>
        <w:ind w:firstLine="480" w:firstLineChars="200"/>
        <w:rPr>
          <w:rFonts w:ascii="宋体" w:hAnsi="宋体"/>
          <w:sz w:val="24"/>
          <w:highlight w:val="none"/>
        </w:rPr>
      </w:pPr>
      <w:r>
        <w:rPr>
          <w:rFonts w:hint="eastAsia" w:ascii="宋体" w:hAnsi="宋体"/>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sz w:val="24"/>
          <w:highlight w:val="none"/>
        </w:rPr>
      </w:pPr>
      <w:r>
        <w:rPr>
          <w:rFonts w:hint="eastAsia" w:ascii="宋体" w:hAnsi="宋体"/>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宋体" w:hAnsi="宋体"/>
          <w:sz w:val="24"/>
          <w:highlight w:val="none"/>
        </w:rPr>
      </w:pPr>
      <w:r>
        <w:rPr>
          <w:rFonts w:hint="eastAsia" w:ascii="宋体" w:hAnsi="宋体"/>
          <w:sz w:val="24"/>
          <w:highlight w:val="none"/>
        </w:rPr>
        <w:t>16.5.3按招标文件要求免于提供投标保证金的投标人存在16.4条款所列情形的。</w:t>
      </w:r>
    </w:p>
    <w:p>
      <w:pPr>
        <w:spacing w:line="440" w:lineRule="exact"/>
        <w:ind w:firstLine="588" w:firstLineChars="245"/>
        <w:rPr>
          <w:rFonts w:ascii="宋体" w:hAnsi="宋体"/>
          <w:sz w:val="24"/>
          <w:szCs w:val="24"/>
          <w:highlight w:val="none"/>
        </w:rPr>
      </w:pPr>
      <w:r>
        <w:rPr>
          <w:rFonts w:hint="eastAsia" w:ascii="宋体" w:hAnsi="宋体"/>
          <w:sz w:val="24"/>
          <w:highlight w:val="none"/>
        </w:rPr>
        <w:t>注：16.5.3款由招标人二选一，需在招标文件中明确</w:t>
      </w:r>
      <w:r>
        <w:rPr>
          <w:rFonts w:hint="eastAsia" w:ascii="宋体" w:hAnsi="宋体"/>
          <w:sz w:val="24"/>
          <w:szCs w:val="24"/>
          <w:highlight w:val="none"/>
        </w:rPr>
        <w:t>。</w:t>
      </w:r>
    </w:p>
    <w:p>
      <w:pPr>
        <w:pStyle w:val="5"/>
        <w:spacing w:line="360" w:lineRule="auto"/>
        <w:ind w:firstLine="482" w:firstLineChars="200"/>
        <w:rPr>
          <w:rFonts w:ascii="宋体" w:hAnsi="宋体" w:cs="宋体"/>
          <w:b/>
          <w:sz w:val="24"/>
          <w:highlight w:val="none"/>
        </w:rPr>
      </w:pPr>
      <w:r>
        <w:rPr>
          <w:rFonts w:hint="eastAsia" w:ascii="宋体" w:hAnsi="宋体"/>
          <w:b/>
          <w:sz w:val="24"/>
          <w:szCs w:val="24"/>
          <w:highlight w:val="none"/>
        </w:rPr>
        <w:t>现文：</w:t>
      </w:r>
      <w:r>
        <w:rPr>
          <w:rFonts w:hint="eastAsia" w:ascii="宋体" w:hAnsi="宋体" w:cs="宋体"/>
          <w:b/>
          <w:sz w:val="24"/>
          <w:highlight w:val="none"/>
        </w:rPr>
        <w:t>16．投标保证金</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16.1投标人应按投标须知前附表第14项所述金额和时间递交投标保证金。</w:t>
      </w:r>
      <w:r>
        <w:rPr>
          <w:rFonts w:hint="eastAsia" w:ascii="宋体" w:hAnsi="宋体" w:cs="宋体"/>
          <w:b/>
          <w:bCs/>
          <w:sz w:val="24"/>
          <w:highlight w:val="none"/>
        </w:rPr>
        <w:t>招标人应当允许投标人自主选择现金、银行保函、保证保险、专业工程担保公司担保等方式缴纳投标保证金。</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16.1.1</w:t>
      </w:r>
      <w:r>
        <w:rPr>
          <w:rFonts w:hint="eastAsia" w:ascii="宋体" w:hAnsi="宋体" w:cs="宋体"/>
          <w:bCs/>
          <w:sz w:val="24"/>
          <w:highlight w:val="none"/>
        </w:rPr>
        <w:t>采用现金</w:t>
      </w:r>
      <w:r>
        <w:rPr>
          <w:rFonts w:hint="eastAsia" w:ascii="宋体" w:hAnsi="宋体" w:cs="宋体"/>
          <w:b/>
          <w:bCs/>
          <w:sz w:val="24"/>
          <w:highlight w:val="none"/>
        </w:rPr>
        <w:t>或者支票</w:t>
      </w:r>
      <w:r>
        <w:rPr>
          <w:rFonts w:hint="eastAsia" w:ascii="宋体" w:hAnsi="宋体" w:cs="宋体"/>
          <w:bCs/>
          <w:sz w:val="24"/>
          <w:highlight w:val="none"/>
        </w:rPr>
        <w:t>形式提交的，投标保证金须从投标人的银行基本账户转出</w:t>
      </w:r>
      <w:r>
        <w:rPr>
          <w:rFonts w:hint="eastAsia" w:ascii="宋体" w:hAnsi="宋体" w:cs="宋体"/>
          <w:sz w:val="24"/>
          <w:highlight w:val="none"/>
        </w:rPr>
        <w:t>。</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16.1.2</w:t>
      </w:r>
      <w:r>
        <w:rPr>
          <w:rFonts w:hint="eastAsia" w:ascii="宋体" w:hAnsi="宋体" w:cs="宋体"/>
          <w:bCs/>
          <w:sz w:val="24"/>
          <w:highlight w:val="none"/>
        </w:rPr>
        <w:t>依法必须招标的房屋建筑工程如采用非电子形式的</w:t>
      </w:r>
      <w:r>
        <w:rPr>
          <w:rFonts w:hint="eastAsia" w:ascii="宋体" w:hAnsi="宋体" w:cs="宋体"/>
          <w:b/>
          <w:bCs/>
          <w:sz w:val="24"/>
          <w:highlight w:val="none"/>
        </w:rPr>
        <w:t>银行保函、专业工程担保公司担保或保证保险</w:t>
      </w:r>
      <w:r>
        <w:rPr>
          <w:rFonts w:hint="eastAsia" w:ascii="宋体" w:hAnsi="宋体" w:cs="宋体"/>
          <w:bCs/>
          <w:sz w:val="24"/>
          <w:highlight w:val="none"/>
        </w:rPr>
        <w:t>提交投标保证金的，在开标前不强制要求投标人提交纸质原件，由中标候选人在中标候选人公示前提交并在网上公示，投标人应在投标文件中提交</w:t>
      </w:r>
      <w:r>
        <w:rPr>
          <w:rFonts w:hint="eastAsia" w:ascii="宋体" w:hAnsi="宋体" w:cs="宋体"/>
          <w:b/>
          <w:bCs/>
          <w:sz w:val="24"/>
          <w:highlight w:val="none"/>
        </w:rPr>
        <w:t>保函、担保或保证保险</w:t>
      </w:r>
      <w:r>
        <w:rPr>
          <w:rFonts w:hint="eastAsia" w:ascii="宋体" w:hAnsi="宋体" w:cs="宋体"/>
          <w:bCs/>
          <w:sz w:val="24"/>
          <w:highlight w:val="none"/>
        </w:rPr>
        <w:t>扫描件并加盖投标人电子印章。</w:t>
      </w:r>
      <w:r>
        <w:rPr>
          <w:rFonts w:hint="eastAsia" w:ascii="宋体" w:hAnsi="宋体" w:cs="宋体"/>
          <w:b/>
          <w:sz w:val="24"/>
          <w:highlight w:val="none"/>
        </w:rPr>
        <w:t>如投标人存在16.4条款所列情形的，应将</w:t>
      </w:r>
      <w:r>
        <w:rPr>
          <w:rFonts w:hint="eastAsia" w:ascii="宋体" w:hAnsi="宋体" w:cs="宋体"/>
          <w:b/>
          <w:bCs/>
          <w:sz w:val="24"/>
          <w:highlight w:val="none"/>
        </w:rPr>
        <w:t>纸质</w:t>
      </w:r>
      <w:r>
        <w:rPr>
          <w:rFonts w:hint="eastAsia" w:ascii="宋体" w:hAnsi="宋体" w:cs="宋体"/>
          <w:b/>
          <w:sz w:val="24"/>
          <w:highlight w:val="none"/>
        </w:rPr>
        <w:t>原件提交给招标人</w:t>
      </w:r>
      <w:r>
        <w:rPr>
          <w:rFonts w:hint="eastAsia" w:ascii="宋体" w:hAnsi="宋体" w:cs="宋体"/>
          <w:sz w:val="24"/>
          <w:highlight w:val="none"/>
        </w:rPr>
        <w:t>。</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16.1.3</w:t>
      </w:r>
      <w:r>
        <w:rPr>
          <w:rFonts w:hint="eastAsia" w:ascii="宋体" w:hAnsi="宋体" w:cs="宋体"/>
          <w:bCs/>
          <w:sz w:val="24"/>
          <w:highlight w:val="none"/>
        </w:rPr>
        <w:t>采用</w:t>
      </w:r>
      <w:r>
        <w:rPr>
          <w:rFonts w:hint="eastAsia" w:ascii="宋体" w:hAnsi="宋体" w:cs="宋体"/>
          <w:b/>
          <w:sz w:val="24"/>
          <w:highlight w:val="none"/>
        </w:rPr>
        <w:t>电子形式的保函、担保或保证保险</w:t>
      </w:r>
      <w:r>
        <w:rPr>
          <w:rFonts w:hint="eastAsia" w:ascii="宋体" w:hAnsi="宋体" w:cs="宋体"/>
          <w:bCs/>
          <w:sz w:val="24"/>
          <w:highlight w:val="none"/>
        </w:rPr>
        <w:t>提交投标保证金的，应在招标文件中明确电子递交途径</w:t>
      </w:r>
      <w:r>
        <w:rPr>
          <w:rFonts w:hint="eastAsia" w:ascii="宋体" w:hAnsi="宋体" w:cs="宋体"/>
          <w:sz w:val="24"/>
          <w:highlight w:val="none"/>
        </w:rPr>
        <w:t>。</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16.2开标时投标人没有按要求提供投标保证金的，其投标文件将被否决；</w:t>
      </w:r>
      <w:r>
        <w:rPr>
          <w:rFonts w:hint="eastAsia" w:ascii="宋体" w:hAnsi="宋体" w:cs="宋体"/>
          <w:b/>
          <w:bCs/>
          <w:sz w:val="24"/>
          <w:highlight w:val="none"/>
        </w:rPr>
        <w:t>未按招标文件要求提交符合免予提供投标保证金相关证明材料，且未提交投标保证金的投标人，视为未按要求提供投标保证金</w:t>
      </w:r>
      <w:r>
        <w:rPr>
          <w:rFonts w:hint="eastAsia" w:ascii="宋体" w:hAnsi="宋体" w:cs="宋体"/>
          <w:sz w:val="24"/>
          <w:highlight w:val="none"/>
        </w:rPr>
        <w:t>。</w:t>
      </w:r>
    </w:p>
    <w:p>
      <w:pPr>
        <w:pStyle w:val="5"/>
        <w:spacing w:line="360" w:lineRule="auto"/>
        <w:ind w:firstLine="480" w:firstLineChars="200"/>
        <w:rPr>
          <w:rFonts w:ascii="宋体" w:hAnsi="宋体" w:cs="宋体"/>
          <w:bCs/>
          <w:sz w:val="24"/>
          <w:highlight w:val="none"/>
        </w:rPr>
      </w:pPr>
      <w:r>
        <w:rPr>
          <w:rFonts w:hint="eastAsia" w:ascii="宋体" w:hAnsi="宋体" w:cs="宋体"/>
          <w:bCs/>
          <w:sz w:val="24"/>
          <w:highlight w:val="none"/>
        </w:rPr>
        <w:t>16.3投标保证金应依据法律法规的相关规定退还。</w:t>
      </w:r>
    </w:p>
    <w:p>
      <w:pPr>
        <w:pStyle w:val="5"/>
        <w:spacing w:line="360" w:lineRule="auto"/>
        <w:ind w:firstLine="480" w:firstLineChars="200"/>
        <w:rPr>
          <w:rFonts w:ascii="宋体" w:hAnsi="宋体" w:cs="宋体"/>
          <w:bCs/>
          <w:sz w:val="24"/>
          <w:highlight w:val="none"/>
        </w:rPr>
      </w:pPr>
      <w:r>
        <w:rPr>
          <w:rFonts w:hint="eastAsia" w:ascii="宋体" w:hAnsi="宋体" w:cs="宋体"/>
          <w:bCs/>
          <w:sz w:val="24"/>
          <w:highlight w:val="none"/>
        </w:rPr>
        <w:t>16.4如有下列情况之一的，招标人可以不予退还投标保证金：</w:t>
      </w:r>
    </w:p>
    <w:p>
      <w:pPr>
        <w:pStyle w:val="5"/>
        <w:spacing w:line="360" w:lineRule="auto"/>
        <w:ind w:firstLine="480" w:firstLineChars="200"/>
        <w:rPr>
          <w:rFonts w:ascii="宋体" w:hAnsi="宋体" w:cs="宋体"/>
          <w:bCs/>
          <w:sz w:val="24"/>
          <w:highlight w:val="none"/>
        </w:rPr>
      </w:pPr>
      <w:r>
        <w:rPr>
          <w:rFonts w:hint="eastAsia" w:ascii="宋体" w:hAnsi="宋体" w:cs="宋体"/>
          <w:bCs/>
          <w:sz w:val="24"/>
          <w:highlight w:val="none"/>
        </w:rPr>
        <w:t>16.4.1因投标人原因造成投标文件未解密的；</w:t>
      </w:r>
    </w:p>
    <w:p>
      <w:pPr>
        <w:pStyle w:val="5"/>
        <w:spacing w:line="360" w:lineRule="auto"/>
        <w:ind w:firstLine="480" w:firstLineChars="200"/>
        <w:rPr>
          <w:rFonts w:ascii="宋体" w:hAnsi="宋体" w:cs="宋体"/>
          <w:bCs/>
          <w:sz w:val="24"/>
          <w:highlight w:val="none"/>
        </w:rPr>
      </w:pPr>
      <w:r>
        <w:rPr>
          <w:rFonts w:hint="eastAsia" w:ascii="宋体" w:hAnsi="宋体" w:cs="宋体"/>
          <w:bCs/>
          <w:sz w:val="24"/>
          <w:highlight w:val="none"/>
        </w:rPr>
        <w:t>16.4.2投标人在投标有效期内撤销投标文件；</w:t>
      </w:r>
    </w:p>
    <w:p>
      <w:pPr>
        <w:pStyle w:val="5"/>
        <w:spacing w:line="360" w:lineRule="auto"/>
        <w:ind w:firstLine="480" w:firstLineChars="200"/>
        <w:rPr>
          <w:rFonts w:ascii="宋体" w:hAnsi="宋体" w:cs="宋体"/>
          <w:bCs/>
          <w:sz w:val="24"/>
          <w:highlight w:val="none"/>
        </w:rPr>
      </w:pPr>
      <w:r>
        <w:rPr>
          <w:rFonts w:hint="eastAsia" w:ascii="宋体" w:hAnsi="宋体" w:cs="宋体"/>
          <w:bCs/>
          <w:sz w:val="24"/>
          <w:highlight w:val="none"/>
        </w:rPr>
        <w:t>16.4.3中标人未能在规定期限内按要求提交履约担保；</w:t>
      </w:r>
    </w:p>
    <w:p>
      <w:pPr>
        <w:pStyle w:val="5"/>
        <w:spacing w:line="360" w:lineRule="auto"/>
        <w:ind w:firstLine="480" w:firstLineChars="200"/>
        <w:rPr>
          <w:rFonts w:ascii="宋体" w:hAnsi="宋体" w:cs="宋体"/>
          <w:bCs/>
          <w:sz w:val="24"/>
          <w:highlight w:val="none"/>
        </w:rPr>
      </w:pPr>
      <w:r>
        <w:rPr>
          <w:rFonts w:hint="eastAsia" w:ascii="宋体" w:hAnsi="宋体" w:cs="宋体"/>
          <w:bCs/>
          <w:sz w:val="24"/>
          <w:highlight w:val="none"/>
        </w:rPr>
        <w:t>16.4.4中标人未能在规定期限内签署合同协议。</w:t>
      </w:r>
    </w:p>
    <w:p>
      <w:pPr>
        <w:pStyle w:val="5"/>
        <w:spacing w:line="360" w:lineRule="auto"/>
        <w:ind w:firstLine="482" w:firstLineChars="200"/>
        <w:rPr>
          <w:rFonts w:ascii="宋体" w:hAnsi="宋体" w:cs="宋体"/>
          <w:b/>
          <w:sz w:val="24"/>
          <w:highlight w:val="none"/>
        </w:rPr>
      </w:pPr>
      <w:r>
        <w:rPr>
          <w:rFonts w:hint="eastAsia" w:ascii="宋体" w:hAnsi="宋体" w:cs="宋体"/>
          <w:b/>
          <w:sz w:val="24"/>
          <w:highlight w:val="none"/>
        </w:rPr>
        <w:t>16.5投标人如存在下列情况之一的，将被拒绝在三个月内参与招标人后续工程投标：</w:t>
      </w:r>
    </w:p>
    <w:p>
      <w:pPr>
        <w:pStyle w:val="5"/>
        <w:spacing w:line="360" w:lineRule="auto"/>
        <w:ind w:firstLine="482" w:firstLineChars="200"/>
        <w:rPr>
          <w:rFonts w:ascii="宋体" w:hAnsi="宋体" w:cs="宋体"/>
          <w:b/>
          <w:sz w:val="24"/>
          <w:highlight w:val="none"/>
        </w:rPr>
      </w:pPr>
      <w:r>
        <w:rPr>
          <w:rFonts w:hint="eastAsia" w:ascii="宋体" w:hAnsi="宋体" w:cs="宋体"/>
          <w:b/>
          <w:sz w:val="24"/>
          <w:highlight w:val="none"/>
        </w:rPr>
        <w:t>16.5.1</w:t>
      </w:r>
      <w:r>
        <w:rPr>
          <w:rFonts w:hint="eastAsia" w:ascii="宋体" w:hAnsi="宋体" w:cs="宋体"/>
          <w:b/>
          <w:bCs/>
          <w:sz w:val="24"/>
          <w:highlight w:val="none"/>
        </w:rPr>
        <w:t>投标人</w:t>
      </w:r>
      <w:r>
        <w:rPr>
          <w:rFonts w:hint="eastAsia" w:ascii="宋体" w:hAnsi="宋体" w:cs="宋体"/>
          <w:b/>
          <w:sz w:val="24"/>
          <w:highlight w:val="none"/>
        </w:rPr>
        <w:t>存在16.4条款所列情形且投标人提交的保函、担保或保证保险无法兑付的；</w:t>
      </w:r>
    </w:p>
    <w:p>
      <w:pPr>
        <w:pStyle w:val="5"/>
        <w:spacing w:line="360" w:lineRule="auto"/>
        <w:ind w:firstLine="482" w:firstLineChars="200"/>
        <w:rPr>
          <w:rFonts w:ascii="宋体" w:hAnsi="宋体" w:cs="宋体"/>
          <w:b/>
          <w:bCs/>
          <w:sz w:val="24"/>
          <w:highlight w:val="none"/>
        </w:rPr>
      </w:pPr>
      <w:r>
        <w:rPr>
          <w:rFonts w:hint="eastAsia" w:ascii="宋体" w:hAnsi="宋体" w:cs="宋体"/>
          <w:b/>
          <w:sz w:val="24"/>
          <w:highlight w:val="none"/>
        </w:rPr>
        <w:t>16.5.2采用非电子形式提交投标保证金的</w:t>
      </w:r>
      <w:r>
        <w:rPr>
          <w:rFonts w:hint="eastAsia" w:ascii="宋体" w:hAnsi="宋体" w:cs="宋体"/>
          <w:b/>
          <w:bCs/>
          <w:sz w:val="24"/>
          <w:highlight w:val="none"/>
        </w:rPr>
        <w:t>投标人</w:t>
      </w:r>
      <w:r>
        <w:rPr>
          <w:rFonts w:hint="eastAsia" w:ascii="宋体" w:hAnsi="宋体" w:cs="宋体"/>
          <w:b/>
          <w:sz w:val="24"/>
          <w:highlight w:val="none"/>
        </w:rPr>
        <w:t>存在16.4条款所列情形，且未按招标人要求补交</w:t>
      </w:r>
      <w:r>
        <w:rPr>
          <w:rFonts w:hint="eastAsia" w:ascii="宋体" w:hAnsi="宋体" w:cs="宋体"/>
          <w:b/>
          <w:bCs/>
          <w:sz w:val="24"/>
          <w:highlight w:val="none"/>
        </w:rPr>
        <w:t>银行保函、专业工程担保公司担保或保证保险原件的；</w:t>
      </w:r>
    </w:p>
    <w:p>
      <w:pPr>
        <w:pBdr>
          <w:bottom w:val="single" w:color="auto" w:sz="6" w:space="1"/>
        </w:pBdr>
        <w:spacing w:line="440" w:lineRule="exact"/>
        <w:ind w:firstLine="472" w:firstLineChars="196"/>
        <w:rPr>
          <w:rFonts w:ascii="宋体" w:hAnsi="宋体"/>
          <w:b/>
          <w:sz w:val="24"/>
          <w:szCs w:val="24"/>
          <w:highlight w:val="none"/>
        </w:rPr>
      </w:pPr>
      <w:r>
        <w:rPr>
          <w:rFonts w:hint="eastAsia" w:ascii="宋体" w:hAnsi="宋体" w:cs="宋体"/>
          <w:b/>
          <w:bCs/>
          <w:sz w:val="24"/>
          <w:highlight w:val="none"/>
        </w:rPr>
        <w:t>16.5.3按招标文件要求免于提供投标保证金</w:t>
      </w:r>
      <w:r>
        <w:rPr>
          <w:rFonts w:hint="eastAsia" w:ascii="宋体" w:hAnsi="宋体" w:cs="宋体"/>
          <w:b/>
          <w:sz w:val="24"/>
          <w:highlight w:val="none"/>
        </w:rPr>
        <w:t>的</w:t>
      </w:r>
      <w:r>
        <w:rPr>
          <w:rFonts w:hint="eastAsia" w:ascii="宋体" w:hAnsi="宋体" w:cs="宋体"/>
          <w:b/>
          <w:bCs/>
          <w:sz w:val="24"/>
          <w:highlight w:val="none"/>
        </w:rPr>
        <w:t>投标人</w:t>
      </w:r>
      <w:r>
        <w:rPr>
          <w:rFonts w:hint="eastAsia" w:ascii="宋体" w:hAnsi="宋体" w:cs="宋体"/>
          <w:b/>
          <w:sz w:val="24"/>
          <w:highlight w:val="none"/>
        </w:rPr>
        <w:t>存在16.4条款所列情形，且未按招标人要求补交投标保证金的</w:t>
      </w:r>
      <w:r>
        <w:rPr>
          <w:rFonts w:hint="eastAsia" w:ascii="宋体" w:hAnsi="宋体"/>
          <w:bCs/>
          <w:kern w:val="0"/>
          <w:sz w:val="24"/>
          <w:szCs w:val="24"/>
          <w:highlight w:val="none"/>
        </w:rPr>
        <w:t>。</w:t>
      </w:r>
    </w:p>
    <w:p>
      <w:pPr>
        <w:spacing w:line="440" w:lineRule="exact"/>
        <w:ind w:firstLine="590" w:firstLineChars="245"/>
        <w:rPr>
          <w:rFonts w:ascii="宋体" w:hAnsi="宋体"/>
          <w:b/>
          <w:sz w:val="24"/>
          <w:szCs w:val="24"/>
          <w:highlight w:val="none"/>
        </w:rPr>
      </w:pPr>
      <w:r>
        <w:rPr>
          <w:rFonts w:hint="eastAsia" w:ascii="宋体" w:hAnsi="宋体"/>
          <w:b/>
          <w:sz w:val="24"/>
          <w:szCs w:val="24"/>
          <w:highlight w:val="none"/>
        </w:rPr>
        <w:t>条款号：</w:t>
      </w:r>
      <w:r>
        <w:rPr>
          <w:rFonts w:ascii="宋体" w:hAnsi="宋体"/>
          <w:b/>
          <w:sz w:val="24"/>
          <w:szCs w:val="24"/>
          <w:highlight w:val="none"/>
        </w:rPr>
        <w:t xml:space="preserve">17.1        </w:t>
      </w:r>
      <w:r>
        <w:rPr>
          <w:rFonts w:hint="eastAsia" w:ascii="宋体" w:hAnsi="宋体"/>
          <w:b/>
          <w:sz w:val="24"/>
          <w:szCs w:val="24"/>
          <w:highlight w:val="none"/>
        </w:rPr>
        <w:t xml:space="preserve"> 修改类型：修改</w:t>
      </w:r>
    </w:p>
    <w:p>
      <w:pPr>
        <w:spacing w:line="440" w:lineRule="exact"/>
        <w:ind w:firstLine="590" w:firstLineChars="245"/>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投标人应采用单位数字证书，按招标文件要求在相应位置加盖电子印章。投标文件中需个人签字或盖章的，应手签后扫描上传。按照交易平台关于全流程电子化项目的相关指南进行操作。详见： 。</w:t>
      </w:r>
    </w:p>
    <w:p>
      <w:pPr>
        <w:pBdr>
          <w:bottom w:val="single" w:color="auto" w:sz="6" w:space="1"/>
        </w:pBdr>
        <w:spacing w:line="440" w:lineRule="exact"/>
        <w:ind w:firstLine="602" w:firstLineChars="250"/>
        <w:rPr>
          <w:rFonts w:ascii="宋体" w:hAnsi="宋体"/>
          <w:b/>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bCs/>
          <w:kern w:val="0"/>
          <w:sz w:val="24"/>
          <w:szCs w:val="24"/>
          <w:highlight w:val="none"/>
          <w:u w:val="single"/>
        </w:rPr>
        <w:t>广州公共资源交易中心网站</w:t>
      </w:r>
      <w:r>
        <w:rPr>
          <w:rFonts w:hint="eastAsia" w:ascii="宋体" w:hAnsi="宋体"/>
          <w:bCs/>
          <w:kern w:val="0"/>
          <w:sz w:val="24"/>
          <w:szCs w:val="24"/>
          <w:highlight w:val="none"/>
        </w:rPr>
        <w:t>。</w:t>
      </w:r>
    </w:p>
    <w:p>
      <w:pPr>
        <w:spacing w:line="440" w:lineRule="exact"/>
        <w:ind w:firstLine="590" w:firstLineChars="245"/>
        <w:rPr>
          <w:rFonts w:ascii="宋体" w:hAnsi="宋体"/>
          <w:b/>
          <w:sz w:val="24"/>
          <w:szCs w:val="24"/>
          <w:highlight w:val="none"/>
        </w:rPr>
      </w:pPr>
      <w:r>
        <w:rPr>
          <w:rFonts w:hint="eastAsia" w:ascii="宋体" w:hAnsi="宋体"/>
          <w:b/>
          <w:sz w:val="24"/>
          <w:szCs w:val="24"/>
          <w:highlight w:val="none"/>
        </w:rPr>
        <w:t>条款号：</w:t>
      </w:r>
      <w:r>
        <w:rPr>
          <w:rFonts w:ascii="宋体" w:hAnsi="宋体"/>
          <w:b/>
          <w:bCs/>
          <w:sz w:val="24"/>
          <w:szCs w:val="24"/>
          <w:highlight w:val="none"/>
        </w:rPr>
        <w:t>1</w:t>
      </w:r>
      <w:r>
        <w:rPr>
          <w:rFonts w:hint="eastAsia" w:ascii="宋体" w:hAnsi="宋体"/>
          <w:b/>
          <w:bCs/>
          <w:sz w:val="24"/>
          <w:szCs w:val="24"/>
          <w:highlight w:val="none"/>
        </w:rPr>
        <w:t>8.</w:t>
      </w:r>
      <w:r>
        <w:rPr>
          <w:rFonts w:hint="eastAsia" w:ascii="宋体" w:hAnsi="宋体"/>
          <w:b/>
          <w:sz w:val="24"/>
          <w:szCs w:val="24"/>
          <w:highlight w:val="none"/>
        </w:rPr>
        <w:t xml:space="preserve">   修改类型：修改</w:t>
      </w:r>
    </w:p>
    <w:p>
      <w:pPr>
        <w:pStyle w:val="5"/>
        <w:spacing w:after="0" w:line="360" w:lineRule="auto"/>
        <w:ind w:firstLine="600" w:firstLineChars="249"/>
        <w:rPr>
          <w:rFonts w:ascii="宋体"/>
          <w:b/>
          <w:bCs/>
          <w:sz w:val="24"/>
          <w:highlight w:val="none"/>
        </w:rPr>
      </w:pPr>
      <w:r>
        <w:rPr>
          <w:rFonts w:hint="eastAsia" w:ascii="宋体" w:hAnsi="宋体"/>
          <w:b/>
          <w:sz w:val="24"/>
          <w:szCs w:val="24"/>
          <w:highlight w:val="none"/>
        </w:rPr>
        <w:t>原文：</w:t>
      </w:r>
      <w:r>
        <w:rPr>
          <w:rFonts w:ascii="宋体" w:hAnsi="宋体"/>
          <w:bCs/>
          <w:sz w:val="24"/>
          <w:highlight w:val="none"/>
        </w:rPr>
        <w:t>18</w:t>
      </w:r>
      <w:r>
        <w:rPr>
          <w:rFonts w:hint="eastAsia" w:ascii="宋体" w:hAnsi="宋体"/>
          <w:bCs/>
          <w:sz w:val="24"/>
          <w:highlight w:val="none"/>
        </w:rPr>
        <w:t>．</w:t>
      </w:r>
      <w:r>
        <w:rPr>
          <w:rFonts w:hint="eastAsia"/>
          <w:sz w:val="24"/>
          <w:szCs w:val="24"/>
          <w:highlight w:val="none"/>
        </w:rPr>
        <w:t>投标文件的密封和标记</w:t>
      </w:r>
    </w:p>
    <w:p>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8</w:t>
      </w:r>
      <w:r>
        <w:rPr>
          <w:rFonts w:ascii="宋体" w:hAnsi="宋体"/>
          <w:bCs/>
          <w:sz w:val="24"/>
          <w:highlight w:val="none"/>
        </w:rPr>
        <w:t>.1</w:t>
      </w:r>
      <w:r>
        <w:rPr>
          <w:rFonts w:hint="eastAsia" w:ascii="宋体" w:hAnsi="宋体"/>
          <w:bCs/>
          <w:sz w:val="24"/>
          <w:highlight w:val="none"/>
        </w:rPr>
        <w:t>递交的电子投标文件（不含备用光盘）必须进行加密。按照交易平台关于</w:t>
      </w:r>
      <w:r>
        <w:rPr>
          <w:rFonts w:hint="eastAsia"/>
          <w:sz w:val="24"/>
          <w:szCs w:val="24"/>
          <w:highlight w:val="none"/>
        </w:rPr>
        <w:t>全流程电子化项目的相关指南进行操作。详见：</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 xml:space="preserve"> 。</w:t>
      </w:r>
    </w:p>
    <w:p>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8</w:t>
      </w:r>
      <w:r>
        <w:rPr>
          <w:rFonts w:ascii="宋体" w:hAnsi="宋体"/>
          <w:bCs/>
          <w:sz w:val="24"/>
          <w:highlight w:val="none"/>
        </w:rPr>
        <w:t>.2</w:t>
      </w:r>
      <w:r>
        <w:rPr>
          <w:rFonts w:ascii="宋体"/>
          <w:bCs/>
          <w:sz w:val="24"/>
          <w:highlight w:val="none"/>
        </w:rPr>
        <w:t xml:space="preserve"> </w:t>
      </w:r>
      <w:r>
        <w:rPr>
          <w:rFonts w:hint="eastAsia" w:ascii="宋体"/>
          <w:bCs/>
          <w:sz w:val="24"/>
          <w:highlight w:val="none"/>
        </w:rPr>
        <w:t>未按要求加密的投标文件，</w:t>
      </w:r>
      <w:r>
        <w:rPr>
          <w:sz w:val="24"/>
          <w:szCs w:val="24"/>
          <w:highlight w:val="none"/>
          <w:u w:val="single"/>
        </w:rPr>
        <w:t xml:space="preserve">        </w:t>
      </w:r>
      <w:r>
        <w:rPr>
          <w:rFonts w:hint="eastAsia" w:ascii="宋体" w:hAnsi="宋体"/>
          <w:sz w:val="24"/>
          <w:szCs w:val="24"/>
          <w:highlight w:val="none"/>
        </w:rPr>
        <w:t>交易平台</w:t>
      </w:r>
      <w:r>
        <w:rPr>
          <w:rFonts w:hint="eastAsia" w:ascii="宋体"/>
          <w:bCs/>
          <w:sz w:val="24"/>
          <w:highlight w:val="none"/>
        </w:rPr>
        <w:t>将予以拒收。</w:t>
      </w: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 xml:space="preserve">18. </w:t>
      </w:r>
      <w:r>
        <w:rPr>
          <w:rFonts w:hint="eastAsia" w:ascii="宋体" w:hAnsi="宋体"/>
          <w:sz w:val="24"/>
          <w:szCs w:val="24"/>
          <w:highlight w:val="none"/>
          <w:u w:val="single"/>
        </w:rPr>
        <w:t>电子投标文件及定标辅助文件</w:t>
      </w:r>
    </w:p>
    <w:p>
      <w:pPr>
        <w:spacing w:line="360" w:lineRule="auto"/>
        <w:ind w:firstLine="480" w:firstLineChars="200"/>
        <w:rPr>
          <w:sz w:val="24"/>
          <w:szCs w:val="24"/>
          <w:highlight w:val="none"/>
        </w:rPr>
      </w:pPr>
      <w:r>
        <w:rPr>
          <w:rFonts w:hint="eastAsia" w:ascii="宋体" w:hAnsi="宋体"/>
          <w:sz w:val="24"/>
          <w:szCs w:val="24"/>
          <w:highlight w:val="none"/>
        </w:rPr>
        <w:t>18.1.1递交的电子投标文件（不含备用U盘）必须进行加密。按照交易平台关于全流程电子化项目的相关指南进行操作。详见：</w:t>
      </w:r>
      <w:r>
        <w:rPr>
          <w:rFonts w:hint="eastAsia" w:ascii="宋体" w:hAnsi="宋体"/>
          <w:sz w:val="24"/>
          <w:szCs w:val="24"/>
          <w:highlight w:val="none"/>
          <w:u w:val="single"/>
        </w:rPr>
        <w:t>广州公共资源交易中心网站</w:t>
      </w:r>
      <w:r>
        <w:rPr>
          <w:rFonts w:hint="eastAsia" w:ascii="宋体" w:hAnsi="宋体"/>
          <w:sz w:val="24"/>
          <w:szCs w:val="24"/>
          <w:highlight w:val="none"/>
        </w:rPr>
        <w:t>。</w:t>
      </w:r>
    </w:p>
    <w:p>
      <w:pPr>
        <w:spacing w:line="360" w:lineRule="auto"/>
        <w:ind w:firstLine="480" w:firstLineChars="200"/>
        <w:rPr>
          <w:rFonts w:ascii="宋体" w:hAnsi="宋体"/>
          <w:bCs/>
          <w:sz w:val="24"/>
          <w:szCs w:val="24"/>
          <w:highlight w:val="none"/>
        </w:rPr>
      </w:pPr>
      <w:r>
        <w:rPr>
          <w:rFonts w:hint="eastAsia" w:ascii="宋体" w:hAnsi="宋体"/>
          <w:sz w:val="24"/>
          <w:szCs w:val="24"/>
          <w:highlight w:val="none"/>
        </w:rPr>
        <w:t>18.2</w:t>
      </w:r>
      <w:r>
        <w:rPr>
          <w:rFonts w:hint="eastAsia" w:ascii="宋体" w:hAnsi="宋体"/>
          <w:bCs/>
          <w:sz w:val="24"/>
          <w:szCs w:val="24"/>
          <w:highlight w:val="none"/>
        </w:rPr>
        <w:t>未按要求加密的投标文件，</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hAnsi="宋体"/>
          <w:sz w:val="24"/>
          <w:szCs w:val="24"/>
          <w:highlight w:val="none"/>
        </w:rPr>
        <w:t>交易平台</w:t>
      </w:r>
      <w:r>
        <w:rPr>
          <w:rFonts w:hint="eastAsia" w:ascii="宋体" w:hAnsi="宋体"/>
          <w:bCs/>
          <w:sz w:val="24"/>
          <w:szCs w:val="24"/>
          <w:highlight w:val="none"/>
        </w:rPr>
        <w:t>将予以拒收。</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rPr>
        <w:t>18.3</w:t>
      </w:r>
      <w:r>
        <w:rPr>
          <w:rFonts w:hint="eastAsia" w:ascii="宋体" w:hAnsi="宋体"/>
          <w:sz w:val="24"/>
          <w:szCs w:val="24"/>
          <w:highlight w:val="none"/>
          <w:u w:val="single"/>
        </w:rPr>
        <w:t>投标人可制作非加密的电子投标文件（</w:t>
      </w:r>
      <w:r>
        <w:rPr>
          <w:rFonts w:hint="eastAsia"/>
          <w:sz w:val="24"/>
          <w:szCs w:val="24"/>
          <w:highlight w:val="none"/>
          <w:u w:val="single"/>
        </w:rPr>
        <w:t>PDF</w:t>
      </w:r>
      <w:r>
        <w:rPr>
          <w:rFonts w:hint="eastAsia" w:ascii="宋体" w:hAnsi="宋体"/>
          <w:sz w:val="24"/>
          <w:szCs w:val="24"/>
          <w:highlight w:val="none"/>
          <w:u w:val="single"/>
        </w:rPr>
        <w:t>格式）存入U盘（</w:t>
      </w:r>
      <w:r>
        <w:rPr>
          <w:rFonts w:hint="eastAsia"/>
          <w:sz w:val="24"/>
          <w:szCs w:val="24"/>
          <w:highlight w:val="none"/>
          <w:u w:val="single"/>
        </w:rPr>
        <w:t>1</w:t>
      </w:r>
      <w:r>
        <w:rPr>
          <w:rFonts w:hint="eastAsia" w:ascii="宋体" w:hAnsi="宋体"/>
          <w:sz w:val="24"/>
          <w:szCs w:val="24"/>
          <w:highlight w:val="none"/>
          <w:u w:val="single"/>
        </w:rPr>
        <w:t>份）作为投标文件备用U盘，投标文件备用U盘密封在密封袋中，并在封口处加盖投标人单位公章。密封袋上应写明项目名称和招标人名称。</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18.4投标人应递交定标辅助文件电子版及纸制版，纸质版正本一份、副本四份，副本可以为正本的复印件，电子文件U盘一套，并将纸质版定标辅助文件及其电子文件U盘一起密封在密封袋中，并在封口处加盖投标人单位公章。密封袋上应写明①项目名称②招标人名称③定标辅助文件。当副本和正本不一致或电子版文件和纸质正本文件不一致时，以纸质正本文件为准。</w:t>
      </w:r>
    </w:p>
    <w:p>
      <w:pPr>
        <w:pBdr>
          <w:bottom w:val="single" w:color="auto" w:sz="6" w:space="1"/>
        </w:pBdr>
        <w:spacing w:line="440" w:lineRule="exact"/>
        <w:rPr>
          <w:rFonts w:ascii="宋体" w:hAnsi="宋体"/>
          <w:sz w:val="24"/>
          <w:szCs w:val="24"/>
          <w:highlight w:val="none"/>
        </w:rPr>
      </w:pPr>
    </w:p>
    <w:p>
      <w:pPr>
        <w:spacing w:line="440" w:lineRule="exact"/>
        <w:ind w:firstLine="540" w:firstLineChars="224"/>
        <w:rPr>
          <w:rFonts w:ascii="宋体" w:hAnsi="宋体"/>
          <w:b/>
          <w:sz w:val="24"/>
          <w:szCs w:val="24"/>
          <w:highlight w:val="none"/>
        </w:rPr>
      </w:pPr>
      <w:r>
        <w:rPr>
          <w:rFonts w:hint="eastAsia" w:ascii="宋体" w:hAnsi="宋体"/>
          <w:b/>
          <w:sz w:val="24"/>
          <w:szCs w:val="24"/>
          <w:highlight w:val="none"/>
        </w:rPr>
        <w:t>条款号：</w:t>
      </w:r>
      <w:r>
        <w:rPr>
          <w:rFonts w:ascii="宋体" w:hAnsi="宋体"/>
          <w:b/>
          <w:sz w:val="24"/>
          <w:szCs w:val="24"/>
          <w:highlight w:val="none"/>
        </w:rPr>
        <w:t xml:space="preserve"> 19</w:t>
      </w:r>
      <w:r>
        <w:rPr>
          <w:rFonts w:hint="eastAsia" w:ascii="宋体" w:hAnsi="宋体"/>
          <w:b/>
          <w:sz w:val="24"/>
          <w:szCs w:val="24"/>
          <w:highlight w:val="none"/>
        </w:rPr>
        <w:t>． 修改类型：修改</w:t>
      </w:r>
    </w:p>
    <w:p>
      <w:pPr>
        <w:spacing w:line="440" w:lineRule="exact"/>
        <w:ind w:firstLine="600" w:firstLineChars="249"/>
        <w:rPr>
          <w:rFonts w:ascii="宋体" w:hAnsi="宋体"/>
          <w:bCs/>
          <w:sz w:val="24"/>
          <w:szCs w:val="24"/>
          <w:highlight w:val="none"/>
        </w:rPr>
      </w:pPr>
      <w:r>
        <w:rPr>
          <w:rFonts w:hint="eastAsia" w:ascii="宋体" w:hAnsi="宋体"/>
          <w:b/>
          <w:sz w:val="24"/>
          <w:szCs w:val="24"/>
          <w:highlight w:val="none"/>
        </w:rPr>
        <w:t>原文：</w:t>
      </w:r>
      <w:r>
        <w:rPr>
          <w:rFonts w:hint="eastAsia" w:ascii="宋体" w:hAnsi="宋体"/>
          <w:bCs/>
          <w:sz w:val="24"/>
          <w:szCs w:val="24"/>
          <w:highlight w:val="none"/>
        </w:rPr>
        <w:t>投标文件的递交和接收</w:t>
      </w:r>
    </w:p>
    <w:p>
      <w:pPr>
        <w:spacing w:line="440" w:lineRule="exact"/>
        <w:ind w:firstLine="480" w:firstLineChars="200"/>
        <w:rPr>
          <w:rFonts w:ascii="宋体" w:hAnsi="宋体"/>
          <w:bCs/>
          <w:sz w:val="24"/>
          <w:szCs w:val="24"/>
          <w:highlight w:val="none"/>
        </w:rPr>
      </w:pPr>
      <w:r>
        <w:rPr>
          <w:rFonts w:ascii="宋体" w:hAnsi="宋体"/>
          <w:bCs/>
          <w:sz w:val="24"/>
          <w:szCs w:val="24"/>
          <w:highlight w:val="none"/>
        </w:rPr>
        <w:t>1</w:t>
      </w:r>
      <w:r>
        <w:rPr>
          <w:rFonts w:hint="eastAsia" w:ascii="宋体" w:hAnsi="宋体"/>
          <w:bCs/>
          <w:sz w:val="24"/>
          <w:szCs w:val="24"/>
          <w:highlight w:val="none"/>
        </w:rPr>
        <w:t>9</w:t>
      </w:r>
      <w:r>
        <w:rPr>
          <w:rFonts w:ascii="宋体" w:hAnsi="宋体"/>
          <w:bCs/>
          <w:sz w:val="24"/>
          <w:szCs w:val="24"/>
          <w:highlight w:val="none"/>
        </w:rPr>
        <w:t>.</w:t>
      </w:r>
      <w:r>
        <w:rPr>
          <w:rFonts w:hint="eastAsia" w:ascii="宋体" w:hAnsi="宋体"/>
          <w:bCs/>
          <w:sz w:val="24"/>
          <w:szCs w:val="24"/>
          <w:highlight w:val="none"/>
        </w:rPr>
        <w:t>1投标人通过</w:t>
      </w:r>
      <w:r>
        <w:rPr>
          <w:rFonts w:hint="eastAsia" w:ascii="宋体" w:hAnsi="宋体"/>
          <w:sz w:val="24"/>
          <w:szCs w:val="24"/>
          <w:highlight w:val="none"/>
        </w:rPr>
        <w:t>交易平台递交电子投标文件。</w:t>
      </w:r>
    </w:p>
    <w:p>
      <w:pPr>
        <w:spacing w:line="440" w:lineRule="exact"/>
        <w:ind w:firstLine="480" w:firstLineChars="200"/>
        <w:rPr>
          <w:rFonts w:ascii="宋体" w:hAnsi="宋体"/>
          <w:bCs/>
          <w:sz w:val="24"/>
          <w:szCs w:val="24"/>
          <w:highlight w:val="none"/>
        </w:rPr>
      </w:pPr>
      <w:r>
        <w:rPr>
          <w:rFonts w:ascii="宋体" w:hAnsi="宋体"/>
          <w:bCs/>
          <w:sz w:val="24"/>
          <w:szCs w:val="24"/>
          <w:highlight w:val="none"/>
        </w:rPr>
        <w:t>1</w:t>
      </w:r>
      <w:r>
        <w:rPr>
          <w:rFonts w:hint="eastAsia" w:ascii="宋体" w:hAnsi="宋体"/>
          <w:bCs/>
          <w:sz w:val="24"/>
          <w:szCs w:val="24"/>
          <w:highlight w:val="none"/>
        </w:rPr>
        <w:t>9</w:t>
      </w:r>
      <w:r>
        <w:rPr>
          <w:rFonts w:ascii="宋体" w:hAnsi="宋体"/>
          <w:bCs/>
          <w:sz w:val="24"/>
          <w:szCs w:val="24"/>
          <w:highlight w:val="none"/>
        </w:rPr>
        <w:t>.</w:t>
      </w:r>
      <w:r>
        <w:rPr>
          <w:rFonts w:hint="eastAsia" w:ascii="宋体" w:hAnsi="宋体"/>
          <w:bCs/>
          <w:sz w:val="24"/>
          <w:szCs w:val="24"/>
          <w:highlight w:val="none"/>
        </w:rPr>
        <w:t>2投标人完成电子</w:t>
      </w:r>
      <w:r>
        <w:rPr>
          <w:rFonts w:hint="eastAsia" w:ascii="宋体" w:hAnsi="宋体"/>
          <w:sz w:val="24"/>
          <w:szCs w:val="24"/>
          <w:highlight w:val="none"/>
        </w:rPr>
        <w:t>投标文件</w:t>
      </w:r>
      <w:r>
        <w:rPr>
          <w:rFonts w:hint="eastAsia" w:ascii="宋体" w:hAnsi="宋体"/>
          <w:bCs/>
          <w:sz w:val="24"/>
          <w:szCs w:val="24"/>
          <w:highlight w:val="none"/>
        </w:rPr>
        <w:t>上传后，</w:t>
      </w:r>
      <w:r>
        <w:rPr>
          <w:rFonts w:hint="eastAsia" w:ascii="宋体" w:hAnsi="宋体"/>
          <w:sz w:val="24"/>
          <w:szCs w:val="24"/>
          <w:highlight w:val="none"/>
        </w:rPr>
        <w:t>交易平台即时向投标人发出递交回执通知。递交时间以递交回执通知载明的传输完成时间为准。</w:t>
      </w:r>
    </w:p>
    <w:p>
      <w:pPr>
        <w:spacing w:line="440" w:lineRule="exact"/>
        <w:ind w:firstLine="480" w:firstLineChars="200"/>
        <w:rPr>
          <w:rFonts w:ascii="宋体" w:hAnsi="宋体"/>
          <w:sz w:val="24"/>
          <w:szCs w:val="24"/>
          <w:highlight w:val="none"/>
        </w:rPr>
      </w:pPr>
      <w:r>
        <w:rPr>
          <w:rFonts w:ascii="宋体" w:hAnsi="宋体"/>
          <w:bCs/>
          <w:sz w:val="24"/>
          <w:szCs w:val="24"/>
          <w:highlight w:val="none"/>
        </w:rPr>
        <w:t>1</w:t>
      </w:r>
      <w:r>
        <w:rPr>
          <w:rFonts w:hint="eastAsia" w:ascii="宋体" w:hAnsi="宋体"/>
          <w:bCs/>
          <w:sz w:val="24"/>
          <w:szCs w:val="24"/>
          <w:highlight w:val="none"/>
        </w:rPr>
        <w:t>9</w:t>
      </w:r>
      <w:r>
        <w:rPr>
          <w:rFonts w:ascii="宋体" w:hAnsi="宋体"/>
          <w:bCs/>
          <w:sz w:val="24"/>
          <w:szCs w:val="24"/>
          <w:highlight w:val="none"/>
        </w:rPr>
        <w:t>.</w:t>
      </w:r>
      <w:r>
        <w:rPr>
          <w:rFonts w:hint="eastAsia" w:ascii="宋体" w:hAnsi="宋体"/>
          <w:bCs/>
          <w:sz w:val="24"/>
          <w:szCs w:val="24"/>
          <w:highlight w:val="none"/>
        </w:rPr>
        <w:t>3逾期送达的电子投标文件，</w:t>
      </w:r>
      <w:r>
        <w:rPr>
          <w:rFonts w:hint="eastAsia" w:ascii="宋体" w:hAnsi="宋体"/>
          <w:sz w:val="24"/>
          <w:szCs w:val="24"/>
          <w:highlight w:val="none"/>
        </w:rPr>
        <w:t>交易平台将予以拒收。</w:t>
      </w:r>
    </w:p>
    <w:p>
      <w:pPr>
        <w:spacing w:line="440" w:lineRule="exact"/>
        <w:ind w:firstLine="480" w:firstLineChars="200"/>
        <w:rPr>
          <w:rFonts w:ascii="宋体" w:hAnsi="宋体"/>
          <w:sz w:val="24"/>
          <w:szCs w:val="24"/>
          <w:highlight w:val="none"/>
        </w:rPr>
      </w:pPr>
      <w:r>
        <w:rPr>
          <w:rFonts w:ascii="宋体" w:hAnsi="宋体"/>
          <w:sz w:val="24"/>
          <w:szCs w:val="24"/>
          <w:highlight w:val="none"/>
        </w:rPr>
        <w:t>19.</w:t>
      </w:r>
      <w:r>
        <w:rPr>
          <w:rFonts w:hint="eastAsia" w:ascii="宋体" w:hAnsi="宋体"/>
          <w:sz w:val="24"/>
          <w:szCs w:val="24"/>
          <w:highlight w:val="none"/>
        </w:rPr>
        <w:t>4投标截止前，招标人拒绝接收符合条件的投标文件，投标人可向招标投标监督机构投诉。</w:t>
      </w:r>
    </w:p>
    <w:p>
      <w:pPr>
        <w:spacing w:line="440" w:lineRule="exact"/>
        <w:ind w:firstLine="480" w:firstLineChars="200"/>
        <w:rPr>
          <w:rFonts w:ascii="宋体" w:hAnsi="宋体"/>
          <w:sz w:val="24"/>
          <w:szCs w:val="24"/>
          <w:highlight w:val="none"/>
        </w:rPr>
      </w:pPr>
      <w:r>
        <w:rPr>
          <w:rFonts w:ascii="宋体" w:hAnsi="宋体"/>
          <w:sz w:val="24"/>
          <w:szCs w:val="24"/>
          <w:highlight w:val="none"/>
        </w:rPr>
        <w:t>19.</w:t>
      </w:r>
      <w:r>
        <w:rPr>
          <w:rFonts w:hint="eastAsia" w:ascii="宋体" w:hAnsi="宋体"/>
          <w:sz w:val="24"/>
          <w:szCs w:val="24"/>
          <w:highlight w:val="none"/>
        </w:rPr>
        <w:t>5如技术标和经济标先后分别开启，交易平台将按招标文件规定的时间分别开启技术标和经济标。</w:t>
      </w:r>
    </w:p>
    <w:p>
      <w:pPr>
        <w:spacing w:line="440" w:lineRule="exact"/>
        <w:ind w:firstLine="537" w:firstLineChars="224"/>
        <w:rPr>
          <w:rFonts w:ascii="宋体" w:hAnsi="宋体"/>
          <w:b/>
          <w:sz w:val="24"/>
          <w:szCs w:val="24"/>
          <w:highlight w:val="none"/>
        </w:rPr>
      </w:pPr>
      <w:r>
        <w:rPr>
          <w:rFonts w:ascii="宋体" w:hAnsi="宋体"/>
          <w:sz w:val="24"/>
          <w:szCs w:val="24"/>
          <w:highlight w:val="none"/>
        </w:rPr>
        <w:t>19.6</w:t>
      </w:r>
      <w:r>
        <w:rPr>
          <w:rFonts w:hint="eastAsia" w:ascii="宋体" w:hAnsi="宋体"/>
          <w:sz w:val="24"/>
          <w:szCs w:val="24"/>
          <w:highlight w:val="none"/>
        </w:rPr>
        <w:t>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440" w:lineRule="exact"/>
        <w:ind w:firstLine="590" w:firstLineChars="245"/>
        <w:rPr>
          <w:rFonts w:ascii="宋体" w:hAnsi="宋体"/>
          <w:b/>
          <w:sz w:val="24"/>
          <w:szCs w:val="24"/>
          <w:highlight w:val="none"/>
        </w:rPr>
      </w:pPr>
      <w:r>
        <w:rPr>
          <w:rFonts w:hint="eastAsia" w:ascii="宋体" w:hAnsi="宋体"/>
          <w:b/>
          <w:sz w:val="24"/>
          <w:szCs w:val="24"/>
          <w:highlight w:val="none"/>
        </w:rPr>
        <w:t>现文：</w:t>
      </w:r>
      <w:r>
        <w:rPr>
          <w:rFonts w:hint="eastAsia" w:ascii="宋体" w:hAnsi="宋体"/>
          <w:b/>
          <w:bCs/>
          <w:sz w:val="24"/>
          <w:szCs w:val="24"/>
          <w:highlight w:val="none"/>
        </w:rPr>
        <w:t>投标文件及定标辅助文件的递交和接收</w:t>
      </w:r>
    </w:p>
    <w:p>
      <w:pPr>
        <w:spacing w:line="360" w:lineRule="auto"/>
        <w:ind w:firstLine="480" w:firstLineChars="200"/>
        <w:rPr>
          <w:rFonts w:ascii="宋体"/>
          <w:sz w:val="24"/>
          <w:szCs w:val="24"/>
          <w:highlight w:val="none"/>
        </w:rPr>
      </w:pPr>
      <w:r>
        <w:rPr>
          <w:rFonts w:hint="eastAsia" w:ascii="宋体" w:hAnsi="宋体"/>
          <w:sz w:val="24"/>
          <w:szCs w:val="24"/>
          <w:highlight w:val="none"/>
        </w:rPr>
        <w:t>19</w:t>
      </w:r>
      <w:r>
        <w:rPr>
          <w:rFonts w:hint="eastAsia" w:ascii="宋体"/>
          <w:sz w:val="24"/>
          <w:szCs w:val="24"/>
          <w:highlight w:val="none"/>
        </w:rPr>
        <w:t>.</w:t>
      </w:r>
      <w:r>
        <w:rPr>
          <w:rFonts w:hint="eastAsia" w:ascii="宋体" w:hAnsi="宋体"/>
          <w:sz w:val="24"/>
          <w:szCs w:val="24"/>
          <w:highlight w:val="none"/>
        </w:rPr>
        <w:t>1投标人通过</w:t>
      </w:r>
      <w:r>
        <w:rPr>
          <w:rFonts w:hint="eastAsia" w:ascii="宋体" w:hAnsi="宋体"/>
          <w:sz w:val="24"/>
          <w:szCs w:val="24"/>
          <w:highlight w:val="none"/>
          <w:u w:val="single"/>
        </w:rPr>
        <w:t>广州公共资源交易中心</w:t>
      </w:r>
      <w:r>
        <w:rPr>
          <w:rFonts w:hint="eastAsia" w:ascii="宋体" w:hAnsi="宋体"/>
          <w:sz w:val="24"/>
          <w:szCs w:val="24"/>
          <w:highlight w:val="none"/>
        </w:rPr>
        <w:t>交易平台递交电子投标文件</w:t>
      </w:r>
      <w:r>
        <w:rPr>
          <w:rFonts w:hint="eastAsia" w:ascii="宋体" w:hAnsi="宋体"/>
          <w:sz w:val="24"/>
          <w:szCs w:val="24"/>
          <w:highlight w:val="none"/>
          <w:u w:val="single"/>
        </w:rPr>
        <w:t>（含定标辅助文件）</w:t>
      </w:r>
      <w:r>
        <w:rPr>
          <w:rFonts w:hint="eastAsia" w:ascii="宋体" w:hAnsi="宋体"/>
          <w:sz w:val="24"/>
          <w:szCs w:val="24"/>
          <w:highlight w:val="none"/>
        </w:rPr>
        <w:t>。</w:t>
      </w:r>
    </w:p>
    <w:p>
      <w:pPr>
        <w:spacing w:line="360" w:lineRule="auto"/>
        <w:ind w:firstLine="480" w:firstLineChars="200"/>
        <w:rPr>
          <w:rFonts w:ascii="宋体"/>
          <w:sz w:val="24"/>
          <w:szCs w:val="24"/>
          <w:highlight w:val="none"/>
        </w:rPr>
      </w:pPr>
      <w:r>
        <w:rPr>
          <w:rFonts w:hint="eastAsia" w:ascii="宋体" w:hAnsi="宋体"/>
          <w:sz w:val="24"/>
          <w:szCs w:val="24"/>
          <w:highlight w:val="none"/>
        </w:rPr>
        <w:t>19</w:t>
      </w:r>
      <w:r>
        <w:rPr>
          <w:rFonts w:hint="eastAsia" w:ascii="宋体"/>
          <w:sz w:val="24"/>
          <w:szCs w:val="24"/>
          <w:highlight w:val="none"/>
        </w:rPr>
        <w:t>.</w:t>
      </w:r>
      <w:r>
        <w:rPr>
          <w:rFonts w:hint="eastAsia" w:ascii="宋体" w:hAnsi="宋体"/>
          <w:sz w:val="24"/>
          <w:szCs w:val="24"/>
          <w:highlight w:val="none"/>
        </w:rPr>
        <w:t>2投标人完成电子投标文件上传后，</w:t>
      </w:r>
      <w:r>
        <w:rPr>
          <w:rFonts w:hint="eastAsia" w:ascii="宋体" w:hAnsi="宋体"/>
          <w:sz w:val="24"/>
          <w:szCs w:val="24"/>
          <w:highlight w:val="none"/>
          <w:u w:val="single"/>
        </w:rPr>
        <w:t>广州公共资源交易中心</w:t>
      </w:r>
      <w:r>
        <w:rPr>
          <w:rFonts w:hint="eastAsia" w:ascii="宋体" w:hAnsi="宋体"/>
          <w:sz w:val="24"/>
          <w:szCs w:val="24"/>
          <w:highlight w:val="none"/>
        </w:rPr>
        <w:t>交易平台即时向投标人发出递交回执通知。递交时间以递交回执通知载明的传输完成时间为准。</w:t>
      </w:r>
    </w:p>
    <w:p>
      <w:pPr>
        <w:spacing w:line="360" w:lineRule="auto"/>
        <w:ind w:firstLine="480" w:firstLineChars="200"/>
        <w:rPr>
          <w:rFonts w:ascii="宋体"/>
          <w:sz w:val="24"/>
          <w:szCs w:val="24"/>
          <w:highlight w:val="none"/>
        </w:rPr>
      </w:pPr>
      <w:r>
        <w:rPr>
          <w:rFonts w:hint="eastAsia" w:ascii="宋体" w:hAnsi="宋体"/>
          <w:sz w:val="24"/>
          <w:szCs w:val="24"/>
          <w:highlight w:val="none"/>
        </w:rPr>
        <w:t>19</w:t>
      </w:r>
      <w:r>
        <w:rPr>
          <w:rFonts w:hint="eastAsia" w:ascii="宋体"/>
          <w:sz w:val="24"/>
          <w:szCs w:val="24"/>
          <w:highlight w:val="none"/>
        </w:rPr>
        <w:t>.</w:t>
      </w:r>
      <w:r>
        <w:rPr>
          <w:rFonts w:hint="eastAsia" w:ascii="宋体" w:hAnsi="宋体"/>
          <w:sz w:val="24"/>
          <w:szCs w:val="24"/>
          <w:highlight w:val="none"/>
        </w:rPr>
        <w:t>3逾期送达的电子投标文件，</w:t>
      </w:r>
      <w:r>
        <w:rPr>
          <w:rFonts w:hint="eastAsia" w:ascii="宋体" w:hAnsi="宋体"/>
          <w:sz w:val="24"/>
          <w:szCs w:val="24"/>
          <w:highlight w:val="none"/>
          <w:u w:val="single"/>
        </w:rPr>
        <w:t>广州公共资源交易中心</w:t>
      </w:r>
      <w:r>
        <w:rPr>
          <w:rFonts w:hint="eastAsia" w:ascii="宋体" w:hAnsi="宋体"/>
          <w:sz w:val="24"/>
          <w:szCs w:val="24"/>
          <w:highlight w:val="none"/>
        </w:rPr>
        <w:t>交易平台将予以拒收。</w:t>
      </w:r>
    </w:p>
    <w:p>
      <w:pPr>
        <w:spacing w:line="360" w:lineRule="auto"/>
        <w:ind w:firstLine="480" w:firstLineChars="200"/>
        <w:rPr>
          <w:rFonts w:ascii="宋体"/>
          <w:sz w:val="24"/>
          <w:szCs w:val="24"/>
          <w:highlight w:val="none"/>
        </w:rPr>
      </w:pPr>
      <w:r>
        <w:rPr>
          <w:rFonts w:hint="eastAsia" w:ascii="宋体" w:hAnsi="宋体"/>
          <w:sz w:val="24"/>
          <w:szCs w:val="24"/>
          <w:highlight w:val="none"/>
        </w:rPr>
        <w:t>19.4 投标截止前，招标人拒绝接收符合条件的投标文件，投标人可向招标投标监督机构投诉。</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19.5技术标和经济标同时开启，</w:t>
      </w:r>
      <w:r>
        <w:rPr>
          <w:rFonts w:hint="eastAsia"/>
          <w:sz w:val="24"/>
          <w:szCs w:val="24"/>
          <w:highlight w:val="none"/>
          <w:u w:val="single"/>
        </w:rPr>
        <w:t>广州</w:t>
      </w:r>
      <w:r>
        <w:rPr>
          <w:sz w:val="24"/>
          <w:szCs w:val="24"/>
          <w:highlight w:val="none"/>
          <w:u w:val="single"/>
        </w:rPr>
        <w:t>公共资源交易中心</w:t>
      </w:r>
      <w:r>
        <w:rPr>
          <w:rFonts w:hint="eastAsia" w:ascii="宋体" w:hAnsi="宋体"/>
          <w:sz w:val="24"/>
          <w:szCs w:val="24"/>
          <w:highlight w:val="none"/>
          <w:u w:val="single"/>
        </w:rPr>
        <w:t>交易平台将按招标文件规定的时间同时开启技术标和经济标。</w:t>
      </w:r>
    </w:p>
    <w:p>
      <w:pPr>
        <w:spacing w:line="360" w:lineRule="auto"/>
        <w:ind w:firstLine="480" w:firstLineChars="200"/>
        <w:rPr>
          <w:rFonts w:ascii="宋体"/>
          <w:sz w:val="24"/>
          <w:szCs w:val="24"/>
          <w:highlight w:val="none"/>
          <w:u w:val="single"/>
        </w:rPr>
      </w:pPr>
      <w:r>
        <w:rPr>
          <w:rFonts w:hint="eastAsia" w:ascii="宋体"/>
          <w:sz w:val="24"/>
          <w:szCs w:val="24"/>
          <w:highlight w:val="none"/>
          <w:u w:val="single"/>
        </w:rPr>
        <w:t>19.6投标人代表应按投标须知前附表第18项所规定的时间和地点向招标人递交定标辅助文件，投标人代表应由投标人法定代表人或法定代表人书面授权的委托代理人担任，若出现以下情况之一的，招标人将拒绝接收定标辅助文件：</w:t>
      </w:r>
    </w:p>
    <w:p>
      <w:pPr>
        <w:spacing w:line="360" w:lineRule="auto"/>
        <w:ind w:firstLine="480" w:firstLineChars="200"/>
        <w:rPr>
          <w:rFonts w:ascii="宋体"/>
          <w:sz w:val="24"/>
          <w:szCs w:val="24"/>
          <w:highlight w:val="none"/>
          <w:u w:val="single"/>
        </w:rPr>
      </w:pPr>
      <w:r>
        <w:rPr>
          <w:rFonts w:hint="eastAsia" w:ascii="宋体"/>
          <w:sz w:val="24"/>
          <w:szCs w:val="24"/>
          <w:highlight w:val="none"/>
          <w:u w:val="single"/>
        </w:rPr>
        <w:t>19.6.1逾期或未在指定地点递交定标辅助文件的；</w:t>
      </w:r>
    </w:p>
    <w:p>
      <w:pPr>
        <w:pBdr>
          <w:bottom w:val="single" w:color="auto" w:sz="4" w:space="1"/>
        </w:pBdr>
        <w:spacing w:line="360" w:lineRule="auto"/>
        <w:ind w:firstLine="480" w:firstLineChars="200"/>
        <w:rPr>
          <w:rFonts w:ascii="宋体" w:hAnsi="宋体"/>
          <w:sz w:val="24"/>
          <w:szCs w:val="24"/>
          <w:highlight w:val="none"/>
          <w:u w:val="single"/>
        </w:rPr>
      </w:pPr>
      <w:r>
        <w:rPr>
          <w:rFonts w:hint="eastAsia" w:ascii="宋体"/>
          <w:sz w:val="24"/>
          <w:szCs w:val="24"/>
          <w:highlight w:val="none"/>
          <w:u w:val="single"/>
        </w:rPr>
        <w:t>19.7投标人如不提交定标辅助文件，不被认定为不通过资格审查或有效性审查，但如该投标人成为定标阶段的合格中标候选人，将影响其定标阶段的最终排名。</w:t>
      </w:r>
    </w:p>
    <w:p>
      <w:pPr>
        <w:spacing w:line="440" w:lineRule="exact"/>
        <w:ind w:firstLine="590" w:firstLineChars="245"/>
        <w:rPr>
          <w:rFonts w:ascii="宋体" w:hAnsi="宋体"/>
          <w:b/>
          <w:sz w:val="24"/>
          <w:szCs w:val="24"/>
          <w:highlight w:val="none"/>
        </w:rPr>
      </w:pPr>
      <w:r>
        <w:rPr>
          <w:rFonts w:hint="eastAsia" w:ascii="宋体" w:hAnsi="宋体"/>
          <w:b/>
          <w:sz w:val="24"/>
          <w:szCs w:val="24"/>
          <w:highlight w:val="none"/>
        </w:rPr>
        <w:t>条款号：</w:t>
      </w:r>
      <w:r>
        <w:rPr>
          <w:rFonts w:ascii="宋体" w:hAnsi="宋体"/>
          <w:b/>
          <w:sz w:val="24"/>
          <w:szCs w:val="24"/>
          <w:highlight w:val="none"/>
        </w:rPr>
        <w:t xml:space="preserve">21.1      </w:t>
      </w:r>
      <w:r>
        <w:rPr>
          <w:rFonts w:hint="eastAsia" w:ascii="宋体" w:hAnsi="宋体"/>
          <w:b/>
          <w:sz w:val="24"/>
          <w:szCs w:val="24"/>
          <w:highlight w:val="none"/>
        </w:rPr>
        <w:t xml:space="preserve"> 修改类型：修改</w:t>
      </w:r>
    </w:p>
    <w:p>
      <w:pPr>
        <w:spacing w:line="440" w:lineRule="exact"/>
        <w:ind w:firstLine="590" w:firstLineChars="245"/>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本须知前附表第</w:t>
      </w:r>
      <w:r>
        <w:rPr>
          <w:rFonts w:ascii="宋体" w:hAnsi="宋体"/>
          <w:sz w:val="24"/>
          <w:szCs w:val="24"/>
          <w:highlight w:val="none"/>
        </w:rPr>
        <w:t>1</w:t>
      </w:r>
      <w:r>
        <w:rPr>
          <w:rFonts w:hint="eastAsia" w:ascii="宋体" w:hAnsi="宋体"/>
          <w:sz w:val="24"/>
          <w:szCs w:val="24"/>
          <w:highlight w:val="none"/>
        </w:rPr>
        <w:t>7项规定的投标截止时间</w:t>
      </w:r>
      <w:r>
        <w:rPr>
          <w:rFonts w:hint="eastAsia" w:ascii="宋体" w:hAnsi="宋体"/>
          <w:bCs/>
          <w:sz w:val="24"/>
          <w:szCs w:val="24"/>
          <w:highlight w:val="none"/>
        </w:rPr>
        <w:t>后送达的电子投标文件，</w:t>
      </w:r>
      <w:r>
        <w:rPr>
          <w:rFonts w:hint="eastAsia" w:ascii="宋体" w:hAnsi="宋体"/>
          <w:sz w:val="24"/>
          <w:szCs w:val="24"/>
          <w:highlight w:val="none"/>
        </w:rPr>
        <w:t>交易平台将予以拒收。</w:t>
      </w:r>
    </w:p>
    <w:p>
      <w:pPr>
        <w:pBdr>
          <w:bottom w:val="single" w:color="auto" w:sz="6" w:space="1"/>
        </w:pBdr>
        <w:spacing w:line="440" w:lineRule="exact"/>
        <w:ind w:firstLine="602" w:firstLineChars="250"/>
        <w:rPr>
          <w:rFonts w:ascii="宋体" w:hAnsi="宋体"/>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本须知前附表第17项规定的投标截止时间后送达的电子投标文件，</w:t>
      </w:r>
      <w:r>
        <w:rPr>
          <w:rFonts w:hint="eastAsia" w:ascii="宋体" w:hAnsi="宋体"/>
          <w:sz w:val="24"/>
          <w:szCs w:val="24"/>
          <w:highlight w:val="none"/>
          <w:u w:val="single"/>
        </w:rPr>
        <w:t>广州公共资源交易中心</w:t>
      </w:r>
      <w:r>
        <w:rPr>
          <w:rFonts w:hint="eastAsia" w:ascii="宋体" w:hAnsi="宋体"/>
          <w:sz w:val="24"/>
          <w:szCs w:val="24"/>
          <w:highlight w:val="none"/>
        </w:rPr>
        <w:t>交易平台将予以拒收。</w:t>
      </w:r>
    </w:p>
    <w:p>
      <w:pPr>
        <w:spacing w:line="440" w:lineRule="exact"/>
        <w:ind w:firstLine="540" w:firstLineChars="224"/>
        <w:rPr>
          <w:rFonts w:ascii="宋体" w:hAnsi="宋体"/>
          <w:b/>
          <w:sz w:val="24"/>
          <w:szCs w:val="24"/>
          <w:highlight w:val="none"/>
        </w:rPr>
      </w:pPr>
      <w:r>
        <w:rPr>
          <w:rFonts w:hint="eastAsia" w:ascii="宋体" w:hAnsi="宋体"/>
          <w:b/>
          <w:sz w:val="24"/>
          <w:szCs w:val="24"/>
          <w:highlight w:val="none"/>
        </w:rPr>
        <w:t>条款号：</w:t>
      </w:r>
      <w:r>
        <w:rPr>
          <w:rFonts w:ascii="宋体" w:hAnsi="宋体"/>
          <w:b/>
          <w:sz w:val="24"/>
          <w:szCs w:val="24"/>
          <w:highlight w:val="none"/>
        </w:rPr>
        <w:t>27.</w:t>
      </w:r>
      <w:r>
        <w:rPr>
          <w:rFonts w:hint="eastAsia" w:ascii="宋体" w:hAnsi="宋体"/>
          <w:b/>
          <w:sz w:val="24"/>
          <w:szCs w:val="24"/>
          <w:highlight w:val="none"/>
        </w:rPr>
        <w:t>、27.</w:t>
      </w:r>
      <w:r>
        <w:rPr>
          <w:rFonts w:ascii="宋体" w:hAnsi="宋体"/>
          <w:b/>
          <w:sz w:val="24"/>
          <w:szCs w:val="24"/>
          <w:highlight w:val="none"/>
        </w:rPr>
        <w:t xml:space="preserve">1           </w:t>
      </w:r>
      <w:r>
        <w:rPr>
          <w:rFonts w:hint="eastAsia" w:ascii="宋体" w:hAnsi="宋体"/>
          <w:b/>
          <w:sz w:val="24"/>
          <w:szCs w:val="24"/>
          <w:highlight w:val="none"/>
        </w:rPr>
        <w:t>修改类型：修改</w:t>
      </w:r>
    </w:p>
    <w:p>
      <w:pPr>
        <w:spacing w:line="440" w:lineRule="exact"/>
        <w:ind w:firstLine="540" w:firstLineChars="224"/>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中标通知书</w:t>
      </w:r>
    </w:p>
    <w:p>
      <w:pPr>
        <w:spacing w:line="440" w:lineRule="exact"/>
        <w:ind w:firstLine="537" w:firstLineChars="224"/>
        <w:rPr>
          <w:rFonts w:ascii="宋体" w:hAnsi="宋体"/>
          <w:b/>
          <w:sz w:val="24"/>
          <w:szCs w:val="24"/>
          <w:highlight w:val="none"/>
        </w:rPr>
      </w:pPr>
      <w:r>
        <w:rPr>
          <w:rFonts w:hint="eastAsia" w:ascii="宋体" w:hAnsi="宋体"/>
          <w:sz w:val="24"/>
          <w:szCs w:val="24"/>
          <w:highlight w:val="none"/>
        </w:rPr>
        <w:t>27.1招标人将在交易平台、广东省招标投标监管网和中国招标投标公共服务平台公示中标候选人，公示期为三天。</w:t>
      </w:r>
    </w:p>
    <w:p>
      <w:pPr>
        <w:pBdr>
          <w:bottom w:val="single" w:color="auto" w:sz="6" w:space="1"/>
        </w:pBdr>
        <w:spacing w:line="440" w:lineRule="exact"/>
        <w:ind w:firstLine="602" w:firstLineChars="250"/>
        <w:rPr>
          <w:rFonts w:ascii="宋体" w:hAnsi="宋体"/>
          <w:b/>
          <w:sz w:val="24"/>
          <w:szCs w:val="24"/>
          <w:highlight w:val="none"/>
        </w:rPr>
      </w:pPr>
      <w:r>
        <w:rPr>
          <w:rFonts w:hint="eastAsia" w:ascii="宋体" w:hAnsi="宋体"/>
          <w:b/>
          <w:sz w:val="24"/>
          <w:szCs w:val="24"/>
          <w:highlight w:val="none"/>
        </w:rPr>
        <w:t>现文：27.</w:t>
      </w:r>
      <w:r>
        <w:rPr>
          <w:rFonts w:hint="eastAsia" w:ascii="宋体" w:hAnsi="宋体"/>
          <w:sz w:val="24"/>
          <w:szCs w:val="24"/>
          <w:highlight w:val="none"/>
          <w:u w:val="single"/>
        </w:rPr>
        <w:t>定标及</w:t>
      </w:r>
      <w:r>
        <w:rPr>
          <w:rFonts w:hint="eastAsia" w:ascii="宋体" w:hAnsi="宋体"/>
          <w:sz w:val="24"/>
          <w:szCs w:val="24"/>
          <w:highlight w:val="none"/>
        </w:rPr>
        <w:t>中标通知书</w:t>
      </w:r>
    </w:p>
    <w:p>
      <w:pPr>
        <w:pBdr>
          <w:bottom w:val="single" w:color="auto" w:sz="6" w:space="1"/>
        </w:pBdr>
        <w:spacing w:line="440" w:lineRule="exact"/>
        <w:ind w:firstLine="600" w:firstLineChars="250"/>
        <w:rPr>
          <w:rFonts w:ascii="宋体" w:hAnsi="宋体"/>
          <w:sz w:val="24"/>
          <w:szCs w:val="24"/>
          <w:highlight w:val="none"/>
        </w:rPr>
      </w:pPr>
      <w:r>
        <w:rPr>
          <w:rFonts w:hint="eastAsia" w:ascii="宋体" w:hAnsi="宋体"/>
          <w:sz w:val="24"/>
          <w:szCs w:val="24"/>
          <w:highlight w:val="none"/>
        </w:rPr>
        <w:t>27.1招标人将在</w:t>
      </w:r>
      <w:r>
        <w:rPr>
          <w:rFonts w:hint="eastAsia" w:ascii="宋体" w:hAnsi="宋体"/>
          <w:sz w:val="24"/>
          <w:szCs w:val="24"/>
          <w:highlight w:val="none"/>
          <w:u w:val="single"/>
        </w:rPr>
        <w:t>广州公共资源交易中心</w:t>
      </w:r>
      <w:r>
        <w:rPr>
          <w:rFonts w:hint="eastAsia" w:ascii="宋体" w:hAnsi="宋体"/>
          <w:sz w:val="24"/>
          <w:szCs w:val="24"/>
          <w:highlight w:val="none"/>
        </w:rPr>
        <w:t>交易平台、广东省招标投标监管网和中国招标投标公共服务平台公示合格的中标候选人</w:t>
      </w:r>
      <w:r>
        <w:rPr>
          <w:rFonts w:hint="eastAsia" w:ascii="宋体" w:hAnsi="宋体"/>
          <w:sz w:val="24"/>
          <w:szCs w:val="24"/>
          <w:highlight w:val="none"/>
          <w:u w:val="single"/>
        </w:rPr>
        <w:t>【不排序，按统一社会信用代码后4位（除校验码外）大小排位】</w:t>
      </w:r>
      <w:r>
        <w:rPr>
          <w:rFonts w:hint="eastAsia" w:ascii="宋体" w:hAnsi="宋体"/>
          <w:sz w:val="24"/>
          <w:szCs w:val="24"/>
          <w:highlight w:val="none"/>
        </w:rPr>
        <w:t>，公示期为三天。</w:t>
      </w:r>
      <w:r>
        <w:rPr>
          <w:rFonts w:hint="eastAsia" w:ascii="宋体" w:hAnsi="宋体"/>
          <w:sz w:val="24"/>
          <w:szCs w:val="24"/>
          <w:highlight w:val="none"/>
          <w:u w:val="single"/>
        </w:rPr>
        <w:t>中标候选人公示期间，投标人对评标结果有异议的应当在公示期内提出，可以通过线下或线上的形式提出异议。线上提交的，应通过交易平台进行，招标人也应通过交易平台答复线上提交的异议。作出答复前，应当暂停招标投标活动。因质疑或投诉生效导致合格中标候选人不符合中标资格的，将取消其中标候选人资格；因质疑或投诉生效导致所有合格中标候选人均不符合招标文件要求的，应当重新组织招标。</w:t>
      </w:r>
    </w:p>
    <w:p>
      <w:pPr>
        <w:pBdr>
          <w:bottom w:val="single" w:color="auto" w:sz="6" w:space="1"/>
        </w:pBdr>
        <w:spacing w:line="440" w:lineRule="exact"/>
        <w:ind w:firstLine="600" w:firstLineChars="250"/>
        <w:rPr>
          <w:rFonts w:ascii="宋体" w:hAnsi="宋体"/>
          <w:sz w:val="24"/>
          <w:szCs w:val="24"/>
          <w:highlight w:val="none"/>
        </w:rPr>
      </w:pPr>
      <w:r>
        <w:rPr>
          <w:rFonts w:hint="eastAsia" w:ascii="宋体" w:hAnsi="宋体"/>
          <w:sz w:val="24"/>
          <w:szCs w:val="24"/>
          <w:highlight w:val="none"/>
          <w:u w:val="single"/>
        </w:rPr>
        <w:t>在定标委员会完成定标工作后，招标人将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组织招标。</w:t>
      </w:r>
    </w:p>
    <w:p>
      <w:pPr>
        <w:spacing w:line="440" w:lineRule="exact"/>
        <w:ind w:firstLine="540" w:firstLineChars="224"/>
        <w:rPr>
          <w:rFonts w:ascii="宋体" w:hAnsi="宋体"/>
          <w:b/>
          <w:sz w:val="24"/>
          <w:szCs w:val="24"/>
          <w:highlight w:val="none"/>
        </w:rPr>
      </w:pPr>
      <w:r>
        <w:rPr>
          <w:rFonts w:hint="eastAsia" w:ascii="宋体" w:hAnsi="宋体"/>
          <w:b/>
          <w:sz w:val="24"/>
          <w:szCs w:val="24"/>
          <w:highlight w:val="none"/>
        </w:rPr>
        <w:t>条款号：27.4修改类型：修改</w:t>
      </w:r>
    </w:p>
    <w:p>
      <w:pPr>
        <w:spacing w:line="440" w:lineRule="exact"/>
        <w:ind w:firstLine="540" w:firstLineChars="224"/>
        <w:rPr>
          <w:rFonts w:ascii="宋体" w:hAnsi="宋体"/>
          <w:b/>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440" w:lineRule="exact"/>
        <w:ind w:firstLine="602" w:firstLineChars="250"/>
        <w:rPr>
          <w:rFonts w:ascii="宋体" w:hAnsi="宋体"/>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在产生合格中标候选人后，招标人将中标候选人的投标文件商务部分文件的所有内容（包括人员、业绩、奖项等资料）在</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hAnsi="宋体"/>
          <w:sz w:val="24"/>
          <w:szCs w:val="24"/>
          <w:highlight w:val="none"/>
        </w:rPr>
        <w:t>交易平台和广东省招标投标监管网公开。</w:t>
      </w:r>
    </w:p>
    <w:p>
      <w:pPr>
        <w:spacing w:line="360" w:lineRule="auto"/>
        <w:ind w:firstLine="211" w:firstLineChars="100"/>
        <w:rPr>
          <w:rFonts w:ascii="宋体" w:hAnsi="宋体"/>
          <w:b/>
          <w:szCs w:val="21"/>
          <w:highlight w:val="none"/>
        </w:rPr>
      </w:pPr>
      <w:r>
        <w:rPr>
          <w:rFonts w:hint="eastAsia" w:ascii="宋体" w:hAnsi="宋体"/>
          <w:b/>
          <w:szCs w:val="21"/>
          <w:highlight w:val="none"/>
        </w:rPr>
        <w:t>注：以上修改，仅限于本范本中有可供选择条款的情形。</w:t>
      </w:r>
    </w:p>
    <w:p>
      <w:pPr>
        <w:spacing w:line="360" w:lineRule="auto"/>
        <w:rPr>
          <w:rFonts w:ascii="宋体" w:hAnsi="宋体"/>
          <w:highlight w:val="none"/>
        </w:rPr>
      </w:pPr>
      <w:r>
        <w:rPr>
          <w:rFonts w:hint="eastAsia" w:ascii="宋体" w:hAnsi="宋体"/>
          <w:b/>
          <w:szCs w:val="21"/>
          <w:highlight w:val="none"/>
        </w:rPr>
        <w:t>（以下无正文）</w:t>
      </w:r>
    </w:p>
    <w:p>
      <w:pPr>
        <w:pStyle w:val="7"/>
        <w:rPr>
          <w:color w:val="auto"/>
          <w:highlight w:val="none"/>
        </w:rPr>
      </w:pPr>
      <w:r>
        <w:rPr>
          <w:color w:val="auto"/>
          <w:highlight w:val="none"/>
        </w:rPr>
        <w:br w:type="page"/>
      </w:r>
      <w:bookmarkStart w:id="3" w:name="_Toc80289062"/>
      <w:r>
        <w:rPr>
          <w:rFonts w:hint="eastAsia"/>
          <w:color w:val="auto"/>
          <w:highlight w:val="none"/>
        </w:rPr>
        <w:t>三、投标须知通用条款</w:t>
      </w:r>
      <w:bookmarkEnd w:id="3"/>
    </w:p>
    <w:p>
      <w:pPr>
        <w:pStyle w:val="9"/>
        <w:spacing w:before="156" w:after="156"/>
        <w:rPr>
          <w:highlight w:val="none"/>
        </w:rPr>
      </w:pPr>
      <w:bookmarkStart w:id="4" w:name="_Toc80289063"/>
      <w:bookmarkStart w:id="5" w:name="_Toc2272549"/>
      <w:r>
        <w:rPr>
          <w:rFonts w:hint="eastAsia"/>
          <w:highlight w:val="none"/>
        </w:rPr>
        <w:t>（一）总则</w:t>
      </w:r>
      <w:bookmarkEnd w:id="4"/>
      <w:bookmarkEnd w:id="5"/>
    </w:p>
    <w:p>
      <w:pPr>
        <w:pStyle w:val="5"/>
        <w:spacing w:after="0" w:line="360" w:lineRule="auto"/>
        <w:ind w:firstLine="482" w:firstLineChars="200"/>
        <w:rPr>
          <w:rFonts w:ascii="宋体"/>
          <w:b/>
          <w:bCs/>
          <w:sz w:val="24"/>
          <w:highlight w:val="none"/>
        </w:rPr>
      </w:pPr>
      <w:r>
        <w:rPr>
          <w:rFonts w:ascii="宋体" w:hAnsi="宋体"/>
          <w:b/>
          <w:bCs/>
          <w:sz w:val="24"/>
          <w:highlight w:val="none"/>
        </w:rPr>
        <w:t>1</w:t>
      </w:r>
      <w:r>
        <w:rPr>
          <w:rFonts w:hint="eastAsia" w:ascii="宋体" w:hAnsi="宋体"/>
          <w:b/>
          <w:bCs/>
          <w:sz w:val="24"/>
          <w:highlight w:val="none"/>
        </w:rPr>
        <w:t>、定义</w:t>
      </w:r>
    </w:p>
    <w:p>
      <w:pPr>
        <w:pStyle w:val="5"/>
        <w:spacing w:after="0" w:line="360" w:lineRule="auto"/>
        <w:ind w:firstLine="480" w:firstLineChars="200"/>
        <w:rPr>
          <w:rFonts w:ascii="宋体"/>
          <w:b/>
          <w:bCs/>
          <w:sz w:val="24"/>
          <w:highlight w:val="none"/>
        </w:rPr>
      </w:pPr>
      <w:r>
        <w:rPr>
          <w:rFonts w:hint="eastAsia" w:ascii="宋体" w:hAnsi="宋体"/>
          <w:sz w:val="24"/>
          <w:highlight w:val="none"/>
        </w:rPr>
        <w:t>本招标文件使用的下列词语具有如下规定的意义：</w:t>
      </w:r>
    </w:p>
    <w:p>
      <w:pPr>
        <w:pStyle w:val="5"/>
        <w:spacing w:after="0" w:line="360" w:lineRule="auto"/>
        <w:ind w:firstLine="480" w:firstLineChars="200"/>
        <w:rPr>
          <w:rFonts w:ascii="宋体"/>
          <w:b/>
          <w:bCs/>
          <w:sz w:val="24"/>
          <w:highlight w:val="none"/>
          <w:u w:val="singl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）“招标人”（即发包人）、“项目建设管理单位</w:t>
      </w:r>
      <w:r>
        <w:rPr>
          <w:rFonts w:hint="eastAsia" w:ascii="宋体"/>
          <w:sz w:val="24"/>
          <w:highlight w:val="none"/>
        </w:rPr>
        <w:t>”</w:t>
      </w:r>
      <w:r>
        <w:rPr>
          <w:rFonts w:hint="eastAsia" w:ascii="宋体" w:hAnsi="宋体"/>
          <w:sz w:val="24"/>
          <w:highlight w:val="none"/>
        </w:rPr>
        <w:t>（或称“项目代建单位”）、“招标代理”、“设计单位”、“监理单位”均已在投标须知前附表中列明。</w:t>
      </w:r>
    </w:p>
    <w:p>
      <w:pPr>
        <w:pStyle w:val="5"/>
        <w:spacing w:after="0" w:line="360" w:lineRule="auto"/>
        <w:ind w:firstLine="480" w:firstLineChars="200"/>
        <w:rPr>
          <w:rFonts w:ascii="宋体"/>
          <w:sz w:val="24"/>
          <w:highlight w:val="none"/>
          <w:u w:val="singl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）“投标人”指向招标人提交投标文件的当事人。</w:t>
      </w:r>
    </w:p>
    <w:p>
      <w:pPr>
        <w:pStyle w:val="5"/>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）“承包人”指其投标被招标人接受并与其签订承包合同的当事人。</w:t>
      </w:r>
    </w:p>
    <w:p>
      <w:pPr>
        <w:pStyle w:val="5"/>
        <w:spacing w:after="0" w:line="360" w:lineRule="auto"/>
        <w:ind w:firstLine="480" w:firstLineChars="200"/>
        <w:rPr>
          <w:rFonts w:ascii="宋体"/>
          <w:sz w:val="24"/>
          <w:highlight w:val="none"/>
          <w:u w:val="singl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）“招标文件”指由招标代理发出的本文件（包括全部章节、附件）及招标答疑会会议纪要和</w:t>
      </w:r>
      <w:r>
        <w:rPr>
          <w:rFonts w:hint="eastAsia" w:ascii="宋体" w:hAnsi="宋体"/>
          <w:bCs/>
          <w:sz w:val="24"/>
          <w:highlight w:val="none"/>
        </w:rPr>
        <w:t>招标文件的澄清与修改</w:t>
      </w:r>
      <w:r>
        <w:rPr>
          <w:rFonts w:hint="eastAsia" w:ascii="宋体" w:hAnsi="宋体"/>
          <w:sz w:val="24"/>
          <w:highlight w:val="none"/>
        </w:rPr>
        <w:t>文件。</w:t>
      </w:r>
    </w:p>
    <w:p>
      <w:pPr>
        <w:pStyle w:val="5"/>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）“投标文件”指投标人根据本项目招标文件向招标人提交的全部文件。</w:t>
      </w:r>
    </w:p>
    <w:p>
      <w:pPr>
        <w:pStyle w:val="5"/>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）“书面形式”指打字或印刷的文件和数据电文（包括电报、电传、传真、电子数据交换和电子邮件）。</w:t>
      </w:r>
    </w:p>
    <w:p>
      <w:pPr>
        <w:spacing w:line="360" w:lineRule="auto"/>
        <w:ind w:firstLine="482" w:firstLineChars="200"/>
        <w:rPr>
          <w:rFonts w:ascii="宋体"/>
          <w:b/>
          <w:sz w:val="24"/>
          <w:highlight w:val="none"/>
        </w:rPr>
      </w:pPr>
      <w:r>
        <w:rPr>
          <w:rFonts w:ascii="宋体" w:hAnsi="宋体"/>
          <w:b/>
          <w:sz w:val="24"/>
          <w:highlight w:val="none"/>
        </w:rPr>
        <w:t>2</w:t>
      </w:r>
      <w:r>
        <w:rPr>
          <w:rFonts w:hint="eastAsia" w:ascii="宋体" w:hAnsi="宋体"/>
          <w:b/>
          <w:sz w:val="24"/>
          <w:highlight w:val="none"/>
        </w:rPr>
        <w:t>、招标说明</w:t>
      </w:r>
    </w:p>
    <w:p>
      <w:pPr>
        <w:spacing w:line="360" w:lineRule="auto"/>
        <w:ind w:firstLine="480" w:firstLineChars="200"/>
        <w:rPr>
          <w:rFonts w:ascii="宋体"/>
          <w:bCs/>
          <w:sz w:val="24"/>
          <w:highlight w:val="none"/>
        </w:rPr>
      </w:pPr>
      <w:r>
        <w:rPr>
          <w:rFonts w:ascii="宋体" w:hAnsi="宋体"/>
          <w:bCs/>
          <w:sz w:val="24"/>
          <w:highlight w:val="none"/>
        </w:rPr>
        <w:t>2.1</w:t>
      </w:r>
      <w:r>
        <w:rPr>
          <w:rFonts w:hint="eastAsia" w:ascii="宋体" w:hAnsi="宋体"/>
          <w:bCs/>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sz w:val="24"/>
          <w:highlight w:val="none"/>
        </w:rPr>
      </w:pPr>
      <w:r>
        <w:rPr>
          <w:rFonts w:ascii="宋体" w:hAnsi="宋体"/>
          <w:bCs/>
          <w:sz w:val="24"/>
          <w:highlight w:val="none"/>
        </w:rPr>
        <w:t>2.2</w:t>
      </w:r>
      <w:r>
        <w:rPr>
          <w:rFonts w:hint="eastAsia" w:ascii="宋体" w:hAnsi="宋体"/>
          <w:bCs/>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sz w:val="24"/>
          <w:highlight w:val="none"/>
        </w:rPr>
      </w:pPr>
      <w:r>
        <w:rPr>
          <w:rFonts w:ascii="宋体" w:hAnsi="宋体"/>
          <w:bCs/>
          <w:sz w:val="24"/>
          <w:highlight w:val="none"/>
        </w:rPr>
        <w:t>2.3</w:t>
      </w:r>
      <w:r>
        <w:rPr>
          <w:rFonts w:hint="eastAsia" w:ascii="宋体" w:hAnsi="宋体"/>
          <w:bCs/>
          <w:sz w:val="24"/>
          <w:highlight w:val="none"/>
        </w:rPr>
        <w:t>设计说明：详见招标图纸。</w:t>
      </w:r>
    </w:p>
    <w:p>
      <w:pPr>
        <w:spacing w:line="360" w:lineRule="auto"/>
        <w:ind w:firstLine="480" w:firstLineChars="200"/>
        <w:rPr>
          <w:rFonts w:ascii="宋体"/>
          <w:bCs/>
          <w:sz w:val="24"/>
          <w:highlight w:val="none"/>
        </w:rPr>
      </w:pPr>
      <w:r>
        <w:rPr>
          <w:rFonts w:ascii="宋体" w:hAnsi="宋体"/>
          <w:bCs/>
          <w:sz w:val="24"/>
          <w:highlight w:val="none"/>
        </w:rPr>
        <w:t>2.4</w:t>
      </w:r>
      <w:r>
        <w:rPr>
          <w:rFonts w:hint="eastAsia" w:ascii="宋体" w:hAnsi="宋体"/>
          <w:bCs/>
          <w:sz w:val="24"/>
          <w:highlight w:val="none"/>
        </w:rPr>
        <w:t>工程施工特点：详见招标图纸。</w:t>
      </w:r>
    </w:p>
    <w:p>
      <w:pPr>
        <w:tabs>
          <w:tab w:val="left" w:pos="105"/>
        </w:tabs>
        <w:spacing w:line="360" w:lineRule="auto"/>
        <w:ind w:firstLine="482" w:firstLineChars="200"/>
        <w:rPr>
          <w:rFonts w:ascii="宋体"/>
          <w:b/>
          <w:sz w:val="24"/>
          <w:highlight w:val="none"/>
        </w:rPr>
      </w:pPr>
      <w:r>
        <w:rPr>
          <w:rFonts w:ascii="宋体" w:hAnsi="宋体"/>
          <w:b/>
          <w:sz w:val="24"/>
          <w:highlight w:val="none"/>
        </w:rPr>
        <w:t>3</w:t>
      </w:r>
      <w:r>
        <w:rPr>
          <w:rFonts w:hint="eastAsia" w:ascii="宋体" w:hAnsi="宋体"/>
          <w:b/>
          <w:sz w:val="24"/>
          <w:highlight w:val="none"/>
        </w:rPr>
        <w:t>．资金来源</w:t>
      </w:r>
    </w:p>
    <w:p>
      <w:pPr>
        <w:spacing w:line="360" w:lineRule="auto"/>
        <w:ind w:firstLine="480" w:firstLineChars="200"/>
        <w:rPr>
          <w:rFonts w:ascii="宋体"/>
          <w:bCs/>
          <w:sz w:val="24"/>
          <w:highlight w:val="none"/>
        </w:rPr>
      </w:pPr>
      <w:r>
        <w:rPr>
          <w:rFonts w:ascii="宋体" w:hAnsi="宋体"/>
          <w:bCs/>
          <w:sz w:val="24"/>
          <w:highlight w:val="none"/>
        </w:rPr>
        <w:t>3.1</w:t>
      </w:r>
      <w:r>
        <w:rPr>
          <w:rFonts w:hint="eastAsia" w:ascii="宋体" w:hAnsi="宋体"/>
          <w:bCs/>
          <w:sz w:val="24"/>
          <w:highlight w:val="none"/>
        </w:rPr>
        <w:t>本招标工程项目资金来源见投标须知前附表第</w:t>
      </w:r>
      <w:r>
        <w:rPr>
          <w:rFonts w:ascii="宋体" w:hAnsi="宋体"/>
          <w:bCs/>
          <w:sz w:val="24"/>
          <w:highlight w:val="none"/>
        </w:rPr>
        <w:t>9</w:t>
      </w:r>
      <w:r>
        <w:rPr>
          <w:rFonts w:hint="eastAsia" w:ascii="宋体" w:hAnsi="宋体"/>
          <w:bCs/>
          <w:sz w:val="24"/>
          <w:highlight w:val="none"/>
        </w:rPr>
        <w:t>项</w:t>
      </w:r>
    </w:p>
    <w:p>
      <w:pPr>
        <w:tabs>
          <w:tab w:val="left" w:pos="105"/>
        </w:tabs>
        <w:spacing w:line="360" w:lineRule="auto"/>
        <w:ind w:firstLine="482" w:firstLineChars="200"/>
        <w:rPr>
          <w:rFonts w:ascii="宋体"/>
          <w:b/>
          <w:sz w:val="24"/>
          <w:highlight w:val="none"/>
        </w:rPr>
      </w:pPr>
      <w:r>
        <w:rPr>
          <w:rFonts w:ascii="宋体" w:hAnsi="宋体"/>
          <w:b/>
          <w:sz w:val="24"/>
          <w:highlight w:val="none"/>
        </w:rPr>
        <w:t>4</w:t>
      </w:r>
      <w:r>
        <w:rPr>
          <w:rFonts w:hint="eastAsia" w:ascii="宋体" w:hAnsi="宋体"/>
          <w:b/>
          <w:sz w:val="24"/>
          <w:highlight w:val="none"/>
        </w:rPr>
        <w:t>．合格投标人的条件</w:t>
      </w:r>
    </w:p>
    <w:p>
      <w:pPr>
        <w:spacing w:line="360" w:lineRule="auto"/>
        <w:ind w:firstLine="480" w:firstLineChars="200"/>
        <w:rPr>
          <w:rFonts w:ascii="宋体"/>
          <w:bCs/>
          <w:sz w:val="24"/>
          <w:highlight w:val="none"/>
        </w:rPr>
      </w:pPr>
      <w:r>
        <w:rPr>
          <w:rFonts w:ascii="宋体" w:hAnsi="宋体"/>
          <w:bCs/>
          <w:sz w:val="24"/>
          <w:highlight w:val="none"/>
        </w:rPr>
        <w:t>4.1</w:t>
      </w:r>
      <w:r>
        <w:rPr>
          <w:rFonts w:hint="eastAsia" w:ascii="宋体" w:hAnsi="宋体"/>
          <w:bCs/>
          <w:sz w:val="24"/>
          <w:highlight w:val="none"/>
        </w:rPr>
        <w:t>详见本项目招标公告</w:t>
      </w:r>
    </w:p>
    <w:p>
      <w:pPr>
        <w:tabs>
          <w:tab w:val="left" w:pos="105"/>
        </w:tabs>
        <w:spacing w:line="360" w:lineRule="auto"/>
        <w:ind w:firstLine="482" w:firstLineChars="200"/>
        <w:rPr>
          <w:rFonts w:ascii="宋体"/>
          <w:b/>
          <w:sz w:val="24"/>
          <w:highlight w:val="none"/>
        </w:rPr>
      </w:pPr>
      <w:r>
        <w:rPr>
          <w:rFonts w:ascii="宋体" w:hAnsi="宋体"/>
          <w:b/>
          <w:sz w:val="24"/>
          <w:highlight w:val="none"/>
        </w:rPr>
        <w:t>5</w:t>
      </w:r>
      <w:r>
        <w:rPr>
          <w:rFonts w:hint="eastAsia" w:ascii="宋体" w:hAnsi="宋体"/>
          <w:b/>
          <w:sz w:val="24"/>
          <w:highlight w:val="none"/>
        </w:rPr>
        <w:t>．踏勘现场</w:t>
      </w:r>
    </w:p>
    <w:p>
      <w:pPr>
        <w:spacing w:line="360" w:lineRule="auto"/>
        <w:ind w:firstLine="480" w:firstLineChars="200"/>
        <w:rPr>
          <w:rFonts w:ascii="宋体"/>
          <w:bCs/>
          <w:sz w:val="24"/>
          <w:highlight w:val="none"/>
          <w:u w:val="single"/>
        </w:rPr>
      </w:pPr>
      <w:r>
        <w:rPr>
          <w:rFonts w:hint="eastAsia" w:ascii="宋体" w:hAnsi="宋体"/>
          <w:bCs/>
          <w:sz w:val="24"/>
          <w:highlight w:val="none"/>
        </w:rPr>
        <w:t>5.1投标人应按本投标须知前附表第</w:t>
      </w:r>
      <w:r>
        <w:rPr>
          <w:rFonts w:ascii="宋体" w:hAnsi="宋体"/>
          <w:bCs/>
          <w:sz w:val="24"/>
          <w:highlight w:val="none"/>
        </w:rPr>
        <w:t>15</w:t>
      </w:r>
      <w:r>
        <w:rPr>
          <w:rFonts w:hint="eastAsia" w:ascii="宋体" w:hAnsi="宋体"/>
          <w:bCs/>
          <w:sz w:val="24"/>
          <w:highlight w:val="none"/>
        </w:rPr>
        <w:t>项所述时间和要求对工程现场及周围环境进行踏勘，投标人应充分重视和仔细地进行这种考察，以便投标人获取那些须投标人自己负责的有关编制投标文件和签署合同所涉及现场所有的资料。投标单位自行前往勘察现场。</w:t>
      </w:r>
      <w:r>
        <w:rPr>
          <w:rFonts w:hint="eastAsia" w:ascii="宋体" w:hAnsi="宋体"/>
          <w:bCs/>
          <w:sz w:val="24"/>
          <w:highlight w:val="none"/>
          <w:u w:val="single"/>
        </w:rPr>
        <w:t>投标人不进行踏勘的，视为已熟知现场条件，自行承担相关风险。</w:t>
      </w:r>
      <w:r>
        <w:rPr>
          <w:rFonts w:hint="eastAsia" w:ascii="宋体" w:hAnsi="宋体"/>
          <w:bCs/>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sz w:val="24"/>
          <w:highlight w:val="none"/>
        </w:rPr>
      </w:pPr>
      <w:r>
        <w:rPr>
          <w:rFonts w:ascii="宋体" w:hAnsi="宋体"/>
          <w:bCs/>
          <w:sz w:val="24"/>
          <w:highlight w:val="none"/>
        </w:rPr>
        <w:t xml:space="preserve">5.2 </w:t>
      </w:r>
      <w:r>
        <w:rPr>
          <w:rFonts w:hint="eastAsia" w:ascii="宋体" w:hAnsi="宋体"/>
          <w:bCs/>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sz w:val="24"/>
          <w:highlight w:val="none"/>
        </w:rPr>
      </w:pPr>
      <w:r>
        <w:rPr>
          <w:rFonts w:ascii="宋体" w:hAnsi="宋体"/>
          <w:bCs/>
          <w:sz w:val="24"/>
          <w:highlight w:val="none"/>
        </w:rPr>
        <w:t xml:space="preserve">5.3 </w:t>
      </w:r>
      <w:r>
        <w:rPr>
          <w:rFonts w:hint="eastAsia" w:ascii="宋体" w:hAnsi="宋体"/>
          <w:bCs/>
          <w:sz w:val="24"/>
          <w:highlight w:val="none"/>
        </w:rPr>
        <w:t>经招标人允许，投标人可为踏勘目的进入招标人的项目现场。</w:t>
      </w:r>
      <w:r>
        <w:rPr>
          <w:rFonts w:hint="eastAsia" w:ascii="宋体" w:hAnsi="宋体"/>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highlight w:val="none"/>
        </w:rPr>
        <w:t>投标人不得因此使招标人承担有关的责任和蒙受损失。</w:t>
      </w:r>
    </w:p>
    <w:p>
      <w:pPr>
        <w:tabs>
          <w:tab w:val="left" w:pos="105"/>
        </w:tabs>
        <w:spacing w:line="360" w:lineRule="auto"/>
        <w:ind w:firstLine="482" w:firstLineChars="200"/>
        <w:rPr>
          <w:rFonts w:ascii="宋体"/>
          <w:b/>
          <w:sz w:val="24"/>
          <w:highlight w:val="none"/>
        </w:rPr>
      </w:pPr>
      <w:r>
        <w:rPr>
          <w:rFonts w:ascii="宋体" w:hAnsi="宋体"/>
          <w:b/>
          <w:sz w:val="24"/>
          <w:highlight w:val="none"/>
        </w:rPr>
        <w:t>6</w:t>
      </w:r>
      <w:r>
        <w:rPr>
          <w:rFonts w:hint="eastAsia" w:ascii="宋体" w:hAnsi="宋体"/>
          <w:b/>
          <w:sz w:val="24"/>
          <w:highlight w:val="none"/>
        </w:rPr>
        <w:t>．投标费用</w:t>
      </w:r>
    </w:p>
    <w:p>
      <w:pPr>
        <w:tabs>
          <w:tab w:val="left" w:pos="105"/>
        </w:tabs>
        <w:spacing w:line="360" w:lineRule="auto"/>
        <w:ind w:firstLine="480" w:firstLineChars="200"/>
        <w:rPr>
          <w:rFonts w:ascii="宋体"/>
          <w:bCs/>
          <w:sz w:val="24"/>
          <w:highlight w:val="none"/>
        </w:rPr>
      </w:pPr>
      <w:r>
        <w:rPr>
          <w:rFonts w:ascii="宋体" w:hAnsi="宋体"/>
          <w:bCs/>
          <w:sz w:val="24"/>
          <w:highlight w:val="none"/>
        </w:rPr>
        <w:t>6.1</w:t>
      </w:r>
      <w:r>
        <w:rPr>
          <w:rFonts w:hint="eastAsia" w:ascii="宋体" w:hAnsi="宋体"/>
          <w:sz w:val="24"/>
          <w:highlight w:val="none"/>
        </w:rPr>
        <w:t>不论投标结果如何，投标人应承担</w:t>
      </w:r>
      <w:r>
        <w:rPr>
          <w:rFonts w:hint="eastAsia" w:ascii="宋体" w:hAnsi="宋体"/>
          <w:bCs/>
          <w:sz w:val="24"/>
          <w:highlight w:val="none"/>
        </w:rPr>
        <w:t>自身</w:t>
      </w:r>
      <w:r>
        <w:rPr>
          <w:rFonts w:hint="eastAsia" w:ascii="宋体" w:hAnsi="宋体"/>
          <w:sz w:val="24"/>
          <w:highlight w:val="none"/>
        </w:rPr>
        <w:t>因投标文件编制、递交及其他</w:t>
      </w:r>
      <w:r>
        <w:rPr>
          <w:rFonts w:hint="eastAsia" w:ascii="宋体" w:hAnsi="宋体"/>
          <w:bCs/>
          <w:sz w:val="24"/>
          <w:highlight w:val="none"/>
        </w:rPr>
        <w:t>参加本招标活动</w:t>
      </w:r>
      <w:r>
        <w:rPr>
          <w:rFonts w:hint="eastAsia" w:ascii="宋体" w:hAnsi="宋体"/>
          <w:sz w:val="24"/>
          <w:highlight w:val="none"/>
        </w:rPr>
        <w:t>所涉及的一切费用</w:t>
      </w:r>
      <w:r>
        <w:rPr>
          <w:rFonts w:hint="eastAsia" w:ascii="宋体" w:hAnsi="宋体"/>
          <w:sz w:val="24"/>
          <w:highlight w:val="none"/>
          <w:u w:val="single"/>
        </w:rPr>
        <w:t>（包括广州公共资源交易中心交易服务费）</w:t>
      </w:r>
      <w:r>
        <w:rPr>
          <w:rFonts w:hint="eastAsia" w:ascii="宋体" w:hAnsi="宋体"/>
          <w:sz w:val="24"/>
          <w:highlight w:val="none"/>
        </w:rPr>
        <w:t>，招标人对上述费用不负任何责任。</w:t>
      </w:r>
    </w:p>
    <w:p>
      <w:pPr>
        <w:pStyle w:val="9"/>
        <w:spacing w:before="156" w:after="156"/>
        <w:rPr>
          <w:highlight w:val="none"/>
        </w:rPr>
      </w:pPr>
      <w:bookmarkStart w:id="6" w:name="_Toc2272550"/>
      <w:bookmarkStart w:id="7" w:name="_Toc80289064"/>
      <w:r>
        <w:rPr>
          <w:rFonts w:hint="eastAsia"/>
          <w:highlight w:val="none"/>
        </w:rPr>
        <w:t>（二）招标文件</w:t>
      </w:r>
      <w:bookmarkEnd w:id="6"/>
      <w:bookmarkEnd w:id="7"/>
    </w:p>
    <w:p>
      <w:pPr>
        <w:tabs>
          <w:tab w:val="left" w:pos="105"/>
        </w:tabs>
        <w:spacing w:line="360" w:lineRule="auto"/>
        <w:ind w:firstLine="482" w:firstLineChars="200"/>
        <w:rPr>
          <w:rFonts w:ascii="宋体"/>
          <w:b/>
          <w:sz w:val="24"/>
          <w:highlight w:val="none"/>
        </w:rPr>
      </w:pPr>
      <w:r>
        <w:rPr>
          <w:rFonts w:ascii="宋体" w:hAnsi="宋体"/>
          <w:b/>
          <w:sz w:val="24"/>
          <w:highlight w:val="none"/>
        </w:rPr>
        <w:t>7.</w:t>
      </w:r>
      <w:r>
        <w:rPr>
          <w:rFonts w:hint="eastAsia" w:ascii="宋体" w:hAnsi="宋体"/>
          <w:b/>
          <w:sz w:val="24"/>
          <w:highlight w:val="none"/>
        </w:rPr>
        <w:t>招标文件的组成</w:t>
      </w:r>
    </w:p>
    <w:p>
      <w:pPr>
        <w:spacing w:line="360" w:lineRule="auto"/>
        <w:ind w:firstLine="480" w:firstLineChars="200"/>
        <w:rPr>
          <w:rFonts w:ascii="宋体"/>
          <w:sz w:val="24"/>
          <w:highlight w:val="none"/>
        </w:rPr>
      </w:pPr>
      <w:r>
        <w:rPr>
          <w:rFonts w:ascii="宋体" w:hAnsi="宋体"/>
          <w:bCs/>
          <w:sz w:val="24"/>
          <w:highlight w:val="none"/>
        </w:rPr>
        <w:t>7.1</w:t>
      </w:r>
      <w:r>
        <w:rPr>
          <w:rFonts w:hint="eastAsia" w:ascii="宋体" w:hAnsi="宋体"/>
          <w:sz w:val="24"/>
          <w:highlight w:val="none"/>
        </w:rPr>
        <w:t>本招标文件包括下列文件，以及所有按本须知第</w:t>
      </w:r>
      <w:r>
        <w:rPr>
          <w:rFonts w:ascii="宋体" w:hAnsi="宋体"/>
          <w:sz w:val="24"/>
          <w:highlight w:val="none"/>
        </w:rPr>
        <w:t>8</w:t>
      </w:r>
      <w:r>
        <w:rPr>
          <w:rFonts w:hint="eastAsia" w:ascii="宋体" w:hAnsi="宋体"/>
          <w:sz w:val="24"/>
          <w:highlight w:val="none"/>
        </w:rPr>
        <w:t>条发出的招标答疑会会议纪要和按本须知第</w:t>
      </w:r>
      <w:r>
        <w:rPr>
          <w:rFonts w:ascii="宋体" w:hAnsi="宋体"/>
          <w:sz w:val="24"/>
          <w:highlight w:val="none"/>
        </w:rPr>
        <w:t>9</w:t>
      </w:r>
      <w:r>
        <w:rPr>
          <w:rFonts w:hint="eastAsia" w:ascii="宋体" w:hAnsi="宋体"/>
          <w:sz w:val="24"/>
          <w:highlight w:val="none"/>
        </w:rPr>
        <w:t>条发出的澄清或修改：</w:t>
      </w:r>
    </w:p>
    <w:p>
      <w:pPr>
        <w:pStyle w:val="5"/>
        <w:spacing w:after="0" w:line="360" w:lineRule="auto"/>
        <w:ind w:left="-2" w:firstLine="480" w:firstLineChars="200"/>
        <w:rPr>
          <w:rFonts w:ascii="宋体"/>
          <w:sz w:val="24"/>
          <w:highlight w:val="none"/>
        </w:rPr>
      </w:pPr>
      <w:r>
        <w:rPr>
          <w:rFonts w:hint="eastAsia" w:ascii="宋体" w:hAnsi="宋体"/>
          <w:bCs/>
          <w:sz w:val="24"/>
          <w:highlight w:val="none"/>
        </w:rPr>
        <w:t>第一章</w:t>
      </w:r>
      <w:r>
        <w:rPr>
          <w:rFonts w:hint="eastAsia" w:ascii="宋体" w:hAnsi="宋体"/>
          <w:sz w:val="24"/>
          <w:highlight w:val="none"/>
        </w:rPr>
        <w:t>投标须知</w:t>
      </w:r>
    </w:p>
    <w:p>
      <w:pPr>
        <w:pStyle w:val="5"/>
        <w:spacing w:after="0" w:line="360" w:lineRule="auto"/>
        <w:ind w:left="-2" w:firstLine="480" w:firstLineChars="200"/>
        <w:rPr>
          <w:rFonts w:ascii="宋体"/>
          <w:sz w:val="24"/>
          <w:highlight w:val="none"/>
        </w:rPr>
      </w:pPr>
      <w:r>
        <w:rPr>
          <w:rFonts w:hint="eastAsia" w:ascii="宋体" w:hAnsi="宋体"/>
          <w:bCs/>
          <w:sz w:val="24"/>
          <w:highlight w:val="none"/>
        </w:rPr>
        <w:t>第二章</w:t>
      </w:r>
      <w:r>
        <w:rPr>
          <w:rFonts w:hint="eastAsia" w:ascii="宋体" w:hAnsi="宋体"/>
          <w:sz w:val="24"/>
          <w:highlight w:val="none"/>
        </w:rPr>
        <w:t>开标、评标及定标办法</w:t>
      </w:r>
    </w:p>
    <w:p>
      <w:pPr>
        <w:pStyle w:val="5"/>
        <w:spacing w:after="0" w:line="360" w:lineRule="auto"/>
        <w:ind w:firstLine="480" w:firstLineChars="200"/>
        <w:rPr>
          <w:rFonts w:ascii="宋体"/>
          <w:sz w:val="24"/>
          <w:highlight w:val="none"/>
        </w:rPr>
      </w:pPr>
      <w:r>
        <w:rPr>
          <w:rFonts w:hint="eastAsia" w:ascii="宋体" w:hAnsi="宋体"/>
          <w:sz w:val="24"/>
          <w:highlight w:val="none"/>
        </w:rPr>
        <w:t>第三章合同条款</w:t>
      </w:r>
    </w:p>
    <w:p>
      <w:pPr>
        <w:pStyle w:val="5"/>
        <w:spacing w:after="0" w:line="360" w:lineRule="auto"/>
        <w:ind w:firstLine="480" w:firstLineChars="200"/>
        <w:rPr>
          <w:rFonts w:ascii="宋体"/>
          <w:sz w:val="24"/>
          <w:highlight w:val="none"/>
        </w:rPr>
      </w:pPr>
      <w:r>
        <w:rPr>
          <w:rFonts w:hint="eastAsia" w:ascii="宋体" w:hAnsi="宋体"/>
          <w:bCs/>
          <w:sz w:val="24"/>
          <w:highlight w:val="none"/>
        </w:rPr>
        <w:t>第四章</w:t>
      </w:r>
      <w:r>
        <w:rPr>
          <w:rFonts w:hint="eastAsia" w:ascii="宋体" w:hAnsi="宋体"/>
          <w:sz w:val="24"/>
          <w:highlight w:val="none"/>
        </w:rPr>
        <w:t>投标文件格式</w:t>
      </w:r>
    </w:p>
    <w:p>
      <w:pPr>
        <w:pStyle w:val="5"/>
        <w:spacing w:after="0" w:line="360" w:lineRule="auto"/>
        <w:ind w:left="-2" w:firstLine="480" w:firstLineChars="200"/>
        <w:rPr>
          <w:rFonts w:ascii="宋体"/>
          <w:sz w:val="24"/>
          <w:highlight w:val="none"/>
        </w:rPr>
      </w:pPr>
      <w:r>
        <w:rPr>
          <w:rFonts w:hint="eastAsia" w:ascii="宋体" w:hAnsi="宋体"/>
          <w:bCs/>
          <w:sz w:val="24"/>
          <w:highlight w:val="none"/>
        </w:rPr>
        <w:t>第五章</w:t>
      </w:r>
      <w:r>
        <w:rPr>
          <w:rFonts w:hint="eastAsia" w:ascii="宋体" w:hAnsi="宋体"/>
          <w:sz w:val="24"/>
          <w:highlight w:val="none"/>
        </w:rPr>
        <w:t>技术条件（工程建设标准）（另册）</w:t>
      </w:r>
    </w:p>
    <w:p>
      <w:pPr>
        <w:pStyle w:val="5"/>
        <w:spacing w:after="0" w:line="360" w:lineRule="auto"/>
        <w:ind w:left="-2" w:firstLine="480" w:firstLineChars="200"/>
        <w:rPr>
          <w:rFonts w:ascii="宋体"/>
          <w:sz w:val="24"/>
          <w:highlight w:val="none"/>
        </w:rPr>
      </w:pPr>
      <w:r>
        <w:rPr>
          <w:rFonts w:hint="eastAsia" w:ascii="宋体" w:hAnsi="宋体"/>
          <w:bCs/>
          <w:sz w:val="24"/>
          <w:highlight w:val="none"/>
        </w:rPr>
        <w:t>第六章</w:t>
      </w:r>
      <w:r>
        <w:rPr>
          <w:rFonts w:hint="eastAsia" w:ascii="宋体" w:hAnsi="宋体"/>
          <w:sz w:val="24"/>
          <w:highlight w:val="none"/>
        </w:rPr>
        <w:t>图纸及勘察资料（另册）</w:t>
      </w:r>
    </w:p>
    <w:p>
      <w:pPr>
        <w:pStyle w:val="5"/>
        <w:spacing w:after="0" w:line="360" w:lineRule="auto"/>
        <w:ind w:left="-2" w:firstLine="480" w:firstLineChars="200"/>
        <w:rPr>
          <w:rFonts w:ascii="宋体"/>
          <w:sz w:val="24"/>
          <w:highlight w:val="none"/>
        </w:rPr>
      </w:pPr>
      <w:r>
        <w:rPr>
          <w:rFonts w:hint="eastAsia" w:ascii="宋体" w:hAnsi="宋体"/>
          <w:bCs/>
          <w:sz w:val="24"/>
          <w:highlight w:val="none"/>
        </w:rPr>
        <w:t>第七章招标</w:t>
      </w:r>
      <w:r>
        <w:rPr>
          <w:rFonts w:hint="eastAsia" w:ascii="宋体" w:hAnsi="宋体"/>
          <w:sz w:val="24"/>
          <w:highlight w:val="none"/>
        </w:rPr>
        <w:t>工程量清单（另册）</w:t>
      </w:r>
    </w:p>
    <w:p>
      <w:pPr>
        <w:pStyle w:val="5"/>
        <w:spacing w:after="0" w:line="360" w:lineRule="auto"/>
        <w:ind w:left="-2" w:firstLine="480" w:firstLineChars="200"/>
        <w:rPr>
          <w:rFonts w:ascii="宋体"/>
          <w:sz w:val="24"/>
          <w:highlight w:val="none"/>
        </w:rPr>
      </w:pPr>
      <w:r>
        <w:rPr>
          <w:rFonts w:hint="eastAsia" w:ascii="宋体" w:hAnsi="宋体"/>
          <w:sz w:val="24"/>
          <w:highlight w:val="none"/>
        </w:rPr>
        <w:t>第八章最高投标限价</w:t>
      </w:r>
    </w:p>
    <w:p>
      <w:pPr>
        <w:pStyle w:val="5"/>
        <w:spacing w:after="0" w:line="360" w:lineRule="auto"/>
        <w:ind w:firstLine="480" w:firstLineChars="200"/>
        <w:rPr>
          <w:rFonts w:ascii="宋体"/>
          <w:sz w:val="24"/>
          <w:highlight w:val="none"/>
        </w:rPr>
      </w:pPr>
      <w:r>
        <w:rPr>
          <w:rFonts w:ascii="宋体" w:hAnsi="宋体"/>
          <w:sz w:val="24"/>
          <w:highlight w:val="none"/>
        </w:rPr>
        <w:t xml:space="preserve">7.2 </w:t>
      </w:r>
      <w:r>
        <w:rPr>
          <w:rFonts w:hint="eastAsia" w:ascii="宋体" w:hAnsi="宋体"/>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sz w:val="24"/>
          <w:highlight w:val="none"/>
        </w:rPr>
      </w:pPr>
      <w:r>
        <w:rPr>
          <w:rFonts w:ascii="宋体" w:hAnsi="宋体"/>
          <w:sz w:val="24"/>
          <w:highlight w:val="none"/>
        </w:rPr>
        <w:t xml:space="preserve">7.3 </w:t>
      </w:r>
      <w:r>
        <w:rPr>
          <w:rFonts w:hint="eastAsia" w:ascii="宋体" w:hAnsi="宋体"/>
          <w:sz w:val="24"/>
          <w:highlight w:val="none"/>
        </w:rPr>
        <w:t>投标人一旦中标，招标文件的内容对招标人和中标人双方均有约束力。</w:t>
      </w:r>
    </w:p>
    <w:p>
      <w:pPr>
        <w:pStyle w:val="5"/>
        <w:spacing w:after="0" w:line="360" w:lineRule="auto"/>
        <w:ind w:firstLine="482" w:firstLineChars="200"/>
        <w:rPr>
          <w:rFonts w:ascii="宋体"/>
          <w:b/>
          <w:bCs/>
          <w:sz w:val="24"/>
          <w:highlight w:val="none"/>
        </w:rPr>
      </w:pPr>
      <w:r>
        <w:rPr>
          <w:rFonts w:ascii="宋体" w:hAnsi="宋体"/>
          <w:b/>
          <w:bCs/>
          <w:sz w:val="24"/>
          <w:highlight w:val="none"/>
        </w:rPr>
        <w:t>8</w:t>
      </w:r>
      <w:r>
        <w:rPr>
          <w:rFonts w:hint="eastAsia" w:ascii="宋体" w:hAnsi="宋体"/>
          <w:b/>
          <w:bCs/>
          <w:sz w:val="24"/>
          <w:highlight w:val="none"/>
        </w:rPr>
        <w:t>．招标答疑</w:t>
      </w:r>
    </w:p>
    <w:p>
      <w:pPr>
        <w:pStyle w:val="5"/>
        <w:spacing w:after="0" w:line="360" w:lineRule="auto"/>
        <w:ind w:firstLine="480" w:firstLineChars="200"/>
        <w:rPr>
          <w:rFonts w:ascii="宋体"/>
          <w:sz w:val="24"/>
          <w:highlight w:val="none"/>
        </w:rPr>
      </w:pPr>
      <w:r>
        <w:rPr>
          <w:rFonts w:ascii="宋体" w:hAnsi="宋体"/>
          <w:sz w:val="24"/>
          <w:highlight w:val="none"/>
        </w:rPr>
        <w:t>8.1</w:t>
      </w:r>
      <w:r>
        <w:rPr>
          <w:rFonts w:hint="eastAsia" w:ascii="宋体" w:hAnsi="宋体"/>
          <w:sz w:val="24"/>
          <w:highlight w:val="none"/>
        </w:rPr>
        <w:t>投标人若对招标文件（包括招标图纸）中有疑问，可以</w:t>
      </w:r>
      <w:r>
        <w:rPr>
          <w:rFonts w:hint="eastAsia" w:ascii="宋体" w:hAnsi="宋体"/>
          <w:dstrike/>
          <w:sz w:val="24"/>
          <w:highlight w:val="none"/>
        </w:rPr>
        <w:t>书面形式</w:t>
      </w:r>
      <w:r>
        <w:rPr>
          <w:rFonts w:hint="eastAsia" w:ascii="宋体" w:hAnsi="宋体"/>
          <w:sz w:val="24"/>
          <w:highlight w:val="none"/>
        </w:rPr>
        <w:t>通过广州公共资源交易中心交易平台提交给招标人或招标代理人，提交形式</w:t>
      </w:r>
      <w:r>
        <w:rPr>
          <w:rFonts w:hint="eastAsia" w:ascii="宋体" w:hAnsi="宋体"/>
          <w:sz w:val="24"/>
          <w:szCs w:val="24"/>
          <w:highlight w:val="none"/>
        </w:rPr>
        <w:t>和</w:t>
      </w:r>
      <w:r>
        <w:rPr>
          <w:rFonts w:ascii="宋体" w:hAnsi="宋体"/>
          <w:sz w:val="24"/>
          <w:szCs w:val="24"/>
          <w:highlight w:val="none"/>
        </w:rPr>
        <w:t>时间</w:t>
      </w:r>
      <w:r>
        <w:rPr>
          <w:rFonts w:hint="eastAsia" w:ascii="宋体" w:hAnsi="宋体"/>
          <w:sz w:val="24"/>
          <w:highlight w:val="none"/>
        </w:rPr>
        <w:t>见本须知前附表第16项。</w:t>
      </w:r>
    </w:p>
    <w:p>
      <w:pPr>
        <w:pStyle w:val="5"/>
        <w:spacing w:after="0" w:line="360" w:lineRule="auto"/>
        <w:ind w:firstLine="480" w:firstLineChars="200"/>
        <w:rPr>
          <w:rFonts w:ascii="宋体"/>
          <w:sz w:val="24"/>
          <w:highlight w:val="none"/>
        </w:rPr>
      </w:pPr>
      <w:r>
        <w:rPr>
          <w:rFonts w:ascii="宋体" w:hAnsi="宋体"/>
          <w:sz w:val="24"/>
          <w:highlight w:val="none"/>
        </w:rPr>
        <w:t>8.2</w:t>
      </w:r>
      <w:r>
        <w:rPr>
          <w:rFonts w:hint="eastAsia" w:ascii="宋体"/>
          <w:sz w:val="24"/>
          <w:highlight w:val="none"/>
          <w:u w:val="single"/>
        </w:rPr>
        <w:t>招标答疑纪要</w:t>
      </w:r>
      <w:r>
        <w:rPr>
          <w:rFonts w:hint="eastAsia" w:ascii="宋体"/>
          <w:sz w:val="24"/>
          <w:highlight w:val="none"/>
        </w:rPr>
        <w:t>将在提交投标文件截止时间15日前在</w:t>
      </w:r>
      <w:r>
        <w:rPr>
          <w:rFonts w:hint="eastAsia" w:ascii="宋体"/>
          <w:sz w:val="24"/>
          <w:highlight w:val="none"/>
          <w:u w:val="single"/>
        </w:rPr>
        <w:t>广州</w:t>
      </w:r>
      <w:r>
        <w:rPr>
          <w:rFonts w:ascii="宋体"/>
          <w:sz w:val="24"/>
          <w:highlight w:val="none"/>
          <w:u w:val="single"/>
        </w:rPr>
        <w:t>公共资源交易中心</w:t>
      </w:r>
      <w:r>
        <w:rPr>
          <w:rFonts w:hint="eastAsia" w:ascii="宋体"/>
          <w:sz w:val="24"/>
          <w:highlight w:val="none"/>
        </w:rPr>
        <w:t>交易平台“项目答疑纪要”专区公开发布。答疑纪要一经在</w:t>
      </w:r>
      <w:r>
        <w:rPr>
          <w:rFonts w:hint="eastAsia" w:ascii="宋体"/>
          <w:sz w:val="24"/>
          <w:highlight w:val="none"/>
          <w:u w:val="single"/>
        </w:rPr>
        <w:t>广州</w:t>
      </w:r>
      <w:r>
        <w:rPr>
          <w:rFonts w:ascii="宋体"/>
          <w:sz w:val="24"/>
          <w:highlight w:val="none"/>
          <w:u w:val="single"/>
        </w:rPr>
        <w:t>公共资源交易中心</w:t>
      </w:r>
      <w:r>
        <w:rPr>
          <w:rFonts w:hint="eastAsia" w:ascii="宋体"/>
          <w:sz w:val="24"/>
          <w:highlight w:val="none"/>
        </w:rPr>
        <w:t>交易平台发布，视作已发放给所有投标人。</w:t>
      </w:r>
    </w:p>
    <w:p>
      <w:pPr>
        <w:pStyle w:val="5"/>
        <w:spacing w:after="0" w:line="360" w:lineRule="auto"/>
        <w:ind w:firstLine="480" w:firstLineChars="200"/>
        <w:rPr>
          <w:rFonts w:ascii="宋体"/>
          <w:sz w:val="24"/>
          <w:highlight w:val="none"/>
        </w:rPr>
      </w:pPr>
      <w:r>
        <w:rPr>
          <w:rFonts w:ascii="宋体" w:hAnsi="宋体"/>
          <w:sz w:val="24"/>
          <w:highlight w:val="none"/>
        </w:rPr>
        <w:t>8.3</w:t>
      </w:r>
      <w:r>
        <w:rPr>
          <w:rFonts w:hint="eastAsia" w:ascii="宋体" w:hAnsi="宋体"/>
          <w:sz w:val="24"/>
          <w:szCs w:val="24"/>
          <w:highlight w:val="none"/>
          <w:u w:val="single"/>
        </w:rPr>
        <w:t>招标答疑纪要</w:t>
      </w:r>
      <w:r>
        <w:rPr>
          <w:rFonts w:hint="eastAsia" w:ascii="宋体" w:hAnsi="宋体"/>
          <w:sz w:val="24"/>
          <w:highlight w:val="none"/>
        </w:rPr>
        <w:t>为招标文件的一部分。</w:t>
      </w:r>
    </w:p>
    <w:p>
      <w:pPr>
        <w:pStyle w:val="5"/>
        <w:spacing w:after="0" w:line="360" w:lineRule="auto"/>
        <w:ind w:firstLine="480" w:firstLineChars="200"/>
        <w:rPr>
          <w:rFonts w:ascii="宋体"/>
          <w:sz w:val="24"/>
          <w:highlight w:val="none"/>
        </w:rPr>
      </w:pPr>
      <w:r>
        <w:rPr>
          <w:rFonts w:ascii="宋体" w:hAnsi="宋体"/>
          <w:sz w:val="24"/>
          <w:highlight w:val="none"/>
        </w:rPr>
        <w:t>8.4</w:t>
      </w:r>
      <w:r>
        <w:rPr>
          <w:rFonts w:hint="eastAsia" w:ascii="宋体" w:hAnsi="宋体"/>
          <w:sz w:val="24"/>
          <w:highlight w:val="none"/>
        </w:rPr>
        <w:t>若</w:t>
      </w:r>
      <w:r>
        <w:rPr>
          <w:rFonts w:hint="eastAsia" w:ascii="宋体" w:hAnsi="宋体"/>
          <w:sz w:val="24"/>
          <w:szCs w:val="24"/>
          <w:highlight w:val="none"/>
          <w:u w:val="single"/>
        </w:rPr>
        <w:t>招标答疑纪要</w:t>
      </w:r>
      <w:r>
        <w:rPr>
          <w:rFonts w:hint="eastAsia" w:ascii="宋体" w:hAnsi="宋体"/>
          <w:sz w:val="24"/>
          <w:highlight w:val="none"/>
        </w:rPr>
        <w:t>与招标文件有矛盾，以</w:t>
      </w:r>
      <w:r>
        <w:rPr>
          <w:rFonts w:hint="eastAsia" w:ascii="宋体" w:hAnsi="宋体"/>
          <w:sz w:val="24"/>
          <w:szCs w:val="24"/>
          <w:highlight w:val="none"/>
          <w:u w:val="single"/>
        </w:rPr>
        <w:t>招标答疑纪要</w:t>
      </w:r>
      <w:r>
        <w:rPr>
          <w:rFonts w:hint="eastAsia" w:ascii="宋体" w:hAnsi="宋体"/>
          <w:sz w:val="24"/>
          <w:highlight w:val="none"/>
        </w:rPr>
        <w:t>最后发出的书面形式的文件为准。</w:t>
      </w:r>
    </w:p>
    <w:p>
      <w:pPr>
        <w:pStyle w:val="5"/>
        <w:spacing w:after="0" w:line="360" w:lineRule="auto"/>
        <w:ind w:firstLine="482" w:firstLineChars="200"/>
        <w:rPr>
          <w:rFonts w:ascii="宋体"/>
          <w:b/>
          <w:bCs/>
          <w:sz w:val="24"/>
          <w:highlight w:val="none"/>
        </w:rPr>
      </w:pPr>
      <w:r>
        <w:rPr>
          <w:rFonts w:ascii="宋体" w:hAnsi="宋体"/>
          <w:b/>
          <w:bCs/>
          <w:sz w:val="24"/>
          <w:highlight w:val="none"/>
        </w:rPr>
        <w:t>9.</w:t>
      </w:r>
      <w:r>
        <w:rPr>
          <w:rFonts w:hint="eastAsia" w:ascii="宋体" w:hAnsi="宋体"/>
          <w:b/>
          <w:bCs/>
          <w:sz w:val="24"/>
          <w:highlight w:val="none"/>
        </w:rPr>
        <w:t>招标文件的澄清与修改</w:t>
      </w:r>
    </w:p>
    <w:p>
      <w:pPr>
        <w:pStyle w:val="5"/>
        <w:spacing w:after="0" w:line="360" w:lineRule="auto"/>
        <w:ind w:firstLine="480" w:firstLineChars="200"/>
        <w:rPr>
          <w:rFonts w:ascii="宋体"/>
          <w:sz w:val="24"/>
          <w:highlight w:val="none"/>
        </w:rPr>
      </w:pPr>
      <w:r>
        <w:rPr>
          <w:rFonts w:ascii="宋体" w:hAnsi="宋体"/>
          <w:sz w:val="24"/>
          <w:highlight w:val="none"/>
        </w:rPr>
        <w:t>9.1</w:t>
      </w:r>
      <w:r>
        <w:rPr>
          <w:rFonts w:hint="eastAsia" w:ascii="宋体" w:hAnsi="宋体"/>
          <w:sz w:val="24"/>
          <w:highlight w:val="none"/>
        </w:rPr>
        <w:t>招标文件发出后</w:t>
      </w:r>
      <w:r>
        <w:rPr>
          <w:rFonts w:ascii="宋体"/>
          <w:sz w:val="24"/>
          <w:highlight w:val="none"/>
        </w:rPr>
        <w:t>,</w:t>
      </w:r>
      <w:r>
        <w:rPr>
          <w:rFonts w:hint="eastAsia" w:ascii="宋体" w:hAnsi="宋体"/>
          <w:sz w:val="24"/>
          <w:highlight w:val="none"/>
        </w:rPr>
        <w:t>在提交投标文件截止时间15日前，招标人可对招标文件进行必要的澄清或修改。</w:t>
      </w:r>
    </w:p>
    <w:p>
      <w:pPr>
        <w:pStyle w:val="5"/>
        <w:spacing w:after="0" w:line="360" w:lineRule="auto"/>
        <w:ind w:firstLine="480" w:firstLineChars="200"/>
        <w:rPr>
          <w:rFonts w:ascii="宋体"/>
          <w:sz w:val="24"/>
          <w:highlight w:val="none"/>
        </w:rPr>
      </w:pPr>
      <w:r>
        <w:rPr>
          <w:rFonts w:ascii="宋体" w:hAnsi="宋体"/>
          <w:sz w:val="24"/>
          <w:highlight w:val="none"/>
        </w:rPr>
        <w:t>9.2</w:t>
      </w:r>
      <w:r>
        <w:rPr>
          <w:rFonts w:hint="eastAsia" w:ascii="宋体"/>
          <w:sz w:val="24"/>
          <w:highlight w:val="none"/>
        </w:rPr>
        <w:t>招标文件的澄清或修改将在</w:t>
      </w:r>
      <w:r>
        <w:rPr>
          <w:rFonts w:hint="eastAsia" w:ascii="宋体"/>
          <w:sz w:val="24"/>
          <w:highlight w:val="none"/>
          <w:u w:val="single"/>
        </w:rPr>
        <w:t>广州</w:t>
      </w:r>
      <w:r>
        <w:rPr>
          <w:rFonts w:ascii="宋体"/>
          <w:sz w:val="24"/>
          <w:highlight w:val="none"/>
          <w:u w:val="single"/>
        </w:rPr>
        <w:t>公共资源交易中心</w:t>
      </w:r>
      <w:r>
        <w:rPr>
          <w:rFonts w:hint="eastAsia" w:ascii="宋体"/>
          <w:sz w:val="24"/>
          <w:highlight w:val="none"/>
        </w:rPr>
        <w:t>交易平台“项目答疑纪要”专区公开发布。答疑纪要一经在</w:t>
      </w:r>
      <w:r>
        <w:rPr>
          <w:rFonts w:hint="eastAsia" w:ascii="宋体"/>
          <w:sz w:val="24"/>
          <w:highlight w:val="none"/>
          <w:u w:val="single"/>
        </w:rPr>
        <w:t>广州</w:t>
      </w:r>
      <w:r>
        <w:rPr>
          <w:rFonts w:ascii="宋体"/>
          <w:sz w:val="24"/>
          <w:highlight w:val="none"/>
          <w:u w:val="single"/>
        </w:rPr>
        <w:t>公共资源交易中心</w:t>
      </w:r>
      <w:r>
        <w:rPr>
          <w:rFonts w:hint="eastAsia" w:ascii="宋体"/>
          <w:sz w:val="24"/>
          <w:highlight w:val="none"/>
        </w:rPr>
        <w:t>交易平台发布，视作已发放给所有投标人，以</w:t>
      </w:r>
      <w:r>
        <w:rPr>
          <w:rFonts w:hint="eastAsia" w:ascii="宋体"/>
          <w:sz w:val="24"/>
          <w:highlight w:val="none"/>
          <w:u w:val="single"/>
        </w:rPr>
        <w:t>广州</w:t>
      </w:r>
      <w:r>
        <w:rPr>
          <w:rFonts w:ascii="宋体"/>
          <w:sz w:val="24"/>
          <w:highlight w:val="none"/>
          <w:u w:val="single"/>
        </w:rPr>
        <w:t>公共资源交易中心</w:t>
      </w:r>
      <w:r>
        <w:rPr>
          <w:rFonts w:hint="eastAsia" w:ascii="宋体"/>
          <w:sz w:val="24"/>
          <w:highlight w:val="none"/>
        </w:rPr>
        <w:t>交易平台上网发布时间作为送达时间。</w:t>
      </w:r>
    </w:p>
    <w:p>
      <w:pPr>
        <w:pStyle w:val="5"/>
        <w:spacing w:after="0" w:line="360" w:lineRule="auto"/>
        <w:ind w:firstLine="480" w:firstLineChars="200"/>
        <w:rPr>
          <w:rFonts w:ascii="宋体"/>
          <w:sz w:val="24"/>
          <w:highlight w:val="none"/>
        </w:rPr>
      </w:pPr>
      <w:r>
        <w:rPr>
          <w:rFonts w:ascii="宋体" w:hAnsi="宋体"/>
          <w:sz w:val="24"/>
          <w:highlight w:val="none"/>
        </w:rPr>
        <w:t>9.3</w:t>
      </w:r>
      <w:r>
        <w:rPr>
          <w:rFonts w:hint="eastAsia" w:ascii="宋体" w:hAnsi="宋体"/>
          <w:sz w:val="24"/>
          <w:highlight w:val="none"/>
        </w:rPr>
        <w:t>招标文件的修改内容为招标文件的组成部分。</w:t>
      </w:r>
    </w:p>
    <w:p>
      <w:pPr>
        <w:pStyle w:val="5"/>
        <w:spacing w:after="0" w:line="360" w:lineRule="auto"/>
        <w:ind w:firstLine="480" w:firstLineChars="200"/>
        <w:rPr>
          <w:rFonts w:ascii="宋体"/>
          <w:sz w:val="24"/>
          <w:highlight w:val="none"/>
        </w:rPr>
      </w:pPr>
      <w:r>
        <w:rPr>
          <w:rFonts w:ascii="宋体" w:hAnsi="宋体"/>
          <w:sz w:val="24"/>
          <w:highlight w:val="none"/>
        </w:rPr>
        <w:t>9.4</w:t>
      </w:r>
      <w:r>
        <w:rPr>
          <w:rFonts w:hint="eastAsia" w:ascii="宋体" w:hAnsi="宋体"/>
          <w:sz w:val="24"/>
          <w:highlight w:val="none"/>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sz w:val="24"/>
          <w:highlight w:val="none"/>
        </w:rPr>
      </w:pPr>
      <w:r>
        <w:rPr>
          <w:rFonts w:ascii="宋体" w:hAnsi="宋体"/>
          <w:sz w:val="24"/>
          <w:highlight w:val="none"/>
        </w:rPr>
        <w:t>9.5</w:t>
      </w:r>
      <w:r>
        <w:rPr>
          <w:rFonts w:hint="eastAsia" w:ascii="宋体" w:hAnsi="宋体"/>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9"/>
        <w:spacing w:before="156" w:after="156"/>
        <w:rPr>
          <w:highlight w:val="none"/>
        </w:rPr>
      </w:pPr>
      <w:bookmarkStart w:id="8" w:name="_Toc2272551"/>
      <w:bookmarkStart w:id="9" w:name="_Toc80289065"/>
      <w:r>
        <w:rPr>
          <w:rFonts w:hint="eastAsia"/>
          <w:highlight w:val="none"/>
        </w:rPr>
        <w:t>（三）投标文件的编制</w:t>
      </w:r>
      <w:bookmarkEnd w:id="8"/>
      <w:bookmarkEnd w:id="9"/>
    </w:p>
    <w:p>
      <w:pPr>
        <w:pStyle w:val="5"/>
        <w:spacing w:after="0" w:line="360" w:lineRule="auto"/>
        <w:ind w:firstLine="482" w:firstLineChars="200"/>
        <w:rPr>
          <w:rFonts w:ascii="宋体"/>
          <w:b/>
          <w:bCs/>
          <w:sz w:val="24"/>
          <w:highlight w:val="none"/>
        </w:rPr>
      </w:pPr>
      <w:r>
        <w:rPr>
          <w:rFonts w:ascii="宋体" w:hAnsi="宋体"/>
          <w:b/>
          <w:bCs/>
          <w:sz w:val="24"/>
          <w:highlight w:val="none"/>
        </w:rPr>
        <w:t>10</w:t>
      </w:r>
      <w:r>
        <w:rPr>
          <w:rFonts w:hint="eastAsia" w:ascii="宋体" w:hAnsi="宋体"/>
          <w:b/>
          <w:bCs/>
          <w:sz w:val="24"/>
          <w:highlight w:val="none"/>
        </w:rPr>
        <w:t>．投标文件的语言及度量衡单位</w:t>
      </w:r>
    </w:p>
    <w:p>
      <w:pPr>
        <w:pStyle w:val="5"/>
        <w:spacing w:after="0" w:line="360" w:lineRule="auto"/>
        <w:ind w:firstLine="480" w:firstLineChars="200"/>
        <w:rPr>
          <w:rFonts w:ascii="宋体"/>
          <w:sz w:val="24"/>
          <w:highlight w:val="none"/>
        </w:rPr>
      </w:pPr>
      <w:r>
        <w:rPr>
          <w:rFonts w:ascii="宋体" w:hAnsi="宋体"/>
          <w:sz w:val="24"/>
          <w:highlight w:val="none"/>
        </w:rPr>
        <w:t xml:space="preserve">10.1 </w:t>
      </w:r>
      <w:r>
        <w:rPr>
          <w:rFonts w:hint="eastAsia" w:ascii="宋体" w:hAnsi="宋体"/>
          <w:sz w:val="24"/>
          <w:highlight w:val="none"/>
        </w:rPr>
        <w:t>投标文件和与投标有关的所有文件均应使用中文。</w:t>
      </w:r>
    </w:p>
    <w:p>
      <w:pPr>
        <w:pStyle w:val="5"/>
        <w:spacing w:after="0" w:line="360" w:lineRule="auto"/>
        <w:ind w:firstLine="480" w:firstLineChars="200"/>
        <w:rPr>
          <w:rFonts w:ascii="宋体"/>
          <w:sz w:val="24"/>
          <w:highlight w:val="none"/>
        </w:rPr>
      </w:pPr>
      <w:r>
        <w:rPr>
          <w:rFonts w:ascii="宋体" w:hAnsi="宋体"/>
          <w:sz w:val="24"/>
          <w:highlight w:val="none"/>
        </w:rPr>
        <w:t xml:space="preserve">10.2 </w:t>
      </w:r>
      <w:r>
        <w:rPr>
          <w:rFonts w:hint="eastAsia" w:ascii="宋体" w:hAnsi="宋体"/>
          <w:sz w:val="24"/>
          <w:highlight w:val="none"/>
        </w:rPr>
        <w:t>除工程规范另有规定外，投标文件使用的度量衡单位，均采用中华人民共和国法定计量单位。</w:t>
      </w:r>
    </w:p>
    <w:p>
      <w:pPr>
        <w:pStyle w:val="5"/>
        <w:spacing w:after="0" w:line="360" w:lineRule="auto"/>
        <w:ind w:firstLine="482" w:firstLineChars="200"/>
        <w:rPr>
          <w:rFonts w:ascii="宋体"/>
          <w:b/>
          <w:bCs/>
          <w:sz w:val="24"/>
          <w:highlight w:val="none"/>
        </w:rPr>
      </w:pPr>
      <w:r>
        <w:rPr>
          <w:rFonts w:ascii="宋体" w:hAnsi="宋体"/>
          <w:b/>
          <w:bCs/>
          <w:sz w:val="24"/>
          <w:highlight w:val="none"/>
        </w:rPr>
        <w:t>11</w:t>
      </w:r>
      <w:r>
        <w:rPr>
          <w:rFonts w:hint="eastAsia" w:ascii="宋体" w:hAnsi="宋体"/>
          <w:b/>
          <w:bCs/>
          <w:sz w:val="24"/>
          <w:highlight w:val="none"/>
        </w:rPr>
        <w:t>．投标文件的组成</w:t>
      </w:r>
    </w:p>
    <w:p>
      <w:pPr>
        <w:pStyle w:val="5"/>
        <w:spacing w:after="0" w:line="360" w:lineRule="auto"/>
        <w:ind w:firstLine="480" w:firstLineChars="200"/>
        <w:rPr>
          <w:rFonts w:ascii="宋体"/>
          <w:b/>
          <w:sz w:val="24"/>
          <w:highlight w:val="none"/>
        </w:rPr>
      </w:pPr>
      <w:r>
        <w:rPr>
          <w:rFonts w:ascii="宋体" w:hAnsi="宋体"/>
          <w:sz w:val="24"/>
          <w:highlight w:val="none"/>
        </w:rPr>
        <w:t xml:space="preserve">11.1 </w:t>
      </w:r>
      <w:r>
        <w:rPr>
          <w:rFonts w:hint="eastAsia" w:ascii="宋体" w:hAnsi="宋体"/>
          <w:sz w:val="24"/>
          <w:highlight w:val="none"/>
        </w:rPr>
        <w:t>投标文件由技术部分（含资格审查文件）和经济部分和定标辅助文件（纸质扫描件）三部分组成</w:t>
      </w:r>
      <w:r>
        <w:rPr>
          <w:rFonts w:hint="eastAsia" w:ascii="宋体" w:hAnsi="宋体"/>
          <w:b/>
          <w:sz w:val="24"/>
          <w:highlight w:val="none"/>
        </w:rPr>
        <w:t>。</w:t>
      </w:r>
    </w:p>
    <w:p>
      <w:pPr>
        <w:spacing w:line="360" w:lineRule="auto"/>
        <w:ind w:firstLine="480" w:firstLineChars="200"/>
        <w:rPr>
          <w:rFonts w:ascii="宋体" w:hAnsi="宋体"/>
          <w:bCs/>
          <w:sz w:val="24"/>
          <w:highlight w:val="none"/>
        </w:rPr>
      </w:pPr>
      <w:r>
        <w:rPr>
          <w:rFonts w:ascii="宋体" w:hAnsi="宋体"/>
          <w:bCs/>
          <w:sz w:val="24"/>
          <w:highlight w:val="none"/>
        </w:rPr>
        <w:t>11.2</w:t>
      </w:r>
      <w:r>
        <w:rPr>
          <w:rFonts w:hint="eastAsia" w:ascii="宋体" w:hAnsi="宋体"/>
          <w:bCs/>
          <w:sz w:val="24"/>
          <w:highlight w:val="none"/>
        </w:rPr>
        <w:t>技术部分（含资格审查文件）主要包括下列内容</w:t>
      </w:r>
      <w:r>
        <w:rPr>
          <w:rFonts w:ascii="宋体" w:hAnsi="宋体"/>
          <w:bCs/>
          <w:sz w:val="24"/>
          <w:highlight w:val="none"/>
        </w:rPr>
        <w:t>:</w:t>
      </w:r>
    </w:p>
    <w:p>
      <w:pPr>
        <w:tabs>
          <w:tab w:val="left" w:pos="1125"/>
        </w:tabs>
        <w:spacing w:line="360" w:lineRule="auto"/>
        <w:ind w:firstLine="480" w:firstLineChars="200"/>
        <w:rPr>
          <w:rFonts w:ascii="宋体"/>
          <w:bCs/>
          <w:sz w:val="24"/>
          <w:highlight w:val="none"/>
        </w:rPr>
      </w:pPr>
      <w:r>
        <w:rPr>
          <w:rFonts w:hint="eastAsia" w:ascii="宋体"/>
          <w:bCs/>
          <w:sz w:val="24"/>
          <w:highlight w:val="none"/>
        </w:rPr>
        <w:t>11.2.1广州建设工程施工招标投标书（按招标文件的要求填写）；</w:t>
      </w:r>
    </w:p>
    <w:p>
      <w:pPr>
        <w:tabs>
          <w:tab w:val="left" w:pos="1125"/>
        </w:tabs>
        <w:spacing w:line="360" w:lineRule="auto"/>
        <w:ind w:firstLine="480" w:firstLineChars="200"/>
        <w:rPr>
          <w:rFonts w:ascii="宋体"/>
          <w:bCs/>
          <w:sz w:val="24"/>
          <w:highlight w:val="none"/>
        </w:rPr>
      </w:pPr>
      <w:r>
        <w:rPr>
          <w:rFonts w:hint="eastAsia" w:ascii="宋体"/>
          <w:bCs/>
          <w:sz w:val="24"/>
          <w:highlight w:val="none"/>
        </w:rPr>
        <w:t>11.2.2资格审查文件：</w:t>
      </w:r>
    </w:p>
    <w:p>
      <w:pPr>
        <w:tabs>
          <w:tab w:val="left" w:pos="1125"/>
        </w:tabs>
        <w:spacing w:line="360" w:lineRule="auto"/>
        <w:ind w:firstLine="480" w:firstLineChars="200"/>
        <w:rPr>
          <w:rFonts w:ascii="宋体"/>
          <w:bCs/>
          <w:sz w:val="24"/>
          <w:highlight w:val="none"/>
        </w:rPr>
      </w:pPr>
      <w:r>
        <w:rPr>
          <w:rFonts w:hint="eastAsia" w:ascii="宋体"/>
          <w:bCs/>
          <w:sz w:val="24"/>
          <w:highlight w:val="none"/>
        </w:rPr>
        <w:t>（1）投标人声明</w:t>
      </w:r>
      <w:r>
        <w:rPr>
          <w:rFonts w:hint="eastAsia" w:ascii="宋体"/>
          <w:bCs/>
          <w:sz w:val="24"/>
          <w:highlight w:val="none"/>
          <w:u w:val="single"/>
        </w:rPr>
        <w:t>（见招标公告附件一）</w:t>
      </w:r>
      <w:r>
        <w:rPr>
          <w:rFonts w:hint="eastAsia" w:ascii="宋体"/>
          <w:bCs/>
          <w:sz w:val="24"/>
          <w:highlight w:val="none"/>
        </w:rPr>
        <w:t xml:space="preserve">； </w:t>
      </w:r>
    </w:p>
    <w:p>
      <w:pPr>
        <w:tabs>
          <w:tab w:val="left" w:pos="1125"/>
        </w:tabs>
        <w:spacing w:line="360" w:lineRule="auto"/>
        <w:ind w:firstLine="480" w:firstLineChars="200"/>
        <w:rPr>
          <w:rFonts w:ascii="宋体"/>
          <w:bCs/>
          <w:sz w:val="24"/>
          <w:highlight w:val="none"/>
        </w:rPr>
      </w:pPr>
      <w:r>
        <w:rPr>
          <w:rFonts w:hint="eastAsia" w:ascii="宋体"/>
          <w:bCs/>
          <w:sz w:val="24"/>
          <w:highlight w:val="none"/>
        </w:rPr>
        <w:t>（2）法定代表人证明书、法定代表人签字或盖章的本投标文件授权委托证明书；</w:t>
      </w:r>
    </w:p>
    <w:p>
      <w:pPr>
        <w:tabs>
          <w:tab w:val="left" w:pos="1125"/>
        </w:tabs>
        <w:spacing w:line="360" w:lineRule="auto"/>
        <w:ind w:firstLine="480" w:firstLineChars="200"/>
        <w:rPr>
          <w:rFonts w:ascii="宋体"/>
          <w:bCs/>
          <w:sz w:val="24"/>
          <w:highlight w:val="none"/>
        </w:rPr>
      </w:pPr>
      <w:r>
        <w:rPr>
          <w:rFonts w:hint="eastAsia" w:ascii="宋体"/>
          <w:bCs/>
          <w:sz w:val="24"/>
          <w:highlight w:val="none"/>
        </w:rPr>
        <w:t>（3）企业营业执照（扫描件）；</w:t>
      </w:r>
    </w:p>
    <w:p>
      <w:pPr>
        <w:tabs>
          <w:tab w:val="left" w:pos="1125"/>
        </w:tabs>
        <w:spacing w:line="360" w:lineRule="auto"/>
        <w:ind w:firstLine="480" w:firstLineChars="200"/>
        <w:rPr>
          <w:rFonts w:ascii="宋体"/>
          <w:bCs/>
          <w:sz w:val="24"/>
          <w:highlight w:val="none"/>
        </w:rPr>
      </w:pPr>
      <w:r>
        <w:rPr>
          <w:rFonts w:hint="eastAsia" w:ascii="宋体"/>
          <w:bCs/>
          <w:sz w:val="24"/>
          <w:highlight w:val="none"/>
        </w:rPr>
        <w:t>（</w:t>
      </w:r>
      <w:r>
        <w:rPr>
          <w:rFonts w:ascii="宋体"/>
          <w:bCs/>
          <w:sz w:val="24"/>
          <w:highlight w:val="none"/>
        </w:rPr>
        <w:t>4</w:t>
      </w:r>
      <w:r>
        <w:rPr>
          <w:rFonts w:hint="eastAsia" w:ascii="宋体"/>
          <w:bCs/>
          <w:sz w:val="24"/>
          <w:highlight w:val="none"/>
        </w:rPr>
        <w:t>）用于资格审查的业绩；</w:t>
      </w:r>
    </w:p>
    <w:p>
      <w:pPr>
        <w:spacing w:line="440" w:lineRule="exact"/>
        <w:ind w:firstLine="480" w:firstLineChars="200"/>
        <w:rPr>
          <w:rFonts w:ascii="宋体"/>
          <w:bCs/>
          <w:sz w:val="24"/>
          <w:szCs w:val="24"/>
          <w:highlight w:val="none"/>
          <w:u w:val="single"/>
        </w:rPr>
      </w:pPr>
      <w:r>
        <w:rPr>
          <w:rFonts w:hint="eastAsia" w:ascii="宋体"/>
          <w:bCs/>
          <w:sz w:val="24"/>
          <w:szCs w:val="24"/>
          <w:highlight w:val="none"/>
          <w:u w:val="single"/>
        </w:rPr>
        <w:t>11.2.</w:t>
      </w:r>
      <w:r>
        <w:rPr>
          <w:rFonts w:ascii="宋体"/>
          <w:bCs/>
          <w:sz w:val="24"/>
          <w:szCs w:val="24"/>
          <w:highlight w:val="none"/>
          <w:u w:val="single"/>
        </w:rPr>
        <w:t>3</w:t>
      </w:r>
      <w:r>
        <w:rPr>
          <w:rFonts w:hint="eastAsia" w:ascii="宋体"/>
          <w:bCs/>
          <w:sz w:val="24"/>
          <w:szCs w:val="24"/>
          <w:highlight w:val="none"/>
          <w:u w:val="single"/>
        </w:rPr>
        <w:t>施工投标承诺函（技术标）（按招标文件的要求填写）。</w:t>
      </w:r>
    </w:p>
    <w:p>
      <w:pPr>
        <w:spacing w:line="440" w:lineRule="exact"/>
        <w:ind w:firstLine="480" w:firstLineChars="200"/>
        <w:rPr>
          <w:rFonts w:ascii="宋体"/>
          <w:bCs/>
          <w:sz w:val="24"/>
          <w:szCs w:val="24"/>
          <w:highlight w:val="none"/>
        </w:rPr>
      </w:pPr>
      <w:r>
        <w:rPr>
          <w:rFonts w:hint="eastAsia" w:ascii="宋体"/>
          <w:bCs/>
          <w:sz w:val="24"/>
          <w:szCs w:val="24"/>
          <w:highlight w:val="none"/>
        </w:rPr>
        <w:t>11.2.</w:t>
      </w:r>
      <w:r>
        <w:rPr>
          <w:rFonts w:ascii="宋体"/>
          <w:bCs/>
          <w:sz w:val="24"/>
          <w:szCs w:val="24"/>
          <w:highlight w:val="none"/>
        </w:rPr>
        <w:t>4</w:t>
      </w:r>
      <w:r>
        <w:rPr>
          <w:rFonts w:hint="eastAsia" w:ascii="宋体"/>
          <w:bCs/>
          <w:sz w:val="24"/>
          <w:szCs w:val="24"/>
          <w:highlight w:val="none"/>
        </w:rPr>
        <w:t>《参与编制技术标投标文件人员名单》（按招标文件的要求填写）。</w:t>
      </w:r>
    </w:p>
    <w:p>
      <w:pPr>
        <w:spacing w:line="440" w:lineRule="exact"/>
        <w:ind w:firstLine="480" w:firstLineChars="200"/>
        <w:rPr>
          <w:rFonts w:ascii="宋体" w:hAnsi="宋体"/>
          <w:bCs/>
          <w:sz w:val="24"/>
          <w:highlight w:val="none"/>
          <w:u w:val="single"/>
        </w:rPr>
      </w:pPr>
      <w:r>
        <w:rPr>
          <w:rFonts w:hint="eastAsia" w:ascii="宋体"/>
          <w:bCs/>
          <w:sz w:val="24"/>
          <w:szCs w:val="24"/>
          <w:highlight w:val="none"/>
        </w:rPr>
        <w:t>11.2.</w:t>
      </w:r>
      <w:r>
        <w:rPr>
          <w:rFonts w:ascii="宋体"/>
          <w:bCs/>
          <w:sz w:val="24"/>
          <w:szCs w:val="24"/>
          <w:highlight w:val="none"/>
        </w:rPr>
        <w:t>5</w:t>
      </w:r>
      <w:r>
        <w:rPr>
          <w:rFonts w:hint="eastAsia" w:ascii="宋体" w:hAnsi="宋体"/>
          <w:bCs/>
          <w:sz w:val="24"/>
          <w:highlight w:val="none"/>
          <w:u w:val="single"/>
        </w:rPr>
        <w:t>《独立承诺函》（格式见第四章）。</w:t>
      </w:r>
    </w:p>
    <w:p>
      <w:pPr>
        <w:tabs>
          <w:tab w:val="left" w:pos="1125"/>
        </w:tabs>
        <w:spacing w:line="360" w:lineRule="auto"/>
        <w:ind w:firstLine="480" w:firstLineChars="200"/>
        <w:rPr>
          <w:rFonts w:hint="eastAsia" w:ascii="宋体"/>
          <w:bCs/>
          <w:sz w:val="24"/>
          <w:highlight w:val="none"/>
          <w:u w:val="single"/>
        </w:rPr>
      </w:pPr>
      <w:r>
        <w:rPr>
          <w:rFonts w:hint="eastAsia" w:ascii="宋体"/>
          <w:bCs/>
          <w:sz w:val="24"/>
          <w:highlight w:val="none"/>
          <w:u w:val="none"/>
        </w:rPr>
        <w:t>11.2.6</w:t>
      </w:r>
      <w:r>
        <w:rPr>
          <w:rFonts w:hint="eastAsia" w:ascii="宋体"/>
          <w:bCs/>
          <w:sz w:val="24"/>
          <w:highlight w:val="none"/>
          <w:u w:val="single"/>
        </w:rPr>
        <w:t>《无不廉洁行为承诺函》（格式见第四章）。</w:t>
      </w:r>
    </w:p>
    <w:p>
      <w:pPr>
        <w:tabs>
          <w:tab w:val="left" w:pos="1125"/>
        </w:tabs>
        <w:spacing w:line="360" w:lineRule="auto"/>
        <w:ind w:firstLine="480" w:firstLineChars="200"/>
        <w:rPr>
          <w:rFonts w:hint="eastAsia" w:ascii="宋体"/>
          <w:bCs/>
          <w:sz w:val="24"/>
          <w:highlight w:val="none"/>
          <w:u w:val="single"/>
          <w:lang w:val="en-US" w:eastAsia="zh-CN"/>
        </w:rPr>
      </w:pPr>
      <w:r>
        <w:rPr>
          <w:rFonts w:hint="eastAsia" w:ascii="宋体"/>
          <w:bCs/>
          <w:sz w:val="24"/>
          <w:highlight w:val="none"/>
          <w:u w:val="none"/>
        </w:rPr>
        <w:t>11.2.</w:t>
      </w:r>
      <w:r>
        <w:rPr>
          <w:rFonts w:hint="eastAsia" w:ascii="宋体"/>
          <w:bCs/>
          <w:sz w:val="24"/>
          <w:highlight w:val="none"/>
          <w:u w:val="none"/>
          <w:lang w:val="en-US" w:eastAsia="zh-CN"/>
        </w:rPr>
        <w:t>7</w:t>
      </w:r>
      <w:r>
        <w:rPr>
          <w:rFonts w:hint="eastAsia" w:ascii="宋体"/>
          <w:bCs/>
          <w:sz w:val="24"/>
          <w:highlight w:val="none"/>
          <w:u w:val="single"/>
          <w:lang w:val="en-US" w:eastAsia="zh-CN"/>
        </w:rPr>
        <w:t>投标产品响应参数表</w:t>
      </w:r>
    </w:p>
    <w:p>
      <w:pPr>
        <w:spacing w:line="440" w:lineRule="exact"/>
        <w:ind w:firstLine="480" w:firstLineChars="200"/>
        <w:rPr>
          <w:rFonts w:ascii="宋体"/>
          <w:bCs/>
          <w:sz w:val="24"/>
          <w:szCs w:val="24"/>
          <w:highlight w:val="none"/>
        </w:rPr>
      </w:pPr>
      <w:r>
        <w:rPr>
          <w:rFonts w:hint="eastAsia" w:ascii="宋体"/>
          <w:bCs/>
          <w:sz w:val="24"/>
          <w:szCs w:val="24"/>
          <w:highlight w:val="none"/>
        </w:rPr>
        <w:t>11.2.</w:t>
      </w:r>
      <w:r>
        <w:rPr>
          <w:rFonts w:hint="eastAsia" w:ascii="宋体"/>
          <w:bCs/>
          <w:sz w:val="24"/>
          <w:szCs w:val="24"/>
          <w:highlight w:val="none"/>
          <w:lang w:val="en-US" w:eastAsia="zh-CN"/>
        </w:rPr>
        <w:t>8</w:t>
      </w:r>
      <w:r>
        <w:rPr>
          <w:rFonts w:hint="eastAsia" w:ascii="宋体"/>
          <w:bCs/>
          <w:sz w:val="24"/>
          <w:szCs w:val="24"/>
          <w:highlight w:val="none"/>
        </w:rPr>
        <w:t>投标人认为应该提供的其他资料。</w:t>
      </w:r>
    </w:p>
    <w:p>
      <w:pPr>
        <w:tabs>
          <w:tab w:val="left" w:pos="1125"/>
        </w:tabs>
        <w:spacing w:line="360" w:lineRule="auto"/>
        <w:ind w:firstLine="480" w:firstLineChars="200"/>
        <w:rPr>
          <w:rFonts w:ascii="宋体"/>
          <w:bCs/>
          <w:sz w:val="24"/>
          <w:highlight w:val="none"/>
          <w:u w:val="single"/>
        </w:rPr>
      </w:pPr>
      <w:r>
        <w:rPr>
          <w:rFonts w:hint="eastAsia" w:ascii="宋体"/>
          <w:bCs/>
          <w:sz w:val="24"/>
          <w:highlight w:val="none"/>
          <w:u w:val="single"/>
        </w:rPr>
        <w:t>11.3 经济部分投标文件主要包括下列内容：</w:t>
      </w:r>
    </w:p>
    <w:p>
      <w:pPr>
        <w:tabs>
          <w:tab w:val="left" w:pos="1125"/>
        </w:tabs>
        <w:spacing w:line="360" w:lineRule="auto"/>
        <w:ind w:firstLine="480" w:firstLineChars="200"/>
        <w:rPr>
          <w:rFonts w:ascii="宋体"/>
          <w:bCs/>
          <w:sz w:val="24"/>
          <w:highlight w:val="none"/>
          <w:u w:val="single"/>
        </w:rPr>
      </w:pPr>
      <w:r>
        <w:rPr>
          <w:rFonts w:hint="eastAsia" w:ascii="宋体"/>
          <w:bCs/>
          <w:sz w:val="24"/>
          <w:highlight w:val="none"/>
          <w:u w:val="single"/>
        </w:rPr>
        <w:t xml:space="preserve">11.3.1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keepNext w:val="0"/>
        <w:keepLines w:val="0"/>
        <w:pageBreakBefore w:val="0"/>
        <w:widowControl w:val="0"/>
        <w:tabs>
          <w:tab w:val="left" w:pos="1125"/>
        </w:tabs>
        <w:kinsoku/>
        <w:wordWrap/>
        <w:overflowPunct/>
        <w:topLinePunct w:val="0"/>
        <w:autoSpaceDE/>
        <w:autoSpaceDN/>
        <w:bidi w:val="0"/>
        <w:adjustRightInd/>
        <w:snapToGrid/>
        <w:spacing w:line="440" w:lineRule="exact"/>
        <w:ind w:firstLine="480" w:firstLineChars="200"/>
        <w:textAlignment w:val="auto"/>
        <w:rPr>
          <w:rFonts w:ascii="宋体"/>
          <w:bCs/>
          <w:sz w:val="24"/>
          <w:highlight w:val="none"/>
          <w:u w:val="single"/>
        </w:rPr>
      </w:pPr>
      <w:r>
        <w:rPr>
          <w:rFonts w:hint="eastAsia" w:ascii="宋体"/>
          <w:bCs/>
          <w:sz w:val="24"/>
          <w:highlight w:val="none"/>
          <w:u w:val="single"/>
        </w:rPr>
        <w:t>（1）投标总价封面、扉页；</w:t>
      </w:r>
    </w:p>
    <w:p>
      <w:pPr>
        <w:keepNext w:val="0"/>
        <w:keepLines w:val="0"/>
        <w:pageBreakBefore w:val="0"/>
        <w:widowControl w:val="0"/>
        <w:tabs>
          <w:tab w:val="left" w:pos="1125"/>
        </w:tabs>
        <w:kinsoku/>
        <w:wordWrap/>
        <w:overflowPunct/>
        <w:topLinePunct w:val="0"/>
        <w:autoSpaceDE/>
        <w:autoSpaceDN/>
        <w:bidi w:val="0"/>
        <w:adjustRightInd/>
        <w:snapToGrid/>
        <w:spacing w:line="440" w:lineRule="exact"/>
        <w:ind w:firstLine="480" w:firstLineChars="200"/>
        <w:textAlignment w:val="auto"/>
        <w:rPr>
          <w:rFonts w:ascii="宋体"/>
          <w:bCs/>
          <w:sz w:val="24"/>
          <w:highlight w:val="none"/>
          <w:u w:val="single"/>
        </w:rPr>
      </w:pPr>
      <w:r>
        <w:rPr>
          <w:rFonts w:hint="eastAsia" w:ascii="宋体"/>
          <w:bCs/>
          <w:sz w:val="24"/>
          <w:highlight w:val="none"/>
          <w:u w:val="single"/>
        </w:rPr>
        <w:t>（2）总说明；</w:t>
      </w:r>
    </w:p>
    <w:p>
      <w:pPr>
        <w:keepNext w:val="0"/>
        <w:keepLines w:val="0"/>
        <w:pageBreakBefore w:val="0"/>
        <w:widowControl w:val="0"/>
        <w:tabs>
          <w:tab w:val="left" w:pos="1125"/>
        </w:tabs>
        <w:kinsoku/>
        <w:wordWrap/>
        <w:overflowPunct/>
        <w:topLinePunct w:val="0"/>
        <w:autoSpaceDE/>
        <w:autoSpaceDN/>
        <w:bidi w:val="0"/>
        <w:adjustRightInd/>
        <w:snapToGrid/>
        <w:spacing w:line="440" w:lineRule="exact"/>
        <w:ind w:firstLine="480" w:firstLineChars="200"/>
        <w:textAlignment w:val="auto"/>
        <w:rPr>
          <w:rFonts w:ascii="宋体"/>
          <w:bCs/>
          <w:sz w:val="24"/>
          <w:highlight w:val="none"/>
          <w:u w:val="single"/>
        </w:rPr>
      </w:pPr>
      <w:r>
        <w:rPr>
          <w:rFonts w:hint="eastAsia" w:ascii="宋体"/>
          <w:bCs/>
          <w:sz w:val="24"/>
          <w:highlight w:val="none"/>
          <w:u w:val="single"/>
        </w:rPr>
        <w:t>（3）工程项目投标报价汇总表；</w:t>
      </w:r>
    </w:p>
    <w:p>
      <w:pPr>
        <w:keepNext w:val="0"/>
        <w:keepLines w:val="0"/>
        <w:pageBreakBefore w:val="0"/>
        <w:widowControl w:val="0"/>
        <w:tabs>
          <w:tab w:val="left" w:pos="1125"/>
        </w:tabs>
        <w:kinsoku/>
        <w:wordWrap/>
        <w:overflowPunct/>
        <w:topLinePunct w:val="0"/>
        <w:autoSpaceDE/>
        <w:autoSpaceDN/>
        <w:bidi w:val="0"/>
        <w:adjustRightInd/>
        <w:snapToGrid/>
        <w:spacing w:line="440" w:lineRule="exact"/>
        <w:ind w:firstLine="480" w:firstLineChars="200"/>
        <w:textAlignment w:val="auto"/>
        <w:rPr>
          <w:rFonts w:ascii="宋体"/>
          <w:bCs/>
          <w:sz w:val="24"/>
          <w:highlight w:val="none"/>
          <w:u w:val="single"/>
        </w:rPr>
      </w:pPr>
      <w:r>
        <w:rPr>
          <w:rFonts w:hint="eastAsia" w:ascii="宋体"/>
          <w:bCs/>
          <w:sz w:val="24"/>
          <w:highlight w:val="none"/>
          <w:u w:val="single"/>
        </w:rPr>
        <w:t>（4）单项工程投标报价汇总表；</w:t>
      </w:r>
    </w:p>
    <w:p>
      <w:pPr>
        <w:keepNext w:val="0"/>
        <w:keepLines w:val="0"/>
        <w:pageBreakBefore w:val="0"/>
        <w:widowControl w:val="0"/>
        <w:tabs>
          <w:tab w:val="left" w:pos="1125"/>
        </w:tabs>
        <w:kinsoku/>
        <w:wordWrap/>
        <w:overflowPunct/>
        <w:topLinePunct w:val="0"/>
        <w:autoSpaceDE/>
        <w:autoSpaceDN/>
        <w:bidi w:val="0"/>
        <w:adjustRightInd/>
        <w:snapToGrid/>
        <w:spacing w:line="440" w:lineRule="exact"/>
        <w:ind w:firstLine="480" w:firstLineChars="200"/>
        <w:textAlignment w:val="auto"/>
        <w:rPr>
          <w:rFonts w:ascii="宋体"/>
          <w:bCs/>
          <w:sz w:val="24"/>
          <w:highlight w:val="none"/>
          <w:u w:val="single"/>
        </w:rPr>
      </w:pPr>
      <w:r>
        <w:rPr>
          <w:rFonts w:hint="eastAsia" w:ascii="宋体"/>
          <w:bCs/>
          <w:sz w:val="24"/>
          <w:highlight w:val="none"/>
          <w:u w:val="single"/>
        </w:rPr>
        <w:t>（5）单位工程投标报价汇总表；</w:t>
      </w:r>
    </w:p>
    <w:p>
      <w:pPr>
        <w:keepNext w:val="0"/>
        <w:keepLines w:val="0"/>
        <w:pageBreakBefore w:val="0"/>
        <w:widowControl w:val="0"/>
        <w:tabs>
          <w:tab w:val="left" w:pos="1125"/>
        </w:tabs>
        <w:kinsoku/>
        <w:wordWrap/>
        <w:overflowPunct/>
        <w:topLinePunct w:val="0"/>
        <w:autoSpaceDE/>
        <w:autoSpaceDN/>
        <w:bidi w:val="0"/>
        <w:adjustRightInd/>
        <w:snapToGrid/>
        <w:spacing w:line="440" w:lineRule="exact"/>
        <w:ind w:firstLine="480" w:firstLineChars="200"/>
        <w:textAlignment w:val="auto"/>
        <w:rPr>
          <w:rFonts w:ascii="宋体"/>
          <w:bCs/>
          <w:sz w:val="24"/>
          <w:highlight w:val="none"/>
          <w:u w:val="single"/>
        </w:rPr>
      </w:pPr>
      <w:r>
        <w:rPr>
          <w:rFonts w:hint="eastAsia" w:ascii="宋体"/>
          <w:bCs/>
          <w:sz w:val="24"/>
          <w:highlight w:val="none"/>
          <w:u w:val="single"/>
        </w:rPr>
        <w:t>（6）分部分项工程清单与计价表；</w:t>
      </w:r>
    </w:p>
    <w:p>
      <w:pPr>
        <w:keepNext w:val="0"/>
        <w:keepLines w:val="0"/>
        <w:pageBreakBefore w:val="0"/>
        <w:widowControl w:val="0"/>
        <w:tabs>
          <w:tab w:val="left" w:pos="1125"/>
        </w:tabs>
        <w:kinsoku/>
        <w:wordWrap/>
        <w:overflowPunct/>
        <w:topLinePunct w:val="0"/>
        <w:autoSpaceDE/>
        <w:autoSpaceDN/>
        <w:bidi w:val="0"/>
        <w:adjustRightInd/>
        <w:snapToGrid/>
        <w:spacing w:line="440" w:lineRule="exact"/>
        <w:ind w:firstLine="480" w:firstLineChars="200"/>
        <w:textAlignment w:val="auto"/>
        <w:rPr>
          <w:rFonts w:ascii="宋体"/>
          <w:bCs/>
          <w:sz w:val="24"/>
          <w:highlight w:val="none"/>
          <w:u w:val="single"/>
        </w:rPr>
      </w:pPr>
      <w:r>
        <w:rPr>
          <w:rFonts w:hint="eastAsia" w:ascii="宋体"/>
          <w:bCs/>
          <w:sz w:val="24"/>
          <w:highlight w:val="none"/>
          <w:u w:val="single"/>
        </w:rPr>
        <w:t>（7）单价措施项目清单与计价表；</w:t>
      </w:r>
    </w:p>
    <w:p>
      <w:pPr>
        <w:keepNext w:val="0"/>
        <w:keepLines w:val="0"/>
        <w:pageBreakBefore w:val="0"/>
        <w:widowControl w:val="0"/>
        <w:tabs>
          <w:tab w:val="left" w:pos="1125"/>
        </w:tabs>
        <w:kinsoku/>
        <w:wordWrap/>
        <w:overflowPunct/>
        <w:topLinePunct w:val="0"/>
        <w:autoSpaceDE/>
        <w:autoSpaceDN/>
        <w:bidi w:val="0"/>
        <w:adjustRightInd/>
        <w:snapToGrid/>
        <w:spacing w:line="440" w:lineRule="exact"/>
        <w:ind w:firstLine="480" w:firstLineChars="200"/>
        <w:textAlignment w:val="auto"/>
        <w:rPr>
          <w:rFonts w:ascii="宋体"/>
          <w:bCs/>
          <w:sz w:val="24"/>
          <w:highlight w:val="none"/>
          <w:u w:val="single"/>
        </w:rPr>
      </w:pPr>
      <w:r>
        <w:rPr>
          <w:rFonts w:hint="eastAsia" w:ascii="宋体"/>
          <w:bCs/>
          <w:sz w:val="24"/>
          <w:highlight w:val="none"/>
          <w:u w:val="single"/>
        </w:rPr>
        <w:t>（8）总价措施项目清单与计价表；</w:t>
      </w:r>
    </w:p>
    <w:p>
      <w:pPr>
        <w:keepNext w:val="0"/>
        <w:keepLines w:val="0"/>
        <w:pageBreakBefore w:val="0"/>
        <w:widowControl w:val="0"/>
        <w:tabs>
          <w:tab w:val="left" w:pos="1125"/>
        </w:tabs>
        <w:kinsoku/>
        <w:wordWrap/>
        <w:overflowPunct/>
        <w:topLinePunct w:val="0"/>
        <w:autoSpaceDE/>
        <w:autoSpaceDN/>
        <w:bidi w:val="0"/>
        <w:adjustRightInd/>
        <w:snapToGrid/>
        <w:spacing w:line="440" w:lineRule="exact"/>
        <w:ind w:firstLine="480" w:firstLineChars="200"/>
        <w:textAlignment w:val="auto"/>
        <w:rPr>
          <w:rFonts w:ascii="宋体"/>
          <w:bCs/>
          <w:sz w:val="24"/>
          <w:highlight w:val="none"/>
          <w:u w:val="single"/>
        </w:rPr>
      </w:pPr>
      <w:r>
        <w:rPr>
          <w:rFonts w:hint="eastAsia" w:ascii="宋体"/>
          <w:bCs/>
          <w:sz w:val="24"/>
          <w:highlight w:val="none"/>
          <w:u w:val="single"/>
        </w:rPr>
        <w:t>（9）综合单价分析表；</w:t>
      </w:r>
    </w:p>
    <w:p>
      <w:pPr>
        <w:keepNext w:val="0"/>
        <w:keepLines w:val="0"/>
        <w:pageBreakBefore w:val="0"/>
        <w:widowControl w:val="0"/>
        <w:tabs>
          <w:tab w:val="left" w:pos="1125"/>
        </w:tabs>
        <w:kinsoku/>
        <w:wordWrap/>
        <w:overflowPunct/>
        <w:topLinePunct w:val="0"/>
        <w:autoSpaceDE/>
        <w:autoSpaceDN/>
        <w:bidi w:val="0"/>
        <w:adjustRightInd/>
        <w:snapToGrid/>
        <w:spacing w:line="440" w:lineRule="exact"/>
        <w:ind w:firstLine="480" w:firstLineChars="200"/>
        <w:textAlignment w:val="auto"/>
        <w:rPr>
          <w:rFonts w:ascii="宋体"/>
          <w:bCs/>
          <w:sz w:val="24"/>
          <w:highlight w:val="none"/>
          <w:u w:val="single"/>
        </w:rPr>
      </w:pPr>
      <w:r>
        <w:rPr>
          <w:rFonts w:hint="eastAsia" w:ascii="宋体"/>
          <w:bCs/>
          <w:sz w:val="24"/>
          <w:highlight w:val="none"/>
          <w:u w:val="single"/>
        </w:rPr>
        <w:t>（10）其他项目清单与计价汇总表；</w:t>
      </w:r>
    </w:p>
    <w:p>
      <w:pPr>
        <w:keepNext w:val="0"/>
        <w:keepLines w:val="0"/>
        <w:pageBreakBefore w:val="0"/>
        <w:widowControl w:val="0"/>
        <w:tabs>
          <w:tab w:val="left" w:pos="1125"/>
        </w:tabs>
        <w:kinsoku/>
        <w:wordWrap/>
        <w:overflowPunct/>
        <w:topLinePunct w:val="0"/>
        <w:autoSpaceDE/>
        <w:autoSpaceDN/>
        <w:bidi w:val="0"/>
        <w:adjustRightInd/>
        <w:snapToGrid/>
        <w:spacing w:line="440" w:lineRule="exact"/>
        <w:ind w:firstLine="480" w:firstLineChars="200"/>
        <w:textAlignment w:val="auto"/>
        <w:rPr>
          <w:rFonts w:ascii="宋体"/>
          <w:bCs/>
          <w:sz w:val="24"/>
          <w:highlight w:val="none"/>
          <w:u w:val="single"/>
        </w:rPr>
      </w:pPr>
      <w:r>
        <w:rPr>
          <w:rFonts w:hint="eastAsia" w:ascii="宋体"/>
          <w:bCs/>
          <w:sz w:val="24"/>
          <w:highlight w:val="none"/>
          <w:u w:val="single"/>
        </w:rPr>
        <w:t>（11）暂列金额明细表；</w:t>
      </w:r>
    </w:p>
    <w:p>
      <w:pPr>
        <w:tabs>
          <w:tab w:val="left" w:pos="1125"/>
        </w:tabs>
        <w:spacing w:line="360" w:lineRule="auto"/>
        <w:ind w:firstLine="480" w:firstLineChars="200"/>
        <w:rPr>
          <w:rFonts w:ascii="宋体"/>
          <w:bCs/>
          <w:sz w:val="24"/>
          <w:highlight w:val="none"/>
          <w:u w:val="single"/>
        </w:rPr>
      </w:pPr>
      <w:r>
        <w:rPr>
          <w:rFonts w:hint="eastAsia" w:ascii="宋体"/>
          <w:bCs/>
          <w:sz w:val="24"/>
          <w:highlight w:val="none"/>
          <w:u w:val="single"/>
        </w:rPr>
        <w:t>（12）材料（工程设备）暂估价明细表；</w:t>
      </w:r>
    </w:p>
    <w:p>
      <w:pPr>
        <w:tabs>
          <w:tab w:val="left" w:pos="1125"/>
        </w:tabs>
        <w:spacing w:line="360" w:lineRule="auto"/>
        <w:ind w:firstLine="480" w:firstLineChars="200"/>
        <w:rPr>
          <w:rFonts w:ascii="宋体"/>
          <w:bCs/>
          <w:sz w:val="24"/>
          <w:highlight w:val="none"/>
          <w:u w:val="single"/>
        </w:rPr>
      </w:pPr>
      <w:r>
        <w:rPr>
          <w:rFonts w:hint="eastAsia" w:ascii="宋体"/>
          <w:bCs/>
          <w:sz w:val="24"/>
          <w:highlight w:val="none"/>
          <w:u w:val="single"/>
        </w:rPr>
        <w:t>（13）专业工程暂估价明细表；</w:t>
      </w:r>
    </w:p>
    <w:p>
      <w:pPr>
        <w:tabs>
          <w:tab w:val="left" w:pos="1125"/>
        </w:tabs>
        <w:spacing w:line="360" w:lineRule="auto"/>
        <w:ind w:firstLine="480" w:firstLineChars="200"/>
        <w:rPr>
          <w:rFonts w:ascii="宋体"/>
          <w:bCs/>
          <w:sz w:val="24"/>
          <w:highlight w:val="none"/>
          <w:u w:val="single"/>
        </w:rPr>
      </w:pPr>
      <w:r>
        <w:rPr>
          <w:rFonts w:hint="eastAsia" w:ascii="宋体"/>
          <w:bCs/>
          <w:sz w:val="24"/>
          <w:highlight w:val="none"/>
          <w:u w:val="single"/>
        </w:rPr>
        <w:t>（14）计日工表；</w:t>
      </w:r>
    </w:p>
    <w:p>
      <w:pPr>
        <w:tabs>
          <w:tab w:val="left" w:pos="1125"/>
        </w:tabs>
        <w:spacing w:line="360" w:lineRule="auto"/>
        <w:ind w:firstLine="480" w:firstLineChars="200"/>
        <w:rPr>
          <w:rFonts w:ascii="宋体"/>
          <w:bCs/>
          <w:sz w:val="24"/>
          <w:highlight w:val="none"/>
          <w:u w:val="single"/>
        </w:rPr>
      </w:pPr>
      <w:r>
        <w:rPr>
          <w:rFonts w:hint="eastAsia" w:ascii="宋体"/>
          <w:bCs/>
          <w:sz w:val="24"/>
          <w:highlight w:val="none"/>
          <w:u w:val="single"/>
        </w:rPr>
        <w:t>（15）总承包服务计价表；</w:t>
      </w:r>
    </w:p>
    <w:p>
      <w:pPr>
        <w:tabs>
          <w:tab w:val="left" w:pos="1125"/>
        </w:tabs>
        <w:spacing w:line="360" w:lineRule="auto"/>
        <w:ind w:firstLine="480" w:firstLineChars="200"/>
        <w:rPr>
          <w:rFonts w:ascii="宋体"/>
          <w:bCs/>
          <w:sz w:val="24"/>
          <w:highlight w:val="none"/>
          <w:u w:val="single"/>
        </w:rPr>
      </w:pPr>
      <w:r>
        <w:rPr>
          <w:rFonts w:hint="eastAsia" w:ascii="宋体"/>
          <w:bCs/>
          <w:sz w:val="24"/>
          <w:highlight w:val="none"/>
          <w:u w:val="single"/>
        </w:rPr>
        <w:t>（16）规费和税金项目计价表；</w:t>
      </w:r>
    </w:p>
    <w:p>
      <w:pPr>
        <w:tabs>
          <w:tab w:val="left" w:pos="1125"/>
        </w:tabs>
        <w:spacing w:line="360" w:lineRule="auto"/>
        <w:ind w:firstLine="480" w:firstLineChars="200"/>
        <w:rPr>
          <w:rFonts w:ascii="宋体"/>
          <w:bCs/>
          <w:sz w:val="24"/>
          <w:highlight w:val="none"/>
          <w:u w:val="single"/>
        </w:rPr>
      </w:pPr>
      <w:r>
        <w:rPr>
          <w:rFonts w:hint="eastAsia" w:ascii="宋体"/>
          <w:bCs/>
          <w:sz w:val="24"/>
          <w:highlight w:val="none"/>
          <w:u w:val="single"/>
        </w:rPr>
        <w:t>（17）人工、主要材料和设备一览表。</w:t>
      </w:r>
    </w:p>
    <w:p>
      <w:pPr>
        <w:tabs>
          <w:tab w:val="left" w:pos="1125"/>
        </w:tabs>
        <w:spacing w:line="360" w:lineRule="auto"/>
        <w:ind w:firstLine="480" w:firstLineChars="200"/>
        <w:rPr>
          <w:rFonts w:ascii="宋体"/>
          <w:bCs/>
          <w:sz w:val="24"/>
          <w:highlight w:val="none"/>
          <w:u w:val="single"/>
        </w:rPr>
      </w:pPr>
      <w:r>
        <w:rPr>
          <w:rFonts w:hint="eastAsia" w:ascii="宋体"/>
          <w:bCs/>
          <w:sz w:val="24"/>
          <w:highlight w:val="none"/>
          <w:u w:val="single"/>
        </w:rPr>
        <w:t>11.3.2按照招标文件要求填写的《参与编制经济标投标文件人员名单》。</w:t>
      </w:r>
    </w:p>
    <w:p>
      <w:pPr>
        <w:tabs>
          <w:tab w:val="left" w:pos="1125"/>
        </w:tabs>
        <w:spacing w:line="360" w:lineRule="auto"/>
        <w:ind w:firstLine="480" w:firstLineChars="200"/>
        <w:rPr>
          <w:rFonts w:ascii="宋体"/>
          <w:bCs/>
          <w:sz w:val="24"/>
          <w:highlight w:val="none"/>
          <w:u w:val="single"/>
        </w:rPr>
      </w:pPr>
      <w:r>
        <w:rPr>
          <w:rFonts w:hint="eastAsia" w:ascii="宋体"/>
          <w:bCs/>
          <w:sz w:val="24"/>
          <w:highlight w:val="none"/>
          <w:u w:val="single"/>
        </w:rPr>
        <w:t>11.3.3对投标文件编制的承诺。</w:t>
      </w:r>
    </w:p>
    <w:p>
      <w:pPr>
        <w:pStyle w:val="8"/>
        <w:ind w:firstLineChars="175"/>
        <w:rPr>
          <w:highlight w:val="none"/>
        </w:rPr>
      </w:pPr>
      <w:r>
        <w:rPr>
          <w:rFonts w:hint="eastAsia" w:ascii="宋体" w:hAnsi="宋体"/>
          <w:sz w:val="24"/>
          <w:szCs w:val="24"/>
          <w:highlight w:val="none"/>
          <w:u w:val="single"/>
        </w:rPr>
        <w:t>11.3.4施工投标承诺函（经济标）</w:t>
      </w:r>
      <w:r>
        <w:rPr>
          <w:rFonts w:hint="eastAsia" w:ascii="宋体" w:hAnsi="Calibri"/>
          <w:bCs/>
          <w:sz w:val="24"/>
          <w:szCs w:val="24"/>
          <w:highlight w:val="none"/>
          <w:u w:val="single"/>
        </w:rPr>
        <w:t>（按招标文件的要求填写</w:t>
      </w:r>
      <w:r>
        <w:rPr>
          <w:rFonts w:hint="eastAsia" w:ascii="宋体"/>
          <w:bCs/>
          <w:sz w:val="24"/>
          <w:szCs w:val="24"/>
          <w:highlight w:val="none"/>
          <w:u w:val="single"/>
        </w:rPr>
        <w:t>）</w:t>
      </w:r>
      <w:r>
        <w:rPr>
          <w:rFonts w:hint="eastAsia" w:ascii="宋体" w:hAnsi="宋体"/>
          <w:sz w:val="24"/>
          <w:szCs w:val="24"/>
          <w:highlight w:val="none"/>
          <w:u w:val="single"/>
        </w:rPr>
        <w:t>。</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11.4定标辅助文件的组成（由投标人根据定性评审表的内容，清晰、有条理、有针对性地编制，各部分文字应直接简炼，不得出现大量宣传性及无实质性意义或直接引用范本照搬照套的描述）：</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11.4.1目录（必须标注页码）；</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11.4.2工程业绩：按《定性评审表》的要求提供；</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11.4.3企业资信（营业执照或国家企业信用信息公示系统网站截图；质量、环境、职业健康安全管理体系认证证书）；</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11.4.4供货与安装组织设计（货物品牌及用材；实施方案、计划、管理机构及对供货期的承诺；与现场各施工单位的协调、配合情况；专项施工方案、质保措施、抢工措施及维保方案；仓储运输及成品保护方案；移交验收及入伙方案等）；</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11.4.5投标价格（除综合单价分析表外所有工程量清单表格）；</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11.4.6投标人认为应该提供的其它资料。</w:t>
      </w:r>
    </w:p>
    <w:p>
      <w:pPr>
        <w:spacing w:line="440" w:lineRule="exact"/>
        <w:ind w:firstLine="537" w:firstLineChars="224"/>
        <w:rPr>
          <w:rFonts w:ascii="宋体" w:hAnsi="宋体"/>
          <w:sz w:val="24"/>
          <w:szCs w:val="24"/>
          <w:highlight w:val="none"/>
          <w:u w:val="single"/>
        </w:rPr>
      </w:pPr>
      <w:r>
        <w:rPr>
          <w:rFonts w:hint="eastAsia" w:ascii="宋体" w:hAnsi="宋体"/>
          <w:sz w:val="24"/>
          <w:szCs w:val="24"/>
          <w:highlight w:val="none"/>
          <w:u w:val="single"/>
        </w:rPr>
        <w:t>11.4.7定标辅助文件电子文件U盘（内容与投标人打印产生的纸质定标辅助文件内容一致，且必须包含COS格式清单电子版及Excel版清单电子版）。</w:t>
      </w:r>
    </w:p>
    <w:p>
      <w:pPr>
        <w:spacing w:line="440" w:lineRule="exact"/>
        <w:ind w:firstLine="540" w:firstLineChars="224"/>
        <w:rPr>
          <w:rFonts w:ascii="宋体" w:hAnsi="宋体"/>
          <w:b/>
          <w:kern w:val="0"/>
          <w:sz w:val="24"/>
          <w:highlight w:val="none"/>
          <w:u w:val="single"/>
        </w:rPr>
      </w:pPr>
      <w:r>
        <w:rPr>
          <w:rFonts w:hint="eastAsia" w:ascii="宋体" w:hAnsi="宋体"/>
          <w:b/>
          <w:kern w:val="0"/>
          <w:sz w:val="24"/>
          <w:highlight w:val="none"/>
          <w:u w:val="single"/>
        </w:rPr>
        <w:t>注：定标辅助文件（纸质扫描件）可以为纸质版定标辅助文件的扫描件（PDF格式），应上传至电子投标文件中“定标辅助文件（纸质扫描件）”节点处。定标辅助文件纸质版的递交时间和形式由投标人按照投标须知前附表第18项所规定的时间及本须知第18条的相关要求执行</w:t>
      </w:r>
      <w:r>
        <w:rPr>
          <w:rFonts w:ascii="宋体" w:hAnsi="宋体"/>
          <w:b/>
          <w:kern w:val="0"/>
          <w:sz w:val="24"/>
          <w:highlight w:val="none"/>
          <w:u w:val="single"/>
        </w:rPr>
        <w:t>。</w:t>
      </w:r>
    </w:p>
    <w:p>
      <w:pPr>
        <w:pStyle w:val="5"/>
        <w:spacing w:after="0" w:line="360" w:lineRule="auto"/>
        <w:ind w:firstLine="482" w:firstLineChars="200"/>
        <w:rPr>
          <w:rFonts w:ascii="宋体"/>
          <w:b/>
          <w:bCs/>
          <w:sz w:val="24"/>
          <w:highlight w:val="none"/>
        </w:rPr>
      </w:pPr>
      <w:r>
        <w:rPr>
          <w:rFonts w:ascii="宋体" w:hAnsi="宋体"/>
          <w:b/>
          <w:bCs/>
          <w:sz w:val="24"/>
          <w:highlight w:val="none"/>
        </w:rPr>
        <w:t>12</w:t>
      </w:r>
      <w:r>
        <w:rPr>
          <w:rFonts w:hint="eastAsia" w:ascii="宋体" w:hAnsi="宋体"/>
          <w:b/>
          <w:bCs/>
          <w:sz w:val="24"/>
          <w:highlight w:val="none"/>
        </w:rPr>
        <w:t>．投标文件格式</w:t>
      </w:r>
    </w:p>
    <w:p>
      <w:pPr>
        <w:pStyle w:val="5"/>
        <w:spacing w:after="0" w:line="360" w:lineRule="auto"/>
        <w:ind w:firstLine="480" w:firstLineChars="200"/>
        <w:rPr>
          <w:rFonts w:ascii="宋体" w:hAnsi="宋体"/>
          <w:sz w:val="24"/>
          <w:highlight w:val="none"/>
        </w:rPr>
      </w:pPr>
      <w:r>
        <w:rPr>
          <w:rFonts w:ascii="宋体" w:hAnsi="宋体"/>
          <w:sz w:val="24"/>
          <w:highlight w:val="none"/>
        </w:rPr>
        <w:t xml:space="preserve">12.1 </w:t>
      </w:r>
      <w:r>
        <w:rPr>
          <w:rFonts w:hint="eastAsia" w:ascii="宋体" w:hAnsi="宋体"/>
          <w:sz w:val="24"/>
          <w:highlight w:val="none"/>
        </w:rPr>
        <w:t>投标文件包括本须知第</w:t>
      </w:r>
      <w:r>
        <w:rPr>
          <w:rFonts w:ascii="宋体" w:hAnsi="宋体"/>
          <w:sz w:val="24"/>
          <w:highlight w:val="none"/>
        </w:rPr>
        <w:t>11</w:t>
      </w:r>
      <w:r>
        <w:rPr>
          <w:rFonts w:hint="eastAsia" w:ascii="宋体" w:hAnsi="宋体"/>
          <w:sz w:val="24"/>
          <w:highlight w:val="none"/>
        </w:rPr>
        <w:t>条中规定的内容，投标人提交的投标文件应当使用招标文件所提供的投标文件全部格式（表格可以按同样格式扩展）。</w:t>
      </w:r>
    </w:p>
    <w:p>
      <w:pPr>
        <w:pStyle w:val="5"/>
        <w:spacing w:after="0" w:line="360" w:lineRule="auto"/>
        <w:ind w:firstLine="480" w:firstLineChars="200"/>
        <w:rPr>
          <w:rFonts w:ascii="宋体" w:hAnsi="宋体"/>
          <w:sz w:val="24"/>
          <w:highlight w:val="none"/>
        </w:rPr>
      </w:pPr>
      <w:r>
        <w:rPr>
          <w:rFonts w:hint="eastAsia" w:ascii="宋体" w:hAnsi="宋体"/>
          <w:sz w:val="24"/>
          <w:highlight w:val="none"/>
        </w:rPr>
        <w:t>12.2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bCs/>
          <w:sz w:val="24"/>
          <w:highlight w:val="none"/>
          <w:u w:val="single"/>
        </w:rPr>
        <w:t>广州公共资源交易中心网站</w:t>
      </w:r>
      <w:r>
        <w:rPr>
          <w:rFonts w:hint="eastAsia"/>
          <w:sz w:val="24"/>
          <w:szCs w:val="24"/>
          <w:highlight w:val="none"/>
        </w:rPr>
        <w:t>。</w:t>
      </w:r>
    </w:p>
    <w:p>
      <w:pPr>
        <w:pStyle w:val="5"/>
        <w:spacing w:after="0" w:line="360" w:lineRule="auto"/>
        <w:ind w:firstLine="480" w:firstLineChars="200"/>
        <w:rPr>
          <w:rFonts w:ascii="宋体" w:hAnsi="宋体"/>
          <w:sz w:val="24"/>
          <w:highlight w:val="none"/>
        </w:rPr>
      </w:pPr>
      <w:r>
        <w:rPr>
          <w:rFonts w:hint="eastAsia" w:ascii="宋体" w:hAnsi="宋体"/>
          <w:sz w:val="24"/>
          <w:highlight w:val="none"/>
        </w:rPr>
        <w:t>12.3</w:t>
      </w:r>
      <w:r>
        <w:rPr>
          <w:rFonts w:hint="eastAsia" w:ascii="宋体" w:hAnsi="宋体"/>
          <w:bCs/>
          <w:sz w:val="24"/>
          <w:szCs w:val="24"/>
          <w:highlight w:val="none"/>
        </w:rPr>
        <w:t>投标文件应按</w:t>
      </w:r>
      <w:r>
        <w:rPr>
          <w:rFonts w:hint="eastAsia" w:ascii="宋体" w:hAnsi="宋体"/>
          <w:sz w:val="24"/>
          <w:szCs w:val="24"/>
          <w:highlight w:val="none"/>
        </w:rPr>
        <w:t>照交易平台关于全流程电子化项目的相关指南进行编制，详见：</w:t>
      </w:r>
      <w:r>
        <w:rPr>
          <w:rFonts w:hint="eastAsia" w:ascii="宋体" w:hAnsi="宋体"/>
          <w:bCs/>
          <w:sz w:val="24"/>
          <w:szCs w:val="24"/>
          <w:highlight w:val="none"/>
          <w:u w:val="single"/>
        </w:rPr>
        <w:t>广州公共资源交易中心网站</w:t>
      </w:r>
      <w:r>
        <w:rPr>
          <w:rFonts w:hint="eastAsia" w:ascii="宋体" w:hAnsi="宋体"/>
          <w:sz w:val="24"/>
          <w:highlight w:val="none"/>
        </w:rPr>
        <w:t xml:space="preserve">。               </w:t>
      </w:r>
    </w:p>
    <w:p>
      <w:pPr>
        <w:pStyle w:val="5"/>
        <w:spacing w:after="0" w:line="360" w:lineRule="auto"/>
        <w:ind w:firstLine="0"/>
        <w:rPr>
          <w:rFonts w:ascii="宋体" w:hAnsi="宋体"/>
          <w:sz w:val="24"/>
          <w:highlight w:val="none"/>
        </w:rPr>
      </w:pPr>
      <w:r>
        <w:rPr>
          <w:rFonts w:hint="eastAsia" w:ascii="宋体" w:hAnsi="宋体"/>
          <w:bCs/>
          <w:sz w:val="24"/>
          <w:szCs w:val="24"/>
          <w:highlight w:val="none"/>
        </w:rPr>
        <w:t>如不按上述要求编制引起系统无法检索、读取相关信息的，其后果由投标人承担。</w:t>
      </w:r>
    </w:p>
    <w:p>
      <w:pPr>
        <w:pStyle w:val="5"/>
        <w:spacing w:after="0" w:line="360" w:lineRule="auto"/>
        <w:ind w:firstLine="482" w:firstLineChars="200"/>
        <w:rPr>
          <w:rFonts w:ascii="宋体"/>
          <w:b/>
          <w:bCs/>
          <w:sz w:val="24"/>
          <w:highlight w:val="none"/>
        </w:rPr>
      </w:pPr>
      <w:r>
        <w:rPr>
          <w:rFonts w:ascii="宋体" w:hAnsi="宋体"/>
          <w:b/>
          <w:bCs/>
          <w:sz w:val="24"/>
          <w:highlight w:val="none"/>
        </w:rPr>
        <w:t>13</w:t>
      </w:r>
      <w:r>
        <w:rPr>
          <w:rFonts w:hint="eastAsia" w:ascii="宋体" w:hAnsi="宋体"/>
          <w:b/>
          <w:bCs/>
          <w:sz w:val="24"/>
          <w:highlight w:val="none"/>
        </w:rPr>
        <w:t>．投标报价及造价承包和变更结算方式</w:t>
      </w:r>
    </w:p>
    <w:p>
      <w:pPr>
        <w:pStyle w:val="5"/>
        <w:spacing w:after="0" w:line="360" w:lineRule="auto"/>
        <w:ind w:firstLine="480" w:firstLineChars="200"/>
        <w:rPr>
          <w:rFonts w:ascii="宋体"/>
          <w:sz w:val="24"/>
          <w:highlight w:val="none"/>
        </w:rPr>
      </w:pPr>
      <w:r>
        <w:rPr>
          <w:rFonts w:ascii="宋体" w:hAnsi="宋体"/>
          <w:sz w:val="24"/>
          <w:highlight w:val="none"/>
        </w:rPr>
        <w:t xml:space="preserve">13.1 </w:t>
      </w:r>
      <w:r>
        <w:rPr>
          <w:rFonts w:hint="eastAsia" w:ascii="宋体" w:hAnsi="宋体"/>
          <w:sz w:val="24"/>
          <w:highlight w:val="none"/>
        </w:rPr>
        <w:t>本工程的投标报价采用投标须知前附表第</w:t>
      </w:r>
      <w:r>
        <w:rPr>
          <w:rFonts w:ascii="宋体" w:hAnsi="宋体"/>
          <w:sz w:val="24"/>
          <w:highlight w:val="none"/>
        </w:rPr>
        <w:t>12</w:t>
      </w:r>
      <w:r>
        <w:rPr>
          <w:rFonts w:hint="eastAsia" w:ascii="宋体" w:hAnsi="宋体"/>
          <w:sz w:val="24"/>
          <w:highlight w:val="none"/>
        </w:rPr>
        <w:t>项所规定的方式。投标报价（含单价及总价）精确到“分”的单位。</w:t>
      </w:r>
    </w:p>
    <w:p>
      <w:pPr>
        <w:pStyle w:val="5"/>
        <w:spacing w:after="0" w:line="360" w:lineRule="auto"/>
        <w:ind w:firstLine="480" w:firstLineChars="200"/>
        <w:rPr>
          <w:rFonts w:ascii="宋体"/>
          <w:sz w:val="24"/>
          <w:highlight w:val="none"/>
        </w:rPr>
      </w:pPr>
      <w:r>
        <w:rPr>
          <w:rFonts w:ascii="宋体" w:hAnsi="宋体"/>
          <w:sz w:val="24"/>
          <w:highlight w:val="none"/>
        </w:rPr>
        <w:t>13.2</w:t>
      </w:r>
      <w:r>
        <w:rPr>
          <w:rFonts w:hint="eastAsia" w:ascii="宋体" w:hAnsi="宋体"/>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sz w:val="24"/>
          <w:highlight w:val="none"/>
        </w:rPr>
      </w:pPr>
      <w:r>
        <w:rPr>
          <w:rFonts w:ascii="宋体" w:hAnsi="宋体"/>
          <w:sz w:val="24"/>
          <w:highlight w:val="none"/>
        </w:rPr>
        <w:t>13.3</w:t>
      </w:r>
      <w:r>
        <w:rPr>
          <w:rFonts w:hint="eastAsia" w:ascii="宋体" w:hAnsi="宋体"/>
          <w:sz w:val="24"/>
          <w:highlight w:val="none"/>
        </w:rPr>
        <w:t>投标人的投标报价，应是按照投标须知前附表第</w:t>
      </w:r>
      <w:r>
        <w:rPr>
          <w:rFonts w:ascii="宋体" w:hAnsi="宋体"/>
          <w:sz w:val="24"/>
          <w:highlight w:val="none"/>
        </w:rPr>
        <w:t>8</w:t>
      </w:r>
      <w:r>
        <w:rPr>
          <w:rFonts w:hint="eastAsia" w:ascii="宋体" w:hAnsi="宋体"/>
          <w:sz w:val="24"/>
          <w:highlight w:val="none"/>
        </w:rPr>
        <w:t>项的工期要求，在投标须知前附表第</w:t>
      </w:r>
      <w:r>
        <w:rPr>
          <w:rFonts w:ascii="宋体" w:hAnsi="宋体"/>
          <w:sz w:val="24"/>
          <w:highlight w:val="none"/>
        </w:rPr>
        <w:t>3</w:t>
      </w:r>
      <w:r>
        <w:rPr>
          <w:rFonts w:hint="eastAsia" w:ascii="宋体" w:hAnsi="宋体"/>
          <w:sz w:val="24"/>
          <w:highlight w:val="none"/>
        </w:rPr>
        <w:t>项的建设地点，完成投标须知前附表第</w:t>
      </w:r>
      <w:r>
        <w:rPr>
          <w:rFonts w:ascii="宋体" w:hAnsi="宋体"/>
          <w:sz w:val="24"/>
          <w:highlight w:val="none"/>
        </w:rPr>
        <w:t>7</w:t>
      </w:r>
      <w:r>
        <w:rPr>
          <w:rFonts w:hint="eastAsia" w:ascii="宋体" w:hAnsi="宋体"/>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sz w:val="24"/>
          <w:highlight w:val="none"/>
        </w:rPr>
      </w:pPr>
      <w:r>
        <w:rPr>
          <w:rFonts w:ascii="宋体" w:hAnsi="宋体"/>
          <w:sz w:val="24"/>
          <w:highlight w:val="none"/>
        </w:rPr>
        <w:t>13.4</w:t>
      </w:r>
      <w:r>
        <w:rPr>
          <w:rFonts w:hint="eastAsia" w:ascii="宋体" w:hAnsi="宋体"/>
          <w:sz w:val="24"/>
          <w:szCs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调整原则按照</w:t>
      </w:r>
      <w:r>
        <w:rPr>
          <w:rFonts w:hint="eastAsia" w:ascii="宋体" w:hAnsi="宋体"/>
          <w:sz w:val="24"/>
          <w:szCs w:val="24"/>
          <w:highlight w:val="none"/>
          <w:u w:val="single"/>
        </w:rPr>
        <w:t>《施工合同》相应条款调整</w:t>
      </w:r>
      <w:r>
        <w:rPr>
          <w:rFonts w:hint="eastAsia" w:ascii="宋体" w:hAnsi="宋体"/>
          <w:sz w:val="24"/>
          <w:szCs w:val="24"/>
          <w:highlight w:val="none"/>
        </w:rPr>
        <w:t>。因应计算的实际工程量与招标工程量清单出现偏差或因工程变更等原因导致的工程量偏差，引起相关措施项目相应发生变化时，中标投标文件列出的综合单价和措施项目费也不发生改变</w:t>
      </w:r>
      <w:r>
        <w:rPr>
          <w:rFonts w:hint="eastAsia" w:ascii="宋体" w:hAnsi="宋体"/>
          <w:sz w:val="24"/>
          <w:highlight w:val="none"/>
        </w:rPr>
        <w:t>。</w:t>
      </w:r>
    </w:p>
    <w:p>
      <w:pPr>
        <w:pStyle w:val="5"/>
        <w:spacing w:after="0" w:line="360" w:lineRule="auto"/>
        <w:ind w:firstLine="480" w:firstLineChars="200"/>
        <w:rPr>
          <w:rFonts w:ascii="宋体"/>
          <w:sz w:val="24"/>
          <w:highlight w:val="none"/>
        </w:rPr>
      </w:pPr>
      <w:r>
        <w:rPr>
          <w:rFonts w:ascii="宋体" w:hAnsi="宋体"/>
          <w:sz w:val="24"/>
          <w:highlight w:val="none"/>
        </w:rPr>
        <w:t>13.5</w:t>
      </w:r>
      <w:r>
        <w:rPr>
          <w:rFonts w:hint="eastAsia" w:ascii="宋体" w:hAnsi="宋体"/>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sz w:val="24"/>
          <w:highlight w:val="none"/>
        </w:rPr>
      </w:pPr>
      <w:r>
        <w:rPr>
          <w:rFonts w:ascii="宋体" w:hAnsi="宋体"/>
          <w:sz w:val="24"/>
          <w:szCs w:val="24"/>
          <w:highlight w:val="none"/>
        </w:rPr>
        <w:t>13.5.1中标的投标文件工程量清单中已有相同项目的适用综合单价，</w:t>
      </w:r>
      <w:r>
        <w:rPr>
          <w:rFonts w:hint="eastAsia" w:ascii="宋体" w:hAnsi="宋体"/>
          <w:sz w:val="24"/>
          <w:szCs w:val="24"/>
          <w:highlight w:val="none"/>
          <w:u w:val="single"/>
        </w:rPr>
        <w:t>投标报价中已有适用于变更、签证工程的综合单价（或下挂定额子目单价），按投标报价书中的综合单价（或下挂定额子目单价）确定变更、签证价款。如投标书存在相同清单项目不同综合单价（含电子文件）不一致的情况，增加造价时按低价计取，核减造价时按高价计取</w:t>
      </w:r>
      <w:r>
        <w:rPr>
          <w:rFonts w:hint="eastAsia" w:ascii="宋体" w:hAnsi="宋体"/>
          <w:sz w:val="24"/>
          <w:highlight w:val="none"/>
        </w:rPr>
        <w:t>；</w:t>
      </w:r>
    </w:p>
    <w:p>
      <w:pPr>
        <w:pStyle w:val="5"/>
        <w:spacing w:after="0" w:line="360" w:lineRule="auto"/>
        <w:ind w:firstLine="480" w:firstLineChars="200"/>
        <w:rPr>
          <w:rFonts w:ascii="宋体"/>
          <w:sz w:val="24"/>
          <w:highlight w:val="none"/>
        </w:rPr>
      </w:pPr>
      <w:r>
        <w:rPr>
          <w:rFonts w:ascii="宋体" w:hAnsi="宋体"/>
          <w:sz w:val="24"/>
          <w:highlight w:val="none"/>
        </w:rPr>
        <w:t>13.5.2</w:t>
      </w:r>
      <w:r>
        <w:rPr>
          <w:rFonts w:hint="eastAsia" w:ascii="宋体" w:hAnsi="宋体"/>
          <w:sz w:val="24"/>
          <w:szCs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r>
        <w:rPr>
          <w:rFonts w:hint="eastAsia" w:ascii="宋体" w:hAnsi="宋体"/>
          <w:sz w:val="24"/>
          <w:highlight w:val="none"/>
        </w:rPr>
        <w:t>。</w:t>
      </w:r>
    </w:p>
    <w:p>
      <w:pPr>
        <w:pStyle w:val="5"/>
        <w:spacing w:after="0" w:line="360" w:lineRule="auto"/>
        <w:ind w:firstLine="480" w:firstLineChars="200"/>
        <w:rPr>
          <w:rFonts w:ascii="宋体"/>
          <w:sz w:val="24"/>
          <w:highlight w:val="none"/>
        </w:rPr>
      </w:pPr>
      <w:r>
        <w:rPr>
          <w:rFonts w:ascii="宋体" w:hAnsi="宋体"/>
          <w:sz w:val="24"/>
          <w:highlight w:val="none"/>
        </w:rPr>
        <w:t>13.5.3</w:t>
      </w:r>
      <w:r>
        <w:rPr>
          <w:rFonts w:hint="eastAsia" w:ascii="宋体" w:hAnsi="宋体"/>
          <w:sz w:val="24"/>
          <w:szCs w:val="24"/>
          <w:highlight w:val="none"/>
        </w:rPr>
        <w:t>中标的投标文件工程量清单中没有相同项目或类似项目的，</w:t>
      </w:r>
      <w:r>
        <w:rPr>
          <w:rFonts w:hint="eastAsia" w:ascii="宋体" w:hAnsi="宋体"/>
          <w:sz w:val="24"/>
          <w:szCs w:val="24"/>
          <w:highlight w:val="none"/>
          <w:u w:val="single"/>
        </w:rPr>
        <w:t>执行本工程《施工合同》相关条款规定</w:t>
      </w:r>
      <w:r>
        <w:rPr>
          <w:rFonts w:hint="eastAsia" w:ascii="宋体" w:hAnsi="宋体"/>
          <w:sz w:val="24"/>
          <w:highlight w:val="none"/>
        </w:rPr>
        <w:t>。</w:t>
      </w:r>
    </w:p>
    <w:p>
      <w:pPr>
        <w:pStyle w:val="5"/>
        <w:spacing w:after="0" w:line="360" w:lineRule="auto"/>
        <w:ind w:firstLine="480" w:firstLineChars="200"/>
        <w:rPr>
          <w:rFonts w:ascii="宋体" w:hAnsi="宋体"/>
          <w:sz w:val="24"/>
          <w:highlight w:val="none"/>
        </w:rPr>
      </w:pPr>
      <w:r>
        <w:rPr>
          <w:rFonts w:ascii="宋体" w:hAnsi="宋体"/>
          <w:sz w:val="24"/>
          <w:highlight w:val="none"/>
        </w:rPr>
        <w:t xml:space="preserve">13.5.4 </w:t>
      </w:r>
      <w:r>
        <w:rPr>
          <w:rFonts w:hint="eastAsia" w:ascii="宋体" w:hAnsi="宋体"/>
          <w:sz w:val="24"/>
          <w:highlight w:val="none"/>
        </w:rPr>
        <w:t>如相关定额没有相应子目的，其计价方式由招标人在本招标文件第三章中另行规定。未规定的，中标后双方协商约定，</w:t>
      </w:r>
      <w:r>
        <w:rPr>
          <w:rFonts w:hint="eastAsia" w:ascii="宋体" w:hAnsi="宋体"/>
          <w:sz w:val="24"/>
          <w:highlight w:val="none"/>
          <w:u w:val="single"/>
        </w:rPr>
        <w:t>具体按合同要求</w:t>
      </w:r>
      <w:r>
        <w:rPr>
          <w:rFonts w:hint="eastAsia" w:ascii="宋体" w:hAnsi="宋体"/>
          <w:sz w:val="24"/>
          <w:highlight w:val="none"/>
        </w:rPr>
        <w:t>。</w:t>
      </w:r>
    </w:p>
    <w:p>
      <w:pPr>
        <w:pStyle w:val="5"/>
        <w:spacing w:after="0" w:line="360" w:lineRule="auto"/>
        <w:ind w:firstLine="480" w:firstLineChars="200"/>
        <w:rPr>
          <w:rFonts w:ascii="宋体"/>
          <w:sz w:val="24"/>
          <w:highlight w:val="none"/>
        </w:rPr>
      </w:pPr>
      <w:r>
        <w:rPr>
          <w:rFonts w:ascii="宋体" w:hAnsi="宋体"/>
          <w:sz w:val="24"/>
          <w:highlight w:val="none"/>
        </w:rPr>
        <w:t>13.6</w:t>
      </w:r>
      <w:r>
        <w:rPr>
          <w:rFonts w:hint="eastAsia" w:ascii="宋体" w:hAnsi="宋体"/>
          <w:sz w:val="24"/>
          <w:highlight w:val="none"/>
        </w:rPr>
        <w:t>暂列金额、暂估价</w:t>
      </w:r>
    </w:p>
    <w:p>
      <w:pPr>
        <w:pStyle w:val="5"/>
        <w:spacing w:after="0" w:line="360" w:lineRule="auto"/>
        <w:ind w:firstLine="480" w:firstLineChars="200"/>
        <w:rPr>
          <w:rFonts w:ascii="宋体"/>
          <w:sz w:val="24"/>
          <w:highlight w:val="none"/>
        </w:rPr>
      </w:pPr>
      <w:r>
        <w:rPr>
          <w:rFonts w:ascii="宋体" w:hAnsi="宋体"/>
          <w:sz w:val="24"/>
          <w:highlight w:val="none"/>
        </w:rPr>
        <w:t>13.6.1</w:t>
      </w:r>
      <w:r>
        <w:rPr>
          <w:rFonts w:hint="eastAsia" w:ascii="宋体" w:hAnsi="宋体"/>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sz w:val="24"/>
          <w:highlight w:val="none"/>
        </w:rPr>
      </w:pPr>
      <w:r>
        <w:rPr>
          <w:rFonts w:hint="eastAsia" w:ascii="宋体" w:hAnsi="宋体"/>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sz w:val="24"/>
          <w:highlight w:val="none"/>
        </w:rPr>
      </w:pPr>
      <w:r>
        <w:rPr>
          <w:rFonts w:ascii="宋体" w:hAnsi="宋体"/>
          <w:sz w:val="24"/>
          <w:highlight w:val="none"/>
        </w:rPr>
        <w:t>13.6.2</w:t>
      </w:r>
      <w:r>
        <w:rPr>
          <w:rFonts w:hint="eastAsia" w:ascii="宋体" w:hAnsi="宋体"/>
          <w:sz w:val="24"/>
          <w:highlight w:val="none"/>
        </w:rPr>
        <w:t>在工程实施中，暂列金额、暂估价所包含的工作范围和图纸、标准深化固定后，按照工程专业、设备、材料类别等分类汇总的金额，达到法定招标范围标准的，由招标人另行招标，确定承包人和承包价格。</w:t>
      </w:r>
    </w:p>
    <w:p>
      <w:pPr>
        <w:pStyle w:val="5"/>
        <w:spacing w:after="0" w:line="360" w:lineRule="auto"/>
        <w:ind w:firstLine="480" w:firstLineChars="200"/>
        <w:rPr>
          <w:rFonts w:ascii="宋体"/>
          <w:sz w:val="24"/>
          <w:highlight w:val="none"/>
        </w:rPr>
      </w:pPr>
      <w:r>
        <w:rPr>
          <w:rFonts w:ascii="宋体" w:hAnsi="宋体"/>
          <w:sz w:val="24"/>
          <w:highlight w:val="none"/>
        </w:rPr>
        <w:t>13.6.3</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sz w:val="24"/>
          <w:highlight w:val="none"/>
        </w:rPr>
      </w:pPr>
      <w:r>
        <w:rPr>
          <w:rFonts w:ascii="宋体" w:hAnsi="宋体"/>
          <w:sz w:val="24"/>
          <w:highlight w:val="none"/>
        </w:rPr>
        <w:t>13.6.4</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也不适用政府采购规定，由招标人另行招标，确定承包人和承包价格。</w:t>
      </w:r>
    </w:p>
    <w:p>
      <w:pPr>
        <w:pStyle w:val="5"/>
        <w:spacing w:after="0" w:line="360" w:lineRule="auto"/>
        <w:ind w:firstLine="480" w:firstLineChars="200"/>
        <w:rPr>
          <w:rFonts w:ascii="宋体"/>
          <w:sz w:val="24"/>
          <w:highlight w:val="none"/>
        </w:rPr>
      </w:pPr>
      <w:r>
        <w:rPr>
          <w:rFonts w:ascii="宋体" w:hAnsi="宋体"/>
          <w:sz w:val="24"/>
          <w:highlight w:val="none"/>
        </w:rPr>
        <w:t>13.6.5</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sz w:val="24"/>
          <w:highlight w:val="none"/>
        </w:rPr>
      </w:pPr>
      <w:r>
        <w:rPr>
          <w:rFonts w:ascii="宋体" w:hAnsi="宋体"/>
          <w:sz w:val="24"/>
          <w:highlight w:val="none"/>
        </w:rPr>
        <w:t xml:space="preserve">13.6.6 </w:t>
      </w:r>
      <w:r>
        <w:rPr>
          <w:rFonts w:hint="eastAsia" w:ascii="宋体" w:hAnsi="宋体"/>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sz w:val="24"/>
          <w:highlight w:val="none"/>
        </w:rPr>
      </w:pPr>
      <w:r>
        <w:rPr>
          <w:rFonts w:ascii="宋体" w:hAnsi="宋体"/>
          <w:sz w:val="24"/>
          <w:highlight w:val="none"/>
        </w:rPr>
        <w:t>13.7</w:t>
      </w:r>
      <w:r>
        <w:rPr>
          <w:rFonts w:hint="eastAsia" w:ascii="宋体" w:hAnsi="宋体"/>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sz w:val="24"/>
          <w:highlight w:val="none"/>
        </w:rPr>
      </w:pPr>
      <w:r>
        <w:rPr>
          <w:rFonts w:ascii="宋体" w:hAnsi="宋体"/>
          <w:sz w:val="24"/>
          <w:highlight w:val="none"/>
        </w:rPr>
        <w:t>13.8</w:t>
      </w:r>
      <w:r>
        <w:rPr>
          <w:rFonts w:hint="eastAsia" w:ascii="宋体" w:hAnsi="宋体"/>
          <w:sz w:val="24"/>
          <w:highlight w:val="none"/>
        </w:rPr>
        <w:t>属于承包人自行采购的主要材料、设备，招标人应当在招标文件中提出材料、设备的技术标准或者质量要求，或者提出不少于</w:t>
      </w:r>
      <w:r>
        <w:rPr>
          <w:rFonts w:ascii="宋体" w:hAnsi="宋体"/>
          <w:sz w:val="24"/>
          <w:highlight w:val="none"/>
        </w:rPr>
        <w:t>3</w:t>
      </w:r>
      <w:r>
        <w:rPr>
          <w:rFonts w:hint="eastAsia" w:ascii="宋体" w:hAnsi="宋体"/>
          <w:sz w:val="24"/>
          <w:highlight w:val="none"/>
        </w:rPr>
        <w:t>个同等档次品牌或分包商供投标人报价时选择</w:t>
      </w:r>
      <w:r>
        <w:rPr>
          <w:rFonts w:ascii="宋体"/>
          <w:sz w:val="24"/>
          <w:highlight w:val="none"/>
        </w:rPr>
        <w:t>,</w:t>
      </w:r>
      <w:r>
        <w:rPr>
          <w:rFonts w:hint="eastAsia" w:ascii="宋体" w:hAnsi="宋体"/>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sz w:val="24"/>
          <w:szCs w:val="24"/>
          <w:highlight w:val="none"/>
        </w:rPr>
      </w:pPr>
      <w:r>
        <w:rPr>
          <w:rFonts w:ascii="宋体" w:hAnsi="宋体"/>
          <w:sz w:val="24"/>
          <w:highlight w:val="none"/>
        </w:rPr>
        <w:t>13.9</w:t>
      </w:r>
      <w:r>
        <w:rPr>
          <w:rFonts w:hint="eastAsia" w:ascii="宋体" w:hAnsi="宋体"/>
          <w:sz w:val="24"/>
          <w:szCs w:val="24"/>
          <w:highlight w:val="none"/>
        </w:rPr>
        <w:t>招标人与中标人应本着实事求是、风险共担的原则，充分考虑施工合同履行期间人工、建筑材料、机械设备价格因素的影响。对于各类砂浆、石材等主要材料以及人工、机械设备等，应结合合同工期、各价格因素对工程总造价的影响等，合理约定调价机制。调价机制</w:t>
      </w:r>
      <w:r>
        <w:rPr>
          <w:rFonts w:hint="eastAsia" w:ascii="宋体" w:hAnsi="宋体"/>
          <w:sz w:val="24"/>
          <w:szCs w:val="24"/>
          <w:highlight w:val="none"/>
          <w:u w:val="single"/>
        </w:rPr>
        <w:t>按照《施工合同》相应条款调整</w:t>
      </w:r>
      <w:r>
        <w:rPr>
          <w:rFonts w:hint="eastAsia" w:ascii="宋体"/>
          <w:sz w:val="24"/>
          <w:szCs w:val="24"/>
          <w:highlight w:val="none"/>
        </w:rPr>
        <w:t>。</w:t>
      </w:r>
    </w:p>
    <w:p>
      <w:pPr>
        <w:pStyle w:val="5"/>
        <w:spacing w:after="0" w:line="360" w:lineRule="auto"/>
        <w:ind w:firstLine="482" w:firstLineChars="200"/>
        <w:rPr>
          <w:rFonts w:ascii="宋体"/>
          <w:b/>
          <w:bCs/>
          <w:sz w:val="24"/>
          <w:highlight w:val="none"/>
        </w:rPr>
      </w:pPr>
      <w:r>
        <w:rPr>
          <w:rFonts w:ascii="宋体" w:hAnsi="宋体"/>
          <w:b/>
          <w:bCs/>
          <w:sz w:val="24"/>
          <w:highlight w:val="none"/>
        </w:rPr>
        <w:t>14</w:t>
      </w:r>
      <w:r>
        <w:rPr>
          <w:rFonts w:hint="eastAsia" w:ascii="宋体" w:hAnsi="宋体"/>
          <w:b/>
          <w:bCs/>
          <w:sz w:val="24"/>
          <w:highlight w:val="none"/>
        </w:rPr>
        <w:t>．投标货币</w:t>
      </w:r>
    </w:p>
    <w:p>
      <w:pPr>
        <w:pStyle w:val="5"/>
        <w:spacing w:after="0" w:line="360" w:lineRule="auto"/>
        <w:ind w:firstLine="480" w:firstLineChars="200"/>
        <w:rPr>
          <w:rFonts w:ascii="宋体"/>
          <w:sz w:val="24"/>
          <w:highlight w:val="none"/>
        </w:rPr>
      </w:pPr>
      <w:r>
        <w:rPr>
          <w:rFonts w:ascii="宋体" w:hAnsi="宋体"/>
          <w:sz w:val="24"/>
          <w:highlight w:val="none"/>
        </w:rPr>
        <w:t xml:space="preserve">14.1 </w:t>
      </w:r>
      <w:r>
        <w:rPr>
          <w:rFonts w:hint="eastAsia" w:ascii="宋体" w:hAnsi="宋体"/>
          <w:sz w:val="24"/>
          <w:highlight w:val="none"/>
        </w:rPr>
        <w:t>本工程投标报价采用的币种为人民币。</w:t>
      </w:r>
    </w:p>
    <w:p>
      <w:pPr>
        <w:pStyle w:val="5"/>
        <w:spacing w:after="0" w:line="360" w:lineRule="auto"/>
        <w:ind w:firstLine="482" w:firstLineChars="200"/>
        <w:rPr>
          <w:rFonts w:ascii="宋体"/>
          <w:sz w:val="24"/>
          <w:highlight w:val="none"/>
        </w:rPr>
      </w:pPr>
      <w:r>
        <w:rPr>
          <w:rFonts w:ascii="宋体" w:hAnsi="宋体"/>
          <w:b/>
          <w:bCs/>
          <w:sz w:val="24"/>
          <w:highlight w:val="none"/>
        </w:rPr>
        <w:t>15</w:t>
      </w:r>
      <w:r>
        <w:rPr>
          <w:rFonts w:hint="eastAsia" w:ascii="宋体" w:hAnsi="宋体"/>
          <w:b/>
          <w:bCs/>
          <w:sz w:val="24"/>
          <w:highlight w:val="none"/>
        </w:rPr>
        <w:t>．投标有效期</w:t>
      </w:r>
    </w:p>
    <w:p>
      <w:pPr>
        <w:pStyle w:val="5"/>
        <w:spacing w:after="0" w:line="360" w:lineRule="auto"/>
        <w:ind w:firstLine="480" w:firstLineChars="200"/>
        <w:rPr>
          <w:rFonts w:ascii="宋体"/>
          <w:sz w:val="24"/>
          <w:highlight w:val="none"/>
        </w:rPr>
      </w:pPr>
      <w:r>
        <w:rPr>
          <w:rFonts w:ascii="宋体" w:hAnsi="宋体"/>
          <w:sz w:val="24"/>
          <w:highlight w:val="none"/>
        </w:rPr>
        <w:t xml:space="preserve">15.1 </w:t>
      </w:r>
      <w:r>
        <w:rPr>
          <w:rFonts w:hint="eastAsia" w:ascii="宋体" w:hAnsi="宋体"/>
          <w:sz w:val="24"/>
          <w:highlight w:val="none"/>
        </w:rPr>
        <w:t>投标有效期见投标须知前附表第</w:t>
      </w:r>
      <w:r>
        <w:rPr>
          <w:rFonts w:ascii="宋体" w:hAnsi="宋体"/>
          <w:sz w:val="24"/>
          <w:highlight w:val="none"/>
        </w:rPr>
        <w:t>13</w:t>
      </w:r>
      <w:r>
        <w:rPr>
          <w:rFonts w:hint="eastAsia" w:ascii="宋体" w:hAnsi="宋体"/>
          <w:sz w:val="24"/>
          <w:highlight w:val="none"/>
        </w:rPr>
        <w:t>项所规定的期限，在此期限内，凡符合本招标文件要求的投标文件均保持有效。</w:t>
      </w:r>
    </w:p>
    <w:p>
      <w:pPr>
        <w:pStyle w:val="5"/>
        <w:spacing w:after="0" w:line="360" w:lineRule="auto"/>
        <w:ind w:firstLine="480" w:firstLineChars="200"/>
        <w:rPr>
          <w:rFonts w:ascii="宋体"/>
          <w:sz w:val="24"/>
          <w:highlight w:val="none"/>
        </w:rPr>
      </w:pPr>
      <w:r>
        <w:rPr>
          <w:rFonts w:ascii="宋体" w:hAnsi="宋体"/>
          <w:sz w:val="24"/>
          <w:highlight w:val="none"/>
        </w:rPr>
        <w:t xml:space="preserve">15.2 </w:t>
      </w:r>
      <w:r>
        <w:rPr>
          <w:rFonts w:hint="eastAsia" w:ascii="宋体" w:hAnsi="宋体"/>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highlight w:val="none"/>
        </w:rPr>
        <w:t>16</w:t>
      </w:r>
      <w:r>
        <w:rPr>
          <w:rFonts w:hint="eastAsia" w:ascii="宋体" w:hAnsi="宋体"/>
          <w:sz w:val="24"/>
          <w:highlight w:val="none"/>
        </w:rPr>
        <w:t>条关于投标保证金的退还与不予退还的规定仍然适用。</w:t>
      </w:r>
    </w:p>
    <w:p>
      <w:pPr>
        <w:pStyle w:val="5"/>
        <w:spacing w:after="0" w:line="360" w:lineRule="auto"/>
        <w:ind w:firstLine="482" w:firstLineChars="200"/>
        <w:rPr>
          <w:rFonts w:ascii="宋体"/>
          <w:b/>
          <w:bCs/>
          <w:sz w:val="24"/>
          <w:highlight w:val="none"/>
        </w:rPr>
      </w:pPr>
      <w:r>
        <w:rPr>
          <w:rFonts w:ascii="宋体" w:hAnsi="宋体"/>
          <w:b/>
          <w:bCs/>
          <w:sz w:val="24"/>
          <w:highlight w:val="none"/>
        </w:rPr>
        <w:t>16</w:t>
      </w:r>
      <w:r>
        <w:rPr>
          <w:rFonts w:hint="eastAsia" w:ascii="宋体" w:hAnsi="宋体"/>
          <w:b/>
          <w:bCs/>
          <w:sz w:val="24"/>
          <w:highlight w:val="none"/>
        </w:rPr>
        <w:t>．投标保证金</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16.1投标人应按投标须知前附表第14项所述金额和时间递交投标保证金。</w:t>
      </w:r>
      <w:r>
        <w:rPr>
          <w:rFonts w:hint="eastAsia" w:ascii="宋体" w:hAnsi="宋体" w:cs="宋体"/>
          <w:b/>
          <w:bCs/>
          <w:sz w:val="24"/>
          <w:highlight w:val="none"/>
        </w:rPr>
        <w:t>招标人应当允许投标人自主选择现金、银行保函、保证保险、专业工程担保公司担保等方式缴纳投标保证金。</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16.1.1</w:t>
      </w:r>
      <w:r>
        <w:rPr>
          <w:rFonts w:hint="eastAsia" w:ascii="宋体" w:hAnsi="宋体" w:cs="宋体"/>
          <w:bCs/>
          <w:sz w:val="24"/>
          <w:highlight w:val="none"/>
        </w:rPr>
        <w:t>采用现金</w:t>
      </w:r>
      <w:r>
        <w:rPr>
          <w:rFonts w:hint="eastAsia" w:ascii="宋体" w:hAnsi="宋体" w:cs="宋体"/>
          <w:b/>
          <w:bCs/>
          <w:sz w:val="24"/>
          <w:highlight w:val="none"/>
        </w:rPr>
        <w:t>或者支票</w:t>
      </w:r>
      <w:r>
        <w:rPr>
          <w:rFonts w:hint="eastAsia" w:ascii="宋体" w:hAnsi="宋体" w:cs="宋体"/>
          <w:bCs/>
          <w:sz w:val="24"/>
          <w:highlight w:val="none"/>
        </w:rPr>
        <w:t>形式提交的，投标保证金须从投标人的银行基本账户转出</w:t>
      </w:r>
      <w:r>
        <w:rPr>
          <w:rFonts w:hint="eastAsia" w:ascii="宋体" w:hAnsi="宋体" w:cs="宋体"/>
          <w:sz w:val="24"/>
          <w:highlight w:val="none"/>
        </w:rPr>
        <w:t>。</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16.1.2</w:t>
      </w:r>
      <w:r>
        <w:rPr>
          <w:rFonts w:hint="eastAsia" w:ascii="宋体" w:hAnsi="宋体" w:cs="宋体"/>
          <w:bCs/>
          <w:sz w:val="24"/>
          <w:highlight w:val="none"/>
        </w:rPr>
        <w:t>依法必须招标的房屋建筑工程如采用非电子形式的</w:t>
      </w:r>
      <w:r>
        <w:rPr>
          <w:rFonts w:hint="eastAsia" w:ascii="宋体" w:hAnsi="宋体" w:cs="宋体"/>
          <w:b/>
          <w:bCs/>
          <w:sz w:val="24"/>
          <w:highlight w:val="none"/>
        </w:rPr>
        <w:t>银行保函、专业工程担保公司担保或保证保险</w:t>
      </w:r>
      <w:r>
        <w:rPr>
          <w:rFonts w:hint="eastAsia" w:ascii="宋体" w:hAnsi="宋体" w:cs="宋体"/>
          <w:bCs/>
          <w:sz w:val="24"/>
          <w:highlight w:val="none"/>
        </w:rPr>
        <w:t>提交投标保证金的，在开标前不强制要求投标人提交纸质原件，由中标候选人在中标候选人公示前提交并在网上公示，投标人应在投标文件中提交</w:t>
      </w:r>
      <w:r>
        <w:rPr>
          <w:rFonts w:hint="eastAsia" w:ascii="宋体" w:hAnsi="宋体" w:cs="宋体"/>
          <w:b/>
          <w:bCs/>
          <w:sz w:val="24"/>
          <w:highlight w:val="none"/>
        </w:rPr>
        <w:t>保函、担保或保证保险</w:t>
      </w:r>
      <w:r>
        <w:rPr>
          <w:rFonts w:hint="eastAsia" w:ascii="宋体" w:hAnsi="宋体" w:cs="宋体"/>
          <w:bCs/>
          <w:sz w:val="24"/>
          <w:highlight w:val="none"/>
        </w:rPr>
        <w:t>扫描件并加盖投标人电子印章。</w:t>
      </w:r>
      <w:r>
        <w:rPr>
          <w:rFonts w:hint="eastAsia" w:ascii="宋体" w:hAnsi="宋体" w:cs="宋体"/>
          <w:b/>
          <w:sz w:val="24"/>
          <w:highlight w:val="none"/>
        </w:rPr>
        <w:t>如投标人存在16.4条款所列情形的，应将</w:t>
      </w:r>
      <w:r>
        <w:rPr>
          <w:rFonts w:hint="eastAsia" w:ascii="宋体" w:hAnsi="宋体" w:cs="宋体"/>
          <w:b/>
          <w:bCs/>
          <w:sz w:val="24"/>
          <w:highlight w:val="none"/>
        </w:rPr>
        <w:t>纸质</w:t>
      </w:r>
      <w:r>
        <w:rPr>
          <w:rFonts w:hint="eastAsia" w:ascii="宋体" w:hAnsi="宋体" w:cs="宋体"/>
          <w:b/>
          <w:sz w:val="24"/>
          <w:highlight w:val="none"/>
        </w:rPr>
        <w:t>原件提交给招标人</w:t>
      </w:r>
      <w:r>
        <w:rPr>
          <w:rFonts w:hint="eastAsia" w:ascii="宋体" w:hAnsi="宋体" w:cs="宋体"/>
          <w:sz w:val="24"/>
          <w:highlight w:val="none"/>
        </w:rPr>
        <w:t>。</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16.1.3</w:t>
      </w:r>
      <w:r>
        <w:rPr>
          <w:rFonts w:hint="eastAsia" w:ascii="宋体" w:hAnsi="宋体" w:cs="宋体"/>
          <w:bCs/>
          <w:sz w:val="24"/>
          <w:highlight w:val="none"/>
        </w:rPr>
        <w:t>采用</w:t>
      </w:r>
      <w:r>
        <w:rPr>
          <w:rFonts w:hint="eastAsia" w:ascii="宋体" w:hAnsi="宋体" w:cs="宋体"/>
          <w:b/>
          <w:sz w:val="24"/>
          <w:highlight w:val="none"/>
        </w:rPr>
        <w:t>电子形式的保函、担保或保证保险</w:t>
      </w:r>
      <w:r>
        <w:rPr>
          <w:rFonts w:hint="eastAsia" w:ascii="宋体" w:hAnsi="宋体" w:cs="宋体"/>
          <w:bCs/>
          <w:sz w:val="24"/>
          <w:highlight w:val="none"/>
        </w:rPr>
        <w:t>提交投标保证金的，应在招标文件中明确电子递交途径</w:t>
      </w:r>
      <w:r>
        <w:rPr>
          <w:rFonts w:hint="eastAsia" w:ascii="宋体" w:hAnsi="宋体" w:cs="宋体"/>
          <w:sz w:val="24"/>
          <w:highlight w:val="none"/>
        </w:rPr>
        <w:t>。</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16.2开标时投标人没有按要求提供投标保证金的，其投标文件将被否决；</w:t>
      </w:r>
      <w:r>
        <w:rPr>
          <w:rFonts w:hint="eastAsia" w:ascii="宋体" w:hAnsi="宋体" w:cs="宋体"/>
          <w:b/>
          <w:bCs/>
          <w:sz w:val="24"/>
          <w:highlight w:val="none"/>
        </w:rPr>
        <w:t>未按招标文件要求提交符合免予提供投标保证金相关证明材料，且未提交投标保证金的投标人，视为未按要求提供投标保证金</w:t>
      </w:r>
      <w:r>
        <w:rPr>
          <w:rFonts w:hint="eastAsia" w:ascii="宋体" w:hAnsi="宋体" w:cs="宋体"/>
          <w:sz w:val="24"/>
          <w:highlight w:val="none"/>
        </w:rPr>
        <w:t>。</w:t>
      </w:r>
    </w:p>
    <w:p>
      <w:pPr>
        <w:pStyle w:val="5"/>
        <w:spacing w:line="360" w:lineRule="auto"/>
        <w:ind w:firstLine="480" w:firstLineChars="200"/>
        <w:rPr>
          <w:rFonts w:ascii="宋体" w:hAnsi="宋体" w:cs="宋体"/>
          <w:bCs/>
          <w:sz w:val="24"/>
          <w:highlight w:val="none"/>
        </w:rPr>
      </w:pPr>
      <w:r>
        <w:rPr>
          <w:rFonts w:hint="eastAsia" w:ascii="宋体" w:hAnsi="宋体" w:cs="宋体"/>
          <w:bCs/>
          <w:sz w:val="24"/>
          <w:highlight w:val="none"/>
        </w:rPr>
        <w:t>16.3投标保证金应依据法律法规的相关规定退还。</w:t>
      </w:r>
    </w:p>
    <w:p>
      <w:pPr>
        <w:pStyle w:val="5"/>
        <w:spacing w:line="360" w:lineRule="auto"/>
        <w:ind w:firstLine="480" w:firstLineChars="200"/>
        <w:rPr>
          <w:rFonts w:ascii="宋体" w:hAnsi="宋体" w:cs="宋体"/>
          <w:bCs/>
          <w:sz w:val="24"/>
          <w:highlight w:val="none"/>
        </w:rPr>
      </w:pPr>
      <w:r>
        <w:rPr>
          <w:rFonts w:hint="eastAsia" w:ascii="宋体" w:hAnsi="宋体" w:cs="宋体"/>
          <w:bCs/>
          <w:sz w:val="24"/>
          <w:highlight w:val="none"/>
        </w:rPr>
        <w:t>16.4如有下列情况之一的，招标人可以不予退还投标保证金：</w:t>
      </w:r>
    </w:p>
    <w:p>
      <w:pPr>
        <w:pStyle w:val="5"/>
        <w:spacing w:line="360" w:lineRule="auto"/>
        <w:ind w:firstLine="480" w:firstLineChars="200"/>
        <w:rPr>
          <w:rFonts w:ascii="宋体" w:hAnsi="宋体" w:cs="宋体"/>
          <w:bCs/>
          <w:sz w:val="24"/>
          <w:highlight w:val="none"/>
        </w:rPr>
      </w:pPr>
      <w:r>
        <w:rPr>
          <w:rFonts w:hint="eastAsia" w:ascii="宋体" w:hAnsi="宋体" w:cs="宋体"/>
          <w:bCs/>
          <w:sz w:val="24"/>
          <w:highlight w:val="none"/>
        </w:rPr>
        <w:t>16.4.1因投标人原因造成投标文件未解密的；</w:t>
      </w:r>
    </w:p>
    <w:p>
      <w:pPr>
        <w:pStyle w:val="5"/>
        <w:spacing w:line="360" w:lineRule="auto"/>
        <w:ind w:firstLine="480" w:firstLineChars="200"/>
        <w:rPr>
          <w:rFonts w:ascii="宋体" w:hAnsi="宋体" w:cs="宋体"/>
          <w:bCs/>
          <w:sz w:val="24"/>
          <w:highlight w:val="none"/>
        </w:rPr>
      </w:pPr>
      <w:r>
        <w:rPr>
          <w:rFonts w:hint="eastAsia" w:ascii="宋体" w:hAnsi="宋体" w:cs="宋体"/>
          <w:bCs/>
          <w:sz w:val="24"/>
          <w:highlight w:val="none"/>
        </w:rPr>
        <w:t>16.4.2投标人在投标有效期内撤销投标文件；</w:t>
      </w:r>
    </w:p>
    <w:p>
      <w:pPr>
        <w:pStyle w:val="5"/>
        <w:spacing w:line="360" w:lineRule="auto"/>
        <w:ind w:firstLine="480" w:firstLineChars="200"/>
        <w:rPr>
          <w:rFonts w:ascii="宋体" w:hAnsi="宋体" w:cs="宋体"/>
          <w:bCs/>
          <w:sz w:val="24"/>
          <w:highlight w:val="none"/>
        </w:rPr>
      </w:pPr>
      <w:r>
        <w:rPr>
          <w:rFonts w:hint="eastAsia" w:ascii="宋体" w:hAnsi="宋体" w:cs="宋体"/>
          <w:bCs/>
          <w:sz w:val="24"/>
          <w:highlight w:val="none"/>
        </w:rPr>
        <w:t>16.4.3中标人未能在规定期限内按要求提交履约担保；</w:t>
      </w:r>
    </w:p>
    <w:p>
      <w:pPr>
        <w:pStyle w:val="5"/>
        <w:spacing w:line="360" w:lineRule="auto"/>
        <w:ind w:firstLine="480" w:firstLineChars="200"/>
        <w:rPr>
          <w:rFonts w:ascii="宋体" w:hAnsi="宋体" w:cs="宋体"/>
          <w:bCs/>
          <w:sz w:val="24"/>
          <w:highlight w:val="none"/>
        </w:rPr>
      </w:pPr>
      <w:r>
        <w:rPr>
          <w:rFonts w:hint="eastAsia" w:ascii="宋体" w:hAnsi="宋体" w:cs="宋体"/>
          <w:bCs/>
          <w:sz w:val="24"/>
          <w:highlight w:val="none"/>
        </w:rPr>
        <w:t>16.4.4中标人未能在规定期限内签署合同协议。</w:t>
      </w:r>
    </w:p>
    <w:p>
      <w:pPr>
        <w:pStyle w:val="5"/>
        <w:spacing w:line="360" w:lineRule="auto"/>
        <w:ind w:firstLine="482" w:firstLineChars="200"/>
        <w:rPr>
          <w:rFonts w:ascii="宋体" w:hAnsi="宋体" w:cs="宋体"/>
          <w:b/>
          <w:sz w:val="24"/>
          <w:highlight w:val="none"/>
        </w:rPr>
      </w:pPr>
      <w:r>
        <w:rPr>
          <w:rFonts w:hint="eastAsia" w:ascii="宋体" w:hAnsi="宋体" w:cs="宋体"/>
          <w:b/>
          <w:sz w:val="24"/>
          <w:highlight w:val="none"/>
        </w:rPr>
        <w:t>16.5投标人如存在下列情况之一的，将被拒绝在三个月内参与招标人后续工程投标：</w:t>
      </w:r>
    </w:p>
    <w:p>
      <w:pPr>
        <w:pStyle w:val="5"/>
        <w:spacing w:line="360" w:lineRule="auto"/>
        <w:ind w:firstLine="482" w:firstLineChars="200"/>
        <w:rPr>
          <w:rFonts w:ascii="宋体" w:hAnsi="宋体" w:cs="宋体"/>
          <w:b/>
          <w:sz w:val="24"/>
          <w:highlight w:val="none"/>
        </w:rPr>
      </w:pPr>
      <w:r>
        <w:rPr>
          <w:rFonts w:hint="eastAsia" w:ascii="宋体" w:hAnsi="宋体" w:cs="宋体"/>
          <w:b/>
          <w:sz w:val="24"/>
          <w:highlight w:val="none"/>
        </w:rPr>
        <w:t>16.5.1</w:t>
      </w:r>
      <w:r>
        <w:rPr>
          <w:rFonts w:hint="eastAsia" w:ascii="宋体" w:hAnsi="宋体" w:cs="宋体"/>
          <w:b/>
          <w:bCs/>
          <w:sz w:val="24"/>
          <w:highlight w:val="none"/>
        </w:rPr>
        <w:t>投标人</w:t>
      </w:r>
      <w:r>
        <w:rPr>
          <w:rFonts w:hint="eastAsia" w:ascii="宋体" w:hAnsi="宋体" w:cs="宋体"/>
          <w:b/>
          <w:sz w:val="24"/>
          <w:highlight w:val="none"/>
        </w:rPr>
        <w:t>存在16.4条款所列情形且投标人提交的保函、担保或保证保险无法兑付的；</w:t>
      </w:r>
    </w:p>
    <w:p>
      <w:pPr>
        <w:pStyle w:val="5"/>
        <w:spacing w:line="360" w:lineRule="auto"/>
        <w:ind w:firstLine="482" w:firstLineChars="200"/>
        <w:rPr>
          <w:rFonts w:ascii="宋体" w:hAnsi="宋体" w:cs="宋体"/>
          <w:b/>
          <w:bCs/>
          <w:sz w:val="24"/>
          <w:highlight w:val="none"/>
        </w:rPr>
      </w:pPr>
      <w:r>
        <w:rPr>
          <w:rFonts w:hint="eastAsia" w:ascii="宋体" w:hAnsi="宋体" w:cs="宋体"/>
          <w:b/>
          <w:sz w:val="24"/>
          <w:highlight w:val="none"/>
        </w:rPr>
        <w:t>16.5.2采用非电子形式提交投标保证金的</w:t>
      </w:r>
      <w:r>
        <w:rPr>
          <w:rFonts w:hint="eastAsia" w:ascii="宋体" w:hAnsi="宋体" w:cs="宋体"/>
          <w:b/>
          <w:bCs/>
          <w:sz w:val="24"/>
          <w:highlight w:val="none"/>
        </w:rPr>
        <w:t>投标人</w:t>
      </w:r>
      <w:r>
        <w:rPr>
          <w:rFonts w:hint="eastAsia" w:ascii="宋体" w:hAnsi="宋体" w:cs="宋体"/>
          <w:b/>
          <w:sz w:val="24"/>
          <w:highlight w:val="none"/>
        </w:rPr>
        <w:t>存在16.4条款所列情形，且未按招标人要求补交</w:t>
      </w:r>
      <w:r>
        <w:rPr>
          <w:rFonts w:hint="eastAsia" w:ascii="宋体" w:hAnsi="宋体" w:cs="宋体"/>
          <w:b/>
          <w:bCs/>
          <w:sz w:val="24"/>
          <w:highlight w:val="none"/>
        </w:rPr>
        <w:t>银行保函、专业工程担保公司担保或保证保险原件的；</w:t>
      </w:r>
    </w:p>
    <w:p>
      <w:pPr>
        <w:spacing w:line="360" w:lineRule="auto"/>
        <w:ind w:firstLine="482" w:firstLineChars="200"/>
        <w:rPr>
          <w:rFonts w:ascii="宋体"/>
          <w:sz w:val="24"/>
          <w:highlight w:val="none"/>
        </w:rPr>
      </w:pPr>
      <w:r>
        <w:rPr>
          <w:rFonts w:hint="eastAsia" w:ascii="宋体" w:hAnsi="宋体" w:cs="宋体"/>
          <w:b/>
          <w:bCs/>
          <w:sz w:val="24"/>
          <w:highlight w:val="none"/>
        </w:rPr>
        <w:t>16.5.3按招标文件要求免于提供投标保证金</w:t>
      </w:r>
      <w:r>
        <w:rPr>
          <w:rFonts w:hint="eastAsia" w:ascii="宋体" w:hAnsi="宋体" w:cs="宋体"/>
          <w:b/>
          <w:sz w:val="24"/>
          <w:highlight w:val="none"/>
        </w:rPr>
        <w:t>的</w:t>
      </w:r>
      <w:r>
        <w:rPr>
          <w:rFonts w:hint="eastAsia" w:ascii="宋体" w:hAnsi="宋体" w:cs="宋体"/>
          <w:b/>
          <w:bCs/>
          <w:sz w:val="24"/>
          <w:highlight w:val="none"/>
        </w:rPr>
        <w:t>投标人</w:t>
      </w:r>
      <w:r>
        <w:rPr>
          <w:rFonts w:hint="eastAsia" w:ascii="宋体" w:hAnsi="宋体" w:cs="宋体"/>
          <w:b/>
          <w:sz w:val="24"/>
          <w:highlight w:val="none"/>
        </w:rPr>
        <w:t>存在16.4条款所列情形，且未按招标人要求补交投标保证金的</w:t>
      </w:r>
      <w:r>
        <w:rPr>
          <w:rFonts w:hint="eastAsia" w:ascii="宋体" w:hAnsi="宋体"/>
          <w:sz w:val="24"/>
          <w:highlight w:val="none"/>
        </w:rPr>
        <w:t>。</w:t>
      </w:r>
    </w:p>
    <w:p>
      <w:pPr>
        <w:pStyle w:val="5"/>
        <w:spacing w:after="0" w:line="360" w:lineRule="auto"/>
        <w:ind w:firstLine="482" w:firstLineChars="200"/>
        <w:rPr>
          <w:rFonts w:ascii="宋体"/>
          <w:b/>
          <w:bCs/>
          <w:sz w:val="24"/>
          <w:highlight w:val="none"/>
        </w:rPr>
      </w:pPr>
      <w:r>
        <w:rPr>
          <w:rFonts w:ascii="宋体" w:hAnsi="宋体"/>
          <w:b/>
          <w:bCs/>
          <w:sz w:val="24"/>
          <w:highlight w:val="none"/>
        </w:rPr>
        <w:t>17</w:t>
      </w:r>
      <w:r>
        <w:rPr>
          <w:rFonts w:hint="eastAsia" w:ascii="宋体" w:hAnsi="宋体"/>
          <w:b/>
          <w:bCs/>
          <w:sz w:val="24"/>
          <w:highlight w:val="none"/>
        </w:rPr>
        <w:t>．投标文件的签署</w:t>
      </w:r>
    </w:p>
    <w:p>
      <w:pPr>
        <w:spacing w:line="360" w:lineRule="auto"/>
        <w:ind w:firstLine="480" w:firstLineChars="200"/>
        <w:rPr>
          <w:rFonts w:ascii="宋体" w:hAnsi="宋体"/>
          <w:sz w:val="24"/>
          <w:highlight w:val="none"/>
        </w:rPr>
      </w:pPr>
      <w:r>
        <w:rPr>
          <w:rFonts w:ascii="宋体" w:hAnsi="宋体"/>
          <w:sz w:val="24"/>
          <w:highlight w:val="none"/>
        </w:rPr>
        <w:t>17.1</w:t>
      </w:r>
      <w:r>
        <w:rPr>
          <w:rFonts w:hint="eastAsia" w:ascii="宋体" w:hAnsi="宋体"/>
          <w:sz w:val="24"/>
          <w:highlight w:val="none"/>
        </w:rPr>
        <w:t>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bCs/>
          <w:kern w:val="0"/>
          <w:sz w:val="24"/>
          <w:szCs w:val="24"/>
          <w:highlight w:val="none"/>
          <w:u w:val="single"/>
        </w:rPr>
        <w:t>广州公共资源交易中心网站</w:t>
      </w:r>
      <w:r>
        <w:rPr>
          <w:rFonts w:hint="eastAsia" w:ascii="宋体" w:hAnsi="宋体"/>
          <w:sz w:val="24"/>
          <w:highlight w:val="none"/>
        </w:rPr>
        <w:t>。</w:t>
      </w:r>
    </w:p>
    <w:p>
      <w:pPr>
        <w:pStyle w:val="9"/>
        <w:spacing w:before="156" w:after="156"/>
        <w:rPr>
          <w:highlight w:val="none"/>
        </w:rPr>
      </w:pPr>
      <w:bookmarkStart w:id="10" w:name="_Toc2272552"/>
      <w:bookmarkStart w:id="11" w:name="_Toc80289066"/>
      <w:r>
        <w:rPr>
          <w:rFonts w:hint="eastAsia"/>
          <w:highlight w:val="none"/>
        </w:rPr>
        <w:t>（四）投标文件的提交</w:t>
      </w:r>
      <w:bookmarkEnd w:id="10"/>
      <w:bookmarkEnd w:id="11"/>
    </w:p>
    <w:p>
      <w:pPr>
        <w:pStyle w:val="5"/>
        <w:spacing w:after="0" w:line="360" w:lineRule="auto"/>
        <w:ind w:firstLine="482" w:firstLineChars="200"/>
        <w:rPr>
          <w:rFonts w:ascii="宋体"/>
          <w:b/>
          <w:bCs/>
          <w:sz w:val="24"/>
          <w:highlight w:val="none"/>
        </w:rPr>
      </w:pPr>
      <w:r>
        <w:rPr>
          <w:rFonts w:ascii="宋体" w:hAnsi="宋体"/>
          <w:b/>
          <w:bCs/>
          <w:sz w:val="24"/>
          <w:highlight w:val="none"/>
        </w:rPr>
        <w:t>18</w:t>
      </w:r>
      <w:r>
        <w:rPr>
          <w:rFonts w:hint="eastAsia" w:ascii="宋体" w:hAnsi="宋体"/>
          <w:b/>
          <w:bCs/>
          <w:sz w:val="24"/>
          <w:highlight w:val="none"/>
        </w:rPr>
        <w:t>．</w:t>
      </w:r>
      <w:r>
        <w:rPr>
          <w:rFonts w:hint="eastAsia"/>
          <w:b/>
          <w:sz w:val="24"/>
          <w:szCs w:val="24"/>
          <w:highlight w:val="none"/>
        </w:rPr>
        <w:t>投标文件的密封和标记</w:t>
      </w:r>
    </w:p>
    <w:p>
      <w:pPr>
        <w:spacing w:line="360" w:lineRule="auto"/>
        <w:ind w:firstLine="480" w:firstLineChars="200"/>
        <w:rPr>
          <w:sz w:val="24"/>
          <w:szCs w:val="24"/>
          <w:highlight w:val="none"/>
        </w:rPr>
      </w:pPr>
      <w:r>
        <w:rPr>
          <w:rFonts w:hint="eastAsia" w:ascii="宋体" w:hAnsi="宋体"/>
          <w:sz w:val="24"/>
          <w:szCs w:val="24"/>
          <w:highlight w:val="none"/>
        </w:rPr>
        <w:t>18.1.递交的电子投标文件（不含备用U盘）必须进行加密。按照交易平台关于全流程电子化项目的相关指南进行操作。详见：</w:t>
      </w:r>
      <w:r>
        <w:rPr>
          <w:rFonts w:hint="eastAsia" w:ascii="宋体" w:hAnsi="宋体"/>
          <w:sz w:val="24"/>
          <w:szCs w:val="24"/>
          <w:highlight w:val="none"/>
          <w:u w:val="single"/>
        </w:rPr>
        <w:t>广州公共资源交易中心网站</w:t>
      </w:r>
      <w:r>
        <w:rPr>
          <w:rFonts w:hint="eastAsia" w:ascii="宋体" w:hAnsi="宋体"/>
          <w:sz w:val="24"/>
          <w:szCs w:val="24"/>
          <w:highlight w:val="none"/>
        </w:rPr>
        <w:t>。</w:t>
      </w:r>
    </w:p>
    <w:p>
      <w:pPr>
        <w:spacing w:line="360" w:lineRule="auto"/>
        <w:ind w:firstLine="480" w:firstLineChars="200"/>
        <w:rPr>
          <w:rFonts w:ascii="宋体"/>
          <w:bCs/>
          <w:sz w:val="24"/>
          <w:highlight w:val="none"/>
        </w:rPr>
      </w:pPr>
      <w:r>
        <w:rPr>
          <w:rFonts w:hint="eastAsia" w:ascii="宋体" w:hAnsi="宋体"/>
          <w:sz w:val="24"/>
          <w:szCs w:val="24"/>
          <w:highlight w:val="none"/>
        </w:rPr>
        <w:t>18.2</w:t>
      </w:r>
      <w:r>
        <w:rPr>
          <w:rFonts w:hint="eastAsia" w:ascii="宋体" w:hAnsi="宋体"/>
          <w:bCs/>
          <w:sz w:val="24"/>
          <w:szCs w:val="24"/>
          <w:highlight w:val="none"/>
        </w:rPr>
        <w:t>未按要求加密的投标文件，</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hAnsi="宋体"/>
          <w:sz w:val="24"/>
          <w:szCs w:val="24"/>
          <w:highlight w:val="none"/>
        </w:rPr>
        <w:t>交易平台</w:t>
      </w:r>
      <w:r>
        <w:rPr>
          <w:rFonts w:hint="eastAsia" w:ascii="宋体" w:hAnsi="宋体"/>
          <w:bCs/>
          <w:sz w:val="24"/>
          <w:szCs w:val="24"/>
          <w:highlight w:val="none"/>
        </w:rPr>
        <w:t>将予以拒收。</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rPr>
        <w:t>18.3</w:t>
      </w:r>
      <w:r>
        <w:rPr>
          <w:rFonts w:hint="eastAsia" w:ascii="宋体" w:hAnsi="宋体"/>
          <w:sz w:val="24"/>
          <w:szCs w:val="24"/>
          <w:highlight w:val="none"/>
          <w:u w:val="single"/>
        </w:rPr>
        <w:t>投标人可制作非加密的电子投标文件（</w:t>
      </w:r>
      <w:r>
        <w:rPr>
          <w:rFonts w:hint="eastAsia"/>
          <w:sz w:val="24"/>
          <w:szCs w:val="24"/>
          <w:highlight w:val="none"/>
          <w:u w:val="single"/>
        </w:rPr>
        <w:t>PDF</w:t>
      </w:r>
      <w:r>
        <w:rPr>
          <w:rFonts w:hint="eastAsia" w:ascii="宋体" w:hAnsi="宋体"/>
          <w:sz w:val="24"/>
          <w:szCs w:val="24"/>
          <w:highlight w:val="none"/>
          <w:u w:val="single"/>
        </w:rPr>
        <w:t>格式）存入U盘（</w:t>
      </w:r>
      <w:r>
        <w:rPr>
          <w:rFonts w:hint="eastAsia"/>
          <w:sz w:val="24"/>
          <w:szCs w:val="24"/>
          <w:highlight w:val="none"/>
          <w:u w:val="single"/>
        </w:rPr>
        <w:t>1</w:t>
      </w:r>
      <w:r>
        <w:rPr>
          <w:rFonts w:hint="eastAsia" w:ascii="宋体" w:hAnsi="宋体"/>
          <w:sz w:val="24"/>
          <w:szCs w:val="24"/>
          <w:highlight w:val="none"/>
          <w:u w:val="single"/>
        </w:rPr>
        <w:t>份）作为投标文件备用U盘，投标文件备用U盘密封在密封袋中，并在封口处加盖投标人单位公章。密封袋上应写明项目名称和招标人名称。</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18.4投标人应递交定标辅助文件电子版及纸制版，纸质版正本一份、副本四份，副本可以为正本的复印件，电子文件U盘一套，并将纸质版定标辅助文件及其电子文件U盘一起密封在密封袋中，并在封口处加盖投标人单位公章。密封袋上应写明①项目名称②招标人名称③定标辅助文件。当副本和正本不一致或电子版文件和纸质正本文件不一致时，以纸质正本文件为准。</w:t>
      </w:r>
    </w:p>
    <w:p>
      <w:pPr>
        <w:spacing w:line="360" w:lineRule="auto"/>
        <w:ind w:firstLine="482" w:firstLineChars="200"/>
        <w:rPr>
          <w:rFonts w:ascii="宋体"/>
          <w:b/>
          <w:bCs/>
          <w:sz w:val="24"/>
          <w:highlight w:val="none"/>
        </w:rPr>
      </w:pPr>
      <w:r>
        <w:rPr>
          <w:rFonts w:ascii="宋体" w:hAnsi="宋体"/>
          <w:b/>
          <w:bCs/>
          <w:sz w:val="24"/>
          <w:highlight w:val="none"/>
        </w:rPr>
        <w:t>19</w:t>
      </w:r>
      <w:r>
        <w:rPr>
          <w:rFonts w:hint="eastAsia" w:ascii="宋体" w:hAnsi="宋体"/>
          <w:b/>
          <w:bCs/>
          <w:sz w:val="24"/>
          <w:highlight w:val="none"/>
        </w:rPr>
        <w:t>．投标文件的递交和接收</w:t>
      </w:r>
    </w:p>
    <w:p>
      <w:pPr>
        <w:spacing w:line="360" w:lineRule="auto"/>
        <w:ind w:firstLine="480" w:firstLineChars="200"/>
        <w:rPr>
          <w:rFonts w:ascii="宋体"/>
          <w:sz w:val="24"/>
          <w:szCs w:val="24"/>
          <w:highlight w:val="none"/>
        </w:rPr>
      </w:pPr>
      <w:r>
        <w:rPr>
          <w:rFonts w:hint="eastAsia" w:ascii="宋体" w:hAnsi="宋体"/>
          <w:sz w:val="24"/>
          <w:szCs w:val="24"/>
          <w:highlight w:val="none"/>
        </w:rPr>
        <w:t>19</w:t>
      </w:r>
      <w:r>
        <w:rPr>
          <w:rFonts w:hint="eastAsia" w:ascii="宋体"/>
          <w:sz w:val="24"/>
          <w:szCs w:val="24"/>
          <w:highlight w:val="none"/>
        </w:rPr>
        <w:t>.</w:t>
      </w:r>
      <w:r>
        <w:rPr>
          <w:rFonts w:hint="eastAsia" w:ascii="宋体" w:hAnsi="宋体"/>
          <w:sz w:val="24"/>
          <w:szCs w:val="24"/>
          <w:highlight w:val="none"/>
        </w:rPr>
        <w:t>1投标人通过</w:t>
      </w:r>
      <w:r>
        <w:rPr>
          <w:rFonts w:hint="eastAsia" w:ascii="宋体" w:hAnsi="宋体"/>
          <w:sz w:val="24"/>
          <w:szCs w:val="24"/>
          <w:highlight w:val="none"/>
          <w:u w:val="single"/>
        </w:rPr>
        <w:t>广州公共资源交易中心</w:t>
      </w:r>
      <w:r>
        <w:rPr>
          <w:rFonts w:hint="eastAsia" w:ascii="宋体" w:hAnsi="宋体"/>
          <w:sz w:val="24"/>
          <w:szCs w:val="24"/>
          <w:highlight w:val="none"/>
        </w:rPr>
        <w:t>交易平台递交电子投标文件（</w:t>
      </w:r>
      <w:r>
        <w:rPr>
          <w:rFonts w:hint="eastAsia" w:ascii="宋体" w:hAnsi="宋体"/>
          <w:sz w:val="24"/>
          <w:szCs w:val="24"/>
          <w:highlight w:val="none"/>
          <w:u w:val="single"/>
        </w:rPr>
        <w:t>含定标辅助文件）</w:t>
      </w:r>
      <w:r>
        <w:rPr>
          <w:rFonts w:hint="eastAsia" w:ascii="宋体" w:hAnsi="宋体"/>
          <w:sz w:val="24"/>
          <w:szCs w:val="24"/>
          <w:highlight w:val="none"/>
        </w:rPr>
        <w:t>。</w:t>
      </w:r>
    </w:p>
    <w:p>
      <w:pPr>
        <w:spacing w:line="360" w:lineRule="auto"/>
        <w:ind w:firstLine="480" w:firstLineChars="200"/>
        <w:rPr>
          <w:rFonts w:ascii="宋体"/>
          <w:sz w:val="24"/>
          <w:szCs w:val="24"/>
          <w:highlight w:val="none"/>
        </w:rPr>
      </w:pPr>
      <w:r>
        <w:rPr>
          <w:rFonts w:hint="eastAsia" w:ascii="宋体" w:hAnsi="宋体"/>
          <w:sz w:val="24"/>
          <w:szCs w:val="24"/>
          <w:highlight w:val="none"/>
        </w:rPr>
        <w:t>19</w:t>
      </w:r>
      <w:r>
        <w:rPr>
          <w:rFonts w:hint="eastAsia" w:ascii="宋体"/>
          <w:sz w:val="24"/>
          <w:szCs w:val="24"/>
          <w:highlight w:val="none"/>
        </w:rPr>
        <w:t>.</w:t>
      </w:r>
      <w:r>
        <w:rPr>
          <w:rFonts w:hint="eastAsia" w:ascii="宋体" w:hAnsi="宋体"/>
          <w:sz w:val="24"/>
          <w:szCs w:val="24"/>
          <w:highlight w:val="none"/>
        </w:rPr>
        <w:t>2投标人完成电子投标文件上传后，</w:t>
      </w:r>
      <w:r>
        <w:rPr>
          <w:rFonts w:hint="eastAsia" w:ascii="宋体" w:hAnsi="宋体"/>
          <w:sz w:val="24"/>
          <w:szCs w:val="24"/>
          <w:highlight w:val="none"/>
          <w:u w:val="single"/>
        </w:rPr>
        <w:t>广州公共资源交易中心</w:t>
      </w:r>
      <w:r>
        <w:rPr>
          <w:rFonts w:hint="eastAsia" w:ascii="宋体" w:hAnsi="宋体"/>
          <w:sz w:val="24"/>
          <w:szCs w:val="24"/>
          <w:highlight w:val="none"/>
        </w:rPr>
        <w:t>交易平台即时向投标人发出递交回执通知。递交时间以递交回执通知载明的传输完成时间为准。</w:t>
      </w:r>
    </w:p>
    <w:p>
      <w:pPr>
        <w:spacing w:line="360" w:lineRule="auto"/>
        <w:ind w:firstLine="480" w:firstLineChars="200"/>
        <w:rPr>
          <w:rFonts w:ascii="宋体"/>
          <w:sz w:val="24"/>
          <w:szCs w:val="24"/>
          <w:highlight w:val="none"/>
        </w:rPr>
      </w:pPr>
      <w:r>
        <w:rPr>
          <w:rFonts w:hint="eastAsia" w:ascii="宋体" w:hAnsi="宋体"/>
          <w:sz w:val="24"/>
          <w:szCs w:val="24"/>
          <w:highlight w:val="none"/>
        </w:rPr>
        <w:t>19</w:t>
      </w:r>
      <w:r>
        <w:rPr>
          <w:rFonts w:hint="eastAsia" w:ascii="宋体"/>
          <w:sz w:val="24"/>
          <w:szCs w:val="24"/>
          <w:highlight w:val="none"/>
        </w:rPr>
        <w:t>.</w:t>
      </w:r>
      <w:r>
        <w:rPr>
          <w:rFonts w:hint="eastAsia" w:ascii="宋体" w:hAnsi="宋体"/>
          <w:sz w:val="24"/>
          <w:szCs w:val="24"/>
          <w:highlight w:val="none"/>
        </w:rPr>
        <w:t>3逾期送达的电子投标文件，</w:t>
      </w:r>
      <w:r>
        <w:rPr>
          <w:rFonts w:hint="eastAsia" w:ascii="宋体" w:hAnsi="宋体"/>
          <w:sz w:val="24"/>
          <w:szCs w:val="24"/>
          <w:highlight w:val="none"/>
          <w:u w:val="single"/>
        </w:rPr>
        <w:t>广州公共资源交易中心</w:t>
      </w:r>
      <w:r>
        <w:rPr>
          <w:rFonts w:hint="eastAsia" w:ascii="宋体" w:hAnsi="宋体"/>
          <w:sz w:val="24"/>
          <w:szCs w:val="24"/>
          <w:highlight w:val="none"/>
        </w:rPr>
        <w:t>交易平台将予以拒收。</w:t>
      </w:r>
    </w:p>
    <w:p>
      <w:pPr>
        <w:spacing w:line="360" w:lineRule="auto"/>
        <w:ind w:firstLine="480" w:firstLineChars="200"/>
        <w:rPr>
          <w:rFonts w:ascii="宋体"/>
          <w:sz w:val="24"/>
          <w:szCs w:val="24"/>
          <w:highlight w:val="none"/>
        </w:rPr>
      </w:pPr>
      <w:r>
        <w:rPr>
          <w:rFonts w:hint="eastAsia" w:ascii="宋体" w:hAnsi="宋体"/>
          <w:sz w:val="24"/>
          <w:szCs w:val="24"/>
          <w:highlight w:val="none"/>
        </w:rPr>
        <w:t>19.4 投标截止前，招标人拒绝接收符合条件的投标文件，投标人可向招标投标监督机构投诉。</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19.5技术标和经济标同时开启，</w:t>
      </w:r>
      <w:r>
        <w:rPr>
          <w:rFonts w:hint="eastAsia"/>
          <w:sz w:val="24"/>
          <w:szCs w:val="24"/>
          <w:highlight w:val="none"/>
          <w:u w:val="single"/>
        </w:rPr>
        <w:t>广州</w:t>
      </w:r>
      <w:r>
        <w:rPr>
          <w:sz w:val="24"/>
          <w:szCs w:val="24"/>
          <w:highlight w:val="none"/>
          <w:u w:val="single"/>
        </w:rPr>
        <w:t>公共资源交易中心</w:t>
      </w:r>
      <w:r>
        <w:rPr>
          <w:rFonts w:hint="eastAsia" w:ascii="宋体" w:hAnsi="宋体"/>
          <w:sz w:val="24"/>
          <w:szCs w:val="24"/>
          <w:highlight w:val="none"/>
          <w:u w:val="single"/>
        </w:rPr>
        <w:t>交易平台将按招标文件规定的时间同时开启技术标和经济标。</w:t>
      </w:r>
    </w:p>
    <w:p>
      <w:pPr>
        <w:spacing w:line="360" w:lineRule="auto"/>
        <w:ind w:firstLine="480" w:firstLineChars="200"/>
        <w:rPr>
          <w:rFonts w:ascii="宋体"/>
          <w:sz w:val="24"/>
          <w:szCs w:val="24"/>
          <w:highlight w:val="none"/>
          <w:u w:val="single"/>
        </w:rPr>
      </w:pPr>
      <w:r>
        <w:rPr>
          <w:rFonts w:hint="eastAsia" w:ascii="宋体"/>
          <w:sz w:val="24"/>
          <w:szCs w:val="24"/>
          <w:highlight w:val="none"/>
          <w:u w:val="single"/>
        </w:rPr>
        <w:t>19.6投标人代表应按投标须知前附表第18项所规定的时间和地点向招标人递交定标辅助文件，投标人代表应由投标人法定代表人或法定代表人书面授权的委托代理人担任，若出现以下情况之一的，招标人将拒绝接收定标辅助文件：</w:t>
      </w:r>
    </w:p>
    <w:p>
      <w:pPr>
        <w:spacing w:line="360" w:lineRule="auto"/>
        <w:ind w:firstLine="480" w:firstLineChars="200"/>
        <w:rPr>
          <w:rFonts w:ascii="宋体"/>
          <w:sz w:val="24"/>
          <w:szCs w:val="24"/>
          <w:highlight w:val="none"/>
          <w:u w:val="single"/>
        </w:rPr>
      </w:pPr>
      <w:r>
        <w:rPr>
          <w:rFonts w:hint="eastAsia" w:ascii="宋体"/>
          <w:sz w:val="24"/>
          <w:szCs w:val="24"/>
          <w:highlight w:val="none"/>
          <w:u w:val="single"/>
        </w:rPr>
        <w:t>19.6.1逾期或未在指定地点递交定标辅助文件的；</w:t>
      </w:r>
    </w:p>
    <w:p>
      <w:pPr>
        <w:spacing w:line="360" w:lineRule="auto"/>
        <w:ind w:firstLine="480" w:firstLineChars="200"/>
        <w:rPr>
          <w:rFonts w:ascii="宋体"/>
          <w:sz w:val="24"/>
          <w:highlight w:val="none"/>
        </w:rPr>
      </w:pPr>
      <w:r>
        <w:rPr>
          <w:rFonts w:hint="eastAsia" w:ascii="宋体"/>
          <w:sz w:val="24"/>
          <w:szCs w:val="24"/>
          <w:highlight w:val="none"/>
          <w:u w:val="single"/>
        </w:rPr>
        <w:t>19.7投标人如不提交定标辅助文件，不被认定为不通过资格审查或有效性审查，但如该投标人成为定标阶段的合格中标候选人，将影响其定标阶段的最终排名</w:t>
      </w:r>
      <w:r>
        <w:rPr>
          <w:rFonts w:hint="eastAsia" w:ascii="宋体" w:hAnsi="宋体"/>
          <w:sz w:val="24"/>
          <w:szCs w:val="24"/>
          <w:highlight w:val="none"/>
        </w:rPr>
        <w:t>。</w:t>
      </w:r>
    </w:p>
    <w:p>
      <w:pPr>
        <w:spacing w:line="360" w:lineRule="auto"/>
        <w:ind w:firstLine="482" w:firstLineChars="200"/>
        <w:rPr>
          <w:rFonts w:ascii="宋体"/>
          <w:b/>
          <w:bCs/>
          <w:sz w:val="24"/>
          <w:highlight w:val="none"/>
        </w:rPr>
      </w:pPr>
      <w:r>
        <w:rPr>
          <w:rFonts w:ascii="宋体" w:hAnsi="宋体"/>
          <w:b/>
          <w:bCs/>
          <w:sz w:val="24"/>
          <w:highlight w:val="none"/>
        </w:rPr>
        <w:t>20</w:t>
      </w:r>
      <w:r>
        <w:rPr>
          <w:rFonts w:hint="eastAsia" w:ascii="宋体" w:hAnsi="宋体"/>
          <w:b/>
          <w:bCs/>
          <w:sz w:val="24"/>
          <w:highlight w:val="none"/>
        </w:rPr>
        <w:t>．投标文件提交的截止时间</w:t>
      </w:r>
    </w:p>
    <w:p>
      <w:pPr>
        <w:spacing w:line="360" w:lineRule="auto"/>
        <w:ind w:firstLine="480" w:firstLineChars="200"/>
        <w:rPr>
          <w:rFonts w:ascii="宋体"/>
          <w:b/>
          <w:bCs/>
          <w:sz w:val="24"/>
          <w:highlight w:val="none"/>
        </w:rPr>
      </w:pPr>
      <w:r>
        <w:rPr>
          <w:rFonts w:ascii="宋体" w:hAnsi="宋体"/>
          <w:sz w:val="24"/>
          <w:highlight w:val="none"/>
        </w:rPr>
        <w:t>20.1</w:t>
      </w:r>
      <w:r>
        <w:rPr>
          <w:rFonts w:hint="eastAsia" w:ascii="宋体" w:hAnsi="宋体"/>
          <w:sz w:val="24"/>
          <w:highlight w:val="none"/>
        </w:rPr>
        <w:t>投标人应在投标须知前附表第17项所述的时间前提交投标文件。</w:t>
      </w:r>
    </w:p>
    <w:p>
      <w:pPr>
        <w:spacing w:line="360" w:lineRule="auto"/>
        <w:ind w:firstLine="480" w:firstLineChars="200"/>
        <w:rPr>
          <w:rFonts w:ascii="宋体"/>
          <w:sz w:val="24"/>
          <w:highlight w:val="none"/>
        </w:rPr>
      </w:pPr>
      <w:r>
        <w:rPr>
          <w:rFonts w:ascii="宋体" w:hAnsi="宋体"/>
          <w:sz w:val="24"/>
          <w:highlight w:val="none"/>
        </w:rPr>
        <w:t>20.2</w:t>
      </w:r>
      <w:r>
        <w:rPr>
          <w:rFonts w:hint="eastAsia" w:ascii="宋体" w:hAnsi="宋体"/>
          <w:sz w:val="24"/>
          <w:highlight w:val="none"/>
        </w:rPr>
        <w:t>招标人可按本须知第</w:t>
      </w:r>
      <w:r>
        <w:rPr>
          <w:rFonts w:ascii="宋体" w:hAnsi="宋体"/>
          <w:sz w:val="24"/>
          <w:highlight w:val="none"/>
        </w:rPr>
        <w:t>9</w:t>
      </w:r>
      <w:r>
        <w:rPr>
          <w:rFonts w:hint="eastAsia" w:ascii="宋体" w:hAnsi="宋体"/>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sz w:val="24"/>
          <w:highlight w:val="none"/>
        </w:rPr>
      </w:pPr>
      <w:r>
        <w:rPr>
          <w:rFonts w:ascii="宋体" w:hAnsi="宋体"/>
          <w:sz w:val="24"/>
          <w:highlight w:val="none"/>
        </w:rPr>
        <w:t xml:space="preserve">20.3 </w:t>
      </w:r>
      <w:r>
        <w:rPr>
          <w:rFonts w:hint="eastAsia" w:ascii="宋体" w:hAnsi="宋体"/>
          <w:sz w:val="24"/>
          <w:highlight w:val="none"/>
        </w:rPr>
        <w:t>到投标截止时间止，招标人收到的投标文件少于3家的，招标人将重新组织招标</w:t>
      </w:r>
      <w:r>
        <w:rPr>
          <w:rFonts w:hint="eastAsia" w:ascii="宋体" w:hAnsi="宋体"/>
          <w:sz w:val="24"/>
          <w:szCs w:val="24"/>
          <w:highlight w:val="none"/>
        </w:rPr>
        <w:t>（当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w:t>
      </w:r>
      <w:r>
        <w:rPr>
          <w:rFonts w:hint="eastAsia" w:ascii="宋体" w:hAnsi="宋体"/>
          <w:sz w:val="24"/>
          <w:szCs w:val="24"/>
          <w:highlight w:val="none"/>
        </w:rPr>
        <w:t>2家，则重新组织招标）</w:t>
      </w:r>
      <w:r>
        <w:rPr>
          <w:rFonts w:hint="eastAsia" w:ascii="宋体" w:hAnsi="宋体"/>
          <w:sz w:val="24"/>
          <w:highlight w:val="none"/>
        </w:rPr>
        <w:t>。</w:t>
      </w:r>
    </w:p>
    <w:p>
      <w:pPr>
        <w:spacing w:line="360" w:lineRule="auto"/>
        <w:ind w:firstLine="482" w:firstLineChars="200"/>
        <w:rPr>
          <w:rFonts w:ascii="宋体"/>
          <w:b/>
          <w:bCs/>
          <w:sz w:val="24"/>
          <w:highlight w:val="none"/>
        </w:rPr>
      </w:pPr>
      <w:r>
        <w:rPr>
          <w:rFonts w:ascii="宋体" w:hAnsi="宋体"/>
          <w:b/>
          <w:bCs/>
          <w:sz w:val="24"/>
          <w:highlight w:val="none"/>
        </w:rPr>
        <w:t>21</w:t>
      </w:r>
      <w:r>
        <w:rPr>
          <w:rFonts w:hint="eastAsia" w:ascii="宋体" w:hAnsi="宋体"/>
          <w:b/>
          <w:bCs/>
          <w:sz w:val="24"/>
          <w:highlight w:val="none"/>
        </w:rPr>
        <w:t>．迟交的投标文件</w:t>
      </w:r>
    </w:p>
    <w:p>
      <w:pPr>
        <w:spacing w:line="360" w:lineRule="auto"/>
        <w:ind w:firstLine="480" w:firstLineChars="200"/>
        <w:rPr>
          <w:rFonts w:ascii="宋体"/>
          <w:sz w:val="24"/>
          <w:highlight w:val="none"/>
        </w:rPr>
      </w:pPr>
      <w:r>
        <w:rPr>
          <w:rFonts w:ascii="宋体" w:hAnsi="宋体"/>
          <w:sz w:val="24"/>
          <w:highlight w:val="none"/>
        </w:rPr>
        <w:t xml:space="preserve">21.1 </w:t>
      </w:r>
      <w:r>
        <w:rPr>
          <w:rFonts w:hint="eastAsia" w:ascii="宋体" w:hAnsi="宋体"/>
          <w:sz w:val="24"/>
          <w:highlight w:val="none"/>
        </w:rPr>
        <w:t>本须知前附表第</w:t>
      </w:r>
      <w:r>
        <w:rPr>
          <w:rFonts w:ascii="宋体" w:hAnsi="宋体"/>
          <w:sz w:val="24"/>
          <w:highlight w:val="none"/>
        </w:rPr>
        <w:t>1</w:t>
      </w:r>
      <w:r>
        <w:rPr>
          <w:rFonts w:hint="eastAsia" w:ascii="宋体" w:hAnsi="宋体"/>
          <w:sz w:val="24"/>
          <w:highlight w:val="none"/>
        </w:rPr>
        <w:t>7项规定的投标截止时间</w:t>
      </w:r>
      <w:r>
        <w:rPr>
          <w:rFonts w:hint="eastAsia"/>
          <w:bCs/>
          <w:sz w:val="24"/>
          <w:szCs w:val="24"/>
          <w:highlight w:val="none"/>
        </w:rPr>
        <w:t>后送达的</w:t>
      </w:r>
      <w:r>
        <w:rPr>
          <w:rFonts w:hint="eastAsia" w:ascii="宋体" w:hAnsi="宋体"/>
          <w:bCs/>
          <w:sz w:val="24"/>
          <w:highlight w:val="none"/>
        </w:rPr>
        <w:t>电子投标文件，</w:t>
      </w:r>
      <w:r>
        <w:rPr>
          <w:rFonts w:hint="eastAsia" w:ascii="宋体" w:hAnsi="宋体"/>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将予以拒收。</w:t>
      </w:r>
    </w:p>
    <w:p>
      <w:pPr>
        <w:spacing w:line="360" w:lineRule="auto"/>
        <w:ind w:firstLine="482" w:firstLineChars="200"/>
        <w:rPr>
          <w:rFonts w:ascii="宋体"/>
          <w:b/>
          <w:bCs/>
          <w:sz w:val="24"/>
          <w:highlight w:val="none"/>
        </w:rPr>
      </w:pPr>
      <w:r>
        <w:rPr>
          <w:rFonts w:ascii="宋体" w:hAnsi="宋体"/>
          <w:b/>
          <w:bCs/>
          <w:sz w:val="24"/>
          <w:highlight w:val="none"/>
        </w:rPr>
        <w:t>22</w:t>
      </w:r>
      <w:r>
        <w:rPr>
          <w:rFonts w:hint="eastAsia" w:ascii="宋体" w:hAnsi="宋体"/>
          <w:b/>
          <w:bCs/>
          <w:sz w:val="24"/>
          <w:highlight w:val="none"/>
        </w:rPr>
        <w:t>．投标文件的修改与撤回</w:t>
      </w:r>
    </w:p>
    <w:p>
      <w:pPr>
        <w:spacing w:line="360" w:lineRule="auto"/>
        <w:ind w:firstLine="480" w:firstLineChars="200"/>
        <w:rPr>
          <w:rFonts w:ascii="宋体"/>
          <w:sz w:val="24"/>
          <w:highlight w:val="none"/>
        </w:rPr>
      </w:pPr>
      <w:r>
        <w:rPr>
          <w:rFonts w:ascii="宋体" w:hAnsi="宋体"/>
          <w:sz w:val="24"/>
          <w:highlight w:val="none"/>
        </w:rPr>
        <w:t>22.1</w:t>
      </w:r>
      <w:r>
        <w:rPr>
          <w:rFonts w:hint="eastAsia" w:ascii="宋体" w:hAnsi="宋体"/>
          <w:sz w:val="24"/>
          <w:highlight w:val="none"/>
        </w:rPr>
        <w:t>在规定的投标截止时间前，投标人可以修改或撤回已递交的投标文件，但应以书面形式通知招标人。</w:t>
      </w:r>
    </w:p>
    <w:p>
      <w:pPr>
        <w:spacing w:line="360" w:lineRule="auto"/>
        <w:ind w:firstLine="480" w:firstLineChars="200"/>
        <w:rPr>
          <w:sz w:val="24"/>
          <w:szCs w:val="24"/>
          <w:highlight w:val="none"/>
        </w:rPr>
      </w:pPr>
      <w:r>
        <w:rPr>
          <w:rFonts w:ascii="宋体" w:hAnsi="宋体"/>
          <w:sz w:val="24"/>
          <w:szCs w:val="24"/>
          <w:highlight w:val="none"/>
        </w:rPr>
        <w:t>22.2</w:t>
      </w:r>
      <w:r>
        <w:rPr>
          <w:sz w:val="24"/>
          <w:szCs w:val="24"/>
          <w:highlight w:val="none"/>
        </w:rPr>
        <w:t>投标人修改或撤回已递交</w:t>
      </w:r>
      <w:r>
        <w:rPr>
          <w:rFonts w:hint="eastAsia"/>
          <w:sz w:val="24"/>
          <w:szCs w:val="24"/>
          <w:highlight w:val="none"/>
        </w:rPr>
        <w:t>的</w:t>
      </w:r>
      <w:r>
        <w:rPr>
          <w:sz w:val="24"/>
          <w:szCs w:val="24"/>
          <w:highlight w:val="none"/>
        </w:rPr>
        <w:t>投标文件</w:t>
      </w:r>
      <w:r>
        <w:rPr>
          <w:rFonts w:hint="eastAsia"/>
          <w:sz w:val="24"/>
          <w:szCs w:val="24"/>
          <w:highlight w:val="none"/>
        </w:rPr>
        <w:t>，需在</w:t>
      </w:r>
      <w:r>
        <w:rPr>
          <w:rFonts w:hint="eastAsia" w:ascii="宋体" w:hAnsi="宋体"/>
          <w:sz w:val="24"/>
          <w:highlight w:val="none"/>
        </w:rPr>
        <w:t>交易平台发出修改或撤回</w:t>
      </w:r>
      <w:r>
        <w:rPr>
          <w:sz w:val="24"/>
          <w:szCs w:val="24"/>
          <w:highlight w:val="none"/>
        </w:rPr>
        <w:t>通知，</w:t>
      </w:r>
      <w:r>
        <w:rPr>
          <w:rFonts w:hint="eastAsia"/>
          <w:sz w:val="24"/>
          <w:szCs w:val="24"/>
          <w:highlight w:val="none"/>
        </w:rPr>
        <w:t>并按</w:t>
      </w:r>
      <w:r>
        <w:rPr>
          <w:sz w:val="24"/>
          <w:szCs w:val="24"/>
          <w:highlight w:val="none"/>
        </w:rPr>
        <w:t>要求加盖电子印章。</w:t>
      </w:r>
      <w:r>
        <w:rPr>
          <w:bCs/>
          <w:iCs/>
          <w:sz w:val="24"/>
          <w:szCs w:val="24"/>
          <w:highlight w:val="none"/>
        </w:rPr>
        <w:t>电子招标投标交易平台收到通知后，</w:t>
      </w:r>
      <w:r>
        <w:rPr>
          <w:sz w:val="24"/>
          <w:szCs w:val="24"/>
          <w:highlight w:val="none"/>
        </w:rPr>
        <w:t>即时向投标人发出确认回执通知。</w:t>
      </w:r>
    </w:p>
    <w:p>
      <w:pPr>
        <w:spacing w:line="360" w:lineRule="auto"/>
        <w:ind w:firstLine="480" w:firstLineChars="200"/>
        <w:rPr>
          <w:sz w:val="24"/>
          <w:szCs w:val="24"/>
          <w:highlight w:val="none"/>
        </w:rPr>
      </w:pPr>
      <w:r>
        <w:rPr>
          <w:rFonts w:hint="eastAsia" w:ascii="宋体" w:hAnsi="宋体"/>
          <w:sz w:val="24"/>
          <w:szCs w:val="24"/>
          <w:highlight w:val="none"/>
        </w:rPr>
        <w:t>22.3</w:t>
      </w:r>
      <w:r>
        <w:rPr>
          <w:rFonts w:hint="eastAsia"/>
          <w:sz w:val="24"/>
          <w:szCs w:val="24"/>
          <w:highlight w:val="none"/>
        </w:rPr>
        <w:t>修改后再次递交的，按19点的规定执行。</w:t>
      </w:r>
    </w:p>
    <w:p>
      <w:pPr>
        <w:spacing w:line="360" w:lineRule="auto"/>
        <w:ind w:firstLine="480" w:firstLineChars="200"/>
        <w:rPr>
          <w:rFonts w:ascii="宋体" w:hAnsi="宋体"/>
          <w:sz w:val="24"/>
          <w:highlight w:val="none"/>
        </w:rPr>
      </w:pPr>
      <w:r>
        <w:rPr>
          <w:rFonts w:ascii="宋体" w:hAnsi="宋体"/>
          <w:sz w:val="24"/>
          <w:highlight w:val="none"/>
        </w:rPr>
        <w:t>22.</w:t>
      </w:r>
      <w:r>
        <w:rPr>
          <w:rFonts w:hint="eastAsia" w:ascii="宋体" w:hAnsi="宋体"/>
          <w:sz w:val="24"/>
          <w:highlight w:val="none"/>
        </w:rPr>
        <w:t>4在投标截止时间之后，投标人不得补充、修改和更换投标文件。</w:t>
      </w:r>
    </w:p>
    <w:p>
      <w:pPr>
        <w:pStyle w:val="9"/>
        <w:spacing w:before="156" w:after="156"/>
        <w:rPr>
          <w:highlight w:val="none"/>
        </w:rPr>
      </w:pPr>
      <w:bookmarkStart w:id="12" w:name="_Toc2272553"/>
      <w:bookmarkStart w:id="13" w:name="_Toc80289067"/>
      <w:r>
        <w:rPr>
          <w:rFonts w:hint="eastAsia"/>
          <w:highlight w:val="none"/>
        </w:rPr>
        <w:t>（五）开标、评标、定标及合同签定</w:t>
      </w:r>
      <w:bookmarkEnd w:id="12"/>
      <w:bookmarkEnd w:id="13"/>
    </w:p>
    <w:p>
      <w:pPr>
        <w:spacing w:line="360" w:lineRule="auto"/>
        <w:ind w:firstLine="482" w:firstLineChars="200"/>
        <w:rPr>
          <w:rFonts w:ascii="宋体"/>
          <w:b/>
          <w:bCs/>
          <w:sz w:val="24"/>
          <w:highlight w:val="none"/>
        </w:rPr>
      </w:pPr>
      <w:r>
        <w:rPr>
          <w:rFonts w:ascii="宋体" w:hAnsi="宋体"/>
          <w:b/>
          <w:bCs/>
          <w:sz w:val="24"/>
          <w:highlight w:val="none"/>
        </w:rPr>
        <w:t>23</w:t>
      </w:r>
      <w:r>
        <w:rPr>
          <w:rFonts w:hint="eastAsia" w:ascii="宋体" w:hAnsi="宋体"/>
          <w:b/>
          <w:bCs/>
          <w:sz w:val="24"/>
          <w:highlight w:val="none"/>
        </w:rPr>
        <w:t>、开标。</w:t>
      </w:r>
    </w:p>
    <w:p>
      <w:pPr>
        <w:spacing w:line="360" w:lineRule="auto"/>
        <w:ind w:firstLine="480" w:firstLineChars="200"/>
        <w:rPr>
          <w:rFonts w:ascii="宋体"/>
          <w:sz w:val="24"/>
          <w:highlight w:val="none"/>
        </w:rPr>
      </w:pPr>
      <w:r>
        <w:rPr>
          <w:rFonts w:hint="eastAsia" w:ascii="宋体" w:hAnsi="宋体"/>
          <w:sz w:val="24"/>
          <w:highlight w:val="none"/>
        </w:rPr>
        <w:t>详见第二章开标、评标及定标办法</w:t>
      </w:r>
    </w:p>
    <w:p>
      <w:pPr>
        <w:spacing w:line="360" w:lineRule="auto"/>
        <w:ind w:firstLine="482" w:firstLineChars="200"/>
        <w:rPr>
          <w:rFonts w:ascii="宋体"/>
          <w:b/>
          <w:bCs/>
          <w:sz w:val="24"/>
          <w:highlight w:val="none"/>
        </w:rPr>
      </w:pPr>
      <w:r>
        <w:rPr>
          <w:rFonts w:ascii="宋体" w:hAnsi="宋体"/>
          <w:b/>
          <w:bCs/>
          <w:sz w:val="24"/>
          <w:highlight w:val="none"/>
        </w:rPr>
        <w:t>24</w:t>
      </w:r>
      <w:r>
        <w:rPr>
          <w:rFonts w:hint="eastAsia" w:ascii="宋体" w:hAnsi="宋体"/>
          <w:b/>
          <w:bCs/>
          <w:sz w:val="24"/>
          <w:highlight w:val="none"/>
        </w:rPr>
        <w:t>．评标过程的保密</w:t>
      </w:r>
    </w:p>
    <w:p>
      <w:pPr>
        <w:spacing w:line="360" w:lineRule="auto"/>
        <w:ind w:firstLine="480" w:firstLineChars="200"/>
        <w:rPr>
          <w:rFonts w:ascii="宋体"/>
          <w:sz w:val="24"/>
          <w:highlight w:val="none"/>
        </w:rPr>
      </w:pPr>
      <w:r>
        <w:rPr>
          <w:rFonts w:ascii="宋体" w:hAnsi="宋体"/>
          <w:sz w:val="24"/>
          <w:highlight w:val="none"/>
        </w:rPr>
        <w:t xml:space="preserve">24.1 </w:t>
      </w:r>
      <w:r>
        <w:rPr>
          <w:rFonts w:hint="eastAsia" w:ascii="宋体" w:hAnsi="宋体"/>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sz w:val="24"/>
          <w:highlight w:val="none"/>
        </w:rPr>
      </w:pPr>
      <w:r>
        <w:rPr>
          <w:rFonts w:ascii="宋体" w:hAnsi="宋体"/>
          <w:sz w:val="24"/>
          <w:highlight w:val="none"/>
        </w:rPr>
        <w:t xml:space="preserve">24.2 </w:t>
      </w:r>
      <w:r>
        <w:rPr>
          <w:rFonts w:hint="eastAsia" w:ascii="宋体" w:hAnsi="宋体"/>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sz w:val="24"/>
          <w:highlight w:val="none"/>
        </w:rPr>
      </w:pPr>
      <w:r>
        <w:rPr>
          <w:rFonts w:ascii="宋体" w:hAnsi="宋体"/>
          <w:b/>
          <w:bCs/>
          <w:sz w:val="24"/>
          <w:highlight w:val="none"/>
        </w:rPr>
        <w:t>25</w:t>
      </w:r>
      <w:r>
        <w:rPr>
          <w:rFonts w:hint="eastAsia" w:ascii="宋体" w:hAnsi="宋体"/>
          <w:b/>
          <w:bCs/>
          <w:sz w:val="24"/>
          <w:highlight w:val="none"/>
        </w:rPr>
        <w:t>．投标文件的澄清，计算错误的修正</w:t>
      </w:r>
    </w:p>
    <w:p>
      <w:pPr>
        <w:spacing w:line="360" w:lineRule="auto"/>
        <w:ind w:firstLine="480" w:firstLineChars="200"/>
        <w:rPr>
          <w:rFonts w:ascii="宋体"/>
          <w:sz w:val="24"/>
          <w:highlight w:val="none"/>
        </w:rPr>
      </w:pPr>
      <w:r>
        <w:rPr>
          <w:rFonts w:hint="eastAsia" w:ascii="宋体" w:hAnsi="宋体"/>
          <w:sz w:val="24"/>
          <w:highlight w:val="none"/>
        </w:rPr>
        <w:t>详见招标文件第二章开标、评标及定标办法</w:t>
      </w:r>
    </w:p>
    <w:p>
      <w:pPr>
        <w:spacing w:line="360" w:lineRule="auto"/>
        <w:ind w:firstLine="482" w:firstLineChars="200"/>
        <w:rPr>
          <w:rFonts w:ascii="宋体"/>
          <w:b/>
          <w:bCs/>
          <w:sz w:val="24"/>
          <w:highlight w:val="none"/>
        </w:rPr>
      </w:pPr>
      <w:r>
        <w:rPr>
          <w:rFonts w:ascii="宋体" w:hAnsi="宋体"/>
          <w:b/>
          <w:bCs/>
          <w:sz w:val="24"/>
          <w:highlight w:val="none"/>
        </w:rPr>
        <w:t>26</w:t>
      </w:r>
      <w:r>
        <w:rPr>
          <w:rFonts w:hint="eastAsia" w:ascii="宋体" w:hAnsi="宋体"/>
          <w:b/>
          <w:bCs/>
          <w:sz w:val="24"/>
          <w:highlight w:val="none"/>
        </w:rPr>
        <w:t>．投标文件的评审、比较和否决</w:t>
      </w:r>
    </w:p>
    <w:p>
      <w:pPr>
        <w:spacing w:line="360" w:lineRule="auto"/>
        <w:ind w:firstLine="480" w:firstLineChars="200"/>
        <w:rPr>
          <w:rFonts w:ascii="宋体"/>
          <w:bCs/>
          <w:sz w:val="24"/>
          <w:szCs w:val="24"/>
          <w:highlight w:val="none"/>
        </w:rPr>
      </w:pPr>
      <w:r>
        <w:rPr>
          <w:rFonts w:hint="eastAsia" w:ascii="宋体" w:hAnsi="宋体"/>
          <w:sz w:val="24"/>
          <w:highlight w:val="none"/>
        </w:rPr>
        <w:t>详见招标文件第二章开标、评标及定标办法。</w:t>
      </w:r>
    </w:p>
    <w:p>
      <w:pPr>
        <w:spacing w:line="360" w:lineRule="auto"/>
        <w:ind w:firstLine="482" w:firstLineChars="200"/>
        <w:rPr>
          <w:rFonts w:ascii="宋体"/>
          <w:b/>
          <w:bCs/>
          <w:sz w:val="24"/>
          <w:highlight w:val="none"/>
        </w:rPr>
      </w:pPr>
      <w:r>
        <w:rPr>
          <w:rFonts w:ascii="宋体" w:hAnsi="宋体"/>
          <w:b/>
          <w:bCs/>
          <w:sz w:val="24"/>
          <w:highlight w:val="none"/>
        </w:rPr>
        <w:t>27</w:t>
      </w:r>
      <w:r>
        <w:rPr>
          <w:rFonts w:hint="eastAsia" w:ascii="宋体" w:hAnsi="宋体"/>
          <w:b/>
          <w:bCs/>
          <w:sz w:val="24"/>
          <w:highlight w:val="none"/>
        </w:rPr>
        <w:t>．定标及中标通知书</w:t>
      </w:r>
    </w:p>
    <w:p>
      <w:pPr>
        <w:spacing w:line="360" w:lineRule="auto"/>
        <w:ind w:firstLine="480" w:firstLineChars="200"/>
        <w:rPr>
          <w:rFonts w:ascii="宋体" w:hAnsi="宋体"/>
          <w:sz w:val="24"/>
          <w:highlight w:val="none"/>
        </w:rPr>
      </w:pPr>
      <w:r>
        <w:rPr>
          <w:rFonts w:ascii="宋体" w:hAnsi="宋体"/>
          <w:sz w:val="24"/>
          <w:highlight w:val="none"/>
        </w:rPr>
        <w:t>27.1</w:t>
      </w:r>
      <w:r>
        <w:rPr>
          <w:rFonts w:hint="eastAsia" w:ascii="宋体" w:hAnsi="宋体"/>
          <w:sz w:val="24"/>
          <w:szCs w:val="24"/>
          <w:highlight w:val="none"/>
        </w:rPr>
        <w:t>招标人将在</w:t>
      </w:r>
      <w:r>
        <w:rPr>
          <w:rFonts w:hint="eastAsia" w:ascii="宋体" w:hAnsi="宋体"/>
          <w:sz w:val="24"/>
          <w:szCs w:val="24"/>
          <w:highlight w:val="none"/>
          <w:u w:val="single"/>
        </w:rPr>
        <w:t>广州公共资源交易中心</w:t>
      </w:r>
      <w:r>
        <w:rPr>
          <w:rFonts w:hint="eastAsia" w:ascii="宋体" w:hAnsi="宋体"/>
          <w:sz w:val="24"/>
          <w:szCs w:val="24"/>
          <w:highlight w:val="none"/>
        </w:rPr>
        <w:t>交易平台、广东省招标投标监管网和中国招标投标公共服务平台公示合格的中标候选人</w:t>
      </w:r>
      <w:r>
        <w:rPr>
          <w:rFonts w:hint="eastAsia" w:ascii="宋体" w:hAnsi="宋体"/>
          <w:sz w:val="24"/>
          <w:szCs w:val="24"/>
          <w:highlight w:val="none"/>
          <w:u w:val="single"/>
        </w:rPr>
        <w:t>【不排序，按统一社会信用代码后4位（除校验码外）大小排位】</w:t>
      </w:r>
      <w:r>
        <w:rPr>
          <w:rFonts w:hint="eastAsia" w:ascii="宋体" w:hAnsi="宋体"/>
          <w:sz w:val="24"/>
          <w:szCs w:val="24"/>
          <w:highlight w:val="none"/>
        </w:rPr>
        <w:t>，公示期为三天。</w:t>
      </w:r>
      <w:r>
        <w:rPr>
          <w:rFonts w:hint="eastAsia" w:ascii="宋体" w:hAnsi="宋体"/>
          <w:sz w:val="24"/>
          <w:szCs w:val="24"/>
          <w:highlight w:val="none"/>
          <w:u w:val="single"/>
        </w:rPr>
        <w:t>中标候选人公示期间，投标人对评标结果有异议的应当在公示期内提出，可以通过线下或线上的形式提出异议。线上提交的，应通过交易平台进行，招标人也应通过交易平台答复线上提交的异议。作出答复前，应当暂停招标投标活动。因质疑或投诉生效导致合格中标候选人不符合中标资格的，将取消其中标候选人资格；因质疑或投诉生效导致所有合格中标候选人均不符合招标文件要求的，应当重新组织招标</w:t>
      </w:r>
      <w:r>
        <w:rPr>
          <w:rFonts w:hint="eastAsia" w:ascii="宋体" w:hAnsi="宋体"/>
          <w:sz w:val="24"/>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u w:val="single"/>
        </w:rPr>
        <w:t>在定标委员会完成定标工作后，招标人将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组织招标</w:t>
      </w:r>
      <w:r>
        <w:rPr>
          <w:rFonts w:hint="eastAsia" w:ascii="宋体" w:hAnsi="宋体"/>
          <w:sz w:val="24"/>
          <w:highlight w:val="none"/>
        </w:rPr>
        <w:t>。</w:t>
      </w:r>
    </w:p>
    <w:p>
      <w:pPr>
        <w:spacing w:line="360" w:lineRule="auto"/>
        <w:ind w:firstLine="480" w:firstLineChars="200"/>
        <w:rPr>
          <w:rFonts w:ascii="仿宋_GB2312" w:hAnsi="宋体" w:eastAsia="仿宋_GB2312"/>
          <w:sz w:val="24"/>
          <w:highlight w:val="none"/>
        </w:rPr>
      </w:pPr>
      <w:r>
        <w:rPr>
          <w:rFonts w:ascii="宋体" w:hAnsi="宋体"/>
          <w:sz w:val="24"/>
          <w:highlight w:val="none"/>
        </w:rPr>
        <w:t>27.2</w:t>
      </w:r>
      <w:r>
        <w:rPr>
          <w:rFonts w:hint="eastAsia" w:ascii="宋体" w:hAnsi="宋体"/>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sz w:val="24"/>
          <w:highlight w:val="none"/>
        </w:rPr>
      </w:pPr>
      <w:r>
        <w:rPr>
          <w:rFonts w:ascii="宋体" w:hAnsi="宋体"/>
          <w:sz w:val="24"/>
          <w:highlight w:val="none"/>
        </w:rPr>
        <w:t>27.3</w:t>
      </w:r>
      <w:r>
        <w:rPr>
          <w:rFonts w:hint="eastAsia" w:ascii="宋体" w:hAnsi="宋体"/>
          <w:sz w:val="24"/>
          <w:highlight w:val="none"/>
        </w:rPr>
        <w:t>中标人必须在收到中标通知书后</w:t>
      </w:r>
      <w:r>
        <w:rPr>
          <w:rFonts w:ascii="宋体" w:hAnsi="宋体"/>
          <w:sz w:val="24"/>
          <w:highlight w:val="none"/>
        </w:rPr>
        <w:t>24</w:t>
      </w:r>
      <w:r>
        <w:rPr>
          <w:rFonts w:hint="eastAsia" w:ascii="宋体" w:hAnsi="宋体"/>
          <w:sz w:val="24"/>
          <w:highlight w:val="none"/>
        </w:rPr>
        <w:t>小时之内以书面形式回复招标人，确认收到。</w:t>
      </w:r>
    </w:p>
    <w:p>
      <w:pPr>
        <w:spacing w:line="360" w:lineRule="auto"/>
        <w:ind w:firstLine="480" w:firstLineChars="200"/>
        <w:rPr>
          <w:rFonts w:ascii="宋体" w:hAnsi="宋体"/>
          <w:sz w:val="24"/>
          <w:highlight w:val="none"/>
        </w:rPr>
      </w:pPr>
      <w:r>
        <w:rPr>
          <w:rFonts w:hint="eastAsia" w:ascii="宋体" w:hAnsi="宋体"/>
          <w:sz w:val="24"/>
          <w:highlight w:val="none"/>
        </w:rPr>
        <w:t>27.4在产生中标候选人后，招标人将中标候选人的投标文件商务部分文件的所有内容（包括人员、业绩、奖项等资料）在</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hAnsi="宋体"/>
          <w:sz w:val="24"/>
          <w:szCs w:val="24"/>
          <w:highlight w:val="none"/>
        </w:rPr>
        <w:t>交易平台和广东省招标投标监管网</w:t>
      </w:r>
      <w:r>
        <w:rPr>
          <w:rFonts w:hint="eastAsia" w:ascii="宋体" w:hAnsi="宋体"/>
          <w:sz w:val="24"/>
          <w:highlight w:val="none"/>
        </w:rPr>
        <w:t>公开。</w:t>
      </w:r>
    </w:p>
    <w:p>
      <w:pPr>
        <w:spacing w:line="360" w:lineRule="auto"/>
        <w:ind w:firstLine="482" w:firstLineChars="200"/>
        <w:rPr>
          <w:rFonts w:ascii="宋体"/>
          <w:b/>
          <w:bCs/>
          <w:sz w:val="24"/>
          <w:highlight w:val="none"/>
        </w:rPr>
      </w:pPr>
      <w:r>
        <w:rPr>
          <w:rFonts w:ascii="宋体" w:hAnsi="宋体"/>
          <w:b/>
          <w:bCs/>
          <w:sz w:val="24"/>
          <w:highlight w:val="none"/>
        </w:rPr>
        <w:t>28</w:t>
      </w:r>
      <w:r>
        <w:rPr>
          <w:rFonts w:hint="eastAsia" w:ascii="宋体" w:hAnsi="宋体"/>
          <w:b/>
          <w:bCs/>
          <w:sz w:val="24"/>
          <w:highlight w:val="none"/>
        </w:rPr>
        <w:t>．合同协议书的签订</w:t>
      </w:r>
    </w:p>
    <w:p>
      <w:pPr>
        <w:spacing w:line="360" w:lineRule="auto"/>
        <w:ind w:firstLine="480" w:firstLineChars="200"/>
        <w:rPr>
          <w:rFonts w:ascii="宋体"/>
          <w:sz w:val="24"/>
          <w:highlight w:val="none"/>
        </w:rPr>
      </w:pPr>
      <w:r>
        <w:rPr>
          <w:rFonts w:ascii="宋体" w:hAnsi="宋体"/>
          <w:sz w:val="24"/>
          <w:highlight w:val="none"/>
        </w:rPr>
        <w:t xml:space="preserve">28.1 </w:t>
      </w:r>
      <w:r>
        <w:rPr>
          <w:rFonts w:hint="eastAsia" w:ascii="宋体" w:hAnsi="宋体"/>
          <w:sz w:val="24"/>
          <w:highlight w:val="none"/>
        </w:rPr>
        <w:t>招标人与中标人将于中标通知书发出之日起</w:t>
      </w:r>
      <w:r>
        <w:rPr>
          <w:rFonts w:ascii="宋体" w:hAnsi="宋体"/>
          <w:sz w:val="24"/>
          <w:highlight w:val="none"/>
        </w:rPr>
        <w:t>30</w:t>
      </w:r>
      <w:r>
        <w:rPr>
          <w:rFonts w:hint="eastAsia" w:ascii="宋体" w:hAnsi="宋体"/>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sz w:val="24"/>
          <w:highlight w:val="none"/>
        </w:rPr>
      </w:pPr>
      <w:r>
        <w:rPr>
          <w:rFonts w:ascii="宋体" w:hAnsi="宋体"/>
          <w:sz w:val="24"/>
          <w:highlight w:val="none"/>
        </w:rPr>
        <w:t>28.2</w:t>
      </w:r>
      <w:r>
        <w:rPr>
          <w:rFonts w:hint="eastAsia" w:ascii="宋体" w:hAnsi="宋体"/>
          <w:sz w:val="24"/>
          <w:highlight w:val="none"/>
        </w:rPr>
        <w:t>中标通知书发出之日起</w:t>
      </w:r>
      <w:r>
        <w:rPr>
          <w:rFonts w:ascii="宋体" w:hAnsi="宋体"/>
          <w:sz w:val="24"/>
          <w:highlight w:val="none"/>
        </w:rPr>
        <w:t>30</w:t>
      </w:r>
      <w:r>
        <w:rPr>
          <w:rFonts w:hint="eastAsia" w:ascii="宋体" w:hAnsi="宋体"/>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sz w:val="24"/>
          <w:highlight w:val="none"/>
        </w:rPr>
      </w:pPr>
      <w:r>
        <w:rPr>
          <w:rFonts w:ascii="宋体" w:hAnsi="宋体"/>
          <w:sz w:val="24"/>
          <w:highlight w:val="none"/>
        </w:rPr>
        <w:t>28.3</w:t>
      </w:r>
      <w:r>
        <w:rPr>
          <w:rFonts w:hint="eastAsia" w:ascii="宋体" w:hAnsi="宋体"/>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sz w:val="24"/>
          <w:highlight w:val="none"/>
        </w:rPr>
      </w:pPr>
      <w:r>
        <w:rPr>
          <w:rFonts w:ascii="宋体" w:hAnsi="宋体"/>
          <w:sz w:val="24"/>
          <w:highlight w:val="none"/>
        </w:rPr>
        <w:t>28.4</w:t>
      </w:r>
      <w:r>
        <w:rPr>
          <w:rFonts w:hint="eastAsia" w:ascii="宋体" w:hAnsi="宋体"/>
          <w:sz w:val="24"/>
          <w:highlight w:val="none"/>
        </w:rPr>
        <w:t>招标人支付工程款时，中标人应提供工程所在地发票。</w:t>
      </w:r>
    </w:p>
    <w:p>
      <w:pPr>
        <w:spacing w:line="360" w:lineRule="auto"/>
        <w:ind w:firstLine="482" w:firstLineChars="200"/>
        <w:rPr>
          <w:rFonts w:ascii="宋体"/>
          <w:b/>
          <w:bCs/>
          <w:sz w:val="24"/>
          <w:highlight w:val="none"/>
        </w:rPr>
      </w:pPr>
      <w:r>
        <w:rPr>
          <w:rFonts w:ascii="宋体" w:hAnsi="宋体"/>
          <w:b/>
          <w:bCs/>
          <w:sz w:val="24"/>
          <w:highlight w:val="none"/>
        </w:rPr>
        <w:t>29</w:t>
      </w:r>
      <w:r>
        <w:rPr>
          <w:rFonts w:hint="eastAsia" w:ascii="宋体" w:hAnsi="宋体"/>
          <w:b/>
          <w:bCs/>
          <w:sz w:val="24"/>
          <w:highlight w:val="none"/>
        </w:rPr>
        <w:t>．履约担保</w:t>
      </w:r>
    </w:p>
    <w:p>
      <w:pPr>
        <w:snapToGrid w:val="0"/>
        <w:spacing w:line="360" w:lineRule="auto"/>
        <w:ind w:firstLine="480" w:firstLineChars="200"/>
        <w:rPr>
          <w:rFonts w:ascii="宋体"/>
          <w:sz w:val="24"/>
          <w:highlight w:val="none"/>
        </w:rPr>
      </w:pPr>
      <w:r>
        <w:rPr>
          <w:rFonts w:ascii="宋体" w:hAnsi="宋体"/>
          <w:sz w:val="24"/>
          <w:highlight w:val="none"/>
        </w:rPr>
        <w:t xml:space="preserve">29.1 </w:t>
      </w:r>
      <w:r>
        <w:rPr>
          <w:rFonts w:hint="eastAsia" w:ascii="宋体" w:hAnsi="宋体"/>
          <w:sz w:val="24"/>
          <w:highlight w:val="none"/>
        </w:rPr>
        <w:t>在收到中标通知书后的</w:t>
      </w:r>
      <w:r>
        <w:rPr>
          <w:rFonts w:ascii="宋体" w:hAnsi="宋体"/>
          <w:b/>
          <w:sz w:val="24"/>
          <w:highlight w:val="none"/>
        </w:rPr>
        <w:t>15</w:t>
      </w:r>
      <w:r>
        <w:rPr>
          <w:rFonts w:hint="eastAsia" w:ascii="宋体" w:hAnsi="宋体"/>
          <w:b/>
          <w:sz w:val="24"/>
          <w:highlight w:val="none"/>
        </w:rPr>
        <w:t>日</w:t>
      </w:r>
      <w:r>
        <w:rPr>
          <w:rFonts w:hint="eastAsia" w:ascii="宋体" w:hAnsi="宋体"/>
          <w:sz w:val="24"/>
          <w:highlight w:val="none"/>
        </w:rPr>
        <w:t>内，中标人应按本须知前附表第</w:t>
      </w:r>
      <w:r>
        <w:rPr>
          <w:rFonts w:ascii="宋体" w:hAnsi="宋体"/>
          <w:sz w:val="24"/>
          <w:highlight w:val="none"/>
        </w:rPr>
        <w:t>2</w:t>
      </w:r>
      <w:r>
        <w:rPr>
          <w:rFonts w:hint="eastAsia" w:ascii="宋体" w:hAnsi="宋体"/>
          <w:sz w:val="24"/>
          <w:highlight w:val="none"/>
        </w:rPr>
        <w:t>0项的规定向招标人提交履约担保；如果中标人的履约担保是以银行保函的形式提供，则该银行保函应由在中国注册且营业地点在广州行政辖区内的银行开具。</w:t>
      </w:r>
    </w:p>
    <w:p>
      <w:pPr>
        <w:snapToGrid w:val="0"/>
        <w:spacing w:line="360" w:lineRule="auto"/>
        <w:ind w:firstLine="480" w:firstLineChars="200"/>
        <w:rPr>
          <w:rFonts w:ascii="宋体"/>
          <w:sz w:val="24"/>
          <w:highlight w:val="none"/>
        </w:rPr>
      </w:pPr>
      <w:r>
        <w:rPr>
          <w:rFonts w:ascii="宋体" w:hAnsi="宋体"/>
          <w:sz w:val="24"/>
          <w:highlight w:val="none"/>
        </w:rPr>
        <w:t>29.2</w:t>
      </w:r>
      <w:r>
        <w:rPr>
          <w:rFonts w:hint="eastAsia" w:ascii="宋体" w:hAnsi="宋体"/>
          <w:sz w:val="24"/>
          <w:highlight w:val="none"/>
        </w:rPr>
        <w:t>中标通知书发出之日起</w:t>
      </w:r>
      <w:r>
        <w:rPr>
          <w:rFonts w:ascii="宋体" w:hAnsi="宋体"/>
          <w:sz w:val="24"/>
          <w:highlight w:val="none"/>
        </w:rPr>
        <w:t>15</w:t>
      </w:r>
      <w:r>
        <w:rPr>
          <w:rFonts w:hint="eastAsia" w:ascii="宋体" w:hAnsi="宋体"/>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sz w:val="24"/>
          <w:highlight w:val="none"/>
        </w:rPr>
      </w:pPr>
      <w:r>
        <w:rPr>
          <w:rFonts w:ascii="宋体" w:hAnsi="宋体"/>
          <w:b/>
          <w:bCs/>
          <w:sz w:val="24"/>
          <w:highlight w:val="none"/>
        </w:rPr>
        <w:t>30</w:t>
      </w:r>
      <w:r>
        <w:rPr>
          <w:rFonts w:hint="eastAsia" w:ascii="宋体" w:hAnsi="宋体"/>
          <w:b/>
          <w:bCs/>
          <w:sz w:val="24"/>
          <w:highlight w:val="none"/>
        </w:rPr>
        <w:t>．合同生效</w:t>
      </w:r>
    </w:p>
    <w:p>
      <w:pPr>
        <w:spacing w:line="360" w:lineRule="auto"/>
        <w:ind w:firstLine="480" w:firstLineChars="200"/>
        <w:rPr>
          <w:rFonts w:ascii="宋体"/>
          <w:sz w:val="24"/>
          <w:highlight w:val="none"/>
        </w:rPr>
      </w:pPr>
      <w:r>
        <w:rPr>
          <w:rFonts w:ascii="宋体" w:hAnsi="宋体"/>
          <w:sz w:val="24"/>
          <w:highlight w:val="none"/>
        </w:rPr>
        <w:t>30.1</w:t>
      </w:r>
      <w:r>
        <w:rPr>
          <w:rFonts w:hint="eastAsia" w:ascii="宋体" w:hAnsi="宋体"/>
          <w:sz w:val="24"/>
          <w:highlight w:val="none"/>
        </w:rPr>
        <w:t>在合同双方全权代表在合同协议书上签字，并分别加盖双方单位的公章后，合同正式生效。</w:t>
      </w:r>
    </w:p>
    <w:p>
      <w:pPr>
        <w:spacing w:line="360" w:lineRule="auto"/>
        <w:ind w:firstLine="482" w:firstLineChars="200"/>
        <w:rPr>
          <w:rFonts w:ascii="宋体"/>
          <w:b/>
          <w:bCs/>
          <w:sz w:val="24"/>
          <w:highlight w:val="none"/>
        </w:rPr>
      </w:pPr>
      <w:r>
        <w:rPr>
          <w:rFonts w:ascii="宋体" w:hAnsi="宋体"/>
          <w:b/>
          <w:bCs/>
          <w:sz w:val="24"/>
          <w:highlight w:val="none"/>
        </w:rPr>
        <w:t>31</w:t>
      </w:r>
      <w:r>
        <w:rPr>
          <w:rFonts w:hint="eastAsia" w:ascii="宋体" w:hAnsi="宋体"/>
          <w:b/>
          <w:bCs/>
          <w:sz w:val="24"/>
          <w:highlight w:val="none"/>
        </w:rPr>
        <w:t>．其它费用</w:t>
      </w:r>
    </w:p>
    <w:p>
      <w:pPr>
        <w:pStyle w:val="5"/>
        <w:spacing w:after="0" w:line="360" w:lineRule="auto"/>
        <w:ind w:firstLine="482" w:firstLineChars="200"/>
        <w:rPr>
          <w:rFonts w:ascii="宋体"/>
          <w:b/>
          <w:bCs/>
          <w:sz w:val="24"/>
          <w:highlight w:val="none"/>
        </w:rPr>
      </w:pPr>
      <w:r>
        <w:rPr>
          <w:rFonts w:ascii="宋体" w:hAnsi="宋体"/>
          <w:b/>
          <w:bCs/>
          <w:sz w:val="24"/>
          <w:highlight w:val="none"/>
        </w:rPr>
        <w:t>32</w:t>
      </w:r>
      <w:r>
        <w:rPr>
          <w:rFonts w:hint="eastAsia" w:ascii="宋体" w:hAnsi="宋体"/>
          <w:b/>
          <w:bCs/>
          <w:sz w:val="24"/>
          <w:highlight w:val="none"/>
        </w:rPr>
        <w:t>．腐败与欺诈行为</w:t>
      </w:r>
    </w:p>
    <w:p>
      <w:pPr>
        <w:pStyle w:val="5"/>
        <w:spacing w:after="0" w:line="360" w:lineRule="auto"/>
        <w:ind w:firstLine="480" w:firstLineChars="200"/>
        <w:rPr>
          <w:rFonts w:ascii="宋体"/>
          <w:sz w:val="24"/>
          <w:highlight w:val="none"/>
        </w:rPr>
      </w:pPr>
      <w:r>
        <w:rPr>
          <w:rFonts w:hint="eastAsia" w:ascii="宋体" w:hAnsi="宋体"/>
          <w:sz w:val="24"/>
          <w:highlight w:val="none"/>
        </w:rPr>
        <w:t>在招标和合同实施期间，招标人要求投标人和承包人遵守最高的道德标准。</w:t>
      </w:r>
    </w:p>
    <w:p>
      <w:pPr>
        <w:pStyle w:val="5"/>
        <w:spacing w:after="0" w:line="360" w:lineRule="auto"/>
        <w:ind w:firstLine="480" w:firstLineChars="200"/>
        <w:rPr>
          <w:rFonts w:ascii="宋体"/>
          <w:sz w:val="24"/>
          <w:highlight w:val="none"/>
        </w:rPr>
      </w:pPr>
      <w:r>
        <w:rPr>
          <w:rFonts w:ascii="宋体" w:hAnsi="宋体"/>
          <w:sz w:val="24"/>
          <w:highlight w:val="none"/>
        </w:rPr>
        <w:t>32</w:t>
      </w: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对本条款的规定，特定义如下词汇：</w:t>
      </w:r>
    </w:p>
    <w:p>
      <w:pPr>
        <w:pStyle w:val="5"/>
        <w:spacing w:after="0" w:line="360" w:lineRule="auto"/>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sz w:val="24"/>
          <w:highlight w:val="none"/>
        </w:rPr>
      </w:pPr>
      <w:r>
        <w:rPr>
          <w:rFonts w:ascii="宋体" w:hAnsi="宋体"/>
          <w:sz w:val="24"/>
          <w:highlight w:val="none"/>
        </w:rPr>
        <w:t>32</w:t>
      </w: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如果投标人被认定在本招标的竞争中有腐败或欺诈行为，则会被取消投标资格。</w:t>
      </w:r>
    </w:p>
    <w:p>
      <w:pPr>
        <w:pStyle w:val="5"/>
        <w:spacing w:after="0" w:line="360" w:lineRule="auto"/>
        <w:ind w:firstLine="480" w:firstLineChars="200"/>
        <w:rPr>
          <w:rFonts w:ascii="宋体"/>
          <w:sz w:val="24"/>
          <w:highlight w:val="none"/>
        </w:rPr>
      </w:pPr>
      <w:r>
        <w:rPr>
          <w:rFonts w:hint="eastAsia" w:ascii="宋体"/>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8"/>
        <w:spacing w:line="360" w:lineRule="auto"/>
        <w:rPr>
          <w:highlight w:val="none"/>
        </w:rPr>
      </w:pPr>
      <w:r>
        <w:rPr>
          <w:highlight w:val="none"/>
        </w:rPr>
        <w:br w:type="page"/>
      </w:r>
    </w:p>
    <w:p>
      <w:pPr>
        <w:pStyle w:val="3"/>
        <w:rPr>
          <w:rFonts w:ascii="宋体" w:hAnsi="宋体"/>
          <w:highlight w:val="none"/>
        </w:rPr>
      </w:pPr>
      <w:bookmarkStart w:id="14" w:name="_Toc80289068"/>
      <w:r>
        <w:rPr>
          <w:rFonts w:hint="eastAsia" w:ascii="宋体" w:hAnsi="宋体"/>
          <w:highlight w:val="none"/>
        </w:rPr>
        <w:t>第二章开标、评标及定标办法</w:t>
      </w:r>
      <w:bookmarkEnd w:id="14"/>
    </w:p>
    <w:p>
      <w:pPr>
        <w:pStyle w:val="7"/>
        <w:rPr>
          <w:color w:val="auto"/>
          <w:highlight w:val="none"/>
        </w:rPr>
      </w:pPr>
      <w:bookmarkStart w:id="15" w:name="_Toc80289069"/>
      <w:r>
        <w:rPr>
          <w:rFonts w:hint="eastAsia"/>
          <w:color w:val="auto"/>
          <w:sz w:val="28"/>
          <w:szCs w:val="28"/>
          <w:highlight w:val="none"/>
        </w:rPr>
        <w:t>一、</w:t>
      </w:r>
      <w:r>
        <w:rPr>
          <w:rFonts w:hint="eastAsia"/>
          <w:color w:val="auto"/>
          <w:highlight w:val="none"/>
        </w:rPr>
        <w:t>开标、评标及定标办法修改表</w:t>
      </w:r>
      <w:bookmarkEnd w:id="15"/>
    </w:p>
    <w:p>
      <w:pPr>
        <w:pStyle w:val="5"/>
        <w:spacing w:after="0" w:line="360" w:lineRule="auto"/>
        <w:rPr>
          <w:rFonts w:ascii="宋体" w:hAnsi="宋体"/>
          <w:b/>
          <w:szCs w:val="21"/>
          <w:highlight w:val="none"/>
        </w:rPr>
      </w:pPr>
      <w:r>
        <w:rPr>
          <w:rFonts w:hint="eastAsia" w:ascii="宋体" w:hAnsi="宋体"/>
          <w:b/>
          <w:szCs w:val="21"/>
          <w:highlight w:val="none"/>
        </w:rPr>
        <w:t>声明：本</w:t>
      </w:r>
      <w:r>
        <w:rPr>
          <w:rFonts w:hint="eastAsia" w:ascii="宋体" w:hAnsi="宋体"/>
          <w:b/>
          <w:highlight w:val="none"/>
        </w:rPr>
        <w:t>开标、评标及定标办法使用GZZB2018-3招标文件范本的开标、评标及定标办法通用条款，与该通用条款不同之处，均在本表中列明，并以现文为准，原</w:t>
      </w:r>
      <w:r>
        <w:rPr>
          <w:rFonts w:hint="eastAsia" w:ascii="宋体" w:hAnsi="宋体"/>
          <w:b/>
          <w:szCs w:val="21"/>
          <w:highlight w:val="none"/>
        </w:rPr>
        <w:t>文不再有效。本招标文件中不再转录</w:t>
      </w:r>
      <w:r>
        <w:rPr>
          <w:rFonts w:hint="eastAsia" w:ascii="宋体" w:hAnsi="宋体"/>
          <w:b/>
          <w:highlight w:val="none"/>
        </w:rPr>
        <w:t>开标、评标及定标办法</w:t>
      </w:r>
      <w:r>
        <w:rPr>
          <w:rFonts w:hint="eastAsia" w:ascii="宋体" w:hAnsi="宋体"/>
          <w:b/>
          <w:szCs w:val="21"/>
          <w:highlight w:val="none"/>
        </w:rPr>
        <w:t>通用条款，请投标人自行到广州市住房和城乡建设局网站（网址：</w:t>
      </w:r>
      <w:r>
        <w:rPr>
          <w:highlight w:val="none"/>
        </w:rPr>
        <w:fldChar w:fldCharType="begin"/>
      </w:r>
      <w:r>
        <w:rPr>
          <w:highlight w:val="none"/>
        </w:rPr>
        <w:instrText xml:space="preserve"> HYPERLINK "http://www.gzcc.gov.cn/）下载GZZB2018-3" </w:instrText>
      </w:r>
      <w:r>
        <w:rPr>
          <w:highlight w:val="none"/>
        </w:rPr>
        <w:fldChar w:fldCharType="separate"/>
      </w:r>
      <w:r>
        <w:rPr>
          <w:rFonts w:ascii="宋体" w:hAnsi="宋体"/>
          <w:b/>
          <w:szCs w:val="21"/>
          <w:highlight w:val="none"/>
        </w:rPr>
        <w:t>http://zfcj.gz.gov.cn/</w:t>
      </w:r>
      <w:r>
        <w:rPr>
          <w:rStyle w:val="46"/>
          <w:rFonts w:hint="eastAsia" w:ascii="宋体" w:hAnsi="宋体"/>
          <w:b/>
          <w:color w:val="auto"/>
          <w:szCs w:val="21"/>
          <w:highlight w:val="none"/>
          <w:u w:val="none"/>
        </w:rPr>
        <w:t>）下载GZZB2018-3</w:t>
      </w:r>
      <w:r>
        <w:rPr>
          <w:rStyle w:val="46"/>
          <w:rFonts w:hint="eastAsia" w:ascii="宋体" w:hAnsi="宋体"/>
          <w:b/>
          <w:color w:val="auto"/>
          <w:szCs w:val="21"/>
          <w:highlight w:val="none"/>
          <w:u w:val="none"/>
        </w:rPr>
        <w:fldChar w:fldCharType="end"/>
      </w:r>
      <w:r>
        <w:rPr>
          <w:rFonts w:hint="eastAsia" w:ascii="宋体" w:hAnsi="宋体"/>
          <w:b/>
          <w:szCs w:val="21"/>
          <w:highlight w:val="none"/>
        </w:rPr>
        <w:t>范本查阅。</w:t>
      </w:r>
    </w:p>
    <w:p>
      <w:pPr>
        <w:pStyle w:val="5"/>
        <w:spacing w:after="0" w:line="360" w:lineRule="auto"/>
        <w:rPr>
          <w:rFonts w:ascii="宋体" w:hAnsi="宋体"/>
          <w:b/>
          <w:szCs w:val="21"/>
          <w:highlight w:val="none"/>
        </w:rPr>
      </w:pP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条款号：35.10     修改类型：增加</w:t>
      </w:r>
    </w:p>
    <w:p>
      <w:pPr>
        <w:spacing w:line="360" w:lineRule="auto"/>
        <w:ind w:firstLine="600" w:firstLineChars="249"/>
        <w:rPr>
          <w:rFonts w:ascii="宋体" w:hAnsi="宋体"/>
          <w:sz w:val="24"/>
          <w:szCs w:val="24"/>
          <w:highlight w:val="none"/>
        </w:rPr>
      </w:pPr>
      <w:r>
        <w:rPr>
          <w:rFonts w:hint="eastAsia" w:ascii="宋体" w:hAnsi="宋体"/>
          <w:b/>
          <w:sz w:val="24"/>
          <w:szCs w:val="24"/>
          <w:highlight w:val="none"/>
        </w:rPr>
        <w:t>现文：</w:t>
      </w:r>
      <w:r>
        <w:rPr>
          <w:rFonts w:hint="eastAsia" w:ascii="宋体" w:hAnsi="宋体"/>
          <w:sz w:val="24"/>
          <w:szCs w:val="24"/>
          <w:highlight w:val="none"/>
          <w:u w:val="single"/>
        </w:rPr>
        <w:t>35.10本项目采用评定分离定标办法，其中：评标采用通过制评标办法，定标采用“记名投票+撰写评语”的方式择优确定中标人。</w:t>
      </w:r>
    </w:p>
    <w:p>
      <w:pPr>
        <w:pBdr>
          <w:bottom w:val="single" w:color="auto" w:sz="6" w:space="1"/>
        </w:pBdr>
        <w:spacing w:line="360" w:lineRule="auto"/>
        <w:rPr>
          <w:rFonts w:ascii="宋体" w:hAnsi="宋体"/>
          <w:b/>
          <w:sz w:val="24"/>
          <w:szCs w:val="24"/>
          <w:highlight w:val="none"/>
        </w:rPr>
      </w:pPr>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条款号：36.1修改类型：修改</w:t>
      </w:r>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原文：</w:t>
      </w:r>
      <w:r>
        <w:rPr>
          <w:rFonts w:ascii="宋体" w:hAnsi="宋体"/>
          <w:sz w:val="24"/>
          <w:szCs w:val="24"/>
          <w:highlight w:val="none"/>
        </w:rPr>
        <w:t xml:space="preserve">36.1 </w:t>
      </w:r>
      <w:r>
        <w:rPr>
          <w:rFonts w:hint="eastAsia" w:ascii="宋体" w:hAnsi="宋体"/>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460" w:lineRule="exact"/>
        <w:ind w:firstLine="482" w:firstLineChars="200"/>
        <w:rPr>
          <w:rFonts w:ascii="宋体" w:hAnsi="宋体"/>
          <w:b/>
          <w:sz w:val="24"/>
          <w:szCs w:val="24"/>
          <w:highlight w:val="none"/>
        </w:rPr>
      </w:pPr>
      <w:r>
        <w:rPr>
          <w:rFonts w:hint="eastAsia" w:ascii="宋体" w:hAnsi="宋体"/>
          <w:b/>
          <w:sz w:val="24"/>
          <w:szCs w:val="24"/>
          <w:highlight w:val="none"/>
        </w:rPr>
        <w:t>现文：</w:t>
      </w:r>
      <w:r>
        <w:rPr>
          <w:rFonts w:ascii="宋体" w:hAnsi="宋体"/>
          <w:sz w:val="24"/>
          <w:szCs w:val="24"/>
          <w:highlight w:val="none"/>
        </w:rPr>
        <w:t xml:space="preserve">36.1 </w:t>
      </w:r>
      <w:r>
        <w:rPr>
          <w:rFonts w:hint="eastAsia" w:ascii="宋体" w:hAnsi="宋体"/>
          <w:sz w:val="24"/>
          <w:szCs w:val="24"/>
          <w:highlight w:val="none"/>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4"/>
          <w:szCs w:val="24"/>
          <w:highlight w:val="none"/>
          <w:u w:val="single"/>
        </w:rPr>
        <w:t>若投标人不参加开标会的，其投标文件在开标现场的其它投标人或招标人代表、招标代理机构代表及交易中心代表见证下公开开启、解密、公布，并视同该投标人认可开标结果。</w:t>
      </w:r>
    </w:p>
    <w:p>
      <w:pPr>
        <w:spacing w:line="360" w:lineRule="auto"/>
        <w:ind w:firstLine="708" w:firstLineChars="294"/>
        <w:rPr>
          <w:rFonts w:ascii="宋体" w:hAnsi="宋体"/>
          <w:b/>
          <w:sz w:val="24"/>
          <w:szCs w:val="24"/>
          <w:highlight w:val="none"/>
        </w:rPr>
      </w:pPr>
      <w:r>
        <w:rPr>
          <w:rFonts w:hint="eastAsia" w:ascii="宋体" w:hAnsi="宋体"/>
          <w:b/>
          <w:sz w:val="24"/>
          <w:szCs w:val="24"/>
          <w:highlight w:val="none"/>
        </w:rPr>
        <w:t>条款号：36.3 修改类型：删除</w:t>
      </w:r>
    </w:p>
    <w:p>
      <w:pPr>
        <w:spacing w:line="360" w:lineRule="auto"/>
        <w:ind w:firstLine="600" w:firstLineChars="249"/>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 xml:space="preserve"> 根据投标须知前附表第19项，如需抽取某一种评标办法供评标时使用的，应在开标前抽取。首先对招标文件中约定的若干种评标方法进行编号，再随机抽取某一编号，该编号所对应的评标办法供评标时使用；</w:t>
      </w:r>
    </w:p>
    <w:p>
      <w:pPr>
        <w:pBdr>
          <w:bottom w:val="single" w:color="auto" w:sz="6" w:space="1"/>
        </w:pBdr>
        <w:spacing w:line="360" w:lineRule="auto"/>
        <w:rPr>
          <w:rFonts w:ascii="宋体" w:hAnsi="宋体"/>
          <w:b/>
          <w:sz w:val="24"/>
          <w:szCs w:val="24"/>
          <w:highlight w:val="none"/>
        </w:rPr>
      </w:pP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w:t>
      </w:r>
      <w:r>
        <w:rPr>
          <w:rFonts w:hint="eastAsia" w:ascii="宋体" w:hAnsi="宋体"/>
          <w:sz w:val="24"/>
          <w:szCs w:val="24"/>
          <w:highlight w:val="none"/>
        </w:rPr>
        <w:t>：</w:t>
      </w:r>
      <w:r>
        <w:rPr>
          <w:rFonts w:hint="eastAsia" w:ascii="宋体" w:hAnsi="宋体"/>
          <w:b/>
          <w:sz w:val="24"/>
          <w:szCs w:val="24"/>
          <w:highlight w:val="none"/>
        </w:rPr>
        <w:t>36.5.1、36.5.2修改类型：修改</w:t>
      </w:r>
    </w:p>
    <w:p>
      <w:pPr>
        <w:spacing w:line="360" w:lineRule="auto"/>
        <w:ind w:firstLine="600" w:firstLineChars="249"/>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597" w:firstLineChars="249"/>
        <w:outlineLvl w:val="2"/>
        <w:rPr>
          <w:rFonts w:ascii="宋体" w:hAnsi="宋体"/>
          <w:sz w:val="24"/>
          <w:szCs w:val="24"/>
          <w:highlight w:val="none"/>
        </w:rPr>
      </w:pPr>
      <w:r>
        <w:rPr>
          <w:rFonts w:hint="eastAsia" w:ascii="宋体" w:hAnsi="宋体"/>
          <w:sz w:val="24"/>
          <w:szCs w:val="24"/>
          <w:highlight w:val="none"/>
        </w:rPr>
        <w:t>36.5.2备用U盘的读取按投标须知前附表第36项的规定执行；</w:t>
      </w:r>
    </w:p>
    <w:p>
      <w:pPr>
        <w:pBdr>
          <w:bottom w:val="single" w:color="auto" w:sz="6" w:space="1"/>
        </w:pBdr>
        <w:spacing w:line="360" w:lineRule="auto"/>
        <w:ind w:firstLine="658" w:firstLineChars="273"/>
        <w:rPr>
          <w:rFonts w:ascii="宋体" w:hAnsi="宋体"/>
          <w:sz w:val="24"/>
          <w:szCs w:val="24"/>
          <w:highlight w:val="none"/>
        </w:rPr>
      </w:pPr>
      <w:r>
        <w:rPr>
          <w:rFonts w:ascii="宋体" w:hAnsi="宋体"/>
          <w:b/>
          <w:sz w:val="24"/>
          <w:szCs w:val="24"/>
          <w:highlight w:val="none"/>
        </w:rPr>
        <w:t>现文</w:t>
      </w:r>
      <w:r>
        <w:rPr>
          <w:rFonts w:hint="eastAsia" w:ascii="宋体" w:hAnsi="宋体"/>
          <w:b/>
          <w:sz w:val="24"/>
          <w:szCs w:val="24"/>
          <w:highlight w:val="none"/>
        </w:rPr>
        <w:t>：</w:t>
      </w:r>
      <w:r>
        <w:rPr>
          <w:rFonts w:hint="eastAsia" w:ascii="宋体" w:hAnsi="宋体"/>
          <w:sz w:val="24"/>
          <w:szCs w:val="24"/>
          <w:highlight w:val="none"/>
        </w:rPr>
        <w:t>36.5.1在投标截止时间后半小时内，投标人通过</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hAnsi="宋体"/>
          <w:sz w:val="24"/>
          <w:szCs w:val="24"/>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655" w:firstLineChars="273"/>
        <w:rPr>
          <w:rFonts w:ascii="宋体" w:hAnsi="宋体"/>
          <w:b/>
          <w:sz w:val="24"/>
          <w:szCs w:val="24"/>
          <w:highlight w:val="none"/>
        </w:rPr>
      </w:pPr>
      <w:r>
        <w:rPr>
          <w:rFonts w:hint="eastAsia" w:ascii="宋体" w:hAnsi="宋体"/>
          <w:sz w:val="24"/>
          <w:szCs w:val="24"/>
          <w:highlight w:val="none"/>
        </w:rPr>
        <w:t>36.5.2备用U盘的读取按投标须知前附表第</w:t>
      </w:r>
      <w:r>
        <w:rPr>
          <w:rFonts w:hint="eastAsia" w:ascii="宋体" w:hAnsi="宋体"/>
          <w:sz w:val="24"/>
          <w:szCs w:val="24"/>
          <w:highlight w:val="none"/>
          <w:u w:val="single"/>
        </w:rPr>
        <w:t>37</w:t>
      </w:r>
      <w:r>
        <w:rPr>
          <w:rFonts w:hint="eastAsia" w:ascii="宋体" w:hAnsi="宋体"/>
          <w:sz w:val="24"/>
          <w:szCs w:val="24"/>
          <w:highlight w:val="none"/>
        </w:rPr>
        <w:t>项的规定执行；</w:t>
      </w: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条款号：37. 修改类型：修改</w:t>
      </w:r>
    </w:p>
    <w:p>
      <w:pPr>
        <w:spacing w:line="360" w:lineRule="auto"/>
        <w:ind w:firstLine="600" w:firstLineChars="249"/>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评标</w:t>
      </w:r>
    </w:p>
    <w:p>
      <w:pPr>
        <w:spacing w:line="360" w:lineRule="auto"/>
        <w:ind w:firstLine="480" w:firstLineChars="200"/>
        <w:rPr>
          <w:rFonts w:ascii="宋体" w:hAnsi="宋体"/>
          <w:sz w:val="24"/>
          <w:szCs w:val="24"/>
          <w:highlight w:val="none"/>
        </w:rPr>
      </w:pPr>
      <w:r>
        <w:rPr>
          <w:rFonts w:ascii="宋体" w:hAnsi="宋体"/>
          <w:sz w:val="24"/>
          <w:szCs w:val="24"/>
          <w:highlight w:val="none"/>
        </w:rPr>
        <w:t>37.1</w:t>
      </w:r>
      <w:r>
        <w:rPr>
          <w:rFonts w:hint="eastAsia" w:ascii="宋体" w:hAnsi="宋体"/>
          <w:sz w:val="24"/>
          <w:szCs w:val="24"/>
          <w:highlight w:val="none"/>
        </w:rPr>
        <w:t>评标委员会由招标人依法组建。</w:t>
      </w:r>
    </w:p>
    <w:p>
      <w:pPr>
        <w:spacing w:line="360" w:lineRule="auto"/>
        <w:ind w:firstLine="480" w:firstLineChars="200"/>
        <w:rPr>
          <w:rFonts w:ascii="宋体" w:hAnsi="宋体"/>
          <w:sz w:val="24"/>
          <w:szCs w:val="24"/>
          <w:highlight w:val="none"/>
        </w:rPr>
      </w:pPr>
      <w:r>
        <w:rPr>
          <w:rFonts w:ascii="宋体" w:hAnsi="宋体"/>
          <w:sz w:val="24"/>
          <w:szCs w:val="24"/>
          <w:highlight w:val="none"/>
        </w:rPr>
        <w:t>37.2</w:t>
      </w:r>
      <w:r>
        <w:rPr>
          <w:rFonts w:hint="eastAsia" w:ascii="宋体" w:hAnsi="宋体"/>
          <w:sz w:val="24"/>
          <w:szCs w:val="24"/>
          <w:highlight w:val="none"/>
        </w:rPr>
        <w:t>评标委员会的职责及守则：</w:t>
      </w:r>
    </w:p>
    <w:p>
      <w:pPr>
        <w:spacing w:line="360" w:lineRule="auto"/>
        <w:ind w:firstLine="480" w:firstLineChars="200"/>
        <w:rPr>
          <w:rFonts w:ascii="宋体" w:hAnsi="宋体"/>
          <w:sz w:val="24"/>
          <w:szCs w:val="24"/>
          <w:highlight w:val="none"/>
        </w:rPr>
      </w:pPr>
      <w:r>
        <w:rPr>
          <w:rFonts w:ascii="宋体" w:hAnsi="宋体"/>
          <w:sz w:val="24"/>
          <w:szCs w:val="24"/>
          <w:highlight w:val="none"/>
        </w:rPr>
        <w:t>37.2.1</w:t>
      </w:r>
      <w:r>
        <w:rPr>
          <w:rFonts w:hint="eastAsia" w:ascii="宋体" w:hAnsi="宋体"/>
          <w:sz w:val="24"/>
          <w:szCs w:val="24"/>
          <w:highlight w:val="none"/>
        </w:rPr>
        <w:t>根据评标细则，对</w:t>
      </w:r>
      <w:r>
        <w:rPr>
          <w:rFonts w:hint="eastAsia" w:ascii="宋体" w:hAnsi="宋体"/>
          <w:sz w:val="24"/>
          <w:highlight w:val="none"/>
        </w:rPr>
        <w:t>投标文件</w:t>
      </w:r>
      <w:r>
        <w:rPr>
          <w:rFonts w:hint="eastAsia" w:ascii="宋体" w:hAnsi="宋体"/>
          <w:sz w:val="24"/>
          <w:szCs w:val="24"/>
          <w:highlight w:val="none"/>
        </w:rPr>
        <w:t>进行认真评审，完成评审报告；</w:t>
      </w:r>
    </w:p>
    <w:p>
      <w:pPr>
        <w:spacing w:line="360" w:lineRule="auto"/>
        <w:ind w:firstLine="480" w:firstLineChars="200"/>
        <w:rPr>
          <w:rFonts w:ascii="宋体" w:hAnsi="宋体"/>
          <w:sz w:val="24"/>
          <w:szCs w:val="24"/>
          <w:highlight w:val="none"/>
        </w:rPr>
      </w:pPr>
      <w:r>
        <w:rPr>
          <w:rFonts w:ascii="宋体" w:hAnsi="宋体"/>
          <w:sz w:val="24"/>
          <w:szCs w:val="24"/>
          <w:highlight w:val="none"/>
        </w:rPr>
        <w:t>37.2.2</w:t>
      </w:r>
      <w:r>
        <w:rPr>
          <w:rFonts w:hint="eastAsia" w:ascii="宋体" w:hAnsi="宋体"/>
          <w:sz w:val="24"/>
          <w:szCs w:val="24"/>
          <w:highlight w:val="none"/>
        </w:rPr>
        <w:t>向招标人报告评审意见，推荐合格的中标候选人。</w:t>
      </w:r>
    </w:p>
    <w:p>
      <w:pPr>
        <w:spacing w:line="360" w:lineRule="auto"/>
        <w:ind w:firstLine="480" w:firstLineChars="200"/>
        <w:rPr>
          <w:rFonts w:ascii="宋体" w:hAnsi="宋体"/>
          <w:sz w:val="24"/>
          <w:szCs w:val="24"/>
          <w:highlight w:val="none"/>
        </w:rPr>
      </w:pPr>
      <w:r>
        <w:rPr>
          <w:rFonts w:ascii="宋体" w:hAnsi="宋体"/>
          <w:bCs/>
          <w:sz w:val="24"/>
          <w:szCs w:val="24"/>
          <w:highlight w:val="none"/>
        </w:rPr>
        <w:t>37.2.3</w:t>
      </w:r>
      <w:r>
        <w:rPr>
          <w:rFonts w:hint="eastAsia" w:ascii="宋体" w:hAnsi="宋体"/>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sz w:val="24"/>
          <w:szCs w:val="24"/>
          <w:highlight w:val="none"/>
        </w:rPr>
      </w:pPr>
      <w:r>
        <w:rPr>
          <w:rFonts w:ascii="宋体" w:hAnsi="宋体"/>
          <w:sz w:val="24"/>
          <w:szCs w:val="24"/>
          <w:highlight w:val="none"/>
        </w:rPr>
        <w:t>37.2.4</w:t>
      </w:r>
      <w:r>
        <w:rPr>
          <w:rFonts w:hint="eastAsia" w:ascii="宋体" w:hAnsi="宋体"/>
          <w:sz w:val="24"/>
          <w:szCs w:val="24"/>
          <w:highlight w:val="none"/>
        </w:rPr>
        <w:t>全体参与评标人员：</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37.2.4.1 </w:t>
      </w:r>
      <w:r>
        <w:rPr>
          <w:rFonts w:hint="eastAsia" w:ascii="宋体" w:hAnsi="宋体"/>
          <w:sz w:val="24"/>
          <w:szCs w:val="24"/>
          <w:highlight w:val="none"/>
        </w:rPr>
        <w:t>必须遵守评标纪律、不得泄密；</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37.2.4.2 </w:t>
      </w:r>
      <w:r>
        <w:rPr>
          <w:rFonts w:hint="eastAsia" w:ascii="宋体" w:hAnsi="宋体"/>
          <w:sz w:val="24"/>
          <w:szCs w:val="24"/>
          <w:highlight w:val="none"/>
        </w:rPr>
        <w:t>必须公正、不得循私；</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37.2.4.3 </w:t>
      </w:r>
      <w:r>
        <w:rPr>
          <w:rFonts w:hint="eastAsia" w:ascii="宋体" w:hAnsi="宋体"/>
          <w:sz w:val="24"/>
          <w:szCs w:val="24"/>
          <w:highlight w:val="none"/>
        </w:rPr>
        <w:t>必须科学、不得草率；</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37.2.4.4 </w:t>
      </w:r>
      <w:r>
        <w:rPr>
          <w:rFonts w:hint="eastAsia" w:ascii="宋体" w:hAnsi="宋体"/>
          <w:sz w:val="24"/>
          <w:szCs w:val="24"/>
          <w:highlight w:val="none"/>
        </w:rPr>
        <w:t>必须客观、不得带有成见；</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37.2.4.5 </w:t>
      </w:r>
      <w:r>
        <w:rPr>
          <w:rFonts w:hint="eastAsia" w:ascii="宋体" w:hAnsi="宋体"/>
          <w:sz w:val="24"/>
          <w:szCs w:val="24"/>
          <w:highlight w:val="none"/>
        </w:rPr>
        <w:t>必须平等、不得强加于人；</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37.2.4.6 </w:t>
      </w:r>
      <w:r>
        <w:rPr>
          <w:rFonts w:hint="eastAsia" w:ascii="宋体" w:hAnsi="宋体"/>
          <w:sz w:val="24"/>
          <w:szCs w:val="24"/>
          <w:highlight w:val="none"/>
        </w:rPr>
        <w:t>必须严谨、不得随意马虎。</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37.3 </w:t>
      </w:r>
      <w:r>
        <w:rPr>
          <w:rFonts w:hint="eastAsia" w:ascii="宋体" w:hAnsi="宋体"/>
          <w:sz w:val="24"/>
          <w:szCs w:val="24"/>
          <w:highlight w:val="none"/>
        </w:rPr>
        <w:t>评标结束后，评标委员会递交评标报告并依法推荐中标候选人。</w:t>
      </w:r>
    </w:p>
    <w:p>
      <w:pPr>
        <w:spacing w:line="360" w:lineRule="auto"/>
        <w:ind w:firstLine="482" w:firstLineChars="200"/>
        <w:rPr>
          <w:rFonts w:ascii="宋体"/>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评标</w:t>
      </w:r>
    </w:p>
    <w:p>
      <w:pPr>
        <w:spacing w:line="360" w:lineRule="auto"/>
        <w:ind w:firstLine="480" w:firstLineChars="200"/>
        <w:rPr>
          <w:rFonts w:ascii="宋体"/>
          <w:sz w:val="24"/>
          <w:szCs w:val="24"/>
          <w:highlight w:val="none"/>
        </w:rPr>
      </w:pPr>
      <w:r>
        <w:rPr>
          <w:rFonts w:hint="eastAsia" w:ascii="宋体" w:hAnsi="宋体"/>
          <w:sz w:val="24"/>
          <w:szCs w:val="24"/>
          <w:highlight w:val="none"/>
        </w:rPr>
        <w:t>37.1评标委员会由招标人依法组建。</w:t>
      </w:r>
    </w:p>
    <w:p>
      <w:pPr>
        <w:spacing w:line="360" w:lineRule="auto"/>
        <w:ind w:firstLine="480" w:firstLineChars="200"/>
        <w:rPr>
          <w:rFonts w:ascii="宋体"/>
          <w:sz w:val="24"/>
          <w:szCs w:val="24"/>
          <w:highlight w:val="none"/>
        </w:rPr>
      </w:pPr>
      <w:r>
        <w:rPr>
          <w:rFonts w:hint="eastAsia" w:ascii="宋体" w:hAnsi="宋体"/>
          <w:sz w:val="24"/>
          <w:szCs w:val="24"/>
          <w:highlight w:val="none"/>
        </w:rPr>
        <w:t>37.2评标委员会的职责及守则：</w:t>
      </w:r>
    </w:p>
    <w:p>
      <w:pPr>
        <w:spacing w:line="360" w:lineRule="auto"/>
        <w:ind w:firstLine="480" w:firstLineChars="200"/>
        <w:rPr>
          <w:rFonts w:ascii="宋体"/>
          <w:sz w:val="24"/>
          <w:szCs w:val="24"/>
          <w:highlight w:val="none"/>
        </w:rPr>
      </w:pPr>
      <w:r>
        <w:rPr>
          <w:rFonts w:hint="eastAsia" w:ascii="宋体" w:hAnsi="宋体"/>
          <w:sz w:val="24"/>
          <w:szCs w:val="24"/>
          <w:highlight w:val="none"/>
        </w:rPr>
        <w:t>37.2.1根据评标细则，对投标文件进行认真评审，完成评标报告；</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37.2.2向招标人推荐</w:t>
      </w:r>
      <w:r>
        <w:rPr>
          <w:rFonts w:hint="eastAsia" w:ascii="宋体" w:hAnsi="宋体"/>
          <w:sz w:val="24"/>
          <w:szCs w:val="24"/>
          <w:highlight w:val="none"/>
          <w:u w:val="single"/>
        </w:rPr>
        <w:t>进入定标阶段的合格中标</w:t>
      </w:r>
      <w:r>
        <w:rPr>
          <w:rFonts w:hint="eastAsia" w:ascii="宋体" w:hAnsi="宋体"/>
          <w:sz w:val="24"/>
          <w:szCs w:val="24"/>
          <w:highlight w:val="none"/>
        </w:rPr>
        <w:t>候选人</w:t>
      </w:r>
      <w:r>
        <w:rPr>
          <w:rFonts w:hint="eastAsia" w:ascii="宋体" w:hAnsi="宋体"/>
          <w:sz w:val="24"/>
          <w:szCs w:val="24"/>
          <w:highlight w:val="none"/>
          <w:u w:val="single"/>
        </w:rPr>
        <w:t>【不排序，按统一社会信用代码后4位（除校验码外）大小排位】</w:t>
      </w:r>
      <w:r>
        <w:rPr>
          <w:rFonts w:hint="eastAsia" w:ascii="宋体" w:hAnsi="宋体"/>
          <w:sz w:val="24"/>
          <w:szCs w:val="24"/>
          <w:highlight w:val="none"/>
        </w:rPr>
        <w:t>，并递交资格审查报告和评标报告。</w:t>
      </w:r>
    </w:p>
    <w:p>
      <w:pPr>
        <w:spacing w:line="360" w:lineRule="auto"/>
        <w:ind w:firstLine="480" w:firstLineChars="200"/>
        <w:rPr>
          <w:rFonts w:ascii="宋体"/>
          <w:sz w:val="24"/>
          <w:szCs w:val="24"/>
          <w:highlight w:val="none"/>
        </w:rPr>
      </w:pPr>
      <w:r>
        <w:rPr>
          <w:rFonts w:hint="eastAsia" w:ascii="宋体" w:hAnsi="宋体"/>
          <w:sz w:val="24"/>
          <w:szCs w:val="24"/>
          <w:highlight w:val="none"/>
        </w:rPr>
        <w:t>37.2.3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sz w:val="24"/>
          <w:szCs w:val="24"/>
          <w:highlight w:val="none"/>
        </w:rPr>
      </w:pPr>
      <w:r>
        <w:rPr>
          <w:rFonts w:hint="eastAsia" w:ascii="宋体" w:hAnsi="宋体"/>
          <w:sz w:val="24"/>
          <w:szCs w:val="24"/>
          <w:highlight w:val="none"/>
        </w:rPr>
        <w:t>37.2.4全体参与评标人员：</w:t>
      </w:r>
    </w:p>
    <w:p>
      <w:pPr>
        <w:spacing w:line="360" w:lineRule="auto"/>
        <w:ind w:firstLine="480" w:firstLineChars="200"/>
        <w:rPr>
          <w:rFonts w:ascii="宋体"/>
          <w:sz w:val="24"/>
          <w:szCs w:val="24"/>
          <w:highlight w:val="none"/>
        </w:rPr>
      </w:pPr>
      <w:r>
        <w:rPr>
          <w:rFonts w:hint="eastAsia" w:ascii="宋体" w:hAnsi="宋体"/>
          <w:sz w:val="24"/>
          <w:szCs w:val="24"/>
          <w:highlight w:val="none"/>
        </w:rPr>
        <w:t>37.2.4.1 必须遵守评标纪律、不得泄密；</w:t>
      </w:r>
    </w:p>
    <w:p>
      <w:pPr>
        <w:spacing w:line="360" w:lineRule="auto"/>
        <w:ind w:firstLine="480" w:firstLineChars="200"/>
        <w:rPr>
          <w:rFonts w:ascii="宋体"/>
          <w:sz w:val="24"/>
          <w:szCs w:val="24"/>
          <w:highlight w:val="none"/>
        </w:rPr>
      </w:pPr>
      <w:r>
        <w:rPr>
          <w:rFonts w:hint="eastAsia" w:ascii="宋体" w:hAnsi="宋体"/>
          <w:sz w:val="24"/>
          <w:szCs w:val="24"/>
          <w:highlight w:val="none"/>
        </w:rPr>
        <w:t>37.2.4.2 必须公正、不得循私；</w:t>
      </w:r>
    </w:p>
    <w:p>
      <w:pPr>
        <w:spacing w:line="360" w:lineRule="auto"/>
        <w:ind w:firstLine="480" w:firstLineChars="200"/>
        <w:rPr>
          <w:rFonts w:ascii="宋体"/>
          <w:sz w:val="24"/>
          <w:szCs w:val="24"/>
          <w:highlight w:val="none"/>
        </w:rPr>
      </w:pPr>
      <w:r>
        <w:rPr>
          <w:rFonts w:hint="eastAsia" w:ascii="宋体" w:hAnsi="宋体"/>
          <w:sz w:val="24"/>
          <w:szCs w:val="24"/>
          <w:highlight w:val="none"/>
        </w:rPr>
        <w:t>37.2.4.3 必须科学、不得草率；</w:t>
      </w:r>
    </w:p>
    <w:p>
      <w:pPr>
        <w:spacing w:line="360" w:lineRule="auto"/>
        <w:ind w:firstLine="480" w:firstLineChars="200"/>
        <w:rPr>
          <w:rFonts w:ascii="宋体"/>
          <w:sz w:val="24"/>
          <w:szCs w:val="24"/>
          <w:highlight w:val="none"/>
        </w:rPr>
      </w:pPr>
      <w:r>
        <w:rPr>
          <w:rFonts w:hint="eastAsia" w:ascii="宋体" w:hAnsi="宋体"/>
          <w:sz w:val="24"/>
          <w:szCs w:val="24"/>
          <w:highlight w:val="none"/>
        </w:rPr>
        <w:t>37.2.4.4 必须客观、不得带有成见；</w:t>
      </w:r>
    </w:p>
    <w:p>
      <w:pPr>
        <w:spacing w:line="360" w:lineRule="auto"/>
        <w:ind w:firstLine="480" w:firstLineChars="200"/>
        <w:rPr>
          <w:rFonts w:ascii="宋体"/>
          <w:sz w:val="24"/>
          <w:szCs w:val="24"/>
          <w:highlight w:val="none"/>
        </w:rPr>
      </w:pPr>
      <w:r>
        <w:rPr>
          <w:rFonts w:hint="eastAsia" w:ascii="宋体" w:hAnsi="宋体"/>
          <w:sz w:val="24"/>
          <w:szCs w:val="24"/>
          <w:highlight w:val="none"/>
        </w:rPr>
        <w:t>37.2.4.5 必须平等、不得强加于人；</w:t>
      </w:r>
    </w:p>
    <w:p>
      <w:pPr>
        <w:spacing w:line="360" w:lineRule="auto"/>
        <w:ind w:firstLine="480" w:firstLineChars="200"/>
        <w:rPr>
          <w:rFonts w:ascii="宋体"/>
          <w:sz w:val="24"/>
          <w:szCs w:val="24"/>
          <w:highlight w:val="none"/>
        </w:rPr>
      </w:pPr>
      <w:r>
        <w:rPr>
          <w:rFonts w:hint="eastAsia" w:ascii="宋体" w:hAnsi="宋体"/>
          <w:sz w:val="24"/>
          <w:szCs w:val="24"/>
          <w:highlight w:val="none"/>
        </w:rPr>
        <w:t>37.2.4.6 必须严谨、不得随意马虎。</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37.3 评标结束后，评标委员会递交资格审查报告和评标报告并依法推荐</w:t>
      </w:r>
      <w:r>
        <w:rPr>
          <w:rFonts w:hint="eastAsia" w:ascii="宋体" w:hAnsi="宋体"/>
          <w:sz w:val="24"/>
          <w:szCs w:val="24"/>
          <w:highlight w:val="none"/>
          <w:u w:val="single"/>
        </w:rPr>
        <w:t>进入定标阶段的合格中标</w:t>
      </w:r>
      <w:r>
        <w:rPr>
          <w:rFonts w:hint="eastAsia" w:ascii="宋体" w:hAnsi="宋体"/>
          <w:sz w:val="24"/>
          <w:szCs w:val="24"/>
          <w:highlight w:val="none"/>
        </w:rPr>
        <w:t>候选人</w:t>
      </w:r>
      <w:r>
        <w:rPr>
          <w:rFonts w:hint="eastAsia" w:ascii="宋体" w:hAnsi="宋体"/>
          <w:sz w:val="24"/>
          <w:szCs w:val="24"/>
          <w:highlight w:val="none"/>
          <w:u w:val="single"/>
        </w:rPr>
        <w:t>【不排序，按统一社会信用代码后4位（除校验码外）大小排位】</w:t>
      </w:r>
      <w:r>
        <w:rPr>
          <w:rFonts w:hint="eastAsia" w:ascii="宋体" w:hAnsi="宋体"/>
          <w:sz w:val="24"/>
          <w:szCs w:val="24"/>
          <w:highlight w:val="none"/>
        </w:rPr>
        <w:t>。</w:t>
      </w:r>
    </w:p>
    <w:p>
      <w:pPr>
        <w:pBdr>
          <w:bottom w:val="single" w:color="auto" w:sz="6" w:space="1"/>
        </w:pBdr>
        <w:spacing w:line="360" w:lineRule="auto"/>
        <w:rPr>
          <w:rFonts w:ascii="宋体" w:hAnsi="宋体"/>
          <w:b/>
          <w:sz w:val="24"/>
          <w:szCs w:val="24"/>
          <w:highlight w:val="none"/>
        </w:rPr>
      </w:pPr>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条款号：38.1修改类型：修改</w:t>
      </w:r>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3</w:t>
      </w:r>
      <w:r>
        <w:rPr>
          <w:rFonts w:ascii="宋体" w:hAnsi="宋体"/>
          <w:sz w:val="24"/>
          <w:szCs w:val="24"/>
          <w:highlight w:val="none"/>
        </w:rPr>
        <w:t>8.1</w:t>
      </w:r>
      <w:r>
        <w:rPr>
          <w:rFonts w:hint="eastAsia" w:ascii="宋体" w:hAnsi="宋体"/>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460" w:lineRule="exact"/>
        <w:ind w:firstLine="482" w:firstLineChars="200"/>
        <w:rPr>
          <w:rFonts w:ascii="宋体" w:hAnsi="宋体"/>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3</w:t>
      </w:r>
      <w:r>
        <w:rPr>
          <w:rFonts w:ascii="宋体" w:hAnsi="宋体"/>
          <w:sz w:val="24"/>
          <w:szCs w:val="24"/>
          <w:highlight w:val="none"/>
        </w:rPr>
        <w:t>8.1</w:t>
      </w:r>
      <w:r>
        <w:rPr>
          <w:rFonts w:hint="eastAsia" w:ascii="宋体" w:hAnsi="宋体"/>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sz w:val="24"/>
          <w:szCs w:val="24"/>
          <w:highlight w:val="none"/>
          <w:u w:val="single"/>
        </w:rPr>
        <w:t>、对同类问题表述不一致、有明显文字和计算错误的内容以及细微偏差</w:t>
      </w:r>
      <w:r>
        <w:rPr>
          <w:rFonts w:hint="eastAsia" w:ascii="宋体" w:hAnsi="宋体"/>
          <w:sz w:val="24"/>
          <w:szCs w:val="24"/>
          <w:highlight w:val="none"/>
        </w:rPr>
        <w:t>的内容作出澄清。</w:t>
      </w: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条款号：39.定标修改类型：删除</w:t>
      </w:r>
    </w:p>
    <w:p>
      <w:pPr>
        <w:spacing w:line="360" w:lineRule="auto"/>
        <w:ind w:firstLine="590" w:firstLineChars="245"/>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39.1 招标人根据评标委员会递交的评标报告，最终审定中标人。</w:t>
      </w:r>
    </w:p>
    <w:p>
      <w:pPr>
        <w:spacing w:line="360" w:lineRule="auto"/>
        <w:ind w:firstLine="588" w:firstLineChars="245"/>
        <w:rPr>
          <w:rFonts w:ascii="宋体" w:hAnsi="宋体"/>
          <w:sz w:val="24"/>
          <w:szCs w:val="24"/>
          <w:highlight w:val="none"/>
        </w:rPr>
      </w:pPr>
      <w:r>
        <w:rPr>
          <w:rFonts w:hint="eastAsia" w:ascii="宋体" w:hAnsi="宋体"/>
          <w:sz w:val="24"/>
          <w:szCs w:val="24"/>
          <w:highlight w:val="none"/>
        </w:rPr>
        <w:t>39.2 依法必须进行公开招标的项目，招标人应当确定排名第一的中标候选人为中标人。</w:t>
      </w:r>
    </w:p>
    <w:p>
      <w:pPr>
        <w:spacing w:line="360" w:lineRule="auto"/>
        <w:ind w:firstLine="588" w:firstLineChars="245"/>
        <w:rPr>
          <w:rFonts w:ascii="宋体" w:hAnsi="宋体"/>
          <w:sz w:val="24"/>
          <w:szCs w:val="24"/>
          <w:highlight w:val="none"/>
        </w:rPr>
      </w:pPr>
      <w:r>
        <w:rPr>
          <w:rFonts w:hint="eastAsia" w:ascii="宋体" w:hAnsi="宋体"/>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588" w:firstLineChars="245"/>
        <w:rPr>
          <w:rFonts w:ascii="宋体" w:hAnsi="宋体"/>
          <w:sz w:val="24"/>
          <w:szCs w:val="24"/>
          <w:highlight w:val="none"/>
        </w:rPr>
      </w:pPr>
      <w:r>
        <w:rPr>
          <w:rFonts w:hint="eastAsia" w:ascii="宋体" w:hAnsi="宋体"/>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588" w:firstLineChars="245"/>
        <w:rPr>
          <w:rFonts w:ascii="宋体" w:hAnsi="宋体"/>
          <w:sz w:val="24"/>
          <w:szCs w:val="24"/>
          <w:highlight w:val="none"/>
        </w:rPr>
      </w:pPr>
      <w:r>
        <w:rPr>
          <w:rFonts w:hint="eastAsia" w:ascii="宋体" w:hAnsi="宋体"/>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Bdr>
          <w:bottom w:val="single" w:color="auto" w:sz="6" w:space="1"/>
        </w:pBdr>
        <w:spacing w:line="360" w:lineRule="auto"/>
        <w:rPr>
          <w:rFonts w:ascii="宋体" w:hAnsi="宋体"/>
          <w:b/>
          <w:sz w:val="24"/>
          <w:szCs w:val="24"/>
          <w:highlight w:val="none"/>
        </w:rPr>
      </w:pP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条款号：可选办法、40.修改类型：修改</w:t>
      </w:r>
    </w:p>
    <w:p>
      <w:pPr>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可选办法七（适合综合评分法四，技术标与经济标同时开启）</w:t>
      </w:r>
    </w:p>
    <w:p>
      <w:pPr>
        <w:snapToGrid w:val="0"/>
        <w:spacing w:line="360" w:lineRule="auto"/>
        <w:ind w:firstLine="480" w:firstLineChars="200"/>
        <w:rPr>
          <w:rFonts w:ascii="宋体"/>
          <w:sz w:val="24"/>
          <w:szCs w:val="24"/>
          <w:highlight w:val="none"/>
        </w:rPr>
      </w:pPr>
      <w:r>
        <w:rPr>
          <w:rFonts w:hint="eastAsia" w:ascii="宋体"/>
          <w:sz w:val="24"/>
          <w:szCs w:val="24"/>
          <w:highlight w:val="none"/>
        </w:rPr>
        <w:t>开标和评标程序</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40.1技术标（含资格审查文件）与经济标投标文件同时公开开标；</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40.2由评标委员会对所有已公开开标的投标人进行资格审查；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40.3技术标投标文件有效性审查；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40.4技术标详细审查评分；</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40.5经济标详细审查评分；</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40.6评标委员会按照投标人总得分由高至低排序；</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40.7经济标投标文件有效性审查；</w:t>
      </w:r>
    </w:p>
    <w:p>
      <w:pPr>
        <w:spacing w:line="360" w:lineRule="auto"/>
        <w:ind w:firstLine="480" w:firstLineChars="200"/>
        <w:rPr>
          <w:rFonts w:ascii="宋体"/>
          <w:sz w:val="24"/>
          <w:szCs w:val="24"/>
          <w:highlight w:val="none"/>
        </w:rPr>
      </w:pPr>
      <w:r>
        <w:rPr>
          <w:rFonts w:hint="eastAsia" w:ascii="宋体"/>
          <w:sz w:val="24"/>
          <w:szCs w:val="24"/>
          <w:highlight w:val="none"/>
        </w:rPr>
        <w:t>40.8评标委员会按排序向招标人推荐中标候选人名单，并递交资格审查报告及评标报告。</w:t>
      </w:r>
    </w:p>
    <w:p>
      <w:pPr>
        <w:snapToGrid w:val="0"/>
        <w:spacing w:line="360" w:lineRule="auto"/>
        <w:ind w:firstLine="482" w:firstLineChars="200"/>
        <w:rPr>
          <w:rFonts w:ascii="宋体"/>
          <w:b/>
          <w:sz w:val="24"/>
          <w:szCs w:val="24"/>
          <w:highlight w:val="none"/>
        </w:rPr>
      </w:pPr>
      <w:r>
        <w:rPr>
          <w:rFonts w:hint="eastAsia" w:ascii="宋体"/>
          <w:b/>
          <w:sz w:val="24"/>
          <w:szCs w:val="24"/>
          <w:highlight w:val="none"/>
        </w:rPr>
        <w:t>现文：</w:t>
      </w:r>
      <w:r>
        <w:rPr>
          <w:rFonts w:hint="eastAsia" w:ascii="宋体" w:hAnsi="宋体"/>
          <w:sz w:val="24"/>
          <w:szCs w:val="24"/>
          <w:highlight w:val="none"/>
        </w:rPr>
        <w:t>通过制评审法</w:t>
      </w:r>
    </w:p>
    <w:p>
      <w:pPr>
        <w:snapToGrid w:val="0"/>
        <w:spacing w:line="360" w:lineRule="auto"/>
        <w:ind w:firstLine="480" w:firstLineChars="200"/>
        <w:rPr>
          <w:rFonts w:ascii="宋体"/>
          <w:sz w:val="24"/>
          <w:szCs w:val="24"/>
          <w:highlight w:val="none"/>
        </w:rPr>
      </w:pPr>
      <w:r>
        <w:rPr>
          <w:rFonts w:hint="eastAsia" w:ascii="宋体" w:hAnsi="宋体"/>
          <w:sz w:val="24"/>
          <w:szCs w:val="24"/>
          <w:highlight w:val="none"/>
          <w:u w:val="single"/>
        </w:rPr>
        <w:t>开标、评标及定标程序</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40.1</w:t>
      </w:r>
      <w:r>
        <w:rPr>
          <w:rFonts w:hint="eastAsia" w:ascii="宋体" w:hAnsi="宋体"/>
          <w:sz w:val="24"/>
          <w:szCs w:val="24"/>
          <w:highlight w:val="none"/>
        </w:rPr>
        <w:t>技术标（含资格审查文件）与经济标投标文件同时公开开标；</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40.2</w:t>
      </w:r>
      <w:r>
        <w:rPr>
          <w:rFonts w:hint="eastAsia" w:ascii="宋体" w:hAnsi="宋体"/>
          <w:sz w:val="24"/>
          <w:szCs w:val="24"/>
          <w:highlight w:val="none"/>
        </w:rPr>
        <w:t>由评标委员会对所有已公开开标的投标人进行资格审查；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40.3</w:t>
      </w:r>
      <w:r>
        <w:rPr>
          <w:rFonts w:hint="eastAsia" w:ascii="宋体" w:hAnsi="宋体"/>
          <w:sz w:val="24"/>
          <w:szCs w:val="24"/>
          <w:highlight w:val="none"/>
        </w:rPr>
        <w:t>技术标投标文件有效性审查；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40.4</w:t>
      </w:r>
      <w:r>
        <w:rPr>
          <w:rFonts w:hint="eastAsia" w:ascii="宋体" w:hAnsi="宋体"/>
          <w:sz w:val="24"/>
          <w:szCs w:val="24"/>
          <w:highlight w:val="none"/>
        </w:rPr>
        <w:t>经济标投标文件有效性审查；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40.5</w:t>
      </w:r>
      <w:r>
        <w:rPr>
          <w:rFonts w:hint="eastAsia" w:ascii="宋体" w:hAnsi="宋体"/>
          <w:sz w:val="24"/>
          <w:szCs w:val="24"/>
          <w:highlight w:val="none"/>
          <w:u w:val="single"/>
        </w:rPr>
        <w:t>评标委员会按通过技术标及经济标有效性审查的合格投标人向招标人推荐进入定标阶段合格中标候选人名单【不排序，按统一社会信用代码后4位（除校验码外）大小排位】，并递交资格审查报告及评标报告；</w:t>
      </w:r>
    </w:p>
    <w:p>
      <w:pPr>
        <w:spacing w:line="360" w:lineRule="auto"/>
        <w:ind w:firstLine="480" w:firstLineChars="200"/>
        <w:rPr>
          <w:rFonts w:ascii="宋体" w:hAnsi="宋体"/>
          <w:b/>
          <w:sz w:val="24"/>
          <w:szCs w:val="24"/>
          <w:highlight w:val="none"/>
        </w:rPr>
      </w:pPr>
      <w:r>
        <w:rPr>
          <w:rFonts w:hint="eastAsia" w:ascii="宋体"/>
          <w:sz w:val="24"/>
          <w:szCs w:val="24"/>
          <w:highlight w:val="none"/>
          <w:u w:val="single"/>
        </w:rPr>
        <w:t xml:space="preserve">40.6 </w:t>
      </w:r>
      <w:r>
        <w:rPr>
          <w:rFonts w:hint="eastAsia" w:ascii="宋体" w:hAnsi="宋体"/>
          <w:sz w:val="24"/>
          <w:szCs w:val="24"/>
          <w:highlight w:val="none"/>
          <w:u w:val="single"/>
        </w:rPr>
        <w:t>定标委员会对评标委员会推荐的合格中标候选人进行投票，根据票数情况确定中标人。定标结束后，定标委员会向招标人递交定标报告。</w:t>
      </w:r>
    </w:p>
    <w:p>
      <w:pPr>
        <w:pBdr>
          <w:bottom w:val="single" w:color="auto" w:sz="6" w:space="1"/>
        </w:pBdr>
        <w:spacing w:line="360" w:lineRule="auto"/>
        <w:rPr>
          <w:rFonts w:ascii="宋体" w:hAnsi="宋体"/>
          <w:b/>
          <w:sz w:val="24"/>
          <w:szCs w:val="24"/>
          <w:highlight w:val="none"/>
        </w:rPr>
      </w:pP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条款号：41.1修改类型：修改</w:t>
      </w:r>
    </w:p>
    <w:p>
      <w:pPr>
        <w:snapToGrid w:val="0"/>
        <w:spacing w:line="360" w:lineRule="auto"/>
        <w:ind w:firstLine="590" w:firstLineChars="245"/>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开标由招标人主持；</w:t>
      </w:r>
    </w:p>
    <w:p>
      <w:pPr>
        <w:pBdr>
          <w:bottom w:val="single" w:color="auto" w:sz="6" w:space="1"/>
        </w:pBdr>
        <w:spacing w:line="360" w:lineRule="auto"/>
        <w:ind w:firstLine="590" w:firstLineChars="245"/>
        <w:rPr>
          <w:rFonts w:ascii="宋体" w:hAnsi="宋体"/>
          <w:b/>
          <w:sz w:val="24"/>
          <w:szCs w:val="24"/>
          <w:highlight w:val="none"/>
        </w:rPr>
      </w:pPr>
      <w:r>
        <w:rPr>
          <w:rFonts w:hint="eastAsia" w:ascii="宋体" w:hAnsi="宋体"/>
          <w:b/>
          <w:sz w:val="24"/>
          <w:szCs w:val="24"/>
          <w:highlight w:val="none"/>
        </w:rPr>
        <w:t>现文：</w:t>
      </w:r>
      <w:r>
        <w:rPr>
          <w:rFonts w:hint="eastAsia" w:ascii="宋体" w:hAnsi="宋体"/>
          <w:sz w:val="24"/>
          <w:szCs w:val="24"/>
          <w:highlight w:val="none"/>
          <w:u w:val="single"/>
        </w:rPr>
        <w:t>开标由招标人或招标代理主持；</w:t>
      </w:r>
    </w:p>
    <w:p>
      <w:pPr>
        <w:spacing w:line="360" w:lineRule="auto"/>
        <w:ind w:firstLine="540" w:firstLineChars="224"/>
        <w:rPr>
          <w:rFonts w:ascii="宋体" w:hAnsi="宋体"/>
          <w:b/>
          <w:sz w:val="24"/>
          <w:szCs w:val="24"/>
          <w:highlight w:val="none"/>
        </w:rPr>
      </w:pPr>
      <w:r>
        <w:rPr>
          <w:rFonts w:hint="eastAsia" w:ascii="宋体" w:hAnsi="宋体"/>
          <w:b/>
          <w:sz w:val="24"/>
          <w:szCs w:val="24"/>
          <w:highlight w:val="none"/>
        </w:rPr>
        <w:t>条款号：41.2.1修改类型：修改</w:t>
      </w:r>
    </w:p>
    <w:p>
      <w:pPr>
        <w:pBdr>
          <w:bottom w:val="single" w:color="auto" w:sz="6" w:space="1"/>
        </w:pBdr>
        <w:spacing w:line="360" w:lineRule="auto"/>
        <w:ind w:firstLine="540" w:firstLineChars="224"/>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投标截止期前，各投标人递交投标文件（包括技术标投标文件、经济标投标文件）至交易平台。有关投标文件提交的事项详见第一章投标须知。</w:t>
      </w:r>
    </w:p>
    <w:p>
      <w:pPr>
        <w:pBdr>
          <w:bottom w:val="single" w:color="auto" w:sz="6" w:space="1"/>
        </w:pBdr>
        <w:spacing w:line="360" w:lineRule="auto"/>
        <w:ind w:firstLine="540" w:firstLineChars="224"/>
        <w:rPr>
          <w:rFonts w:ascii="宋体" w:hAnsi="宋体"/>
          <w:b/>
          <w:sz w:val="24"/>
          <w:szCs w:val="24"/>
          <w:highlight w:val="none"/>
        </w:rPr>
      </w:pPr>
      <w:r>
        <w:rPr>
          <w:rFonts w:ascii="宋体" w:hAnsi="宋体"/>
          <w:b/>
          <w:sz w:val="24"/>
          <w:szCs w:val="24"/>
          <w:highlight w:val="none"/>
        </w:rPr>
        <w:t>现文</w:t>
      </w:r>
      <w:r>
        <w:rPr>
          <w:rFonts w:hint="eastAsia" w:ascii="宋体" w:hAnsi="宋体"/>
          <w:b/>
          <w:sz w:val="24"/>
          <w:szCs w:val="24"/>
          <w:highlight w:val="none"/>
        </w:rPr>
        <w:t>：</w:t>
      </w:r>
      <w:r>
        <w:rPr>
          <w:rFonts w:hint="eastAsia" w:ascii="宋体" w:hAnsi="宋体"/>
          <w:sz w:val="24"/>
          <w:szCs w:val="24"/>
          <w:highlight w:val="none"/>
        </w:rPr>
        <w:t>投标截止期前，各投标人递交投标文件（包括技术标投标文件、经济标投标文件）至</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hAnsi="宋体"/>
          <w:sz w:val="24"/>
          <w:szCs w:val="24"/>
          <w:highlight w:val="none"/>
        </w:rPr>
        <w:t>交易平台。有关投标文件提交的事项详见第一章投标须知。</w:t>
      </w:r>
    </w:p>
    <w:p>
      <w:pPr>
        <w:spacing w:line="360" w:lineRule="auto"/>
        <w:ind w:firstLine="540" w:firstLineChars="224"/>
        <w:rPr>
          <w:rFonts w:ascii="宋体" w:hAnsi="宋体"/>
          <w:b/>
          <w:sz w:val="24"/>
          <w:szCs w:val="24"/>
          <w:highlight w:val="none"/>
        </w:rPr>
      </w:pPr>
      <w:r>
        <w:rPr>
          <w:rFonts w:hint="eastAsia" w:ascii="宋体" w:hAnsi="宋体"/>
          <w:b/>
          <w:sz w:val="24"/>
          <w:szCs w:val="24"/>
          <w:highlight w:val="none"/>
        </w:rPr>
        <w:t>条款号：</w:t>
      </w:r>
      <w:r>
        <w:rPr>
          <w:rFonts w:ascii="宋体" w:hAnsi="宋体"/>
          <w:b/>
          <w:sz w:val="24"/>
          <w:szCs w:val="24"/>
          <w:highlight w:val="none"/>
        </w:rPr>
        <w:t>41.2.2修改类型：</w:t>
      </w:r>
      <w:r>
        <w:rPr>
          <w:rFonts w:hint="eastAsia" w:ascii="宋体" w:hAnsi="宋体"/>
          <w:b/>
          <w:sz w:val="24"/>
          <w:szCs w:val="24"/>
          <w:highlight w:val="none"/>
        </w:rPr>
        <w:t>删除</w:t>
      </w:r>
    </w:p>
    <w:p>
      <w:pPr>
        <w:pBdr>
          <w:bottom w:val="single" w:color="auto" w:sz="6" w:space="1"/>
        </w:pBdr>
        <w:spacing w:line="360" w:lineRule="auto"/>
        <w:ind w:firstLine="540" w:firstLineChars="224"/>
        <w:rPr>
          <w:rFonts w:ascii="宋体" w:hAnsi="宋体"/>
          <w:sz w:val="24"/>
          <w:szCs w:val="24"/>
          <w:highlight w:val="none"/>
        </w:rPr>
      </w:pPr>
      <w:r>
        <w:rPr>
          <w:rFonts w:hint="eastAsia" w:ascii="宋体" w:hAnsi="宋体"/>
          <w:b/>
          <w:sz w:val="24"/>
          <w:szCs w:val="24"/>
          <w:highlight w:val="none"/>
        </w:rPr>
        <w:t>原文：</w:t>
      </w:r>
      <w:r>
        <w:rPr>
          <w:rFonts w:ascii="宋体" w:hAnsi="宋体"/>
          <w:sz w:val="24"/>
          <w:szCs w:val="24"/>
          <w:highlight w:val="none"/>
        </w:rPr>
        <w:t>41.2.2开标前，首先由招标人随机抽取确定该工程计算评标参考价的等分点值X。</w:t>
      </w: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条款号：42.2修改类型：修改</w:t>
      </w:r>
    </w:p>
    <w:p>
      <w:pPr>
        <w:spacing w:line="360" w:lineRule="auto"/>
        <w:ind w:firstLine="600" w:firstLineChars="249"/>
        <w:rPr>
          <w:rFonts w:ascii="宋体" w:hAnsi="宋体"/>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评标委员会的组成：方式。</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方式一：评标委员会为综合评标委员会，负责资格审查及评标工作。</w:t>
      </w:r>
    </w:p>
    <w:p>
      <w:pPr>
        <w:spacing w:line="360" w:lineRule="auto"/>
        <w:ind w:firstLine="480" w:firstLineChars="200"/>
        <w:rPr>
          <w:rFonts w:ascii="宋体" w:hAnsi="宋体"/>
          <w:b/>
          <w:sz w:val="24"/>
          <w:szCs w:val="24"/>
          <w:highlight w:val="none"/>
        </w:rPr>
      </w:pPr>
      <w:r>
        <w:rPr>
          <w:rFonts w:hint="eastAsia" w:ascii="宋体" w:hAnsi="宋体"/>
          <w:sz w:val="24"/>
          <w:szCs w:val="24"/>
          <w:highlight w:val="none"/>
        </w:rPr>
        <w:t>方式二：</w:t>
      </w:r>
      <w:r>
        <w:rPr>
          <w:rFonts w:hint="eastAsia" w:ascii="宋体"/>
          <w:sz w:val="24"/>
          <w:szCs w:val="24"/>
          <w:highlight w:val="none"/>
        </w:rPr>
        <w:t>评标委员会由技术评审组和经济评审组组成。其中：资格审查及技术评审由技术评标组负责，经济评审由经济评审组负责</w:t>
      </w:r>
      <w:r>
        <w:rPr>
          <w:rFonts w:hint="eastAsia" w:ascii="宋体" w:hAnsi="宋体"/>
          <w:sz w:val="24"/>
          <w:szCs w:val="24"/>
          <w:highlight w:val="none"/>
        </w:rPr>
        <w:t>。</w:t>
      </w:r>
    </w:p>
    <w:p>
      <w:pPr>
        <w:spacing w:line="360" w:lineRule="auto"/>
        <w:ind w:firstLine="600" w:firstLineChars="249"/>
        <w:rPr>
          <w:rFonts w:ascii="宋体" w:hAnsi="宋体"/>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评标委员会的组成：方式</w:t>
      </w:r>
      <w:r>
        <w:rPr>
          <w:rFonts w:hint="eastAsia" w:ascii="宋体" w:hAnsi="宋体"/>
          <w:sz w:val="24"/>
          <w:szCs w:val="24"/>
          <w:highlight w:val="none"/>
          <w:u w:val="single"/>
        </w:rPr>
        <w:t>一</w:t>
      </w:r>
      <w:r>
        <w:rPr>
          <w:rFonts w:hint="eastAsia" w:ascii="宋体" w:hAnsi="宋体"/>
          <w:sz w:val="24"/>
          <w:szCs w:val="24"/>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方式一：评标委员会为综合评标委员会，负责资格审查及评标工作。</w:t>
      </w:r>
    </w:p>
    <w:p>
      <w:pPr>
        <w:spacing w:line="360" w:lineRule="auto"/>
        <w:ind w:firstLine="480" w:firstLineChars="200"/>
        <w:rPr>
          <w:rFonts w:ascii="宋体" w:hAnsi="宋体"/>
          <w:b/>
          <w:sz w:val="24"/>
          <w:szCs w:val="24"/>
          <w:highlight w:val="none"/>
        </w:rPr>
      </w:pPr>
      <w:r>
        <w:rPr>
          <w:rFonts w:hint="eastAsia" w:ascii="宋体" w:hAnsi="宋体"/>
          <w:sz w:val="24"/>
          <w:szCs w:val="24"/>
          <w:highlight w:val="none"/>
        </w:rPr>
        <w:t>方式二：</w:t>
      </w:r>
      <w:r>
        <w:rPr>
          <w:rFonts w:hint="eastAsia" w:ascii="宋体"/>
          <w:sz w:val="24"/>
          <w:szCs w:val="24"/>
          <w:highlight w:val="none"/>
        </w:rPr>
        <w:t>评标委员会由技术评审组和经济评审组组成。其中：资格审查及技术评审由技术评标组负责，经济评审由经济评审组负责</w:t>
      </w:r>
      <w:r>
        <w:rPr>
          <w:rFonts w:hint="eastAsia" w:ascii="宋体" w:hAnsi="宋体"/>
          <w:sz w:val="24"/>
          <w:szCs w:val="24"/>
          <w:highlight w:val="none"/>
        </w:rPr>
        <w:t>。</w:t>
      </w:r>
    </w:p>
    <w:p>
      <w:pPr>
        <w:pBdr>
          <w:bottom w:val="single" w:color="auto" w:sz="6" w:space="1"/>
        </w:pBdr>
        <w:spacing w:line="360" w:lineRule="auto"/>
        <w:ind w:firstLine="540" w:firstLineChars="224"/>
        <w:rPr>
          <w:rFonts w:ascii="宋体" w:hAnsi="宋体"/>
          <w:b/>
          <w:sz w:val="24"/>
          <w:szCs w:val="24"/>
          <w:highlight w:val="none"/>
        </w:rPr>
      </w:pP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条款号：42.3修改类型：增加</w:t>
      </w:r>
    </w:p>
    <w:p>
      <w:pPr>
        <w:pBdr>
          <w:bottom w:val="single" w:color="auto" w:sz="6" w:space="1"/>
        </w:pBdr>
        <w:spacing w:line="360" w:lineRule="auto"/>
        <w:rPr>
          <w:rFonts w:ascii="宋体" w:hAnsi="宋体"/>
          <w:sz w:val="24"/>
          <w:szCs w:val="24"/>
          <w:highlight w:val="none"/>
        </w:rPr>
      </w:pPr>
      <w:r>
        <w:rPr>
          <w:rFonts w:hint="eastAsia" w:ascii="宋体" w:hAnsi="宋体"/>
          <w:b/>
          <w:sz w:val="24"/>
          <w:szCs w:val="24"/>
          <w:highlight w:val="none"/>
        </w:rPr>
        <w:t>现文：</w:t>
      </w:r>
      <w:r>
        <w:rPr>
          <w:rFonts w:hint="eastAsia" w:ascii="宋体" w:hAnsi="宋体"/>
          <w:sz w:val="24"/>
          <w:szCs w:val="24"/>
          <w:highlight w:val="none"/>
          <w:u w:val="single"/>
        </w:rPr>
        <w:t>定标委员会的组成：由招标人依法组建，负责定标环节。</w:t>
      </w: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条款号：43.3修改类型：修改</w:t>
      </w: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资格审查不合格的投标文件不参加下一阶段的评标，不参与评标参考价的计算。</w:t>
      </w:r>
    </w:p>
    <w:p>
      <w:pPr>
        <w:spacing w:line="360" w:lineRule="auto"/>
        <w:ind w:firstLine="590" w:firstLineChars="245"/>
        <w:rPr>
          <w:rFonts w:ascii="宋体" w:hAnsi="宋体"/>
          <w:sz w:val="24"/>
          <w:szCs w:val="24"/>
          <w:highlight w:val="none"/>
        </w:rPr>
      </w:pPr>
      <w:r>
        <w:rPr>
          <w:rFonts w:hint="eastAsia" w:ascii="宋体" w:hAnsi="宋体"/>
          <w:b/>
          <w:sz w:val="24"/>
          <w:szCs w:val="24"/>
          <w:highlight w:val="none"/>
        </w:rPr>
        <w:t>现文：</w:t>
      </w:r>
      <w:r>
        <w:rPr>
          <w:rFonts w:hint="eastAsia" w:ascii="宋体" w:hAnsi="宋体"/>
          <w:sz w:val="24"/>
          <w:szCs w:val="24"/>
          <w:highlight w:val="none"/>
          <w:u w:val="single"/>
        </w:rPr>
        <w:t>资格审查不合格的投标文件不参与下一阶段的评审。</w:t>
      </w:r>
    </w:p>
    <w:p>
      <w:pPr>
        <w:pBdr>
          <w:bottom w:val="single" w:color="auto" w:sz="6" w:space="1"/>
        </w:pBdr>
        <w:spacing w:line="360" w:lineRule="auto"/>
        <w:rPr>
          <w:rFonts w:ascii="宋体" w:hAnsi="宋体"/>
          <w:sz w:val="24"/>
          <w:szCs w:val="24"/>
          <w:highlight w:val="none"/>
        </w:rPr>
      </w:pP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条款号：44.修改类型：修改</w:t>
      </w: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技术标评审</w:t>
      </w:r>
    </w:p>
    <w:p>
      <w:pPr>
        <w:spacing w:line="360" w:lineRule="auto"/>
        <w:ind w:firstLine="588" w:firstLineChars="245"/>
        <w:rPr>
          <w:rFonts w:ascii="宋体" w:hAnsi="宋体"/>
          <w:sz w:val="24"/>
          <w:szCs w:val="24"/>
          <w:highlight w:val="none"/>
        </w:rPr>
      </w:pPr>
      <w:r>
        <w:rPr>
          <w:rFonts w:hint="eastAsia" w:ascii="宋体" w:hAnsi="宋体"/>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现文：</w:t>
      </w:r>
      <w:r>
        <w:rPr>
          <w:rFonts w:hint="eastAsia" w:ascii="宋体" w:hAnsi="宋体"/>
          <w:sz w:val="24"/>
          <w:szCs w:val="24"/>
          <w:highlight w:val="none"/>
        </w:rPr>
        <w:t>技术标的有效性审查</w:t>
      </w:r>
    </w:p>
    <w:p>
      <w:pPr>
        <w:spacing w:line="360" w:lineRule="auto"/>
        <w:ind w:firstLine="588" w:firstLineChars="245"/>
        <w:rPr>
          <w:rFonts w:ascii="宋体" w:hAnsi="宋体"/>
          <w:sz w:val="24"/>
          <w:szCs w:val="24"/>
          <w:highlight w:val="none"/>
        </w:rPr>
      </w:pPr>
      <w:r>
        <w:rPr>
          <w:rFonts w:hint="eastAsia" w:ascii="宋体" w:hAnsi="宋体"/>
          <w:sz w:val="24"/>
          <w:szCs w:val="24"/>
          <w:highlight w:val="none"/>
          <w:u w:val="single"/>
        </w:rPr>
        <w:t>44.1技术标中有任一种列于本办法附表二《技术标有效性审查表》中情形的，其投标文件将被否决。被否决的投标人不参与下一阶段评审。如评标委员会的评审意见不一致时，以评标委员会过半数成员的意见作为评标委员会对该情形的认定结论。若通过技术标有效性审查的投标人不足3名，则本项目招标失败。</w:t>
      </w:r>
    </w:p>
    <w:p>
      <w:pPr>
        <w:pBdr>
          <w:bottom w:val="single" w:color="auto" w:sz="6" w:space="1"/>
        </w:pBdr>
        <w:spacing w:line="360" w:lineRule="auto"/>
        <w:rPr>
          <w:rFonts w:ascii="宋体" w:hAnsi="宋体"/>
          <w:b/>
          <w:sz w:val="24"/>
          <w:szCs w:val="24"/>
          <w:highlight w:val="none"/>
        </w:rPr>
      </w:pPr>
    </w:p>
    <w:p>
      <w:pPr>
        <w:spacing w:line="360" w:lineRule="auto"/>
        <w:ind w:firstLine="590" w:firstLineChars="245"/>
        <w:rPr>
          <w:rFonts w:ascii="宋体" w:hAnsi="宋体"/>
          <w:sz w:val="24"/>
          <w:szCs w:val="24"/>
          <w:highlight w:val="none"/>
        </w:rPr>
      </w:pPr>
      <w:r>
        <w:rPr>
          <w:rFonts w:hint="eastAsia" w:ascii="宋体" w:hAnsi="宋体"/>
          <w:b/>
          <w:sz w:val="24"/>
          <w:szCs w:val="24"/>
          <w:highlight w:val="none"/>
        </w:rPr>
        <w:t>条款号：44.2              修改类型：删除</w:t>
      </w:r>
    </w:p>
    <w:p>
      <w:pPr>
        <w:pBdr>
          <w:bottom w:val="single" w:color="auto" w:sz="6" w:space="1"/>
        </w:pBdr>
        <w:spacing w:line="360" w:lineRule="auto"/>
        <w:rPr>
          <w:rFonts w:ascii="宋体" w:hAnsi="宋体"/>
          <w:b/>
          <w:sz w:val="24"/>
          <w:szCs w:val="24"/>
          <w:highlight w:val="none"/>
        </w:rPr>
      </w:pPr>
      <w:r>
        <w:rPr>
          <w:rFonts w:hint="eastAsia" w:ascii="宋体" w:hAnsi="宋体"/>
          <w:b/>
          <w:sz w:val="24"/>
          <w:szCs w:val="24"/>
          <w:highlight w:val="none"/>
        </w:rPr>
        <w:t xml:space="preserve">     原文：</w:t>
      </w:r>
      <w:r>
        <w:rPr>
          <w:rFonts w:hint="eastAsia" w:ascii="宋体" w:hAnsi="宋体"/>
          <w:sz w:val="24"/>
          <w:szCs w:val="24"/>
          <w:highlight w:val="none"/>
        </w:rPr>
        <w:t>技术标详细审查评分：评标委员会按照附表四《技术标详细审查评分表》的标准，对通过技术标有效性审查的投标文件技术标进行详细审查，评出技术分，得分四舍五入精确到小数点后两位。</w:t>
      </w:r>
    </w:p>
    <w:p>
      <w:pPr>
        <w:pBdr>
          <w:bottom w:val="single" w:color="auto" w:sz="6" w:space="1"/>
        </w:pBdr>
        <w:spacing w:line="360" w:lineRule="auto"/>
        <w:rPr>
          <w:rFonts w:ascii="宋体" w:hAnsi="宋体" w:cs="仿宋"/>
          <w:sz w:val="24"/>
          <w:szCs w:val="24"/>
          <w:highlight w:val="none"/>
        </w:rPr>
      </w:pP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条款号：45.       修改类型：删除</w:t>
      </w:r>
    </w:p>
    <w:p>
      <w:pPr>
        <w:pStyle w:val="5"/>
        <w:tabs>
          <w:tab w:val="left" w:pos="7380"/>
        </w:tabs>
        <w:snapToGrid w:val="0"/>
        <w:spacing w:after="0" w:line="360" w:lineRule="auto"/>
        <w:ind w:firstLine="600" w:firstLineChars="249"/>
        <w:rPr>
          <w:rFonts w:ascii="宋体" w:hAnsi="宋体" w:cs="仿宋"/>
          <w:b/>
          <w:sz w:val="24"/>
          <w:szCs w:val="24"/>
          <w:highlight w:val="none"/>
        </w:rPr>
      </w:pPr>
      <w:r>
        <w:rPr>
          <w:rFonts w:hint="eastAsia" w:ascii="宋体" w:hAnsi="宋体" w:cs="仿宋"/>
          <w:b/>
          <w:sz w:val="24"/>
          <w:szCs w:val="24"/>
          <w:highlight w:val="none"/>
        </w:rPr>
        <w:t>原文：</w:t>
      </w:r>
      <w:r>
        <w:rPr>
          <w:rFonts w:hint="eastAsia" w:ascii="宋体" w:hAnsi="宋体" w:cs="仿宋"/>
          <w:sz w:val="24"/>
          <w:szCs w:val="24"/>
          <w:highlight w:val="none"/>
        </w:rPr>
        <w:t>45.经济标评审和得分汇总</w:t>
      </w:r>
    </w:p>
    <w:p>
      <w:pPr>
        <w:pStyle w:val="5"/>
        <w:tabs>
          <w:tab w:val="left" w:pos="7380"/>
        </w:tabs>
        <w:snapToGrid w:val="0"/>
        <w:spacing w:after="0" w:line="360" w:lineRule="auto"/>
        <w:ind w:firstLine="600" w:firstLineChars="250"/>
        <w:rPr>
          <w:rFonts w:ascii="宋体" w:hAnsi="宋体"/>
          <w:sz w:val="24"/>
          <w:szCs w:val="24"/>
          <w:highlight w:val="none"/>
        </w:rPr>
      </w:pPr>
      <w:r>
        <w:rPr>
          <w:rFonts w:hint="eastAsia" w:ascii="宋体" w:hAnsi="宋体"/>
          <w:sz w:val="24"/>
          <w:szCs w:val="24"/>
          <w:highlight w:val="none"/>
        </w:rPr>
        <w:t>45.1若通过技术标有效性审查的投标人中所有投标报价均大于等于最高投标限价*D%（D的取值范围为[94,100],由招标人自主确定）的（具体金额为：元），则本项目招标失败，由招标人依法重新招标。</w:t>
      </w:r>
    </w:p>
    <w:p>
      <w:pPr>
        <w:pStyle w:val="5"/>
        <w:tabs>
          <w:tab w:val="left" w:pos="7380"/>
        </w:tabs>
        <w:snapToGrid w:val="0"/>
        <w:spacing w:after="0" w:line="360" w:lineRule="auto"/>
        <w:ind w:firstLine="600" w:firstLineChars="250"/>
        <w:rPr>
          <w:rFonts w:ascii="宋体"/>
          <w:sz w:val="24"/>
          <w:szCs w:val="24"/>
          <w:highlight w:val="none"/>
        </w:rPr>
      </w:pPr>
      <w:r>
        <w:rPr>
          <w:rFonts w:hint="eastAsia" w:ascii="宋体" w:hAnsi="宋体"/>
          <w:sz w:val="24"/>
          <w:szCs w:val="24"/>
          <w:highlight w:val="none"/>
        </w:rPr>
        <w:t>45.2按方法计算评标参考价：</w:t>
      </w:r>
    </w:p>
    <w:p>
      <w:pPr>
        <w:widowControl/>
        <w:spacing w:line="360" w:lineRule="auto"/>
        <w:ind w:firstLine="600" w:firstLineChars="249"/>
        <w:outlineLvl w:val="2"/>
        <w:rPr>
          <w:rFonts w:ascii="宋体" w:hAnsi="宋体"/>
          <w:b/>
          <w:bCs/>
          <w:kern w:val="0"/>
          <w:sz w:val="24"/>
          <w:szCs w:val="24"/>
          <w:highlight w:val="none"/>
        </w:rPr>
      </w:pPr>
      <w:r>
        <w:rPr>
          <w:rFonts w:hint="eastAsia" w:ascii="宋体" w:hAnsi="宋体" w:cs="仿宋"/>
          <w:b/>
          <w:bCs/>
          <w:kern w:val="0"/>
          <w:sz w:val="24"/>
          <w:szCs w:val="24"/>
          <w:highlight w:val="none"/>
        </w:rPr>
        <w:t>方法一：加权平均法</w:t>
      </w:r>
    </w:p>
    <w:p>
      <w:pPr>
        <w:spacing w:line="360" w:lineRule="auto"/>
        <w:ind w:firstLine="600" w:firstLineChars="250"/>
        <w:rPr>
          <w:rFonts w:ascii="宋体" w:hAnsi="宋体" w:cs="仿宋"/>
          <w:sz w:val="24"/>
          <w:szCs w:val="24"/>
          <w:highlight w:val="none"/>
        </w:rPr>
      </w:pPr>
      <w:r>
        <w:rPr>
          <w:rFonts w:hint="eastAsia" w:ascii="宋体" w:hAnsi="宋体" w:cs="仿宋"/>
          <w:sz w:val="24"/>
          <w:szCs w:val="24"/>
          <w:highlight w:val="none"/>
        </w:rPr>
        <w:t>技术标或技术标加诚信得分（具体由招标人自定）前</w:t>
      </w:r>
      <w:r>
        <w:rPr>
          <w:rFonts w:ascii="宋体" w:hAnsi="宋体" w:cs="仿宋"/>
          <w:sz w:val="24"/>
          <w:szCs w:val="24"/>
          <w:highlight w:val="none"/>
        </w:rPr>
        <w:t>N</w:t>
      </w:r>
      <w:r>
        <w:rPr>
          <w:rFonts w:hint="eastAsia" w:ascii="宋体" w:hAnsi="宋体" w:cs="仿宋"/>
          <w:sz w:val="24"/>
          <w:szCs w:val="24"/>
          <w:highlight w:val="none"/>
        </w:rPr>
        <w:t>名（N≥5，具体由招标人自定）的经济报价加权平均，计算评标参考价。公式如下：</w:t>
      </w:r>
    </w:p>
    <w:p>
      <w:pPr>
        <w:spacing w:line="360" w:lineRule="auto"/>
        <w:ind w:firstLine="600" w:firstLineChars="250"/>
        <w:rPr>
          <w:rFonts w:ascii="宋体" w:hAnsi="宋体" w:cs="仿宋"/>
          <w:sz w:val="24"/>
          <w:szCs w:val="24"/>
          <w:highlight w:val="none"/>
        </w:rPr>
      </w:pPr>
      <w:r>
        <w:rPr>
          <w:rFonts w:hint="eastAsia" w:ascii="宋体" w:hAnsi="宋体" w:cs="仿宋"/>
          <w:sz w:val="24"/>
          <w:szCs w:val="24"/>
          <w:highlight w:val="none"/>
        </w:rPr>
        <w:t>评标参考价</w:t>
      </w:r>
      <w:r>
        <w:rPr>
          <w:rFonts w:ascii="宋体" w:hAnsi="宋体" w:cs="仿宋"/>
          <w:sz w:val="24"/>
          <w:szCs w:val="24"/>
          <w:highlight w:val="none"/>
        </w:rPr>
        <w:t>=</w:t>
      </w:r>
      <w:r>
        <w:rPr>
          <w:rFonts w:hint="eastAsia" w:ascii="宋体" w:hAnsi="宋体" w:cs="仿宋"/>
          <w:sz w:val="24"/>
          <w:szCs w:val="24"/>
          <w:highlight w:val="none"/>
        </w:rPr>
        <w:t>Σ（投标人的投标报价</w:t>
      </w:r>
      <w:r>
        <w:rPr>
          <w:rFonts w:ascii="宋体" w:hAnsi="宋体" w:cs="仿宋"/>
          <w:sz w:val="24"/>
          <w:szCs w:val="24"/>
          <w:highlight w:val="none"/>
        </w:rPr>
        <w:t>*</w:t>
      </w:r>
      <w:r>
        <w:rPr>
          <w:rFonts w:hint="eastAsia" w:ascii="宋体" w:hAnsi="宋体" w:cs="仿宋"/>
          <w:sz w:val="24"/>
          <w:szCs w:val="24"/>
          <w:highlight w:val="none"/>
        </w:rPr>
        <w:t>报价权重）。</w:t>
      </w:r>
    </w:p>
    <w:p>
      <w:pPr>
        <w:spacing w:line="360" w:lineRule="auto"/>
        <w:ind w:firstLine="600" w:firstLineChars="250"/>
        <w:rPr>
          <w:rFonts w:ascii="宋体" w:hAnsi="宋体" w:cs="仿宋"/>
          <w:sz w:val="24"/>
          <w:szCs w:val="24"/>
          <w:highlight w:val="none"/>
        </w:rPr>
      </w:pPr>
      <w:r>
        <w:rPr>
          <w:rFonts w:hint="eastAsia" w:ascii="宋体" w:hAnsi="宋体" w:cs="仿宋"/>
          <w:sz w:val="24"/>
          <w:szCs w:val="24"/>
          <w:highlight w:val="none"/>
        </w:rPr>
        <w:t>其中：报价权重的计算方法为：将</w:t>
      </w:r>
      <w:r>
        <w:rPr>
          <w:rFonts w:ascii="宋体" w:hAnsi="宋体" w:cs="仿宋"/>
          <w:sz w:val="24"/>
          <w:szCs w:val="24"/>
          <w:highlight w:val="none"/>
        </w:rPr>
        <w:t>N</w:t>
      </w:r>
      <w:r>
        <w:rPr>
          <w:rFonts w:hint="eastAsia" w:ascii="宋体" w:hAnsi="宋体" w:cs="仿宋"/>
          <w:sz w:val="24"/>
          <w:szCs w:val="24"/>
          <w:highlight w:val="none"/>
        </w:rPr>
        <w:t>名投标人按技术分由高至低进行排序，第一名投标人的权重为（</w:t>
      </w:r>
      <w:r>
        <w:rPr>
          <w:rFonts w:ascii="宋体" w:hAnsi="宋体" w:cs="仿宋"/>
          <w:sz w:val="24"/>
          <w:szCs w:val="24"/>
          <w:highlight w:val="none"/>
        </w:rPr>
        <w:fldChar w:fldCharType="begin"/>
      </w:r>
      <w:r>
        <w:rPr>
          <w:rFonts w:ascii="宋体" w:hAnsi="宋体" w:cs="仿宋"/>
          <w:sz w:val="24"/>
          <w:szCs w:val="24"/>
          <w:highlight w:val="none"/>
        </w:rPr>
        <w:instrText xml:space="preserve"> QUOTE </w:instrText>
      </w:r>
      <w:r>
        <w:rPr>
          <w:rFonts w:ascii="宋体" w:hAnsi="宋体"/>
          <w:sz w:val="24"/>
          <w:highlight w:val="none"/>
        </w:rPr>
        <w:drawing>
          <wp:inline distT="0" distB="0" distL="0" distR="0">
            <wp:extent cx="382905" cy="44640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仿宋"/>
          <w:sz w:val="24"/>
          <w:szCs w:val="24"/>
          <w:highlight w:val="none"/>
        </w:rPr>
        <w:fldChar w:fldCharType="separate"/>
      </w:r>
      <w:r>
        <w:rPr>
          <w:rFonts w:ascii="宋体" w:hAnsi="宋体"/>
          <w:sz w:val="24"/>
          <w:highlight w:val="none"/>
        </w:rPr>
        <w:drawing>
          <wp:inline distT="0" distB="0" distL="0" distR="0">
            <wp:extent cx="382905" cy="446405"/>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仿宋"/>
          <w:sz w:val="24"/>
          <w:szCs w:val="24"/>
          <w:highlight w:val="none"/>
        </w:rPr>
        <w:fldChar w:fldCharType="end"/>
      </w:r>
      <w:r>
        <w:rPr>
          <w:rFonts w:hint="eastAsia" w:ascii="宋体" w:hAnsi="宋体" w:cs="仿宋"/>
          <w:sz w:val="24"/>
          <w:szCs w:val="24"/>
          <w:highlight w:val="none"/>
        </w:rPr>
        <w:t>），第二名投标人的权重为（</w:t>
      </w:r>
      <w:r>
        <w:rPr>
          <w:rFonts w:ascii="宋体" w:hAnsi="宋体" w:cs="仿宋"/>
          <w:sz w:val="24"/>
          <w:szCs w:val="24"/>
          <w:highlight w:val="none"/>
        </w:rPr>
        <w:fldChar w:fldCharType="begin"/>
      </w:r>
      <w:r>
        <w:rPr>
          <w:rFonts w:ascii="宋体" w:hAnsi="宋体" w:cs="仿宋"/>
          <w:sz w:val="24"/>
          <w:szCs w:val="24"/>
          <w:highlight w:val="none"/>
        </w:rPr>
        <w:instrText xml:space="preserve"> QUOTE </w:instrText>
      </w:r>
      <w:r>
        <w:rPr>
          <w:rFonts w:ascii="宋体" w:hAnsi="宋体"/>
          <w:position w:val="-23"/>
          <w:sz w:val="24"/>
          <w:highlight w:val="none"/>
        </w:rPr>
        <w:drawing>
          <wp:inline distT="0" distB="0" distL="0" distR="0">
            <wp:extent cx="318770" cy="403860"/>
            <wp:effectExtent l="0" t="0" r="508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sz w:val="24"/>
          <w:szCs w:val="24"/>
          <w:highlight w:val="none"/>
        </w:rPr>
        <w:fldChar w:fldCharType="separate"/>
      </w:r>
      <w:r>
        <w:rPr>
          <w:rFonts w:ascii="宋体" w:hAnsi="宋体"/>
          <w:position w:val="-23"/>
          <w:sz w:val="24"/>
          <w:highlight w:val="none"/>
        </w:rPr>
        <w:drawing>
          <wp:inline distT="0" distB="0" distL="0" distR="0">
            <wp:extent cx="318770" cy="403860"/>
            <wp:effectExtent l="0" t="0" r="508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sz w:val="24"/>
          <w:szCs w:val="24"/>
          <w:highlight w:val="none"/>
        </w:rPr>
        <w:fldChar w:fldCharType="end"/>
      </w:r>
      <w:r>
        <w:rPr>
          <w:rFonts w:hint="eastAsia" w:ascii="宋体" w:hAnsi="宋体" w:cs="仿宋"/>
          <w:sz w:val="24"/>
          <w:szCs w:val="24"/>
          <w:highlight w:val="none"/>
        </w:rPr>
        <w:t>），以此类推，最后一名投标人的权重为（</w:t>
      </w:r>
      <w:r>
        <w:rPr>
          <w:rFonts w:ascii="宋体" w:hAnsi="宋体" w:cs="仿宋"/>
          <w:sz w:val="24"/>
          <w:szCs w:val="24"/>
          <w:highlight w:val="none"/>
        </w:rPr>
        <w:fldChar w:fldCharType="begin"/>
      </w:r>
      <w:r>
        <w:rPr>
          <w:rFonts w:ascii="宋体" w:hAnsi="宋体" w:cs="仿宋"/>
          <w:sz w:val="24"/>
          <w:szCs w:val="24"/>
          <w:highlight w:val="none"/>
        </w:rPr>
        <w:instrText xml:space="preserve"> QUOTE </w:instrText>
      </w:r>
      <w:r>
        <w:rPr>
          <w:rFonts w:ascii="宋体" w:hAnsi="宋体"/>
          <w:position w:val="-23"/>
          <w:sz w:val="24"/>
          <w:highlight w:val="none"/>
        </w:rPr>
        <w:drawing>
          <wp:inline distT="0" distB="0" distL="0" distR="0">
            <wp:extent cx="318770" cy="403860"/>
            <wp:effectExtent l="0" t="0" r="508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sz w:val="24"/>
          <w:szCs w:val="24"/>
          <w:highlight w:val="none"/>
        </w:rPr>
        <w:fldChar w:fldCharType="separate"/>
      </w:r>
      <w:r>
        <w:rPr>
          <w:rFonts w:ascii="宋体" w:hAnsi="宋体"/>
          <w:position w:val="-23"/>
          <w:sz w:val="24"/>
          <w:highlight w:val="none"/>
        </w:rPr>
        <w:drawing>
          <wp:inline distT="0" distB="0" distL="0" distR="0">
            <wp:extent cx="318770" cy="403860"/>
            <wp:effectExtent l="0" t="0" r="508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sz w:val="24"/>
          <w:szCs w:val="24"/>
          <w:highlight w:val="none"/>
        </w:rPr>
        <w:fldChar w:fldCharType="end"/>
      </w:r>
      <w:r>
        <w:rPr>
          <w:rFonts w:hint="eastAsia" w:ascii="宋体" w:hAnsi="宋体" w:cs="仿宋"/>
          <w:sz w:val="24"/>
          <w:szCs w:val="24"/>
          <w:highlight w:val="none"/>
        </w:rPr>
        <w:t>）。</w:t>
      </w:r>
    </w:p>
    <w:p>
      <w:pPr>
        <w:widowControl/>
        <w:spacing w:line="360" w:lineRule="auto"/>
        <w:ind w:firstLine="600" w:firstLineChars="249"/>
        <w:outlineLvl w:val="2"/>
        <w:rPr>
          <w:rFonts w:ascii="宋体" w:hAnsi="宋体"/>
          <w:b/>
          <w:bCs/>
          <w:kern w:val="0"/>
          <w:sz w:val="24"/>
          <w:szCs w:val="24"/>
          <w:highlight w:val="none"/>
        </w:rPr>
      </w:pPr>
      <w:r>
        <w:rPr>
          <w:rFonts w:hint="eastAsia" w:ascii="宋体" w:hAnsi="宋体" w:cs="仿宋"/>
          <w:b/>
          <w:bCs/>
          <w:kern w:val="0"/>
          <w:sz w:val="24"/>
          <w:szCs w:val="24"/>
          <w:highlight w:val="none"/>
        </w:rPr>
        <w:t>方法二：区间抽取法</w:t>
      </w:r>
    </w:p>
    <w:p>
      <w:pPr>
        <w:widowControl/>
        <w:snapToGrid w:val="0"/>
        <w:spacing w:line="360" w:lineRule="auto"/>
        <w:ind w:firstLine="600" w:firstLineChars="250"/>
        <w:rPr>
          <w:rFonts w:ascii="宋体" w:hAnsi="宋体"/>
          <w:kern w:val="0"/>
          <w:sz w:val="24"/>
          <w:szCs w:val="24"/>
          <w:highlight w:val="none"/>
        </w:rPr>
      </w:pPr>
      <w:r>
        <w:rPr>
          <w:rFonts w:hint="eastAsia" w:ascii="宋体" w:hAnsi="宋体" w:cs="仿宋"/>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600" w:firstLineChars="250"/>
        <w:rPr>
          <w:rFonts w:ascii="宋体" w:hAnsi="宋体"/>
          <w:kern w:val="0"/>
          <w:sz w:val="24"/>
          <w:szCs w:val="24"/>
          <w:highlight w:val="none"/>
          <w:vertAlign w:val="subscript"/>
        </w:rPr>
      </w:pPr>
      <w:r>
        <w:rPr>
          <w:rFonts w:hint="eastAsia" w:ascii="宋体" w:hAnsi="宋体" w:cs="仿宋"/>
          <w:kern w:val="0"/>
          <w:sz w:val="24"/>
          <w:szCs w:val="24"/>
          <w:highlight w:val="none"/>
        </w:rPr>
        <w:t>评标参考价</w:t>
      </w:r>
      <w:r>
        <w:rPr>
          <w:rFonts w:ascii="宋体" w:hAnsi="宋体" w:cs="仿宋"/>
          <w:kern w:val="0"/>
          <w:sz w:val="24"/>
          <w:szCs w:val="24"/>
          <w:highlight w:val="none"/>
        </w:rPr>
        <w:t>=</w:t>
      </w:r>
      <w:r>
        <w:rPr>
          <w:rFonts w:hint="eastAsia" w:ascii="宋体" w:hAnsi="宋体" w:cs="仿宋"/>
          <w:kern w:val="0"/>
          <w:sz w:val="24"/>
          <w:szCs w:val="24"/>
          <w:highlight w:val="none"/>
        </w:rPr>
        <w:t>（</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高</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低</w:t>
      </w:r>
      <w:r>
        <w:rPr>
          <w:rFonts w:hint="eastAsia" w:ascii="宋体" w:hAnsi="宋体" w:cs="仿宋"/>
          <w:kern w:val="0"/>
          <w:sz w:val="24"/>
          <w:szCs w:val="24"/>
          <w:highlight w:val="none"/>
        </w:rPr>
        <w:t>）</w:t>
      </w:r>
      <w:r>
        <w:rPr>
          <w:rFonts w:ascii="宋体" w:hAnsi="宋体" w:cs="仿宋"/>
          <w:kern w:val="0"/>
          <w:sz w:val="24"/>
          <w:szCs w:val="24"/>
          <w:highlight w:val="none"/>
        </w:rPr>
        <w:t>/100*</w:t>
      </w:r>
      <w:r>
        <w:rPr>
          <w:rFonts w:hint="eastAsia" w:ascii="宋体" w:hAnsi="宋体" w:cs="仿宋"/>
          <w:kern w:val="0"/>
          <w:sz w:val="24"/>
          <w:szCs w:val="24"/>
          <w:highlight w:val="none"/>
        </w:rPr>
        <w:t>Ｘ</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低</w:t>
      </w:r>
    </w:p>
    <w:p>
      <w:pPr>
        <w:widowControl/>
        <w:snapToGrid w:val="0"/>
        <w:spacing w:line="360" w:lineRule="auto"/>
        <w:ind w:firstLine="600" w:firstLineChars="250"/>
        <w:rPr>
          <w:rFonts w:ascii="宋体" w:hAnsi="宋体"/>
          <w:sz w:val="24"/>
          <w:szCs w:val="24"/>
          <w:highlight w:val="none"/>
        </w:rPr>
      </w:pPr>
      <w:r>
        <w:rPr>
          <w:rFonts w:ascii="宋体" w:hAnsi="宋体" w:cs="仿宋"/>
          <w:sz w:val="24"/>
          <w:szCs w:val="24"/>
          <w:highlight w:val="none"/>
        </w:rPr>
        <w:t>Q</w:t>
      </w:r>
      <w:r>
        <w:rPr>
          <w:rFonts w:hint="eastAsia" w:ascii="宋体" w:hAnsi="宋体" w:cs="仿宋"/>
          <w:sz w:val="24"/>
          <w:szCs w:val="24"/>
          <w:highlight w:val="none"/>
          <w:vertAlign w:val="subscript"/>
        </w:rPr>
        <w:t>低</w:t>
      </w:r>
      <w:r>
        <w:rPr>
          <w:rFonts w:hint="eastAsia" w:ascii="宋体" w:hAnsi="宋体" w:cs="仿宋"/>
          <w:sz w:val="24"/>
          <w:szCs w:val="24"/>
          <w:highlight w:val="none"/>
        </w:rPr>
        <w:t>：为达到或超过技术标及格分数线的投标人最低报价与工程成本警示价两者中的较高值；</w:t>
      </w:r>
    </w:p>
    <w:p>
      <w:pPr>
        <w:spacing w:line="360" w:lineRule="auto"/>
        <w:ind w:firstLine="600" w:firstLineChars="250"/>
        <w:rPr>
          <w:rFonts w:ascii="宋体" w:hAnsi="宋体" w:cs="仿宋"/>
          <w:sz w:val="24"/>
          <w:szCs w:val="24"/>
          <w:highlight w:val="none"/>
        </w:rPr>
      </w:pPr>
      <w:r>
        <w:rPr>
          <w:rFonts w:ascii="宋体" w:hAnsi="宋体" w:cs="仿宋"/>
          <w:kern w:val="0"/>
          <w:sz w:val="24"/>
          <w:szCs w:val="24"/>
          <w:highlight w:val="none"/>
        </w:rPr>
        <w:t>Q</w:t>
      </w:r>
      <w:r>
        <w:rPr>
          <w:rFonts w:hint="eastAsia" w:ascii="宋体" w:hAnsi="宋体" w:cs="仿宋"/>
          <w:kern w:val="0"/>
          <w:sz w:val="24"/>
          <w:szCs w:val="24"/>
          <w:highlight w:val="none"/>
          <w:vertAlign w:val="subscript"/>
        </w:rPr>
        <w:t>高</w:t>
      </w:r>
      <w:r>
        <w:rPr>
          <w:rFonts w:hint="eastAsia" w:ascii="宋体" w:hAnsi="宋体" w:cs="仿宋"/>
          <w:sz w:val="24"/>
          <w:szCs w:val="24"/>
          <w:highlight w:val="none"/>
        </w:rPr>
        <w:t>：为（最高投标限价</w:t>
      </w:r>
      <w:r>
        <w:rPr>
          <w:rFonts w:ascii="宋体" w:hAnsi="宋体" w:cs="仿宋"/>
          <w:sz w:val="24"/>
          <w:szCs w:val="24"/>
          <w:highlight w:val="none"/>
        </w:rPr>
        <w:t>*D%</w:t>
      </w:r>
      <w:r>
        <w:rPr>
          <w:rFonts w:hint="eastAsia" w:ascii="宋体" w:hAnsi="宋体" w:cs="仿宋"/>
          <w:sz w:val="24"/>
          <w:szCs w:val="24"/>
          <w:highlight w:val="none"/>
        </w:rPr>
        <w:t>）（</w:t>
      </w:r>
      <w:r>
        <w:rPr>
          <w:rFonts w:ascii="宋体" w:hAnsi="宋体" w:cs="仿宋"/>
          <w:sz w:val="24"/>
          <w:szCs w:val="24"/>
          <w:highlight w:val="none"/>
        </w:rPr>
        <w:t>D</w:t>
      </w:r>
      <w:r>
        <w:rPr>
          <w:rFonts w:hint="eastAsia" w:ascii="宋体" w:hAnsi="宋体" w:cs="仿宋"/>
          <w:sz w:val="24"/>
          <w:szCs w:val="24"/>
          <w:highlight w:val="none"/>
        </w:rPr>
        <w:t>的取值范围为</w:t>
      </w:r>
      <w:r>
        <w:rPr>
          <w:rFonts w:ascii="宋体" w:hAnsi="宋体" w:cs="仿宋"/>
          <w:sz w:val="24"/>
          <w:szCs w:val="24"/>
          <w:highlight w:val="none"/>
        </w:rPr>
        <w:t>[94,100],</w:t>
      </w:r>
      <w:r>
        <w:rPr>
          <w:rFonts w:hint="eastAsia" w:ascii="宋体" w:hAnsi="宋体" w:cs="仿宋"/>
          <w:sz w:val="24"/>
          <w:szCs w:val="24"/>
          <w:highlight w:val="none"/>
        </w:rPr>
        <w:t>由招标人自定）</w:t>
      </w:r>
    </w:p>
    <w:p>
      <w:pPr>
        <w:spacing w:line="360" w:lineRule="auto"/>
        <w:ind w:firstLine="600" w:firstLineChars="250"/>
        <w:outlineLvl w:val="2"/>
        <w:rPr>
          <w:rFonts w:ascii="宋体" w:hAnsi="宋体"/>
          <w:sz w:val="24"/>
          <w:szCs w:val="24"/>
          <w:highlight w:val="none"/>
        </w:rPr>
      </w:pPr>
      <w:r>
        <w:rPr>
          <w:rFonts w:ascii="宋体" w:hAnsi="宋体" w:cs="仿宋"/>
          <w:sz w:val="24"/>
          <w:szCs w:val="24"/>
          <w:highlight w:val="none"/>
        </w:rPr>
        <w:t>X:</w:t>
      </w:r>
      <w:r>
        <w:rPr>
          <w:rFonts w:hint="eastAsia" w:ascii="宋体" w:hAnsi="宋体" w:cs="仿宋"/>
          <w:sz w:val="24"/>
          <w:szCs w:val="24"/>
          <w:highlight w:val="none"/>
        </w:rPr>
        <w:t>为等分点值，从</w:t>
      </w:r>
      <w:r>
        <w:rPr>
          <w:rFonts w:ascii="宋体" w:hAnsi="宋体" w:cs="仿宋"/>
          <w:sz w:val="24"/>
          <w:szCs w:val="24"/>
          <w:highlight w:val="none"/>
        </w:rPr>
        <w:t>[0,100]</w:t>
      </w:r>
      <w:r>
        <w:rPr>
          <w:rFonts w:hint="eastAsia" w:ascii="宋体" w:hAnsi="宋体" w:cs="仿宋"/>
          <w:sz w:val="24"/>
          <w:szCs w:val="24"/>
          <w:highlight w:val="none"/>
        </w:rPr>
        <w:t>整数中随机抽取</w:t>
      </w:r>
    </w:p>
    <w:p>
      <w:pPr>
        <w:spacing w:line="360" w:lineRule="auto"/>
        <w:ind w:firstLine="600" w:firstLineChars="250"/>
        <w:rPr>
          <w:rFonts w:ascii="宋体" w:hAnsi="宋体"/>
          <w:sz w:val="24"/>
          <w:szCs w:val="24"/>
          <w:highlight w:val="none"/>
        </w:rPr>
      </w:pPr>
      <w:r>
        <w:rPr>
          <w:rFonts w:hint="eastAsia" w:ascii="宋体" w:hAnsi="宋体" w:cs="宋体"/>
          <w:kern w:val="0"/>
          <w:sz w:val="24"/>
          <w:szCs w:val="24"/>
          <w:highlight w:val="none"/>
        </w:rPr>
        <w:t>45.3</w:t>
      </w:r>
      <w:r>
        <w:rPr>
          <w:rFonts w:hint="eastAsia" w:ascii="宋体" w:hAnsi="宋体"/>
          <w:sz w:val="24"/>
          <w:szCs w:val="24"/>
          <w:highlight w:val="none"/>
        </w:rPr>
        <w:t>当标价等于评标参考价时得</w:t>
      </w:r>
      <w:r>
        <w:rPr>
          <w:rFonts w:ascii="宋体" w:hAnsi="宋体"/>
          <w:sz w:val="24"/>
          <w:szCs w:val="24"/>
          <w:highlight w:val="none"/>
        </w:rPr>
        <w:t>100</w:t>
      </w:r>
      <w:r>
        <w:rPr>
          <w:rFonts w:hint="eastAsia" w:ascii="宋体" w:hAnsi="宋体"/>
          <w:sz w:val="24"/>
          <w:szCs w:val="24"/>
          <w:highlight w:val="none"/>
        </w:rPr>
        <w:t>分，标价每高于评标参考价</w:t>
      </w:r>
      <w:r>
        <w:rPr>
          <w:rFonts w:ascii="宋体" w:hAnsi="宋体"/>
          <w:sz w:val="24"/>
          <w:szCs w:val="24"/>
          <w:highlight w:val="none"/>
        </w:rPr>
        <w:t>1%</w:t>
      </w:r>
      <w:r>
        <w:rPr>
          <w:rFonts w:hint="eastAsia" w:ascii="宋体" w:hAnsi="宋体"/>
          <w:sz w:val="24"/>
          <w:szCs w:val="24"/>
          <w:highlight w:val="none"/>
        </w:rPr>
        <w:t>，扣</w:t>
      </w:r>
      <w:r>
        <w:rPr>
          <w:rFonts w:ascii="宋体" w:hAnsi="宋体"/>
          <w:sz w:val="24"/>
          <w:szCs w:val="24"/>
          <w:highlight w:val="none"/>
        </w:rPr>
        <w:t>1.5</w:t>
      </w:r>
      <w:r>
        <w:rPr>
          <w:rFonts w:hint="eastAsia" w:ascii="宋体" w:hAnsi="宋体"/>
          <w:sz w:val="24"/>
          <w:szCs w:val="24"/>
          <w:highlight w:val="none"/>
        </w:rPr>
        <w:t>分，每低于评标参考价</w:t>
      </w:r>
      <w:r>
        <w:rPr>
          <w:rFonts w:ascii="宋体" w:hAnsi="宋体"/>
          <w:sz w:val="24"/>
          <w:szCs w:val="24"/>
          <w:highlight w:val="none"/>
        </w:rPr>
        <w:t>1%</w:t>
      </w:r>
      <w:r>
        <w:rPr>
          <w:rFonts w:hint="eastAsia" w:ascii="宋体" w:hAnsi="宋体"/>
          <w:sz w:val="24"/>
          <w:szCs w:val="24"/>
          <w:highlight w:val="none"/>
        </w:rPr>
        <w:t>，扣</w:t>
      </w:r>
      <w:r>
        <w:rPr>
          <w:rFonts w:ascii="宋体" w:hAnsi="宋体"/>
          <w:sz w:val="24"/>
          <w:szCs w:val="24"/>
          <w:highlight w:val="none"/>
        </w:rPr>
        <w:t>1</w:t>
      </w:r>
      <w:r>
        <w:rPr>
          <w:rFonts w:hint="eastAsia" w:ascii="宋体" w:hAnsi="宋体"/>
          <w:sz w:val="24"/>
          <w:szCs w:val="24"/>
          <w:highlight w:val="none"/>
        </w:rPr>
        <w:t>分，扣至</w:t>
      </w:r>
      <w:r>
        <w:rPr>
          <w:rFonts w:ascii="宋体" w:hAnsi="宋体"/>
          <w:sz w:val="24"/>
          <w:szCs w:val="24"/>
          <w:highlight w:val="none"/>
        </w:rPr>
        <w:t>0</w:t>
      </w:r>
      <w:r>
        <w:rPr>
          <w:rFonts w:hint="eastAsia" w:ascii="宋体" w:hAnsi="宋体"/>
          <w:sz w:val="24"/>
          <w:szCs w:val="24"/>
          <w:highlight w:val="none"/>
        </w:rPr>
        <w:t>分为止，得出经济分，精确到小数点后两位。</w:t>
      </w:r>
    </w:p>
    <w:p>
      <w:pPr>
        <w:spacing w:line="360" w:lineRule="auto"/>
        <w:ind w:firstLine="600" w:firstLineChars="250"/>
        <w:rPr>
          <w:rFonts w:ascii="宋体" w:hAnsi="宋体"/>
          <w:sz w:val="24"/>
          <w:szCs w:val="24"/>
          <w:highlight w:val="none"/>
        </w:rPr>
      </w:pPr>
      <w:r>
        <w:rPr>
          <w:rFonts w:hint="eastAsia" w:ascii="宋体" w:hAnsi="宋体"/>
          <w:sz w:val="24"/>
          <w:szCs w:val="24"/>
          <w:highlight w:val="none"/>
        </w:rPr>
        <w:t>45.4</w:t>
      </w:r>
      <w:r>
        <w:rPr>
          <w:rFonts w:hint="eastAsia" w:ascii="宋体"/>
          <w:sz w:val="24"/>
          <w:szCs w:val="24"/>
          <w:highlight w:val="none"/>
        </w:rPr>
        <w:t>计算通过技术标有效性审查的投标人总得分。投标人总得分=（技术得分×技术得分权重</w:t>
      </w:r>
      <w:r>
        <w:rPr>
          <w:rFonts w:hint="eastAsia" w:ascii="宋体" w:cs="宋体"/>
          <w:sz w:val="24"/>
          <w:szCs w:val="24"/>
          <w:highlight w:val="none"/>
        </w:rPr>
        <w:t>＋</w:t>
      </w:r>
      <w:r>
        <w:rPr>
          <w:rFonts w:hint="eastAsia" w:ascii="宋体"/>
          <w:sz w:val="24"/>
          <w:szCs w:val="24"/>
          <w:highlight w:val="none"/>
        </w:rPr>
        <w:t>经济得分×经济得分权重）×（1-综合诚信评价分数权重）</w:t>
      </w:r>
      <w:r>
        <w:rPr>
          <w:rFonts w:hint="eastAsia" w:ascii="宋体" w:cs="宋体"/>
          <w:sz w:val="24"/>
          <w:szCs w:val="24"/>
          <w:highlight w:val="none"/>
        </w:rPr>
        <w:t>＋</w:t>
      </w:r>
      <w:r>
        <w:rPr>
          <w:rFonts w:hint="eastAsia" w:ascii="宋体"/>
          <w:sz w:val="24"/>
          <w:szCs w:val="24"/>
          <w:highlight w:val="none"/>
        </w:rPr>
        <w:t>综合诚信评价排名得分×综合诚信评价分数权重）。技术、经济得分权重按投标须知前附表的规定执行。总得分四舍五入保留两位小数</w:t>
      </w:r>
      <w:r>
        <w:rPr>
          <w:rFonts w:hint="eastAsia" w:ascii="宋体" w:hAnsi="宋体"/>
          <w:sz w:val="24"/>
          <w:szCs w:val="24"/>
          <w:highlight w:val="none"/>
        </w:rPr>
        <w:t>。</w:t>
      </w:r>
    </w:p>
    <w:p>
      <w:pPr>
        <w:pBdr>
          <w:bottom w:val="single" w:color="auto" w:sz="6" w:space="1"/>
        </w:pBdr>
        <w:spacing w:line="360" w:lineRule="auto"/>
        <w:rPr>
          <w:rFonts w:ascii="宋体" w:hAnsi="宋体" w:cs="仿宋"/>
          <w:sz w:val="24"/>
          <w:szCs w:val="24"/>
          <w:highlight w:val="none"/>
        </w:rPr>
      </w:pP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 46.1        修改类型：修改</w:t>
      </w:r>
    </w:p>
    <w:p>
      <w:pPr>
        <w:spacing w:line="360" w:lineRule="auto"/>
        <w:ind w:firstLine="602" w:firstLineChars="250"/>
        <w:rPr>
          <w:rFonts w:ascii="宋体" w:hAnsi="宋体"/>
          <w:b/>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602" w:firstLineChars="250"/>
        <w:rPr>
          <w:rFonts w:ascii="宋体" w:hAnsi="宋体"/>
          <w:sz w:val="24"/>
          <w:szCs w:val="24"/>
          <w:highlight w:val="none"/>
        </w:rPr>
      </w:pPr>
      <w:r>
        <w:rPr>
          <w:rFonts w:hint="eastAsia" w:ascii="宋体" w:hAnsi="宋体"/>
          <w:b/>
          <w:sz w:val="24"/>
          <w:szCs w:val="24"/>
          <w:highlight w:val="none"/>
        </w:rPr>
        <w:t>现文：</w:t>
      </w:r>
      <w:r>
        <w:rPr>
          <w:rFonts w:hint="eastAsia" w:ascii="宋体" w:hAnsi="宋体"/>
          <w:sz w:val="24"/>
          <w:szCs w:val="24"/>
          <w:highlight w:val="none"/>
          <w:u w:val="single"/>
        </w:rPr>
        <w:t>46.1对通过技术标有效性审查投标人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rPr>
          <w:rFonts w:ascii="宋体" w:hAnsi="宋体" w:cs="仿宋"/>
          <w:sz w:val="24"/>
          <w:szCs w:val="24"/>
          <w:highlight w:val="none"/>
        </w:rPr>
      </w:pPr>
    </w:p>
    <w:p>
      <w:pPr>
        <w:spacing w:line="360" w:lineRule="auto"/>
        <w:ind w:firstLine="590" w:firstLineChars="245"/>
        <w:rPr>
          <w:rFonts w:ascii="宋体" w:hAnsi="宋体"/>
          <w:b/>
          <w:sz w:val="24"/>
          <w:szCs w:val="24"/>
          <w:highlight w:val="none"/>
        </w:rPr>
      </w:pPr>
      <w:r>
        <w:rPr>
          <w:rFonts w:hint="eastAsia" w:ascii="宋体" w:hAnsi="宋体"/>
          <w:b/>
          <w:sz w:val="24"/>
          <w:szCs w:val="24"/>
          <w:highlight w:val="none"/>
        </w:rPr>
        <w:t>条款号：47.、</w:t>
      </w:r>
      <w:r>
        <w:rPr>
          <w:rFonts w:hint="eastAsia" w:ascii="宋体" w:hAnsi="宋体" w:cs="宋体"/>
          <w:b/>
          <w:kern w:val="0"/>
          <w:sz w:val="24"/>
          <w:szCs w:val="24"/>
          <w:highlight w:val="none"/>
        </w:rPr>
        <w:t>48.</w:t>
      </w:r>
      <w:r>
        <w:rPr>
          <w:rFonts w:hint="eastAsia" w:ascii="宋体" w:hAnsi="宋体"/>
          <w:b/>
          <w:sz w:val="24"/>
          <w:szCs w:val="24"/>
          <w:highlight w:val="none"/>
        </w:rPr>
        <w:t xml:space="preserve">        修改类型：修改</w:t>
      </w:r>
    </w:p>
    <w:p>
      <w:pPr>
        <w:spacing w:line="360" w:lineRule="auto"/>
        <w:ind w:firstLine="595" w:firstLineChars="247"/>
        <w:rPr>
          <w:rFonts w:ascii="宋体" w:hAnsi="宋体"/>
          <w:b/>
          <w:sz w:val="24"/>
          <w:szCs w:val="24"/>
          <w:highlight w:val="none"/>
        </w:rPr>
      </w:pPr>
      <w:r>
        <w:rPr>
          <w:rFonts w:hint="eastAsia" w:ascii="宋体" w:hAnsi="宋体"/>
          <w:b/>
          <w:sz w:val="24"/>
          <w:szCs w:val="24"/>
          <w:highlight w:val="none"/>
        </w:rPr>
        <w:t>原文：</w:t>
      </w:r>
      <w:r>
        <w:rPr>
          <w:rFonts w:hint="eastAsia" w:ascii="宋体" w:hAnsi="宋体"/>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592" w:firstLineChars="247"/>
        <w:rPr>
          <w:rFonts w:ascii="宋体" w:hAnsi="宋体"/>
          <w:sz w:val="24"/>
          <w:szCs w:val="24"/>
          <w:highlight w:val="none"/>
        </w:rPr>
      </w:pPr>
      <w:r>
        <w:rPr>
          <w:rFonts w:hint="eastAsia" w:ascii="宋体" w:hAnsi="宋体"/>
          <w:sz w:val="24"/>
          <w:szCs w:val="24"/>
          <w:highlight w:val="none"/>
        </w:rPr>
        <w:t>48.评标委员会应在通过投标文件经济标有效性审查的投标人中，按步骤45.4确定的投标人第二阶段排序，推荐前</w:t>
      </w:r>
      <w:r>
        <w:rPr>
          <w:rFonts w:ascii="宋体" w:hAnsi="宋体"/>
          <w:sz w:val="24"/>
          <w:szCs w:val="24"/>
          <w:highlight w:val="none"/>
        </w:rPr>
        <w:t>3</w:t>
      </w:r>
      <w:r>
        <w:rPr>
          <w:rFonts w:hint="eastAsia" w:ascii="宋体" w:hAnsi="宋体"/>
          <w:sz w:val="24"/>
          <w:szCs w:val="24"/>
          <w:highlight w:val="none"/>
        </w:rPr>
        <w:t>名依次为第一中标候选人至第三中标候选人</w:t>
      </w:r>
      <w:r>
        <w:rPr>
          <w:rFonts w:ascii="宋体" w:hAnsi="宋体"/>
          <w:sz w:val="24"/>
          <w:szCs w:val="24"/>
          <w:highlight w:val="none"/>
        </w:rPr>
        <w:t>,</w:t>
      </w:r>
      <w:r>
        <w:rPr>
          <w:rFonts w:hint="eastAsia" w:ascii="宋体" w:hAnsi="宋体"/>
          <w:sz w:val="24"/>
          <w:szCs w:val="24"/>
          <w:highlight w:val="none"/>
        </w:rPr>
        <w:t>并编制评标报告。</w:t>
      </w:r>
    </w:p>
    <w:p>
      <w:pPr>
        <w:spacing w:line="360" w:lineRule="auto"/>
        <w:ind w:firstLine="595" w:firstLineChars="247"/>
        <w:rPr>
          <w:rFonts w:ascii="宋体" w:hAnsi="宋体"/>
          <w:b/>
          <w:sz w:val="24"/>
          <w:szCs w:val="24"/>
          <w:highlight w:val="none"/>
          <w:u w:val="single"/>
        </w:rPr>
      </w:pPr>
      <w:r>
        <w:rPr>
          <w:rFonts w:hint="eastAsia" w:ascii="宋体" w:hAnsi="宋体"/>
          <w:b/>
          <w:sz w:val="24"/>
          <w:szCs w:val="24"/>
          <w:highlight w:val="none"/>
        </w:rPr>
        <w:t>现文：</w:t>
      </w:r>
      <w:r>
        <w:rPr>
          <w:rFonts w:hint="eastAsia" w:ascii="宋体" w:hAnsi="宋体"/>
          <w:sz w:val="24"/>
          <w:szCs w:val="24"/>
          <w:highlight w:val="none"/>
          <w:u w:val="single"/>
        </w:rPr>
        <w:t>47.评标委员会按只有通过有效性审查的投标人的投标文件方可进入下一阶段有效性审查的原则，根据有效性审查结果，取消被否决投标的投标人进入定标阶段的合格中标候选人资格，其余通过全部有效性审查的投标人均可进入定标阶段。</w:t>
      </w:r>
    </w:p>
    <w:p>
      <w:pPr>
        <w:spacing w:line="360" w:lineRule="auto"/>
        <w:ind w:firstLine="592" w:firstLineChars="247"/>
        <w:rPr>
          <w:rFonts w:ascii="宋体" w:hAnsi="宋体"/>
          <w:sz w:val="24"/>
          <w:szCs w:val="24"/>
          <w:highlight w:val="none"/>
          <w:u w:val="single"/>
        </w:rPr>
      </w:pPr>
      <w:r>
        <w:rPr>
          <w:rFonts w:hint="eastAsia" w:ascii="宋体" w:hAnsi="宋体"/>
          <w:sz w:val="24"/>
          <w:szCs w:val="24"/>
          <w:highlight w:val="none"/>
          <w:u w:val="single"/>
        </w:rPr>
        <w:t>48.评标委员会应在通过投标文件经济标有效性审查的投标人中，确定合格中标候选人进入定标阶段【不排序，按统一社会信用代码后4位（除校验码外）大小排位】</w:t>
      </w:r>
      <w:r>
        <w:rPr>
          <w:rFonts w:hint="eastAsia" w:ascii="宋体"/>
          <w:sz w:val="24"/>
          <w:szCs w:val="24"/>
          <w:highlight w:val="none"/>
          <w:u w:val="single"/>
        </w:rPr>
        <w:t>,</w:t>
      </w:r>
      <w:r>
        <w:rPr>
          <w:rFonts w:hint="eastAsia" w:ascii="宋体" w:hAnsi="宋体"/>
          <w:sz w:val="24"/>
          <w:szCs w:val="24"/>
          <w:highlight w:val="none"/>
          <w:u w:val="single"/>
        </w:rPr>
        <w:t>并编制评标报告。</w:t>
      </w:r>
    </w:p>
    <w:p>
      <w:pPr>
        <w:pBdr>
          <w:bottom w:val="single" w:color="auto" w:sz="6" w:space="1"/>
        </w:pBdr>
        <w:spacing w:line="360" w:lineRule="auto"/>
        <w:rPr>
          <w:rFonts w:ascii="宋体" w:hAnsi="宋体"/>
          <w:sz w:val="24"/>
          <w:szCs w:val="24"/>
          <w:highlight w:val="none"/>
        </w:rPr>
      </w:pPr>
    </w:p>
    <w:p>
      <w:pPr>
        <w:spacing w:line="360" w:lineRule="auto"/>
        <w:ind w:firstLine="590" w:firstLineChars="245"/>
        <w:rPr>
          <w:rFonts w:ascii="宋体" w:hAnsi="宋体"/>
          <w:b/>
          <w:szCs w:val="21"/>
          <w:highlight w:val="none"/>
        </w:rPr>
      </w:pPr>
      <w:r>
        <w:rPr>
          <w:rFonts w:hint="eastAsia" w:ascii="宋体" w:hAnsi="宋体"/>
          <w:b/>
          <w:sz w:val="24"/>
          <w:szCs w:val="24"/>
          <w:highlight w:val="none"/>
        </w:rPr>
        <w:t>条款号：</w:t>
      </w:r>
      <w:r>
        <w:rPr>
          <w:rFonts w:hint="eastAsia" w:ascii="宋体" w:hAnsi="宋体" w:cs="宋体"/>
          <w:b/>
          <w:kern w:val="0"/>
          <w:sz w:val="24"/>
          <w:szCs w:val="24"/>
          <w:highlight w:val="none"/>
        </w:rPr>
        <w:t>50.</w:t>
      </w:r>
      <w:r>
        <w:rPr>
          <w:rFonts w:ascii="宋体" w:hAnsi="宋体" w:cs="宋体"/>
          <w:b/>
          <w:kern w:val="0"/>
          <w:sz w:val="24"/>
          <w:szCs w:val="24"/>
          <w:highlight w:val="none"/>
        </w:rPr>
        <w:t xml:space="preserve">            </w:t>
      </w:r>
      <w:r>
        <w:rPr>
          <w:rFonts w:hint="eastAsia" w:ascii="宋体" w:hAnsi="宋体"/>
          <w:b/>
          <w:sz w:val="24"/>
          <w:szCs w:val="24"/>
          <w:highlight w:val="none"/>
        </w:rPr>
        <w:t>修改类型：增加</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.定标</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中标候选人公示结束后，招标人按以下规定组建定标委员会，在评标委员会推荐的合格中标候选人中确定中标人：</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（1）定标由招标人依法组建的定标委员会负责，成员数量为5人或以上单数，定标委员会成员不得参与定标前期准备工作。</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（2）招标人应当组建监督小组对定标过程进行见证监督。</w:t>
      </w:r>
    </w:p>
    <w:p>
      <w:pPr>
        <w:spacing w:line="360" w:lineRule="auto"/>
        <w:ind w:firstLine="480" w:firstLineChars="200"/>
        <w:rPr>
          <w:rFonts w:ascii="宋体" w:hAnsi="宋体"/>
          <w:bCs/>
          <w:sz w:val="24"/>
          <w:szCs w:val="24"/>
          <w:highlight w:val="none"/>
          <w:u w:val="single"/>
        </w:rPr>
      </w:pPr>
      <w:r>
        <w:rPr>
          <w:rFonts w:hint="eastAsia" w:ascii="宋体" w:hAnsi="宋体"/>
          <w:bCs/>
          <w:sz w:val="24"/>
          <w:szCs w:val="24"/>
          <w:highlight w:val="none"/>
          <w:u w:val="single"/>
        </w:rPr>
        <w:t>5</w:t>
      </w:r>
      <w:r>
        <w:rPr>
          <w:rFonts w:ascii="宋体" w:hAnsi="宋体"/>
          <w:bCs/>
          <w:sz w:val="24"/>
          <w:szCs w:val="24"/>
          <w:highlight w:val="none"/>
          <w:u w:val="single"/>
        </w:rPr>
        <w:t>0</w:t>
      </w:r>
      <w:r>
        <w:rPr>
          <w:rFonts w:hint="eastAsia" w:ascii="宋体" w:hAnsi="宋体"/>
          <w:bCs/>
          <w:sz w:val="24"/>
          <w:szCs w:val="24"/>
          <w:highlight w:val="none"/>
          <w:u w:val="single"/>
        </w:rPr>
        <w:t>.1 定标时间和地点</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招标人在合格的中标候选人公示结束后10个工作日内在广州公共资源交易中心举行定标会议，招标人按规定程序在投标人须知的时间和地点完成定标工作。</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 定标规则</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本项目采用</w:t>
      </w:r>
      <w:r>
        <w:rPr>
          <w:rFonts w:hint="eastAsia" w:ascii="宋体" w:hAnsi="宋体"/>
          <w:sz w:val="24"/>
          <w:szCs w:val="24"/>
          <w:highlight w:val="none"/>
          <w:u w:val="single"/>
        </w:rPr>
        <w:t>“记名投票+撰写评语”</w:t>
      </w:r>
      <w:r>
        <w:rPr>
          <w:rFonts w:hint="eastAsia" w:ascii="宋体" w:hAnsi="宋体"/>
          <w:sz w:val="24"/>
          <w:szCs w:val="24"/>
          <w:highlight w:val="none"/>
        </w:rPr>
        <w:t>定标方法,定标方法如下：</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.2.1 定标程序</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.2.1.1定标工作开始后，发放选票，由定标委员会参考定标因素进行记名投票，定标委员会应推荐一人为定标委员会组长，主持当次定标会议。</w:t>
      </w:r>
    </w:p>
    <w:p>
      <w:pPr>
        <w:spacing w:line="360" w:lineRule="auto"/>
        <w:ind w:firstLine="480" w:firstLineChars="200"/>
        <w:rPr>
          <w:rFonts w:asci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.2.1.2定标辅助资料为评标阶段的评标报告、投标人提交的投标文件与定标辅助文件。</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.2.1.3定标委员会根据定标辅助资料，在同等条件下，定标因素的相对标准按以下几个方面进行：</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（1）投标人的企业规模及综合实力；</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（2）投标人拟派项目管理团队成员情况；</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（3）施工方案；</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（4）投标价格；</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（5）其他招标人认为需考察的因素。</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.2.1.4投票规则：定标委员会根据定标因素对各合格的中标</w:t>
      </w:r>
      <w:r>
        <w:rPr>
          <w:rFonts w:ascii="宋体" w:hAnsi="宋体"/>
          <w:sz w:val="24"/>
          <w:szCs w:val="24"/>
          <w:highlight w:val="none"/>
          <w:u w:val="single"/>
        </w:rPr>
        <w:t>侯选人</w:t>
      </w:r>
      <w:r>
        <w:rPr>
          <w:rFonts w:hint="eastAsia" w:ascii="宋体" w:hAnsi="宋体"/>
          <w:sz w:val="24"/>
          <w:szCs w:val="24"/>
          <w:highlight w:val="none"/>
          <w:u w:val="single"/>
        </w:rPr>
        <w:t>进行综合比较后，进行一次性票决，每位定标委员会成员只有1票表决权（即只能对其中一家合格的中</w:t>
      </w:r>
      <w:r>
        <w:rPr>
          <w:rFonts w:ascii="宋体" w:hAnsi="宋体"/>
          <w:sz w:val="24"/>
          <w:szCs w:val="24"/>
          <w:highlight w:val="none"/>
          <w:u w:val="single"/>
        </w:rPr>
        <w:t>标侯选</w:t>
      </w:r>
      <w:r>
        <w:rPr>
          <w:rFonts w:hint="eastAsia" w:ascii="宋体" w:hAnsi="宋体"/>
          <w:sz w:val="24"/>
          <w:szCs w:val="24"/>
          <w:highlight w:val="none"/>
          <w:u w:val="single"/>
        </w:rPr>
        <w:t>人投票），得票数最多者为中标人；若出现票数相同且无法决出中标人时，票数相同的再进行一次性票决；若再次票决出现票数相同且无法决出中标人时，以投标报价低者为中标人；如仍存在相同情况，则对具有相同情况的投标人，由定标委员会采用随机抽取方式确定中标人。</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.2.1.5定标委员会中的各定标委员应独立投票，可以弃权，当弃权票数达到定标委员会人数50%或以上时，本次定标会无效，招标人重新组建定标委员会或重新招标。</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.2.2根据项目的定标原则，定标委员会根据选票情况确定中标人。</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.2.3编写定标报告，定标委员会全体确认后签署定标报告。</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.2.4招标人与中标人签订合同或办理施工许可前，如发现中标人委派的项目负责人、</w:t>
      </w:r>
      <w:r>
        <w:rPr>
          <w:rFonts w:ascii="宋体" w:hAnsi="宋体"/>
          <w:sz w:val="24"/>
          <w:szCs w:val="24"/>
          <w:highlight w:val="none"/>
          <w:u w:val="single"/>
        </w:rPr>
        <w:t>安全员</w:t>
      </w:r>
      <w:r>
        <w:rPr>
          <w:rFonts w:hint="eastAsia" w:ascii="宋体" w:hAnsi="宋体"/>
          <w:sz w:val="24"/>
          <w:szCs w:val="24"/>
          <w:highlight w:val="none"/>
          <w:u w:val="single"/>
        </w:rPr>
        <w:t>已在其他在建项目中任职、不符合任职数量，则招标人有权取消其中标人资格或解除合同，从其他合格的中标候选人中采用原定标办法，由原定标委员会确定中标人，招标人也可以重新招标。</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2.5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pPr>
        <w:pBdr>
          <w:bottom w:val="single" w:color="auto" w:sz="6" w:space="1"/>
        </w:pBdr>
        <w:spacing w:line="360" w:lineRule="auto"/>
        <w:rPr>
          <w:rFonts w:ascii="宋体" w:hAnsi="宋体"/>
          <w:sz w:val="24"/>
          <w:szCs w:val="24"/>
          <w:highlight w:val="none"/>
        </w:rPr>
      </w:pPr>
    </w:p>
    <w:p>
      <w:pPr>
        <w:pBdr>
          <w:bottom w:val="single" w:color="auto" w:sz="4" w:space="1"/>
        </w:pBdr>
        <w:spacing w:line="360" w:lineRule="auto"/>
        <w:ind w:firstLine="472" w:firstLineChars="224"/>
        <w:rPr>
          <w:rFonts w:ascii="宋体" w:hAnsi="宋体"/>
          <w:b/>
          <w:szCs w:val="21"/>
          <w:highlight w:val="none"/>
        </w:rPr>
      </w:pPr>
      <w:r>
        <w:rPr>
          <w:rFonts w:hint="eastAsia" w:ascii="宋体" w:hAnsi="宋体"/>
          <w:b/>
          <w:szCs w:val="21"/>
          <w:highlight w:val="none"/>
        </w:rPr>
        <w:t>条款号：评标办法                                       修改类型：删除</w:t>
      </w:r>
    </w:p>
    <w:p>
      <w:pPr>
        <w:pBdr>
          <w:bottom w:val="single" w:color="auto" w:sz="4" w:space="1"/>
        </w:pBdr>
        <w:spacing w:line="360" w:lineRule="auto"/>
        <w:ind w:firstLine="472" w:firstLineChars="224"/>
        <w:rPr>
          <w:rFonts w:ascii="宋体" w:hAnsi="宋体"/>
          <w:b/>
          <w:szCs w:val="21"/>
          <w:highlight w:val="none"/>
        </w:rPr>
      </w:pPr>
      <w:r>
        <w:rPr>
          <w:rFonts w:hint="eastAsia" w:ascii="宋体" w:hAnsi="宋体"/>
          <w:b/>
          <w:szCs w:val="21"/>
          <w:highlight w:val="none"/>
        </w:rPr>
        <w:t>原文：</w:t>
      </w:r>
      <w:bookmarkStart w:id="16" w:name="_Toc420050320"/>
      <w:r>
        <w:rPr>
          <w:rFonts w:hint="eastAsia" w:ascii="宋体" w:hAnsi="宋体"/>
          <w:highlight w:val="none"/>
        </w:rPr>
        <w:t>可选办法一（适合</w:t>
      </w:r>
      <w:r>
        <w:rPr>
          <w:rFonts w:hint="eastAsia" w:ascii="宋体" w:hAnsi="宋体" w:cs="宋体"/>
          <w:kern w:val="0"/>
          <w:highlight w:val="none"/>
        </w:rPr>
        <w:t>综合评分法一</w:t>
      </w:r>
      <w:r>
        <w:rPr>
          <w:rFonts w:hint="eastAsia" w:ascii="宋体" w:hAnsi="宋体"/>
          <w:highlight w:val="none"/>
        </w:rPr>
        <w:t>，技术标与经济标先后分别开启）</w:t>
      </w:r>
      <w:bookmarkEnd w:id="16"/>
    </w:p>
    <w:p>
      <w:pPr>
        <w:spacing w:line="360" w:lineRule="auto"/>
        <w:ind w:firstLine="472" w:firstLineChars="224"/>
        <w:rPr>
          <w:rFonts w:ascii="宋体" w:hAnsi="宋体"/>
          <w:b/>
          <w:szCs w:val="21"/>
          <w:highlight w:val="none"/>
        </w:rPr>
      </w:pPr>
      <w:r>
        <w:rPr>
          <w:rFonts w:hint="eastAsia" w:ascii="宋体" w:hAnsi="宋体"/>
          <w:b/>
          <w:szCs w:val="21"/>
          <w:highlight w:val="none"/>
        </w:rPr>
        <w:t>条款号：评标办法                                       修改类型：删除</w:t>
      </w:r>
    </w:p>
    <w:p>
      <w:pPr>
        <w:pBdr>
          <w:bottom w:val="single" w:color="auto" w:sz="4" w:space="1"/>
        </w:pBdr>
        <w:spacing w:line="360" w:lineRule="auto"/>
        <w:ind w:firstLine="472" w:firstLineChars="224"/>
        <w:rPr>
          <w:rFonts w:ascii="宋体" w:hAnsi="宋体"/>
          <w:highlight w:val="none"/>
        </w:rPr>
      </w:pPr>
      <w:r>
        <w:rPr>
          <w:rFonts w:hint="eastAsia" w:ascii="宋体" w:hAnsi="宋体"/>
          <w:b/>
          <w:szCs w:val="21"/>
          <w:highlight w:val="none"/>
        </w:rPr>
        <w:t>原文：</w:t>
      </w:r>
      <w:r>
        <w:rPr>
          <w:rFonts w:hint="eastAsia" w:ascii="宋体" w:hAnsi="宋体"/>
          <w:highlight w:val="none"/>
        </w:rPr>
        <w:t>可选办法二（适合综合评分法一，技术标与经济标同时开启）</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条款号：评标办法                                       修改类型：删除</w:t>
      </w:r>
    </w:p>
    <w:p>
      <w:pPr>
        <w:pBdr>
          <w:bottom w:val="single" w:color="auto" w:sz="4" w:space="1"/>
        </w:pBdr>
        <w:spacing w:line="360" w:lineRule="auto"/>
        <w:ind w:firstLine="472" w:firstLineChars="224"/>
        <w:rPr>
          <w:rFonts w:ascii="宋体" w:hAnsi="宋体"/>
          <w:b/>
          <w:szCs w:val="21"/>
          <w:highlight w:val="none"/>
        </w:rPr>
      </w:pPr>
      <w:r>
        <w:rPr>
          <w:rFonts w:hint="eastAsia" w:ascii="宋体" w:hAnsi="宋体"/>
          <w:b/>
          <w:szCs w:val="21"/>
          <w:highlight w:val="none"/>
        </w:rPr>
        <w:t>原文：</w:t>
      </w:r>
      <w:r>
        <w:rPr>
          <w:rFonts w:hint="eastAsia" w:ascii="宋体" w:hAnsi="宋体"/>
          <w:highlight w:val="none"/>
        </w:rPr>
        <w:t>可选办法三（适合综合评分法二，技术标与经济标先后分别开启）</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条款号：评标办法                                       修改类型：删除</w:t>
      </w:r>
    </w:p>
    <w:p>
      <w:pPr>
        <w:pBdr>
          <w:bottom w:val="single" w:color="auto" w:sz="4" w:space="1"/>
        </w:pBdr>
        <w:spacing w:line="360" w:lineRule="auto"/>
        <w:ind w:firstLine="472" w:firstLineChars="224"/>
        <w:rPr>
          <w:rFonts w:ascii="宋体" w:hAnsi="宋体"/>
          <w:b/>
          <w:szCs w:val="21"/>
          <w:highlight w:val="none"/>
        </w:rPr>
      </w:pPr>
      <w:r>
        <w:rPr>
          <w:rFonts w:hint="eastAsia" w:ascii="宋体" w:hAnsi="宋体"/>
          <w:b/>
          <w:szCs w:val="21"/>
          <w:highlight w:val="none"/>
        </w:rPr>
        <w:t>原文：</w:t>
      </w:r>
      <w:bookmarkStart w:id="17" w:name="_Toc420050322"/>
      <w:bookmarkStart w:id="18" w:name="_Toc416358012"/>
      <w:r>
        <w:rPr>
          <w:rFonts w:hint="eastAsia" w:ascii="宋体" w:hAnsi="宋体"/>
          <w:highlight w:val="none"/>
        </w:rPr>
        <w:t>可选办法四（适合综合评分法二，技术标与经济标同时开启）</w:t>
      </w:r>
      <w:bookmarkEnd w:id="17"/>
      <w:bookmarkEnd w:id="18"/>
    </w:p>
    <w:p>
      <w:pPr>
        <w:spacing w:line="360" w:lineRule="auto"/>
        <w:ind w:firstLine="472" w:firstLineChars="224"/>
        <w:rPr>
          <w:rFonts w:ascii="宋体" w:hAnsi="宋体"/>
          <w:b/>
          <w:szCs w:val="21"/>
          <w:highlight w:val="none"/>
        </w:rPr>
      </w:pPr>
      <w:r>
        <w:rPr>
          <w:rFonts w:hint="eastAsia" w:ascii="宋体" w:hAnsi="宋体"/>
          <w:b/>
          <w:szCs w:val="21"/>
          <w:highlight w:val="none"/>
        </w:rPr>
        <w:t>条款号：评标办法                                       修改类型：删除</w:t>
      </w:r>
    </w:p>
    <w:p>
      <w:pPr>
        <w:pBdr>
          <w:bottom w:val="single" w:color="auto" w:sz="4" w:space="1"/>
        </w:pBdr>
        <w:spacing w:line="360" w:lineRule="auto"/>
        <w:ind w:firstLine="472" w:firstLineChars="224"/>
        <w:rPr>
          <w:rFonts w:ascii="宋体" w:hAnsi="宋体"/>
          <w:b/>
          <w:szCs w:val="21"/>
          <w:highlight w:val="none"/>
        </w:rPr>
      </w:pPr>
      <w:r>
        <w:rPr>
          <w:rFonts w:hint="eastAsia" w:ascii="宋体" w:hAnsi="宋体"/>
          <w:b/>
          <w:szCs w:val="21"/>
          <w:highlight w:val="none"/>
        </w:rPr>
        <w:t>原文：</w:t>
      </w:r>
      <w:r>
        <w:rPr>
          <w:rFonts w:hint="eastAsia" w:ascii="宋体" w:hAnsi="宋体"/>
          <w:highlight w:val="none"/>
        </w:rPr>
        <w:t>可选办法五（适合综合评分法三，技术标与经济标先后分别开启）</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条款号：评标办法                                       修改类型：删除</w:t>
      </w:r>
    </w:p>
    <w:p>
      <w:pPr>
        <w:pBdr>
          <w:bottom w:val="single" w:color="auto" w:sz="4" w:space="1"/>
        </w:pBdr>
        <w:spacing w:line="360" w:lineRule="auto"/>
        <w:ind w:firstLine="472" w:firstLineChars="224"/>
        <w:rPr>
          <w:rFonts w:ascii="宋体" w:hAnsi="宋体"/>
          <w:b/>
          <w:szCs w:val="21"/>
          <w:highlight w:val="none"/>
        </w:rPr>
      </w:pPr>
      <w:r>
        <w:rPr>
          <w:rFonts w:hint="eastAsia" w:ascii="宋体" w:hAnsi="宋体"/>
          <w:b/>
          <w:szCs w:val="21"/>
          <w:highlight w:val="none"/>
        </w:rPr>
        <w:t>原文：</w:t>
      </w:r>
      <w:bookmarkStart w:id="19" w:name="_Toc420050324"/>
      <w:bookmarkStart w:id="20" w:name="_Toc416358016"/>
      <w:r>
        <w:rPr>
          <w:rFonts w:hint="eastAsia" w:ascii="宋体" w:hAnsi="宋体"/>
          <w:highlight w:val="none"/>
        </w:rPr>
        <w:t>可选办法六（适合综合评分法三，技术标与经济标同时开启）</w:t>
      </w:r>
      <w:bookmarkEnd w:id="19"/>
      <w:bookmarkEnd w:id="20"/>
    </w:p>
    <w:p>
      <w:pPr>
        <w:spacing w:line="360" w:lineRule="auto"/>
        <w:ind w:firstLine="472" w:firstLineChars="224"/>
        <w:rPr>
          <w:rFonts w:ascii="宋体" w:hAnsi="宋体"/>
          <w:b/>
          <w:szCs w:val="21"/>
          <w:highlight w:val="none"/>
        </w:rPr>
      </w:pPr>
      <w:r>
        <w:rPr>
          <w:rFonts w:hint="eastAsia" w:ascii="宋体" w:hAnsi="宋体"/>
          <w:b/>
          <w:szCs w:val="21"/>
          <w:highlight w:val="none"/>
        </w:rPr>
        <w:t>条款号：评标办法                                       修改类型：删除</w:t>
      </w:r>
    </w:p>
    <w:p>
      <w:pPr>
        <w:pBdr>
          <w:bottom w:val="single" w:color="auto" w:sz="6" w:space="1"/>
        </w:pBdr>
        <w:spacing w:line="360" w:lineRule="auto"/>
        <w:ind w:firstLine="472" w:firstLineChars="224"/>
        <w:rPr>
          <w:rFonts w:ascii="宋体" w:hAnsi="宋体"/>
          <w:sz w:val="24"/>
          <w:szCs w:val="24"/>
          <w:highlight w:val="none"/>
        </w:rPr>
      </w:pPr>
      <w:r>
        <w:rPr>
          <w:rFonts w:hint="eastAsia" w:ascii="宋体" w:hAnsi="宋体"/>
          <w:b/>
          <w:szCs w:val="21"/>
          <w:highlight w:val="none"/>
        </w:rPr>
        <w:t>原文：</w:t>
      </w:r>
      <w:r>
        <w:rPr>
          <w:rFonts w:hint="eastAsia" w:ascii="宋体" w:hAnsi="宋体"/>
          <w:highlight w:val="none"/>
        </w:rPr>
        <w:t>可选办法七（适合综合评分法四，技术标与经济标同时开启）</w:t>
      </w:r>
    </w:p>
    <w:p>
      <w:pPr>
        <w:spacing w:line="360" w:lineRule="auto"/>
        <w:ind w:firstLine="472" w:firstLineChars="224"/>
        <w:rPr>
          <w:rFonts w:ascii="宋体" w:hAnsi="宋体"/>
          <w:b/>
          <w:szCs w:val="21"/>
          <w:highlight w:val="none"/>
        </w:rPr>
      </w:pPr>
      <w:r>
        <w:rPr>
          <w:rFonts w:hint="eastAsia" w:ascii="宋体" w:hAnsi="宋体"/>
          <w:b/>
          <w:szCs w:val="21"/>
          <w:highlight w:val="none"/>
        </w:rPr>
        <w:t>条款号：评标办法                                       修改类型：删除</w:t>
      </w:r>
    </w:p>
    <w:p>
      <w:pPr>
        <w:pBdr>
          <w:bottom w:val="single" w:color="auto" w:sz="6" w:space="1"/>
        </w:pBdr>
        <w:spacing w:line="360" w:lineRule="auto"/>
        <w:ind w:firstLine="472" w:firstLineChars="224"/>
        <w:rPr>
          <w:rFonts w:ascii="宋体" w:hAnsi="宋体"/>
          <w:sz w:val="24"/>
          <w:szCs w:val="24"/>
          <w:highlight w:val="none"/>
        </w:rPr>
      </w:pPr>
      <w:r>
        <w:rPr>
          <w:rFonts w:hint="eastAsia" w:ascii="宋体" w:hAnsi="宋体"/>
          <w:b/>
          <w:szCs w:val="21"/>
          <w:highlight w:val="none"/>
        </w:rPr>
        <w:t>原文：</w:t>
      </w:r>
      <w:r>
        <w:rPr>
          <w:rFonts w:hint="eastAsia" w:ascii="宋体" w:hAnsi="宋体"/>
          <w:highlight w:val="none"/>
        </w:rPr>
        <w:t>可选办法八（适合经评审的最低投标价法，技术标与经济标同时开启）</w:t>
      </w:r>
    </w:p>
    <w:p>
      <w:pPr>
        <w:spacing w:line="360" w:lineRule="auto"/>
        <w:ind w:firstLine="103" w:firstLineChars="49"/>
        <w:rPr>
          <w:rFonts w:ascii="宋体" w:hAnsi="宋体"/>
          <w:b/>
          <w:szCs w:val="21"/>
          <w:highlight w:val="none"/>
        </w:rPr>
      </w:pPr>
    </w:p>
    <w:p>
      <w:pPr>
        <w:spacing w:line="360" w:lineRule="auto"/>
        <w:ind w:firstLine="103" w:firstLineChars="49"/>
        <w:rPr>
          <w:rFonts w:ascii="宋体" w:hAnsi="宋体"/>
          <w:b/>
          <w:szCs w:val="21"/>
          <w:highlight w:val="none"/>
        </w:rPr>
      </w:pPr>
      <w:r>
        <w:rPr>
          <w:rFonts w:hint="eastAsia" w:ascii="宋体" w:hAnsi="宋体"/>
          <w:b/>
          <w:szCs w:val="21"/>
          <w:highlight w:val="none"/>
        </w:rPr>
        <w:t>注：以上修改，仅限于本范本中有可供选择条款的情形。</w:t>
      </w:r>
    </w:p>
    <w:p>
      <w:pPr>
        <w:spacing w:line="360" w:lineRule="auto"/>
        <w:rPr>
          <w:rFonts w:ascii="宋体" w:hAnsi="宋体"/>
          <w:highlight w:val="none"/>
        </w:rPr>
      </w:pPr>
      <w:r>
        <w:rPr>
          <w:rFonts w:hint="eastAsia" w:ascii="宋体" w:hAnsi="宋体"/>
          <w:b/>
          <w:szCs w:val="21"/>
          <w:highlight w:val="none"/>
        </w:rPr>
        <w:t>（以下无正文）</w:t>
      </w: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pStyle w:val="8"/>
        <w:ind w:firstLine="0"/>
        <w:rPr>
          <w:highlight w:val="none"/>
        </w:rPr>
      </w:pPr>
    </w:p>
    <w:p>
      <w:pPr>
        <w:pStyle w:val="7"/>
        <w:rPr>
          <w:color w:val="auto"/>
          <w:szCs w:val="30"/>
          <w:highlight w:val="none"/>
        </w:rPr>
      </w:pPr>
      <w:r>
        <w:rPr>
          <w:color w:val="auto"/>
          <w:highlight w:val="none"/>
        </w:rPr>
        <w:br w:type="page"/>
      </w:r>
      <w:bookmarkStart w:id="21" w:name="_Toc80289070"/>
      <w:r>
        <w:rPr>
          <w:rFonts w:hint="eastAsia"/>
          <w:color w:val="auto"/>
          <w:highlight w:val="none"/>
        </w:rPr>
        <w:t>二、开标、评标及定标办法</w:t>
      </w:r>
      <w:r>
        <w:rPr>
          <w:rFonts w:hint="eastAsia"/>
          <w:color w:val="auto"/>
          <w:szCs w:val="30"/>
          <w:highlight w:val="none"/>
        </w:rPr>
        <w:t>通用条款</w:t>
      </w:r>
      <w:bookmarkEnd w:id="21"/>
    </w:p>
    <w:p>
      <w:pPr>
        <w:pStyle w:val="9"/>
        <w:spacing w:before="156" w:after="156"/>
        <w:ind w:firstLine="540" w:firstLineChars="200"/>
        <w:rPr>
          <w:highlight w:val="none"/>
        </w:rPr>
      </w:pPr>
      <w:bookmarkStart w:id="22" w:name="_Toc2272557"/>
      <w:bookmarkStart w:id="23" w:name="_Toc80289071"/>
      <w:r>
        <w:rPr>
          <w:rFonts w:hint="eastAsia"/>
          <w:highlight w:val="none"/>
        </w:rPr>
        <w:t>（一）总则</w:t>
      </w:r>
      <w:bookmarkEnd w:id="22"/>
      <w:bookmarkEnd w:id="23"/>
    </w:p>
    <w:p>
      <w:pPr>
        <w:spacing w:line="360" w:lineRule="auto"/>
        <w:ind w:firstLine="480" w:firstLineChars="200"/>
        <w:rPr>
          <w:rFonts w:ascii="宋体" w:hAnsi="宋体"/>
          <w:b/>
          <w:sz w:val="24"/>
          <w:szCs w:val="24"/>
          <w:highlight w:val="none"/>
        </w:rPr>
      </w:pPr>
      <w:r>
        <w:rPr>
          <w:rFonts w:ascii="宋体" w:hAnsi="宋体"/>
          <w:sz w:val="24"/>
          <w:szCs w:val="24"/>
          <w:highlight w:val="none"/>
        </w:rPr>
        <w:t xml:space="preserve">35 </w:t>
      </w:r>
      <w:r>
        <w:rPr>
          <w:rFonts w:hint="eastAsia" w:ascii="宋体" w:hAnsi="宋体"/>
          <w:sz w:val="24"/>
          <w:szCs w:val="24"/>
          <w:highlight w:val="none"/>
        </w:rPr>
        <w:t>开标、评标及定标所依据的规则</w:t>
      </w:r>
    </w:p>
    <w:p>
      <w:pPr>
        <w:spacing w:line="360" w:lineRule="auto"/>
        <w:ind w:firstLine="480" w:firstLineChars="200"/>
        <w:rPr>
          <w:rFonts w:ascii="宋体" w:hAnsi="宋体"/>
          <w:sz w:val="24"/>
          <w:szCs w:val="24"/>
          <w:highlight w:val="none"/>
        </w:rPr>
      </w:pPr>
      <w:r>
        <w:rPr>
          <w:rFonts w:ascii="宋体" w:hAnsi="宋体"/>
          <w:sz w:val="24"/>
          <w:szCs w:val="24"/>
          <w:highlight w:val="none"/>
        </w:rPr>
        <w:t>35.1</w:t>
      </w:r>
      <w:r>
        <w:rPr>
          <w:rFonts w:hint="eastAsia" w:ascii="宋体" w:hAnsi="宋体"/>
          <w:sz w:val="24"/>
          <w:szCs w:val="24"/>
          <w:highlight w:val="none"/>
        </w:rPr>
        <w:t>《中华人民共和国招标投标法》（</w:t>
      </w:r>
      <w:r>
        <w:rPr>
          <w:rFonts w:ascii="宋体" w:hAnsi="宋体"/>
          <w:sz w:val="24"/>
          <w:szCs w:val="24"/>
          <w:highlight w:val="none"/>
        </w:rPr>
        <w:t>2017</w:t>
      </w:r>
      <w:r>
        <w:rPr>
          <w:rFonts w:hint="eastAsia" w:ascii="宋体" w:hAnsi="宋体"/>
          <w:sz w:val="24"/>
          <w:szCs w:val="24"/>
          <w:highlight w:val="none"/>
        </w:rPr>
        <w:t>修正）；</w:t>
      </w:r>
    </w:p>
    <w:p>
      <w:pPr>
        <w:spacing w:line="360" w:lineRule="auto"/>
        <w:ind w:firstLine="480" w:firstLineChars="200"/>
        <w:rPr>
          <w:rFonts w:ascii="宋体" w:hAnsi="宋体"/>
          <w:sz w:val="24"/>
          <w:szCs w:val="24"/>
          <w:highlight w:val="none"/>
        </w:rPr>
      </w:pPr>
      <w:r>
        <w:rPr>
          <w:rFonts w:ascii="宋体" w:hAnsi="宋体"/>
          <w:sz w:val="24"/>
          <w:szCs w:val="24"/>
          <w:highlight w:val="none"/>
        </w:rPr>
        <w:t>35.2</w:t>
      </w:r>
      <w:r>
        <w:rPr>
          <w:rFonts w:hint="eastAsia" w:ascii="宋体" w:hAnsi="宋体"/>
          <w:sz w:val="24"/>
          <w:szCs w:val="24"/>
          <w:highlight w:val="none"/>
        </w:rPr>
        <w:t>《中华人民共和国招标投标法实施条例》（</w:t>
      </w:r>
      <w:r>
        <w:rPr>
          <w:rFonts w:ascii="宋体" w:hAnsi="宋体"/>
          <w:sz w:val="24"/>
          <w:szCs w:val="24"/>
          <w:highlight w:val="none"/>
        </w:rPr>
        <w:t>2019</w:t>
      </w:r>
      <w:r>
        <w:rPr>
          <w:rFonts w:hint="eastAsia" w:ascii="宋体" w:hAnsi="宋体"/>
          <w:sz w:val="24"/>
          <w:szCs w:val="24"/>
          <w:highlight w:val="none"/>
        </w:rPr>
        <w:t>修订）；</w:t>
      </w:r>
    </w:p>
    <w:p>
      <w:pPr>
        <w:spacing w:line="360" w:lineRule="auto"/>
        <w:ind w:firstLine="480" w:firstLineChars="200"/>
        <w:rPr>
          <w:rFonts w:ascii="宋体" w:hAnsi="宋体"/>
          <w:sz w:val="24"/>
          <w:szCs w:val="24"/>
          <w:highlight w:val="none"/>
        </w:rPr>
      </w:pPr>
      <w:r>
        <w:rPr>
          <w:rFonts w:ascii="宋体" w:hAnsi="宋体"/>
          <w:sz w:val="24"/>
          <w:szCs w:val="24"/>
          <w:highlight w:val="none"/>
        </w:rPr>
        <w:t>35.3</w:t>
      </w:r>
      <w:r>
        <w:rPr>
          <w:rFonts w:hint="eastAsia" w:ascii="宋体" w:hAnsi="宋体"/>
          <w:sz w:val="24"/>
          <w:szCs w:val="24"/>
          <w:highlight w:val="none"/>
        </w:rPr>
        <w:t>《评标委员会和评标方法暂行规定》（</w:t>
      </w:r>
      <w:r>
        <w:rPr>
          <w:rFonts w:ascii="宋体" w:hAnsi="宋体"/>
          <w:sz w:val="24"/>
          <w:szCs w:val="24"/>
          <w:highlight w:val="none"/>
        </w:rPr>
        <w:t>2013</w:t>
      </w:r>
      <w:r>
        <w:rPr>
          <w:rFonts w:hint="eastAsia" w:ascii="宋体" w:hAnsi="宋体"/>
          <w:sz w:val="24"/>
          <w:szCs w:val="24"/>
          <w:highlight w:val="none"/>
        </w:rPr>
        <w:t>修正）</w:t>
      </w:r>
    </w:p>
    <w:p>
      <w:pPr>
        <w:spacing w:line="360" w:lineRule="auto"/>
        <w:ind w:firstLine="480" w:firstLineChars="200"/>
        <w:rPr>
          <w:rFonts w:ascii="宋体" w:hAnsi="宋体"/>
          <w:sz w:val="24"/>
          <w:szCs w:val="24"/>
          <w:highlight w:val="none"/>
        </w:rPr>
      </w:pPr>
      <w:r>
        <w:rPr>
          <w:rFonts w:ascii="宋体" w:hAnsi="宋体"/>
          <w:sz w:val="24"/>
          <w:szCs w:val="24"/>
          <w:highlight w:val="none"/>
        </w:rPr>
        <w:t>35.4</w:t>
      </w:r>
      <w:r>
        <w:rPr>
          <w:rFonts w:hint="eastAsia" w:ascii="宋体" w:hAnsi="宋体"/>
          <w:sz w:val="24"/>
          <w:szCs w:val="24"/>
          <w:highlight w:val="none"/>
        </w:rPr>
        <w:t>《工程建设项目施工招标投标办法》（</w:t>
      </w:r>
      <w:r>
        <w:rPr>
          <w:rFonts w:ascii="宋体" w:hAnsi="宋体"/>
          <w:sz w:val="24"/>
          <w:szCs w:val="24"/>
          <w:highlight w:val="none"/>
        </w:rPr>
        <w:t>2013</w:t>
      </w:r>
      <w:r>
        <w:rPr>
          <w:rFonts w:hint="eastAsia" w:ascii="宋体" w:hAnsi="宋体"/>
          <w:sz w:val="24"/>
          <w:szCs w:val="24"/>
          <w:highlight w:val="none"/>
        </w:rPr>
        <w:t>修正）</w:t>
      </w:r>
    </w:p>
    <w:p>
      <w:pPr>
        <w:spacing w:line="360" w:lineRule="auto"/>
        <w:ind w:firstLine="480" w:firstLineChars="200"/>
        <w:rPr>
          <w:rFonts w:ascii="宋体" w:hAnsi="宋体"/>
          <w:sz w:val="24"/>
          <w:szCs w:val="24"/>
          <w:highlight w:val="none"/>
        </w:rPr>
      </w:pPr>
      <w:r>
        <w:rPr>
          <w:rFonts w:ascii="宋体" w:hAnsi="宋体"/>
          <w:sz w:val="24"/>
          <w:szCs w:val="24"/>
          <w:highlight w:val="none"/>
        </w:rPr>
        <w:t>35.5</w:t>
      </w:r>
      <w:r>
        <w:rPr>
          <w:rFonts w:hint="eastAsia" w:ascii="宋体" w:hAnsi="宋体"/>
          <w:sz w:val="24"/>
          <w:szCs w:val="24"/>
          <w:highlight w:val="none"/>
        </w:rPr>
        <w:t>《广东省实施〈中华人民共和国招标投标法〉办法》（</w:t>
      </w:r>
      <w:r>
        <w:rPr>
          <w:rFonts w:ascii="宋体" w:hAnsi="宋体"/>
          <w:sz w:val="24"/>
          <w:szCs w:val="24"/>
          <w:highlight w:val="none"/>
        </w:rPr>
        <w:t>2018</w:t>
      </w:r>
      <w:r>
        <w:rPr>
          <w:rFonts w:hint="eastAsia" w:ascii="宋体" w:hAnsi="宋体"/>
          <w:sz w:val="24"/>
          <w:szCs w:val="24"/>
          <w:highlight w:val="none"/>
        </w:rPr>
        <w:t>修订）；</w:t>
      </w:r>
    </w:p>
    <w:p>
      <w:pPr>
        <w:spacing w:line="360" w:lineRule="auto"/>
        <w:ind w:firstLine="480" w:firstLineChars="200"/>
        <w:rPr>
          <w:rFonts w:ascii="宋体" w:hAnsi="宋体"/>
          <w:sz w:val="24"/>
          <w:szCs w:val="24"/>
          <w:highlight w:val="none"/>
        </w:rPr>
      </w:pPr>
      <w:r>
        <w:rPr>
          <w:rFonts w:ascii="宋体" w:hAnsi="宋体"/>
          <w:sz w:val="24"/>
          <w:szCs w:val="24"/>
          <w:highlight w:val="none"/>
        </w:rPr>
        <w:t>35.6</w:t>
      </w:r>
      <w:r>
        <w:rPr>
          <w:rFonts w:hint="eastAsia" w:ascii="宋体" w:hAnsi="宋体"/>
          <w:sz w:val="24"/>
          <w:szCs w:val="24"/>
          <w:highlight w:val="none"/>
        </w:rPr>
        <w:t>《房屋建筑和市政基础设施工程施工招标投标管理办法》（</w:t>
      </w:r>
      <w:r>
        <w:rPr>
          <w:rFonts w:ascii="宋体" w:hAnsi="宋体"/>
          <w:sz w:val="24"/>
          <w:szCs w:val="24"/>
          <w:highlight w:val="none"/>
        </w:rPr>
        <w:t>2019</w:t>
      </w:r>
      <w:r>
        <w:rPr>
          <w:rFonts w:hint="eastAsia" w:ascii="宋体" w:hAnsi="宋体"/>
          <w:sz w:val="24"/>
          <w:szCs w:val="24"/>
          <w:highlight w:val="none"/>
        </w:rPr>
        <w:t>修正）</w:t>
      </w:r>
    </w:p>
    <w:p>
      <w:pPr>
        <w:spacing w:line="360" w:lineRule="auto"/>
        <w:ind w:firstLine="480" w:firstLineChars="200"/>
        <w:rPr>
          <w:rFonts w:ascii="宋体" w:hAnsi="宋体"/>
          <w:sz w:val="24"/>
          <w:szCs w:val="24"/>
          <w:highlight w:val="none"/>
        </w:rPr>
      </w:pPr>
      <w:r>
        <w:rPr>
          <w:rFonts w:ascii="宋体" w:hAnsi="宋体"/>
          <w:sz w:val="24"/>
          <w:szCs w:val="24"/>
          <w:highlight w:val="none"/>
        </w:rPr>
        <w:t>35.7</w:t>
      </w:r>
      <w:r>
        <w:rPr>
          <w:rFonts w:hint="eastAsia" w:ascii="宋体" w:hAnsi="宋体"/>
          <w:sz w:val="24"/>
          <w:szCs w:val="24"/>
          <w:highlight w:val="none"/>
        </w:rPr>
        <w:t>《广东省加强建设工程招标投标监督管理的若干规定》（粤发[2004]4号）；</w:t>
      </w:r>
    </w:p>
    <w:p>
      <w:pPr>
        <w:spacing w:line="360" w:lineRule="auto"/>
        <w:ind w:firstLine="480" w:firstLineChars="200"/>
        <w:rPr>
          <w:rFonts w:ascii="宋体" w:hAnsi="宋体"/>
          <w:sz w:val="24"/>
          <w:szCs w:val="24"/>
          <w:highlight w:val="none"/>
        </w:rPr>
      </w:pPr>
      <w:r>
        <w:rPr>
          <w:rFonts w:ascii="宋体" w:hAnsi="宋体"/>
          <w:sz w:val="24"/>
          <w:szCs w:val="24"/>
          <w:highlight w:val="none"/>
        </w:rPr>
        <w:t>35.</w:t>
      </w:r>
      <w:r>
        <w:rPr>
          <w:rFonts w:hint="eastAsia" w:ascii="宋体" w:hAnsi="宋体"/>
          <w:sz w:val="24"/>
          <w:szCs w:val="24"/>
          <w:highlight w:val="none"/>
        </w:rPr>
        <w:t>8《广州市工程建设项目招标投标管理办法》（穗府办规〔2017〕5号）。</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35.9本项目招标文件。</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u w:val="single"/>
        </w:rPr>
        <w:t>35.10本项目采用评定分离定标办法，其中：评标采用通过制评标办法，定标采用“记名投票+撰写评语”的方式择优确定中标人。</w:t>
      </w:r>
    </w:p>
    <w:p>
      <w:pPr>
        <w:spacing w:line="360" w:lineRule="auto"/>
        <w:ind w:firstLine="480" w:firstLineChars="200"/>
        <w:rPr>
          <w:rFonts w:ascii="宋体" w:hAnsi="宋体"/>
          <w:sz w:val="24"/>
          <w:szCs w:val="24"/>
          <w:highlight w:val="none"/>
        </w:rPr>
      </w:pPr>
      <w:r>
        <w:rPr>
          <w:rFonts w:ascii="宋体" w:hAnsi="宋体"/>
          <w:sz w:val="24"/>
          <w:szCs w:val="24"/>
          <w:highlight w:val="none"/>
        </w:rPr>
        <w:t>36</w:t>
      </w:r>
      <w:r>
        <w:rPr>
          <w:rFonts w:hint="eastAsia" w:ascii="宋体" w:hAnsi="宋体"/>
          <w:sz w:val="24"/>
          <w:szCs w:val="24"/>
          <w:highlight w:val="none"/>
        </w:rPr>
        <w:t>．开标</w:t>
      </w:r>
    </w:p>
    <w:p>
      <w:pPr>
        <w:spacing w:line="360" w:lineRule="auto"/>
        <w:ind w:firstLine="480" w:firstLineChars="200"/>
        <w:rPr>
          <w:rFonts w:ascii="宋体" w:hAnsi="宋体"/>
          <w:sz w:val="24"/>
          <w:szCs w:val="24"/>
          <w:highlight w:val="none"/>
        </w:rPr>
      </w:pPr>
      <w:r>
        <w:rPr>
          <w:rFonts w:ascii="宋体" w:hAnsi="宋体"/>
          <w:sz w:val="24"/>
          <w:szCs w:val="24"/>
          <w:highlight w:val="none"/>
        </w:rPr>
        <w:t>36.1</w:t>
      </w:r>
      <w:r>
        <w:rPr>
          <w:rFonts w:hint="eastAsia" w:ascii="宋体" w:hAnsi="宋体"/>
          <w:sz w:val="24"/>
          <w:szCs w:val="24"/>
          <w:highlight w:val="none"/>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sz w:val="24"/>
          <w:szCs w:val="24"/>
          <w:highlight w:val="none"/>
          <w:u w:val="single"/>
        </w:rPr>
        <w:t>若投标人不参加开标会的，其投标文件在开标现场的其</w:t>
      </w:r>
      <w:r>
        <w:rPr>
          <w:rFonts w:ascii="宋体" w:hAnsi="宋体"/>
          <w:sz w:val="24"/>
          <w:szCs w:val="24"/>
          <w:highlight w:val="none"/>
          <w:u w:val="single"/>
        </w:rPr>
        <w:t>它</w:t>
      </w:r>
      <w:r>
        <w:rPr>
          <w:rFonts w:hint="eastAsia" w:ascii="宋体" w:hAnsi="宋体"/>
          <w:sz w:val="24"/>
          <w:szCs w:val="24"/>
          <w:highlight w:val="none"/>
          <w:u w:val="single"/>
        </w:rPr>
        <w:t>投标人或招标人代表、招标代理机构代表及交易中心代表见证下公开开启、解密、公布，并视同该投标人认可开标结果</w:t>
      </w:r>
      <w:r>
        <w:rPr>
          <w:rFonts w:hint="eastAsia" w:ascii="宋体" w:hAnsi="宋体"/>
          <w:sz w:val="24"/>
          <w:szCs w:val="24"/>
          <w:highlight w:val="none"/>
        </w:rPr>
        <w:t>。</w:t>
      </w:r>
    </w:p>
    <w:p>
      <w:pPr>
        <w:spacing w:line="360" w:lineRule="auto"/>
        <w:ind w:firstLine="480" w:firstLineChars="200"/>
        <w:rPr>
          <w:rFonts w:ascii="宋体" w:hAnsi="宋体"/>
          <w:sz w:val="24"/>
          <w:szCs w:val="24"/>
          <w:highlight w:val="none"/>
        </w:rPr>
      </w:pPr>
      <w:r>
        <w:rPr>
          <w:rFonts w:ascii="宋体" w:hAnsi="宋体"/>
          <w:sz w:val="24"/>
          <w:szCs w:val="24"/>
          <w:highlight w:val="none"/>
        </w:rPr>
        <w:t>36.2</w:t>
      </w:r>
      <w:r>
        <w:rPr>
          <w:rFonts w:hint="eastAsia" w:ascii="宋体" w:hAnsi="宋体"/>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dstrike/>
          <w:sz w:val="24"/>
          <w:szCs w:val="24"/>
          <w:highlight w:val="none"/>
        </w:rPr>
      </w:pPr>
      <w:r>
        <w:rPr>
          <w:rFonts w:hint="eastAsia" w:ascii="宋体" w:hAnsi="宋体"/>
          <w:dstrike/>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36.4若递交投标文件的投标人不足3家，则重新组织招标。（当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w:t>
      </w:r>
      <w:r>
        <w:rPr>
          <w:rFonts w:hint="eastAsia" w:ascii="宋体" w:hAnsi="宋体"/>
          <w:sz w:val="24"/>
          <w:szCs w:val="24"/>
          <w:highlight w:val="none"/>
        </w:rPr>
        <w:t>2家，则重新组织招标）</w:t>
      </w:r>
    </w:p>
    <w:p>
      <w:pPr>
        <w:spacing w:line="360" w:lineRule="auto"/>
        <w:ind w:firstLine="480" w:firstLineChars="200"/>
        <w:rPr>
          <w:rFonts w:ascii="宋体" w:hAnsi="宋体"/>
          <w:sz w:val="24"/>
          <w:highlight w:val="none"/>
        </w:rPr>
      </w:pPr>
      <w:r>
        <w:rPr>
          <w:rFonts w:hint="eastAsia" w:ascii="宋体" w:hAnsi="宋体"/>
          <w:sz w:val="24"/>
          <w:highlight w:val="none"/>
        </w:rPr>
        <w:t>36.5按下列程序进行开标：</w:t>
      </w:r>
    </w:p>
    <w:p>
      <w:pPr>
        <w:spacing w:line="360" w:lineRule="auto"/>
        <w:ind w:firstLine="480" w:firstLineChars="200"/>
        <w:rPr>
          <w:rFonts w:ascii="宋体" w:hAnsi="宋体"/>
          <w:sz w:val="24"/>
          <w:highlight w:val="none"/>
        </w:rPr>
      </w:pPr>
      <w:r>
        <w:rPr>
          <w:rFonts w:hint="eastAsia" w:ascii="宋体" w:hAnsi="宋体"/>
          <w:sz w:val="24"/>
          <w:highlight w:val="none"/>
        </w:rPr>
        <w:t>36.5.1在投标截止时间后半小时内，投标人通过</w:t>
      </w:r>
      <w:r>
        <w:rPr>
          <w:rFonts w:hint="eastAsia" w:ascii="宋体" w:hAnsi="宋体"/>
          <w:sz w:val="24"/>
          <w:szCs w:val="24"/>
          <w:highlight w:val="none"/>
          <w:u w:val="single"/>
        </w:rPr>
        <w:t>广州</w:t>
      </w:r>
      <w:r>
        <w:rPr>
          <w:rFonts w:ascii="宋体" w:hAnsi="宋体"/>
          <w:sz w:val="24"/>
          <w:szCs w:val="24"/>
          <w:highlight w:val="none"/>
          <w:u w:val="single"/>
        </w:rPr>
        <w:t>公共资源交易中</w:t>
      </w:r>
      <w:r>
        <w:rPr>
          <w:rFonts w:hint="eastAsia" w:ascii="宋体" w:hAnsi="宋体"/>
          <w:sz w:val="24"/>
          <w:szCs w:val="24"/>
          <w:highlight w:val="none"/>
        </w:rPr>
        <w:t>交易平台</w:t>
      </w:r>
      <w:r>
        <w:rPr>
          <w:rFonts w:hint="eastAsia" w:ascii="宋体" w:hAnsi="宋体"/>
          <w:sz w:val="24"/>
          <w:highlight w:val="none"/>
        </w:rPr>
        <w:t>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ascii="宋体" w:hAnsi="宋体"/>
          <w:sz w:val="24"/>
          <w:highlight w:val="none"/>
        </w:rPr>
      </w:pPr>
      <w:r>
        <w:rPr>
          <w:rFonts w:hint="eastAsia" w:ascii="宋体" w:hAnsi="宋体"/>
          <w:sz w:val="24"/>
          <w:highlight w:val="none"/>
        </w:rPr>
        <w:t>36.5.2备用U盘的读取按投标须知前附表第</w:t>
      </w:r>
      <w:r>
        <w:rPr>
          <w:rFonts w:hint="eastAsia" w:ascii="宋体" w:hAnsi="宋体"/>
          <w:sz w:val="24"/>
          <w:highlight w:val="none"/>
          <w:u w:val="single"/>
        </w:rPr>
        <w:t>37项</w:t>
      </w:r>
      <w:r>
        <w:rPr>
          <w:rFonts w:hint="eastAsia" w:ascii="宋体" w:hAnsi="宋体"/>
          <w:sz w:val="24"/>
          <w:highlight w:val="none"/>
        </w:rPr>
        <w:t>的规定执行；</w:t>
      </w:r>
    </w:p>
    <w:p>
      <w:pPr>
        <w:spacing w:line="360" w:lineRule="auto"/>
        <w:ind w:firstLine="480" w:firstLineChars="200"/>
        <w:rPr>
          <w:rFonts w:ascii="宋体" w:hAnsi="宋体"/>
          <w:sz w:val="24"/>
          <w:highlight w:val="none"/>
        </w:rPr>
      </w:pPr>
      <w:r>
        <w:rPr>
          <w:rFonts w:hint="eastAsia" w:ascii="宋体" w:hAnsi="宋体"/>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sz w:val="24"/>
          <w:highlight w:val="none"/>
        </w:rPr>
      </w:pPr>
      <w:r>
        <w:rPr>
          <w:rFonts w:hint="eastAsia" w:ascii="宋体" w:hAnsi="宋体"/>
          <w:sz w:val="24"/>
          <w:highlight w:val="none"/>
        </w:rPr>
        <w:t>36.5.4开标结束。</w:t>
      </w:r>
    </w:p>
    <w:p>
      <w:pPr>
        <w:spacing w:line="360" w:lineRule="auto"/>
        <w:ind w:firstLine="480" w:firstLineChars="200"/>
        <w:rPr>
          <w:rFonts w:ascii="宋体" w:hAnsi="宋体"/>
          <w:sz w:val="24"/>
          <w:highlight w:val="none"/>
        </w:rPr>
      </w:pPr>
      <w:r>
        <w:rPr>
          <w:rFonts w:hint="eastAsia" w:ascii="宋体" w:hAnsi="宋体"/>
          <w:sz w:val="24"/>
          <w:highlight w:val="none"/>
        </w:rPr>
        <w:t>36.6投标截止时间前未完成投标文件传输的或因投标人之外的原因造成投标文件未解密且未按要求递交备用U盘的，视为投标人撤回投标文件。因投标人原因造成投标文件未解密或未在规定的时间内解密的，视为撤销其投标文件。</w:t>
      </w:r>
    </w:p>
    <w:p>
      <w:pPr>
        <w:spacing w:line="360" w:lineRule="auto"/>
        <w:ind w:firstLine="480" w:firstLineChars="200"/>
        <w:rPr>
          <w:rFonts w:ascii="宋体" w:hAnsi="宋体"/>
          <w:sz w:val="24"/>
          <w:highlight w:val="none"/>
        </w:rPr>
      </w:pPr>
      <w:r>
        <w:rPr>
          <w:rFonts w:hint="eastAsia" w:ascii="宋体" w:hAnsi="宋体"/>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．评标</w:t>
      </w:r>
    </w:p>
    <w:p>
      <w:pPr>
        <w:spacing w:line="360" w:lineRule="auto"/>
        <w:ind w:firstLine="480" w:firstLineChars="200"/>
        <w:rPr>
          <w:rFonts w:ascii="宋体" w:hAnsi="宋体"/>
          <w:sz w:val="24"/>
          <w:szCs w:val="24"/>
          <w:highlight w:val="none"/>
        </w:rPr>
      </w:pPr>
      <w:r>
        <w:rPr>
          <w:rFonts w:ascii="宋体" w:hAnsi="宋体"/>
          <w:sz w:val="24"/>
          <w:szCs w:val="24"/>
          <w:highlight w:val="none"/>
        </w:rPr>
        <w:t>37.1</w:t>
      </w:r>
      <w:r>
        <w:rPr>
          <w:rFonts w:hint="eastAsia" w:ascii="宋体" w:hAnsi="宋体"/>
          <w:sz w:val="24"/>
          <w:szCs w:val="24"/>
          <w:highlight w:val="none"/>
        </w:rPr>
        <w:t>评标委员会由招标人依法组建。</w:t>
      </w:r>
    </w:p>
    <w:p>
      <w:pPr>
        <w:spacing w:line="360" w:lineRule="auto"/>
        <w:ind w:firstLine="480" w:firstLineChars="200"/>
        <w:rPr>
          <w:rFonts w:ascii="宋体" w:hAnsi="宋体"/>
          <w:sz w:val="24"/>
          <w:szCs w:val="24"/>
          <w:highlight w:val="none"/>
        </w:rPr>
      </w:pPr>
      <w:r>
        <w:rPr>
          <w:rFonts w:ascii="宋体" w:hAnsi="宋体"/>
          <w:sz w:val="24"/>
          <w:szCs w:val="24"/>
          <w:highlight w:val="none"/>
        </w:rPr>
        <w:t>37.2</w:t>
      </w:r>
      <w:r>
        <w:rPr>
          <w:rFonts w:hint="eastAsia" w:ascii="宋体" w:hAnsi="宋体"/>
          <w:sz w:val="24"/>
          <w:szCs w:val="24"/>
          <w:highlight w:val="none"/>
        </w:rPr>
        <w:t>评标委员会的职责及守则：</w:t>
      </w:r>
    </w:p>
    <w:p>
      <w:pPr>
        <w:spacing w:line="360" w:lineRule="auto"/>
        <w:ind w:firstLine="480" w:firstLineChars="200"/>
        <w:rPr>
          <w:rFonts w:ascii="宋体" w:hAnsi="宋体"/>
          <w:sz w:val="24"/>
          <w:szCs w:val="24"/>
          <w:highlight w:val="none"/>
        </w:rPr>
      </w:pPr>
      <w:r>
        <w:rPr>
          <w:rFonts w:ascii="宋体" w:hAnsi="宋体"/>
          <w:sz w:val="24"/>
          <w:szCs w:val="24"/>
          <w:highlight w:val="none"/>
        </w:rPr>
        <w:t>37.2.1</w:t>
      </w:r>
      <w:r>
        <w:rPr>
          <w:rFonts w:hint="eastAsia" w:ascii="宋体" w:hAnsi="宋体"/>
          <w:sz w:val="24"/>
          <w:szCs w:val="24"/>
          <w:highlight w:val="none"/>
        </w:rPr>
        <w:t>根据评标细则，对</w:t>
      </w:r>
      <w:r>
        <w:rPr>
          <w:rFonts w:hint="eastAsia" w:ascii="宋体" w:hAnsi="宋体"/>
          <w:sz w:val="24"/>
          <w:highlight w:val="none"/>
        </w:rPr>
        <w:t>投标文件</w:t>
      </w:r>
      <w:r>
        <w:rPr>
          <w:rFonts w:hint="eastAsia" w:ascii="宋体" w:hAnsi="宋体"/>
          <w:sz w:val="24"/>
          <w:szCs w:val="24"/>
          <w:highlight w:val="none"/>
        </w:rPr>
        <w:t>进行认真评审，完成评审报告；</w:t>
      </w:r>
    </w:p>
    <w:p>
      <w:pPr>
        <w:spacing w:line="360" w:lineRule="auto"/>
        <w:ind w:firstLine="480" w:firstLineChars="200"/>
        <w:rPr>
          <w:rFonts w:ascii="宋体" w:hAnsi="宋体"/>
          <w:sz w:val="24"/>
          <w:szCs w:val="24"/>
          <w:highlight w:val="none"/>
        </w:rPr>
      </w:pPr>
      <w:r>
        <w:rPr>
          <w:rFonts w:ascii="宋体" w:hAnsi="宋体"/>
          <w:sz w:val="24"/>
          <w:szCs w:val="24"/>
          <w:highlight w:val="none"/>
        </w:rPr>
        <w:t>37.2.2</w:t>
      </w:r>
      <w:r>
        <w:rPr>
          <w:rFonts w:hint="eastAsia" w:ascii="宋体" w:hAnsi="宋体"/>
          <w:sz w:val="24"/>
          <w:szCs w:val="24"/>
          <w:highlight w:val="none"/>
        </w:rPr>
        <w:t>向招标人推荐</w:t>
      </w:r>
      <w:r>
        <w:rPr>
          <w:rFonts w:hint="eastAsia" w:ascii="宋体" w:hAnsi="宋体"/>
          <w:sz w:val="24"/>
          <w:szCs w:val="24"/>
          <w:highlight w:val="none"/>
          <w:u w:val="single"/>
        </w:rPr>
        <w:t>进入定标阶段的合格中标</w:t>
      </w:r>
      <w:r>
        <w:rPr>
          <w:rFonts w:hint="eastAsia" w:ascii="宋体" w:hAnsi="宋体"/>
          <w:sz w:val="24"/>
          <w:szCs w:val="24"/>
          <w:highlight w:val="none"/>
        </w:rPr>
        <w:t>候选人</w:t>
      </w:r>
      <w:r>
        <w:rPr>
          <w:rFonts w:hint="eastAsia" w:ascii="宋体" w:hAnsi="宋体"/>
          <w:sz w:val="24"/>
          <w:highlight w:val="none"/>
          <w:u w:val="single"/>
        </w:rPr>
        <w:t>【不排序，按统一社会信用代码后4位（除校验码外）大小排位】</w:t>
      </w:r>
      <w:r>
        <w:rPr>
          <w:rFonts w:hint="eastAsia" w:ascii="宋体" w:hAnsi="宋体"/>
          <w:sz w:val="24"/>
          <w:szCs w:val="24"/>
          <w:highlight w:val="none"/>
        </w:rPr>
        <w:t>，并递交资格审查报告和评标报告。</w:t>
      </w:r>
    </w:p>
    <w:p>
      <w:pPr>
        <w:spacing w:line="360" w:lineRule="auto"/>
        <w:ind w:firstLine="480" w:firstLineChars="200"/>
        <w:rPr>
          <w:rFonts w:ascii="宋体" w:hAnsi="宋体"/>
          <w:sz w:val="24"/>
          <w:szCs w:val="24"/>
          <w:highlight w:val="none"/>
        </w:rPr>
      </w:pPr>
      <w:r>
        <w:rPr>
          <w:rFonts w:ascii="宋体" w:hAnsi="宋体"/>
          <w:bCs/>
          <w:sz w:val="24"/>
          <w:szCs w:val="24"/>
          <w:highlight w:val="none"/>
        </w:rPr>
        <w:t>37.2.3</w:t>
      </w:r>
      <w:r>
        <w:rPr>
          <w:rFonts w:hint="eastAsia" w:ascii="宋体" w:hAnsi="宋体"/>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sz w:val="24"/>
          <w:szCs w:val="24"/>
          <w:highlight w:val="none"/>
        </w:rPr>
      </w:pPr>
      <w:r>
        <w:rPr>
          <w:rFonts w:ascii="宋体" w:hAnsi="宋体"/>
          <w:sz w:val="24"/>
          <w:szCs w:val="24"/>
          <w:highlight w:val="none"/>
        </w:rPr>
        <w:t>37.2.4</w:t>
      </w:r>
      <w:r>
        <w:rPr>
          <w:rFonts w:hint="eastAsia" w:ascii="宋体" w:hAnsi="宋体"/>
          <w:sz w:val="24"/>
          <w:szCs w:val="24"/>
          <w:highlight w:val="none"/>
        </w:rPr>
        <w:t>全体参与评标人员：</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37.2.4.1 </w:t>
      </w:r>
      <w:r>
        <w:rPr>
          <w:rFonts w:hint="eastAsia" w:ascii="宋体" w:hAnsi="宋体"/>
          <w:sz w:val="24"/>
          <w:szCs w:val="24"/>
          <w:highlight w:val="none"/>
        </w:rPr>
        <w:t>必须遵守评标纪律、不得泄密；</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37.2.4.2 </w:t>
      </w:r>
      <w:r>
        <w:rPr>
          <w:rFonts w:hint="eastAsia" w:ascii="宋体" w:hAnsi="宋体"/>
          <w:sz w:val="24"/>
          <w:szCs w:val="24"/>
          <w:highlight w:val="none"/>
        </w:rPr>
        <w:t>必须公正、不得循私；</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37.2.4.3 </w:t>
      </w:r>
      <w:r>
        <w:rPr>
          <w:rFonts w:hint="eastAsia" w:ascii="宋体" w:hAnsi="宋体"/>
          <w:sz w:val="24"/>
          <w:szCs w:val="24"/>
          <w:highlight w:val="none"/>
        </w:rPr>
        <w:t>必须科学、不得草率；</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37.2.4.4 </w:t>
      </w:r>
      <w:r>
        <w:rPr>
          <w:rFonts w:hint="eastAsia" w:ascii="宋体" w:hAnsi="宋体"/>
          <w:sz w:val="24"/>
          <w:szCs w:val="24"/>
          <w:highlight w:val="none"/>
        </w:rPr>
        <w:t>必须客观、不得带有成见；</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37.2.4.5 </w:t>
      </w:r>
      <w:r>
        <w:rPr>
          <w:rFonts w:hint="eastAsia" w:ascii="宋体" w:hAnsi="宋体"/>
          <w:sz w:val="24"/>
          <w:szCs w:val="24"/>
          <w:highlight w:val="none"/>
        </w:rPr>
        <w:t>必须平等、不得强加于人；</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37.2.4.6 </w:t>
      </w:r>
      <w:r>
        <w:rPr>
          <w:rFonts w:hint="eastAsia" w:ascii="宋体" w:hAnsi="宋体"/>
          <w:sz w:val="24"/>
          <w:szCs w:val="24"/>
          <w:highlight w:val="none"/>
        </w:rPr>
        <w:t>必须严谨、不得随意马虎。</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37.3 </w:t>
      </w:r>
      <w:r>
        <w:rPr>
          <w:rFonts w:hint="eastAsia" w:ascii="宋体" w:hAnsi="宋体"/>
          <w:sz w:val="24"/>
          <w:szCs w:val="24"/>
          <w:highlight w:val="none"/>
        </w:rPr>
        <w:t>评标结束后，评标委员会递交评标报告并依法推荐</w:t>
      </w:r>
      <w:r>
        <w:rPr>
          <w:rFonts w:hint="eastAsia" w:ascii="宋体" w:hAnsi="宋体"/>
          <w:sz w:val="24"/>
          <w:szCs w:val="24"/>
          <w:highlight w:val="none"/>
          <w:u w:val="single"/>
        </w:rPr>
        <w:t>进入定标阶段的合格中标</w:t>
      </w:r>
      <w:r>
        <w:rPr>
          <w:rFonts w:hint="eastAsia" w:ascii="宋体" w:hAnsi="宋体"/>
          <w:sz w:val="24"/>
          <w:szCs w:val="24"/>
          <w:highlight w:val="none"/>
        </w:rPr>
        <w:t>候选人</w:t>
      </w:r>
      <w:r>
        <w:rPr>
          <w:rFonts w:hint="eastAsia" w:ascii="宋体" w:hAnsi="宋体"/>
          <w:sz w:val="24"/>
          <w:highlight w:val="none"/>
          <w:u w:val="single"/>
        </w:rPr>
        <w:t>【不排序，按统一社会信用代码后4位（除校验码外）大小排位】</w:t>
      </w:r>
      <w:r>
        <w:rPr>
          <w:rFonts w:hint="eastAsia" w:ascii="宋体" w:hAnsi="宋体"/>
          <w:sz w:val="24"/>
          <w:szCs w:val="24"/>
          <w:highlight w:val="none"/>
        </w:rPr>
        <w:t>。</w:t>
      </w:r>
    </w:p>
    <w:p>
      <w:pPr>
        <w:spacing w:line="360" w:lineRule="auto"/>
        <w:ind w:firstLine="480" w:firstLineChars="200"/>
        <w:rPr>
          <w:rFonts w:ascii="宋体" w:hAnsi="宋体"/>
          <w:sz w:val="24"/>
          <w:szCs w:val="24"/>
          <w:highlight w:val="none"/>
        </w:rPr>
      </w:pPr>
      <w:r>
        <w:rPr>
          <w:rFonts w:ascii="宋体" w:hAnsi="宋体"/>
          <w:sz w:val="24"/>
          <w:szCs w:val="24"/>
          <w:highlight w:val="none"/>
        </w:rPr>
        <w:t>38</w:t>
      </w:r>
      <w:r>
        <w:rPr>
          <w:rFonts w:hint="eastAsia" w:ascii="宋体" w:hAnsi="宋体"/>
          <w:sz w:val="24"/>
          <w:szCs w:val="24"/>
          <w:highlight w:val="none"/>
        </w:rPr>
        <w:t>．投标文件的澄清</w:t>
      </w:r>
    </w:p>
    <w:p>
      <w:pPr>
        <w:spacing w:line="360" w:lineRule="auto"/>
        <w:ind w:firstLine="480" w:firstLineChars="200"/>
        <w:rPr>
          <w:rFonts w:ascii="宋体" w:hAnsi="宋体"/>
          <w:sz w:val="24"/>
          <w:szCs w:val="24"/>
          <w:highlight w:val="none"/>
        </w:rPr>
      </w:pPr>
      <w:r>
        <w:rPr>
          <w:rFonts w:ascii="宋体" w:hAnsi="宋体"/>
          <w:sz w:val="24"/>
          <w:szCs w:val="24"/>
          <w:highlight w:val="none"/>
        </w:rPr>
        <w:t>38.1</w:t>
      </w:r>
      <w:r>
        <w:rPr>
          <w:rFonts w:hint="eastAsia" w:ascii="宋体" w:hAnsi="宋体"/>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sz w:val="24"/>
          <w:szCs w:val="24"/>
          <w:highlight w:val="none"/>
          <w:u w:val="single"/>
        </w:rPr>
        <w:t>、对同类问题表述不一致、有明显文字和计算错误的内容以及细微偏差</w:t>
      </w:r>
      <w:r>
        <w:rPr>
          <w:rFonts w:hint="eastAsia" w:ascii="宋体" w:hAnsi="宋体"/>
          <w:sz w:val="24"/>
          <w:szCs w:val="24"/>
          <w:highlight w:val="none"/>
        </w:rPr>
        <w:t>的内容作出澄清。</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38.2 </w:t>
      </w:r>
      <w:r>
        <w:rPr>
          <w:rFonts w:hint="eastAsia" w:ascii="宋体" w:hAnsi="宋体"/>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38.3 </w:t>
      </w:r>
      <w:r>
        <w:rPr>
          <w:rFonts w:hint="eastAsia" w:ascii="宋体" w:hAnsi="宋体"/>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sz w:val="24"/>
          <w:szCs w:val="24"/>
          <w:highlight w:val="none"/>
        </w:rPr>
      </w:pPr>
      <w:r>
        <w:rPr>
          <w:rFonts w:ascii="宋体" w:hAnsi="宋体"/>
          <w:sz w:val="24"/>
          <w:szCs w:val="24"/>
          <w:highlight w:val="none"/>
        </w:rPr>
        <w:t>38.4</w:t>
      </w:r>
      <w:r>
        <w:rPr>
          <w:rFonts w:hint="eastAsia" w:ascii="宋体" w:hAnsi="宋体"/>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dstrike/>
          <w:sz w:val="24"/>
          <w:szCs w:val="24"/>
          <w:highlight w:val="none"/>
        </w:rPr>
      </w:pPr>
      <w:r>
        <w:rPr>
          <w:rFonts w:ascii="宋体" w:hAnsi="宋体"/>
          <w:dstrike/>
          <w:sz w:val="24"/>
          <w:szCs w:val="24"/>
          <w:highlight w:val="none"/>
        </w:rPr>
        <w:t>39</w:t>
      </w:r>
      <w:r>
        <w:rPr>
          <w:rFonts w:hint="eastAsia" w:ascii="宋体" w:hAnsi="宋体"/>
          <w:dstrike/>
          <w:sz w:val="24"/>
          <w:szCs w:val="24"/>
          <w:highlight w:val="none"/>
        </w:rPr>
        <w:t>．定标</w:t>
      </w:r>
    </w:p>
    <w:p>
      <w:pPr>
        <w:spacing w:line="360" w:lineRule="auto"/>
        <w:ind w:firstLine="480" w:firstLineChars="200"/>
        <w:rPr>
          <w:rFonts w:ascii="宋体" w:hAnsi="宋体"/>
          <w:dstrike/>
          <w:sz w:val="24"/>
          <w:szCs w:val="24"/>
          <w:highlight w:val="none"/>
        </w:rPr>
      </w:pPr>
      <w:r>
        <w:rPr>
          <w:rFonts w:ascii="宋体" w:hAnsi="宋体"/>
          <w:dstrike/>
          <w:sz w:val="24"/>
          <w:szCs w:val="24"/>
          <w:highlight w:val="none"/>
        </w:rPr>
        <w:t xml:space="preserve">39.1 </w:t>
      </w:r>
      <w:r>
        <w:rPr>
          <w:rFonts w:hint="eastAsia" w:ascii="宋体" w:hAnsi="宋体"/>
          <w:dstrike/>
          <w:sz w:val="24"/>
          <w:szCs w:val="24"/>
          <w:highlight w:val="none"/>
        </w:rPr>
        <w:t>招标人根据评标委员会递交的评标报告，最终审定中标人。</w:t>
      </w:r>
    </w:p>
    <w:p>
      <w:pPr>
        <w:spacing w:line="360" w:lineRule="auto"/>
        <w:ind w:firstLine="480" w:firstLineChars="200"/>
        <w:rPr>
          <w:rFonts w:ascii="宋体" w:hAnsi="宋体"/>
          <w:dstrike/>
          <w:sz w:val="24"/>
          <w:szCs w:val="24"/>
          <w:highlight w:val="none"/>
        </w:rPr>
      </w:pPr>
      <w:r>
        <w:rPr>
          <w:rFonts w:ascii="宋体" w:hAnsi="宋体"/>
          <w:dstrike/>
          <w:sz w:val="24"/>
          <w:szCs w:val="24"/>
          <w:highlight w:val="none"/>
        </w:rPr>
        <w:t xml:space="preserve">39.2 </w:t>
      </w:r>
      <w:r>
        <w:rPr>
          <w:rFonts w:hint="eastAsia" w:ascii="宋体" w:hAnsi="宋体"/>
          <w:dstrike/>
          <w:sz w:val="24"/>
          <w:szCs w:val="24"/>
          <w:highlight w:val="none"/>
        </w:rPr>
        <w:t>依法必须进行公开招标的项目，招标人应当确定排名第一的中标候选人为中标人。</w:t>
      </w:r>
    </w:p>
    <w:p>
      <w:pPr>
        <w:spacing w:line="360" w:lineRule="auto"/>
        <w:ind w:firstLine="480" w:firstLineChars="200"/>
        <w:rPr>
          <w:rFonts w:ascii="宋体" w:hAnsi="宋体"/>
          <w:dstrike/>
          <w:sz w:val="24"/>
          <w:szCs w:val="24"/>
          <w:highlight w:val="none"/>
        </w:rPr>
      </w:pPr>
      <w:r>
        <w:rPr>
          <w:rFonts w:ascii="宋体" w:hAnsi="宋体"/>
          <w:dstrike/>
          <w:sz w:val="24"/>
          <w:szCs w:val="24"/>
          <w:highlight w:val="none"/>
        </w:rPr>
        <w:t>39.3</w:t>
      </w:r>
      <w:r>
        <w:rPr>
          <w:rFonts w:hint="eastAsia" w:ascii="宋体" w:hAnsi="宋体"/>
          <w:dstrike/>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dstrike/>
          <w:sz w:val="24"/>
          <w:szCs w:val="24"/>
          <w:highlight w:val="none"/>
        </w:rPr>
      </w:pPr>
      <w:r>
        <w:rPr>
          <w:rFonts w:ascii="宋体" w:hAnsi="宋体"/>
          <w:dstrike/>
          <w:sz w:val="24"/>
          <w:szCs w:val="24"/>
          <w:highlight w:val="none"/>
        </w:rPr>
        <w:t>39.4</w:t>
      </w:r>
      <w:r>
        <w:rPr>
          <w:rFonts w:hint="eastAsia" w:ascii="宋体" w:hAnsi="宋体"/>
          <w:dstrike/>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dstrike/>
          <w:sz w:val="24"/>
          <w:szCs w:val="24"/>
          <w:highlight w:val="none"/>
        </w:rPr>
      </w:pPr>
      <w:r>
        <w:rPr>
          <w:rFonts w:hint="eastAsia" w:ascii="宋体" w:hAnsi="宋体"/>
          <w:dstrike/>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9"/>
        <w:spacing w:before="156" w:after="156"/>
        <w:ind w:firstLine="540" w:firstLineChars="200"/>
        <w:rPr>
          <w:highlight w:val="none"/>
        </w:rPr>
      </w:pPr>
      <w:bookmarkStart w:id="24" w:name="_Toc2272558"/>
      <w:bookmarkStart w:id="25" w:name="_Toc80289072"/>
      <w:r>
        <w:rPr>
          <w:rFonts w:hint="eastAsia"/>
          <w:highlight w:val="none"/>
        </w:rPr>
        <w:t>（二）开标评标办法程序和细则</w:t>
      </w:r>
      <w:bookmarkEnd w:id="24"/>
      <w:bookmarkEnd w:id="25"/>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注：以下八种评标办法所述企业综合诚信评价分数即投标截止当日广州市工程招标代理行业协会网站上公布的企业综合诚信评价</w:t>
      </w:r>
      <w:r>
        <w:rPr>
          <w:rFonts w:ascii="宋体" w:hAnsi="宋体"/>
          <w:sz w:val="24"/>
          <w:szCs w:val="24"/>
          <w:highlight w:val="none"/>
        </w:rPr>
        <w:t>60</w:t>
      </w:r>
      <w:r>
        <w:rPr>
          <w:rFonts w:hint="eastAsia" w:ascii="宋体" w:hAnsi="宋体"/>
          <w:sz w:val="24"/>
          <w:szCs w:val="24"/>
          <w:highlight w:val="none"/>
        </w:rPr>
        <w:t>日诚信分。</w:t>
      </w:r>
    </w:p>
    <w:p>
      <w:pPr>
        <w:pStyle w:val="9"/>
        <w:spacing w:before="156" w:after="156"/>
        <w:ind w:firstLine="482" w:firstLineChars="200"/>
        <w:rPr>
          <w:b/>
          <w:highlight w:val="none"/>
        </w:rPr>
      </w:pPr>
      <w:bookmarkStart w:id="26" w:name="_Toc80289073"/>
      <w:r>
        <w:rPr>
          <w:rFonts w:hint="eastAsia"/>
          <w:b/>
          <w:sz w:val="24"/>
          <w:szCs w:val="24"/>
          <w:highlight w:val="none"/>
        </w:rPr>
        <w:t>通过制评标办法</w:t>
      </w:r>
      <w:bookmarkEnd w:id="26"/>
    </w:p>
    <w:p>
      <w:pPr>
        <w:snapToGrid w:val="0"/>
        <w:spacing w:line="360" w:lineRule="auto"/>
        <w:ind w:firstLine="480" w:firstLineChars="200"/>
        <w:rPr>
          <w:rFonts w:ascii="宋体"/>
          <w:sz w:val="24"/>
          <w:szCs w:val="24"/>
          <w:highlight w:val="none"/>
        </w:rPr>
      </w:pPr>
      <w:r>
        <w:rPr>
          <w:rFonts w:hint="eastAsia" w:ascii="宋体"/>
          <w:sz w:val="24"/>
          <w:szCs w:val="24"/>
          <w:highlight w:val="none"/>
        </w:rPr>
        <w:t>40．开标、评标及定标程序</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40.1</w:t>
      </w:r>
      <w:r>
        <w:rPr>
          <w:rFonts w:hint="eastAsia" w:ascii="宋体" w:hAnsi="宋体"/>
          <w:sz w:val="24"/>
          <w:szCs w:val="24"/>
          <w:highlight w:val="none"/>
        </w:rPr>
        <w:t>技术标（含资格审查文件）与经济标投标文件同时公开开标；</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40.2</w:t>
      </w:r>
      <w:r>
        <w:rPr>
          <w:rFonts w:hint="eastAsia" w:ascii="宋体" w:hAnsi="宋体"/>
          <w:sz w:val="24"/>
          <w:szCs w:val="24"/>
          <w:highlight w:val="none"/>
        </w:rPr>
        <w:t>由评标委员会对所有已公开开标的投标人进行资格审查；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40.3</w:t>
      </w:r>
      <w:r>
        <w:rPr>
          <w:rFonts w:hint="eastAsia" w:ascii="宋体" w:hAnsi="宋体"/>
          <w:sz w:val="24"/>
          <w:szCs w:val="24"/>
          <w:highlight w:val="none"/>
        </w:rPr>
        <w:t>技术标投标文件有效性审查；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40.4</w:t>
      </w:r>
      <w:r>
        <w:rPr>
          <w:rFonts w:hint="eastAsia" w:ascii="宋体" w:hAnsi="宋体"/>
          <w:sz w:val="24"/>
          <w:szCs w:val="24"/>
          <w:highlight w:val="none"/>
        </w:rPr>
        <w:t>经济标投标文件有效性审查；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40.5</w:t>
      </w:r>
      <w:r>
        <w:rPr>
          <w:rFonts w:hint="eastAsia" w:ascii="宋体" w:hAnsi="宋体"/>
          <w:sz w:val="24"/>
          <w:szCs w:val="24"/>
          <w:highlight w:val="none"/>
          <w:u w:val="single"/>
        </w:rPr>
        <w:t>评标委员会按通过技术标及经济标有效性审查的合格投标人向招标人推荐进入定标阶段的合格中标候选人名单</w:t>
      </w:r>
      <w:r>
        <w:rPr>
          <w:rFonts w:hint="eastAsia" w:ascii="宋体" w:hAnsi="宋体"/>
          <w:sz w:val="24"/>
          <w:highlight w:val="none"/>
          <w:u w:val="single"/>
        </w:rPr>
        <w:t>【不排序，按统一社会信用代码后4位（除校验码外）大小排位】</w:t>
      </w:r>
      <w:r>
        <w:rPr>
          <w:rFonts w:hint="eastAsia" w:ascii="宋体" w:hAnsi="宋体"/>
          <w:sz w:val="24"/>
          <w:szCs w:val="24"/>
          <w:highlight w:val="none"/>
          <w:u w:val="single"/>
        </w:rPr>
        <w:t>，并递交资格审查报告及评标报告；</w:t>
      </w:r>
    </w:p>
    <w:p>
      <w:pPr>
        <w:snapToGrid w:val="0"/>
        <w:spacing w:line="360" w:lineRule="auto"/>
        <w:ind w:firstLine="480" w:firstLineChars="200"/>
        <w:rPr>
          <w:rFonts w:ascii="宋体"/>
          <w:szCs w:val="21"/>
          <w:highlight w:val="none"/>
        </w:rPr>
      </w:pPr>
      <w:r>
        <w:rPr>
          <w:rFonts w:hint="eastAsia" w:ascii="宋体"/>
          <w:sz w:val="24"/>
          <w:szCs w:val="24"/>
          <w:highlight w:val="none"/>
          <w:u w:val="single"/>
        </w:rPr>
        <w:t xml:space="preserve">40.6 </w:t>
      </w:r>
      <w:r>
        <w:rPr>
          <w:rFonts w:hint="eastAsia" w:ascii="宋体" w:hAnsi="宋体"/>
          <w:sz w:val="24"/>
          <w:szCs w:val="24"/>
          <w:highlight w:val="none"/>
          <w:u w:val="single"/>
        </w:rPr>
        <w:t>定标委员会对评标委员会推荐的合格中标候选人进行投票，根据票数情况确定中标人。定标结束后，定标委员会向招标人递交定标报告</w:t>
      </w:r>
      <w:r>
        <w:rPr>
          <w:rFonts w:hint="eastAsia" w:ascii="宋体"/>
          <w:sz w:val="24"/>
          <w:szCs w:val="24"/>
          <w:highlight w:val="none"/>
        </w:rPr>
        <w:t>。</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41．开标细则</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41.1开标由招标人</w:t>
      </w:r>
      <w:r>
        <w:rPr>
          <w:rFonts w:hint="eastAsia" w:ascii="宋体"/>
          <w:sz w:val="24"/>
          <w:szCs w:val="24"/>
          <w:highlight w:val="none"/>
          <w:u w:val="single"/>
        </w:rPr>
        <w:t>或招标代理</w:t>
      </w:r>
      <w:r>
        <w:rPr>
          <w:rFonts w:hint="eastAsia" w:ascii="宋体"/>
          <w:sz w:val="24"/>
          <w:szCs w:val="24"/>
          <w:highlight w:val="none"/>
        </w:rPr>
        <w:t>主持；</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 细则</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41.2.1投标截止期前，各投标人递交投标文件（包括技术标投标文件、经济标投标文件）至</w:t>
      </w:r>
      <w:r>
        <w:rPr>
          <w:rFonts w:hint="eastAsia" w:ascii="宋体" w:hAnsi="宋体"/>
          <w:sz w:val="24"/>
          <w:szCs w:val="24"/>
          <w:highlight w:val="none"/>
          <w:u w:val="single"/>
        </w:rPr>
        <w:t>广州</w:t>
      </w:r>
      <w:r>
        <w:rPr>
          <w:rFonts w:ascii="宋体" w:hAnsi="宋体"/>
          <w:sz w:val="24"/>
          <w:szCs w:val="24"/>
          <w:highlight w:val="none"/>
          <w:u w:val="single"/>
        </w:rPr>
        <w:t>公共资源交易中心</w:t>
      </w:r>
      <w:r>
        <w:rPr>
          <w:rFonts w:hint="eastAsia" w:ascii="宋体"/>
          <w:sz w:val="24"/>
          <w:szCs w:val="24"/>
          <w:highlight w:val="none"/>
        </w:rPr>
        <w:t xml:space="preserve">交易平台。有关投标文件提交的事项详见第一章投标须知。 </w:t>
      </w:r>
    </w:p>
    <w:p>
      <w:pPr>
        <w:snapToGrid w:val="0"/>
        <w:spacing w:line="360" w:lineRule="auto"/>
        <w:ind w:firstLine="480" w:firstLineChars="200"/>
        <w:rPr>
          <w:rFonts w:ascii="宋体"/>
          <w:sz w:val="24"/>
          <w:szCs w:val="24"/>
          <w:highlight w:val="none"/>
        </w:rPr>
      </w:pPr>
      <w:r>
        <w:rPr>
          <w:rFonts w:hint="eastAsia" w:ascii="宋体" w:hAnsi="宋体"/>
          <w:dstrike/>
          <w:sz w:val="24"/>
          <w:szCs w:val="24"/>
          <w:highlight w:val="none"/>
        </w:rPr>
        <w:t>41.2.2开标前，首先由招标人随机抽取确定该工程计算评标参考价的等分点值X。</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41.2.3开标时，投标人代表有权出席开标会或在线开标，也可以自主决定不参加开标会，若投标人代表对开标过程提出异议，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sz w:val="24"/>
          <w:szCs w:val="24"/>
          <w:highlight w:val="none"/>
        </w:rPr>
      </w:pPr>
      <w:r>
        <w:rPr>
          <w:rFonts w:hint="eastAsia" w:ascii="宋体"/>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41.2.4.1开标时，公布：a、投标人名称；b、</w:t>
      </w:r>
      <w:r>
        <w:rPr>
          <w:rFonts w:hint="eastAsia" w:ascii="宋体" w:hAnsi="宋体"/>
          <w:sz w:val="24"/>
          <w:highlight w:val="none"/>
        </w:rPr>
        <w:t>投标文件</w:t>
      </w:r>
      <w:r>
        <w:rPr>
          <w:rFonts w:hint="eastAsia" w:ascii="宋体"/>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 资格审查及评标细则</w:t>
      </w:r>
    </w:p>
    <w:p>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42.2评标委员会的组成：方式</w:t>
      </w:r>
      <w:r>
        <w:rPr>
          <w:rFonts w:hint="eastAsia" w:ascii="宋体"/>
          <w:sz w:val="24"/>
          <w:szCs w:val="24"/>
          <w:highlight w:val="none"/>
          <w:u w:val="single"/>
        </w:rPr>
        <w:t>一</w:t>
      </w:r>
      <w:r>
        <w:rPr>
          <w:rFonts w:hint="eastAsia" w:ascii="宋体"/>
          <w:sz w:val="24"/>
          <w:szCs w:val="24"/>
          <w:highlight w:val="none"/>
        </w:rPr>
        <w:t>。</w:t>
      </w:r>
    </w:p>
    <w:p>
      <w:pPr>
        <w:snapToGrid w:val="0"/>
        <w:spacing w:line="360" w:lineRule="auto"/>
        <w:ind w:firstLine="480" w:firstLineChars="200"/>
        <w:rPr>
          <w:rFonts w:ascii="宋体"/>
          <w:sz w:val="24"/>
          <w:szCs w:val="24"/>
          <w:highlight w:val="none"/>
        </w:rPr>
      </w:pPr>
      <w:r>
        <w:rPr>
          <w:rFonts w:hint="eastAsia" w:ascii="宋体"/>
          <w:sz w:val="24"/>
          <w:szCs w:val="24"/>
          <w:highlight w:val="none"/>
        </w:rPr>
        <w:t>方式一：评标委员会为综合评标委员会，负责资格审查及评标工作。</w:t>
      </w:r>
    </w:p>
    <w:p>
      <w:pPr>
        <w:pStyle w:val="5"/>
        <w:tabs>
          <w:tab w:val="left" w:pos="7380"/>
        </w:tabs>
        <w:snapToGrid w:val="0"/>
        <w:spacing w:after="0" w:line="360" w:lineRule="auto"/>
        <w:rPr>
          <w:rFonts w:ascii="宋体"/>
          <w:sz w:val="24"/>
          <w:szCs w:val="24"/>
          <w:highlight w:val="none"/>
        </w:rPr>
      </w:pPr>
      <w:r>
        <w:rPr>
          <w:rFonts w:hint="eastAsia" w:ascii="宋体"/>
          <w:sz w:val="24"/>
          <w:szCs w:val="24"/>
          <w:highlight w:val="none"/>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rPr>
          <w:rFonts w:ascii="宋体" w:hAnsi="宋体"/>
          <w:sz w:val="24"/>
          <w:szCs w:val="24"/>
          <w:highlight w:val="none"/>
          <w:u w:val="single"/>
        </w:rPr>
      </w:pPr>
      <w:r>
        <w:rPr>
          <w:rFonts w:hint="eastAsia" w:ascii="宋体" w:hAnsi="宋体"/>
          <w:sz w:val="24"/>
          <w:szCs w:val="24"/>
          <w:highlight w:val="none"/>
          <w:u w:val="single"/>
        </w:rPr>
        <w:t>42.3定标委员会的组成：由招标人依法组建，负责定标环节。</w:t>
      </w:r>
    </w:p>
    <w:p>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43．投标人资格审查</w:t>
      </w:r>
    </w:p>
    <w:p>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43.3</w:t>
      </w:r>
      <w:r>
        <w:rPr>
          <w:rFonts w:hint="eastAsia" w:ascii="宋体"/>
          <w:sz w:val="24"/>
          <w:szCs w:val="24"/>
          <w:highlight w:val="none"/>
          <w:u w:val="single"/>
        </w:rPr>
        <w:t>资格审查不合格的投标文件不参加下一阶段的评审。</w:t>
      </w:r>
    </w:p>
    <w:p>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44．技术标评审</w:t>
      </w:r>
    </w:p>
    <w:p>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44.1</w:t>
      </w:r>
      <w:r>
        <w:rPr>
          <w:rFonts w:hint="eastAsia" w:ascii="宋体" w:hAnsi="宋体"/>
          <w:sz w:val="24"/>
          <w:szCs w:val="24"/>
          <w:highlight w:val="none"/>
          <w:u w:val="single"/>
        </w:rPr>
        <w:t>技术标中有任一种列于本办法附表二《技术标有效性审查表》中情形的，其投标文件将被否决。被否决的投标人不参与下一阶段评审。如评标委员会的评审意见不一致时，以评标委员会过半数成员的意见作为评标委员会对该情形的认定结论。若通过技术标有效性审查的投标人不足3名，则本项目招标失败</w:t>
      </w:r>
      <w:r>
        <w:rPr>
          <w:rFonts w:hint="eastAsia" w:ascii="宋体"/>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pPr>
        <w:pStyle w:val="5"/>
        <w:tabs>
          <w:tab w:val="left" w:pos="7380"/>
        </w:tabs>
        <w:snapToGrid w:val="0"/>
        <w:spacing w:after="0" w:line="360" w:lineRule="auto"/>
        <w:ind w:firstLine="480" w:firstLineChars="200"/>
        <w:rPr>
          <w:rFonts w:ascii="宋体"/>
          <w:dstrike/>
          <w:sz w:val="24"/>
          <w:szCs w:val="24"/>
          <w:highlight w:val="none"/>
        </w:rPr>
      </w:pPr>
      <w:r>
        <w:rPr>
          <w:rFonts w:hint="eastAsia" w:ascii="宋体"/>
          <w:dstrike/>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dstrike/>
          <w:sz w:val="24"/>
          <w:szCs w:val="24"/>
          <w:highlight w:val="none"/>
        </w:rPr>
      </w:pPr>
      <w:r>
        <w:rPr>
          <w:rFonts w:hint="eastAsia" w:ascii="宋体"/>
          <w:dstrike/>
          <w:sz w:val="24"/>
          <w:szCs w:val="24"/>
          <w:highlight w:val="none"/>
        </w:rPr>
        <w:t>45．经济标评审和得分汇总</w:t>
      </w:r>
    </w:p>
    <w:p>
      <w:pPr>
        <w:pStyle w:val="5"/>
        <w:tabs>
          <w:tab w:val="left" w:pos="7380"/>
        </w:tabs>
        <w:snapToGrid w:val="0"/>
        <w:spacing w:after="0" w:line="360" w:lineRule="auto"/>
        <w:ind w:firstLine="480" w:firstLineChars="200"/>
        <w:rPr>
          <w:rFonts w:ascii="宋体" w:hAnsi="宋体"/>
          <w:dstrike/>
          <w:sz w:val="24"/>
          <w:szCs w:val="24"/>
          <w:highlight w:val="none"/>
        </w:rPr>
      </w:pPr>
      <w:r>
        <w:rPr>
          <w:rFonts w:hint="eastAsia" w:ascii="宋体" w:hAnsi="宋体"/>
          <w:dstrike/>
          <w:sz w:val="24"/>
          <w:szCs w:val="24"/>
          <w:highlight w:val="none"/>
        </w:rPr>
        <w:t>45.1若通过技术标有效性审查的投标人中有投标报价均大于等于最高投标限价*D%（D的取值范围为[94,100],由招标人自主确定）的（具体金额为：元），则本项目招标失败，由招标人依法重新招标。</w:t>
      </w:r>
    </w:p>
    <w:p>
      <w:pPr>
        <w:pStyle w:val="5"/>
        <w:tabs>
          <w:tab w:val="left" w:pos="7380"/>
        </w:tabs>
        <w:snapToGrid w:val="0"/>
        <w:spacing w:after="0" w:line="360" w:lineRule="auto"/>
        <w:ind w:firstLine="480" w:firstLineChars="200"/>
        <w:rPr>
          <w:rFonts w:ascii="宋体"/>
          <w:dstrike/>
          <w:sz w:val="24"/>
          <w:szCs w:val="24"/>
          <w:highlight w:val="none"/>
        </w:rPr>
      </w:pPr>
      <w:r>
        <w:rPr>
          <w:rFonts w:hint="eastAsia" w:ascii="宋体" w:hAnsi="宋体"/>
          <w:dstrike/>
          <w:sz w:val="24"/>
          <w:szCs w:val="24"/>
          <w:highlight w:val="none"/>
        </w:rPr>
        <w:t xml:space="preserve"> 45.2按方法计算评标参考价：</w:t>
      </w:r>
    </w:p>
    <w:p>
      <w:pPr>
        <w:widowControl/>
        <w:spacing w:line="360" w:lineRule="auto"/>
        <w:ind w:firstLine="482" w:firstLineChars="200"/>
        <w:outlineLvl w:val="2"/>
        <w:rPr>
          <w:rFonts w:ascii="宋体" w:hAnsi="宋体"/>
          <w:b/>
          <w:bCs/>
          <w:dstrike/>
          <w:kern w:val="0"/>
          <w:sz w:val="24"/>
          <w:szCs w:val="24"/>
          <w:highlight w:val="none"/>
        </w:rPr>
      </w:pPr>
      <w:r>
        <w:rPr>
          <w:rFonts w:hint="eastAsia" w:ascii="宋体" w:hAnsi="宋体" w:cs="仿宋"/>
          <w:b/>
          <w:bCs/>
          <w:dstrike/>
          <w:kern w:val="0"/>
          <w:sz w:val="24"/>
          <w:szCs w:val="24"/>
          <w:highlight w:val="none"/>
        </w:rPr>
        <w:t>方法一：加权平均法</w:t>
      </w:r>
    </w:p>
    <w:p>
      <w:pPr>
        <w:spacing w:line="360" w:lineRule="auto"/>
        <w:ind w:firstLine="480" w:firstLineChars="200"/>
        <w:rPr>
          <w:rFonts w:ascii="宋体" w:hAnsi="宋体" w:cs="仿宋"/>
          <w:dstrike/>
          <w:sz w:val="24"/>
          <w:szCs w:val="24"/>
          <w:highlight w:val="none"/>
        </w:rPr>
      </w:pPr>
      <w:r>
        <w:rPr>
          <w:rFonts w:hint="eastAsia" w:ascii="宋体" w:hAnsi="宋体" w:cs="仿宋"/>
          <w:dstrike/>
          <w:sz w:val="24"/>
          <w:szCs w:val="24"/>
          <w:highlight w:val="none"/>
        </w:rPr>
        <w:t>技术标或技术标加诚信得分（具体由招标人自定）前</w:t>
      </w:r>
      <w:r>
        <w:rPr>
          <w:rFonts w:ascii="宋体" w:hAnsi="宋体" w:cs="仿宋"/>
          <w:dstrike/>
          <w:sz w:val="24"/>
          <w:szCs w:val="24"/>
          <w:highlight w:val="none"/>
        </w:rPr>
        <w:t>N</w:t>
      </w:r>
      <w:r>
        <w:rPr>
          <w:rFonts w:hint="eastAsia" w:ascii="宋体" w:hAnsi="宋体" w:cs="仿宋"/>
          <w:dstrike/>
          <w:sz w:val="24"/>
          <w:szCs w:val="24"/>
          <w:highlight w:val="none"/>
        </w:rPr>
        <w:t>名（N≥5，具体由招标人自定）的经济报价加权平均，计算评标参考价。公式如下：</w:t>
      </w:r>
    </w:p>
    <w:p>
      <w:pPr>
        <w:spacing w:line="360" w:lineRule="auto"/>
        <w:ind w:firstLine="480" w:firstLineChars="200"/>
        <w:rPr>
          <w:rFonts w:ascii="宋体" w:hAnsi="宋体" w:cs="仿宋"/>
          <w:dstrike/>
          <w:sz w:val="24"/>
          <w:szCs w:val="24"/>
          <w:highlight w:val="none"/>
        </w:rPr>
      </w:pPr>
      <w:r>
        <w:rPr>
          <w:rFonts w:hint="eastAsia" w:ascii="宋体" w:hAnsi="宋体" w:cs="仿宋"/>
          <w:dstrike/>
          <w:sz w:val="24"/>
          <w:szCs w:val="24"/>
          <w:highlight w:val="none"/>
        </w:rPr>
        <w:t>评标参考价</w:t>
      </w:r>
      <w:r>
        <w:rPr>
          <w:rFonts w:ascii="宋体" w:hAnsi="宋体" w:cs="仿宋"/>
          <w:dstrike/>
          <w:sz w:val="24"/>
          <w:szCs w:val="24"/>
          <w:highlight w:val="none"/>
        </w:rPr>
        <w:t>=</w:t>
      </w:r>
      <w:r>
        <w:rPr>
          <w:rFonts w:hint="eastAsia" w:ascii="宋体" w:hAnsi="宋体" w:cs="仿宋"/>
          <w:dstrike/>
          <w:sz w:val="24"/>
          <w:szCs w:val="24"/>
          <w:highlight w:val="none"/>
        </w:rPr>
        <w:t>Σ（投标人的投标报价</w:t>
      </w:r>
      <w:r>
        <w:rPr>
          <w:rFonts w:ascii="宋体" w:hAnsi="宋体" w:cs="仿宋"/>
          <w:dstrike/>
          <w:sz w:val="24"/>
          <w:szCs w:val="24"/>
          <w:highlight w:val="none"/>
        </w:rPr>
        <w:t>*</w:t>
      </w:r>
      <w:r>
        <w:rPr>
          <w:rFonts w:hint="eastAsia" w:ascii="宋体" w:hAnsi="宋体" w:cs="仿宋"/>
          <w:dstrike/>
          <w:sz w:val="24"/>
          <w:szCs w:val="24"/>
          <w:highlight w:val="none"/>
        </w:rPr>
        <w:t>报价权重）。</w:t>
      </w:r>
    </w:p>
    <w:p>
      <w:pPr>
        <w:spacing w:line="360" w:lineRule="auto"/>
        <w:ind w:firstLine="480" w:firstLineChars="200"/>
        <w:rPr>
          <w:rFonts w:ascii="宋体" w:hAnsi="宋体" w:cs="仿宋"/>
          <w:dstrike/>
          <w:sz w:val="24"/>
          <w:szCs w:val="24"/>
          <w:highlight w:val="none"/>
        </w:rPr>
      </w:pPr>
      <w:r>
        <w:rPr>
          <w:rFonts w:hint="eastAsia" w:ascii="宋体" w:hAnsi="宋体" w:cs="仿宋"/>
          <w:dstrike/>
          <w:sz w:val="24"/>
          <w:szCs w:val="24"/>
          <w:highlight w:val="none"/>
        </w:rPr>
        <w:t>其中：报价权重的计算方法为：将</w:t>
      </w:r>
      <w:r>
        <w:rPr>
          <w:rFonts w:ascii="宋体" w:hAnsi="宋体" w:cs="仿宋"/>
          <w:dstrike/>
          <w:sz w:val="24"/>
          <w:szCs w:val="24"/>
          <w:highlight w:val="none"/>
        </w:rPr>
        <w:t>N</w:t>
      </w:r>
      <w:r>
        <w:rPr>
          <w:rFonts w:hint="eastAsia" w:ascii="宋体" w:hAnsi="宋体" w:cs="仿宋"/>
          <w:dstrike/>
          <w:sz w:val="24"/>
          <w:szCs w:val="24"/>
          <w:highlight w:val="none"/>
        </w:rPr>
        <w:t>名投标人按技术分由高至低进行排序，第一名投标人的权重为（</w:t>
      </w:r>
      <w:r>
        <w:rPr>
          <w:rFonts w:ascii="宋体" w:hAnsi="宋体" w:cs="仿宋"/>
          <w:dstrike/>
          <w:sz w:val="24"/>
          <w:szCs w:val="24"/>
          <w:highlight w:val="none"/>
        </w:rPr>
        <w:fldChar w:fldCharType="begin"/>
      </w:r>
      <w:r>
        <w:rPr>
          <w:rFonts w:ascii="宋体" w:hAnsi="宋体" w:cs="仿宋"/>
          <w:dstrike/>
          <w:sz w:val="24"/>
          <w:szCs w:val="24"/>
          <w:highlight w:val="none"/>
        </w:rPr>
        <w:instrText xml:space="preserve"> QUOTE </w:instrText>
      </w:r>
      <w:r>
        <w:rPr>
          <w:rFonts w:ascii="宋体" w:hAnsi="宋体"/>
          <w:sz w:val="24"/>
          <w:szCs w:val="24"/>
          <w:highlight w:val="none"/>
        </w:rPr>
        <w:drawing>
          <wp:inline distT="0" distB="0" distL="0" distR="0">
            <wp:extent cx="382905" cy="44640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仿宋"/>
          <w:dstrike/>
          <w:sz w:val="24"/>
          <w:szCs w:val="24"/>
          <w:highlight w:val="none"/>
        </w:rPr>
        <w:fldChar w:fldCharType="separate"/>
      </w:r>
      <w:r>
        <w:rPr>
          <w:rFonts w:ascii="宋体" w:hAnsi="宋体"/>
          <w:sz w:val="24"/>
          <w:szCs w:val="24"/>
          <w:highlight w:val="none"/>
        </w:rPr>
        <w:drawing>
          <wp:inline distT="0" distB="0" distL="0" distR="0">
            <wp:extent cx="382905" cy="446405"/>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仿宋"/>
          <w:dstrike/>
          <w:sz w:val="24"/>
          <w:szCs w:val="24"/>
          <w:highlight w:val="none"/>
        </w:rPr>
        <w:fldChar w:fldCharType="end"/>
      </w:r>
      <w:r>
        <w:rPr>
          <w:rFonts w:hint="eastAsia" w:ascii="宋体" w:hAnsi="宋体" w:cs="仿宋"/>
          <w:dstrike/>
          <w:sz w:val="24"/>
          <w:szCs w:val="24"/>
          <w:highlight w:val="none"/>
        </w:rPr>
        <w:t>），第二名投标人的权重为（</w:t>
      </w:r>
      <w:r>
        <w:rPr>
          <w:rFonts w:ascii="宋体" w:hAnsi="宋体" w:cs="仿宋"/>
          <w:dstrike/>
          <w:sz w:val="24"/>
          <w:szCs w:val="24"/>
          <w:highlight w:val="none"/>
        </w:rPr>
        <w:fldChar w:fldCharType="begin"/>
      </w:r>
      <w:r>
        <w:rPr>
          <w:rFonts w:ascii="宋体" w:hAnsi="宋体" w:cs="仿宋"/>
          <w:dstrike/>
          <w:sz w:val="24"/>
          <w:szCs w:val="24"/>
          <w:highlight w:val="none"/>
        </w:rPr>
        <w:instrText xml:space="preserve"> QUOTE </w:instrText>
      </w:r>
      <w:r>
        <w:rPr>
          <w:rFonts w:ascii="宋体" w:hAnsi="宋体"/>
          <w:position w:val="-23"/>
          <w:sz w:val="24"/>
          <w:szCs w:val="24"/>
          <w:highlight w:val="none"/>
        </w:rPr>
        <w:drawing>
          <wp:inline distT="0" distB="0" distL="0" distR="0">
            <wp:extent cx="318770" cy="40386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dstrike/>
          <w:sz w:val="24"/>
          <w:szCs w:val="24"/>
          <w:highlight w:val="none"/>
        </w:rPr>
        <w:fldChar w:fldCharType="separate"/>
      </w:r>
      <w:r>
        <w:rPr>
          <w:rFonts w:ascii="宋体" w:hAnsi="宋体"/>
          <w:position w:val="-23"/>
          <w:sz w:val="24"/>
          <w:szCs w:val="24"/>
          <w:highlight w:val="none"/>
        </w:rPr>
        <w:drawing>
          <wp:inline distT="0" distB="0" distL="0" distR="0">
            <wp:extent cx="318770" cy="403860"/>
            <wp:effectExtent l="0" t="0" r="508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dstrike/>
          <w:sz w:val="24"/>
          <w:szCs w:val="24"/>
          <w:highlight w:val="none"/>
        </w:rPr>
        <w:fldChar w:fldCharType="end"/>
      </w:r>
      <w:r>
        <w:rPr>
          <w:rFonts w:hint="eastAsia" w:ascii="宋体" w:hAnsi="宋体" w:cs="仿宋"/>
          <w:dstrike/>
          <w:sz w:val="24"/>
          <w:szCs w:val="24"/>
          <w:highlight w:val="none"/>
        </w:rPr>
        <w:t>），以此类推，最后一名投标人的权重为（</w:t>
      </w:r>
      <w:r>
        <w:rPr>
          <w:rFonts w:ascii="宋体" w:hAnsi="宋体" w:cs="仿宋"/>
          <w:dstrike/>
          <w:sz w:val="24"/>
          <w:szCs w:val="24"/>
          <w:highlight w:val="none"/>
        </w:rPr>
        <w:fldChar w:fldCharType="begin"/>
      </w:r>
      <w:r>
        <w:rPr>
          <w:rFonts w:ascii="宋体" w:hAnsi="宋体" w:cs="仿宋"/>
          <w:dstrike/>
          <w:sz w:val="24"/>
          <w:szCs w:val="24"/>
          <w:highlight w:val="none"/>
        </w:rPr>
        <w:instrText xml:space="preserve"> QUOTE </w:instrText>
      </w:r>
      <w:r>
        <w:rPr>
          <w:rFonts w:ascii="宋体" w:hAnsi="宋体"/>
          <w:position w:val="-23"/>
          <w:sz w:val="24"/>
          <w:szCs w:val="24"/>
          <w:highlight w:val="none"/>
        </w:rPr>
        <w:drawing>
          <wp:inline distT="0" distB="0" distL="0" distR="0">
            <wp:extent cx="318770" cy="403860"/>
            <wp:effectExtent l="0" t="0" r="508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dstrike/>
          <w:sz w:val="24"/>
          <w:szCs w:val="24"/>
          <w:highlight w:val="none"/>
        </w:rPr>
        <w:fldChar w:fldCharType="separate"/>
      </w:r>
      <w:r>
        <w:rPr>
          <w:rFonts w:ascii="宋体" w:hAnsi="宋体"/>
          <w:position w:val="-23"/>
          <w:sz w:val="24"/>
          <w:szCs w:val="24"/>
          <w:highlight w:val="none"/>
        </w:rPr>
        <w:drawing>
          <wp:inline distT="0" distB="0" distL="0" distR="0">
            <wp:extent cx="318770" cy="403860"/>
            <wp:effectExtent l="0" t="0" r="508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dstrike/>
          <w:sz w:val="24"/>
          <w:szCs w:val="24"/>
          <w:highlight w:val="none"/>
        </w:rPr>
        <w:fldChar w:fldCharType="end"/>
      </w:r>
      <w:r>
        <w:rPr>
          <w:rFonts w:hint="eastAsia" w:ascii="宋体" w:hAnsi="宋体" w:cs="仿宋"/>
          <w:dstrike/>
          <w:sz w:val="24"/>
          <w:szCs w:val="24"/>
          <w:highlight w:val="none"/>
        </w:rPr>
        <w:t>）。</w:t>
      </w:r>
    </w:p>
    <w:p>
      <w:pPr>
        <w:widowControl/>
        <w:spacing w:line="360" w:lineRule="auto"/>
        <w:ind w:firstLine="482" w:firstLineChars="200"/>
        <w:outlineLvl w:val="2"/>
        <w:rPr>
          <w:rFonts w:ascii="宋体" w:hAnsi="宋体"/>
          <w:b/>
          <w:bCs/>
          <w:dstrike/>
          <w:kern w:val="0"/>
          <w:sz w:val="24"/>
          <w:szCs w:val="24"/>
          <w:highlight w:val="none"/>
        </w:rPr>
      </w:pPr>
      <w:r>
        <w:rPr>
          <w:rFonts w:hint="eastAsia" w:ascii="宋体" w:hAnsi="宋体" w:cs="仿宋"/>
          <w:b/>
          <w:bCs/>
          <w:dstrike/>
          <w:kern w:val="0"/>
          <w:sz w:val="24"/>
          <w:szCs w:val="24"/>
          <w:highlight w:val="none"/>
        </w:rPr>
        <w:t>方法二：区间抽取法</w:t>
      </w:r>
    </w:p>
    <w:p>
      <w:pPr>
        <w:widowControl/>
        <w:snapToGrid w:val="0"/>
        <w:spacing w:line="360" w:lineRule="auto"/>
        <w:ind w:firstLine="480" w:firstLineChars="200"/>
        <w:rPr>
          <w:rFonts w:ascii="宋体" w:hAnsi="宋体"/>
          <w:dstrike/>
          <w:kern w:val="0"/>
          <w:sz w:val="24"/>
          <w:szCs w:val="24"/>
          <w:highlight w:val="none"/>
        </w:rPr>
      </w:pPr>
      <w:r>
        <w:rPr>
          <w:rFonts w:hint="eastAsia" w:ascii="宋体" w:hAnsi="宋体" w:cs="仿宋"/>
          <w:dstrike/>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dstrike/>
          <w:kern w:val="0"/>
          <w:sz w:val="24"/>
          <w:szCs w:val="24"/>
          <w:highlight w:val="none"/>
          <w:vertAlign w:val="subscript"/>
        </w:rPr>
      </w:pPr>
      <w:r>
        <w:rPr>
          <w:rFonts w:hint="eastAsia" w:ascii="宋体" w:hAnsi="宋体" w:cs="仿宋"/>
          <w:dstrike/>
          <w:kern w:val="0"/>
          <w:sz w:val="24"/>
          <w:szCs w:val="24"/>
          <w:highlight w:val="none"/>
        </w:rPr>
        <w:t>评标参考价</w:t>
      </w:r>
      <w:r>
        <w:rPr>
          <w:rFonts w:ascii="宋体" w:hAnsi="宋体" w:cs="仿宋"/>
          <w:dstrike/>
          <w:kern w:val="0"/>
          <w:sz w:val="24"/>
          <w:szCs w:val="24"/>
          <w:highlight w:val="none"/>
        </w:rPr>
        <w:t>=</w:t>
      </w:r>
      <w:r>
        <w:rPr>
          <w:rFonts w:hint="eastAsia" w:ascii="宋体" w:hAnsi="宋体" w:cs="仿宋"/>
          <w:dstrike/>
          <w:kern w:val="0"/>
          <w:sz w:val="24"/>
          <w:szCs w:val="24"/>
          <w:highlight w:val="none"/>
        </w:rPr>
        <w:t>（</w:t>
      </w:r>
      <w:r>
        <w:rPr>
          <w:rFonts w:ascii="宋体" w:hAnsi="宋体" w:cs="仿宋"/>
          <w:dstrike/>
          <w:kern w:val="0"/>
          <w:sz w:val="24"/>
          <w:szCs w:val="24"/>
          <w:highlight w:val="none"/>
        </w:rPr>
        <w:t>Q</w:t>
      </w:r>
      <w:r>
        <w:rPr>
          <w:rFonts w:hint="eastAsia" w:ascii="宋体" w:hAnsi="宋体" w:cs="仿宋"/>
          <w:dstrike/>
          <w:kern w:val="0"/>
          <w:sz w:val="24"/>
          <w:szCs w:val="24"/>
          <w:highlight w:val="none"/>
          <w:vertAlign w:val="subscript"/>
        </w:rPr>
        <w:t>高</w:t>
      </w:r>
      <w:r>
        <w:rPr>
          <w:rFonts w:ascii="宋体" w:hAnsi="宋体" w:cs="仿宋"/>
          <w:dstrike/>
          <w:kern w:val="0"/>
          <w:sz w:val="24"/>
          <w:szCs w:val="24"/>
          <w:highlight w:val="none"/>
        </w:rPr>
        <w:t>-Q</w:t>
      </w:r>
      <w:r>
        <w:rPr>
          <w:rFonts w:hint="eastAsia" w:ascii="宋体" w:hAnsi="宋体" w:cs="仿宋"/>
          <w:dstrike/>
          <w:kern w:val="0"/>
          <w:sz w:val="24"/>
          <w:szCs w:val="24"/>
          <w:highlight w:val="none"/>
          <w:vertAlign w:val="subscript"/>
        </w:rPr>
        <w:t>低</w:t>
      </w:r>
      <w:r>
        <w:rPr>
          <w:rFonts w:hint="eastAsia" w:ascii="宋体" w:hAnsi="宋体" w:cs="仿宋"/>
          <w:dstrike/>
          <w:kern w:val="0"/>
          <w:sz w:val="24"/>
          <w:szCs w:val="24"/>
          <w:highlight w:val="none"/>
        </w:rPr>
        <w:t>）</w:t>
      </w:r>
      <w:r>
        <w:rPr>
          <w:rFonts w:ascii="宋体" w:hAnsi="宋体" w:cs="仿宋"/>
          <w:dstrike/>
          <w:kern w:val="0"/>
          <w:sz w:val="24"/>
          <w:szCs w:val="24"/>
          <w:highlight w:val="none"/>
        </w:rPr>
        <w:t>/100*</w:t>
      </w:r>
      <w:r>
        <w:rPr>
          <w:rFonts w:hint="eastAsia" w:ascii="宋体" w:hAnsi="宋体" w:cs="仿宋"/>
          <w:dstrike/>
          <w:kern w:val="0"/>
          <w:sz w:val="24"/>
          <w:szCs w:val="24"/>
          <w:highlight w:val="none"/>
        </w:rPr>
        <w:t>Ｘ</w:t>
      </w:r>
      <w:r>
        <w:rPr>
          <w:rFonts w:ascii="宋体" w:hAnsi="宋体" w:cs="仿宋"/>
          <w:dstrike/>
          <w:kern w:val="0"/>
          <w:sz w:val="24"/>
          <w:szCs w:val="24"/>
          <w:highlight w:val="none"/>
        </w:rPr>
        <w:t>+Q</w:t>
      </w:r>
      <w:r>
        <w:rPr>
          <w:rFonts w:hint="eastAsia" w:ascii="宋体" w:hAnsi="宋体" w:cs="仿宋"/>
          <w:dstrike/>
          <w:kern w:val="0"/>
          <w:sz w:val="24"/>
          <w:szCs w:val="24"/>
          <w:highlight w:val="none"/>
          <w:vertAlign w:val="subscript"/>
        </w:rPr>
        <w:t>低</w:t>
      </w:r>
    </w:p>
    <w:p>
      <w:pPr>
        <w:widowControl/>
        <w:snapToGrid w:val="0"/>
        <w:spacing w:line="360" w:lineRule="auto"/>
        <w:ind w:firstLine="480" w:firstLineChars="200"/>
        <w:rPr>
          <w:rFonts w:ascii="宋体" w:hAnsi="宋体"/>
          <w:dstrike/>
          <w:sz w:val="24"/>
          <w:szCs w:val="24"/>
          <w:highlight w:val="none"/>
        </w:rPr>
      </w:pPr>
      <w:r>
        <w:rPr>
          <w:rFonts w:ascii="宋体" w:hAnsi="宋体" w:cs="仿宋"/>
          <w:dstrike/>
          <w:sz w:val="24"/>
          <w:szCs w:val="24"/>
          <w:highlight w:val="none"/>
        </w:rPr>
        <w:t>Q</w:t>
      </w:r>
      <w:r>
        <w:rPr>
          <w:rFonts w:hint="eastAsia" w:ascii="宋体" w:hAnsi="宋体" w:cs="仿宋"/>
          <w:dstrike/>
          <w:sz w:val="24"/>
          <w:szCs w:val="24"/>
          <w:highlight w:val="none"/>
          <w:vertAlign w:val="subscript"/>
        </w:rPr>
        <w:t>低</w:t>
      </w:r>
      <w:r>
        <w:rPr>
          <w:rFonts w:hint="eastAsia" w:ascii="宋体" w:hAnsi="宋体" w:cs="仿宋"/>
          <w:dstrike/>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仿宋"/>
          <w:dstrike/>
          <w:sz w:val="24"/>
          <w:szCs w:val="24"/>
          <w:highlight w:val="none"/>
        </w:rPr>
      </w:pPr>
      <w:r>
        <w:rPr>
          <w:rFonts w:ascii="宋体" w:hAnsi="宋体" w:cs="仿宋"/>
          <w:dstrike/>
          <w:kern w:val="0"/>
          <w:sz w:val="24"/>
          <w:szCs w:val="24"/>
          <w:highlight w:val="none"/>
        </w:rPr>
        <w:t>Q</w:t>
      </w:r>
      <w:r>
        <w:rPr>
          <w:rFonts w:hint="eastAsia" w:ascii="宋体" w:hAnsi="宋体" w:cs="仿宋"/>
          <w:dstrike/>
          <w:kern w:val="0"/>
          <w:sz w:val="24"/>
          <w:szCs w:val="24"/>
          <w:highlight w:val="none"/>
          <w:vertAlign w:val="subscript"/>
        </w:rPr>
        <w:t>高</w:t>
      </w:r>
      <w:r>
        <w:rPr>
          <w:rFonts w:hint="eastAsia" w:ascii="宋体" w:hAnsi="宋体" w:cs="仿宋"/>
          <w:dstrike/>
          <w:sz w:val="24"/>
          <w:szCs w:val="24"/>
          <w:highlight w:val="none"/>
        </w:rPr>
        <w:t>：为（最高投标限价</w:t>
      </w:r>
      <w:r>
        <w:rPr>
          <w:rFonts w:ascii="宋体" w:hAnsi="宋体" w:cs="仿宋"/>
          <w:dstrike/>
          <w:sz w:val="24"/>
          <w:szCs w:val="24"/>
          <w:highlight w:val="none"/>
        </w:rPr>
        <w:t>*D%</w:t>
      </w:r>
      <w:r>
        <w:rPr>
          <w:rFonts w:hint="eastAsia" w:ascii="宋体" w:hAnsi="宋体" w:cs="仿宋"/>
          <w:dstrike/>
          <w:sz w:val="24"/>
          <w:szCs w:val="24"/>
          <w:highlight w:val="none"/>
        </w:rPr>
        <w:t>）（</w:t>
      </w:r>
      <w:r>
        <w:rPr>
          <w:rFonts w:ascii="宋体" w:hAnsi="宋体" w:cs="仿宋"/>
          <w:dstrike/>
          <w:sz w:val="24"/>
          <w:szCs w:val="24"/>
          <w:highlight w:val="none"/>
        </w:rPr>
        <w:t>D</w:t>
      </w:r>
      <w:r>
        <w:rPr>
          <w:rFonts w:hint="eastAsia" w:ascii="宋体" w:hAnsi="宋体" w:cs="仿宋"/>
          <w:dstrike/>
          <w:sz w:val="24"/>
          <w:szCs w:val="24"/>
          <w:highlight w:val="none"/>
        </w:rPr>
        <w:t>的取值范围为</w:t>
      </w:r>
      <w:r>
        <w:rPr>
          <w:rFonts w:ascii="宋体" w:hAnsi="宋体" w:cs="仿宋"/>
          <w:dstrike/>
          <w:sz w:val="24"/>
          <w:szCs w:val="24"/>
          <w:highlight w:val="none"/>
        </w:rPr>
        <w:t>[94,100],</w:t>
      </w:r>
      <w:r>
        <w:rPr>
          <w:rFonts w:hint="eastAsia" w:ascii="宋体" w:hAnsi="宋体" w:cs="仿宋"/>
          <w:dstrike/>
          <w:sz w:val="24"/>
          <w:szCs w:val="24"/>
          <w:highlight w:val="none"/>
        </w:rPr>
        <w:t>由招标人自定）</w:t>
      </w:r>
    </w:p>
    <w:p>
      <w:pPr>
        <w:spacing w:line="360" w:lineRule="auto"/>
        <w:ind w:firstLine="480" w:firstLineChars="200"/>
        <w:outlineLvl w:val="2"/>
        <w:rPr>
          <w:rFonts w:ascii="宋体" w:hAnsi="宋体"/>
          <w:dstrike/>
          <w:sz w:val="24"/>
          <w:szCs w:val="24"/>
          <w:highlight w:val="none"/>
        </w:rPr>
      </w:pPr>
      <w:r>
        <w:rPr>
          <w:rFonts w:ascii="宋体" w:hAnsi="宋体" w:cs="仿宋"/>
          <w:dstrike/>
          <w:sz w:val="24"/>
          <w:szCs w:val="24"/>
          <w:highlight w:val="none"/>
        </w:rPr>
        <w:t>X:</w:t>
      </w:r>
      <w:r>
        <w:rPr>
          <w:rFonts w:hint="eastAsia" w:ascii="宋体" w:hAnsi="宋体" w:cs="仿宋"/>
          <w:dstrike/>
          <w:sz w:val="24"/>
          <w:szCs w:val="24"/>
          <w:highlight w:val="none"/>
        </w:rPr>
        <w:t>为等分点值，从</w:t>
      </w:r>
      <w:r>
        <w:rPr>
          <w:rFonts w:ascii="宋体" w:hAnsi="宋体" w:cs="仿宋"/>
          <w:dstrike/>
          <w:sz w:val="24"/>
          <w:szCs w:val="24"/>
          <w:highlight w:val="none"/>
        </w:rPr>
        <w:t>[0,100]</w:t>
      </w:r>
      <w:r>
        <w:rPr>
          <w:rFonts w:hint="eastAsia" w:ascii="宋体" w:hAnsi="宋体" w:cs="仿宋"/>
          <w:dstrike/>
          <w:sz w:val="24"/>
          <w:szCs w:val="24"/>
          <w:highlight w:val="none"/>
        </w:rPr>
        <w:t>整数中随机抽取</w:t>
      </w:r>
    </w:p>
    <w:p>
      <w:pPr>
        <w:spacing w:line="360" w:lineRule="auto"/>
        <w:ind w:firstLine="480" w:firstLineChars="200"/>
        <w:rPr>
          <w:rFonts w:ascii="宋体" w:hAnsi="宋体"/>
          <w:dstrike/>
          <w:sz w:val="24"/>
          <w:szCs w:val="24"/>
          <w:highlight w:val="none"/>
        </w:rPr>
      </w:pPr>
      <w:r>
        <w:rPr>
          <w:rFonts w:hint="eastAsia" w:ascii="宋体" w:hAnsi="宋体" w:cs="宋体"/>
          <w:dstrike/>
          <w:kern w:val="0"/>
          <w:sz w:val="24"/>
          <w:szCs w:val="24"/>
          <w:highlight w:val="none"/>
        </w:rPr>
        <w:t>45.3</w:t>
      </w:r>
      <w:r>
        <w:rPr>
          <w:rFonts w:hint="eastAsia" w:ascii="宋体" w:hAnsi="宋体"/>
          <w:dstrike/>
          <w:sz w:val="24"/>
          <w:szCs w:val="24"/>
          <w:highlight w:val="none"/>
        </w:rPr>
        <w:t>当标价等于评标参考价时得</w:t>
      </w:r>
      <w:r>
        <w:rPr>
          <w:rFonts w:ascii="宋体" w:hAnsi="宋体"/>
          <w:dstrike/>
          <w:sz w:val="24"/>
          <w:szCs w:val="24"/>
          <w:highlight w:val="none"/>
        </w:rPr>
        <w:t>100</w:t>
      </w:r>
      <w:r>
        <w:rPr>
          <w:rFonts w:hint="eastAsia" w:ascii="宋体" w:hAnsi="宋体"/>
          <w:dstrike/>
          <w:sz w:val="24"/>
          <w:szCs w:val="24"/>
          <w:highlight w:val="none"/>
        </w:rPr>
        <w:t>分，标价每高于评标参考价</w:t>
      </w:r>
      <w:r>
        <w:rPr>
          <w:rFonts w:ascii="宋体" w:hAnsi="宋体"/>
          <w:dstrike/>
          <w:sz w:val="24"/>
          <w:szCs w:val="24"/>
          <w:highlight w:val="none"/>
        </w:rPr>
        <w:t>1%</w:t>
      </w:r>
      <w:r>
        <w:rPr>
          <w:rFonts w:hint="eastAsia" w:ascii="宋体" w:hAnsi="宋体"/>
          <w:dstrike/>
          <w:sz w:val="24"/>
          <w:szCs w:val="24"/>
          <w:highlight w:val="none"/>
        </w:rPr>
        <w:t>，扣</w:t>
      </w:r>
      <w:r>
        <w:rPr>
          <w:rFonts w:ascii="宋体" w:hAnsi="宋体"/>
          <w:dstrike/>
          <w:sz w:val="24"/>
          <w:szCs w:val="24"/>
          <w:highlight w:val="none"/>
        </w:rPr>
        <w:t>1.5</w:t>
      </w:r>
      <w:r>
        <w:rPr>
          <w:rFonts w:hint="eastAsia" w:ascii="宋体" w:hAnsi="宋体"/>
          <w:dstrike/>
          <w:sz w:val="24"/>
          <w:szCs w:val="24"/>
          <w:highlight w:val="none"/>
        </w:rPr>
        <w:t>分，每低于评标参考价</w:t>
      </w:r>
      <w:r>
        <w:rPr>
          <w:rFonts w:ascii="宋体" w:hAnsi="宋体"/>
          <w:dstrike/>
          <w:sz w:val="24"/>
          <w:szCs w:val="24"/>
          <w:highlight w:val="none"/>
        </w:rPr>
        <w:t>1%</w:t>
      </w:r>
      <w:r>
        <w:rPr>
          <w:rFonts w:hint="eastAsia" w:ascii="宋体" w:hAnsi="宋体"/>
          <w:dstrike/>
          <w:sz w:val="24"/>
          <w:szCs w:val="24"/>
          <w:highlight w:val="none"/>
        </w:rPr>
        <w:t>，扣</w:t>
      </w:r>
      <w:r>
        <w:rPr>
          <w:rFonts w:ascii="宋体" w:hAnsi="宋体"/>
          <w:dstrike/>
          <w:sz w:val="24"/>
          <w:szCs w:val="24"/>
          <w:highlight w:val="none"/>
        </w:rPr>
        <w:t>1</w:t>
      </w:r>
      <w:r>
        <w:rPr>
          <w:rFonts w:hint="eastAsia" w:ascii="宋体" w:hAnsi="宋体"/>
          <w:dstrike/>
          <w:sz w:val="24"/>
          <w:szCs w:val="24"/>
          <w:highlight w:val="none"/>
        </w:rPr>
        <w:t>分，扣至</w:t>
      </w:r>
      <w:r>
        <w:rPr>
          <w:rFonts w:ascii="宋体" w:hAnsi="宋体"/>
          <w:dstrike/>
          <w:sz w:val="24"/>
          <w:szCs w:val="24"/>
          <w:highlight w:val="none"/>
        </w:rPr>
        <w:t>0</w:t>
      </w:r>
      <w:r>
        <w:rPr>
          <w:rFonts w:hint="eastAsia" w:ascii="宋体" w:hAnsi="宋体"/>
          <w:dstrike/>
          <w:sz w:val="24"/>
          <w:szCs w:val="24"/>
          <w:highlight w:val="none"/>
        </w:rPr>
        <w:t>分为止，得出经济分，精确到小数点后两位。</w:t>
      </w:r>
    </w:p>
    <w:p>
      <w:pPr>
        <w:pStyle w:val="5"/>
        <w:tabs>
          <w:tab w:val="left" w:pos="7380"/>
        </w:tabs>
        <w:snapToGrid w:val="0"/>
        <w:spacing w:after="0" w:line="360" w:lineRule="auto"/>
        <w:ind w:firstLine="480" w:firstLineChars="200"/>
        <w:rPr>
          <w:rFonts w:ascii="宋体"/>
          <w:dstrike/>
          <w:sz w:val="24"/>
          <w:szCs w:val="24"/>
          <w:highlight w:val="none"/>
        </w:rPr>
      </w:pPr>
      <w:r>
        <w:rPr>
          <w:rFonts w:hint="eastAsia" w:ascii="宋体" w:hAnsi="宋体"/>
          <w:dstrike/>
          <w:sz w:val="24"/>
          <w:szCs w:val="24"/>
          <w:highlight w:val="none"/>
        </w:rPr>
        <w:t>45.4</w:t>
      </w:r>
      <w:r>
        <w:rPr>
          <w:rFonts w:hint="eastAsia" w:ascii="宋体"/>
          <w:dstrike/>
          <w:sz w:val="24"/>
          <w:szCs w:val="24"/>
          <w:highlight w:val="none"/>
        </w:rPr>
        <w:t>计算通过技术标有效性审查的投标人总得分。投标人总得分=（技术得分×技术得分权重</w:t>
      </w:r>
      <w:r>
        <w:rPr>
          <w:rFonts w:hint="eastAsia" w:ascii="宋体" w:cs="宋体"/>
          <w:dstrike/>
          <w:sz w:val="24"/>
          <w:szCs w:val="24"/>
          <w:highlight w:val="none"/>
        </w:rPr>
        <w:t>＋</w:t>
      </w:r>
      <w:r>
        <w:rPr>
          <w:rFonts w:hint="eastAsia" w:ascii="宋体"/>
          <w:dstrike/>
          <w:sz w:val="24"/>
          <w:szCs w:val="24"/>
          <w:highlight w:val="none"/>
        </w:rPr>
        <w:t>经济得分×经济得分权重）×（1-综合诚信评价分数权重）</w:t>
      </w:r>
      <w:r>
        <w:rPr>
          <w:rFonts w:hint="eastAsia" w:ascii="宋体" w:cs="宋体"/>
          <w:dstrike/>
          <w:sz w:val="24"/>
          <w:szCs w:val="24"/>
          <w:highlight w:val="none"/>
        </w:rPr>
        <w:t>＋</w:t>
      </w:r>
      <w:r>
        <w:rPr>
          <w:rFonts w:hint="eastAsia" w:ascii="宋体"/>
          <w:dstrike/>
          <w:sz w:val="24"/>
          <w:szCs w:val="24"/>
          <w:highlight w:val="none"/>
        </w:rPr>
        <w:t>综合诚信评价排名得分×综合诚信评价分数权重）。技术、经济得分权重按投标须知前附表的规定执行。总得分四舍五入保留两位小数。</w:t>
      </w:r>
    </w:p>
    <w:p>
      <w:pPr>
        <w:pStyle w:val="5"/>
        <w:tabs>
          <w:tab w:val="left" w:pos="7380"/>
        </w:tabs>
        <w:snapToGrid w:val="0"/>
        <w:spacing w:after="0" w:line="360" w:lineRule="auto"/>
        <w:ind w:firstLine="480" w:firstLineChars="200"/>
        <w:rPr>
          <w:rFonts w:ascii="宋体" w:hAnsi="宋体"/>
          <w:sz w:val="24"/>
          <w:szCs w:val="24"/>
          <w:highlight w:val="none"/>
        </w:rPr>
      </w:pPr>
      <w:r>
        <w:rPr>
          <w:rFonts w:hint="eastAsia" w:ascii="宋体" w:hAnsi="宋体"/>
          <w:sz w:val="24"/>
          <w:szCs w:val="24"/>
          <w:highlight w:val="none"/>
        </w:rPr>
        <w:t>46.经济标的有效性审查</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46.1</w:t>
      </w:r>
      <w:r>
        <w:rPr>
          <w:rFonts w:hint="eastAsia" w:ascii="宋体" w:hAnsi="宋体"/>
          <w:sz w:val="24"/>
          <w:szCs w:val="24"/>
          <w:highlight w:val="none"/>
          <w:u w:val="single"/>
        </w:rPr>
        <w:t>对通过技术标有效性审查投标人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sz w:val="24"/>
          <w:szCs w:val="24"/>
          <w:highlight w:val="non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6.2.1如果数字表示的金额和用文字表示的金额不一致时，应以文字表示的金额为准；</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6.2.2经算术复核的投标人报价与其投标报价不一致时，按就低不就高原则确定其最终报价；</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4</w:t>
      </w:r>
      <w:r>
        <w:rPr>
          <w:rFonts w:hint="eastAsia" w:ascii="宋体" w:hAnsi="宋体"/>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5</w:t>
      </w:r>
      <w:r>
        <w:rPr>
          <w:rFonts w:hint="eastAsia" w:ascii="宋体" w:hAnsi="宋体"/>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6</w:t>
      </w:r>
      <w:r>
        <w:rPr>
          <w:rFonts w:hint="eastAsia" w:ascii="宋体" w:hAnsi="宋体"/>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7</w:t>
      </w:r>
      <w:r>
        <w:rPr>
          <w:rFonts w:hint="eastAsia" w:ascii="宋体" w:hAnsi="宋体"/>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8</w:t>
      </w:r>
      <w:r>
        <w:rPr>
          <w:rFonts w:hint="eastAsia" w:ascii="宋体" w:hAnsi="宋体"/>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592" w:firstLineChars="247"/>
        <w:rPr>
          <w:rFonts w:ascii="宋体" w:hAnsi="宋体"/>
          <w:b/>
          <w:sz w:val="24"/>
          <w:szCs w:val="24"/>
          <w:highlight w:val="none"/>
          <w:u w:val="single"/>
        </w:rPr>
      </w:pPr>
      <w:r>
        <w:rPr>
          <w:rFonts w:hint="eastAsia" w:ascii="宋体" w:hAnsi="宋体"/>
          <w:sz w:val="24"/>
          <w:szCs w:val="24"/>
          <w:highlight w:val="none"/>
          <w:u w:val="single"/>
        </w:rPr>
        <w:t>47.评标委员会按只有通过有效性审查的投标人的投标文件方可进入下一阶段有效性审查的原则，根据有效性审查结果，取消被否决投标的投标人进入定标阶段的合格中标候选人资格，其余通过全部有效性审查的投标人均可进入定标阶段。</w:t>
      </w:r>
    </w:p>
    <w:p>
      <w:pPr>
        <w:spacing w:line="360" w:lineRule="auto"/>
        <w:ind w:firstLine="592" w:firstLineChars="247"/>
        <w:rPr>
          <w:rFonts w:ascii="宋体" w:hAnsi="宋体"/>
          <w:sz w:val="24"/>
          <w:szCs w:val="24"/>
          <w:highlight w:val="none"/>
          <w:u w:val="single"/>
        </w:rPr>
      </w:pPr>
      <w:r>
        <w:rPr>
          <w:rFonts w:hint="eastAsia" w:ascii="宋体" w:hAnsi="宋体"/>
          <w:sz w:val="24"/>
          <w:szCs w:val="24"/>
          <w:highlight w:val="none"/>
          <w:u w:val="single"/>
        </w:rPr>
        <w:t>48.评标委员会应在通过投标文件经济标有效性审查的投标人中，确定合格中标候选人进入定标阶段</w:t>
      </w:r>
      <w:r>
        <w:rPr>
          <w:rFonts w:hint="eastAsia" w:ascii="宋体" w:hAnsi="宋体"/>
          <w:sz w:val="24"/>
          <w:highlight w:val="none"/>
          <w:u w:val="single"/>
        </w:rPr>
        <w:t>【不排序，按统一社会信用代码后4位（除校验码外）大小排位】</w:t>
      </w:r>
      <w:r>
        <w:rPr>
          <w:rFonts w:hint="eastAsia" w:ascii="宋体"/>
          <w:sz w:val="24"/>
          <w:szCs w:val="24"/>
          <w:highlight w:val="none"/>
          <w:u w:val="single"/>
        </w:rPr>
        <w:t>,</w:t>
      </w:r>
      <w:r>
        <w:rPr>
          <w:rFonts w:hint="eastAsia" w:ascii="宋体" w:hAnsi="宋体"/>
          <w:sz w:val="24"/>
          <w:szCs w:val="24"/>
          <w:highlight w:val="none"/>
          <w:u w:val="single"/>
        </w:rPr>
        <w:t>并编制评标报告。</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9.若通过经济标有效性审查的投标人不足三家，应当依法重新招标。（当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N+2</w:t>
      </w:r>
      <w:r>
        <w:rPr>
          <w:rFonts w:hint="eastAsia" w:ascii="宋体" w:hAnsi="宋体"/>
          <w:sz w:val="24"/>
          <w:szCs w:val="24"/>
          <w:highlight w:val="none"/>
        </w:rPr>
        <w:t>家，应当依法重新招标）</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.定标</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中标候选人公示结束后，招标人按以下规定组建定标委员会，在评标委员会推荐的合格中标候选人中确定中标人：</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（1）定标由招标人依法组建的定标委员会负责，成员数量为5人或以上单数，定标委员会成员不得参与定标前期准备工作。</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（2）招标人应当组建监督小组对定标过程进行见证监督。</w:t>
      </w:r>
    </w:p>
    <w:p>
      <w:pPr>
        <w:spacing w:line="360" w:lineRule="auto"/>
        <w:ind w:firstLine="480" w:firstLineChars="200"/>
        <w:rPr>
          <w:rFonts w:ascii="宋体" w:hAnsi="宋体"/>
          <w:bCs/>
          <w:sz w:val="24"/>
          <w:szCs w:val="24"/>
          <w:highlight w:val="none"/>
          <w:u w:val="single"/>
        </w:rPr>
      </w:pPr>
      <w:r>
        <w:rPr>
          <w:rFonts w:hint="eastAsia" w:ascii="宋体" w:hAnsi="宋体"/>
          <w:bCs/>
          <w:sz w:val="24"/>
          <w:szCs w:val="24"/>
          <w:highlight w:val="none"/>
          <w:u w:val="single"/>
        </w:rPr>
        <w:t>5</w:t>
      </w:r>
      <w:r>
        <w:rPr>
          <w:rFonts w:ascii="宋体" w:hAnsi="宋体"/>
          <w:bCs/>
          <w:sz w:val="24"/>
          <w:szCs w:val="24"/>
          <w:highlight w:val="none"/>
          <w:u w:val="single"/>
        </w:rPr>
        <w:t>0</w:t>
      </w:r>
      <w:r>
        <w:rPr>
          <w:rFonts w:hint="eastAsia" w:ascii="宋体" w:hAnsi="宋体"/>
          <w:bCs/>
          <w:sz w:val="24"/>
          <w:szCs w:val="24"/>
          <w:highlight w:val="none"/>
          <w:u w:val="single"/>
        </w:rPr>
        <w:t>.1 定标时间和地点</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招标人在合格的中标候选人公示结束后10个工作日内在广州公共资源交易中心举行定标会议，招标人按规定程序在投标人须知的时间和地点完成定标工作。</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 定标规则</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本项目采用</w:t>
      </w:r>
      <w:r>
        <w:rPr>
          <w:rFonts w:hint="eastAsia" w:ascii="宋体" w:hAnsi="宋体"/>
          <w:sz w:val="24"/>
          <w:szCs w:val="24"/>
          <w:highlight w:val="none"/>
          <w:u w:val="single"/>
        </w:rPr>
        <w:t>“记名投票+撰写评语”</w:t>
      </w:r>
      <w:r>
        <w:rPr>
          <w:rFonts w:hint="eastAsia" w:ascii="宋体" w:hAnsi="宋体"/>
          <w:sz w:val="24"/>
          <w:szCs w:val="24"/>
          <w:highlight w:val="none"/>
        </w:rPr>
        <w:t>定标方法,定标方法如下：</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.2.1 定标程序</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.2.1.1定标工作开始后，发放选票，由定标委员会参考定标因素进行记名投票，定标委员会应推荐一人为定标委员会组长，主持当次定标会议。</w:t>
      </w:r>
    </w:p>
    <w:p>
      <w:pPr>
        <w:spacing w:line="360" w:lineRule="auto"/>
        <w:ind w:firstLine="480" w:firstLineChars="200"/>
        <w:rPr>
          <w:rFonts w:asci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.2.1.2定标辅助资料为评标阶段的评标报告、投标人提交的投标文件与定标辅助文件。</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.2.1.3定标委员会根据定标辅助资料，在同等条件下，定标因素的相对标准按以下几个方面进行：</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（1）投标人的企业规模及综合实力；</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（2）投标人拟派项目管理团队成员情况；</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u w:val="single"/>
        </w:rPr>
        <w:t>（3）施工方案；</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（4）投标价格；</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（5）其他招标人认为需考察的因素。</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.2.1.4投票规则：定标委员会根据定标因素对各合格的中标</w:t>
      </w:r>
      <w:r>
        <w:rPr>
          <w:rFonts w:ascii="宋体" w:hAnsi="宋体"/>
          <w:sz w:val="24"/>
          <w:szCs w:val="24"/>
          <w:highlight w:val="none"/>
          <w:u w:val="single"/>
        </w:rPr>
        <w:t>侯选人</w:t>
      </w:r>
      <w:r>
        <w:rPr>
          <w:rFonts w:hint="eastAsia" w:ascii="宋体" w:hAnsi="宋体"/>
          <w:sz w:val="24"/>
          <w:szCs w:val="24"/>
          <w:highlight w:val="none"/>
          <w:u w:val="single"/>
        </w:rPr>
        <w:t>进行综合比较后，进行一次性票决，每位定标委员会成员只有1票表决权（即只能对其中一家合格的中</w:t>
      </w:r>
      <w:r>
        <w:rPr>
          <w:rFonts w:ascii="宋体" w:hAnsi="宋体"/>
          <w:sz w:val="24"/>
          <w:szCs w:val="24"/>
          <w:highlight w:val="none"/>
          <w:u w:val="single"/>
        </w:rPr>
        <w:t>标侯选</w:t>
      </w:r>
      <w:r>
        <w:rPr>
          <w:rFonts w:hint="eastAsia" w:ascii="宋体" w:hAnsi="宋体"/>
          <w:sz w:val="24"/>
          <w:szCs w:val="24"/>
          <w:highlight w:val="none"/>
          <w:u w:val="single"/>
        </w:rPr>
        <w:t>人投票），得票数最多者为中标人；若出现票数相同且无法决出中标人时，票数相同的再进行一次性票决；若再次票决出现票数相同且无法决出中标人时，以投标报价低者为中标人；如仍存在相同情况，则对具有相同情况的投标人，由定标委员会采用随机抽取方式确定中标人。</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.2.1.5定标委员会中的各定标委员应独立投票，可以弃权，当弃权票数达到定标委员会人数50%或以上时，本次定标会无效，招标人重新组建定标委员会或重新招标。</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.2.2根据项目的定标原则，定标委员会根据选票情况确定中标人。</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.2.3编写定标报告，定标委员会全体确认后签署定标报告。</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.2.4招标人与中标人签订合同或办理施工许可前，如发现中标人委派的项目负责人、</w:t>
      </w:r>
      <w:r>
        <w:rPr>
          <w:rFonts w:ascii="宋体" w:hAnsi="宋体"/>
          <w:sz w:val="24"/>
          <w:szCs w:val="24"/>
          <w:highlight w:val="none"/>
          <w:u w:val="single"/>
        </w:rPr>
        <w:t>安全员</w:t>
      </w:r>
      <w:r>
        <w:rPr>
          <w:rFonts w:hint="eastAsia" w:ascii="宋体" w:hAnsi="宋体"/>
          <w:sz w:val="24"/>
          <w:szCs w:val="24"/>
          <w:highlight w:val="none"/>
          <w:u w:val="single"/>
        </w:rPr>
        <w:t>已在其他在建项目中任职、不符合任职数量，则招标人有权取消其中标人资格或解除合同，从其他合格的中标候选人中采用原定标办法，由原定标委员会确定中标人，招标人也可以重新招标。</w:t>
      </w:r>
    </w:p>
    <w:p>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5</w:t>
      </w:r>
      <w:r>
        <w:rPr>
          <w:rFonts w:ascii="宋体" w:hAnsi="宋体"/>
          <w:sz w:val="24"/>
          <w:szCs w:val="24"/>
          <w:highlight w:val="none"/>
          <w:u w:val="single"/>
        </w:rPr>
        <w:t>0</w:t>
      </w:r>
      <w:r>
        <w:rPr>
          <w:rFonts w:hint="eastAsia" w:ascii="宋体" w:hAnsi="宋体"/>
          <w:sz w:val="24"/>
          <w:szCs w:val="24"/>
          <w:highlight w:val="none"/>
          <w:u w:val="single"/>
        </w:rPr>
        <w:t>.2.5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pPr>
        <w:spacing w:line="360" w:lineRule="auto"/>
        <w:rPr>
          <w:rFonts w:ascii="宋体" w:hAnsi="宋体"/>
          <w:sz w:val="24"/>
          <w:szCs w:val="24"/>
          <w:highlight w:val="none"/>
        </w:rPr>
      </w:pPr>
      <w:r>
        <w:rPr>
          <w:rFonts w:ascii="宋体" w:hAnsi="宋体"/>
          <w:sz w:val="24"/>
          <w:szCs w:val="24"/>
          <w:highlight w:val="none"/>
        </w:rPr>
        <w:br w:type="page"/>
      </w:r>
    </w:p>
    <w:p>
      <w:pPr>
        <w:widowControl/>
        <w:snapToGrid w:val="0"/>
        <w:spacing w:line="360" w:lineRule="auto"/>
        <w:ind w:right="102"/>
        <w:jc w:val="left"/>
        <w:outlineLvl w:val="1"/>
        <w:rPr>
          <w:rFonts w:ascii="宋体" w:hAnsi="宋体"/>
          <w:szCs w:val="21"/>
          <w:highlight w:val="none"/>
        </w:rPr>
      </w:pPr>
      <w:r>
        <w:rPr>
          <w:rFonts w:hint="eastAsia" w:ascii="宋体" w:hAnsi="宋体"/>
          <w:szCs w:val="21"/>
          <w:highlight w:val="none"/>
        </w:rPr>
        <w:t>附表一：</w:t>
      </w:r>
    </w:p>
    <w:p>
      <w:pPr>
        <w:jc w:val="center"/>
        <w:outlineLvl w:val="1"/>
        <w:rPr>
          <w:rFonts w:ascii="宋体" w:hAnsi="宋体"/>
          <w:b/>
          <w:sz w:val="32"/>
          <w:szCs w:val="32"/>
          <w:highlight w:val="none"/>
        </w:rPr>
      </w:pPr>
      <w:r>
        <w:rPr>
          <w:rFonts w:hint="eastAsia" w:ascii="宋体" w:hAnsi="宋体"/>
          <w:b/>
          <w:sz w:val="32"/>
          <w:szCs w:val="32"/>
          <w:highlight w:val="none"/>
        </w:rPr>
        <w:t>资格审查表</w:t>
      </w:r>
    </w:p>
    <w:p>
      <w:pPr>
        <w:spacing w:line="480" w:lineRule="auto"/>
        <w:rPr>
          <w:rFonts w:ascii="宋体" w:hAnsi="宋体"/>
          <w:sz w:val="24"/>
          <w:szCs w:val="24"/>
          <w:highlight w:val="none"/>
        </w:rPr>
      </w:pPr>
      <w:r>
        <w:rPr>
          <w:rFonts w:hint="eastAsia" w:ascii="宋体" w:hAnsi="宋体"/>
          <w:sz w:val="24"/>
          <w:szCs w:val="24"/>
          <w:highlight w:val="none"/>
        </w:rPr>
        <w:t>工程名称：                                               投标人名称：</w:t>
      </w:r>
    </w:p>
    <w:tbl>
      <w:tblPr>
        <w:tblStyle w:val="40"/>
        <w:tblW w:w="10201" w:type="dxa"/>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813"/>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仿宋" w:hAnsi="仿宋" w:eastAsia="仿宋"/>
                <w:b/>
                <w:bCs/>
                <w:sz w:val="24"/>
                <w:highlight w:val="none"/>
              </w:rPr>
            </w:pPr>
            <w:r>
              <w:rPr>
                <w:rFonts w:hint="eastAsia" w:ascii="仿宋" w:hAnsi="仿宋" w:eastAsia="仿宋"/>
                <w:b/>
                <w:bCs/>
                <w:sz w:val="24"/>
                <w:highlight w:val="none"/>
              </w:rPr>
              <w:t>序号</w:t>
            </w:r>
          </w:p>
        </w:tc>
        <w:tc>
          <w:tcPr>
            <w:tcW w:w="5813"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b/>
                <w:bCs/>
                <w:sz w:val="24"/>
                <w:highlight w:val="none"/>
              </w:rPr>
            </w:pPr>
            <w:r>
              <w:rPr>
                <w:rFonts w:hint="eastAsia" w:ascii="仿宋" w:hAnsi="仿宋" w:eastAsia="仿宋"/>
                <w:b/>
                <w:bCs/>
                <w:sz w:val="24"/>
                <w:highlight w:val="none"/>
              </w:rPr>
              <w:t>审查项目</w:t>
            </w:r>
          </w:p>
        </w:tc>
        <w:tc>
          <w:tcPr>
            <w:tcW w:w="3901"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b/>
                <w:bCs/>
                <w:sz w:val="24"/>
                <w:highlight w:val="none"/>
              </w:rPr>
            </w:pPr>
            <w:r>
              <w:rPr>
                <w:rFonts w:hint="eastAsia" w:ascii="仿宋" w:hAnsi="仿宋" w:eastAsia="仿宋"/>
                <w:b/>
                <w:bCs/>
                <w:sz w:val="24"/>
                <w:highlight w:val="none"/>
              </w:rPr>
              <w:t>须审查的资料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1</w:t>
            </w:r>
          </w:p>
        </w:tc>
        <w:tc>
          <w:tcPr>
            <w:tcW w:w="5813"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投标人参加投标的意思表达清楚，投标人代表被授权有效</w:t>
            </w:r>
          </w:p>
        </w:tc>
        <w:tc>
          <w:tcPr>
            <w:tcW w:w="3901"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投标人声明、法定代表人证明书；委托投标的还应提供法人授权委托证明书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2</w:t>
            </w:r>
          </w:p>
        </w:tc>
        <w:tc>
          <w:tcPr>
            <w:tcW w:w="5813"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投标人具有独立法人资格，按国家法律经营</w:t>
            </w:r>
          </w:p>
        </w:tc>
        <w:tc>
          <w:tcPr>
            <w:tcW w:w="3901"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szCs w:val="21"/>
                <w:highlight w:val="none"/>
              </w:rPr>
              <w:t>营业执照扫描件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trike/>
                <w:sz w:val="24"/>
                <w:highlight w:val="none"/>
              </w:rPr>
              <w:t>3</w:t>
            </w:r>
          </w:p>
        </w:tc>
        <w:tc>
          <w:tcPr>
            <w:tcW w:w="5813"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szCs w:val="18"/>
                <w:highlight w:val="none"/>
              </w:rPr>
            </w:pPr>
            <w:r>
              <w:rPr>
                <w:rFonts w:hint="eastAsia" w:ascii="仿宋" w:hAnsi="仿宋" w:eastAsia="仿宋"/>
                <w:sz w:val="24"/>
                <w:szCs w:val="18"/>
                <w:highlight w:val="none"/>
              </w:rPr>
              <w:t>投标人须为投标设备（指本项目厨电设备）的制造商（制造商集团公司或制造商集团下属的子公司）或制造商授权参加本次投标的唯一授权</w:t>
            </w:r>
            <w:r>
              <w:rPr>
                <w:rFonts w:ascii="仿宋" w:hAnsi="仿宋" w:eastAsia="仿宋"/>
                <w:sz w:val="24"/>
                <w:szCs w:val="18"/>
                <w:highlight w:val="none"/>
              </w:rPr>
              <w:t>单位</w:t>
            </w:r>
            <w:r>
              <w:rPr>
                <w:rFonts w:hint="eastAsia" w:ascii="仿宋" w:hAnsi="仿宋" w:eastAsia="仿宋"/>
                <w:sz w:val="24"/>
                <w:szCs w:val="18"/>
                <w:highlight w:val="none"/>
              </w:rPr>
              <w:t>（需提供制造商针对本项目开具的唯一授权书</w:t>
            </w:r>
            <w:r>
              <w:rPr>
                <w:rFonts w:ascii="仿宋" w:hAnsi="仿宋" w:eastAsia="仿宋"/>
                <w:sz w:val="24"/>
                <w:szCs w:val="18"/>
                <w:highlight w:val="none"/>
              </w:rPr>
              <w:t>，</w:t>
            </w:r>
            <w:r>
              <w:rPr>
                <w:rFonts w:hint="eastAsia" w:ascii="仿宋" w:hAnsi="仿宋" w:eastAsia="仿宋"/>
                <w:sz w:val="24"/>
                <w:szCs w:val="18"/>
                <w:highlight w:val="none"/>
              </w:rPr>
              <w:t>格式自拟）。投标人本身为制造商（制造商集团公司或制造商集团下属的子公司）的不须提供唯一授权书，须提供本身为制造商的相关证明材料，制造商集团公司或制造商集团下属的子公司的</w:t>
            </w:r>
            <w:r>
              <w:rPr>
                <w:rFonts w:ascii="仿宋" w:hAnsi="仿宋" w:eastAsia="仿宋"/>
                <w:sz w:val="24"/>
                <w:szCs w:val="18"/>
                <w:highlight w:val="none"/>
              </w:rPr>
              <w:t>，应提供相关投权关</w:t>
            </w:r>
            <w:r>
              <w:rPr>
                <w:rFonts w:hint="eastAsia" w:ascii="仿宋" w:hAnsi="仿宋" w:eastAsia="仿宋"/>
                <w:sz w:val="24"/>
                <w:szCs w:val="18"/>
                <w:highlight w:val="none"/>
              </w:rPr>
              <w:t>系</w:t>
            </w:r>
            <w:r>
              <w:rPr>
                <w:rFonts w:ascii="仿宋" w:hAnsi="仿宋" w:eastAsia="仿宋"/>
                <w:sz w:val="24"/>
                <w:szCs w:val="18"/>
                <w:highlight w:val="none"/>
              </w:rPr>
              <w:t>证明，</w:t>
            </w:r>
            <w:r>
              <w:rPr>
                <w:rFonts w:hint="eastAsia" w:ascii="仿宋" w:hAnsi="仿宋" w:eastAsia="仿宋"/>
                <w:sz w:val="24"/>
                <w:szCs w:val="18"/>
                <w:highlight w:val="none"/>
              </w:rPr>
              <w:t>持</w:t>
            </w:r>
            <w:r>
              <w:rPr>
                <w:rFonts w:ascii="仿宋" w:hAnsi="仿宋" w:eastAsia="仿宋"/>
                <w:sz w:val="24"/>
                <w:szCs w:val="18"/>
                <w:highlight w:val="none"/>
              </w:rPr>
              <w:t>股比例为50%以上（</w:t>
            </w:r>
            <w:r>
              <w:rPr>
                <w:rFonts w:hint="eastAsia" w:ascii="仿宋" w:hAnsi="仿宋" w:eastAsia="仿宋"/>
                <w:sz w:val="24"/>
                <w:szCs w:val="18"/>
                <w:highlight w:val="none"/>
              </w:rPr>
              <w:t>不含</w:t>
            </w:r>
            <w:r>
              <w:rPr>
                <w:rFonts w:ascii="仿宋" w:hAnsi="仿宋" w:eastAsia="仿宋"/>
                <w:sz w:val="24"/>
                <w:szCs w:val="18"/>
                <w:highlight w:val="none"/>
              </w:rPr>
              <w:t>50%）</w:t>
            </w:r>
            <w:r>
              <w:rPr>
                <w:rFonts w:hint="eastAsia" w:ascii="仿宋" w:hAnsi="仿宋" w:eastAsia="仿宋"/>
                <w:sz w:val="24"/>
                <w:szCs w:val="18"/>
                <w:highlight w:val="none"/>
              </w:rPr>
              <w:t>。制造商（或制造商集团公司或制造商集团下属的子公司）与授权单位同时参与投标申请的，只接受制造商（或制造商集团公司或制造商集团下属的子公司）的投标申请。同</w:t>
            </w:r>
            <w:r>
              <w:rPr>
                <w:rFonts w:ascii="仿宋" w:hAnsi="仿宋" w:eastAsia="仿宋"/>
                <w:sz w:val="24"/>
                <w:szCs w:val="18"/>
                <w:highlight w:val="none"/>
              </w:rPr>
              <w:t>一制造商有多</w:t>
            </w:r>
            <w:r>
              <w:rPr>
                <w:rFonts w:hint="eastAsia" w:ascii="仿宋" w:hAnsi="仿宋" w:eastAsia="仿宋"/>
                <w:sz w:val="24"/>
                <w:szCs w:val="18"/>
                <w:highlight w:val="none"/>
              </w:rPr>
              <w:t>家授权单位的</w:t>
            </w:r>
            <w:r>
              <w:rPr>
                <w:rFonts w:ascii="仿宋" w:hAnsi="仿宋" w:eastAsia="仿宋"/>
                <w:sz w:val="24"/>
                <w:szCs w:val="18"/>
                <w:highlight w:val="none"/>
              </w:rPr>
              <w:t>，授权单位的投标进均不接受。</w:t>
            </w:r>
          </w:p>
          <w:p>
            <w:pPr>
              <w:spacing w:before="120" w:after="60"/>
              <w:jc w:val="center"/>
              <w:rPr>
                <w:rFonts w:ascii="仿宋" w:hAnsi="仿宋" w:eastAsia="仿宋"/>
                <w:sz w:val="24"/>
                <w:highlight w:val="none"/>
              </w:rPr>
            </w:pPr>
            <w:r>
              <w:rPr>
                <w:rFonts w:hint="eastAsia" w:ascii="仿宋" w:hAnsi="仿宋" w:eastAsia="仿宋"/>
                <w:sz w:val="24"/>
                <w:szCs w:val="18"/>
                <w:highlight w:val="none"/>
                <w:lang w:eastAsia="zh-CN"/>
              </w:rPr>
              <w:t>注：</w:t>
            </w:r>
            <w:r>
              <w:rPr>
                <w:rFonts w:hint="eastAsia" w:ascii="仿宋" w:hAnsi="仿宋" w:eastAsia="仿宋"/>
                <w:sz w:val="24"/>
                <w:szCs w:val="18"/>
                <w:highlight w:val="none"/>
              </w:rPr>
              <w:t>同一个投标人的投标设备（指本项目厨电设备）均应为同一品牌。同一品牌的产品，只允许一个有效申请人参加投标，否则均作废标处理。</w:t>
            </w:r>
          </w:p>
        </w:tc>
        <w:tc>
          <w:tcPr>
            <w:tcW w:w="3901"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cs="宋体"/>
                <w:sz w:val="24"/>
                <w:szCs w:val="21"/>
                <w:highlight w:val="none"/>
              </w:rPr>
              <w:t>须提供相关证明材料扫描件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4</w:t>
            </w:r>
          </w:p>
        </w:tc>
        <w:tc>
          <w:tcPr>
            <w:tcW w:w="5813"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szCs w:val="21"/>
                <w:highlight w:val="none"/>
              </w:rPr>
              <w:t>投标人提供的投标人声明符合公告要求</w:t>
            </w:r>
          </w:p>
        </w:tc>
        <w:tc>
          <w:tcPr>
            <w:tcW w:w="3901"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投标人声明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5</w:t>
            </w:r>
          </w:p>
        </w:tc>
        <w:tc>
          <w:tcPr>
            <w:tcW w:w="5813"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投标人声明中签字的项目负责人和技术负责人与本项目拟派的项目负责人和技术负责人一致</w:t>
            </w:r>
          </w:p>
        </w:tc>
        <w:tc>
          <w:tcPr>
            <w:tcW w:w="3901"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网上投标时选择拟投标的项目负责人、资格审查文件中拟委派的技术负责人及投标人声明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仿宋" w:hAnsi="仿宋" w:eastAsia="仿宋"/>
                <w:sz w:val="24"/>
                <w:highlight w:val="none"/>
                <w:lang w:val="en-US"/>
              </w:rPr>
            </w:pPr>
            <w:r>
              <w:rPr>
                <w:rFonts w:hint="default" w:ascii="仿宋" w:hAnsi="仿宋" w:eastAsia="仿宋"/>
                <w:sz w:val="24"/>
                <w:highlight w:val="none"/>
                <w:lang w:val="en-US"/>
              </w:rPr>
              <w:t>6</w:t>
            </w:r>
          </w:p>
        </w:tc>
        <w:tc>
          <w:tcPr>
            <w:tcW w:w="5813"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关于联合体投标</w:t>
            </w:r>
          </w:p>
        </w:tc>
        <w:tc>
          <w:tcPr>
            <w:tcW w:w="3901"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sz w:val="24"/>
                <w:highlight w:val="none"/>
                <w:lang w:eastAsia="zh-CN"/>
              </w:rPr>
            </w:pPr>
            <w:r>
              <w:rPr>
                <w:rFonts w:hint="default" w:ascii="仿宋" w:hAnsi="仿宋" w:eastAsia="仿宋"/>
                <w:sz w:val="24"/>
                <w:highlight w:val="none"/>
                <w:lang w:val="en-US"/>
              </w:rPr>
              <w:t>7</w:t>
            </w:r>
          </w:p>
        </w:tc>
        <w:tc>
          <w:tcPr>
            <w:tcW w:w="5813"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szCs w:val="21"/>
                <w:highlight w:val="none"/>
              </w:rPr>
              <w:t>投标人未出现以下情形：与其它投标人的单位负责人为同一人或者存在控股、管理关系的（按投标人提供的《投标人声明》第八条内容进行评审）。</w:t>
            </w:r>
          </w:p>
        </w:tc>
        <w:tc>
          <w:tcPr>
            <w:tcW w:w="3901"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szCs w:val="21"/>
                <w:highlight w:val="none"/>
              </w:rPr>
              <w:t>投标人声明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strike/>
                <w:sz w:val="24"/>
                <w:highlight w:val="none"/>
                <w:lang w:eastAsia="zh-CN"/>
              </w:rPr>
            </w:pPr>
            <w:r>
              <w:rPr>
                <w:rFonts w:hint="default" w:ascii="仿宋" w:hAnsi="仿宋" w:eastAsia="仿宋"/>
                <w:sz w:val="24"/>
                <w:highlight w:val="none"/>
                <w:lang w:val="en-US"/>
              </w:rPr>
              <w:t>8</w:t>
            </w:r>
          </w:p>
        </w:tc>
        <w:tc>
          <w:tcPr>
            <w:tcW w:w="5813"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未被列入拖欠农民工工资失信联合惩戒对象名单</w:t>
            </w:r>
          </w:p>
        </w:tc>
        <w:tc>
          <w:tcPr>
            <w:tcW w:w="3901" w:type="dxa"/>
            <w:tcBorders>
              <w:top w:val="single" w:color="auto" w:sz="4" w:space="0"/>
              <w:left w:val="nil"/>
              <w:bottom w:val="single" w:color="auto" w:sz="4" w:space="0"/>
              <w:right w:val="single" w:color="auto" w:sz="4" w:space="0"/>
            </w:tcBorders>
            <w:vAlign w:val="center"/>
          </w:tcPr>
          <w:p>
            <w:pPr>
              <w:spacing w:before="120" w:after="60"/>
              <w:jc w:val="center"/>
              <w:rPr>
                <w:rStyle w:val="76"/>
                <w:rFonts w:ascii="仿宋" w:hAnsi="仿宋" w:eastAsia="仿宋"/>
                <w:sz w:val="24"/>
                <w:highlight w:val="none"/>
              </w:rPr>
            </w:pPr>
            <w:r>
              <w:rPr>
                <w:rFonts w:hint="eastAsia" w:ascii="仿宋" w:hAnsi="仿宋" w:eastAsia="仿宋"/>
                <w:sz w:val="24"/>
                <w:highlight w:val="none"/>
              </w:rPr>
              <w:t>投标人无需提供资料，按交易系统比对的结果进行评审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sz w:val="24"/>
                <w:highlight w:val="none"/>
                <w:lang w:eastAsia="zh-CN"/>
              </w:rPr>
            </w:pPr>
            <w:r>
              <w:rPr>
                <w:rFonts w:hint="default" w:ascii="仿宋" w:hAnsi="仿宋" w:eastAsia="仿宋"/>
                <w:sz w:val="24"/>
                <w:highlight w:val="none"/>
                <w:lang w:val="en-US"/>
              </w:rPr>
              <w:t>9</w:t>
            </w:r>
          </w:p>
        </w:tc>
        <w:tc>
          <w:tcPr>
            <w:tcW w:w="5813"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投标人完成过的类似工程业绩符合公告要求</w:t>
            </w:r>
          </w:p>
        </w:tc>
        <w:tc>
          <w:tcPr>
            <w:tcW w:w="3901" w:type="dxa"/>
            <w:tcBorders>
              <w:top w:val="single" w:color="auto" w:sz="4" w:space="0"/>
              <w:left w:val="nil"/>
              <w:bottom w:val="single" w:color="auto" w:sz="4" w:space="0"/>
              <w:right w:val="single" w:color="auto" w:sz="4" w:space="0"/>
            </w:tcBorders>
            <w:vAlign w:val="center"/>
          </w:tcPr>
          <w:p>
            <w:pPr>
              <w:spacing w:before="120" w:after="60"/>
              <w:jc w:val="center"/>
              <w:rPr>
                <w:rFonts w:ascii="仿宋" w:hAnsi="仿宋" w:eastAsia="仿宋"/>
                <w:sz w:val="24"/>
                <w:highlight w:val="none"/>
              </w:rPr>
            </w:pPr>
            <w:r>
              <w:rPr>
                <w:rFonts w:hint="eastAsia" w:ascii="仿宋" w:hAnsi="仿宋" w:eastAsia="仿宋"/>
                <w:sz w:val="24"/>
                <w:highlight w:val="none"/>
              </w:rPr>
              <w:t>业绩须提供相关证明材料扫描件</w:t>
            </w:r>
          </w:p>
        </w:tc>
      </w:tr>
    </w:tbl>
    <w:p>
      <w:pPr>
        <w:spacing w:line="480" w:lineRule="auto"/>
        <w:ind w:firstLine="470" w:firstLineChars="224"/>
        <w:rPr>
          <w:rFonts w:ascii="宋体" w:hAnsi="宋体"/>
          <w:szCs w:val="21"/>
          <w:highlight w:val="none"/>
        </w:rPr>
      </w:pPr>
    </w:p>
    <w:p>
      <w:pPr>
        <w:spacing w:line="480" w:lineRule="auto"/>
        <w:ind w:firstLine="470" w:firstLineChars="224"/>
        <w:rPr>
          <w:rFonts w:ascii="宋体" w:hAnsi="宋体"/>
          <w:szCs w:val="21"/>
          <w:highlight w:val="none"/>
        </w:rPr>
      </w:pPr>
      <w:r>
        <w:rPr>
          <w:rFonts w:hint="eastAsia" w:ascii="宋体" w:hAnsi="宋体"/>
          <w:szCs w:val="21"/>
          <w:highlight w:val="none"/>
        </w:rPr>
        <w:t>备注：</w:t>
      </w:r>
    </w:p>
    <w:p>
      <w:pPr>
        <w:numPr>
          <w:ilvl w:val="0"/>
          <w:numId w:val="1"/>
        </w:numPr>
        <w:spacing w:line="480" w:lineRule="auto"/>
        <w:ind w:firstLine="470" w:firstLineChars="224"/>
        <w:rPr>
          <w:rFonts w:ascii="宋体" w:hAnsi="宋体"/>
          <w:szCs w:val="21"/>
          <w:highlight w:val="none"/>
        </w:rPr>
      </w:pPr>
      <w:r>
        <w:rPr>
          <w:rFonts w:hint="eastAsia" w:ascii="宋体" w:hAnsi="宋体"/>
          <w:szCs w:val="21"/>
          <w:highlight w:val="none"/>
        </w:rPr>
        <w:t>若评委意见不一致时，则按少数服从多数的原则，作出评审结论。</w:t>
      </w:r>
    </w:p>
    <w:p>
      <w:pPr>
        <w:pStyle w:val="2"/>
        <w:numPr>
          <w:ilvl w:val="0"/>
          <w:numId w:val="1"/>
        </w:numPr>
        <w:ind w:firstLine="418" w:firstLineChars="209"/>
        <w:rPr>
          <w:highlight w:val="none"/>
        </w:rPr>
      </w:pPr>
      <w:r>
        <w:rPr>
          <w:rFonts w:hint="eastAsia"/>
          <w:highlight w:val="none"/>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ascii="宋体" w:hAnsi="宋体"/>
          <w:highlight w:val="none"/>
        </w:rPr>
        <w:sectPr>
          <w:footerReference r:id="rId7" w:type="first"/>
          <w:footerReference r:id="rId5" w:type="default"/>
          <w:headerReference r:id="rId4" w:type="even"/>
          <w:footerReference r:id="rId6" w:type="even"/>
          <w:endnotePr>
            <w:numFmt w:val="decimal"/>
          </w:endnotePr>
          <w:pgSz w:w="11906" w:h="16838"/>
          <w:pgMar w:top="1134" w:right="1418" w:bottom="993" w:left="1418" w:header="851" w:footer="519" w:gutter="0"/>
          <w:pgBorders>
            <w:top w:val="none" w:sz="0" w:space="0"/>
            <w:left w:val="none" w:sz="0" w:space="0"/>
            <w:bottom w:val="none" w:sz="0" w:space="0"/>
            <w:right w:val="none" w:sz="0" w:space="0"/>
          </w:pgBorders>
          <w:pgNumType w:start="0"/>
          <w:cols w:space="720" w:num="1"/>
          <w:titlePg/>
          <w:docGrid w:type="lines" w:linePitch="312" w:charSpace="0"/>
        </w:sectPr>
      </w:pPr>
    </w:p>
    <w:p>
      <w:pPr>
        <w:rPr>
          <w:rFonts w:ascii="宋体" w:hAnsi="宋体"/>
          <w:szCs w:val="21"/>
          <w:highlight w:val="none"/>
        </w:rPr>
      </w:pPr>
      <w:r>
        <w:rPr>
          <w:rFonts w:hint="eastAsia" w:ascii="宋体" w:hAnsi="宋体"/>
          <w:szCs w:val="21"/>
          <w:highlight w:val="none"/>
        </w:rPr>
        <w:t>附表二</w:t>
      </w:r>
    </w:p>
    <w:p>
      <w:pPr>
        <w:jc w:val="center"/>
        <w:outlineLvl w:val="2"/>
        <w:rPr>
          <w:b/>
          <w:bCs/>
          <w:sz w:val="36"/>
          <w:szCs w:val="36"/>
          <w:highlight w:val="none"/>
        </w:rPr>
      </w:pPr>
      <w:r>
        <w:rPr>
          <w:rFonts w:hint="eastAsia" w:ascii="宋体" w:hAnsi="宋体"/>
          <w:b/>
          <w:bCs/>
          <w:sz w:val="36"/>
          <w:szCs w:val="36"/>
          <w:highlight w:val="none"/>
        </w:rPr>
        <w:t>技术标有效性审查表</w:t>
      </w:r>
    </w:p>
    <w:p>
      <w:pPr>
        <w:rPr>
          <w:rFonts w:hint="eastAsia" w:ascii="宋体" w:hAnsi="宋体"/>
          <w:highlight w:val="none"/>
        </w:rPr>
      </w:pPr>
      <w:r>
        <w:rPr>
          <w:rFonts w:hint="eastAsia" w:ascii="宋体" w:hAnsi="宋体"/>
          <w:highlight w:val="none"/>
        </w:rPr>
        <w:t>工程名称：</w:t>
      </w:r>
    </w:p>
    <w:tbl>
      <w:tblPr>
        <w:tblStyle w:val="40"/>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4975"/>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highlight w:val="none"/>
              </w:rPr>
            </w:pPr>
            <w:r>
              <w:rPr>
                <w:rFonts w:hint="eastAsia" w:ascii="仿宋" w:hAnsi="仿宋" w:eastAsia="仿宋"/>
                <w:sz w:val="22"/>
                <w:highlight w:val="none"/>
              </w:rPr>
              <w:t>序号</w:t>
            </w:r>
          </w:p>
        </w:tc>
        <w:tc>
          <w:tcPr>
            <w:tcW w:w="4975" w:type="dxa"/>
            <w:tcBorders>
              <w:top w:val="single" w:color="auto" w:sz="4" w:space="0"/>
              <w:left w:val="nil"/>
              <w:bottom w:val="single" w:color="auto" w:sz="4" w:space="0"/>
              <w:right w:val="single" w:color="auto" w:sz="4" w:space="0"/>
              <w:tl2br w:val="single" w:color="auto" w:sz="4" w:space="0"/>
            </w:tcBorders>
          </w:tcPr>
          <w:p>
            <w:pPr>
              <w:jc w:val="right"/>
              <w:rPr>
                <w:rFonts w:ascii="仿宋" w:hAnsi="仿宋" w:eastAsia="仿宋"/>
                <w:sz w:val="22"/>
                <w:highlight w:val="none"/>
              </w:rPr>
            </w:pPr>
            <w:r>
              <w:rPr>
                <w:rFonts w:hint="eastAsia" w:ascii="仿宋" w:hAnsi="仿宋" w:eastAsia="仿宋"/>
                <w:sz w:val="22"/>
                <w:highlight w:val="none"/>
              </w:rPr>
              <w:t>投标人</w:t>
            </w:r>
          </w:p>
          <w:p>
            <w:pPr>
              <w:rPr>
                <w:rFonts w:ascii="仿宋" w:hAnsi="仿宋" w:eastAsia="仿宋"/>
                <w:sz w:val="22"/>
                <w:highlight w:val="none"/>
              </w:rPr>
            </w:pPr>
            <w:r>
              <w:rPr>
                <w:rFonts w:hint="eastAsia" w:ascii="仿宋" w:hAnsi="仿宋" w:eastAsia="仿宋"/>
                <w:sz w:val="22"/>
                <w:highlight w:val="none"/>
              </w:rPr>
              <w:t>评审内容</w:t>
            </w: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highlight w:val="none"/>
              </w:rPr>
            </w:pPr>
            <w:r>
              <w:rPr>
                <w:rFonts w:hint="eastAsia" w:ascii="仿宋" w:hAnsi="仿宋" w:eastAsia="仿宋"/>
                <w:sz w:val="22"/>
                <w:highlight w:val="none"/>
              </w:rPr>
              <w:t>1</w:t>
            </w:r>
          </w:p>
        </w:tc>
        <w:tc>
          <w:tcPr>
            <w:tcW w:w="4975"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r>
              <w:rPr>
                <w:rFonts w:hint="eastAsia" w:ascii="仿宋" w:hAnsi="仿宋" w:eastAsia="仿宋"/>
                <w:sz w:val="22"/>
                <w:highlight w:val="none"/>
              </w:rPr>
              <w:t>不能满足完成投标项目工期的；</w:t>
            </w: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highlight w:val="none"/>
              </w:rPr>
            </w:pPr>
            <w:r>
              <w:rPr>
                <w:rFonts w:hint="eastAsia" w:ascii="仿宋" w:hAnsi="仿宋" w:eastAsia="仿宋"/>
                <w:sz w:val="22"/>
                <w:highlight w:val="none"/>
              </w:rPr>
              <w:t>2</w:t>
            </w:r>
          </w:p>
        </w:tc>
        <w:tc>
          <w:tcPr>
            <w:tcW w:w="4975"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r>
              <w:rPr>
                <w:rFonts w:hint="eastAsia" w:ascii="仿宋" w:hAnsi="仿宋" w:eastAsia="仿宋"/>
                <w:sz w:val="22"/>
                <w:highlight w:val="none"/>
              </w:rPr>
              <w:t>不符合招标文件及有关技术规格、质量要求、检验标准和方法的；</w:t>
            </w: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highlight w:val="none"/>
              </w:rPr>
            </w:pPr>
            <w:r>
              <w:rPr>
                <w:rFonts w:hint="eastAsia" w:ascii="仿宋" w:hAnsi="仿宋" w:eastAsia="仿宋"/>
                <w:sz w:val="22"/>
                <w:highlight w:val="none"/>
              </w:rPr>
              <w:t>3</w:t>
            </w:r>
          </w:p>
        </w:tc>
        <w:tc>
          <w:tcPr>
            <w:tcW w:w="4975"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r>
              <w:rPr>
                <w:rFonts w:hint="eastAsia" w:ascii="仿宋" w:hAnsi="仿宋" w:eastAsia="仿宋"/>
                <w:sz w:val="22"/>
                <w:highlight w:val="none"/>
              </w:rPr>
              <w:t>投标文件中没有有效的法定代表人证明书，或由委托代理人签署的投标文件中没有法定代表人授权书；</w:t>
            </w: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highlight w:val="none"/>
              </w:rPr>
            </w:pPr>
            <w:r>
              <w:rPr>
                <w:rFonts w:hint="eastAsia" w:ascii="仿宋" w:hAnsi="仿宋" w:eastAsia="仿宋"/>
                <w:sz w:val="22"/>
                <w:highlight w:val="none"/>
              </w:rPr>
              <w:t>4</w:t>
            </w:r>
          </w:p>
        </w:tc>
        <w:tc>
          <w:tcPr>
            <w:tcW w:w="4975"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r>
              <w:rPr>
                <w:rFonts w:hint="eastAsia" w:ascii="仿宋" w:hAnsi="仿宋" w:eastAsia="仿宋"/>
                <w:sz w:val="22"/>
                <w:highlight w:val="none"/>
              </w:rPr>
              <w:t>投标文件未按技术标投标文件规定的格式二、七、九填写，或主要内容不全，或关键字迹模糊、无法辨认的；</w:t>
            </w: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highlight w:val="none"/>
              </w:rPr>
            </w:pPr>
            <w:r>
              <w:rPr>
                <w:rFonts w:hint="eastAsia" w:ascii="仿宋" w:hAnsi="仿宋" w:eastAsia="仿宋"/>
                <w:sz w:val="22"/>
                <w:highlight w:val="none"/>
              </w:rPr>
              <w:t>5</w:t>
            </w:r>
          </w:p>
        </w:tc>
        <w:tc>
          <w:tcPr>
            <w:tcW w:w="4975"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r>
              <w:rPr>
                <w:rFonts w:hint="eastAsia" w:ascii="仿宋" w:hAnsi="仿宋" w:eastAsia="仿宋"/>
                <w:sz w:val="22"/>
                <w:highlight w:val="none"/>
              </w:rPr>
              <w:t>投标人之间存在《广东省实施&lt;中华人民共和国招标投标法&gt;》第十六条所禁止的情形的；</w:t>
            </w: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highlight w:val="none"/>
              </w:rPr>
            </w:pPr>
            <w:r>
              <w:rPr>
                <w:rFonts w:hint="eastAsia" w:ascii="仿宋" w:hAnsi="仿宋" w:eastAsia="仿宋"/>
                <w:sz w:val="22"/>
                <w:highlight w:val="none"/>
              </w:rPr>
              <w:t>6</w:t>
            </w:r>
          </w:p>
        </w:tc>
        <w:tc>
          <w:tcPr>
            <w:tcW w:w="4975"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r>
              <w:rPr>
                <w:rFonts w:hint="eastAsia" w:ascii="仿宋" w:hAnsi="仿宋" w:eastAsia="仿宋"/>
                <w:sz w:val="22"/>
                <w:highlight w:val="none"/>
              </w:rPr>
              <w:t>无《参与编制技术标投标文件人员名单》的；</w:t>
            </w: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highlight w:val="none"/>
              </w:rPr>
            </w:pPr>
            <w:r>
              <w:rPr>
                <w:rFonts w:hint="eastAsia" w:ascii="仿宋" w:hAnsi="仿宋" w:eastAsia="仿宋"/>
                <w:sz w:val="22"/>
                <w:highlight w:val="none"/>
              </w:rPr>
              <w:t>7</w:t>
            </w:r>
          </w:p>
        </w:tc>
        <w:tc>
          <w:tcPr>
            <w:tcW w:w="4975"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r>
              <w:rPr>
                <w:rFonts w:hint="eastAsia" w:ascii="仿宋" w:hAnsi="仿宋" w:eastAsia="仿宋"/>
                <w:sz w:val="22"/>
                <w:highlight w:val="none"/>
              </w:rPr>
              <w:t>投标人未按要求提交投标保证金的；</w:t>
            </w: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highlight w:val="none"/>
              </w:rPr>
            </w:pPr>
            <w:r>
              <w:rPr>
                <w:rFonts w:hint="eastAsia" w:ascii="仿宋" w:hAnsi="仿宋" w:eastAsia="仿宋"/>
                <w:sz w:val="22"/>
                <w:highlight w:val="none"/>
              </w:rPr>
              <w:t>8</w:t>
            </w:r>
          </w:p>
        </w:tc>
        <w:tc>
          <w:tcPr>
            <w:tcW w:w="4975"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r>
              <w:rPr>
                <w:rFonts w:hint="eastAsia" w:ascii="仿宋" w:hAnsi="仿宋" w:eastAsia="仿宋"/>
                <w:sz w:val="22"/>
                <w:highlight w:val="none"/>
              </w:rPr>
              <w:t>投标人与本项目其他投标人加密打包投标文件电脑机器特征码一致的(以广州公共资源交易中心交易平台评标系统的检索信息为准)；</w:t>
            </w: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highlight w:val="none"/>
              </w:rPr>
            </w:pPr>
            <w:r>
              <w:rPr>
                <w:rFonts w:ascii="仿宋" w:hAnsi="仿宋" w:eastAsia="仿宋"/>
                <w:sz w:val="22"/>
                <w:szCs w:val="21"/>
                <w:highlight w:val="none"/>
              </w:rPr>
              <w:t>9</w:t>
            </w:r>
          </w:p>
        </w:tc>
        <w:tc>
          <w:tcPr>
            <w:tcW w:w="4975" w:type="dxa"/>
            <w:tcBorders>
              <w:top w:val="single" w:color="auto" w:sz="4" w:space="0"/>
              <w:left w:val="nil"/>
              <w:bottom w:val="single" w:color="auto" w:sz="4" w:space="0"/>
              <w:right w:val="single" w:color="auto" w:sz="4" w:space="0"/>
            </w:tcBorders>
            <w:vAlign w:val="center"/>
          </w:tcPr>
          <w:p>
            <w:pPr>
              <w:rPr>
                <w:rFonts w:ascii="仿宋" w:hAnsi="仿宋" w:eastAsia="仿宋"/>
                <w:sz w:val="22"/>
                <w:highlight w:val="none"/>
              </w:rPr>
            </w:pPr>
            <w:r>
              <w:rPr>
                <w:rFonts w:hint="eastAsia" w:ascii="仿宋" w:hAnsi="仿宋" w:eastAsia="仿宋"/>
                <w:sz w:val="22"/>
                <w:szCs w:val="21"/>
                <w:highlight w:val="none"/>
              </w:rPr>
              <w:t>近三年内（自截标之日倒算）有裁判文书认定投标人或其工作人员对招标人、招标人实际控制人深业置地有限公司、招标人实际控制人所控制的其他企业实施行贿或其它有违廉洁的行为或未提供《无不廉洁行为承诺函》</w:t>
            </w: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highlight w:val="none"/>
              </w:rPr>
            </w:pPr>
            <w:r>
              <w:rPr>
                <w:rFonts w:ascii="仿宋" w:hAnsi="仿宋" w:eastAsia="仿宋"/>
                <w:sz w:val="22"/>
                <w:szCs w:val="21"/>
                <w:highlight w:val="none"/>
              </w:rPr>
              <w:t>10</w:t>
            </w:r>
          </w:p>
        </w:tc>
        <w:tc>
          <w:tcPr>
            <w:tcW w:w="4975" w:type="dxa"/>
            <w:tcBorders>
              <w:top w:val="single" w:color="auto" w:sz="4" w:space="0"/>
              <w:left w:val="nil"/>
              <w:bottom w:val="single" w:color="auto" w:sz="4" w:space="0"/>
              <w:right w:val="single" w:color="auto" w:sz="4" w:space="0"/>
            </w:tcBorders>
            <w:vAlign w:val="center"/>
          </w:tcPr>
          <w:p>
            <w:pPr>
              <w:rPr>
                <w:rFonts w:ascii="仿宋" w:hAnsi="仿宋" w:eastAsia="仿宋"/>
                <w:sz w:val="22"/>
                <w:highlight w:val="none"/>
              </w:rPr>
            </w:pPr>
            <w:r>
              <w:rPr>
                <w:rFonts w:hint="eastAsia" w:ascii="仿宋" w:hAnsi="仿宋" w:eastAsia="仿宋"/>
                <w:sz w:val="22"/>
                <w:szCs w:val="21"/>
                <w:highlight w:val="none"/>
              </w:rPr>
              <w:t>未提供不存在挂靠行为的《独立承诺函》</w:t>
            </w: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c>
          <w:tcPr>
            <w:tcW w:w="1630" w:type="dxa"/>
            <w:tcBorders>
              <w:top w:val="single" w:color="auto" w:sz="4" w:space="0"/>
              <w:left w:val="nil"/>
              <w:bottom w:val="single" w:color="auto" w:sz="4" w:space="0"/>
              <w:right w:val="single" w:color="auto" w:sz="4" w:space="0"/>
            </w:tcBorders>
          </w:tcPr>
          <w:p>
            <w:pPr>
              <w:rPr>
                <w:rFonts w:ascii="仿宋" w:hAnsi="仿宋" w:eastAsia="仿宋"/>
                <w:sz w:val="22"/>
                <w:highlight w:val="none"/>
              </w:rPr>
            </w:pPr>
          </w:p>
        </w:tc>
      </w:tr>
    </w:tbl>
    <w:p>
      <w:pPr>
        <w:pStyle w:val="2"/>
        <w:rPr>
          <w:highlight w:val="none"/>
        </w:rPr>
      </w:pPr>
    </w:p>
    <w:p>
      <w:pPr>
        <w:rPr>
          <w:rFonts w:ascii="宋体"/>
          <w:highlight w:val="none"/>
        </w:rPr>
      </w:pPr>
      <w:r>
        <w:rPr>
          <w:rFonts w:hint="eastAsia" w:ascii="宋体" w:hAnsi="宋体"/>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ighlight w:val="none"/>
        </w:rPr>
      </w:pPr>
      <w:r>
        <w:rPr>
          <w:rFonts w:hint="eastAsia" w:ascii="宋体" w:hAnsi="宋体"/>
          <w:highlight w:val="none"/>
        </w:rPr>
        <w:t xml:space="preserve">    2</w:t>
      </w:r>
      <w:r>
        <w:rPr>
          <w:rFonts w:hint="eastAsia" w:ascii="宋体"/>
          <w:highlight w:val="none"/>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highlight w:val="none"/>
        </w:rPr>
        <w:t>若出现评标委员会否决投标的，应在评标报告中载明否决投标的具体情形、原因。</w:t>
      </w:r>
    </w:p>
    <w:p>
      <w:pPr>
        <w:rPr>
          <w:rFonts w:ascii="宋体"/>
          <w:highlight w:val="none"/>
        </w:rPr>
      </w:pPr>
      <w:r>
        <w:rPr>
          <w:rFonts w:hint="eastAsia" w:ascii="宋体" w:hAnsi="宋体"/>
          <w:highlight w:val="none"/>
        </w:rPr>
        <w:t xml:space="preserve">    3</w:t>
      </w:r>
      <w:r>
        <w:rPr>
          <w:rFonts w:hint="eastAsia" w:ascii="宋体"/>
          <w:highlight w:val="none"/>
        </w:rPr>
        <w:t>.</w:t>
      </w:r>
      <w:r>
        <w:rPr>
          <w:rFonts w:hint="eastAsia" w:ascii="宋体" w:hAnsi="宋体"/>
          <w:highlight w:val="none"/>
        </w:rPr>
        <w:t>凡出现以上任何一项情形，结论均为无效，否则就为有效。</w:t>
      </w:r>
    </w:p>
    <w:p>
      <w:pPr>
        <w:ind w:firstLine="420" w:firstLineChars="200"/>
        <w:rPr>
          <w:rFonts w:ascii="宋体"/>
          <w:highlight w:val="none"/>
        </w:rPr>
      </w:pPr>
      <w:r>
        <w:rPr>
          <w:rFonts w:hint="eastAsia" w:ascii="宋体" w:hAnsi="宋体"/>
          <w:highlight w:val="none"/>
        </w:rPr>
        <w:t>4</w:t>
      </w:r>
      <w:r>
        <w:rPr>
          <w:rFonts w:hint="eastAsia" w:ascii="宋体"/>
          <w:highlight w:val="none"/>
        </w:rPr>
        <w:t>.</w:t>
      </w:r>
      <w:r>
        <w:rPr>
          <w:rFonts w:hint="eastAsia" w:ascii="宋体" w:hAnsi="宋体"/>
          <w:highlight w:val="none"/>
        </w:rPr>
        <w:t>如对本表中某种情形的评审意见不一致时，以评标委员会过半数成员的意见作为评标委员会对该情形的认定结论。</w:t>
      </w:r>
    </w:p>
    <w:p>
      <w:pPr>
        <w:rPr>
          <w:rFonts w:ascii="宋体"/>
          <w:highlight w:val="none"/>
        </w:rPr>
      </w:pPr>
      <w:r>
        <w:rPr>
          <w:rFonts w:hint="eastAsia" w:ascii="宋体" w:hAnsi="宋体"/>
          <w:highlight w:val="none"/>
        </w:rPr>
        <w:t>评委签名：</w:t>
      </w:r>
    </w:p>
    <w:p>
      <w:pPr>
        <w:rPr>
          <w:rFonts w:ascii="宋体" w:hAnsi="宋体"/>
          <w:szCs w:val="21"/>
          <w:highlight w:val="none"/>
        </w:rPr>
      </w:pPr>
      <w:r>
        <w:rPr>
          <w:rFonts w:ascii="宋体" w:hAnsi="宋体"/>
          <w:highlight w:val="none"/>
        </w:rPr>
        <w:br w:type="page"/>
      </w:r>
      <w:r>
        <w:rPr>
          <w:rFonts w:hint="eastAsia" w:ascii="宋体" w:hAnsi="宋体"/>
          <w:szCs w:val="21"/>
          <w:highlight w:val="none"/>
        </w:rPr>
        <w:t>附表三</w:t>
      </w:r>
    </w:p>
    <w:p>
      <w:pPr>
        <w:jc w:val="center"/>
        <w:outlineLvl w:val="2"/>
        <w:rPr>
          <w:rFonts w:ascii="宋体" w:hAnsi="宋体"/>
          <w:b/>
          <w:sz w:val="36"/>
          <w:szCs w:val="36"/>
          <w:highlight w:val="none"/>
        </w:rPr>
      </w:pPr>
      <w:r>
        <w:rPr>
          <w:rFonts w:hint="eastAsia" w:ascii="宋体" w:hAnsi="宋体"/>
          <w:b/>
          <w:sz w:val="36"/>
          <w:szCs w:val="36"/>
          <w:highlight w:val="none"/>
        </w:rPr>
        <w:t>经济标有效性审查表</w:t>
      </w:r>
    </w:p>
    <w:p>
      <w:pPr>
        <w:rPr>
          <w:rFonts w:hint="eastAsia" w:ascii="宋体" w:hAnsi="宋体"/>
          <w:szCs w:val="21"/>
          <w:highlight w:val="none"/>
        </w:rPr>
      </w:pPr>
      <w:r>
        <w:rPr>
          <w:rFonts w:hint="eastAsia" w:ascii="宋体" w:hAnsi="宋体"/>
          <w:szCs w:val="21"/>
          <w:highlight w:val="none"/>
        </w:rPr>
        <w:t>工程名称：</w:t>
      </w:r>
    </w:p>
    <w:tbl>
      <w:tblPr>
        <w:tblStyle w:val="40"/>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jc w:val="right"/>
              <w:rPr>
                <w:rFonts w:ascii="仿宋" w:hAnsi="仿宋" w:eastAsia="仿宋"/>
                <w:sz w:val="22"/>
                <w:szCs w:val="21"/>
                <w:highlight w:val="none"/>
              </w:rPr>
            </w:pPr>
            <w:r>
              <w:rPr>
                <w:rFonts w:hint="eastAsia" w:ascii="仿宋" w:hAnsi="仿宋" w:eastAsia="仿宋"/>
                <w:sz w:val="22"/>
                <w:szCs w:val="21"/>
                <w:highlight w:val="none"/>
              </w:rPr>
              <w:t>投标人</w:t>
            </w:r>
          </w:p>
          <w:p>
            <w:pPr>
              <w:rPr>
                <w:rFonts w:ascii="仿宋" w:hAnsi="仿宋" w:eastAsia="仿宋"/>
                <w:sz w:val="22"/>
                <w:szCs w:val="21"/>
                <w:highlight w:val="none"/>
              </w:rPr>
            </w:pPr>
          </w:p>
          <w:p>
            <w:pPr>
              <w:rPr>
                <w:rFonts w:ascii="仿宋" w:hAnsi="仿宋" w:eastAsia="仿宋"/>
                <w:sz w:val="22"/>
                <w:szCs w:val="21"/>
                <w:highlight w:val="none"/>
              </w:rPr>
            </w:pPr>
            <w:r>
              <w:rPr>
                <w:rFonts w:hint="eastAsia" w:ascii="仿宋" w:hAnsi="仿宋" w:eastAsia="仿宋"/>
                <w:sz w:val="22"/>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仿宋" w:hAnsi="仿宋" w:eastAsia="仿宋"/>
                <w:sz w:val="22"/>
                <w:szCs w:val="21"/>
                <w:highlight w:val="none"/>
              </w:rPr>
            </w:pPr>
            <w:r>
              <w:rPr>
                <w:rFonts w:hint="eastAsia" w:ascii="仿宋" w:hAnsi="仿宋" w:eastAsia="仿宋"/>
                <w:sz w:val="22"/>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算术复核后的投标报价与原投标报价相比存在</w:t>
            </w:r>
            <w:r>
              <w:rPr>
                <w:rFonts w:ascii="仿宋" w:hAnsi="仿宋" w:eastAsia="仿宋"/>
                <w:sz w:val="22"/>
                <w:szCs w:val="21"/>
                <w:highlight w:val="none"/>
              </w:rPr>
              <w:t>1%</w:t>
            </w:r>
            <w:r>
              <w:rPr>
                <w:rFonts w:hint="eastAsia" w:ascii="仿宋" w:hAnsi="仿宋" w:eastAsia="仿宋"/>
                <w:sz w:val="22"/>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投标文件未按经济标投标文件规定的格式四、五填写，或主要内容不全，或关键字迹模糊、无法辨认的；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不同投标人的投标报价中分部分项工程量清单综合单价相似度达到80%及以上的(以</w:t>
            </w:r>
            <w:r>
              <w:rPr>
                <w:rFonts w:hint="eastAsia" w:ascii="仿宋" w:hAnsi="仿宋" w:eastAsia="仿宋"/>
                <w:sz w:val="22"/>
                <w:szCs w:val="21"/>
                <w:highlight w:val="none"/>
                <w:u w:val="single"/>
              </w:rPr>
              <w:t>广州公共资源交易中心</w:t>
            </w:r>
            <w:r>
              <w:rPr>
                <w:rFonts w:hint="eastAsia" w:ascii="仿宋" w:hAnsi="仿宋" w:eastAsia="仿宋"/>
                <w:sz w:val="22"/>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7</w:t>
            </w:r>
          </w:p>
        </w:tc>
        <w:tc>
          <w:tcPr>
            <w:tcW w:w="6102"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r>
              <w:rPr>
                <w:rFonts w:hint="eastAsia" w:ascii="仿宋" w:hAnsi="仿宋" w:eastAsia="仿宋"/>
                <w:sz w:val="22"/>
                <w:szCs w:val="21"/>
                <w:highlight w:val="none"/>
              </w:rPr>
              <w:t>投标人之间存在《广东省实施&lt;中华人民共和国招标投标法&gt;办法》第十六条所禁止的情形的；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8</w:t>
            </w:r>
          </w:p>
        </w:tc>
        <w:tc>
          <w:tcPr>
            <w:tcW w:w="6102"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r>
              <w:rPr>
                <w:rFonts w:hint="eastAsia" w:ascii="仿宋" w:hAnsi="仿宋" w:eastAsia="仿宋"/>
                <w:sz w:val="22"/>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2"/>
                <w:szCs w:val="21"/>
                <w:highlight w:val="none"/>
              </w:rPr>
            </w:pPr>
            <w:r>
              <w:rPr>
                <w:rFonts w:hint="eastAsia" w:ascii="仿宋" w:hAnsi="仿宋" w:eastAsia="仿宋"/>
                <w:sz w:val="22"/>
                <w:szCs w:val="21"/>
                <w:highlight w:val="none"/>
              </w:rPr>
              <w:t>9</w:t>
            </w:r>
          </w:p>
        </w:tc>
        <w:tc>
          <w:tcPr>
            <w:tcW w:w="6102"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r>
              <w:rPr>
                <w:rFonts w:hint="eastAsia" w:ascii="仿宋" w:hAnsi="仿宋" w:eastAsia="仿宋"/>
                <w:sz w:val="22"/>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仿宋" w:hAnsi="仿宋" w:eastAsia="仿宋"/>
                <w:sz w:val="22"/>
                <w:szCs w:val="21"/>
                <w:highlight w:val="none"/>
              </w:rPr>
            </w:pPr>
          </w:p>
        </w:tc>
      </w:tr>
    </w:tbl>
    <w:p>
      <w:pPr>
        <w:rPr>
          <w:rFonts w:hint="eastAsia" w:ascii="仿宋" w:hAnsi="仿宋" w:eastAsia="仿宋"/>
          <w:szCs w:val="21"/>
          <w:highlight w:val="none"/>
        </w:rPr>
      </w:pPr>
    </w:p>
    <w:p>
      <w:pPr>
        <w:rPr>
          <w:rFonts w:ascii="仿宋" w:hAnsi="仿宋" w:eastAsia="仿宋"/>
          <w:szCs w:val="21"/>
          <w:highlight w:val="none"/>
        </w:rPr>
      </w:pPr>
      <w:r>
        <w:rPr>
          <w:rFonts w:hint="eastAsia" w:ascii="仿宋" w:hAnsi="仿宋" w:eastAsia="仿宋"/>
          <w:szCs w:val="21"/>
          <w:highlight w:val="none"/>
        </w:rPr>
        <w:t>注：1.本表使用GZZB2018-3招标文件范本，与范本内容不同之处均以下划线标明。</w:t>
      </w:r>
    </w:p>
    <w:p>
      <w:pPr>
        <w:rPr>
          <w:rFonts w:ascii="仿宋" w:hAnsi="仿宋" w:eastAsia="仿宋"/>
          <w:szCs w:val="21"/>
          <w:highlight w:val="none"/>
        </w:rPr>
      </w:pPr>
      <w:r>
        <w:rPr>
          <w:rFonts w:hint="eastAsia" w:ascii="仿宋" w:hAnsi="仿宋" w:eastAsia="仿宋"/>
          <w:szCs w:val="21"/>
          <w:highlight w:val="none"/>
        </w:rPr>
        <w:t>2.凡出现以上任何一项情形，结论均为无效，否则就为有效。</w:t>
      </w:r>
    </w:p>
    <w:p>
      <w:pPr>
        <w:rPr>
          <w:rFonts w:ascii="仿宋" w:hAnsi="仿宋" w:eastAsia="仿宋"/>
          <w:szCs w:val="21"/>
          <w:highlight w:val="none"/>
        </w:rPr>
      </w:pPr>
      <w:r>
        <w:rPr>
          <w:rFonts w:hint="eastAsia" w:ascii="仿宋" w:hAnsi="仿宋" w:eastAsia="仿宋"/>
          <w:szCs w:val="21"/>
          <w:highlight w:val="none"/>
        </w:rPr>
        <w:t>3.如对本表中某种情形的评审意见不一致时，以评标委员会过半数成员的意见作为评标委员会对该情形的认定结论。</w:t>
      </w:r>
    </w:p>
    <w:p>
      <w:pPr>
        <w:rPr>
          <w:rFonts w:ascii="仿宋" w:hAnsi="仿宋" w:eastAsia="仿宋"/>
          <w:szCs w:val="21"/>
          <w:highlight w:val="none"/>
        </w:rPr>
      </w:pPr>
      <w:r>
        <w:rPr>
          <w:rFonts w:hint="eastAsia" w:ascii="仿宋" w:hAnsi="仿宋" w:eastAsia="仿宋"/>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rPr>
          <w:rFonts w:ascii="仿宋" w:hAnsi="仿宋" w:eastAsia="仿宋"/>
          <w:szCs w:val="21"/>
          <w:highlight w:val="none"/>
        </w:rPr>
      </w:pPr>
      <w:r>
        <w:rPr>
          <w:rFonts w:hint="eastAsia" w:ascii="仿宋" w:hAnsi="仿宋" w:eastAsia="仿宋"/>
          <w:szCs w:val="21"/>
          <w:highlight w:val="none"/>
        </w:rPr>
        <w:t>评委签名：</w:t>
      </w:r>
    </w:p>
    <w:p>
      <w:pPr>
        <w:rPr>
          <w:rFonts w:hint="eastAsia" w:ascii="宋体" w:hAnsi="宋体"/>
          <w:highlight w:val="none"/>
        </w:rPr>
        <w:sectPr>
          <w:headerReference r:id="rId10" w:type="first"/>
          <w:footerReference r:id="rId13" w:type="first"/>
          <w:headerReference r:id="rId8" w:type="default"/>
          <w:footerReference r:id="rId11" w:type="default"/>
          <w:headerReference r:id="rId9" w:type="even"/>
          <w:footerReference r:id="rId12" w:type="even"/>
          <w:endnotePr>
            <w:numFmt w:val="decimal"/>
          </w:endnotePr>
          <w:pgSz w:w="11906" w:h="16838"/>
          <w:pgMar w:top="1247" w:right="1418" w:bottom="1134" w:left="1418" w:header="851" w:footer="907"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highlight w:val="none"/>
        </w:rPr>
        <w:br w:type="page"/>
      </w:r>
    </w:p>
    <w:p>
      <w:pPr>
        <w:pStyle w:val="2"/>
        <w:rPr>
          <w:rFonts w:hint="eastAsia"/>
          <w:highlight w:val="none"/>
        </w:rPr>
      </w:pPr>
    </w:p>
    <w:p>
      <w:pPr>
        <w:rPr>
          <w:b/>
          <w:bCs/>
          <w:highlight w:val="none"/>
        </w:rPr>
      </w:pPr>
      <w:r>
        <w:rPr>
          <w:rFonts w:hint="eastAsia" w:ascii="宋体" w:hAnsi="宋体"/>
          <w:highlight w:val="none"/>
        </w:rPr>
        <w:t>附表四</w:t>
      </w:r>
    </w:p>
    <w:p>
      <w:pPr>
        <w:jc w:val="center"/>
        <w:outlineLvl w:val="2"/>
        <w:rPr>
          <w:b/>
          <w:bCs/>
          <w:sz w:val="36"/>
          <w:szCs w:val="36"/>
          <w:highlight w:val="none"/>
        </w:rPr>
      </w:pPr>
      <w:r>
        <w:rPr>
          <w:rFonts w:hint="eastAsia" w:ascii="宋体" w:hAnsi="宋体"/>
          <w:b/>
          <w:bCs/>
          <w:sz w:val="36"/>
          <w:szCs w:val="36"/>
          <w:highlight w:val="none"/>
        </w:rPr>
        <w:t>算术复核表</w:t>
      </w:r>
    </w:p>
    <w:p>
      <w:pPr>
        <w:rPr>
          <w:rFonts w:ascii="宋体"/>
          <w:kern w:val="0"/>
          <w:highlight w:val="none"/>
        </w:rPr>
      </w:pPr>
      <w:r>
        <w:rPr>
          <w:rFonts w:hint="eastAsia" w:ascii="宋体" w:hAnsi="宋体"/>
          <w:kern w:val="0"/>
          <w:highlight w:val="none"/>
        </w:rPr>
        <w:t>工程名称：投标人:                                                  单位：元</w:t>
      </w:r>
    </w:p>
    <w:tbl>
      <w:tblPr>
        <w:tblStyle w:val="40"/>
        <w:tblW w:w="0" w:type="auto"/>
        <w:tblInd w:w="108"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修正前投标</w:t>
            </w:r>
          </w:p>
          <w:p>
            <w:pPr>
              <w:rPr>
                <w:rFonts w:ascii="宋体"/>
                <w:kern w:val="0"/>
                <w:highlight w:val="none"/>
              </w:rPr>
            </w:pPr>
            <w:r>
              <w:rPr>
                <w:rFonts w:hint="eastAsia" w:ascii="宋体" w:hAnsi="宋体"/>
                <w:kern w:val="0"/>
                <w:highlight w:val="none"/>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修正后投标</w:t>
            </w:r>
          </w:p>
          <w:p>
            <w:pPr>
              <w:rPr>
                <w:rFonts w:ascii="宋体"/>
                <w:kern w:val="0"/>
                <w:highlight w:val="none"/>
              </w:rPr>
            </w:pPr>
            <w:r>
              <w:rPr>
                <w:rFonts w:hint="eastAsia" w:ascii="宋体" w:hAnsi="宋体"/>
                <w:kern w:val="0"/>
                <w:highlight w:val="none"/>
              </w:rPr>
              <w:t>报价B</w:t>
            </w:r>
          </w:p>
        </w:tc>
        <w:tc>
          <w:tcPr>
            <w:tcW w:w="1575" w:type="dxa"/>
            <w:tcBorders>
              <w:top w:val="single" w:color="auto" w:sz="4" w:space="0"/>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修正率</w:t>
            </w:r>
          </w:p>
          <w:p>
            <w:pPr>
              <w:rPr>
                <w:rFonts w:ascii="宋体"/>
                <w:kern w:val="0"/>
                <w:highlight w:val="none"/>
              </w:rPr>
            </w:pPr>
            <w:r>
              <w:rPr>
                <w:rFonts w:hint="eastAsia" w:ascii="宋体" w:hAnsi="宋体"/>
                <w:kern w:val="0"/>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1</w:t>
            </w:r>
          </w:p>
        </w:tc>
        <w:tc>
          <w:tcPr>
            <w:tcW w:w="4488"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[单位工程1]</w:t>
            </w:r>
          </w:p>
        </w:tc>
        <w:tc>
          <w:tcPr>
            <w:tcW w:w="1602"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470"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2</w:t>
            </w:r>
          </w:p>
        </w:tc>
        <w:tc>
          <w:tcPr>
            <w:tcW w:w="4488"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[单位工程2]</w:t>
            </w:r>
          </w:p>
        </w:tc>
        <w:tc>
          <w:tcPr>
            <w:tcW w:w="1602"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470"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w:t>
            </w:r>
          </w:p>
        </w:tc>
        <w:tc>
          <w:tcPr>
            <w:tcW w:w="4488"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w:t>
            </w:r>
          </w:p>
        </w:tc>
        <w:tc>
          <w:tcPr>
            <w:tcW w:w="1602"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470"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w:t>
            </w:r>
          </w:p>
        </w:tc>
        <w:tc>
          <w:tcPr>
            <w:tcW w:w="4488"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w:t>
            </w:r>
          </w:p>
        </w:tc>
        <w:tc>
          <w:tcPr>
            <w:tcW w:w="1602"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470"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w:t>
            </w:r>
          </w:p>
        </w:tc>
        <w:tc>
          <w:tcPr>
            <w:tcW w:w="4488"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w:t>
            </w:r>
          </w:p>
        </w:tc>
        <w:tc>
          <w:tcPr>
            <w:tcW w:w="1602"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470"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n</w:t>
            </w:r>
          </w:p>
        </w:tc>
        <w:tc>
          <w:tcPr>
            <w:tcW w:w="4488"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[单位工程n]</w:t>
            </w:r>
          </w:p>
        </w:tc>
        <w:tc>
          <w:tcPr>
            <w:tcW w:w="1602"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470"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w:t>
            </w:r>
          </w:p>
        </w:tc>
        <w:tc>
          <w:tcPr>
            <w:tcW w:w="4488"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575"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1470" w:type="dxa"/>
            <w:tcBorders>
              <w:top w:val="nil"/>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kern w:val="0"/>
                <w:highlight w:val="none"/>
              </w:rPr>
            </w:pPr>
            <w:r>
              <w:rPr>
                <w:rFonts w:hint="eastAsia" w:ascii="宋体" w:hAnsi="宋体"/>
                <w:kern w:val="0"/>
                <w:highlight w:val="none"/>
              </w:rPr>
              <w:t>∑A=A</w:t>
            </w:r>
            <w:r>
              <w:rPr>
                <w:rFonts w:hint="eastAsia" w:ascii="宋体" w:hAnsi="宋体"/>
                <w:kern w:val="0"/>
                <w:highlight w:val="none"/>
                <w:vertAlign w:val="subscript"/>
              </w:rPr>
              <w:t>1</w:t>
            </w:r>
            <w:r>
              <w:rPr>
                <w:rFonts w:hint="eastAsia" w:ascii="宋体" w:hAnsi="宋体"/>
                <w:kern w:val="0"/>
                <w:highlight w:val="none"/>
              </w:rPr>
              <w:t>+A</w:t>
            </w:r>
            <w:r>
              <w:rPr>
                <w:rFonts w:hint="eastAsia" w:ascii="宋体" w:hAnsi="宋体"/>
                <w:kern w:val="0"/>
                <w:highlight w:val="none"/>
                <w:vertAlign w:val="subscript"/>
              </w:rPr>
              <w:t>2</w:t>
            </w:r>
            <w:r>
              <w:rPr>
                <w:rFonts w:hint="eastAsia" w:ascii="宋体" w:hAnsi="宋体"/>
                <w:kern w:val="0"/>
                <w:highlight w:val="none"/>
              </w:rPr>
              <w:t>+…An；∑B=B</w:t>
            </w:r>
            <w:r>
              <w:rPr>
                <w:rFonts w:hint="eastAsia" w:ascii="宋体" w:hAnsi="宋体"/>
                <w:kern w:val="0"/>
                <w:highlight w:val="none"/>
                <w:vertAlign w:val="subscript"/>
              </w:rPr>
              <w:t>1</w:t>
            </w:r>
            <w:r>
              <w:rPr>
                <w:rFonts w:hint="eastAsia" w:ascii="宋体" w:hAnsi="宋体"/>
                <w:kern w:val="0"/>
                <w:highlight w:val="none"/>
              </w:rPr>
              <w:t>+B</w:t>
            </w:r>
            <w:r>
              <w:rPr>
                <w:rFonts w:hint="eastAsia" w:ascii="宋体" w:hAnsi="宋体"/>
                <w:kern w:val="0"/>
                <w:highlight w:val="none"/>
                <w:vertAlign w:val="subscript"/>
              </w:rPr>
              <w:t>2</w:t>
            </w:r>
            <w:r>
              <w:rPr>
                <w:rFonts w:hint="eastAsia" w:ascii="宋体" w:hAnsi="宋体"/>
                <w:kern w:val="0"/>
                <w:highlight w:val="none"/>
              </w:rPr>
              <w:t>+…Bn</w:t>
            </w:r>
          </w:p>
        </w:tc>
      </w:tr>
    </w:tbl>
    <w:p>
      <w:pPr>
        <w:rPr>
          <w:rFonts w:cs="宋体"/>
          <w:kern w:val="0"/>
          <w:highlight w:val="none"/>
        </w:rPr>
      </w:pPr>
      <w:r>
        <w:rPr>
          <w:rFonts w:hint="eastAsia" w:ascii="宋体" w:hAnsi="宋体"/>
          <w:kern w:val="0"/>
          <w:highlight w:val="none"/>
        </w:rPr>
        <w:t>修正原则：</w:t>
      </w:r>
      <w:r>
        <w:rPr>
          <w:rFonts w:hint="eastAsia" w:ascii="宋体" w:hAnsi="宋体"/>
          <w:highlight w:val="none"/>
        </w:rPr>
        <w:t>按就低不就高原则，当修正后报价小于原报价，总价按修正后报价；当修正后报价大于原报价，总价按原报价，并在签订合同时载明在结算价中扣除修正报价与原报价的差额。</w:t>
      </w:r>
      <w:r>
        <w:rPr>
          <w:rFonts w:cs="宋体"/>
          <w:kern w:val="0"/>
          <w:highlight w:val="none"/>
        </w:rPr>
        <w:tab/>
      </w:r>
    </w:p>
    <w:p>
      <w:pPr>
        <w:rPr>
          <w:kern w:val="0"/>
          <w:highlight w:val="none"/>
        </w:rPr>
      </w:pPr>
      <w:r>
        <w:rPr>
          <w:rFonts w:hint="eastAsia" w:ascii="宋体" w:hAnsi="宋体"/>
          <w:kern w:val="0"/>
          <w:highlight w:val="none"/>
        </w:rPr>
        <w:t>评委签名：</w:t>
      </w:r>
      <w:r>
        <w:rPr>
          <w:kern w:val="0"/>
          <w:highlight w:val="none"/>
        </w:rPr>
        <w:tab/>
      </w:r>
      <w:r>
        <w:rPr>
          <w:kern w:val="0"/>
          <w:highlight w:val="none"/>
        </w:rPr>
        <w:tab/>
      </w:r>
      <w:r>
        <w:rPr>
          <w:kern w:val="0"/>
          <w:highlight w:val="none"/>
        </w:rPr>
        <w:tab/>
      </w:r>
      <w:r>
        <w:rPr>
          <w:kern w:val="0"/>
          <w:highlight w:val="none"/>
        </w:rPr>
        <w:tab/>
      </w:r>
      <w:r>
        <w:rPr>
          <w:kern w:val="0"/>
          <w:highlight w:val="none"/>
        </w:rPr>
        <w:tab/>
      </w:r>
      <w:r>
        <w:rPr>
          <w:rFonts w:hint="eastAsia" w:ascii="宋体" w:hAnsi="宋体"/>
          <w:kern w:val="0"/>
          <w:highlight w:val="none"/>
        </w:rPr>
        <w:t>日期：</w:t>
      </w:r>
    </w:p>
    <w:p>
      <w:pPr>
        <w:rPr>
          <w:highlight w:val="none"/>
        </w:rPr>
      </w:pPr>
    </w:p>
    <w:p>
      <w:pPr>
        <w:jc w:val="center"/>
        <w:outlineLvl w:val="2"/>
        <w:rPr>
          <w:b/>
          <w:bCs/>
          <w:sz w:val="36"/>
          <w:szCs w:val="36"/>
          <w:highlight w:val="none"/>
        </w:rPr>
      </w:pPr>
      <w:r>
        <w:rPr>
          <w:highlight w:val="none"/>
        </w:rPr>
        <w:br w:type="page"/>
      </w:r>
      <w:r>
        <w:rPr>
          <w:rFonts w:hint="eastAsia" w:ascii="宋体" w:hAnsi="宋体"/>
          <w:b/>
          <w:bCs/>
          <w:sz w:val="36"/>
          <w:szCs w:val="36"/>
          <w:highlight w:val="none"/>
        </w:rPr>
        <w:t>算术复核表</w:t>
      </w:r>
    </w:p>
    <w:p>
      <w:pPr>
        <w:rPr>
          <w:highlight w:val="none"/>
        </w:rPr>
      </w:pPr>
      <w:r>
        <w:rPr>
          <w:rFonts w:hint="eastAsia" w:ascii="宋体" w:hAnsi="宋体"/>
          <w:highlight w:val="none"/>
        </w:rPr>
        <w:t>工程名称：</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bCs/>
                <w:sz w:val="28"/>
                <w:szCs w:val="28"/>
                <w:highlight w:val="none"/>
              </w:rPr>
            </w:pPr>
            <w:r>
              <w:rPr>
                <w:rFonts w:hint="eastAsia"/>
                <w:b/>
                <w:bCs/>
                <w:sz w:val="28"/>
                <w:szCs w:val="28"/>
                <w:highlight w:val="none"/>
              </w:rPr>
              <w:t>编号</w:t>
            </w:r>
          </w:p>
        </w:tc>
        <w:tc>
          <w:tcPr>
            <w:tcW w:w="4297" w:type="dxa"/>
            <w:tcBorders>
              <w:top w:val="single" w:color="auto" w:sz="4" w:space="0"/>
              <w:left w:val="nil"/>
              <w:bottom w:val="single" w:color="auto" w:sz="4" w:space="0"/>
              <w:right w:val="single" w:color="auto" w:sz="4" w:space="0"/>
            </w:tcBorders>
          </w:tcPr>
          <w:p>
            <w:pPr>
              <w:rPr>
                <w:b/>
                <w:bCs/>
                <w:sz w:val="28"/>
                <w:szCs w:val="28"/>
                <w:highlight w:val="none"/>
              </w:rPr>
            </w:pPr>
            <w:r>
              <w:rPr>
                <w:rFonts w:hint="eastAsia"/>
                <w:b/>
                <w:bCs/>
                <w:sz w:val="28"/>
                <w:szCs w:val="28"/>
                <w:highlight w:val="none"/>
              </w:rPr>
              <w:t>投标人名称</w:t>
            </w:r>
          </w:p>
        </w:tc>
        <w:tc>
          <w:tcPr>
            <w:tcW w:w="2330" w:type="dxa"/>
            <w:tcBorders>
              <w:top w:val="single" w:color="auto" w:sz="4" w:space="0"/>
              <w:left w:val="nil"/>
              <w:bottom w:val="single" w:color="auto" w:sz="4" w:space="0"/>
              <w:right w:val="single" w:color="auto" w:sz="4" w:space="0"/>
            </w:tcBorders>
          </w:tcPr>
          <w:p>
            <w:pPr>
              <w:rPr>
                <w:b/>
                <w:bCs/>
                <w:sz w:val="28"/>
                <w:szCs w:val="28"/>
                <w:highlight w:val="none"/>
              </w:rPr>
            </w:pPr>
            <w:r>
              <w:rPr>
                <w:rFonts w:hint="eastAsia"/>
                <w:b/>
                <w:bCs/>
                <w:sz w:val="28"/>
                <w:szCs w:val="28"/>
                <w:highlight w:val="none"/>
              </w:rPr>
              <w:t>原投标报价（</w:t>
            </w:r>
            <w:r>
              <w:rPr>
                <w:b/>
                <w:bCs/>
                <w:sz w:val="28"/>
                <w:szCs w:val="28"/>
                <w:highlight w:val="none"/>
              </w:rPr>
              <w:t>A</w:t>
            </w:r>
            <w:r>
              <w:rPr>
                <w:rFonts w:hint="eastAsia"/>
                <w:b/>
                <w:bCs/>
                <w:sz w:val="28"/>
                <w:szCs w:val="28"/>
                <w:highlight w:val="none"/>
              </w:rPr>
              <w:t>）</w:t>
            </w:r>
          </w:p>
        </w:tc>
        <w:tc>
          <w:tcPr>
            <w:tcW w:w="3101" w:type="dxa"/>
            <w:tcBorders>
              <w:top w:val="single" w:color="auto" w:sz="4" w:space="0"/>
              <w:left w:val="nil"/>
              <w:bottom w:val="single" w:color="auto" w:sz="4" w:space="0"/>
              <w:right w:val="single" w:color="auto" w:sz="4" w:space="0"/>
            </w:tcBorders>
          </w:tcPr>
          <w:p>
            <w:pPr>
              <w:rPr>
                <w:b/>
                <w:bCs/>
                <w:sz w:val="28"/>
                <w:szCs w:val="28"/>
                <w:highlight w:val="none"/>
              </w:rPr>
            </w:pPr>
            <w:r>
              <w:rPr>
                <w:rFonts w:hint="eastAsia"/>
                <w:b/>
                <w:bCs/>
                <w:sz w:val="28"/>
                <w:szCs w:val="28"/>
                <w:highlight w:val="none"/>
              </w:rPr>
              <w:t>算数复核后投标报价（</w:t>
            </w:r>
            <w:r>
              <w:rPr>
                <w:b/>
                <w:bCs/>
                <w:sz w:val="28"/>
                <w:szCs w:val="28"/>
                <w:highlight w:val="none"/>
              </w:rPr>
              <w:t>B</w:t>
            </w:r>
            <w:r>
              <w:rPr>
                <w:rFonts w:hint="eastAsia"/>
                <w:b/>
                <w:bCs/>
                <w:sz w:val="28"/>
                <w:szCs w:val="28"/>
                <w:highlight w:val="none"/>
              </w:rPr>
              <w:t>）</w:t>
            </w:r>
          </w:p>
        </w:tc>
        <w:tc>
          <w:tcPr>
            <w:tcW w:w="3423" w:type="dxa"/>
            <w:tcBorders>
              <w:top w:val="single" w:color="auto" w:sz="4" w:space="0"/>
              <w:left w:val="nil"/>
              <w:bottom w:val="single" w:color="auto" w:sz="4" w:space="0"/>
              <w:right w:val="single" w:color="auto" w:sz="4" w:space="0"/>
            </w:tcBorders>
          </w:tcPr>
          <w:p>
            <w:pPr>
              <w:rPr>
                <w:b/>
                <w:bCs/>
                <w:sz w:val="28"/>
                <w:szCs w:val="28"/>
                <w:highlight w:val="none"/>
              </w:rPr>
            </w:pPr>
            <w:r>
              <w:rPr>
                <w:rFonts w:hint="eastAsia"/>
                <w:b/>
                <w:bCs/>
                <w:sz w:val="28"/>
                <w:szCs w:val="28"/>
                <w:highlight w:val="none"/>
              </w:rPr>
              <w:t>误差率（</w:t>
            </w:r>
            <w:r>
              <w:rPr>
                <w:b/>
                <w:bCs/>
                <w:sz w:val="28"/>
                <w:szCs w:val="28"/>
                <w:highlight w:val="none"/>
              </w:rPr>
              <w:t>r=|A-B|/A*100%</w:t>
            </w:r>
            <w:r>
              <w:rPr>
                <w:rFonts w:hint="eastAsia"/>
                <w:b/>
                <w:bCs/>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nil"/>
              <w:bottom w:val="single" w:color="auto" w:sz="4" w:space="0"/>
              <w:right w:val="single" w:color="auto" w:sz="4" w:space="0"/>
            </w:tcBorders>
          </w:tcPr>
          <w:p>
            <w:pPr>
              <w:rPr>
                <w:sz w:val="36"/>
                <w:szCs w:val="36"/>
                <w:highlight w:val="none"/>
              </w:rPr>
            </w:pPr>
          </w:p>
        </w:tc>
        <w:tc>
          <w:tcPr>
            <w:tcW w:w="2330" w:type="dxa"/>
            <w:tcBorders>
              <w:top w:val="single" w:color="auto" w:sz="4" w:space="0"/>
              <w:left w:val="nil"/>
              <w:bottom w:val="single" w:color="auto" w:sz="4" w:space="0"/>
              <w:right w:val="single" w:color="auto" w:sz="4" w:space="0"/>
            </w:tcBorders>
          </w:tcPr>
          <w:p>
            <w:pPr>
              <w:rPr>
                <w:sz w:val="36"/>
                <w:szCs w:val="36"/>
                <w:highlight w:val="none"/>
              </w:rPr>
            </w:pPr>
          </w:p>
        </w:tc>
        <w:tc>
          <w:tcPr>
            <w:tcW w:w="3101" w:type="dxa"/>
            <w:tcBorders>
              <w:top w:val="single" w:color="auto" w:sz="4" w:space="0"/>
              <w:left w:val="nil"/>
              <w:bottom w:val="single" w:color="auto" w:sz="4" w:space="0"/>
              <w:right w:val="single" w:color="auto" w:sz="4" w:space="0"/>
            </w:tcBorders>
          </w:tcPr>
          <w:p>
            <w:pPr>
              <w:rPr>
                <w:sz w:val="36"/>
                <w:szCs w:val="36"/>
                <w:highlight w:val="none"/>
              </w:rPr>
            </w:pPr>
          </w:p>
        </w:tc>
        <w:tc>
          <w:tcPr>
            <w:tcW w:w="3423" w:type="dxa"/>
            <w:tcBorders>
              <w:top w:val="single" w:color="auto" w:sz="4" w:space="0"/>
              <w:left w:val="nil"/>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nil"/>
              <w:bottom w:val="single" w:color="auto" w:sz="4" w:space="0"/>
              <w:right w:val="single" w:color="auto" w:sz="4" w:space="0"/>
            </w:tcBorders>
          </w:tcPr>
          <w:p>
            <w:pPr>
              <w:rPr>
                <w:sz w:val="36"/>
                <w:szCs w:val="36"/>
                <w:highlight w:val="none"/>
              </w:rPr>
            </w:pPr>
          </w:p>
        </w:tc>
        <w:tc>
          <w:tcPr>
            <w:tcW w:w="2330" w:type="dxa"/>
            <w:tcBorders>
              <w:top w:val="single" w:color="auto" w:sz="4" w:space="0"/>
              <w:left w:val="nil"/>
              <w:bottom w:val="single" w:color="auto" w:sz="4" w:space="0"/>
              <w:right w:val="single" w:color="auto" w:sz="4" w:space="0"/>
            </w:tcBorders>
          </w:tcPr>
          <w:p>
            <w:pPr>
              <w:rPr>
                <w:sz w:val="36"/>
                <w:szCs w:val="36"/>
                <w:highlight w:val="none"/>
              </w:rPr>
            </w:pPr>
          </w:p>
        </w:tc>
        <w:tc>
          <w:tcPr>
            <w:tcW w:w="3101" w:type="dxa"/>
            <w:tcBorders>
              <w:top w:val="single" w:color="auto" w:sz="4" w:space="0"/>
              <w:left w:val="nil"/>
              <w:bottom w:val="single" w:color="auto" w:sz="4" w:space="0"/>
              <w:right w:val="single" w:color="auto" w:sz="4" w:space="0"/>
            </w:tcBorders>
          </w:tcPr>
          <w:p>
            <w:pPr>
              <w:rPr>
                <w:sz w:val="36"/>
                <w:szCs w:val="36"/>
                <w:highlight w:val="none"/>
              </w:rPr>
            </w:pPr>
          </w:p>
        </w:tc>
        <w:tc>
          <w:tcPr>
            <w:tcW w:w="3423" w:type="dxa"/>
            <w:tcBorders>
              <w:top w:val="single" w:color="auto" w:sz="4" w:space="0"/>
              <w:left w:val="nil"/>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nil"/>
              <w:bottom w:val="single" w:color="auto" w:sz="4" w:space="0"/>
              <w:right w:val="single" w:color="auto" w:sz="4" w:space="0"/>
            </w:tcBorders>
          </w:tcPr>
          <w:p>
            <w:pPr>
              <w:rPr>
                <w:sz w:val="36"/>
                <w:szCs w:val="36"/>
                <w:highlight w:val="none"/>
              </w:rPr>
            </w:pPr>
          </w:p>
        </w:tc>
        <w:tc>
          <w:tcPr>
            <w:tcW w:w="2330" w:type="dxa"/>
            <w:tcBorders>
              <w:top w:val="single" w:color="auto" w:sz="4" w:space="0"/>
              <w:left w:val="nil"/>
              <w:bottom w:val="single" w:color="auto" w:sz="4" w:space="0"/>
              <w:right w:val="single" w:color="auto" w:sz="4" w:space="0"/>
            </w:tcBorders>
          </w:tcPr>
          <w:p>
            <w:pPr>
              <w:rPr>
                <w:sz w:val="36"/>
                <w:szCs w:val="36"/>
                <w:highlight w:val="none"/>
              </w:rPr>
            </w:pPr>
          </w:p>
        </w:tc>
        <w:tc>
          <w:tcPr>
            <w:tcW w:w="3101" w:type="dxa"/>
            <w:tcBorders>
              <w:top w:val="single" w:color="auto" w:sz="4" w:space="0"/>
              <w:left w:val="nil"/>
              <w:bottom w:val="single" w:color="auto" w:sz="4" w:space="0"/>
              <w:right w:val="single" w:color="auto" w:sz="4" w:space="0"/>
            </w:tcBorders>
          </w:tcPr>
          <w:p>
            <w:pPr>
              <w:rPr>
                <w:sz w:val="36"/>
                <w:szCs w:val="36"/>
                <w:highlight w:val="none"/>
              </w:rPr>
            </w:pPr>
          </w:p>
        </w:tc>
        <w:tc>
          <w:tcPr>
            <w:tcW w:w="3423" w:type="dxa"/>
            <w:tcBorders>
              <w:top w:val="single" w:color="auto" w:sz="4" w:space="0"/>
              <w:left w:val="nil"/>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nil"/>
              <w:bottom w:val="single" w:color="auto" w:sz="4" w:space="0"/>
              <w:right w:val="single" w:color="auto" w:sz="4" w:space="0"/>
            </w:tcBorders>
          </w:tcPr>
          <w:p>
            <w:pPr>
              <w:rPr>
                <w:sz w:val="36"/>
                <w:szCs w:val="36"/>
                <w:highlight w:val="none"/>
              </w:rPr>
            </w:pPr>
          </w:p>
        </w:tc>
        <w:tc>
          <w:tcPr>
            <w:tcW w:w="2330" w:type="dxa"/>
            <w:tcBorders>
              <w:top w:val="single" w:color="auto" w:sz="4" w:space="0"/>
              <w:left w:val="nil"/>
              <w:bottom w:val="single" w:color="auto" w:sz="4" w:space="0"/>
              <w:right w:val="single" w:color="auto" w:sz="4" w:space="0"/>
            </w:tcBorders>
          </w:tcPr>
          <w:p>
            <w:pPr>
              <w:rPr>
                <w:sz w:val="36"/>
                <w:szCs w:val="36"/>
                <w:highlight w:val="none"/>
              </w:rPr>
            </w:pPr>
          </w:p>
        </w:tc>
        <w:tc>
          <w:tcPr>
            <w:tcW w:w="3101" w:type="dxa"/>
            <w:tcBorders>
              <w:top w:val="single" w:color="auto" w:sz="4" w:space="0"/>
              <w:left w:val="nil"/>
              <w:bottom w:val="single" w:color="auto" w:sz="4" w:space="0"/>
              <w:right w:val="single" w:color="auto" w:sz="4" w:space="0"/>
            </w:tcBorders>
          </w:tcPr>
          <w:p>
            <w:pPr>
              <w:rPr>
                <w:sz w:val="36"/>
                <w:szCs w:val="36"/>
                <w:highlight w:val="none"/>
              </w:rPr>
            </w:pPr>
          </w:p>
        </w:tc>
        <w:tc>
          <w:tcPr>
            <w:tcW w:w="3423" w:type="dxa"/>
            <w:tcBorders>
              <w:top w:val="single" w:color="auto" w:sz="4" w:space="0"/>
              <w:left w:val="nil"/>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nil"/>
              <w:bottom w:val="single" w:color="auto" w:sz="4" w:space="0"/>
              <w:right w:val="single" w:color="auto" w:sz="4" w:space="0"/>
            </w:tcBorders>
          </w:tcPr>
          <w:p>
            <w:pPr>
              <w:rPr>
                <w:sz w:val="36"/>
                <w:szCs w:val="36"/>
                <w:highlight w:val="none"/>
              </w:rPr>
            </w:pPr>
          </w:p>
        </w:tc>
        <w:tc>
          <w:tcPr>
            <w:tcW w:w="2330" w:type="dxa"/>
            <w:tcBorders>
              <w:top w:val="single" w:color="auto" w:sz="4" w:space="0"/>
              <w:left w:val="nil"/>
              <w:bottom w:val="single" w:color="auto" w:sz="4" w:space="0"/>
              <w:right w:val="single" w:color="auto" w:sz="4" w:space="0"/>
            </w:tcBorders>
          </w:tcPr>
          <w:p>
            <w:pPr>
              <w:rPr>
                <w:sz w:val="36"/>
                <w:szCs w:val="36"/>
                <w:highlight w:val="none"/>
              </w:rPr>
            </w:pPr>
          </w:p>
        </w:tc>
        <w:tc>
          <w:tcPr>
            <w:tcW w:w="3101" w:type="dxa"/>
            <w:tcBorders>
              <w:top w:val="single" w:color="auto" w:sz="4" w:space="0"/>
              <w:left w:val="nil"/>
              <w:bottom w:val="single" w:color="auto" w:sz="4" w:space="0"/>
              <w:right w:val="single" w:color="auto" w:sz="4" w:space="0"/>
            </w:tcBorders>
          </w:tcPr>
          <w:p>
            <w:pPr>
              <w:rPr>
                <w:sz w:val="36"/>
                <w:szCs w:val="36"/>
                <w:highlight w:val="none"/>
              </w:rPr>
            </w:pPr>
          </w:p>
        </w:tc>
        <w:tc>
          <w:tcPr>
            <w:tcW w:w="3423" w:type="dxa"/>
            <w:tcBorders>
              <w:top w:val="single" w:color="auto" w:sz="4" w:space="0"/>
              <w:left w:val="nil"/>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nil"/>
              <w:bottom w:val="single" w:color="auto" w:sz="4" w:space="0"/>
              <w:right w:val="single" w:color="auto" w:sz="4" w:space="0"/>
            </w:tcBorders>
          </w:tcPr>
          <w:p>
            <w:pPr>
              <w:rPr>
                <w:sz w:val="36"/>
                <w:szCs w:val="36"/>
                <w:highlight w:val="none"/>
              </w:rPr>
            </w:pPr>
          </w:p>
        </w:tc>
        <w:tc>
          <w:tcPr>
            <w:tcW w:w="2330" w:type="dxa"/>
            <w:tcBorders>
              <w:top w:val="single" w:color="auto" w:sz="4" w:space="0"/>
              <w:left w:val="nil"/>
              <w:bottom w:val="single" w:color="auto" w:sz="4" w:space="0"/>
              <w:right w:val="single" w:color="auto" w:sz="4" w:space="0"/>
            </w:tcBorders>
          </w:tcPr>
          <w:p>
            <w:pPr>
              <w:rPr>
                <w:sz w:val="36"/>
                <w:szCs w:val="36"/>
                <w:highlight w:val="none"/>
              </w:rPr>
            </w:pPr>
          </w:p>
        </w:tc>
        <w:tc>
          <w:tcPr>
            <w:tcW w:w="3101" w:type="dxa"/>
            <w:tcBorders>
              <w:top w:val="single" w:color="auto" w:sz="4" w:space="0"/>
              <w:left w:val="nil"/>
              <w:bottom w:val="single" w:color="auto" w:sz="4" w:space="0"/>
              <w:right w:val="single" w:color="auto" w:sz="4" w:space="0"/>
            </w:tcBorders>
          </w:tcPr>
          <w:p>
            <w:pPr>
              <w:rPr>
                <w:sz w:val="36"/>
                <w:szCs w:val="36"/>
                <w:highlight w:val="none"/>
              </w:rPr>
            </w:pPr>
          </w:p>
        </w:tc>
        <w:tc>
          <w:tcPr>
            <w:tcW w:w="3423" w:type="dxa"/>
            <w:tcBorders>
              <w:top w:val="single" w:color="auto" w:sz="4" w:space="0"/>
              <w:left w:val="nil"/>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nil"/>
              <w:bottom w:val="single" w:color="auto" w:sz="4" w:space="0"/>
              <w:right w:val="single" w:color="auto" w:sz="4" w:space="0"/>
            </w:tcBorders>
          </w:tcPr>
          <w:p>
            <w:pPr>
              <w:rPr>
                <w:sz w:val="36"/>
                <w:szCs w:val="36"/>
                <w:highlight w:val="none"/>
              </w:rPr>
            </w:pPr>
          </w:p>
        </w:tc>
        <w:tc>
          <w:tcPr>
            <w:tcW w:w="2330" w:type="dxa"/>
            <w:tcBorders>
              <w:top w:val="single" w:color="auto" w:sz="4" w:space="0"/>
              <w:left w:val="nil"/>
              <w:bottom w:val="single" w:color="auto" w:sz="4" w:space="0"/>
              <w:right w:val="single" w:color="auto" w:sz="4" w:space="0"/>
            </w:tcBorders>
          </w:tcPr>
          <w:p>
            <w:pPr>
              <w:rPr>
                <w:sz w:val="36"/>
                <w:szCs w:val="36"/>
                <w:highlight w:val="none"/>
              </w:rPr>
            </w:pPr>
          </w:p>
        </w:tc>
        <w:tc>
          <w:tcPr>
            <w:tcW w:w="3101" w:type="dxa"/>
            <w:tcBorders>
              <w:top w:val="single" w:color="auto" w:sz="4" w:space="0"/>
              <w:left w:val="nil"/>
              <w:bottom w:val="single" w:color="auto" w:sz="4" w:space="0"/>
              <w:right w:val="single" w:color="auto" w:sz="4" w:space="0"/>
            </w:tcBorders>
          </w:tcPr>
          <w:p>
            <w:pPr>
              <w:rPr>
                <w:sz w:val="36"/>
                <w:szCs w:val="36"/>
                <w:highlight w:val="none"/>
              </w:rPr>
            </w:pPr>
          </w:p>
        </w:tc>
        <w:tc>
          <w:tcPr>
            <w:tcW w:w="3423" w:type="dxa"/>
            <w:tcBorders>
              <w:top w:val="single" w:color="auto" w:sz="4" w:space="0"/>
              <w:left w:val="nil"/>
              <w:bottom w:val="single" w:color="auto" w:sz="4" w:space="0"/>
              <w:right w:val="single" w:color="auto" w:sz="4" w:space="0"/>
            </w:tcBorders>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highlight w:val="none"/>
              </w:rPr>
            </w:pPr>
          </w:p>
        </w:tc>
        <w:tc>
          <w:tcPr>
            <w:tcW w:w="4297" w:type="dxa"/>
            <w:tcBorders>
              <w:top w:val="single" w:color="auto" w:sz="4" w:space="0"/>
              <w:left w:val="nil"/>
              <w:bottom w:val="single" w:color="auto" w:sz="4" w:space="0"/>
              <w:right w:val="single" w:color="auto" w:sz="4" w:space="0"/>
            </w:tcBorders>
          </w:tcPr>
          <w:p>
            <w:pPr>
              <w:rPr>
                <w:sz w:val="36"/>
                <w:szCs w:val="36"/>
                <w:highlight w:val="none"/>
              </w:rPr>
            </w:pPr>
          </w:p>
        </w:tc>
        <w:tc>
          <w:tcPr>
            <w:tcW w:w="2330" w:type="dxa"/>
            <w:tcBorders>
              <w:top w:val="single" w:color="auto" w:sz="4" w:space="0"/>
              <w:left w:val="nil"/>
              <w:bottom w:val="single" w:color="auto" w:sz="4" w:space="0"/>
              <w:right w:val="single" w:color="auto" w:sz="4" w:space="0"/>
            </w:tcBorders>
          </w:tcPr>
          <w:p>
            <w:pPr>
              <w:rPr>
                <w:sz w:val="36"/>
                <w:szCs w:val="36"/>
                <w:highlight w:val="none"/>
              </w:rPr>
            </w:pPr>
          </w:p>
        </w:tc>
        <w:tc>
          <w:tcPr>
            <w:tcW w:w="3101" w:type="dxa"/>
            <w:tcBorders>
              <w:top w:val="single" w:color="auto" w:sz="4" w:space="0"/>
              <w:left w:val="nil"/>
              <w:bottom w:val="single" w:color="auto" w:sz="4" w:space="0"/>
              <w:right w:val="single" w:color="auto" w:sz="4" w:space="0"/>
            </w:tcBorders>
          </w:tcPr>
          <w:p>
            <w:pPr>
              <w:rPr>
                <w:sz w:val="36"/>
                <w:szCs w:val="36"/>
                <w:highlight w:val="none"/>
              </w:rPr>
            </w:pPr>
          </w:p>
        </w:tc>
        <w:tc>
          <w:tcPr>
            <w:tcW w:w="3423" w:type="dxa"/>
            <w:tcBorders>
              <w:top w:val="single" w:color="auto" w:sz="4" w:space="0"/>
              <w:left w:val="nil"/>
              <w:bottom w:val="single" w:color="auto" w:sz="4" w:space="0"/>
              <w:right w:val="single" w:color="auto" w:sz="4" w:space="0"/>
            </w:tcBorders>
          </w:tcPr>
          <w:p>
            <w:pPr>
              <w:rPr>
                <w:sz w:val="36"/>
                <w:szCs w:val="36"/>
                <w:highlight w:val="none"/>
              </w:rPr>
            </w:pPr>
          </w:p>
        </w:tc>
      </w:tr>
    </w:tbl>
    <w:p>
      <w:pPr>
        <w:spacing w:line="360" w:lineRule="auto"/>
        <w:rPr>
          <w:rFonts w:hint="eastAsia" w:ascii="宋体" w:hAnsi="宋体"/>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highlight w:val="none"/>
        </w:rPr>
        <w:t>评委签名</w:t>
      </w:r>
    </w:p>
    <w:p>
      <w:pPr>
        <w:widowControl/>
        <w:jc w:val="left"/>
        <w:outlineLvl w:val="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附表五、</w:t>
      </w:r>
    </w:p>
    <w:p>
      <w:pPr>
        <w:spacing w:line="0" w:lineRule="atLeast"/>
        <w:jc w:val="center"/>
        <w:rPr>
          <w:rFonts w:ascii="仿宋" w:hAnsi="仿宋" w:eastAsia="仿宋"/>
          <w:b/>
          <w:kern w:val="0"/>
          <w:sz w:val="28"/>
          <w:highlight w:val="none"/>
        </w:rPr>
      </w:pPr>
      <w:r>
        <w:rPr>
          <w:rFonts w:hint="eastAsia" w:ascii="仿宋" w:hAnsi="仿宋" w:eastAsia="仿宋"/>
          <w:b/>
          <w:kern w:val="0"/>
          <w:sz w:val="28"/>
          <w:highlight w:val="none"/>
        </w:rPr>
        <w:t>定性</w:t>
      </w:r>
      <w:r>
        <w:rPr>
          <w:rFonts w:ascii="仿宋" w:hAnsi="仿宋" w:eastAsia="仿宋"/>
          <w:b/>
          <w:kern w:val="0"/>
          <w:sz w:val="28"/>
          <w:highlight w:val="none"/>
        </w:rPr>
        <w:t>评审表</w:t>
      </w:r>
      <w:r>
        <w:rPr>
          <w:rFonts w:hint="eastAsia" w:ascii="仿宋" w:hAnsi="仿宋" w:eastAsia="仿宋"/>
          <w:b/>
          <w:kern w:val="0"/>
          <w:sz w:val="28"/>
          <w:highlight w:val="none"/>
        </w:rPr>
        <w:t>一（客观部分，定标时使用）</w:t>
      </w:r>
    </w:p>
    <w:p>
      <w:pPr>
        <w:jc w:val="left"/>
        <w:rPr>
          <w:rFonts w:ascii="仿宋" w:hAnsi="仿宋" w:eastAsia="仿宋"/>
          <w:szCs w:val="21"/>
          <w:highlight w:val="none"/>
        </w:rPr>
      </w:pPr>
      <w:r>
        <w:rPr>
          <w:rFonts w:hint="eastAsia" w:ascii="仿宋" w:hAnsi="仿宋" w:eastAsia="仿宋"/>
          <w:szCs w:val="21"/>
          <w:highlight w:val="none"/>
        </w:rPr>
        <w:t>招标工程名称：</w:t>
      </w:r>
      <w:r>
        <w:rPr>
          <w:rFonts w:ascii="仿宋" w:hAnsi="仿宋" w:eastAsia="仿宋"/>
          <w:szCs w:val="21"/>
          <w:highlight w:val="none"/>
        </w:rPr>
        <w:t xml:space="preserve"> </w:t>
      </w:r>
    </w:p>
    <w:p>
      <w:pPr>
        <w:pStyle w:val="138"/>
        <w:ind w:firstLine="0" w:firstLineChars="0"/>
        <w:rPr>
          <w:rFonts w:hint="eastAsia" w:ascii="仿宋" w:hAnsi="仿宋" w:eastAsia="仿宋"/>
          <w:szCs w:val="21"/>
          <w:highlight w:val="none"/>
        </w:rPr>
      </w:pPr>
      <w:r>
        <w:rPr>
          <w:rFonts w:hint="eastAsia" w:ascii="仿宋" w:hAnsi="仿宋" w:eastAsia="仿宋" w:cs="Times New Roman"/>
          <w:kern w:val="2"/>
          <w:sz w:val="21"/>
          <w:szCs w:val="21"/>
          <w:highlight w:val="none"/>
          <w:lang w:val="en-US" w:eastAsia="zh-CN" w:bidi="ar-SA"/>
        </w:rPr>
        <w:t>投标人：</w:t>
      </w:r>
    </w:p>
    <w:tbl>
      <w:tblPr>
        <w:tblStyle w:val="40"/>
        <w:tblpPr w:leftFromText="180" w:rightFromText="180" w:vertAnchor="text" w:horzAnchor="margin" w:tblpXSpec="center" w:tblpY="43"/>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92"/>
        <w:gridCol w:w="6516"/>
        <w:gridCol w:w="71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color w:val="000000"/>
                <w:sz w:val="24"/>
                <w:szCs w:val="24"/>
                <w:highlight w:val="none"/>
              </w:rPr>
            </w:pPr>
            <w:r>
              <w:rPr>
                <w:rFonts w:ascii="仿宋" w:hAnsi="仿宋" w:eastAsia="仿宋" w:cs="Arial"/>
                <w:b/>
                <w:color w:val="000000"/>
                <w:sz w:val="24"/>
                <w:szCs w:val="24"/>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color w:val="000000"/>
                <w:sz w:val="24"/>
                <w:szCs w:val="24"/>
                <w:highlight w:val="none"/>
              </w:rPr>
            </w:pPr>
            <w:r>
              <w:rPr>
                <w:rFonts w:ascii="仿宋" w:hAnsi="仿宋" w:eastAsia="仿宋" w:cs="Arial"/>
                <w:b/>
                <w:color w:val="000000"/>
                <w:sz w:val="24"/>
                <w:szCs w:val="24"/>
                <w:highlight w:val="none"/>
              </w:rPr>
              <w:t>评审项目</w:t>
            </w:r>
          </w:p>
        </w:tc>
        <w:tc>
          <w:tcPr>
            <w:tcW w:w="651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color w:val="000000"/>
                <w:sz w:val="24"/>
                <w:szCs w:val="24"/>
                <w:highlight w:val="none"/>
              </w:rPr>
            </w:pPr>
            <w:r>
              <w:rPr>
                <w:rFonts w:ascii="仿宋" w:hAnsi="仿宋" w:eastAsia="仿宋" w:cs="Arial"/>
                <w:b/>
                <w:color w:val="000000"/>
                <w:sz w:val="24"/>
                <w:szCs w:val="24"/>
                <w:highlight w:val="none"/>
              </w:rPr>
              <w:t>评审内容</w:t>
            </w:r>
          </w:p>
        </w:tc>
        <w:tc>
          <w:tcPr>
            <w:tcW w:w="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color w:val="00000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仿宋" w:hAnsi="仿宋" w:eastAsia="仿宋" w:cs="Arial"/>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4"/>
                <w:szCs w:val="24"/>
                <w:highlight w:val="none"/>
              </w:rPr>
            </w:pPr>
            <w:r>
              <w:rPr>
                <w:rFonts w:ascii="仿宋" w:hAnsi="仿宋" w:eastAsia="仿宋" w:cs="Arial"/>
                <w:sz w:val="24"/>
                <w:szCs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left="-1" w:leftChars="-38" w:hanging="79" w:hangingChars="33"/>
              <w:jc w:val="center"/>
              <w:rPr>
                <w:rFonts w:ascii="仿宋" w:hAnsi="仿宋" w:eastAsia="仿宋" w:cs="Arial"/>
                <w:sz w:val="24"/>
                <w:szCs w:val="24"/>
                <w:highlight w:val="none"/>
              </w:rPr>
            </w:pPr>
            <w:r>
              <w:rPr>
                <w:rFonts w:hint="eastAsia" w:ascii="仿宋" w:hAnsi="仿宋" w:eastAsia="仿宋" w:cs="Arial"/>
                <w:sz w:val="24"/>
                <w:szCs w:val="24"/>
                <w:highlight w:val="none"/>
              </w:rPr>
              <w:t>投标品牌基本情况</w:t>
            </w:r>
          </w:p>
        </w:tc>
        <w:tc>
          <w:tcPr>
            <w:tcW w:w="6516" w:type="dxa"/>
            <w:tcBorders>
              <w:top w:val="single" w:color="auto" w:sz="4" w:space="0"/>
              <w:left w:val="single" w:color="auto" w:sz="4" w:space="0"/>
              <w:bottom w:val="single" w:color="auto" w:sz="4" w:space="0"/>
              <w:right w:val="single" w:color="auto" w:sz="4" w:space="0"/>
            </w:tcBorders>
            <w:vAlign w:val="center"/>
          </w:tcPr>
          <w:p>
            <w:pPr>
              <w:pStyle w:val="143"/>
              <w:ind w:firstLine="480"/>
              <w:rPr>
                <w:rFonts w:ascii="仿宋" w:hAnsi="仿宋" w:eastAsia="仿宋"/>
                <w:color w:val="auto"/>
                <w:kern w:val="2"/>
                <w:highlight w:val="none"/>
              </w:rPr>
            </w:pPr>
            <w:r>
              <w:rPr>
                <w:rFonts w:ascii="仿宋" w:hAnsi="仿宋" w:eastAsia="仿宋"/>
                <w:highlight w:val="none"/>
              </w:rPr>
              <w:t>1、投标人或所投标品牌近三年（自20</w:t>
            </w:r>
            <w:r>
              <w:rPr>
                <w:rFonts w:hint="eastAsia" w:ascii="仿宋" w:hAnsi="仿宋" w:eastAsia="仿宋"/>
                <w:highlight w:val="none"/>
              </w:rPr>
              <w:t>21</w:t>
            </w:r>
            <w:r>
              <w:rPr>
                <w:rFonts w:ascii="仿宋" w:hAnsi="仿宋" w:eastAsia="仿宋"/>
                <w:highlight w:val="none"/>
              </w:rPr>
              <w:t>年</w:t>
            </w:r>
            <w:r>
              <w:rPr>
                <w:rFonts w:hint="eastAsia" w:ascii="仿宋" w:hAnsi="仿宋" w:eastAsia="仿宋"/>
                <w:highlight w:val="none"/>
              </w:rPr>
              <w:t>1月</w:t>
            </w:r>
            <w:r>
              <w:rPr>
                <w:rFonts w:ascii="仿宋" w:hAnsi="仿宋" w:eastAsia="仿宋"/>
                <w:highlight w:val="none"/>
              </w:rPr>
              <w:t>1日起</w:t>
            </w:r>
            <w:r>
              <w:rPr>
                <w:rFonts w:hint="eastAsia" w:ascii="仿宋" w:hAnsi="仿宋" w:eastAsia="仿宋"/>
                <w:highlight w:val="none"/>
              </w:rPr>
              <w:t>至投标截止日期</w:t>
            </w:r>
            <w:r>
              <w:rPr>
                <w:rFonts w:ascii="仿宋" w:hAnsi="仿宋" w:eastAsia="仿宋"/>
                <w:highlight w:val="none"/>
              </w:rPr>
              <w:t>）与</w:t>
            </w:r>
            <w:r>
              <w:rPr>
                <w:rFonts w:hint="eastAsia" w:ascii="仿宋" w:hAnsi="仿宋" w:eastAsia="仿宋"/>
                <w:color w:val="auto"/>
                <w:kern w:val="2"/>
                <w:highlight w:val="none"/>
              </w:rPr>
              <w:t>国内TOP12大型地产商合作情况；</w:t>
            </w:r>
          </w:p>
          <w:p>
            <w:pPr>
              <w:pStyle w:val="143"/>
              <w:ind w:firstLine="480"/>
              <w:rPr>
                <w:rFonts w:ascii="仿宋" w:hAnsi="仿宋" w:eastAsia="仿宋"/>
                <w:highlight w:val="none"/>
              </w:rPr>
            </w:pPr>
            <w:r>
              <w:rPr>
                <w:rFonts w:hint="eastAsia" w:ascii="仿宋" w:hAnsi="仿宋" w:eastAsia="仿宋"/>
                <w:color w:val="auto"/>
                <w:kern w:val="2"/>
                <w:highlight w:val="none"/>
              </w:rPr>
              <w:t>每个地产商仅需提供一个合作合同；</w:t>
            </w:r>
          </w:p>
          <w:p>
            <w:pPr>
              <w:pStyle w:val="143"/>
              <w:ind w:firstLine="480"/>
              <w:rPr>
                <w:rFonts w:ascii="仿宋" w:hAnsi="仿宋" w:eastAsia="仿宋"/>
                <w:highlight w:val="none"/>
              </w:rPr>
            </w:pPr>
            <w:r>
              <w:rPr>
                <w:rFonts w:hint="eastAsia" w:ascii="仿宋" w:hAnsi="仿宋" w:eastAsia="仿宋"/>
                <w:highlight w:val="none"/>
              </w:rPr>
              <w:t>提供投标品牌企业营业执照</w:t>
            </w:r>
            <w:r>
              <w:rPr>
                <w:rFonts w:ascii="仿宋" w:hAnsi="仿宋" w:eastAsia="仿宋"/>
                <w:highlight w:val="none"/>
              </w:rPr>
              <w:t>、</w:t>
            </w:r>
            <w:r>
              <w:rPr>
                <w:rFonts w:hint="eastAsia" w:ascii="仿宋" w:hAnsi="仿宋" w:eastAsia="仿宋"/>
                <w:highlight w:val="none"/>
              </w:rPr>
              <w:t>提供战略合作协议封面和盖章页复印件等证明文件。</w:t>
            </w:r>
          </w:p>
          <w:p>
            <w:pPr>
              <w:pStyle w:val="143"/>
              <w:ind w:firstLine="480"/>
              <w:rPr>
                <w:rFonts w:ascii="仿宋" w:hAnsi="仿宋" w:eastAsia="仿宋"/>
                <w:highlight w:val="none"/>
              </w:rPr>
            </w:pPr>
            <w:r>
              <w:rPr>
                <w:rFonts w:ascii="仿宋" w:hAnsi="仿宋" w:eastAsia="仿宋"/>
                <w:highlight w:val="none"/>
              </w:rPr>
              <w:t>2、提供</w:t>
            </w:r>
            <w:r>
              <w:rPr>
                <w:rFonts w:hint="eastAsia" w:ascii="仿宋" w:hAnsi="仿宋" w:eastAsia="仿宋"/>
                <w:highlight w:val="none"/>
              </w:rPr>
              <w:t>投标人或所投标品牌</w:t>
            </w:r>
            <w:r>
              <w:rPr>
                <w:rFonts w:ascii="仿宋" w:hAnsi="仿宋" w:eastAsia="仿宋"/>
                <w:highlight w:val="none"/>
              </w:rPr>
              <w:t>近三年（自20</w:t>
            </w:r>
            <w:r>
              <w:rPr>
                <w:rFonts w:hint="eastAsia" w:ascii="仿宋" w:hAnsi="仿宋" w:eastAsia="仿宋"/>
                <w:highlight w:val="none"/>
              </w:rPr>
              <w:t>21</w:t>
            </w:r>
            <w:r>
              <w:rPr>
                <w:rFonts w:ascii="仿宋" w:hAnsi="仿宋" w:eastAsia="仿宋"/>
                <w:highlight w:val="none"/>
              </w:rPr>
              <w:t>年</w:t>
            </w:r>
            <w:r>
              <w:rPr>
                <w:rFonts w:hint="eastAsia" w:ascii="仿宋" w:hAnsi="仿宋" w:eastAsia="仿宋"/>
                <w:highlight w:val="none"/>
              </w:rPr>
              <w:t>1月</w:t>
            </w:r>
            <w:r>
              <w:rPr>
                <w:rFonts w:ascii="仿宋" w:hAnsi="仿宋" w:eastAsia="仿宋"/>
                <w:highlight w:val="none"/>
              </w:rPr>
              <w:t>1日起</w:t>
            </w:r>
            <w:r>
              <w:rPr>
                <w:rFonts w:hint="eastAsia" w:ascii="仿宋" w:hAnsi="仿宋" w:eastAsia="仿宋"/>
                <w:highlight w:val="none"/>
              </w:rPr>
              <w:t>至投标截止日期</w:t>
            </w:r>
            <w:r>
              <w:rPr>
                <w:rFonts w:ascii="仿宋" w:hAnsi="仿宋" w:eastAsia="仿宋"/>
                <w:highlight w:val="none"/>
              </w:rPr>
              <w:t>）</w:t>
            </w:r>
            <w:r>
              <w:rPr>
                <w:rFonts w:hint="eastAsia" w:ascii="仿宋" w:hAnsi="仿宋" w:eastAsia="仿宋"/>
                <w:highlight w:val="none"/>
              </w:rPr>
              <w:t>独立承担过合同金额最大的4份住宅厨电供货与安装工程业绩；</w:t>
            </w:r>
          </w:p>
          <w:p>
            <w:pPr>
              <w:pStyle w:val="143"/>
              <w:ind w:firstLine="480"/>
              <w:rPr>
                <w:rFonts w:ascii="仿宋" w:hAnsi="仿宋" w:eastAsia="仿宋"/>
                <w:highlight w:val="none"/>
              </w:rPr>
            </w:pPr>
            <w:r>
              <w:rPr>
                <w:rFonts w:ascii="仿宋" w:hAnsi="仿宋" w:eastAsia="仿宋"/>
                <w:highlight w:val="none"/>
              </w:rPr>
              <w:t>业绩证明材料的要求：提供合同（须有封面、工程概况、承包范围、金额、工期、签字盖章等）扫描件。</w:t>
            </w:r>
          </w:p>
          <w:p>
            <w:pPr>
              <w:pStyle w:val="143"/>
              <w:ind w:firstLine="480"/>
              <w:rPr>
                <w:rFonts w:ascii="仿宋" w:hAnsi="仿宋" w:eastAsia="仿宋"/>
                <w:highlight w:val="none"/>
              </w:rPr>
            </w:pPr>
            <w:r>
              <w:rPr>
                <w:rFonts w:hint="eastAsia" w:ascii="仿宋" w:hAnsi="仿宋" w:eastAsia="仿宋"/>
                <w:highlight w:val="none"/>
              </w:rPr>
              <w:t>注：</w:t>
            </w:r>
            <w:r>
              <w:rPr>
                <w:rFonts w:ascii="仿宋" w:hAnsi="仿宋" w:eastAsia="仿宋"/>
                <w:highlight w:val="none"/>
              </w:rPr>
              <w:t>以上1、2</w:t>
            </w:r>
            <w:r>
              <w:rPr>
                <w:rFonts w:hint="eastAsia" w:ascii="仿宋" w:hAnsi="仿宋" w:eastAsia="仿宋"/>
                <w:highlight w:val="none"/>
              </w:rPr>
              <w:t>时间以合同签订时间为准；</w:t>
            </w:r>
          </w:p>
          <w:p>
            <w:pPr>
              <w:pStyle w:val="143"/>
              <w:keepNext/>
              <w:tabs>
                <w:tab w:val="left" w:pos="141"/>
                <w:tab w:val="left" w:pos="3741"/>
              </w:tabs>
              <w:contextualSpacing/>
              <w:outlineLvl w:val="5"/>
              <w:rPr>
                <w:rFonts w:ascii="仿宋" w:hAnsi="仿宋" w:eastAsia="仿宋"/>
                <w:highlight w:val="none"/>
              </w:rPr>
            </w:pPr>
            <w:r>
              <w:rPr>
                <w:rFonts w:hint="eastAsia" w:ascii="仿宋" w:hAnsi="仿宋" w:eastAsia="仿宋"/>
                <w:highlight w:val="none"/>
              </w:rPr>
              <w:t>国内TOP12大型地产商以（克而瑞地产研究中心）2023年中国房地产企业操盘金额TOP200排行榜</w:t>
            </w:r>
            <w:r>
              <w:rPr>
                <w:rFonts w:hint="eastAsia" w:ascii="仿宋" w:hAnsi="仿宋" w:eastAsia="仿宋"/>
                <w:color w:val="auto"/>
                <w:kern w:val="2"/>
                <w:highlight w:val="none"/>
              </w:rPr>
              <w:t>网站</w:t>
            </w:r>
            <w:r>
              <w:rPr>
                <w:rFonts w:ascii="仿宋" w:hAnsi="仿宋" w:eastAsia="仿宋"/>
                <w:color w:val="auto"/>
                <w:kern w:val="2"/>
                <w:highlight w:val="none"/>
              </w:rPr>
              <w:t>发布为准。</w:t>
            </w:r>
            <w:r>
              <w:rPr>
                <w:rFonts w:hint="eastAsia" w:ascii="仿宋" w:hAnsi="仿宋" w:eastAsia="仿宋"/>
                <w:color w:val="auto"/>
                <w:kern w:val="2"/>
                <w:highlight w:val="none"/>
              </w:rPr>
              <w:t>属</w:t>
            </w:r>
            <w:r>
              <w:rPr>
                <w:rFonts w:ascii="仿宋" w:hAnsi="仿宋" w:eastAsia="仿宋"/>
                <w:color w:val="auto"/>
                <w:kern w:val="2"/>
                <w:highlight w:val="none"/>
              </w:rPr>
              <w:t>于该</w:t>
            </w:r>
            <w:r>
              <w:rPr>
                <w:rFonts w:hint="eastAsia" w:ascii="仿宋" w:hAnsi="仿宋" w:eastAsia="仿宋"/>
                <w:color w:val="auto"/>
                <w:kern w:val="2"/>
                <w:highlight w:val="none"/>
              </w:rPr>
              <w:t>地</w:t>
            </w:r>
            <w:r>
              <w:rPr>
                <w:rFonts w:ascii="仿宋" w:hAnsi="仿宋" w:eastAsia="仿宋"/>
                <w:color w:val="auto"/>
                <w:kern w:val="2"/>
                <w:highlight w:val="none"/>
              </w:rPr>
              <w:t>产商旗下公司的，提</w:t>
            </w:r>
            <w:r>
              <w:rPr>
                <w:rFonts w:hint="eastAsia" w:ascii="仿宋" w:hAnsi="仿宋" w:eastAsia="仿宋"/>
                <w:color w:val="auto"/>
                <w:kern w:val="2"/>
                <w:highlight w:val="none"/>
              </w:rPr>
              <w:t>供</w:t>
            </w:r>
            <w:r>
              <w:rPr>
                <w:rFonts w:ascii="仿宋" w:hAnsi="仿宋" w:eastAsia="仿宋"/>
                <w:color w:val="auto"/>
                <w:kern w:val="2"/>
                <w:highlight w:val="none"/>
              </w:rPr>
              <w:t>相关股权关</w:t>
            </w:r>
            <w:r>
              <w:rPr>
                <w:rFonts w:hint="eastAsia" w:ascii="仿宋" w:hAnsi="仿宋" w:eastAsia="仿宋"/>
                <w:color w:val="auto"/>
                <w:kern w:val="2"/>
                <w:highlight w:val="none"/>
              </w:rPr>
              <w:t>系</w:t>
            </w:r>
            <w:r>
              <w:rPr>
                <w:rFonts w:ascii="仿宋" w:hAnsi="仿宋" w:eastAsia="仿宋"/>
                <w:color w:val="auto"/>
                <w:kern w:val="2"/>
                <w:highlight w:val="none"/>
              </w:rPr>
              <w:t>证明。</w:t>
            </w:r>
          </w:p>
        </w:tc>
        <w:tc>
          <w:tcPr>
            <w:tcW w:w="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仿宋" w:hAnsi="仿宋" w:eastAsia="仿宋"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4"/>
                <w:szCs w:val="24"/>
                <w:highlight w:val="none"/>
              </w:rPr>
            </w:pPr>
            <w:r>
              <w:rPr>
                <w:rFonts w:ascii="仿宋" w:hAnsi="仿宋" w:eastAsia="仿宋" w:cs="Arial"/>
                <w:sz w:val="24"/>
                <w:szCs w:val="24"/>
                <w:highlight w:val="none"/>
              </w:rPr>
              <w:t>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left="-1" w:leftChars="-38" w:hanging="79" w:hangingChars="33"/>
              <w:jc w:val="center"/>
              <w:rPr>
                <w:rFonts w:ascii="仿宋" w:hAnsi="仿宋" w:eastAsia="仿宋" w:cs="Arial"/>
                <w:sz w:val="24"/>
                <w:szCs w:val="24"/>
                <w:highlight w:val="none"/>
              </w:rPr>
            </w:pPr>
            <w:r>
              <w:rPr>
                <w:rFonts w:hint="eastAsia" w:ascii="仿宋" w:hAnsi="仿宋" w:eastAsia="仿宋" w:cs="Arial"/>
                <w:sz w:val="24"/>
                <w:szCs w:val="24"/>
                <w:highlight w:val="none"/>
              </w:rPr>
              <w:t>投标品牌售后服务</w:t>
            </w:r>
          </w:p>
        </w:tc>
        <w:tc>
          <w:tcPr>
            <w:tcW w:w="6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 w:val="24"/>
                <w:szCs w:val="24"/>
                <w:highlight w:val="none"/>
              </w:rPr>
            </w:pPr>
            <w:r>
              <w:rPr>
                <w:rFonts w:hint="eastAsia" w:ascii="仿宋" w:hAnsi="仿宋" w:eastAsia="仿宋" w:cs="Arial"/>
                <w:color w:val="000000"/>
                <w:kern w:val="0"/>
                <w:sz w:val="24"/>
                <w:szCs w:val="24"/>
                <w:highlight w:val="none"/>
              </w:rPr>
              <w:t>所有产品整机保修期限6年以上（含6年），</w:t>
            </w:r>
          </w:p>
          <w:p>
            <w:pPr>
              <w:keepNext/>
              <w:widowControl/>
              <w:tabs>
                <w:tab w:val="left" w:pos="141"/>
                <w:tab w:val="left" w:pos="3741"/>
              </w:tabs>
              <w:contextualSpacing/>
              <w:jc w:val="left"/>
              <w:outlineLvl w:val="5"/>
              <w:rPr>
                <w:rFonts w:ascii="仿宋" w:hAnsi="仿宋" w:eastAsia="仿宋" w:cs="Arial"/>
                <w:sz w:val="24"/>
                <w:szCs w:val="24"/>
                <w:highlight w:val="none"/>
              </w:rPr>
            </w:pPr>
            <w:r>
              <w:rPr>
                <w:rFonts w:hint="eastAsia" w:ascii="仿宋" w:hAnsi="仿宋" w:eastAsia="仿宋" w:cs="Arial"/>
                <w:sz w:val="24"/>
                <w:szCs w:val="24"/>
                <w:highlight w:val="none"/>
              </w:rPr>
              <w:t>提</w:t>
            </w:r>
            <w:r>
              <w:rPr>
                <w:rFonts w:ascii="仿宋" w:hAnsi="仿宋" w:eastAsia="仿宋" w:cs="Arial"/>
                <w:sz w:val="24"/>
                <w:szCs w:val="24"/>
                <w:highlight w:val="none"/>
              </w:rPr>
              <w:t>供</w:t>
            </w:r>
            <w:r>
              <w:rPr>
                <w:rFonts w:hint="eastAsia" w:ascii="仿宋" w:hAnsi="仿宋" w:eastAsia="仿宋" w:cs="Arial"/>
                <w:sz w:val="24"/>
                <w:szCs w:val="24"/>
                <w:highlight w:val="none"/>
              </w:rPr>
              <w:t>资料</w:t>
            </w:r>
            <w:r>
              <w:rPr>
                <w:rFonts w:ascii="仿宋" w:hAnsi="仿宋" w:eastAsia="仿宋" w:cs="Arial"/>
                <w:sz w:val="24"/>
                <w:szCs w:val="24"/>
                <w:highlight w:val="none"/>
              </w:rPr>
              <w:t>：提供承诺书，加盖公章，格式自拟。</w:t>
            </w:r>
          </w:p>
        </w:tc>
        <w:tc>
          <w:tcPr>
            <w:tcW w:w="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仿宋" w:hAnsi="仿宋" w:eastAsia="仿宋"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8" w:hRule="atLeast"/>
        </w:trPr>
        <w:tc>
          <w:tcPr>
            <w:tcW w:w="567" w:type="dxa"/>
            <w:tcBorders>
              <w:left w:val="single" w:color="auto" w:sz="4" w:space="0"/>
              <w:right w:val="single" w:color="auto" w:sz="4" w:space="0"/>
            </w:tcBorders>
            <w:vAlign w:val="center"/>
          </w:tcPr>
          <w:p>
            <w:pPr>
              <w:spacing w:line="0" w:lineRule="atLeast"/>
              <w:jc w:val="center"/>
              <w:rPr>
                <w:rFonts w:ascii="仿宋" w:hAnsi="仿宋" w:eastAsia="仿宋" w:cs="Arial"/>
                <w:sz w:val="24"/>
                <w:szCs w:val="24"/>
                <w:highlight w:val="none"/>
              </w:rPr>
            </w:pPr>
            <w:r>
              <w:rPr>
                <w:rFonts w:ascii="仿宋" w:hAnsi="仿宋" w:eastAsia="仿宋" w:cs="Arial"/>
                <w:sz w:val="24"/>
                <w:szCs w:val="24"/>
                <w:highlight w:val="none"/>
              </w:rPr>
              <w:t>3</w:t>
            </w:r>
          </w:p>
        </w:tc>
        <w:tc>
          <w:tcPr>
            <w:tcW w:w="992" w:type="dxa"/>
            <w:tcBorders>
              <w:left w:val="single" w:color="auto" w:sz="4" w:space="0"/>
              <w:right w:val="single" w:color="auto" w:sz="4" w:space="0"/>
            </w:tcBorders>
            <w:vAlign w:val="center"/>
          </w:tcPr>
          <w:p>
            <w:pPr>
              <w:widowControl/>
              <w:ind w:left="-1" w:leftChars="-38" w:hanging="79" w:hangingChars="33"/>
              <w:jc w:val="center"/>
              <w:rPr>
                <w:rFonts w:ascii="仿宋" w:hAnsi="仿宋" w:eastAsia="仿宋" w:cs="Arial"/>
                <w:sz w:val="24"/>
                <w:szCs w:val="24"/>
                <w:highlight w:val="none"/>
              </w:rPr>
            </w:pPr>
            <w:r>
              <w:rPr>
                <w:rFonts w:hint="eastAsia" w:ascii="仿宋" w:hAnsi="仿宋" w:eastAsia="仿宋" w:cs="Arial"/>
                <w:sz w:val="24"/>
                <w:szCs w:val="24"/>
                <w:highlight w:val="none"/>
              </w:rPr>
              <w:t>投标人基本情况</w:t>
            </w:r>
          </w:p>
        </w:tc>
        <w:tc>
          <w:tcPr>
            <w:tcW w:w="6516" w:type="dxa"/>
            <w:tcBorders>
              <w:top w:val="single" w:color="auto" w:sz="4" w:space="0"/>
              <w:left w:val="single" w:color="auto" w:sz="4" w:space="0"/>
              <w:right w:val="single" w:color="auto" w:sz="4" w:space="0"/>
            </w:tcBorders>
            <w:vAlign w:val="center"/>
          </w:tcPr>
          <w:p>
            <w:pPr>
              <w:pStyle w:val="139"/>
              <w:widowControl/>
              <w:ind w:left="360" w:hanging="360" w:firstLineChars="0"/>
              <w:jc w:val="left"/>
              <w:rPr>
                <w:rFonts w:ascii="仿宋" w:hAnsi="仿宋" w:eastAsia="仿宋" w:cs="Arial"/>
                <w:sz w:val="24"/>
                <w:szCs w:val="24"/>
                <w:highlight w:val="none"/>
              </w:rPr>
            </w:pPr>
            <w:r>
              <w:rPr>
                <w:rFonts w:ascii="仿宋" w:hAnsi="仿宋" w:eastAsia="仿宋" w:cs="Arial"/>
                <w:sz w:val="24"/>
                <w:szCs w:val="24"/>
                <w:highlight w:val="none"/>
              </w:rPr>
              <w:t>1、</w:t>
            </w:r>
            <w:r>
              <w:rPr>
                <w:rFonts w:hint="eastAsia" w:ascii="仿宋" w:hAnsi="仿宋" w:eastAsia="仿宋" w:cs="Arial"/>
                <w:sz w:val="24"/>
                <w:szCs w:val="24"/>
                <w:highlight w:val="none"/>
              </w:rPr>
              <w:t>投标品牌厂家注册资本;</w:t>
            </w:r>
          </w:p>
          <w:p>
            <w:pPr>
              <w:widowControl/>
              <w:jc w:val="left"/>
              <w:rPr>
                <w:rFonts w:ascii="仿宋" w:hAnsi="仿宋" w:eastAsia="仿宋" w:cs="Arial"/>
                <w:sz w:val="24"/>
                <w:szCs w:val="24"/>
                <w:highlight w:val="none"/>
              </w:rPr>
            </w:pPr>
            <w:r>
              <w:rPr>
                <w:rFonts w:hint="eastAsia" w:ascii="仿宋" w:hAnsi="仿宋" w:eastAsia="仿宋" w:cs="Arial"/>
                <w:sz w:val="24"/>
                <w:szCs w:val="24"/>
                <w:highlight w:val="none"/>
              </w:rPr>
              <w:t>2</w:t>
            </w:r>
            <w:r>
              <w:rPr>
                <w:rFonts w:ascii="仿宋" w:hAnsi="仿宋" w:eastAsia="仿宋" w:cs="Arial"/>
                <w:sz w:val="24"/>
                <w:szCs w:val="24"/>
                <w:highlight w:val="none"/>
              </w:rPr>
              <w:t>、</w:t>
            </w:r>
            <w:r>
              <w:rPr>
                <w:rFonts w:hint="eastAsia" w:ascii="仿宋" w:hAnsi="仿宋" w:eastAsia="仿宋" w:cs="Arial"/>
                <w:sz w:val="24"/>
                <w:szCs w:val="24"/>
                <w:highlight w:val="none"/>
              </w:rPr>
              <w:t>投标人代理的品牌获得的奖项情况</w:t>
            </w:r>
            <w:r>
              <w:rPr>
                <w:rFonts w:ascii="仿宋" w:hAnsi="仿宋" w:eastAsia="仿宋" w:cs="Arial"/>
                <w:sz w:val="24"/>
                <w:szCs w:val="24"/>
                <w:highlight w:val="none"/>
              </w:rPr>
              <w:t>：</w:t>
            </w:r>
          </w:p>
          <w:p>
            <w:pPr>
              <w:widowControl/>
              <w:ind w:firstLine="480" w:firstLineChars="200"/>
              <w:jc w:val="left"/>
              <w:rPr>
                <w:rFonts w:ascii="仿宋" w:hAnsi="仿宋" w:eastAsia="仿宋" w:cs="Arial"/>
                <w:sz w:val="24"/>
                <w:szCs w:val="24"/>
                <w:highlight w:val="none"/>
              </w:rPr>
            </w:pPr>
            <w:r>
              <w:rPr>
                <w:rFonts w:ascii="仿宋" w:hAnsi="仿宋" w:eastAsia="仿宋" w:cs="Arial"/>
                <w:sz w:val="24"/>
                <w:szCs w:val="24"/>
                <w:highlight w:val="none"/>
              </w:rPr>
              <w:t>国家质量奖、国际设计奖项、中国设计红星奖、德国</w:t>
            </w:r>
            <w:r>
              <w:rPr>
                <w:rFonts w:hint="eastAsia" w:ascii="仿宋" w:hAnsi="仿宋" w:eastAsia="仿宋" w:cs="Arial"/>
                <w:sz w:val="24"/>
                <w:szCs w:val="24"/>
                <w:highlight w:val="none"/>
              </w:rPr>
              <w:t>IF设计</w:t>
            </w:r>
            <w:r>
              <w:rPr>
                <w:rFonts w:ascii="仿宋" w:hAnsi="仿宋" w:eastAsia="仿宋" w:cs="Arial"/>
                <w:sz w:val="24"/>
                <w:szCs w:val="24"/>
                <w:highlight w:val="none"/>
              </w:rPr>
              <w:t>红点奖，美国</w:t>
            </w:r>
            <w:r>
              <w:rPr>
                <w:rFonts w:hint="eastAsia" w:ascii="仿宋" w:hAnsi="仿宋" w:eastAsia="仿宋" w:cs="Arial"/>
                <w:sz w:val="24"/>
                <w:szCs w:val="24"/>
                <w:highlight w:val="none"/>
              </w:rPr>
              <w:t>IDEA设计奖，</w:t>
            </w:r>
          </w:p>
          <w:p>
            <w:pPr>
              <w:widowControl/>
              <w:ind w:firstLine="240" w:firstLineChars="100"/>
              <w:jc w:val="left"/>
              <w:rPr>
                <w:rFonts w:ascii="仿宋" w:hAnsi="仿宋" w:eastAsia="仿宋" w:cs="Arial"/>
                <w:sz w:val="24"/>
                <w:szCs w:val="24"/>
                <w:highlight w:val="none"/>
              </w:rPr>
            </w:pPr>
            <w:r>
              <w:rPr>
                <w:rFonts w:hint="eastAsia" w:ascii="仿宋" w:hAnsi="仿宋" w:eastAsia="仿宋" w:cs="Arial"/>
                <w:sz w:val="24"/>
                <w:szCs w:val="24"/>
                <w:highlight w:val="none"/>
              </w:rPr>
              <w:t>本项统计个数≤10；</w:t>
            </w:r>
          </w:p>
          <w:p>
            <w:pPr>
              <w:widowControl/>
              <w:ind w:firstLine="480" w:firstLineChars="200"/>
              <w:jc w:val="left"/>
              <w:rPr>
                <w:rFonts w:ascii="仿宋" w:hAnsi="仿宋" w:eastAsia="仿宋" w:cs="Arial"/>
                <w:sz w:val="24"/>
                <w:szCs w:val="24"/>
                <w:highlight w:val="none"/>
              </w:rPr>
            </w:pPr>
            <w:r>
              <w:rPr>
                <w:rFonts w:hint="eastAsia" w:ascii="仿宋" w:hAnsi="仿宋" w:eastAsia="仿宋" w:cs="Arial"/>
                <w:sz w:val="24"/>
                <w:szCs w:val="24"/>
                <w:highlight w:val="none"/>
              </w:rPr>
              <w:t>注</w:t>
            </w:r>
            <w:r>
              <w:rPr>
                <w:rFonts w:ascii="仿宋" w:hAnsi="仿宋" w:eastAsia="仿宋" w:cs="Arial"/>
                <w:sz w:val="24"/>
                <w:szCs w:val="24"/>
                <w:highlight w:val="none"/>
              </w:rPr>
              <w:t>：</w:t>
            </w:r>
            <w:r>
              <w:rPr>
                <w:rFonts w:hint="eastAsia" w:ascii="仿宋" w:hAnsi="仿宋" w:eastAsia="仿宋" w:cs="Arial"/>
                <w:sz w:val="24"/>
                <w:szCs w:val="24"/>
                <w:highlight w:val="none"/>
              </w:rPr>
              <w:t>提供投标人或投标品牌厂家企业营业执照、提供投标人或投标品牌所获得的获奖证书。营业执</w:t>
            </w:r>
            <w:r>
              <w:rPr>
                <w:rFonts w:ascii="仿宋" w:hAnsi="仿宋" w:eastAsia="仿宋" w:cs="Arial"/>
                <w:sz w:val="24"/>
                <w:szCs w:val="24"/>
                <w:highlight w:val="none"/>
              </w:rPr>
              <w:t>照上没</w:t>
            </w:r>
            <w:r>
              <w:rPr>
                <w:rFonts w:hint="eastAsia" w:ascii="仿宋" w:hAnsi="仿宋" w:eastAsia="仿宋" w:cs="Arial"/>
                <w:sz w:val="24"/>
                <w:szCs w:val="24"/>
                <w:highlight w:val="none"/>
              </w:rPr>
              <w:t>有</w:t>
            </w:r>
            <w:r>
              <w:rPr>
                <w:rFonts w:ascii="仿宋" w:hAnsi="仿宋" w:eastAsia="仿宋" w:cs="Arial"/>
                <w:sz w:val="24"/>
                <w:szCs w:val="24"/>
                <w:highlight w:val="none"/>
              </w:rPr>
              <w:t>注册资本，需</w:t>
            </w:r>
            <w:r>
              <w:rPr>
                <w:rFonts w:hint="eastAsia" w:ascii="仿宋" w:hAnsi="仿宋" w:eastAsia="仿宋" w:cs="Arial"/>
                <w:sz w:val="24"/>
                <w:szCs w:val="24"/>
                <w:highlight w:val="none"/>
              </w:rPr>
              <w:t>投标人提供国家企业信用信息公示系统截图。</w:t>
            </w:r>
          </w:p>
        </w:tc>
        <w:tc>
          <w:tcPr>
            <w:tcW w:w="714" w:type="dxa"/>
            <w:tcBorders>
              <w:left w:val="single" w:color="auto" w:sz="4" w:space="0"/>
              <w:right w:val="single" w:color="auto" w:sz="4" w:space="0"/>
            </w:tcBorders>
            <w:vAlign w:val="center"/>
          </w:tcPr>
          <w:p>
            <w:pPr>
              <w:jc w:val="center"/>
              <w:rPr>
                <w:rFonts w:ascii="仿宋" w:hAnsi="仿宋" w:eastAsia="仿宋" w:cs="Arial"/>
                <w:sz w:val="24"/>
                <w:szCs w:val="24"/>
                <w:highlight w:val="none"/>
              </w:rPr>
            </w:pPr>
          </w:p>
        </w:tc>
        <w:tc>
          <w:tcPr>
            <w:tcW w:w="992" w:type="dxa"/>
            <w:tcBorders>
              <w:left w:val="single" w:color="auto" w:sz="4" w:space="0"/>
              <w:right w:val="single" w:color="auto" w:sz="4" w:space="0"/>
            </w:tcBorders>
          </w:tcPr>
          <w:p>
            <w:pPr>
              <w:jc w:val="center"/>
              <w:rPr>
                <w:rFonts w:ascii="仿宋" w:hAnsi="仿宋" w:eastAsia="仿宋"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8" w:hRule="atLeast"/>
        </w:trPr>
        <w:tc>
          <w:tcPr>
            <w:tcW w:w="567" w:type="dxa"/>
            <w:tcBorders>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4"/>
                <w:szCs w:val="24"/>
                <w:highlight w:val="none"/>
              </w:rPr>
            </w:pPr>
            <w:r>
              <w:rPr>
                <w:rFonts w:ascii="仿宋" w:hAnsi="仿宋" w:eastAsia="仿宋" w:cs="Arial"/>
                <w:sz w:val="24"/>
                <w:szCs w:val="24"/>
                <w:highlight w:val="none"/>
              </w:rPr>
              <w:t>4</w:t>
            </w:r>
          </w:p>
        </w:tc>
        <w:tc>
          <w:tcPr>
            <w:tcW w:w="992" w:type="dxa"/>
            <w:tcBorders>
              <w:left w:val="single" w:color="auto" w:sz="4" w:space="0"/>
              <w:bottom w:val="single" w:color="auto" w:sz="4" w:space="0"/>
              <w:right w:val="single" w:color="auto" w:sz="4" w:space="0"/>
            </w:tcBorders>
            <w:vAlign w:val="center"/>
          </w:tcPr>
          <w:p>
            <w:pPr>
              <w:widowControl/>
              <w:ind w:left="-1" w:leftChars="-38" w:hanging="79" w:hangingChars="33"/>
              <w:jc w:val="center"/>
              <w:rPr>
                <w:rFonts w:ascii="仿宋" w:hAnsi="仿宋" w:eastAsia="仿宋" w:cs="Arial"/>
                <w:sz w:val="24"/>
                <w:szCs w:val="24"/>
                <w:highlight w:val="none"/>
              </w:rPr>
            </w:pPr>
            <w:r>
              <w:rPr>
                <w:rFonts w:hint="eastAsia" w:ascii="仿宋" w:hAnsi="仿宋" w:eastAsia="仿宋" w:cs="Arial"/>
                <w:sz w:val="24"/>
                <w:szCs w:val="24"/>
                <w:highlight w:val="none"/>
              </w:rPr>
              <w:t>投标产品技术要求</w:t>
            </w:r>
          </w:p>
        </w:tc>
        <w:tc>
          <w:tcPr>
            <w:tcW w:w="6516" w:type="dxa"/>
            <w:tcBorders>
              <w:top w:val="single" w:color="auto" w:sz="4" w:space="0"/>
              <w:left w:val="single" w:color="auto" w:sz="4" w:space="0"/>
              <w:bottom w:val="single" w:color="auto" w:sz="4" w:space="0"/>
              <w:right w:val="single" w:color="auto" w:sz="4" w:space="0"/>
            </w:tcBorders>
          </w:tcPr>
          <w:p>
            <w:pPr>
              <w:pStyle w:val="139"/>
              <w:numPr>
                <w:ilvl w:val="0"/>
                <w:numId w:val="2"/>
              </w:numPr>
              <w:ind w:firstLineChars="0"/>
              <w:rPr>
                <w:rFonts w:ascii="仿宋" w:hAnsi="仿宋" w:eastAsia="仿宋" w:cs="Arial"/>
                <w:sz w:val="24"/>
                <w:szCs w:val="24"/>
                <w:highlight w:val="none"/>
              </w:rPr>
            </w:pPr>
            <w:r>
              <w:rPr>
                <w:rFonts w:hint="eastAsia" w:ascii="仿宋" w:hAnsi="仿宋" w:eastAsia="仿宋" w:cs="Arial"/>
                <w:sz w:val="24"/>
                <w:szCs w:val="24"/>
                <w:highlight w:val="none"/>
              </w:rPr>
              <w:t>所投产品抽油烟机材质:不锈钢+黑色钢化玻璃</w:t>
            </w:r>
          </w:p>
          <w:p>
            <w:pPr>
              <w:rPr>
                <w:rFonts w:ascii="仿宋" w:hAnsi="仿宋" w:eastAsia="仿宋" w:cs="Arial"/>
                <w:sz w:val="24"/>
                <w:szCs w:val="24"/>
                <w:highlight w:val="none"/>
              </w:rPr>
            </w:pPr>
            <w:r>
              <w:rPr>
                <w:rFonts w:hint="eastAsia" w:ascii="仿宋" w:hAnsi="仿宋" w:eastAsia="仿宋" w:cs="Arial"/>
                <w:sz w:val="24"/>
                <w:szCs w:val="24"/>
                <w:highlight w:val="none"/>
              </w:rPr>
              <w:t>外形尺寸（mm）需满足以下任一尺寸：长800×宽</w:t>
            </w:r>
            <w:r>
              <w:rPr>
                <w:rFonts w:hint="eastAsia" w:ascii="仿宋" w:hAnsi="仿宋" w:eastAsia="仿宋" w:cs="Arial"/>
                <w:sz w:val="24"/>
                <w:szCs w:val="24"/>
                <w:highlight w:val="none"/>
                <w:lang w:val="en-US" w:eastAsia="zh-CN"/>
              </w:rPr>
              <w:t>40</w:t>
            </w:r>
            <w:r>
              <w:rPr>
                <w:rFonts w:hint="eastAsia" w:ascii="仿宋" w:hAnsi="仿宋" w:eastAsia="仿宋" w:cs="Arial"/>
                <w:sz w:val="24"/>
                <w:szCs w:val="24"/>
                <w:highlight w:val="none"/>
              </w:rPr>
              <w:t>5×高</w:t>
            </w:r>
            <w:r>
              <w:rPr>
                <w:rFonts w:hint="eastAsia" w:ascii="仿宋" w:hAnsi="仿宋" w:eastAsia="仿宋" w:cs="Arial"/>
                <w:sz w:val="24"/>
                <w:szCs w:val="24"/>
                <w:highlight w:val="none"/>
                <w:lang w:val="en-US" w:eastAsia="zh-CN"/>
              </w:rPr>
              <w:t>435</w:t>
            </w:r>
            <w:r>
              <w:rPr>
                <w:rFonts w:hint="eastAsia" w:ascii="仿宋" w:hAnsi="仿宋" w:eastAsia="仿宋" w:cs="Arial"/>
                <w:sz w:val="24"/>
                <w:szCs w:val="24"/>
                <w:highlight w:val="none"/>
              </w:rPr>
              <w:t>、长890×宽495×高430、长798×宽368×高430、长750×宽495×高385。（所有尺寸允许偏差±10mm以内）</w:t>
            </w:r>
          </w:p>
          <w:p>
            <w:pPr>
              <w:rPr>
                <w:rFonts w:ascii="仿宋" w:hAnsi="仿宋" w:eastAsia="仿宋" w:cs="Arial"/>
                <w:sz w:val="24"/>
                <w:szCs w:val="24"/>
                <w:highlight w:val="none"/>
              </w:rPr>
            </w:pPr>
            <w:r>
              <w:rPr>
                <w:rFonts w:ascii="仿宋" w:hAnsi="仿宋" w:eastAsia="仿宋" w:cs="Arial"/>
                <w:sz w:val="24"/>
                <w:szCs w:val="24"/>
                <w:highlight w:val="none"/>
              </w:rPr>
              <w:t>提供</w:t>
            </w:r>
            <w:r>
              <w:rPr>
                <w:rFonts w:hint="eastAsia" w:ascii="仿宋" w:hAnsi="仿宋" w:eastAsia="仿宋" w:cs="Arial"/>
                <w:sz w:val="24"/>
                <w:szCs w:val="24"/>
                <w:highlight w:val="none"/>
              </w:rPr>
              <w:t>风量（m3/min）</w:t>
            </w:r>
            <w:r>
              <w:rPr>
                <w:rFonts w:ascii="仿宋" w:hAnsi="仿宋" w:eastAsia="仿宋" w:cs="Arial"/>
                <w:sz w:val="24"/>
                <w:szCs w:val="24"/>
                <w:highlight w:val="none"/>
              </w:rPr>
              <w:t>、</w:t>
            </w:r>
            <w:r>
              <w:rPr>
                <w:rFonts w:hint="eastAsia" w:ascii="仿宋" w:hAnsi="仿宋" w:eastAsia="仿宋" w:cs="Arial"/>
                <w:sz w:val="24"/>
                <w:szCs w:val="24"/>
                <w:highlight w:val="none"/>
              </w:rPr>
              <w:t>油脂分离度/气味降低度</w:t>
            </w:r>
            <w:r>
              <w:rPr>
                <w:rFonts w:ascii="仿宋" w:hAnsi="仿宋" w:eastAsia="仿宋" w:cs="Arial"/>
                <w:sz w:val="24"/>
                <w:szCs w:val="24"/>
                <w:highlight w:val="none"/>
              </w:rPr>
              <w:t>、</w:t>
            </w:r>
            <w:r>
              <w:rPr>
                <w:rFonts w:hint="eastAsia" w:ascii="仿宋" w:hAnsi="仿宋" w:eastAsia="仿宋" w:cs="Arial"/>
                <w:sz w:val="24"/>
                <w:szCs w:val="24"/>
                <w:highlight w:val="none"/>
              </w:rPr>
              <w:t>工作噪音</w:t>
            </w:r>
            <w:r>
              <w:rPr>
                <w:rFonts w:ascii="仿宋" w:hAnsi="仿宋" w:eastAsia="仿宋" w:cs="Arial"/>
                <w:sz w:val="24"/>
                <w:szCs w:val="24"/>
                <w:highlight w:val="none"/>
              </w:rPr>
              <w:t xml:space="preserve">参数。 </w:t>
            </w:r>
          </w:p>
          <w:p>
            <w:pPr>
              <w:pStyle w:val="139"/>
              <w:ind w:left="360" w:hanging="360" w:firstLineChars="0"/>
              <w:rPr>
                <w:rFonts w:ascii="仿宋" w:hAnsi="仿宋" w:eastAsia="仿宋" w:cs="Arial"/>
                <w:sz w:val="24"/>
                <w:szCs w:val="24"/>
                <w:highlight w:val="none"/>
              </w:rPr>
            </w:pPr>
            <w:r>
              <w:rPr>
                <w:rFonts w:hint="eastAsia" w:ascii="仿宋" w:hAnsi="仿宋" w:eastAsia="仿宋" w:cs="Arial"/>
                <w:sz w:val="24"/>
                <w:szCs w:val="24"/>
                <w:highlight w:val="none"/>
              </w:rPr>
              <w:t>提</w:t>
            </w:r>
            <w:r>
              <w:rPr>
                <w:rFonts w:ascii="仿宋" w:hAnsi="仿宋" w:eastAsia="仿宋" w:cs="Arial"/>
                <w:sz w:val="24"/>
                <w:szCs w:val="24"/>
                <w:highlight w:val="none"/>
              </w:rPr>
              <w:t>供</w:t>
            </w:r>
            <w:r>
              <w:rPr>
                <w:rFonts w:hint="eastAsia" w:ascii="仿宋" w:hAnsi="仿宋" w:eastAsia="仿宋" w:cs="Arial"/>
                <w:sz w:val="24"/>
                <w:szCs w:val="24"/>
                <w:highlight w:val="none"/>
              </w:rPr>
              <w:t>资料</w:t>
            </w:r>
            <w:r>
              <w:rPr>
                <w:rFonts w:ascii="仿宋" w:hAnsi="仿宋" w:eastAsia="仿宋" w:cs="Arial"/>
                <w:sz w:val="24"/>
                <w:szCs w:val="24"/>
                <w:highlight w:val="none"/>
              </w:rPr>
              <w:t>：</w:t>
            </w:r>
            <w:r>
              <w:rPr>
                <w:rFonts w:hint="eastAsia" w:ascii="仿宋" w:hAnsi="仿宋" w:eastAsia="仿宋" w:cs="Arial"/>
                <w:sz w:val="24"/>
                <w:szCs w:val="24"/>
                <w:highlight w:val="none"/>
              </w:rPr>
              <w:t>此项只提供大风机</w:t>
            </w:r>
            <w:r>
              <w:rPr>
                <w:rFonts w:ascii="仿宋" w:hAnsi="仿宋" w:eastAsia="仿宋" w:cs="Arial"/>
                <w:sz w:val="24"/>
                <w:szCs w:val="24"/>
                <w:highlight w:val="none"/>
              </w:rPr>
              <w:t>产品最好参数。</w:t>
            </w:r>
          </w:p>
          <w:p>
            <w:pPr>
              <w:pStyle w:val="139"/>
              <w:numPr>
                <w:ilvl w:val="0"/>
                <w:numId w:val="2"/>
              </w:numPr>
              <w:ind w:firstLineChars="0"/>
              <w:rPr>
                <w:rFonts w:ascii="仿宋" w:hAnsi="仿宋" w:eastAsia="仿宋" w:cs="Arial"/>
                <w:sz w:val="24"/>
                <w:szCs w:val="24"/>
                <w:highlight w:val="none"/>
              </w:rPr>
            </w:pPr>
            <w:r>
              <w:rPr>
                <w:rFonts w:hint="eastAsia" w:ascii="仿宋" w:hAnsi="仿宋" w:eastAsia="仿宋" w:cs="Arial"/>
                <w:sz w:val="24"/>
                <w:szCs w:val="24"/>
                <w:highlight w:val="none"/>
              </w:rPr>
              <w:t>所投产品燃气灶材质:黑色钢化玻璃</w:t>
            </w:r>
          </w:p>
          <w:p>
            <w:pPr>
              <w:rPr>
                <w:rFonts w:ascii="仿宋" w:hAnsi="仿宋" w:eastAsia="仿宋" w:cs="Arial"/>
                <w:sz w:val="24"/>
                <w:szCs w:val="24"/>
                <w:highlight w:val="none"/>
              </w:rPr>
            </w:pPr>
            <w:r>
              <w:rPr>
                <w:rFonts w:hint="eastAsia" w:ascii="仿宋" w:hAnsi="仿宋" w:eastAsia="仿宋" w:cs="Arial"/>
                <w:sz w:val="24"/>
                <w:szCs w:val="24"/>
                <w:highlight w:val="none"/>
              </w:rPr>
              <w:t>外形尺寸（mm）需满足以下任一尺寸：长730×宽410×高135、长720×宽420×高1</w:t>
            </w:r>
            <w:r>
              <w:rPr>
                <w:rFonts w:hint="eastAsia" w:ascii="仿宋" w:hAnsi="仿宋" w:eastAsia="仿宋" w:cs="Arial"/>
                <w:sz w:val="24"/>
                <w:szCs w:val="24"/>
                <w:highlight w:val="none"/>
                <w:lang w:val="en-US" w:eastAsia="zh-CN"/>
              </w:rPr>
              <w:t>6</w:t>
            </w:r>
            <w:r>
              <w:rPr>
                <w:rFonts w:hint="eastAsia" w:ascii="仿宋" w:hAnsi="仿宋" w:eastAsia="仿宋" w:cs="Arial"/>
                <w:sz w:val="24"/>
                <w:szCs w:val="24"/>
                <w:highlight w:val="none"/>
              </w:rPr>
              <w:t>0、长720×宽420×高120。（所有尺寸允许偏差±10mm以内）</w:t>
            </w:r>
          </w:p>
          <w:p>
            <w:pPr>
              <w:rPr>
                <w:rFonts w:ascii="仿宋" w:hAnsi="仿宋" w:eastAsia="仿宋" w:cs="Arial"/>
                <w:sz w:val="24"/>
                <w:szCs w:val="24"/>
                <w:highlight w:val="none"/>
              </w:rPr>
            </w:pPr>
            <w:r>
              <w:rPr>
                <w:rFonts w:ascii="仿宋" w:hAnsi="仿宋" w:eastAsia="仿宋" w:cs="Arial"/>
                <w:sz w:val="24"/>
                <w:szCs w:val="24"/>
                <w:highlight w:val="none"/>
              </w:rPr>
              <w:t>提供</w:t>
            </w:r>
            <w:r>
              <w:rPr>
                <w:rFonts w:hint="eastAsia" w:ascii="仿宋" w:hAnsi="仿宋" w:eastAsia="仿宋" w:cs="Arial"/>
                <w:sz w:val="24"/>
                <w:szCs w:val="24"/>
                <w:highlight w:val="none"/>
              </w:rPr>
              <w:t>热负荷（KW）</w:t>
            </w:r>
            <w:r>
              <w:rPr>
                <w:rFonts w:ascii="仿宋" w:hAnsi="仿宋" w:eastAsia="仿宋" w:cs="Arial"/>
                <w:sz w:val="24"/>
                <w:szCs w:val="24"/>
                <w:highlight w:val="none"/>
              </w:rPr>
              <w:t>、</w:t>
            </w:r>
            <w:r>
              <w:rPr>
                <w:rFonts w:hint="eastAsia" w:ascii="仿宋" w:hAnsi="仿宋" w:eastAsia="仿宋" w:cs="Arial"/>
                <w:sz w:val="24"/>
                <w:szCs w:val="24"/>
                <w:highlight w:val="none"/>
              </w:rPr>
              <w:t>热效率</w:t>
            </w:r>
            <w:r>
              <w:rPr>
                <w:rFonts w:ascii="仿宋" w:hAnsi="仿宋" w:eastAsia="仿宋" w:cs="Arial"/>
                <w:sz w:val="24"/>
                <w:szCs w:val="24"/>
                <w:highlight w:val="none"/>
              </w:rPr>
              <w:t>、</w:t>
            </w:r>
            <w:r>
              <w:rPr>
                <w:rFonts w:hint="eastAsia" w:ascii="仿宋" w:hAnsi="仿宋" w:eastAsia="仿宋" w:cs="Arial"/>
                <w:sz w:val="24"/>
                <w:szCs w:val="24"/>
                <w:highlight w:val="none"/>
              </w:rPr>
              <w:t>气源</w:t>
            </w:r>
            <w:r>
              <w:rPr>
                <w:rFonts w:ascii="仿宋" w:hAnsi="仿宋" w:eastAsia="仿宋" w:cs="Arial"/>
                <w:sz w:val="24"/>
                <w:szCs w:val="24"/>
                <w:highlight w:val="none"/>
              </w:rPr>
              <w:t>参数。</w:t>
            </w:r>
          </w:p>
          <w:p>
            <w:pPr>
              <w:rPr>
                <w:rFonts w:ascii="仿宋" w:hAnsi="仿宋" w:eastAsia="仿宋" w:cs="Arial"/>
                <w:sz w:val="24"/>
                <w:szCs w:val="24"/>
                <w:highlight w:val="none"/>
              </w:rPr>
            </w:pPr>
            <w:r>
              <w:rPr>
                <w:rFonts w:hint="eastAsia" w:ascii="仿宋" w:hAnsi="仿宋" w:eastAsia="仿宋" w:cs="Arial"/>
                <w:sz w:val="24"/>
                <w:szCs w:val="24"/>
                <w:highlight w:val="none"/>
              </w:rPr>
              <w:t>提</w:t>
            </w:r>
            <w:r>
              <w:rPr>
                <w:rFonts w:ascii="仿宋" w:hAnsi="仿宋" w:eastAsia="仿宋" w:cs="Arial"/>
                <w:sz w:val="24"/>
                <w:szCs w:val="24"/>
                <w:highlight w:val="none"/>
              </w:rPr>
              <w:t>供</w:t>
            </w:r>
            <w:r>
              <w:rPr>
                <w:rFonts w:hint="eastAsia" w:ascii="仿宋" w:hAnsi="仿宋" w:eastAsia="仿宋" w:cs="Arial"/>
                <w:sz w:val="24"/>
                <w:szCs w:val="24"/>
                <w:highlight w:val="none"/>
              </w:rPr>
              <w:t>资料</w:t>
            </w:r>
            <w:r>
              <w:rPr>
                <w:rFonts w:ascii="仿宋" w:hAnsi="仿宋" w:eastAsia="仿宋" w:cs="Arial"/>
                <w:sz w:val="24"/>
                <w:szCs w:val="24"/>
                <w:highlight w:val="none"/>
              </w:rPr>
              <w:t>：</w:t>
            </w:r>
            <w:r>
              <w:rPr>
                <w:rFonts w:hint="eastAsia" w:ascii="仿宋" w:hAnsi="仿宋" w:eastAsia="仿宋" w:cs="Arial"/>
                <w:sz w:val="24"/>
                <w:szCs w:val="24"/>
                <w:highlight w:val="none"/>
              </w:rPr>
              <w:t>投标产品</w:t>
            </w:r>
            <w:r>
              <w:rPr>
                <w:rFonts w:ascii="仿宋" w:hAnsi="仿宋" w:eastAsia="仿宋" w:cs="Arial"/>
                <w:sz w:val="24"/>
                <w:szCs w:val="24"/>
                <w:highlight w:val="none"/>
              </w:rPr>
              <w:t>最好参数。</w:t>
            </w:r>
          </w:p>
          <w:p>
            <w:pPr>
              <w:rPr>
                <w:rFonts w:ascii="仿宋" w:hAnsi="仿宋" w:eastAsia="仿宋" w:cs="Arial"/>
                <w:sz w:val="24"/>
                <w:szCs w:val="24"/>
                <w:highlight w:val="none"/>
              </w:rPr>
            </w:pPr>
            <w:r>
              <w:rPr>
                <w:rFonts w:hint="eastAsia" w:ascii="仿宋" w:hAnsi="仿宋" w:eastAsia="仿宋" w:cs="Arial"/>
                <w:sz w:val="24"/>
                <w:szCs w:val="24"/>
                <w:highlight w:val="none"/>
                <w:lang w:val="en-US" w:eastAsia="zh-CN"/>
              </w:rPr>
              <w:t>3、</w:t>
            </w:r>
            <w:r>
              <w:rPr>
                <w:rFonts w:hint="eastAsia" w:ascii="仿宋" w:hAnsi="仿宋" w:eastAsia="仿宋" w:cs="Arial"/>
                <w:sz w:val="24"/>
                <w:szCs w:val="24"/>
                <w:highlight w:val="none"/>
              </w:rPr>
              <w:t>所投产品洗碗消毒一体柜材质</w:t>
            </w:r>
            <w:r>
              <w:rPr>
                <w:rFonts w:hint="eastAsia" w:ascii="仿宋" w:hAnsi="仿宋" w:eastAsia="仿宋" w:cs="Arial"/>
                <w:sz w:val="24"/>
                <w:szCs w:val="24"/>
                <w:highlight w:val="none"/>
              </w:rPr>
              <w:t>:黑色钢化玻璃</w:t>
            </w:r>
          </w:p>
          <w:p>
            <w:pPr>
              <w:pStyle w:val="139"/>
              <w:ind w:left="0" w:leftChars="0" w:firstLine="0" w:firstLineChars="0"/>
              <w:rPr>
                <w:rFonts w:ascii="仿宋" w:hAnsi="仿宋" w:eastAsia="仿宋" w:cs="Arial"/>
                <w:sz w:val="24"/>
                <w:szCs w:val="24"/>
                <w:highlight w:val="none"/>
              </w:rPr>
            </w:pPr>
            <w:r>
              <w:rPr>
                <w:rFonts w:hint="eastAsia" w:ascii="仿宋" w:hAnsi="仿宋" w:eastAsia="仿宋" w:cs="Arial"/>
                <w:sz w:val="24"/>
                <w:szCs w:val="24"/>
                <w:highlight w:val="none"/>
              </w:rPr>
              <w:t>外形尺寸（mm）需满足以下任一尺寸：外形尺寸（mm）需满足以下任一尺寸：宽595mm×高605mm×深500mm（含门板）、宽595mm×高595mm×深525mm（含门板）、宽595mm×高598mm×深500mm（含门板）。(所有尺寸允许偏差±10mm以内）</w:t>
            </w:r>
          </w:p>
          <w:p>
            <w:pPr>
              <w:rPr>
                <w:rFonts w:ascii="仿宋" w:hAnsi="仿宋" w:eastAsia="仿宋" w:cs="Arial"/>
                <w:sz w:val="24"/>
                <w:szCs w:val="24"/>
                <w:highlight w:val="none"/>
              </w:rPr>
            </w:pPr>
            <w:r>
              <w:rPr>
                <w:rFonts w:ascii="仿宋" w:hAnsi="仿宋" w:eastAsia="仿宋" w:cs="Arial"/>
                <w:sz w:val="24"/>
                <w:szCs w:val="24"/>
                <w:highlight w:val="none"/>
              </w:rPr>
              <w:t>提供</w:t>
            </w:r>
            <w:r>
              <w:rPr>
                <w:rFonts w:hint="eastAsia" w:ascii="仿宋" w:hAnsi="仿宋" w:eastAsia="仿宋" w:cs="Arial"/>
                <w:sz w:val="24"/>
                <w:szCs w:val="24"/>
                <w:highlight w:val="none"/>
              </w:rPr>
              <w:t>水效等级</w:t>
            </w:r>
            <w:r>
              <w:rPr>
                <w:rFonts w:ascii="仿宋" w:hAnsi="仿宋" w:eastAsia="仿宋" w:cs="Arial"/>
                <w:sz w:val="24"/>
                <w:szCs w:val="24"/>
                <w:highlight w:val="none"/>
              </w:rPr>
              <w:t>、</w:t>
            </w:r>
            <w:r>
              <w:rPr>
                <w:rFonts w:hint="eastAsia" w:ascii="仿宋" w:hAnsi="仿宋" w:eastAsia="仿宋" w:cs="Arial"/>
                <w:sz w:val="24"/>
                <w:szCs w:val="24"/>
                <w:highlight w:val="none"/>
              </w:rPr>
              <w:t>整机额定功率</w:t>
            </w:r>
            <w:r>
              <w:rPr>
                <w:rFonts w:ascii="仿宋" w:hAnsi="仿宋" w:eastAsia="仿宋" w:cs="Arial"/>
                <w:sz w:val="24"/>
                <w:szCs w:val="24"/>
                <w:highlight w:val="none"/>
              </w:rPr>
              <w:t>、</w:t>
            </w:r>
            <w:r>
              <w:rPr>
                <w:rFonts w:hint="eastAsia" w:ascii="仿宋" w:hAnsi="仿宋" w:eastAsia="仿宋" w:cs="Arial"/>
                <w:sz w:val="24"/>
                <w:szCs w:val="24"/>
                <w:highlight w:val="none"/>
              </w:rPr>
              <w:t>加热方式</w:t>
            </w:r>
            <w:r>
              <w:rPr>
                <w:rFonts w:ascii="仿宋" w:hAnsi="仿宋" w:eastAsia="仿宋" w:cs="Arial"/>
                <w:sz w:val="24"/>
                <w:szCs w:val="24"/>
                <w:highlight w:val="none"/>
              </w:rPr>
              <w:t>、</w:t>
            </w:r>
            <w:r>
              <w:rPr>
                <w:rFonts w:hint="eastAsia" w:ascii="仿宋" w:hAnsi="仿宋" w:eastAsia="仿宋" w:cs="Arial"/>
                <w:sz w:val="24"/>
                <w:szCs w:val="24"/>
                <w:highlight w:val="none"/>
              </w:rPr>
              <w:t>内胆材质</w:t>
            </w:r>
            <w:r>
              <w:rPr>
                <w:rFonts w:ascii="仿宋" w:hAnsi="仿宋" w:eastAsia="仿宋" w:cs="Arial"/>
                <w:sz w:val="24"/>
                <w:szCs w:val="24"/>
                <w:highlight w:val="none"/>
              </w:rPr>
              <w:t>、</w:t>
            </w:r>
            <w:r>
              <w:rPr>
                <w:rFonts w:hint="eastAsia" w:ascii="仿宋" w:hAnsi="仿宋" w:eastAsia="仿宋" w:cs="Arial"/>
                <w:sz w:val="24"/>
                <w:szCs w:val="24"/>
                <w:highlight w:val="none"/>
              </w:rPr>
              <w:t>喷淋臂数量</w:t>
            </w:r>
            <w:r>
              <w:rPr>
                <w:rFonts w:ascii="仿宋" w:hAnsi="仿宋" w:eastAsia="仿宋" w:cs="Arial"/>
                <w:sz w:val="24"/>
                <w:szCs w:val="24"/>
                <w:highlight w:val="none"/>
              </w:rPr>
              <w:t>、</w:t>
            </w:r>
            <w:r>
              <w:rPr>
                <w:rFonts w:hint="eastAsia" w:ascii="仿宋" w:hAnsi="仿宋" w:eastAsia="仿宋" w:cs="Arial"/>
                <w:sz w:val="24"/>
                <w:szCs w:val="24"/>
                <w:highlight w:val="none"/>
              </w:rPr>
              <w:t>容量</w:t>
            </w:r>
            <w:r>
              <w:rPr>
                <w:rFonts w:ascii="仿宋" w:hAnsi="仿宋" w:eastAsia="仿宋" w:cs="Arial"/>
                <w:sz w:val="24"/>
                <w:szCs w:val="24"/>
                <w:highlight w:val="none"/>
              </w:rPr>
              <w:t>、</w:t>
            </w:r>
            <w:r>
              <w:rPr>
                <w:rFonts w:hint="eastAsia" w:ascii="仿宋" w:hAnsi="仿宋" w:eastAsia="仿宋" w:cs="Arial"/>
                <w:sz w:val="24"/>
                <w:szCs w:val="24"/>
                <w:highlight w:val="none"/>
              </w:rPr>
              <w:t>功能模式</w:t>
            </w:r>
            <w:r>
              <w:rPr>
                <w:rFonts w:ascii="仿宋" w:hAnsi="仿宋" w:eastAsia="仿宋" w:cs="Arial"/>
                <w:sz w:val="24"/>
                <w:szCs w:val="24"/>
                <w:highlight w:val="none"/>
              </w:rPr>
              <w:t>、</w:t>
            </w:r>
            <w:r>
              <w:rPr>
                <w:rFonts w:hint="eastAsia" w:ascii="仿宋" w:hAnsi="仿宋" w:eastAsia="仿宋" w:cs="Arial"/>
                <w:sz w:val="24"/>
                <w:szCs w:val="24"/>
                <w:highlight w:val="none"/>
              </w:rPr>
              <w:t>保洁存储</w:t>
            </w:r>
            <w:r>
              <w:rPr>
                <w:rFonts w:ascii="仿宋" w:hAnsi="仿宋" w:eastAsia="仿宋" w:cs="Arial"/>
                <w:sz w:val="24"/>
                <w:szCs w:val="24"/>
                <w:highlight w:val="none"/>
              </w:rPr>
              <w:t>、</w:t>
            </w:r>
            <w:r>
              <w:rPr>
                <w:rFonts w:hint="eastAsia" w:ascii="仿宋" w:hAnsi="仿宋" w:eastAsia="仿宋" w:cs="Arial"/>
                <w:sz w:val="24"/>
                <w:szCs w:val="24"/>
                <w:highlight w:val="none"/>
              </w:rPr>
              <w:t>安全防护</w:t>
            </w:r>
            <w:r>
              <w:rPr>
                <w:rFonts w:ascii="仿宋" w:hAnsi="仿宋" w:eastAsia="仿宋" w:cs="Arial"/>
                <w:sz w:val="24"/>
                <w:szCs w:val="24"/>
                <w:highlight w:val="none"/>
              </w:rPr>
              <w:t>参数。</w:t>
            </w:r>
          </w:p>
          <w:p>
            <w:pPr>
              <w:rPr>
                <w:rFonts w:ascii="仿宋" w:hAnsi="仿宋" w:eastAsia="仿宋" w:cs="Arial"/>
                <w:sz w:val="24"/>
                <w:szCs w:val="24"/>
                <w:highlight w:val="none"/>
              </w:rPr>
            </w:pPr>
            <w:r>
              <w:rPr>
                <w:rFonts w:hint="eastAsia" w:ascii="仿宋" w:hAnsi="仿宋" w:eastAsia="仿宋" w:cs="Arial"/>
                <w:sz w:val="24"/>
                <w:szCs w:val="24"/>
                <w:highlight w:val="none"/>
              </w:rPr>
              <w:t>提</w:t>
            </w:r>
            <w:r>
              <w:rPr>
                <w:rFonts w:ascii="仿宋" w:hAnsi="仿宋" w:eastAsia="仿宋" w:cs="Arial"/>
                <w:sz w:val="24"/>
                <w:szCs w:val="24"/>
                <w:highlight w:val="none"/>
              </w:rPr>
              <w:t>供</w:t>
            </w:r>
            <w:r>
              <w:rPr>
                <w:rFonts w:hint="eastAsia" w:ascii="仿宋" w:hAnsi="仿宋" w:eastAsia="仿宋" w:cs="Arial"/>
                <w:sz w:val="24"/>
                <w:szCs w:val="24"/>
                <w:highlight w:val="none"/>
              </w:rPr>
              <w:t>资料</w:t>
            </w:r>
            <w:r>
              <w:rPr>
                <w:rFonts w:ascii="仿宋" w:hAnsi="仿宋" w:eastAsia="仿宋" w:cs="Arial"/>
                <w:sz w:val="24"/>
                <w:szCs w:val="24"/>
                <w:highlight w:val="none"/>
              </w:rPr>
              <w:t>：投标产品最好参数。</w:t>
            </w:r>
          </w:p>
        </w:tc>
        <w:tc>
          <w:tcPr>
            <w:tcW w:w="714" w:type="dxa"/>
            <w:tcBorders>
              <w:left w:val="single" w:color="auto" w:sz="4" w:space="0"/>
              <w:bottom w:val="single" w:color="auto" w:sz="4" w:space="0"/>
              <w:right w:val="single" w:color="auto" w:sz="4" w:space="0"/>
            </w:tcBorders>
            <w:vAlign w:val="center"/>
          </w:tcPr>
          <w:p>
            <w:pPr>
              <w:widowControl/>
              <w:jc w:val="center"/>
              <w:rPr>
                <w:rFonts w:ascii="仿宋" w:hAnsi="仿宋" w:eastAsia="仿宋" w:cs="Arial"/>
                <w:sz w:val="24"/>
                <w:szCs w:val="24"/>
                <w:highlight w:val="none"/>
              </w:rPr>
            </w:pPr>
          </w:p>
        </w:tc>
        <w:tc>
          <w:tcPr>
            <w:tcW w:w="992" w:type="dxa"/>
            <w:tcBorders>
              <w:left w:val="single" w:color="auto" w:sz="4" w:space="0"/>
              <w:bottom w:val="single" w:color="auto" w:sz="4" w:space="0"/>
              <w:right w:val="single" w:color="auto" w:sz="4" w:space="0"/>
            </w:tcBorders>
          </w:tcPr>
          <w:p>
            <w:pPr>
              <w:widowControl/>
              <w:jc w:val="center"/>
              <w:rPr>
                <w:rFonts w:ascii="仿宋" w:hAnsi="仿宋" w:eastAsia="仿宋"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Arial"/>
                <w:color w:val="000000" w:themeColor="text1"/>
                <w:sz w:val="24"/>
                <w:szCs w:val="24"/>
                <w:highlight w:val="none"/>
                <w14:textFill>
                  <w14:solidFill>
                    <w14:schemeClr w14:val="tx1"/>
                  </w14:solidFill>
                </w14:textFill>
              </w:rPr>
            </w:pPr>
          </w:p>
        </w:tc>
        <w:tc>
          <w:tcPr>
            <w:tcW w:w="65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Arial"/>
                <w:color w:val="000000" w:themeColor="text1"/>
                <w:sz w:val="24"/>
                <w:szCs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color w:val="00000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仿宋" w:hAnsi="仿宋" w:eastAsia="仿宋" w:cs="Arial"/>
                <w:color w:val="000000"/>
                <w:sz w:val="24"/>
                <w:szCs w:val="24"/>
                <w:highlight w:val="none"/>
              </w:rPr>
            </w:pPr>
          </w:p>
        </w:tc>
      </w:tr>
    </w:tbl>
    <w:p>
      <w:pPr>
        <w:pStyle w:val="138"/>
        <w:ind w:firstLine="0" w:firstLineChars="0"/>
        <w:rPr>
          <w:rFonts w:hint="eastAsia" w:ascii="仿宋" w:hAnsi="仿宋" w:eastAsia="仿宋"/>
          <w:szCs w:val="21"/>
          <w:highlight w:val="none"/>
          <w:lang w:val="en-US"/>
        </w:rPr>
      </w:pPr>
    </w:p>
    <w:p>
      <w:pPr>
        <w:pStyle w:val="138"/>
        <w:ind w:firstLine="0" w:firstLineChars="0"/>
        <w:rPr>
          <w:rFonts w:ascii="仿宋" w:hAnsi="仿宋" w:eastAsia="仿宋"/>
          <w:b/>
          <w:kern w:val="0"/>
          <w:sz w:val="28"/>
          <w:highlight w:val="none"/>
        </w:rPr>
      </w:pPr>
      <w:r>
        <w:rPr>
          <w:rFonts w:hint="eastAsia" w:ascii="仿宋" w:hAnsi="仿宋" w:eastAsia="仿宋"/>
          <w:szCs w:val="21"/>
          <w:highlight w:val="none"/>
          <w:lang w:val="en-US"/>
        </w:rPr>
        <w:t>定</w:t>
      </w:r>
      <w:r>
        <w:rPr>
          <w:rFonts w:hint="eastAsia" w:ascii="仿宋" w:hAnsi="仿宋" w:eastAsia="仿宋"/>
          <w:szCs w:val="21"/>
          <w:highlight w:val="none"/>
        </w:rPr>
        <w:t xml:space="preserve">标专家：                      </w:t>
      </w:r>
      <w:r>
        <w:rPr>
          <w:rFonts w:hint="eastAsia" w:ascii="仿宋" w:hAnsi="仿宋" w:eastAsia="仿宋"/>
          <w:szCs w:val="21"/>
          <w:highlight w:val="none"/>
          <w:lang w:val="en-US"/>
        </w:rPr>
        <w:t>定</w:t>
      </w:r>
      <w:r>
        <w:rPr>
          <w:rFonts w:hint="eastAsia" w:ascii="仿宋" w:hAnsi="仿宋" w:eastAsia="仿宋"/>
          <w:szCs w:val="21"/>
          <w:highlight w:val="none"/>
        </w:rPr>
        <w:t>标日期：     年    月    日</w:t>
      </w:r>
    </w:p>
    <w:p>
      <w:pPr>
        <w:widowControl/>
        <w:jc w:val="left"/>
        <w:rPr>
          <w:rFonts w:ascii="仿宋" w:hAnsi="仿宋" w:eastAsia="仿宋"/>
          <w:b/>
          <w:kern w:val="0"/>
          <w:sz w:val="28"/>
          <w:highlight w:val="none"/>
        </w:rPr>
      </w:pPr>
      <w:r>
        <w:rPr>
          <w:rFonts w:hint="eastAsia" w:ascii="仿宋" w:hAnsi="仿宋" w:eastAsia="仿宋"/>
          <w:b/>
          <w:kern w:val="0"/>
          <w:sz w:val="28"/>
          <w:highlight w:val="none"/>
        </w:rPr>
        <w:br w:type="page"/>
      </w:r>
    </w:p>
    <w:p>
      <w:pPr>
        <w:widowControl/>
        <w:jc w:val="center"/>
        <w:rPr>
          <w:rFonts w:ascii="仿宋" w:hAnsi="仿宋" w:eastAsia="仿宋"/>
          <w:sz w:val="28"/>
          <w:szCs w:val="28"/>
          <w:highlight w:val="none"/>
        </w:rPr>
      </w:pPr>
      <w:r>
        <w:rPr>
          <w:rFonts w:hint="eastAsia" w:ascii="仿宋" w:hAnsi="仿宋" w:eastAsia="仿宋"/>
          <w:b/>
          <w:kern w:val="0"/>
          <w:sz w:val="28"/>
          <w:highlight w:val="none"/>
        </w:rPr>
        <w:t>定性</w:t>
      </w:r>
      <w:r>
        <w:rPr>
          <w:rFonts w:ascii="仿宋" w:hAnsi="仿宋" w:eastAsia="仿宋"/>
          <w:b/>
          <w:kern w:val="0"/>
          <w:sz w:val="28"/>
          <w:highlight w:val="none"/>
        </w:rPr>
        <w:t>评审表</w:t>
      </w:r>
      <w:r>
        <w:rPr>
          <w:rFonts w:hint="eastAsia" w:ascii="仿宋" w:hAnsi="仿宋" w:eastAsia="仿宋"/>
          <w:b/>
          <w:kern w:val="0"/>
          <w:sz w:val="28"/>
          <w:highlight w:val="none"/>
        </w:rPr>
        <w:t>二（主观部分，定标时使用）</w:t>
      </w:r>
    </w:p>
    <w:p>
      <w:pPr>
        <w:framePr w:hSpace="181" w:wrap="around" w:vAnchor="text" w:hAnchor="margin" w:xAlign="center" w:y="41"/>
        <w:suppressOverlap/>
        <w:jc w:val="left"/>
        <w:rPr>
          <w:rFonts w:ascii="仿宋" w:hAnsi="仿宋" w:eastAsia="仿宋"/>
          <w:szCs w:val="21"/>
          <w:highlight w:val="none"/>
        </w:rPr>
      </w:pPr>
      <w:r>
        <w:rPr>
          <w:rFonts w:hint="eastAsia" w:ascii="仿宋" w:hAnsi="仿宋" w:eastAsia="仿宋"/>
          <w:szCs w:val="21"/>
          <w:highlight w:val="none"/>
        </w:rPr>
        <w:t>招标工程名称：</w:t>
      </w:r>
      <w:r>
        <w:rPr>
          <w:rFonts w:ascii="仿宋" w:hAnsi="仿宋" w:eastAsia="仿宋"/>
          <w:szCs w:val="21"/>
          <w:highlight w:val="none"/>
        </w:rPr>
        <w:t xml:space="preserve"> </w:t>
      </w:r>
    </w:p>
    <w:p>
      <w:pPr>
        <w:framePr w:hSpace="181" w:wrap="around" w:vAnchor="text" w:hAnchor="margin" w:xAlign="center" w:y="41"/>
        <w:suppressOverlap/>
        <w:jc w:val="left"/>
        <w:rPr>
          <w:rFonts w:ascii="仿宋" w:hAnsi="仿宋" w:eastAsia="仿宋"/>
          <w:szCs w:val="21"/>
          <w:highlight w:val="none"/>
        </w:rPr>
      </w:pPr>
      <w:r>
        <w:rPr>
          <w:rFonts w:hint="eastAsia" w:ascii="仿宋" w:hAnsi="仿宋" w:eastAsia="仿宋"/>
          <w:szCs w:val="21"/>
          <w:highlight w:val="none"/>
        </w:rPr>
        <w:t>投标人：</w:t>
      </w:r>
    </w:p>
    <w:tbl>
      <w:tblPr>
        <w:tblStyle w:val="40"/>
        <w:tblpPr w:leftFromText="181" w:rightFromText="181" w:vertAnchor="text" w:horzAnchor="margin" w:tblpXSpec="center" w:tblpY="41"/>
        <w:tblOverlap w:val="never"/>
        <w:tblW w:w="53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31"/>
        <w:gridCol w:w="210"/>
        <w:gridCol w:w="7698"/>
        <w:gridCol w:w="324"/>
        <w:gridCol w:w="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212" w:type="pct"/>
            <w:vAlign w:val="center"/>
          </w:tcPr>
          <w:p>
            <w:pPr>
              <w:jc w:val="center"/>
              <w:rPr>
                <w:rFonts w:ascii="仿宋" w:hAnsi="仿宋" w:eastAsia="仿宋"/>
                <w:szCs w:val="21"/>
                <w:highlight w:val="none"/>
              </w:rPr>
            </w:pPr>
            <w:r>
              <w:rPr>
                <w:rFonts w:hint="eastAsia" w:ascii="仿宋" w:hAnsi="仿宋" w:eastAsia="仿宋"/>
                <w:highlight w:val="none"/>
              </w:rPr>
              <w:t>序号</w:t>
            </w:r>
          </w:p>
        </w:tc>
        <w:tc>
          <w:tcPr>
            <w:tcW w:w="514" w:type="pct"/>
            <w:vAlign w:val="center"/>
          </w:tcPr>
          <w:p>
            <w:pPr>
              <w:spacing w:before="156" w:beforeLines="50" w:after="156" w:afterLines="50"/>
              <w:jc w:val="center"/>
              <w:rPr>
                <w:rFonts w:ascii="仿宋" w:hAnsi="仿宋" w:eastAsia="仿宋"/>
                <w:szCs w:val="21"/>
                <w:highlight w:val="none"/>
              </w:rPr>
            </w:pPr>
            <w:r>
              <w:rPr>
                <w:rFonts w:hint="eastAsia" w:ascii="仿宋" w:hAnsi="仿宋" w:eastAsia="仿宋"/>
                <w:highlight w:val="none"/>
              </w:rPr>
              <w:t>评审项目</w:t>
            </w:r>
          </w:p>
        </w:tc>
        <w:tc>
          <w:tcPr>
            <w:tcW w:w="3950" w:type="pct"/>
            <w:gridSpan w:val="2"/>
            <w:vAlign w:val="center"/>
          </w:tcPr>
          <w:p>
            <w:pPr>
              <w:spacing w:before="156" w:beforeLines="50" w:after="156" w:afterLines="50"/>
              <w:ind w:left="4" w:leftChars="2" w:firstLine="420" w:firstLineChars="200"/>
              <w:jc w:val="center"/>
              <w:rPr>
                <w:rFonts w:ascii="仿宋" w:hAnsi="仿宋" w:eastAsia="仿宋" w:cs="宋体"/>
                <w:highlight w:val="none"/>
              </w:rPr>
            </w:pPr>
            <w:r>
              <w:rPr>
                <w:rFonts w:hint="eastAsia" w:ascii="仿宋" w:hAnsi="仿宋" w:eastAsia="仿宋"/>
                <w:highlight w:val="none"/>
              </w:rPr>
              <w:t>评审子项</w:t>
            </w:r>
          </w:p>
        </w:tc>
        <w:tc>
          <w:tcPr>
            <w:tcW w:w="161" w:type="pct"/>
            <w:vAlign w:val="center"/>
          </w:tcPr>
          <w:p>
            <w:pPr>
              <w:widowControl/>
              <w:jc w:val="center"/>
              <w:rPr>
                <w:rFonts w:ascii="仿宋" w:hAnsi="仿宋" w:eastAsia="仿宋"/>
                <w:szCs w:val="21"/>
                <w:highlight w:val="none"/>
              </w:rPr>
            </w:pPr>
          </w:p>
        </w:tc>
        <w:tc>
          <w:tcPr>
            <w:tcW w:w="160" w:type="pct"/>
            <w:vAlign w:val="center"/>
          </w:tcPr>
          <w:p>
            <w:pPr>
              <w:widowControl/>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677" w:type="pct"/>
            <w:gridSpan w:val="4"/>
            <w:vAlign w:val="center"/>
          </w:tcPr>
          <w:p>
            <w:pPr>
              <w:spacing w:before="156" w:beforeLines="50" w:after="156" w:afterLines="50"/>
              <w:jc w:val="left"/>
              <w:rPr>
                <w:rFonts w:ascii="仿宋" w:hAnsi="仿宋" w:eastAsia="仿宋"/>
                <w:highlight w:val="none"/>
              </w:rPr>
            </w:pPr>
            <w:r>
              <w:rPr>
                <w:rFonts w:hint="eastAsia" w:ascii="仿宋" w:hAnsi="仿宋" w:eastAsia="仿宋" w:cs="宋体"/>
                <w:highlight w:val="none"/>
              </w:rPr>
              <w:t>主观评审部分</w:t>
            </w:r>
          </w:p>
        </w:tc>
        <w:tc>
          <w:tcPr>
            <w:tcW w:w="161" w:type="pct"/>
            <w:vAlign w:val="center"/>
          </w:tcPr>
          <w:p>
            <w:pPr>
              <w:widowControl/>
              <w:jc w:val="center"/>
              <w:rPr>
                <w:rFonts w:ascii="仿宋" w:hAnsi="仿宋" w:eastAsia="仿宋"/>
                <w:highlight w:val="none"/>
              </w:rPr>
            </w:pPr>
          </w:p>
        </w:tc>
        <w:tc>
          <w:tcPr>
            <w:tcW w:w="160" w:type="pct"/>
            <w:vAlign w:val="center"/>
          </w:tcPr>
          <w:p>
            <w:pPr>
              <w:widowControl/>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trPr>
        <w:tc>
          <w:tcPr>
            <w:tcW w:w="212" w:type="pct"/>
            <w:vAlign w:val="center"/>
          </w:tcPr>
          <w:p>
            <w:pPr>
              <w:jc w:val="center"/>
              <w:rPr>
                <w:rFonts w:ascii="仿宋" w:hAnsi="仿宋" w:eastAsia="仿宋"/>
                <w:szCs w:val="21"/>
                <w:highlight w:val="none"/>
              </w:rPr>
            </w:pPr>
            <w:r>
              <w:rPr>
                <w:rFonts w:hint="eastAsia" w:ascii="仿宋" w:hAnsi="仿宋" w:eastAsia="仿宋"/>
                <w:szCs w:val="21"/>
                <w:highlight w:val="none"/>
              </w:rPr>
              <w:t>1</w:t>
            </w:r>
          </w:p>
        </w:tc>
        <w:tc>
          <w:tcPr>
            <w:tcW w:w="619" w:type="pct"/>
            <w:gridSpan w:val="2"/>
            <w:vAlign w:val="center"/>
          </w:tcPr>
          <w:p>
            <w:pPr>
              <w:spacing w:before="156" w:beforeLines="50" w:after="156" w:afterLines="50"/>
              <w:rPr>
                <w:rFonts w:ascii="仿宋" w:hAnsi="仿宋" w:eastAsia="仿宋"/>
                <w:kern w:val="0"/>
                <w:sz w:val="22"/>
                <w:szCs w:val="21"/>
                <w:highlight w:val="none"/>
              </w:rPr>
            </w:pPr>
            <w:r>
              <w:rPr>
                <w:rFonts w:hint="eastAsia" w:ascii="仿宋" w:hAnsi="仿宋" w:eastAsia="仿宋"/>
                <w:kern w:val="0"/>
                <w:sz w:val="22"/>
                <w:szCs w:val="21"/>
                <w:highlight w:val="none"/>
              </w:rPr>
              <w:t>排产方案、计划、管理机构</w:t>
            </w:r>
            <w:r>
              <w:rPr>
                <w:rFonts w:ascii="仿宋" w:hAnsi="仿宋" w:eastAsia="仿宋"/>
                <w:kern w:val="0"/>
                <w:sz w:val="22"/>
                <w:szCs w:val="21"/>
                <w:highlight w:val="none"/>
              </w:rPr>
              <w:t>及供货期的承诺</w:t>
            </w:r>
          </w:p>
        </w:tc>
        <w:tc>
          <w:tcPr>
            <w:tcW w:w="3845" w:type="pct"/>
            <w:vAlign w:val="center"/>
          </w:tcPr>
          <w:p>
            <w:pPr>
              <w:rPr>
                <w:rFonts w:ascii="仿宋" w:hAnsi="仿宋" w:eastAsia="仿宋"/>
                <w:szCs w:val="21"/>
                <w:highlight w:val="none"/>
              </w:rPr>
            </w:pPr>
            <w:r>
              <w:rPr>
                <w:rFonts w:hint="eastAsia" w:ascii="仿宋" w:hAnsi="仿宋" w:eastAsia="仿宋"/>
                <w:szCs w:val="21"/>
                <w:highlight w:val="none"/>
              </w:rPr>
              <w:t>投标人编制的排产方案、投标人编制的进度计划、关键节点计划；供货周期的承诺等。</w:t>
            </w:r>
          </w:p>
          <w:p>
            <w:pPr>
              <w:rPr>
                <w:rFonts w:ascii="仿宋" w:hAnsi="仿宋" w:eastAsia="仿宋"/>
                <w:szCs w:val="21"/>
                <w:highlight w:val="none"/>
              </w:rPr>
            </w:pPr>
            <w:r>
              <w:rPr>
                <w:rFonts w:hint="eastAsia" w:ascii="仿宋" w:hAnsi="仿宋" w:eastAsia="仿宋"/>
                <w:szCs w:val="21"/>
                <w:highlight w:val="none"/>
              </w:rPr>
              <w:t>根据编制内容的优劣。</w:t>
            </w:r>
          </w:p>
          <w:p>
            <w:pPr>
              <w:rPr>
                <w:rFonts w:ascii="仿宋" w:hAnsi="仿宋" w:eastAsia="仿宋"/>
                <w:szCs w:val="21"/>
                <w:highlight w:val="none"/>
              </w:rPr>
            </w:pPr>
            <w:r>
              <w:rPr>
                <w:rFonts w:ascii="仿宋" w:hAnsi="仿宋" w:eastAsia="仿宋"/>
                <w:szCs w:val="21"/>
                <w:highlight w:val="none"/>
              </w:rPr>
              <w:t>①</w:t>
            </w:r>
            <w:r>
              <w:rPr>
                <w:rFonts w:hint="eastAsia" w:ascii="仿宋" w:hAnsi="仿宋" w:eastAsia="仿宋"/>
                <w:szCs w:val="21"/>
                <w:highlight w:val="none"/>
              </w:rPr>
              <w:t>排产方案是否合理</w:t>
            </w:r>
          </w:p>
          <w:p>
            <w:pPr>
              <w:pStyle w:val="139"/>
              <w:ind w:firstLine="0" w:firstLineChars="0"/>
              <w:rPr>
                <w:rFonts w:ascii="仿宋" w:hAnsi="仿宋" w:eastAsia="仿宋"/>
                <w:highlight w:val="none"/>
              </w:rPr>
            </w:pPr>
            <w:r>
              <w:rPr>
                <w:rFonts w:hint="eastAsia" w:ascii="仿宋" w:hAnsi="仿宋" w:eastAsia="仿宋"/>
                <w:highlight w:val="none"/>
              </w:rPr>
              <w:t>②计划及关键节点安排是否合理</w:t>
            </w:r>
          </w:p>
          <w:p>
            <w:pPr>
              <w:pStyle w:val="139"/>
              <w:ind w:firstLine="0" w:firstLineChars="0"/>
              <w:rPr>
                <w:rFonts w:ascii="仿宋" w:hAnsi="仿宋" w:eastAsia="仿宋"/>
                <w:highlight w:val="none"/>
              </w:rPr>
            </w:pPr>
            <w:r>
              <w:rPr>
                <w:rFonts w:hint="eastAsia" w:ascii="仿宋" w:hAnsi="仿宋" w:eastAsia="仿宋"/>
                <w:szCs w:val="21"/>
                <w:highlight w:val="none"/>
              </w:rPr>
              <w:t>③采取何种承诺来保证满足货期</w:t>
            </w:r>
          </w:p>
        </w:tc>
        <w:tc>
          <w:tcPr>
            <w:tcW w:w="161" w:type="pct"/>
            <w:vAlign w:val="center"/>
          </w:tcPr>
          <w:p>
            <w:pPr>
              <w:widowControl/>
              <w:jc w:val="center"/>
              <w:rPr>
                <w:rFonts w:ascii="仿宋" w:hAnsi="仿宋" w:eastAsia="仿宋"/>
                <w:szCs w:val="21"/>
                <w:highlight w:val="none"/>
              </w:rPr>
            </w:pPr>
          </w:p>
        </w:tc>
        <w:tc>
          <w:tcPr>
            <w:tcW w:w="160" w:type="pct"/>
          </w:tcPr>
          <w:p>
            <w:pPr>
              <w:widowControl/>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212" w:type="pct"/>
            <w:vAlign w:val="center"/>
          </w:tcPr>
          <w:p>
            <w:pPr>
              <w:jc w:val="center"/>
              <w:rPr>
                <w:rFonts w:ascii="仿宋" w:hAnsi="仿宋" w:eastAsia="仿宋"/>
                <w:szCs w:val="21"/>
                <w:highlight w:val="none"/>
              </w:rPr>
            </w:pPr>
            <w:r>
              <w:rPr>
                <w:rFonts w:hint="eastAsia" w:ascii="仿宋" w:hAnsi="仿宋" w:eastAsia="仿宋"/>
                <w:szCs w:val="21"/>
                <w:highlight w:val="none"/>
              </w:rPr>
              <w:t>2</w:t>
            </w:r>
          </w:p>
        </w:tc>
        <w:tc>
          <w:tcPr>
            <w:tcW w:w="619" w:type="pct"/>
            <w:gridSpan w:val="2"/>
            <w:vAlign w:val="center"/>
          </w:tcPr>
          <w:p>
            <w:pPr>
              <w:spacing w:before="156" w:beforeLines="50" w:after="156" w:afterLines="50"/>
              <w:jc w:val="center"/>
              <w:rPr>
                <w:rFonts w:ascii="仿宋" w:hAnsi="仿宋" w:eastAsia="仿宋" w:cs="宋体"/>
                <w:szCs w:val="21"/>
                <w:highlight w:val="none"/>
                <w:lang w:bidi="ar"/>
              </w:rPr>
            </w:pPr>
            <w:r>
              <w:rPr>
                <w:rFonts w:hint="eastAsia" w:ascii="仿宋" w:hAnsi="仿宋" w:eastAsia="仿宋"/>
                <w:kern w:val="0"/>
                <w:sz w:val="22"/>
                <w:szCs w:val="21"/>
                <w:highlight w:val="none"/>
              </w:rPr>
              <w:t>与现场各施工单位的协调、配合情况</w:t>
            </w:r>
          </w:p>
        </w:tc>
        <w:tc>
          <w:tcPr>
            <w:tcW w:w="3845" w:type="pct"/>
            <w:vAlign w:val="center"/>
          </w:tcPr>
          <w:p>
            <w:pPr>
              <w:rPr>
                <w:rFonts w:ascii="仿宋" w:hAnsi="仿宋" w:eastAsia="仿宋" w:cs="宋体"/>
                <w:highlight w:val="none"/>
              </w:rPr>
            </w:pPr>
            <w:r>
              <w:rPr>
                <w:rFonts w:hint="eastAsia" w:ascii="仿宋" w:hAnsi="仿宋" w:eastAsia="仿宋" w:cs="宋体"/>
                <w:highlight w:val="none"/>
              </w:rPr>
              <w:t>针对本项目情况编制的与现场其他参建单位的协调、配合方案，包括但不限于总承包单位、精装修单位、燃气单位等。</w:t>
            </w:r>
          </w:p>
          <w:p>
            <w:pPr>
              <w:rPr>
                <w:rFonts w:ascii="仿宋" w:hAnsi="仿宋" w:eastAsia="仿宋"/>
                <w:szCs w:val="21"/>
                <w:highlight w:val="none"/>
              </w:rPr>
            </w:pPr>
            <w:r>
              <w:rPr>
                <w:rFonts w:hint="eastAsia" w:ascii="仿宋" w:hAnsi="仿宋" w:eastAsia="仿宋"/>
                <w:szCs w:val="21"/>
                <w:highlight w:val="none"/>
              </w:rPr>
              <w:t>根据编制内容的优劣。</w:t>
            </w:r>
          </w:p>
        </w:tc>
        <w:tc>
          <w:tcPr>
            <w:tcW w:w="161" w:type="pct"/>
            <w:vAlign w:val="center"/>
          </w:tcPr>
          <w:p>
            <w:pPr>
              <w:widowControl/>
              <w:jc w:val="center"/>
              <w:rPr>
                <w:rFonts w:ascii="仿宋" w:hAnsi="仿宋" w:eastAsia="仿宋"/>
                <w:szCs w:val="21"/>
                <w:highlight w:val="none"/>
              </w:rPr>
            </w:pPr>
          </w:p>
        </w:tc>
        <w:tc>
          <w:tcPr>
            <w:tcW w:w="160" w:type="pct"/>
          </w:tcPr>
          <w:p>
            <w:pPr>
              <w:widowControl/>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trPr>
        <w:tc>
          <w:tcPr>
            <w:tcW w:w="212" w:type="pct"/>
            <w:vAlign w:val="center"/>
          </w:tcPr>
          <w:p>
            <w:pPr>
              <w:jc w:val="center"/>
              <w:rPr>
                <w:rFonts w:ascii="仿宋" w:hAnsi="仿宋" w:eastAsia="仿宋"/>
                <w:szCs w:val="21"/>
                <w:highlight w:val="none"/>
              </w:rPr>
            </w:pPr>
            <w:r>
              <w:rPr>
                <w:rFonts w:hint="eastAsia" w:ascii="仿宋" w:hAnsi="仿宋" w:eastAsia="仿宋"/>
                <w:szCs w:val="21"/>
                <w:highlight w:val="none"/>
              </w:rPr>
              <w:t>3</w:t>
            </w:r>
          </w:p>
        </w:tc>
        <w:tc>
          <w:tcPr>
            <w:tcW w:w="619" w:type="pct"/>
            <w:gridSpan w:val="2"/>
            <w:vAlign w:val="center"/>
          </w:tcPr>
          <w:p>
            <w:pPr>
              <w:spacing w:before="156" w:beforeLines="50" w:after="156" w:afterLines="50"/>
              <w:rPr>
                <w:rFonts w:ascii="仿宋" w:hAnsi="仿宋" w:eastAsia="仿宋"/>
                <w:szCs w:val="21"/>
                <w:highlight w:val="none"/>
              </w:rPr>
            </w:pPr>
            <w:r>
              <w:rPr>
                <w:rFonts w:ascii="仿宋" w:hAnsi="仿宋" w:eastAsia="仿宋"/>
                <w:szCs w:val="21"/>
                <w:highlight w:val="none"/>
              </w:rPr>
              <w:t>专项施工方案</w:t>
            </w:r>
            <w:r>
              <w:rPr>
                <w:rFonts w:hint="eastAsia" w:ascii="仿宋" w:hAnsi="仿宋" w:eastAsia="仿宋"/>
                <w:szCs w:val="21"/>
                <w:highlight w:val="none"/>
              </w:rPr>
              <w:t>、质保措施、抢工措施及维保</w:t>
            </w:r>
            <w:r>
              <w:rPr>
                <w:rFonts w:ascii="仿宋" w:hAnsi="仿宋" w:eastAsia="仿宋" w:cs="宋体"/>
                <w:highlight w:val="none"/>
              </w:rPr>
              <w:t>方案</w:t>
            </w:r>
          </w:p>
        </w:tc>
        <w:tc>
          <w:tcPr>
            <w:tcW w:w="3845" w:type="pct"/>
            <w:vAlign w:val="center"/>
          </w:tcPr>
          <w:p>
            <w:pPr>
              <w:spacing w:before="156" w:beforeLines="50" w:after="156" w:afterLines="50"/>
              <w:rPr>
                <w:rFonts w:ascii="仿宋" w:hAnsi="仿宋" w:eastAsia="仿宋" w:cs="宋体"/>
                <w:highlight w:val="none"/>
              </w:rPr>
            </w:pPr>
            <w:r>
              <w:rPr>
                <w:rFonts w:ascii="仿宋" w:hAnsi="仿宋" w:eastAsia="仿宋"/>
                <w:szCs w:val="21"/>
                <w:highlight w:val="none"/>
              </w:rPr>
              <w:t>主材及定制材料的打样报审及采购策划、产品加工全过程管控方案</w:t>
            </w:r>
            <w:r>
              <w:rPr>
                <w:rFonts w:hint="eastAsia" w:ascii="仿宋" w:hAnsi="仿宋" w:eastAsia="仿宋"/>
                <w:szCs w:val="21"/>
                <w:highlight w:val="none"/>
              </w:rPr>
              <w:t>，施工工程质量保证措施</w:t>
            </w:r>
            <w:r>
              <w:rPr>
                <w:rFonts w:hint="eastAsia" w:ascii="仿宋" w:hAnsi="仿宋" w:eastAsia="仿宋" w:cs="宋体"/>
                <w:highlight w:val="none"/>
              </w:rPr>
              <w:t>，</w:t>
            </w:r>
            <w:r>
              <w:rPr>
                <w:rFonts w:ascii="仿宋" w:hAnsi="仿宋" w:eastAsia="仿宋" w:cs="宋体"/>
                <w:highlight w:val="none"/>
              </w:rPr>
              <w:t>抢工措施方</w:t>
            </w:r>
            <w:r>
              <w:rPr>
                <w:rFonts w:hint="eastAsia" w:ascii="仿宋" w:hAnsi="仿宋" w:eastAsia="仿宋" w:cs="宋体"/>
                <w:highlight w:val="none"/>
              </w:rPr>
              <w:t>案及</w:t>
            </w:r>
            <w:r>
              <w:rPr>
                <w:rFonts w:ascii="仿宋" w:hAnsi="仿宋" w:eastAsia="仿宋" w:cs="宋体"/>
                <w:highlight w:val="none"/>
              </w:rPr>
              <w:t>质保期内的维保方案</w:t>
            </w:r>
            <w:r>
              <w:rPr>
                <w:rFonts w:hint="eastAsia" w:ascii="仿宋" w:hAnsi="仿宋" w:eastAsia="仿宋" w:cs="宋体"/>
                <w:highlight w:val="none"/>
              </w:rPr>
              <w:t>。</w:t>
            </w:r>
          </w:p>
          <w:p>
            <w:pPr>
              <w:spacing w:before="156" w:beforeLines="50" w:after="156" w:afterLines="50"/>
              <w:rPr>
                <w:rFonts w:ascii="仿宋" w:hAnsi="仿宋" w:eastAsia="仿宋"/>
                <w:szCs w:val="21"/>
                <w:highlight w:val="none"/>
              </w:rPr>
            </w:pPr>
            <w:r>
              <w:rPr>
                <w:rFonts w:hint="eastAsia" w:ascii="仿宋" w:hAnsi="仿宋" w:eastAsia="仿宋"/>
                <w:szCs w:val="21"/>
                <w:highlight w:val="none"/>
              </w:rPr>
              <w:t>根据编制内容的优劣。</w:t>
            </w:r>
          </w:p>
          <w:p>
            <w:pPr>
              <w:pStyle w:val="139"/>
              <w:numPr>
                <w:ilvl w:val="0"/>
                <w:numId w:val="3"/>
              </w:numPr>
              <w:ind w:firstLineChars="0"/>
              <w:rPr>
                <w:rFonts w:ascii="仿宋" w:hAnsi="仿宋" w:eastAsia="仿宋"/>
                <w:highlight w:val="none"/>
              </w:rPr>
            </w:pPr>
            <w:r>
              <w:rPr>
                <w:rFonts w:ascii="仿宋" w:hAnsi="仿宋" w:eastAsia="仿宋"/>
                <w:highlight w:val="none"/>
              </w:rPr>
              <w:t>主材及定制材料的打样报审及采购策划是否合理</w:t>
            </w:r>
          </w:p>
          <w:p>
            <w:pPr>
              <w:pStyle w:val="139"/>
              <w:numPr>
                <w:ilvl w:val="0"/>
                <w:numId w:val="3"/>
              </w:numPr>
              <w:ind w:firstLineChars="0"/>
              <w:rPr>
                <w:rFonts w:ascii="仿宋" w:hAnsi="仿宋" w:eastAsia="仿宋"/>
                <w:highlight w:val="none"/>
              </w:rPr>
            </w:pPr>
            <w:r>
              <w:rPr>
                <w:rFonts w:ascii="仿宋" w:hAnsi="仿宋" w:eastAsia="仿宋"/>
                <w:highlight w:val="none"/>
              </w:rPr>
              <w:t>产品加工全过程管控方案是否合理</w:t>
            </w:r>
          </w:p>
          <w:p>
            <w:pPr>
              <w:pStyle w:val="139"/>
              <w:numPr>
                <w:ilvl w:val="0"/>
                <w:numId w:val="3"/>
              </w:numPr>
              <w:ind w:firstLineChars="0"/>
              <w:rPr>
                <w:rFonts w:ascii="仿宋" w:hAnsi="仿宋" w:eastAsia="仿宋"/>
                <w:highlight w:val="none"/>
              </w:rPr>
            </w:pPr>
            <w:r>
              <w:rPr>
                <w:rFonts w:hint="eastAsia" w:ascii="仿宋" w:hAnsi="仿宋" w:eastAsia="仿宋"/>
                <w:highlight w:val="none"/>
              </w:rPr>
              <w:t>施工工程质量保证措施情况是否合理</w:t>
            </w:r>
          </w:p>
          <w:p>
            <w:pPr>
              <w:pStyle w:val="139"/>
              <w:numPr>
                <w:ilvl w:val="0"/>
                <w:numId w:val="3"/>
              </w:numPr>
              <w:ind w:firstLineChars="0"/>
              <w:rPr>
                <w:rFonts w:ascii="仿宋" w:hAnsi="仿宋" w:eastAsia="仿宋"/>
                <w:highlight w:val="none"/>
              </w:rPr>
            </w:pPr>
            <w:r>
              <w:rPr>
                <w:rFonts w:ascii="仿宋" w:hAnsi="仿宋" w:eastAsia="仿宋"/>
                <w:highlight w:val="none"/>
              </w:rPr>
              <w:t>抢工措施方案是否可行</w:t>
            </w:r>
          </w:p>
          <w:p>
            <w:pPr>
              <w:pStyle w:val="139"/>
              <w:numPr>
                <w:ilvl w:val="0"/>
                <w:numId w:val="3"/>
              </w:numPr>
              <w:ind w:firstLineChars="0"/>
              <w:rPr>
                <w:rFonts w:ascii="仿宋" w:hAnsi="仿宋" w:eastAsia="仿宋"/>
                <w:highlight w:val="none"/>
              </w:rPr>
            </w:pPr>
            <w:r>
              <w:rPr>
                <w:rFonts w:ascii="仿宋" w:hAnsi="仿宋" w:eastAsia="仿宋"/>
                <w:highlight w:val="none"/>
              </w:rPr>
              <w:t>质保期内的维保方案是否合理</w:t>
            </w:r>
          </w:p>
        </w:tc>
        <w:tc>
          <w:tcPr>
            <w:tcW w:w="161" w:type="pct"/>
            <w:vAlign w:val="center"/>
          </w:tcPr>
          <w:p>
            <w:pPr>
              <w:widowControl/>
              <w:jc w:val="center"/>
              <w:rPr>
                <w:rFonts w:ascii="仿宋" w:hAnsi="仿宋" w:eastAsia="仿宋"/>
                <w:szCs w:val="21"/>
                <w:highlight w:val="none"/>
              </w:rPr>
            </w:pPr>
          </w:p>
        </w:tc>
        <w:tc>
          <w:tcPr>
            <w:tcW w:w="160" w:type="pct"/>
          </w:tcPr>
          <w:p>
            <w:pPr>
              <w:widowControl/>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trPr>
        <w:tc>
          <w:tcPr>
            <w:tcW w:w="212" w:type="pct"/>
            <w:vAlign w:val="center"/>
          </w:tcPr>
          <w:p>
            <w:pPr>
              <w:jc w:val="center"/>
              <w:rPr>
                <w:rFonts w:ascii="仿宋" w:hAnsi="仿宋" w:eastAsia="仿宋"/>
                <w:szCs w:val="21"/>
                <w:highlight w:val="none"/>
              </w:rPr>
            </w:pPr>
            <w:r>
              <w:rPr>
                <w:rFonts w:ascii="仿宋" w:hAnsi="仿宋" w:eastAsia="仿宋"/>
                <w:szCs w:val="21"/>
                <w:highlight w:val="none"/>
              </w:rPr>
              <w:t>5</w:t>
            </w:r>
          </w:p>
        </w:tc>
        <w:tc>
          <w:tcPr>
            <w:tcW w:w="619" w:type="pct"/>
            <w:gridSpan w:val="2"/>
            <w:vAlign w:val="center"/>
          </w:tcPr>
          <w:p>
            <w:pPr>
              <w:spacing w:before="156" w:beforeLines="50" w:after="156" w:afterLines="50"/>
              <w:rPr>
                <w:rFonts w:ascii="仿宋" w:hAnsi="仿宋" w:eastAsia="仿宋"/>
                <w:szCs w:val="21"/>
                <w:highlight w:val="none"/>
              </w:rPr>
            </w:pPr>
            <w:r>
              <w:rPr>
                <w:rFonts w:hint="eastAsia" w:ascii="仿宋" w:hAnsi="仿宋" w:eastAsia="仿宋" w:cs="宋体"/>
                <w:highlight w:val="none"/>
              </w:rPr>
              <w:t>包装运输及成品保护方案</w:t>
            </w:r>
          </w:p>
        </w:tc>
        <w:tc>
          <w:tcPr>
            <w:tcW w:w="3845" w:type="pct"/>
            <w:vAlign w:val="center"/>
          </w:tcPr>
          <w:p>
            <w:pPr>
              <w:spacing w:before="156" w:beforeLines="50" w:after="156" w:afterLines="50"/>
              <w:rPr>
                <w:rFonts w:ascii="仿宋" w:hAnsi="仿宋" w:eastAsia="仿宋"/>
                <w:szCs w:val="21"/>
                <w:highlight w:val="none"/>
              </w:rPr>
            </w:pPr>
            <w:r>
              <w:rPr>
                <w:rFonts w:ascii="仿宋" w:hAnsi="仿宋" w:eastAsia="仿宋"/>
                <w:szCs w:val="21"/>
                <w:highlight w:val="none"/>
              </w:rPr>
              <w:t>针对本项目情况编制的运输及成品保护方案。</w:t>
            </w:r>
          </w:p>
          <w:p>
            <w:pPr>
              <w:spacing w:before="156" w:beforeLines="50" w:after="156" w:afterLines="50"/>
              <w:rPr>
                <w:rFonts w:ascii="仿宋" w:hAnsi="仿宋" w:eastAsia="仿宋"/>
                <w:szCs w:val="21"/>
                <w:highlight w:val="none"/>
              </w:rPr>
            </w:pPr>
            <w:r>
              <w:rPr>
                <w:rFonts w:hint="eastAsia" w:ascii="仿宋" w:hAnsi="仿宋" w:eastAsia="仿宋"/>
                <w:szCs w:val="21"/>
                <w:highlight w:val="none"/>
              </w:rPr>
              <w:t>根据编制内容的优劣。</w:t>
            </w:r>
          </w:p>
          <w:p>
            <w:pPr>
              <w:pStyle w:val="139"/>
              <w:numPr>
                <w:ilvl w:val="0"/>
                <w:numId w:val="4"/>
              </w:numPr>
              <w:ind w:firstLineChars="0"/>
              <w:rPr>
                <w:rFonts w:ascii="仿宋" w:hAnsi="仿宋" w:eastAsia="仿宋"/>
                <w:highlight w:val="none"/>
              </w:rPr>
            </w:pPr>
            <w:r>
              <w:rPr>
                <w:rFonts w:hint="eastAsia" w:ascii="仿宋" w:hAnsi="仿宋" w:eastAsia="仿宋"/>
                <w:highlight w:val="none"/>
              </w:rPr>
              <w:t>运输及到场验收的流程是否合理</w:t>
            </w:r>
          </w:p>
          <w:p>
            <w:pPr>
              <w:pStyle w:val="139"/>
              <w:numPr>
                <w:ilvl w:val="0"/>
                <w:numId w:val="4"/>
              </w:numPr>
              <w:ind w:firstLineChars="0"/>
              <w:rPr>
                <w:rFonts w:ascii="仿宋" w:hAnsi="仿宋" w:eastAsia="仿宋"/>
                <w:highlight w:val="none"/>
              </w:rPr>
            </w:pPr>
            <w:r>
              <w:rPr>
                <w:rFonts w:hint="eastAsia" w:ascii="仿宋" w:hAnsi="仿宋" w:eastAsia="仿宋"/>
                <w:highlight w:val="none"/>
              </w:rPr>
              <w:t>安装完成后对厨电的保护方案是否合理</w:t>
            </w:r>
          </w:p>
        </w:tc>
        <w:tc>
          <w:tcPr>
            <w:tcW w:w="161" w:type="pct"/>
            <w:vAlign w:val="center"/>
          </w:tcPr>
          <w:p>
            <w:pPr>
              <w:widowControl/>
              <w:jc w:val="center"/>
              <w:rPr>
                <w:rFonts w:ascii="仿宋" w:hAnsi="仿宋" w:eastAsia="仿宋"/>
                <w:szCs w:val="21"/>
                <w:highlight w:val="none"/>
              </w:rPr>
            </w:pPr>
          </w:p>
        </w:tc>
        <w:tc>
          <w:tcPr>
            <w:tcW w:w="160" w:type="pct"/>
          </w:tcPr>
          <w:p>
            <w:pPr>
              <w:widowControl/>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212" w:type="pct"/>
            <w:vAlign w:val="center"/>
          </w:tcPr>
          <w:p>
            <w:pPr>
              <w:jc w:val="center"/>
              <w:rPr>
                <w:rFonts w:ascii="仿宋" w:hAnsi="仿宋" w:eastAsia="仿宋"/>
                <w:szCs w:val="21"/>
                <w:highlight w:val="none"/>
              </w:rPr>
            </w:pPr>
            <w:r>
              <w:rPr>
                <w:rFonts w:ascii="仿宋" w:hAnsi="仿宋" w:eastAsia="仿宋"/>
                <w:szCs w:val="21"/>
                <w:highlight w:val="none"/>
              </w:rPr>
              <w:t>6</w:t>
            </w:r>
          </w:p>
        </w:tc>
        <w:tc>
          <w:tcPr>
            <w:tcW w:w="619" w:type="pct"/>
            <w:gridSpan w:val="2"/>
            <w:vAlign w:val="center"/>
          </w:tcPr>
          <w:p>
            <w:pPr>
              <w:spacing w:before="156" w:beforeLines="50" w:after="156" w:afterLines="50"/>
              <w:rPr>
                <w:rFonts w:ascii="仿宋" w:hAnsi="仿宋" w:eastAsia="仿宋"/>
                <w:szCs w:val="21"/>
                <w:highlight w:val="none"/>
              </w:rPr>
            </w:pPr>
            <w:r>
              <w:rPr>
                <w:rFonts w:ascii="仿宋" w:hAnsi="仿宋" w:eastAsia="仿宋" w:cs="宋体"/>
                <w:highlight w:val="none"/>
              </w:rPr>
              <w:t>移交验收及入伙方案</w:t>
            </w:r>
          </w:p>
        </w:tc>
        <w:tc>
          <w:tcPr>
            <w:tcW w:w="3845" w:type="pct"/>
            <w:vAlign w:val="center"/>
          </w:tcPr>
          <w:p>
            <w:pPr>
              <w:spacing w:before="156" w:beforeLines="50" w:after="156" w:afterLines="50"/>
              <w:rPr>
                <w:rFonts w:ascii="仿宋" w:hAnsi="仿宋" w:eastAsia="仿宋"/>
                <w:szCs w:val="21"/>
                <w:highlight w:val="none"/>
              </w:rPr>
            </w:pPr>
            <w:r>
              <w:rPr>
                <w:rFonts w:ascii="仿宋" w:hAnsi="仿宋" w:eastAsia="仿宋"/>
                <w:szCs w:val="21"/>
                <w:highlight w:val="none"/>
              </w:rPr>
              <w:t>针对本项目提供移交及入伙方案。</w:t>
            </w:r>
          </w:p>
          <w:p>
            <w:pPr>
              <w:keepNext/>
              <w:tabs>
                <w:tab w:val="left" w:pos="141"/>
                <w:tab w:val="left" w:pos="3741"/>
              </w:tabs>
              <w:spacing w:before="156" w:beforeLines="50" w:after="156" w:afterLines="50"/>
              <w:contextualSpacing/>
              <w:outlineLvl w:val="5"/>
              <w:rPr>
                <w:rFonts w:ascii="仿宋" w:hAnsi="仿宋" w:eastAsia="仿宋"/>
                <w:highlight w:val="none"/>
              </w:rPr>
            </w:pPr>
            <w:r>
              <w:rPr>
                <w:rFonts w:hint="eastAsia" w:ascii="仿宋" w:hAnsi="仿宋" w:eastAsia="仿宋"/>
                <w:szCs w:val="21"/>
                <w:highlight w:val="none"/>
              </w:rPr>
              <w:t>根据</w:t>
            </w:r>
            <w:r>
              <w:rPr>
                <w:rFonts w:hint="eastAsia" w:ascii="仿宋" w:hAnsi="仿宋" w:eastAsia="仿宋"/>
                <w:highlight w:val="none"/>
              </w:rPr>
              <w:t>编制内容的优劣。</w:t>
            </w:r>
          </w:p>
          <w:p>
            <w:pPr>
              <w:pStyle w:val="139"/>
              <w:numPr>
                <w:ilvl w:val="0"/>
                <w:numId w:val="5"/>
              </w:numPr>
              <w:spacing w:before="156" w:beforeLines="50" w:after="156" w:afterLines="50"/>
              <w:ind w:firstLineChars="0"/>
              <w:rPr>
                <w:rFonts w:ascii="仿宋" w:hAnsi="仿宋" w:eastAsia="仿宋"/>
                <w:highlight w:val="none"/>
              </w:rPr>
            </w:pPr>
            <w:r>
              <w:rPr>
                <w:rFonts w:hint="eastAsia" w:ascii="仿宋" w:hAnsi="仿宋" w:eastAsia="仿宋"/>
                <w:highlight w:val="none"/>
              </w:rPr>
              <w:t>验收的清单内容是否详细</w:t>
            </w:r>
          </w:p>
          <w:p>
            <w:pPr>
              <w:pStyle w:val="139"/>
              <w:numPr>
                <w:ilvl w:val="0"/>
                <w:numId w:val="5"/>
              </w:numPr>
              <w:spacing w:before="156" w:beforeLines="50" w:after="156" w:afterLines="50"/>
              <w:ind w:firstLineChars="0"/>
              <w:rPr>
                <w:rFonts w:ascii="仿宋" w:hAnsi="仿宋" w:eastAsia="仿宋"/>
                <w:highlight w:val="none"/>
              </w:rPr>
            </w:pPr>
            <w:r>
              <w:rPr>
                <w:rFonts w:hint="eastAsia" w:ascii="仿宋" w:hAnsi="仿宋" w:eastAsia="仿宋"/>
                <w:highlight w:val="none"/>
              </w:rPr>
              <w:t>入伙时各户业主对产品提出的和</w:t>
            </w:r>
            <w:r>
              <w:rPr>
                <w:rFonts w:hint="eastAsia" w:ascii="仿宋" w:hAnsi="仿宋" w:eastAsia="仿宋" w:cs="宋体"/>
                <w:highlight w:val="none"/>
              </w:rPr>
              <w:t>后期使用过程中的常见问题，以</w:t>
            </w:r>
            <w:r>
              <w:rPr>
                <w:rFonts w:hint="eastAsia" w:ascii="仿宋" w:hAnsi="仿宋" w:eastAsia="仿宋"/>
                <w:highlight w:val="none"/>
              </w:rPr>
              <w:t>及预防和解决这些问题的方案</w:t>
            </w:r>
          </w:p>
        </w:tc>
        <w:tc>
          <w:tcPr>
            <w:tcW w:w="161" w:type="pct"/>
            <w:vAlign w:val="center"/>
          </w:tcPr>
          <w:p>
            <w:pPr>
              <w:widowControl/>
              <w:jc w:val="center"/>
              <w:rPr>
                <w:rFonts w:ascii="仿宋" w:hAnsi="仿宋" w:eastAsia="仿宋"/>
                <w:szCs w:val="21"/>
                <w:highlight w:val="none"/>
              </w:rPr>
            </w:pPr>
          </w:p>
        </w:tc>
        <w:tc>
          <w:tcPr>
            <w:tcW w:w="160" w:type="pct"/>
          </w:tcPr>
          <w:p>
            <w:pPr>
              <w:widowControl/>
              <w:jc w:val="center"/>
              <w:rPr>
                <w:rFonts w:ascii="仿宋" w:hAnsi="仿宋" w:eastAsia="仿宋"/>
                <w:szCs w:val="21"/>
                <w:highlight w:val="none"/>
              </w:rPr>
            </w:pPr>
          </w:p>
        </w:tc>
      </w:tr>
    </w:tbl>
    <w:p>
      <w:pPr>
        <w:pStyle w:val="138"/>
        <w:ind w:firstLine="0" w:firstLineChars="0"/>
        <w:rPr>
          <w:rFonts w:ascii="仿宋" w:hAnsi="仿宋" w:eastAsia="仿宋"/>
          <w:sz w:val="28"/>
          <w:szCs w:val="28"/>
          <w:highlight w:val="none"/>
          <w:lang w:val="en-US"/>
        </w:rPr>
      </w:pPr>
      <w:r>
        <w:rPr>
          <w:rFonts w:hint="eastAsia" w:ascii="仿宋" w:hAnsi="仿宋" w:eastAsia="仿宋"/>
          <w:szCs w:val="21"/>
          <w:highlight w:val="none"/>
        </w:rPr>
        <w:t xml:space="preserve">定标专家：                      定标日期：     年     月    日    </w:t>
      </w:r>
    </w:p>
    <w:p>
      <w:pPr>
        <w:rPr>
          <w:rFonts w:ascii="仿宋" w:hAnsi="仿宋" w:eastAsia="仿宋"/>
          <w:b/>
          <w:bCs/>
          <w:szCs w:val="21"/>
          <w:highlight w:val="none"/>
        </w:rPr>
      </w:pPr>
      <w:r>
        <w:rPr>
          <w:rFonts w:ascii="仿宋" w:hAnsi="仿宋" w:eastAsia="仿宋"/>
          <w:b/>
          <w:bCs/>
          <w:szCs w:val="21"/>
          <w:highlight w:val="none"/>
        </w:rPr>
        <w:br w:type="page"/>
      </w:r>
    </w:p>
    <w:p>
      <w:pPr>
        <w:widowControl/>
        <w:jc w:val="left"/>
        <w:outlineLvl w:val="2"/>
        <w:rPr>
          <w:rFonts w:ascii="仿宋" w:hAnsi="仿宋" w:eastAsia="仿宋"/>
          <w:b/>
          <w:bCs/>
          <w:szCs w:val="21"/>
          <w:highlight w:val="none"/>
        </w:rPr>
      </w:pPr>
      <w:r>
        <w:rPr>
          <w:rFonts w:hint="eastAsia" w:ascii="仿宋" w:hAnsi="仿宋" w:eastAsia="仿宋"/>
          <w:b/>
          <w:bCs/>
          <w:szCs w:val="21"/>
          <w:highlight w:val="none"/>
        </w:rPr>
        <w:t>附表六：</w:t>
      </w:r>
    </w:p>
    <w:p>
      <w:pPr>
        <w:jc w:val="center"/>
        <w:rPr>
          <w:rFonts w:ascii="宋体" w:hAnsi="宋体"/>
          <w:b/>
          <w:sz w:val="28"/>
          <w:szCs w:val="28"/>
          <w:highlight w:val="none"/>
        </w:rPr>
      </w:pPr>
      <w:r>
        <w:rPr>
          <w:rFonts w:hint="eastAsia" w:ascii="宋体" w:hAnsi="宋体"/>
          <w:b/>
          <w:bCs/>
          <w:kern w:val="0"/>
          <w:sz w:val="28"/>
          <w:szCs w:val="28"/>
          <w:highlight w:val="none"/>
        </w:rPr>
        <w:t>评语汇总表</w:t>
      </w:r>
    </w:p>
    <w:p>
      <w:pPr>
        <w:adjustRightInd w:val="0"/>
        <w:snapToGrid w:val="0"/>
        <w:spacing w:line="360" w:lineRule="auto"/>
        <w:rPr>
          <w:rFonts w:ascii="宋体" w:hAnsi="宋体"/>
          <w:kern w:val="0"/>
          <w:sz w:val="28"/>
          <w:szCs w:val="28"/>
          <w:highlight w:val="none"/>
        </w:rPr>
      </w:pPr>
      <w:r>
        <w:rPr>
          <w:rFonts w:hint="eastAsia" w:ascii="宋体" w:hAnsi="宋体"/>
          <w:kern w:val="0"/>
          <w:sz w:val="28"/>
          <w:szCs w:val="28"/>
          <w:highlight w:val="none"/>
        </w:rPr>
        <w:t>工程名称：</w:t>
      </w:r>
    </w:p>
    <w:tbl>
      <w:tblPr>
        <w:tblStyle w:val="40"/>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1"/>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4"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b/>
                <w:kern w:val="0"/>
                <w:sz w:val="28"/>
                <w:szCs w:val="28"/>
                <w:highlight w:val="none"/>
              </w:rPr>
            </w:pPr>
            <w:r>
              <w:rPr>
                <w:rFonts w:hint="eastAsia" w:ascii="宋体" w:hAnsi="宋体"/>
                <w:b/>
                <w:kern w:val="0"/>
                <w:sz w:val="28"/>
                <w:szCs w:val="28"/>
                <w:highlight w:val="none"/>
              </w:rPr>
              <w:t>合格的中标候选人单位</w:t>
            </w:r>
          </w:p>
          <w:p>
            <w:pPr>
              <w:adjustRightInd w:val="0"/>
              <w:snapToGrid w:val="0"/>
              <w:spacing w:line="360" w:lineRule="auto"/>
              <w:jc w:val="center"/>
              <w:rPr>
                <w:rFonts w:ascii="宋体" w:hAnsi="宋体"/>
                <w:b/>
                <w:kern w:val="0"/>
                <w:sz w:val="28"/>
                <w:szCs w:val="28"/>
                <w:highlight w:val="none"/>
              </w:rPr>
            </w:pPr>
            <w:r>
              <w:rPr>
                <w:rFonts w:hint="eastAsia" w:ascii="宋体" w:hAnsi="宋体"/>
                <w:b/>
                <w:kern w:val="0"/>
                <w:sz w:val="28"/>
                <w:szCs w:val="28"/>
                <w:highlight w:val="none"/>
              </w:rPr>
              <w:t>名称（不排序）</w:t>
            </w:r>
          </w:p>
        </w:tc>
        <w:tc>
          <w:tcPr>
            <w:tcW w:w="3012" w:type="pct"/>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b/>
                <w:kern w:val="0"/>
                <w:sz w:val="28"/>
                <w:szCs w:val="28"/>
                <w:highlight w:val="none"/>
              </w:rPr>
            </w:pPr>
            <w:r>
              <w:rPr>
                <w:rFonts w:hint="eastAsia" w:ascii="宋体" w:hAnsi="宋体"/>
                <w:b/>
                <w:kern w:val="0"/>
                <w:sz w:val="28"/>
                <w:szCs w:val="28"/>
                <w:highlight w:val="none"/>
              </w:rPr>
              <w:t>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4" w:space="0"/>
              <w:right w:val="single" w:color="auto" w:sz="6" w:space="0"/>
            </w:tcBorders>
            <w:vAlign w:val="center"/>
          </w:tcPr>
          <w:p>
            <w:pPr>
              <w:jc w:val="center"/>
              <w:rPr>
                <w:rFonts w:ascii="宋体" w:hAnsi="宋体"/>
                <w:kern w:val="0"/>
                <w:sz w:val="28"/>
                <w:szCs w:val="28"/>
                <w:highlight w:val="none"/>
              </w:rPr>
            </w:pPr>
          </w:p>
        </w:tc>
        <w:tc>
          <w:tcPr>
            <w:tcW w:w="3012" w:type="pct"/>
            <w:tcBorders>
              <w:top w:val="single" w:color="auto" w:sz="6"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宋体" w:hAnsi="宋体"/>
                <w:kern w:val="0"/>
                <w:sz w:val="28"/>
                <w:szCs w:val="28"/>
                <w:highlight w:val="none"/>
              </w:rPr>
            </w:pPr>
          </w:p>
        </w:tc>
      </w:tr>
    </w:tbl>
    <w:p>
      <w:pPr>
        <w:rPr>
          <w:kern w:val="0"/>
          <w:sz w:val="28"/>
          <w:szCs w:val="28"/>
          <w:highlight w:val="none"/>
        </w:rPr>
      </w:pPr>
    </w:p>
    <w:p>
      <w:pPr>
        <w:adjustRightInd w:val="0"/>
        <w:snapToGrid w:val="0"/>
        <w:spacing w:line="360" w:lineRule="auto"/>
        <w:rPr>
          <w:sz w:val="28"/>
          <w:szCs w:val="28"/>
          <w:highlight w:val="none"/>
        </w:rPr>
      </w:pPr>
      <w:r>
        <w:rPr>
          <w:rFonts w:hint="eastAsia" w:ascii="宋体" w:hAnsi="宋体"/>
          <w:kern w:val="0"/>
          <w:sz w:val="28"/>
          <w:szCs w:val="28"/>
          <w:highlight w:val="none"/>
        </w:rPr>
        <w:t>定标委员签名：                         日期：   年  月  日</w:t>
      </w:r>
    </w:p>
    <w:p>
      <w:pPr>
        <w:widowControl/>
        <w:jc w:val="left"/>
        <w:rPr>
          <w:rFonts w:ascii="仿宋" w:hAnsi="仿宋" w:eastAsia="仿宋"/>
          <w:b/>
          <w:szCs w:val="21"/>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b/>
          <w:bCs/>
          <w:highlight w:val="none"/>
        </w:rPr>
      </w:pPr>
      <w:r>
        <w:rPr>
          <w:rFonts w:ascii="宋体" w:hAnsi="宋体"/>
          <w:highlight w:val="none"/>
        </w:rPr>
        <w:br w:type="page"/>
      </w:r>
      <w:r>
        <w:rPr>
          <w:rFonts w:hint="eastAsia" w:ascii="宋体" w:hAnsi="宋体"/>
          <w:highlight w:val="none"/>
        </w:rPr>
        <w:t>附表七</w:t>
      </w:r>
    </w:p>
    <w:p>
      <w:pPr>
        <w:adjustRightInd w:val="0"/>
        <w:snapToGrid w:val="0"/>
        <w:spacing w:line="360" w:lineRule="auto"/>
        <w:ind w:firstLine="562" w:firstLineChars="200"/>
        <w:jc w:val="center"/>
        <w:rPr>
          <w:rFonts w:ascii="宋体" w:hAnsi="宋体"/>
          <w:b/>
          <w:bCs/>
          <w:kern w:val="0"/>
          <w:sz w:val="28"/>
          <w:szCs w:val="28"/>
          <w:highlight w:val="none"/>
        </w:rPr>
      </w:pPr>
      <w:r>
        <w:rPr>
          <w:rFonts w:hint="eastAsia" w:ascii="宋体" w:hAnsi="宋体"/>
          <w:b/>
          <w:bCs/>
          <w:kern w:val="0"/>
          <w:sz w:val="28"/>
          <w:szCs w:val="28"/>
          <w:highlight w:val="none"/>
        </w:rPr>
        <w:t>定标选票表</w:t>
      </w:r>
      <w:r>
        <w:rPr>
          <w:rFonts w:hint="eastAsia" w:ascii="宋体" w:hAnsi="宋体"/>
          <w:b/>
          <w:sz w:val="28"/>
          <w:szCs w:val="28"/>
          <w:highlight w:val="none"/>
        </w:rPr>
        <w:t>（定标阶段）</w:t>
      </w:r>
    </w:p>
    <w:p>
      <w:pPr>
        <w:adjustRightInd w:val="0"/>
        <w:snapToGrid w:val="0"/>
        <w:spacing w:line="360" w:lineRule="auto"/>
        <w:rPr>
          <w:rFonts w:ascii="宋体" w:hAnsi="宋体"/>
          <w:kern w:val="0"/>
          <w:highlight w:val="none"/>
        </w:rPr>
      </w:pPr>
      <w:r>
        <w:rPr>
          <w:rFonts w:hint="eastAsia" w:ascii="宋体" w:hAnsi="宋体"/>
          <w:kern w:val="0"/>
          <w:highlight w:val="none"/>
        </w:rPr>
        <w:t>工程名称：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highlight w:val="none"/>
              </w:rPr>
            </w:pPr>
            <w:r>
              <w:rPr>
                <w:rFonts w:hint="eastAsia" w:ascii="宋体" w:hAnsi="宋体"/>
                <w:b/>
                <w:kern w:val="0"/>
                <w:szCs w:val="21"/>
                <w:highlight w:val="none"/>
              </w:rPr>
              <w:t>支持的投标人名称</w:t>
            </w:r>
          </w:p>
        </w:tc>
        <w:tc>
          <w:tcPr>
            <w:tcW w:w="299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highlight w:val="none"/>
              </w:rPr>
            </w:pPr>
            <w:r>
              <w:rPr>
                <w:rFonts w:hint="eastAsia" w:ascii="宋体" w:hAnsi="宋体"/>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highlight w:val="none"/>
              </w:rPr>
            </w:pPr>
          </w:p>
        </w:tc>
        <w:tc>
          <w:tcPr>
            <w:tcW w:w="299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highlight w:val="none"/>
              </w:rPr>
            </w:pPr>
          </w:p>
        </w:tc>
      </w:tr>
    </w:tbl>
    <w:p>
      <w:pPr>
        <w:pStyle w:val="111"/>
        <w:rPr>
          <w:kern w:val="0"/>
          <w:szCs w:val="21"/>
          <w:highlight w:val="none"/>
        </w:rPr>
      </w:pPr>
    </w:p>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定标委员签名：                                            日期：</w:t>
      </w:r>
    </w:p>
    <w:p>
      <w:pPr>
        <w:adjustRightInd w:val="0"/>
        <w:snapToGrid w:val="0"/>
        <w:spacing w:line="360" w:lineRule="auto"/>
        <w:rPr>
          <w:rFonts w:ascii="宋体" w:hAnsi="宋体"/>
          <w:kern w:val="0"/>
          <w:highlight w:val="none"/>
        </w:rPr>
      </w:pPr>
    </w:p>
    <w:p>
      <w:pPr>
        <w:adjustRightInd w:val="0"/>
        <w:snapToGrid w:val="0"/>
        <w:spacing w:line="360" w:lineRule="auto"/>
        <w:rPr>
          <w:rFonts w:ascii="宋体" w:hAnsi="宋体"/>
          <w:b/>
          <w:kern w:val="0"/>
          <w:highlight w:val="none"/>
        </w:rPr>
      </w:pPr>
      <w:r>
        <w:rPr>
          <w:rFonts w:hint="eastAsia" w:ascii="宋体" w:hAnsi="宋体"/>
          <w:b/>
          <w:kern w:val="0"/>
          <w:highlight w:val="none"/>
        </w:rPr>
        <w:t>注：由定标委员会成员进行投票，各定标委员会成员只能支持一家投标人。</w:t>
      </w:r>
    </w:p>
    <w:p>
      <w:pPr>
        <w:adjustRightInd w:val="0"/>
        <w:snapToGrid w:val="0"/>
        <w:spacing w:line="360" w:lineRule="auto"/>
        <w:rPr>
          <w:rFonts w:ascii="宋体" w:hAnsi="宋体"/>
          <w:kern w:val="0"/>
          <w:highlight w:val="none"/>
        </w:rPr>
      </w:pPr>
    </w:p>
    <w:p>
      <w:pPr>
        <w:pStyle w:val="111"/>
        <w:rPr>
          <w:highlight w:val="none"/>
        </w:rPr>
      </w:pPr>
      <w:r>
        <w:rPr>
          <w:highlight w:val="none"/>
        </w:rPr>
        <w:br w:type="page"/>
      </w:r>
    </w:p>
    <w:p>
      <w:pPr>
        <w:pStyle w:val="111"/>
        <w:rPr>
          <w:highlight w:val="none"/>
        </w:rPr>
      </w:pPr>
      <w:r>
        <w:rPr>
          <w:rFonts w:hint="eastAsia"/>
          <w:highlight w:val="none"/>
        </w:rPr>
        <w:t>附表八</w:t>
      </w:r>
    </w:p>
    <w:p>
      <w:pPr>
        <w:jc w:val="center"/>
        <w:rPr>
          <w:rFonts w:ascii="宋体" w:hAnsi="宋体"/>
          <w:b/>
          <w:sz w:val="28"/>
          <w:szCs w:val="28"/>
          <w:highlight w:val="none"/>
        </w:rPr>
      </w:pPr>
      <w:r>
        <w:rPr>
          <w:rFonts w:hint="eastAsia" w:ascii="宋体" w:hAnsi="宋体"/>
          <w:b/>
          <w:bCs/>
          <w:kern w:val="0"/>
          <w:sz w:val="28"/>
          <w:szCs w:val="28"/>
          <w:highlight w:val="none"/>
        </w:rPr>
        <w:t>定标选票汇总表</w:t>
      </w:r>
      <w:r>
        <w:rPr>
          <w:rFonts w:hint="eastAsia" w:ascii="宋体" w:hAnsi="宋体"/>
          <w:b/>
          <w:sz w:val="28"/>
          <w:szCs w:val="28"/>
          <w:highlight w:val="none"/>
        </w:rPr>
        <w:t>（定标阶段）</w:t>
      </w:r>
    </w:p>
    <w:p>
      <w:pPr>
        <w:pStyle w:val="111"/>
        <w:rPr>
          <w:highlight w:val="none"/>
        </w:rPr>
      </w:pPr>
    </w:p>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工程名称：</w:t>
      </w:r>
    </w:p>
    <w:tbl>
      <w:tblPr>
        <w:tblStyle w:val="40"/>
        <w:tblW w:w="47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537"/>
        <w:gridCol w:w="240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highlight w:val="none"/>
              </w:rPr>
            </w:pPr>
            <w:r>
              <w:rPr>
                <w:rFonts w:hint="eastAsia" w:ascii="宋体" w:hAnsi="宋体"/>
                <w:b/>
                <w:kern w:val="0"/>
                <w:szCs w:val="21"/>
                <w:highlight w:val="none"/>
              </w:rPr>
              <w:t>序号</w:t>
            </w:r>
          </w:p>
        </w:tc>
        <w:tc>
          <w:tcPr>
            <w:tcW w:w="2020" w:type="pct"/>
            <w:tcBorders>
              <w:top w:val="single" w:color="auto" w:sz="4"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b/>
                <w:kern w:val="0"/>
                <w:szCs w:val="21"/>
                <w:highlight w:val="none"/>
              </w:rPr>
            </w:pPr>
            <w:r>
              <w:rPr>
                <w:rFonts w:hint="eastAsia" w:ascii="宋体" w:hAnsi="宋体"/>
                <w:b/>
                <w:kern w:val="0"/>
                <w:szCs w:val="21"/>
                <w:highlight w:val="none"/>
              </w:rPr>
              <w:t>投标人名称</w:t>
            </w:r>
          </w:p>
        </w:tc>
        <w:tc>
          <w:tcPr>
            <w:tcW w:w="1375" w:type="pct"/>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b/>
                <w:kern w:val="0"/>
                <w:szCs w:val="21"/>
                <w:highlight w:val="none"/>
              </w:rPr>
            </w:pPr>
            <w:r>
              <w:rPr>
                <w:rFonts w:hint="eastAsia" w:ascii="宋体" w:hAnsi="宋体"/>
                <w:b/>
                <w:kern w:val="0"/>
                <w:szCs w:val="21"/>
                <w:highlight w:val="none"/>
              </w:rPr>
              <w:t>得票数</w:t>
            </w:r>
          </w:p>
        </w:tc>
        <w:tc>
          <w:tcPr>
            <w:tcW w:w="1053" w:type="pct"/>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b/>
                <w:kern w:val="0"/>
                <w:szCs w:val="21"/>
                <w:highlight w:val="none"/>
              </w:rPr>
            </w:pPr>
            <w:r>
              <w:rPr>
                <w:rFonts w:hint="eastAsia" w:ascii="宋体" w:hAnsi="宋体"/>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1</w:t>
            </w:r>
          </w:p>
        </w:tc>
        <w:tc>
          <w:tcPr>
            <w:tcW w:w="2020" w:type="pct"/>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c>
          <w:tcPr>
            <w:tcW w:w="137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c>
          <w:tcPr>
            <w:tcW w:w="105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2</w:t>
            </w:r>
          </w:p>
        </w:tc>
        <w:tc>
          <w:tcPr>
            <w:tcW w:w="2020" w:type="pct"/>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c>
          <w:tcPr>
            <w:tcW w:w="137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c>
          <w:tcPr>
            <w:tcW w:w="105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3</w:t>
            </w:r>
          </w:p>
        </w:tc>
        <w:tc>
          <w:tcPr>
            <w:tcW w:w="2020" w:type="pct"/>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c>
          <w:tcPr>
            <w:tcW w:w="137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c>
          <w:tcPr>
            <w:tcW w:w="105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4</w:t>
            </w:r>
          </w:p>
        </w:tc>
        <w:tc>
          <w:tcPr>
            <w:tcW w:w="2020" w:type="pct"/>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c>
          <w:tcPr>
            <w:tcW w:w="137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c>
          <w:tcPr>
            <w:tcW w:w="105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highlight w:val="none"/>
              </w:rPr>
            </w:pPr>
            <w:r>
              <w:rPr>
                <w:rFonts w:ascii="宋体" w:hAnsi="宋体"/>
                <w:kern w:val="0"/>
                <w:szCs w:val="21"/>
                <w:highlight w:val="none"/>
              </w:rPr>
              <w:t>……</w:t>
            </w:r>
          </w:p>
        </w:tc>
        <w:tc>
          <w:tcPr>
            <w:tcW w:w="2020" w:type="pct"/>
            <w:tcBorders>
              <w:top w:val="single" w:color="auto" w:sz="6"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c>
          <w:tcPr>
            <w:tcW w:w="1375" w:type="pct"/>
            <w:tcBorders>
              <w:top w:val="single" w:color="auto" w:sz="6"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c>
          <w:tcPr>
            <w:tcW w:w="1053" w:type="pct"/>
            <w:tcBorders>
              <w:top w:val="single" w:color="auto" w:sz="6"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宋体" w:hAnsi="宋体"/>
                <w:kern w:val="0"/>
                <w:szCs w:val="21"/>
                <w:highlight w:val="none"/>
              </w:rPr>
            </w:pPr>
          </w:p>
        </w:tc>
      </w:tr>
    </w:tbl>
    <w:p>
      <w:pPr>
        <w:rPr>
          <w:kern w:val="0"/>
          <w:szCs w:val="21"/>
          <w:highlight w:val="none"/>
        </w:rPr>
      </w:pPr>
    </w:p>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定标委员签名：                                         日期：</w:t>
      </w:r>
    </w:p>
    <w:p>
      <w:pPr>
        <w:pStyle w:val="111"/>
        <w:rPr>
          <w:highlight w:val="none"/>
        </w:rPr>
      </w:pPr>
    </w:p>
    <w:p>
      <w:pPr>
        <w:pStyle w:val="111"/>
        <w:rPr>
          <w:highlight w:val="none"/>
        </w:rPr>
      </w:pPr>
      <w:r>
        <w:rPr>
          <w:highlight w:val="none"/>
        </w:rPr>
        <w:br w:type="page"/>
      </w:r>
      <w:r>
        <w:rPr>
          <w:rFonts w:hint="eastAsia"/>
          <w:highlight w:val="none"/>
        </w:rPr>
        <w:t>附表九</w:t>
      </w:r>
    </w:p>
    <w:p>
      <w:pPr>
        <w:pStyle w:val="111"/>
        <w:jc w:val="center"/>
        <w:rPr>
          <w:rFonts w:ascii="宋体" w:hAnsi="宋体"/>
          <w:b/>
          <w:sz w:val="28"/>
          <w:szCs w:val="28"/>
          <w:highlight w:val="none"/>
        </w:rPr>
      </w:pPr>
      <w:r>
        <w:rPr>
          <w:rFonts w:hint="eastAsia" w:ascii="宋体" w:hAnsi="宋体"/>
          <w:b/>
          <w:sz w:val="28"/>
          <w:szCs w:val="28"/>
          <w:highlight w:val="none"/>
        </w:rPr>
        <w:t>附加</w:t>
      </w:r>
      <w:r>
        <w:rPr>
          <w:rFonts w:hint="eastAsia" w:ascii="宋体" w:hAnsi="宋体"/>
          <w:b/>
          <w:bCs/>
          <w:kern w:val="0"/>
          <w:sz w:val="28"/>
          <w:szCs w:val="28"/>
          <w:highlight w:val="none"/>
        </w:rPr>
        <w:t>定标选票</w:t>
      </w:r>
      <w:r>
        <w:rPr>
          <w:rFonts w:hint="eastAsia" w:ascii="宋体" w:hAnsi="宋体"/>
          <w:b/>
          <w:sz w:val="28"/>
          <w:szCs w:val="28"/>
          <w:highlight w:val="none"/>
        </w:rPr>
        <w:t>表</w:t>
      </w:r>
    </w:p>
    <w:p>
      <w:pPr>
        <w:pStyle w:val="111"/>
        <w:jc w:val="center"/>
        <w:rPr>
          <w:rFonts w:ascii="宋体" w:hAnsi="宋体"/>
          <w:b/>
          <w:sz w:val="28"/>
          <w:szCs w:val="28"/>
          <w:highlight w:val="none"/>
        </w:rPr>
      </w:pPr>
      <w:r>
        <w:rPr>
          <w:rFonts w:hint="eastAsia" w:ascii="宋体" w:hAnsi="宋体"/>
          <w:b/>
          <w:sz w:val="28"/>
          <w:szCs w:val="28"/>
          <w:highlight w:val="none"/>
        </w:rPr>
        <w:t>（定标阶段-票数相同时定标委员会个人用表）</w:t>
      </w:r>
    </w:p>
    <w:p>
      <w:pPr>
        <w:pStyle w:val="111"/>
        <w:jc w:val="center"/>
        <w:rPr>
          <w:rFonts w:ascii="宋体" w:hAnsi="宋体"/>
          <w:b/>
          <w:sz w:val="28"/>
          <w:szCs w:val="28"/>
          <w:highlight w:val="none"/>
        </w:rPr>
      </w:pPr>
    </w:p>
    <w:p>
      <w:pPr>
        <w:adjustRightInd w:val="0"/>
        <w:snapToGrid w:val="0"/>
        <w:spacing w:line="360" w:lineRule="auto"/>
        <w:rPr>
          <w:rFonts w:ascii="宋体" w:hAnsi="宋体"/>
          <w:kern w:val="0"/>
          <w:highlight w:val="none"/>
        </w:rPr>
      </w:pPr>
      <w:r>
        <w:rPr>
          <w:rFonts w:hint="eastAsia" w:ascii="宋体" w:hAnsi="宋体"/>
          <w:kern w:val="0"/>
          <w:highlight w:val="none"/>
        </w:rPr>
        <w:t>工程名称：</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kern w:val="0"/>
                <w:highlight w:val="none"/>
              </w:rPr>
            </w:pPr>
            <w:r>
              <w:rPr>
                <w:rFonts w:hint="eastAsia" w:ascii="宋体" w:hAnsi="宋体"/>
                <w:kern w:val="0"/>
                <w:highlight w:val="none"/>
              </w:rPr>
              <w:t>投标人</w:t>
            </w:r>
          </w:p>
        </w:tc>
        <w:tc>
          <w:tcPr>
            <w:tcW w:w="19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kern w:val="0"/>
                <w:szCs w:val="21"/>
                <w:highlight w:val="none"/>
              </w:rPr>
            </w:pPr>
            <w:r>
              <w:rPr>
                <w:rFonts w:hint="eastAsia" w:ascii="宋体" w:hAnsi="宋体"/>
                <w:kern w:val="0"/>
                <w:highlight w:val="none"/>
              </w:rPr>
              <w:t>票决意见</w:t>
            </w:r>
          </w:p>
        </w:tc>
        <w:tc>
          <w:tcPr>
            <w:tcW w:w="19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kern w:val="0"/>
                <w:szCs w:val="21"/>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kern w:val="0"/>
                <w:highlight w:val="none"/>
              </w:rPr>
            </w:pPr>
          </w:p>
        </w:tc>
      </w:tr>
    </w:tbl>
    <w:p>
      <w:pPr>
        <w:pStyle w:val="111"/>
        <w:rPr>
          <w:kern w:val="0"/>
          <w:szCs w:val="21"/>
          <w:highlight w:val="none"/>
        </w:rPr>
      </w:pPr>
    </w:p>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定标委员签名：                                            日期：</w:t>
      </w:r>
    </w:p>
    <w:p>
      <w:pPr>
        <w:pStyle w:val="111"/>
        <w:rPr>
          <w:highlight w:val="none"/>
        </w:rPr>
      </w:pPr>
    </w:p>
    <w:p>
      <w:pPr>
        <w:pStyle w:val="111"/>
        <w:rPr>
          <w:b/>
          <w:highlight w:val="none"/>
        </w:rPr>
      </w:pPr>
      <w:r>
        <w:rPr>
          <w:rFonts w:hint="eastAsia"/>
          <w:b/>
          <w:highlight w:val="none"/>
        </w:rPr>
        <w:t>备注：</w:t>
      </w:r>
    </w:p>
    <w:p>
      <w:pPr>
        <w:pStyle w:val="111"/>
        <w:ind w:firstLine="422" w:firstLineChars="200"/>
        <w:rPr>
          <w:b/>
          <w:highlight w:val="none"/>
        </w:rPr>
      </w:pPr>
      <w:r>
        <w:rPr>
          <w:rFonts w:hint="eastAsia"/>
          <w:b/>
          <w:highlight w:val="none"/>
        </w:rPr>
        <w:t>1、本表用于投票出现票数相同的情况。</w:t>
      </w:r>
    </w:p>
    <w:p>
      <w:pPr>
        <w:pStyle w:val="111"/>
        <w:ind w:firstLine="422" w:firstLineChars="200"/>
        <w:rPr>
          <w:b/>
          <w:highlight w:val="none"/>
        </w:rPr>
      </w:pPr>
      <w:r>
        <w:rPr>
          <w:rFonts w:hint="eastAsia"/>
          <w:b/>
          <w:highlight w:val="none"/>
        </w:rPr>
        <w:t>2、由定标委员会成员进行附加投票，票决意见分别为“投票”或“不投票”，各定标委员会成员只有1票表决权（即只能对其中一名投标人“投票”），票决意见为“投票”的，用“○”表示；票决意见为“不投票”，用“×”表示。</w:t>
      </w:r>
    </w:p>
    <w:p>
      <w:pPr>
        <w:pStyle w:val="111"/>
        <w:rPr>
          <w:highlight w:val="none"/>
        </w:rPr>
      </w:pPr>
      <w:r>
        <w:rPr>
          <w:highlight w:val="none"/>
        </w:rPr>
        <w:br w:type="page"/>
      </w:r>
      <w:r>
        <w:rPr>
          <w:rFonts w:hint="eastAsia"/>
          <w:highlight w:val="none"/>
        </w:rPr>
        <w:t>附表十</w:t>
      </w:r>
    </w:p>
    <w:p>
      <w:pPr>
        <w:pStyle w:val="111"/>
        <w:jc w:val="center"/>
        <w:rPr>
          <w:rFonts w:ascii="宋体" w:hAnsi="宋体"/>
          <w:b/>
          <w:sz w:val="28"/>
          <w:szCs w:val="28"/>
          <w:highlight w:val="none"/>
        </w:rPr>
      </w:pPr>
      <w:r>
        <w:rPr>
          <w:rFonts w:hint="eastAsia" w:ascii="宋体" w:hAnsi="宋体"/>
          <w:b/>
          <w:sz w:val="28"/>
          <w:szCs w:val="28"/>
          <w:highlight w:val="none"/>
        </w:rPr>
        <w:t>附加</w:t>
      </w:r>
      <w:r>
        <w:rPr>
          <w:rFonts w:hint="eastAsia" w:ascii="宋体" w:hAnsi="宋体"/>
          <w:b/>
          <w:bCs/>
          <w:kern w:val="0"/>
          <w:sz w:val="28"/>
          <w:szCs w:val="28"/>
          <w:highlight w:val="none"/>
        </w:rPr>
        <w:t>定标选票汇总</w:t>
      </w:r>
      <w:r>
        <w:rPr>
          <w:rFonts w:hint="eastAsia" w:ascii="宋体" w:hAnsi="宋体"/>
          <w:b/>
          <w:sz w:val="28"/>
          <w:szCs w:val="28"/>
          <w:highlight w:val="none"/>
        </w:rPr>
        <w:t>表</w:t>
      </w:r>
    </w:p>
    <w:p>
      <w:pPr>
        <w:pStyle w:val="111"/>
        <w:jc w:val="center"/>
        <w:rPr>
          <w:rFonts w:ascii="宋体" w:hAnsi="宋体"/>
          <w:b/>
          <w:sz w:val="28"/>
          <w:szCs w:val="28"/>
          <w:highlight w:val="none"/>
        </w:rPr>
      </w:pPr>
      <w:r>
        <w:rPr>
          <w:rFonts w:hint="eastAsia" w:ascii="宋体" w:hAnsi="宋体"/>
          <w:b/>
          <w:sz w:val="28"/>
          <w:szCs w:val="28"/>
          <w:highlight w:val="none"/>
        </w:rPr>
        <w:t>（定标阶段-票数相同时定标委员会汇总用表）</w:t>
      </w:r>
    </w:p>
    <w:p>
      <w:pPr>
        <w:pStyle w:val="111"/>
        <w:jc w:val="center"/>
        <w:rPr>
          <w:rFonts w:ascii="宋体" w:hAnsi="宋体"/>
          <w:b/>
          <w:sz w:val="28"/>
          <w:szCs w:val="28"/>
          <w:highlight w:val="none"/>
        </w:rPr>
      </w:pPr>
    </w:p>
    <w:p>
      <w:pPr>
        <w:adjustRightInd w:val="0"/>
        <w:snapToGrid w:val="0"/>
        <w:spacing w:line="360" w:lineRule="auto"/>
        <w:rPr>
          <w:rFonts w:ascii="宋体" w:hAnsi="宋体"/>
          <w:kern w:val="0"/>
          <w:highlight w:val="none"/>
        </w:rPr>
      </w:pPr>
      <w:r>
        <w:rPr>
          <w:rFonts w:hint="eastAsia" w:ascii="宋体" w:hAnsi="宋体"/>
          <w:kern w:val="0"/>
          <w:highlight w:val="none"/>
        </w:rPr>
        <w:t>工程名称：</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207"/>
        <w:gridCol w:w="182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r>
              <w:rPr>
                <w:rFonts w:hint="eastAsia" w:ascii="宋体" w:hAnsi="宋体"/>
                <w:sz w:val="24"/>
                <w:highlight w:val="none"/>
              </w:rPr>
              <w:t>序号</w:t>
            </w:r>
          </w:p>
        </w:tc>
        <w:tc>
          <w:tcPr>
            <w:tcW w:w="2265"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r>
              <w:rPr>
                <w:rFonts w:hint="eastAsia" w:ascii="宋体" w:hAnsi="宋体"/>
                <w:sz w:val="24"/>
                <w:highlight w:val="none"/>
              </w:rPr>
              <w:t>投标人</w:t>
            </w:r>
          </w:p>
        </w:tc>
        <w:tc>
          <w:tcPr>
            <w:tcW w:w="985"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highlight w:val="none"/>
              </w:rPr>
            </w:pPr>
            <w:r>
              <w:rPr>
                <w:rFonts w:hint="eastAsia" w:ascii="宋体"/>
                <w:szCs w:val="21"/>
                <w:highlight w:val="none"/>
              </w:rPr>
              <w:t>票数</w:t>
            </w: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highlight w:val="none"/>
              </w:rPr>
            </w:pPr>
            <w:r>
              <w:rPr>
                <w:rFonts w:hint="eastAsia" w:ascii="宋体"/>
                <w:szCs w:val="21"/>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r>
              <w:rPr>
                <w:rFonts w:ascii="宋体" w:hAnsi="宋体"/>
                <w:sz w:val="24"/>
                <w:highlight w:val="none"/>
              </w:rPr>
              <w:t>1</w:t>
            </w:r>
          </w:p>
        </w:tc>
        <w:tc>
          <w:tcPr>
            <w:tcW w:w="2265"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r>
              <w:rPr>
                <w:rFonts w:ascii="宋体" w:hAnsi="宋体"/>
                <w:sz w:val="24"/>
                <w:highlight w:val="none"/>
              </w:rPr>
              <w:t>2</w:t>
            </w:r>
          </w:p>
        </w:tc>
        <w:tc>
          <w:tcPr>
            <w:tcW w:w="2265"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r>
              <w:rPr>
                <w:rFonts w:ascii="宋体" w:hAnsi="宋体"/>
                <w:sz w:val="24"/>
                <w:highlight w:val="none"/>
              </w:rPr>
              <w:t>3</w:t>
            </w:r>
          </w:p>
        </w:tc>
        <w:tc>
          <w:tcPr>
            <w:tcW w:w="2265"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4</w:t>
            </w:r>
          </w:p>
        </w:tc>
        <w:tc>
          <w:tcPr>
            <w:tcW w:w="2265"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ascii="宋体" w:hAnsi="宋体"/>
                <w:sz w:val="24"/>
                <w:highlight w:val="none"/>
              </w:rPr>
              <w:t>……</w:t>
            </w:r>
          </w:p>
        </w:tc>
        <w:tc>
          <w:tcPr>
            <w:tcW w:w="2265"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highlight w:val="none"/>
              </w:rPr>
            </w:pPr>
          </w:p>
        </w:tc>
      </w:tr>
    </w:tbl>
    <w:p>
      <w:pPr>
        <w:pStyle w:val="111"/>
        <w:rPr>
          <w:kern w:val="0"/>
          <w:szCs w:val="21"/>
          <w:highlight w:val="none"/>
        </w:rPr>
      </w:pPr>
    </w:p>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定标委员签名：                                            日期：</w:t>
      </w:r>
    </w:p>
    <w:p>
      <w:pPr>
        <w:pStyle w:val="111"/>
        <w:rPr>
          <w:highlight w:val="none"/>
        </w:rPr>
      </w:pPr>
    </w:p>
    <w:p>
      <w:pPr>
        <w:pStyle w:val="111"/>
        <w:rPr>
          <w:highlight w:val="none"/>
        </w:rPr>
      </w:pPr>
      <w:r>
        <w:rPr>
          <w:highlight w:val="none"/>
        </w:rPr>
        <w:br w:type="page"/>
      </w:r>
      <w:r>
        <w:rPr>
          <w:rFonts w:hint="eastAsia"/>
          <w:highlight w:val="none"/>
        </w:rPr>
        <w:t>附表十一</w:t>
      </w:r>
    </w:p>
    <w:p>
      <w:pPr>
        <w:pStyle w:val="111"/>
        <w:jc w:val="center"/>
        <w:rPr>
          <w:rFonts w:ascii="宋体" w:hAnsi="宋体"/>
          <w:b/>
          <w:sz w:val="28"/>
          <w:szCs w:val="28"/>
          <w:highlight w:val="none"/>
        </w:rPr>
      </w:pPr>
      <w:r>
        <w:rPr>
          <w:rFonts w:hint="eastAsia" w:ascii="宋体" w:hAnsi="宋体"/>
          <w:b/>
          <w:sz w:val="28"/>
          <w:szCs w:val="28"/>
          <w:highlight w:val="none"/>
        </w:rPr>
        <w:t>定标确定表（定标阶段）</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59"/>
        <w:gridCol w:w="1701"/>
        <w:gridCol w:w="2836"/>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b/>
                <w:szCs w:val="21"/>
                <w:highlight w:val="none"/>
              </w:rPr>
            </w:pPr>
            <w:r>
              <w:rPr>
                <w:rFonts w:hint="eastAsia" w:ascii="宋体" w:hAnsi="宋体"/>
                <w:b/>
                <w:szCs w:val="21"/>
                <w:highlight w:val="none"/>
              </w:rPr>
              <w:t>序号</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b/>
                <w:szCs w:val="21"/>
                <w:highlight w:val="none"/>
              </w:rPr>
            </w:pPr>
            <w:r>
              <w:rPr>
                <w:rFonts w:hint="eastAsia" w:ascii="宋体" w:hAnsi="宋体"/>
                <w:b/>
                <w:szCs w:val="21"/>
                <w:highlight w:val="none"/>
              </w:rPr>
              <w:t>投标人名称</w:t>
            </w:r>
          </w:p>
        </w:tc>
        <w:tc>
          <w:tcPr>
            <w:tcW w:w="1701" w:type="dxa"/>
            <w:tcBorders>
              <w:top w:val="single" w:color="auto" w:sz="4" w:space="0"/>
              <w:left w:val="nil"/>
              <w:bottom w:val="single" w:color="auto" w:sz="4" w:space="0"/>
              <w:right w:val="single" w:color="auto" w:sz="4" w:space="0"/>
            </w:tcBorders>
            <w:vAlign w:val="center"/>
          </w:tcPr>
          <w:p>
            <w:pPr>
              <w:jc w:val="center"/>
              <w:rPr>
                <w:b/>
                <w:szCs w:val="21"/>
                <w:highlight w:val="none"/>
              </w:rPr>
            </w:pPr>
            <w:r>
              <w:rPr>
                <w:rFonts w:hint="eastAsia"/>
                <w:b/>
                <w:szCs w:val="21"/>
                <w:highlight w:val="none"/>
              </w:rPr>
              <w:t>投票结果</w:t>
            </w:r>
          </w:p>
        </w:tc>
        <w:tc>
          <w:tcPr>
            <w:tcW w:w="2836" w:type="dxa"/>
            <w:tcBorders>
              <w:top w:val="single" w:color="auto" w:sz="4" w:space="0"/>
              <w:left w:val="nil"/>
              <w:bottom w:val="single" w:color="auto" w:sz="4" w:space="0"/>
              <w:right w:val="single" w:color="auto" w:sz="4" w:space="0"/>
            </w:tcBorders>
            <w:vAlign w:val="center"/>
          </w:tcPr>
          <w:p>
            <w:pPr>
              <w:jc w:val="center"/>
              <w:rPr>
                <w:rFonts w:ascii="宋体"/>
                <w:b/>
                <w:szCs w:val="21"/>
                <w:highlight w:val="none"/>
              </w:rPr>
            </w:pPr>
            <w:r>
              <w:rPr>
                <w:rFonts w:hint="eastAsia" w:ascii="宋体"/>
                <w:b/>
                <w:szCs w:val="21"/>
                <w:highlight w:val="none"/>
              </w:rPr>
              <w:t>是否确定为中标人</w:t>
            </w:r>
          </w:p>
        </w:tc>
        <w:tc>
          <w:tcPr>
            <w:tcW w:w="672" w:type="dxa"/>
            <w:tcBorders>
              <w:top w:val="single" w:color="auto" w:sz="4" w:space="0"/>
              <w:left w:val="nil"/>
              <w:bottom w:val="single" w:color="auto" w:sz="4" w:space="0"/>
              <w:right w:val="single" w:color="auto" w:sz="4" w:space="0"/>
            </w:tcBorders>
            <w:vAlign w:val="center"/>
          </w:tcPr>
          <w:p>
            <w:pPr>
              <w:jc w:val="center"/>
              <w:rPr>
                <w:rFonts w:ascii="宋体" w:hAnsi="宋体"/>
                <w:b/>
                <w:szCs w:val="21"/>
                <w:highlight w:val="none"/>
              </w:rPr>
            </w:pPr>
            <w:r>
              <w:rPr>
                <w:rFonts w:hint="eastAsia" w:ascii="宋体" w:hAnsi="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highlight w:val="none"/>
              </w:rPr>
            </w:pPr>
            <w:r>
              <w:rPr>
                <w:rFonts w:hint="eastAsia" w:ascii="宋体" w:hAnsi="宋体"/>
                <w:sz w:val="24"/>
                <w:szCs w:val="24"/>
                <w:highlight w:val="none"/>
              </w:rPr>
              <w:t>1</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highlight w:val="none"/>
              </w:rPr>
            </w:pPr>
            <w:r>
              <w:rPr>
                <w:rFonts w:hint="eastAsia" w:ascii="宋体" w:hAnsi="宋体"/>
                <w:sz w:val="24"/>
                <w:szCs w:val="24"/>
                <w:highlight w:val="none"/>
              </w:rPr>
              <w:t>2</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highlight w:val="none"/>
              </w:rPr>
            </w:pPr>
            <w:r>
              <w:rPr>
                <w:rFonts w:hint="eastAsia" w:ascii="宋体" w:hAnsi="宋体"/>
                <w:sz w:val="24"/>
                <w:szCs w:val="24"/>
                <w:highlight w:val="none"/>
              </w:rPr>
              <w:t>3</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highlight w:val="none"/>
              </w:rPr>
            </w:pPr>
            <w:r>
              <w:rPr>
                <w:rFonts w:hint="eastAsia" w:ascii="宋体" w:hAnsi="宋体"/>
                <w:sz w:val="24"/>
                <w:szCs w:val="24"/>
                <w:highlight w:val="none"/>
              </w:rPr>
              <w:t>4</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highlight w:val="none"/>
              </w:rPr>
            </w:pPr>
            <w:r>
              <w:rPr>
                <w:rFonts w:hint="eastAsia" w:ascii="宋体" w:hAnsi="宋体"/>
                <w:sz w:val="24"/>
                <w:szCs w:val="24"/>
                <w:highlight w:val="none"/>
              </w:rPr>
              <w:t>5</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highlight w:val="none"/>
              </w:rPr>
            </w:pPr>
            <w:r>
              <w:rPr>
                <w:rFonts w:hint="eastAsia" w:ascii="宋体" w:hAnsi="宋体"/>
                <w:sz w:val="24"/>
                <w:szCs w:val="24"/>
                <w:highlight w:val="none"/>
              </w:rPr>
              <w:t>6</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highlight w:val="none"/>
              </w:rPr>
            </w:pPr>
            <w:r>
              <w:rPr>
                <w:rFonts w:hint="eastAsia" w:ascii="宋体" w:hAnsi="宋体"/>
                <w:sz w:val="24"/>
                <w:szCs w:val="24"/>
                <w:highlight w:val="none"/>
              </w:rPr>
              <w:t>7</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sz w:val="24"/>
                <w:szCs w:val="24"/>
                <w:highlight w:val="none"/>
              </w:rPr>
            </w:pPr>
          </w:p>
        </w:tc>
      </w:tr>
    </w:tbl>
    <w:p>
      <w:pPr>
        <w:pStyle w:val="111"/>
        <w:rPr>
          <w:highlight w:val="none"/>
        </w:rPr>
      </w:pPr>
    </w:p>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定标委员签名：                                         日期：</w:t>
      </w:r>
    </w:p>
    <w:p>
      <w:pPr>
        <w:pStyle w:val="111"/>
        <w:rPr>
          <w:highlight w:val="none"/>
        </w:rPr>
      </w:pPr>
    </w:p>
    <w:p>
      <w:pPr>
        <w:pStyle w:val="111"/>
        <w:rPr>
          <w:highlight w:val="none"/>
        </w:rPr>
      </w:pPr>
    </w:p>
    <w:p>
      <w:pPr>
        <w:pStyle w:val="111"/>
        <w:rPr>
          <w:b/>
          <w:highlight w:val="none"/>
        </w:rPr>
      </w:pPr>
      <w:r>
        <w:rPr>
          <w:rFonts w:hint="eastAsia"/>
          <w:b/>
          <w:highlight w:val="none"/>
        </w:rPr>
        <w:t>注：定标委员会成员须根据每轮的投票结果，得票数最多的合格中标候选人为中标人。</w:t>
      </w:r>
    </w:p>
    <w:p>
      <w:pPr>
        <w:pStyle w:val="111"/>
        <w:rPr>
          <w:highlight w:val="none"/>
        </w:rPr>
      </w:pPr>
    </w:p>
    <w:p>
      <w:pPr>
        <w:pStyle w:val="111"/>
        <w:rPr>
          <w:highlight w:val="none"/>
        </w:rPr>
      </w:pPr>
    </w:p>
    <w:p>
      <w:pPr>
        <w:pStyle w:val="111"/>
        <w:rPr>
          <w:highlight w:val="none"/>
        </w:rPr>
      </w:pPr>
      <w:r>
        <w:rPr>
          <w:highlight w:val="none"/>
        </w:rPr>
        <w:br w:type="page"/>
      </w:r>
    </w:p>
    <w:p>
      <w:pPr>
        <w:pStyle w:val="3"/>
        <w:rPr>
          <w:rFonts w:ascii="宋体" w:hAnsi="宋体"/>
          <w:highlight w:val="none"/>
        </w:rPr>
      </w:pPr>
      <w:bookmarkStart w:id="27" w:name="_Toc80289074"/>
      <w:r>
        <w:rPr>
          <w:rFonts w:hint="eastAsia" w:ascii="宋体" w:hAnsi="宋体"/>
          <w:highlight w:val="none"/>
        </w:rPr>
        <w:t>第三章合同条款</w:t>
      </w:r>
      <w:bookmarkEnd w:id="27"/>
    </w:p>
    <w:p>
      <w:pPr>
        <w:jc w:val="center"/>
        <w:outlineLvl w:val="1"/>
        <w:rPr>
          <w:rFonts w:ascii="宋体" w:hAnsi="宋体"/>
          <w:b/>
          <w:sz w:val="24"/>
          <w:szCs w:val="24"/>
          <w:highlight w:val="none"/>
        </w:rPr>
      </w:pPr>
      <w:r>
        <w:rPr>
          <w:rFonts w:hint="eastAsia" w:ascii="宋体" w:hAnsi="宋体"/>
          <w:sz w:val="24"/>
          <w:szCs w:val="24"/>
          <w:highlight w:val="none"/>
        </w:rPr>
        <w:t>注：另册。</w:t>
      </w:r>
    </w:p>
    <w:p>
      <w:pPr>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5"/>
        <w:spacing w:line="360" w:lineRule="auto"/>
        <w:rPr>
          <w:rFonts w:ascii="宋体" w:hAnsi="宋体"/>
          <w:sz w:val="24"/>
          <w:szCs w:val="24"/>
          <w:highlight w:val="none"/>
        </w:rPr>
      </w:pPr>
    </w:p>
    <w:p>
      <w:pPr>
        <w:pStyle w:val="2"/>
        <w:spacing w:line="360" w:lineRule="auto"/>
        <w:rPr>
          <w:rFonts w:hAnsi="宋体"/>
          <w:sz w:val="24"/>
          <w:szCs w:val="24"/>
          <w:highlight w:val="none"/>
        </w:rPr>
      </w:pPr>
    </w:p>
    <w:p>
      <w:pPr>
        <w:pStyle w:val="2"/>
        <w:spacing w:line="360" w:lineRule="auto"/>
        <w:rPr>
          <w:rFonts w:hAnsi="宋体"/>
          <w:sz w:val="24"/>
          <w:szCs w:val="24"/>
          <w:highlight w:val="none"/>
        </w:rPr>
      </w:pPr>
      <w:r>
        <w:rPr>
          <w:rFonts w:hAnsi="宋体"/>
          <w:sz w:val="24"/>
          <w:szCs w:val="24"/>
          <w:highlight w:val="none"/>
        </w:rPr>
        <w:br w:type="page"/>
      </w:r>
    </w:p>
    <w:p>
      <w:pPr>
        <w:pStyle w:val="3"/>
        <w:rPr>
          <w:rFonts w:ascii="宋体" w:hAnsi="宋体"/>
          <w:highlight w:val="none"/>
        </w:rPr>
      </w:pPr>
      <w:bookmarkStart w:id="28" w:name="_Toc80289075"/>
      <w:r>
        <w:rPr>
          <w:rFonts w:hint="eastAsia" w:ascii="宋体" w:hAnsi="宋体"/>
          <w:highlight w:val="none"/>
        </w:rPr>
        <w:t>第四章投标文件格式</w:t>
      </w:r>
      <w:bookmarkEnd w:id="28"/>
    </w:p>
    <w:p>
      <w:pPr>
        <w:autoSpaceDE w:val="0"/>
        <w:autoSpaceDN w:val="0"/>
        <w:adjustRightInd w:val="0"/>
        <w:rPr>
          <w:rFonts w:ascii="宋体" w:hAnsi="宋体"/>
          <w:sz w:val="24"/>
          <w:szCs w:val="24"/>
          <w:highlight w:val="none"/>
        </w:rPr>
      </w:pPr>
    </w:p>
    <w:p>
      <w:pPr>
        <w:autoSpaceDE w:val="0"/>
        <w:autoSpaceDN w:val="0"/>
        <w:adjustRightInd w:val="0"/>
        <w:rPr>
          <w:rFonts w:ascii="宋体" w:hAnsi="宋体"/>
          <w:sz w:val="24"/>
          <w:szCs w:val="24"/>
          <w:highlight w:val="none"/>
        </w:rPr>
      </w:pPr>
    </w:p>
    <w:p>
      <w:pPr>
        <w:pStyle w:val="115"/>
        <w:rPr>
          <w:highlight w:val="none"/>
        </w:rPr>
      </w:pPr>
    </w:p>
    <w:p>
      <w:pPr>
        <w:pStyle w:val="117"/>
        <w:spacing w:beforeLines="0" w:afterLines="0" w:line="360" w:lineRule="auto"/>
        <w:rPr>
          <w:rFonts w:ascii="宋体" w:hAnsi="宋体" w:eastAsia="宋体"/>
          <w:highlight w:val="none"/>
        </w:rPr>
      </w:pPr>
      <w:bookmarkStart w:id="29" w:name="_Toc80289076"/>
      <w:r>
        <w:rPr>
          <w:rFonts w:hint="eastAsia" w:ascii="宋体" w:hAnsi="宋体" w:eastAsia="宋体"/>
          <w:highlight w:val="none"/>
        </w:rPr>
        <w:t>一、技术标投标文件格式</w:t>
      </w:r>
      <w:bookmarkEnd w:id="29"/>
    </w:p>
    <w:p>
      <w:pPr>
        <w:pStyle w:val="124"/>
        <w:spacing w:beforeLines="0" w:afterLines="0" w:line="360" w:lineRule="auto"/>
        <w:outlineLvl w:val="9"/>
        <w:rPr>
          <w:rFonts w:ascii="宋体" w:eastAsia="宋体"/>
          <w:highlight w:val="none"/>
        </w:rPr>
      </w:pPr>
      <w:r>
        <w:rPr>
          <w:rFonts w:ascii="宋体" w:eastAsia="宋体"/>
          <w:highlight w:val="none"/>
        </w:rPr>
        <w:br w:type="page"/>
      </w:r>
      <w:bookmarkStart w:id="30" w:name="_Toc532475786"/>
      <w:bookmarkStart w:id="31" w:name="_Toc532475353"/>
      <w:bookmarkStart w:id="32" w:name="_Toc80289077"/>
      <w:bookmarkStart w:id="33" w:name="_Toc510963883"/>
      <w:r>
        <w:rPr>
          <w:rFonts w:hint="eastAsia" w:ascii="宋体" w:eastAsia="宋体"/>
          <w:highlight w:val="none"/>
        </w:rPr>
        <w:t>格式一：技术标封面</w:t>
      </w:r>
      <w:bookmarkEnd w:id="30"/>
      <w:bookmarkEnd w:id="31"/>
      <w:bookmarkEnd w:id="32"/>
      <w:bookmarkEnd w:id="33"/>
    </w:p>
    <w:p>
      <w:pPr>
        <w:pStyle w:val="82"/>
        <w:ind w:firstLine="496"/>
        <w:rPr>
          <w:rFonts w:ascii="宋体" w:hAnsi="宋体"/>
          <w:highlight w:val="none"/>
        </w:rPr>
      </w:pPr>
    </w:p>
    <w:p>
      <w:pPr>
        <w:pStyle w:val="82"/>
        <w:ind w:firstLine="496"/>
        <w:rPr>
          <w:rFonts w:ascii="宋体" w:hAnsi="宋体"/>
          <w:highlight w:val="none"/>
        </w:rPr>
      </w:pPr>
    </w:p>
    <w:p>
      <w:pPr>
        <w:pStyle w:val="82"/>
        <w:ind w:firstLine="496"/>
        <w:rPr>
          <w:rFonts w:ascii="宋体" w:hAnsi="宋体"/>
          <w:highlight w:val="none"/>
        </w:rPr>
      </w:pPr>
    </w:p>
    <w:p>
      <w:pPr>
        <w:pStyle w:val="120"/>
        <w:outlineLvl w:val="2"/>
        <w:rPr>
          <w:rFonts w:ascii="宋体" w:hAnsi="宋体" w:eastAsia="宋体"/>
          <w:b w:val="0"/>
          <w:highlight w:val="none"/>
          <w:u w:val="single"/>
        </w:rPr>
      </w:pPr>
      <w:r>
        <w:rPr>
          <w:rFonts w:hint="eastAsia" w:ascii="宋体" w:hAnsi="宋体" w:eastAsia="宋体"/>
          <w:b w:val="0"/>
          <w:highlight w:val="none"/>
          <w:u w:val="single"/>
        </w:rPr>
        <w:t xml:space="preserve">[工程名称] </w:t>
      </w:r>
    </w:p>
    <w:p>
      <w:pPr>
        <w:pStyle w:val="82"/>
        <w:ind w:firstLine="496"/>
        <w:rPr>
          <w:rFonts w:ascii="宋体" w:hAnsi="宋体"/>
          <w:highlight w:val="none"/>
        </w:rPr>
      </w:pPr>
    </w:p>
    <w:p>
      <w:pPr>
        <w:pStyle w:val="82"/>
        <w:ind w:firstLine="496"/>
        <w:rPr>
          <w:rFonts w:ascii="宋体" w:hAnsi="宋体"/>
          <w:highlight w:val="none"/>
        </w:rPr>
      </w:pPr>
    </w:p>
    <w:p>
      <w:pPr>
        <w:pStyle w:val="82"/>
        <w:ind w:firstLine="496"/>
        <w:rPr>
          <w:rFonts w:ascii="宋体" w:hAnsi="宋体"/>
          <w:highlight w:val="none"/>
        </w:rPr>
      </w:pPr>
    </w:p>
    <w:p>
      <w:pPr>
        <w:pStyle w:val="82"/>
        <w:ind w:firstLine="496"/>
        <w:rPr>
          <w:rFonts w:ascii="宋体" w:hAnsi="宋体"/>
          <w:highlight w:val="none"/>
        </w:rPr>
      </w:pPr>
    </w:p>
    <w:p>
      <w:pPr>
        <w:pStyle w:val="127"/>
        <w:rPr>
          <w:rFonts w:ascii="宋体" w:hAnsi="宋体" w:eastAsia="宋体"/>
          <w:b w:val="0"/>
          <w:highlight w:val="none"/>
        </w:rPr>
      </w:pPr>
      <w:r>
        <w:rPr>
          <w:rFonts w:hint="eastAsia" w:ascii="宋体" w:hAnsi="宋体" w:eastAsia="宋体"/>
          <w:b w:val="0"/>
          <w:highlight w:val="none"/>
        </w:rPr>
        <w:t>投标文件</w:t>
      </w:r>
    </w:p>
    <w:p>
      <w:pPr>
        <w:pStyle w:val="120"/>
        <w:outlineLvl w:val="2"/>
        <w:rPr>
          <w:rFonts w:ascii="宋体" w:hAnsi="宋体" w:eastAsia="宋体"/>
          <w:b w:val="0"/>
          <w:highlight w:val="none"/>
        </w:rPr>
      </w:pPr>
      <w:r>
        <w:rPr>
          <w:rFonts w:hint="eastAsia" w:ascii="宋体" w:hAnsi="宋体" w:eastAsia="宋体"/>
          <w:b w:val="0"/>
          <w:highlight w:val="none"/>
        </w:rPr>
        <w:t>技术投标文件（含资格审查文件）</w:t>
      </w:r>
    </w:p>
    <w:p>
      <w:pPr>
        <w:pStyle w:val="82"/>
        <w:ind w:firstLine="496"/>
        <w:rPr>
          <w:rFonts w:ascii="宋体" w:hAnsi="宋体"/>
          <w:highlight w:val="none"/>
        </w:rPr>
      </w:pPr>
    </w:p>
    <w:p>
      <w:pPr>
        <w:pStyle w:val="82"/>
        <w:ind w:firstLine="496"/>
        <w:rPr>
          <w:rFonts w:ascii="宋体" w:hAnsi="宋体"/>
          <w:highlight w:val="none"/>
        </w:rPr>
      </w:pPr>
    </w:p>
    <w:p>
      <w:pPr>
        <w:pStyle w:val="82"/>
        <w:ind w:firstLine="496"/>
        <w:rPr>
          <w:rFonts w:ascii="宋体" w:hAnsi="宋体"/>
          <w:highlight w:val="none"/>
        </w:rPr>
      </w:pPr>
    </w:p>
    <w:p>
      <w:pPr>
        <w:pStyle w:val="82"/>
        <w:ind w:firstLine="496"/>
        <w:rPr>
          <w:rFonts w:ascii="宋体" w:hAnsi="宋体"/>
          <w:highlight w:val="none"/>
        </w:rPr>
      </w:pPr>
    </w:p>
    <w:p>
      <w:pPr>
        <w:pStyle w:val="126"/>
        <w:ind w:firstLine="616"/>
        <w:outlineLvl w:val="0"/>
        <w:rPr>
          <w:rFonts w:ascii="宋体" w:hAnsi="宋体" w:eastAsia="宋体"/>
          <w:highlight w:val="none"/>
        </w:rPr>
      </w:pPr>
      <w:r>
        <w:rPr>
          <w:rFonts w:hint="eastAsia" w:ascii="宋体" w:hAnsi="宋体" w:eastAsia="宋体"/>
          <w:highlight w:val="none"/>
        </w:rPr>
        <w:t>投标人：</w:t>
      </w:r>
      <w:r>
        <w:rPr>
          <w:rFonts w:hint="eastAsia" w:ascii="宋体" w:hAnsi="宋体" w:eastAsia="宋体"/>
          <w:highlight w:val="none"/>
          <w:u w:val="single"/>
        </w:rPr>
        <w:t xml:space="preserve">    （填写投标人单位名称）    （盖章）</w:t>
      </w:r>
    </w:p>
    <w:p>
      <w:pPr>
        <w:pStyle w:val="126"/>
        <w:ind w:firstLine="616"/>
        <w:rPr>
          <w:rFonts w:ascii="宋体" w:hAnsi="宋体" w:eastAsia="宋体"/>
          <w:highlight w:val="none"/>
        </w:rPr>
      </w:pPr>
    </w:p>
    <w:p>
      <w:pPr>
        <w:pStyle w:val="126"/>
        <w:ind w:firstLine="616"/>
        <w:outlineLvl w:val="0"/>
        <w:rPr>
          <w:rFonts w:ascii="宋体" w:hAnsi="宋体" w:eastAsia="宋体"/>
          <w:highlight w:val="none"/>
        </w:rPr>
      </w:pPr>
      <w:r>
        <w:rPr>
          <w:rFonts w:hint="eastAsia" w:ascii="宋体" w:hAnsi="宋体" w:eastAsia="宋体"/>
          <w:highlight w:val="none"/>
        </w:rPr>
        <w:t>法定代表人或</w:t>
      </w:r>
    </w:p>
    <w:p>
      <w:pPr>
        <w:pStyle w:val="126"/>
        <w:ind w:firstLine="616"/>
        <w:outlineLvl w:val="0"/>
        <w:rPr>
          <w:rFonts w:ascii="宋体" w:hAnsi="宋体" w:eastAsia="宋体"/>
          <w:highlight w:val="none"/>
        </w:rPr>
      </w:pPr>
      <w:r>
        <w:rPr>
          <w:rFonts w:hint="eastAsia" w:ascii="宋体" w:hAnsi="宋体" w:eastAsia="宋体"/>
          <w:highlight w:val="none"/>
        </w:rPr>
        <w:t>其委托代理人：</w:t>
      </w:r>
      <w:r>
        <w:rPr>
          <w:rFonts w:hint="eastAsia" w:ascii="宋体" w:hAnsi="宋体" w:eastAsia="宋体"/>
          <w:highlight w:val="none"/>
          <w:u w:val="single"/>
        </w:rPr>
        <w:t xml:space="preserve">                    （签名或盖章）</w:t>
      </w:r>
    </w:p>
    <w:p>
      <w:pPr>
        <w:pStyle w:val="126"/>
        <w:ind w:firstLine="616"/>
        <w:outlineLvl w:val="0"/>
        <w:rPr>
          <w:rFonts w:ascii="宋体" w:hAnsi="宋体" w:eastAsia="宋体"/>
          <w:sz w:val="24"/>
          <w:szCs w:val="24"/>
          <w:highlight w:val="none"/>
        </w:rPr>
      </w:pPr>
      <w:r>
        <w:rPr>
          <w:rFonts w:hint="eastAsia" w:ascii="宋体" w:hAnsi="宋体" w:eastAsia="宋体"/>
          <w:highlight w:val="none"/>
        </w:rPr>
        <w:t>日  期：</w:t>
      </w:r>
    </w:p>
    <w:p>
      <w:pPr>
        <w:pStyle w:val="82"/>
        <w:ind w:firstLine="496"/>
        <w:rPr>
          <w:rFonts w:ascii="宋体" w:hAnsi="宋体"/>
          <w:highlight w:val="none"/>
        </w:rPr>
      </w:pPr>
    </w:p>
    <w:p>
      <w:pPr>
        <w:pStyle w:val="124"/>
        <w:spacing w:before="156" w:after="156"/>
        <w:outlineLvl w:val="9"/>
        <w:rPr>
          <w:rFonts w:ascii="宋体" w:eastAsia="宋体"/>
          <w:bCs/>
          <w:szCs w:val="21"/>
          <w:highlight w:val="none"/>
        </w:rPr>
      </w:pPr>
      <w:r>
        <w:rPr>
          <w:rFonts w:ascii="宋体" w:eastAsia="宋体"/>
          <w:b w:val="0"/>
          <w:highlight w:val="none"/>
        </w:rPr>
        <w:br w:type="page"/>
      </w:r>
      <w:bookmarkStart w:id="34" w:name="_Toc80289078"/>
      <w:r>
        <w:rPr>
          <w:rFonts w:hint="eastAsia" w:ascii="宋体" w:eastAsia="宋体"/>
          <w:bCs/>
          <w:szCs w:val="21"/>
          <w:highlight w:val="none"/>
        </w:rPr>
        <w:t>格式二：广州建设工程施工招标投标书</w:t>
      </w:r>
      <w:bookmarkEnd w:id="34"/>
    </w:p>
    <w:p>
      <w:pPr>
        <w:autoSpaceDE w:val="0"/>
        <w:autoSpaceDN w:val="0"/>
        <w:adjustRightInd w:val="0"/>
        <w:ind w:left="-540" w:leftChars="-257" w:firstLine="1135" w:firstLineChars="257"/>
        <w:jc w:val="center"/>
        <w:rPr>
          <w:rFonts w:ascii="宋体" w:hAnsi="宋体" w:cs="宋体"/>
          <w:b/>
          <w:bCs/>
          <w:sz w:val="44"/>
          <w:szCs w:val="44"/>
          <w:highlight w:val="none"/>
          <w:lang w:val="zh-CN"/>
        </w:rPr>
      </w:pPr>
    </w:p>
    <w:p>
      <w:pPr>
        <w:autoSpaceDE w:val="0"/>
        <w:autoSpaceDN w:val="0"/>
        <w:adjustRightInd w:val="0"/>
        <w:ind w:left="-540" w:leftChars="-257" w:firstLine="929" w:firstLineChars="257"/>
        <w:jc w:val="center"/>
        <w:outlineLvl w:val="1"/>
        <w:rPr>
          <w:rFonts w:ascii="宋体" w:hAnsi="宋体"/>
          <w:b/>
          <w:bCs/>
          <w:sz w:val="36"/>
          <w:szCs w:val="32"/>
          <w:highlight w:val="none"/>
        </w:rPr>
      </w:pPr>
      <w:r>
        <w:rPr>
          <w:rFonts w:hint="eastAsia" w:ascii="宋体" w:hAnsi="宋体" w:cs="宋体"/>
          <w:b/>
          <w:bCs/>
          <w:sz w:val="36"/>
          <w:szCs w:val="32"/>
          <w:highlight w:val="none"/>
          <w:lang w:val="zh-CN"/>
        </w:rPr>
        <w:t>广州建设工程施工招标投标书</w:t>
      </w:r>
    </w:p>
    <w:tbl>
      <w:tblPr>
        <w:tblStyle w:val="40"/>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8"/>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highlight w:val="none"/>
                <w:lang w:val="zh-CN"/>
              </w:rPr>
            </w:pPr>
            <w:r>
              <w:rPr>
                <w:rFonts w:hint="eastAsia" w:ascii="宋体" w:hAnsi="宋体" w:cs="宋体"/>
                <w:b/>
                <w:sz w:val="24"/>
                <w:szCs w:val="24"/>
                <w:highlight w:val="none"/>
                <w:lang w:val="zh-CN"/>
              </w:rPr>
              <w:t>工程名称</w:t>
            </w:r>
          </w:p>
        </w:tc>
        <w:tc>
          <w:tcPr>
            <w:tcW w:w="35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highlight w:val="none"/>
                <w:lang w:val="zh-CN"/>
              </w:rPr>
            </w:pPr>
            <w:r>
              <w:rPr>
                <w:rFonts w:hint="eastAsia" w:ascii="宋体" w:hAnsi="宋体" w:cs="宋体"/>
                <w:b/>
                <w:sz w:val="24"/>
                <w:szCs w:val="24"/>
                <w:highlight w:val="none"/>
                <w:lang w:val="zh-CN"/>
              </w:rPr>
              <w:t>投标总报价（元）</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highlight w:val="none"/>
                <w:lang w:val="zh-CN"/>
              </w:rPr>
            </w:pPr>
            <w:r>
              <w:rPr>
                <w:rFonts w:hint="eastAsia" w:ascii="宋体" w:hAnsi="宋体" w:cs="宋体"/>
                <w:b/>
                <w:sz w:val="24"/>
                <w:szCs w:val="24"/>
                <w:highlight w:val="none"/>
                <w:lang w:val="zh-CN"/>
              </w:rPr>
              <w:t>其中：</w:t>
            </w:r>
            <w:r>
              <w:rPr>
                <w:rFonts w:hint="eastAsia" w:ascii="宋体" w:hAnsi="宋体" w:cs="宋体"/>
                <w:b/>
                <w:bCs/>
                <w:sz w:val="24"/>
                <w:szCs w:val="24"/>
                <w:highlight w:val="none"/>
                <w:lang w:val="zh-CN"/>
              </w:rPr>
              <w:t>人工费</w:t>
            </w:r>
            <w:r>
              <w:rPr>
                <w:rFonts w:hint="eastAsia" w:ascii="宋体" w:hAnsi="宋体" w:cs="宋体"/>
                <w:b/>
                <w:sz w:val="24"/>
                <w:szCs w:val="24"/>
                <w:highlight w:val="none"/>
                <w:lang w:val="zh-CN"/>
              </w:rPr>
              <w:t>（元）</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其中：</w:t>
            </w:r>
            <w:r>
              <w:rPr>
                <w:rFonts w:hint="eastAsia" w:ascii="宋体" w:hAnsi="宋体" w:cs="宋体"/>
                <w:b/>
                <w:sz w:val="24"/>
                <w:szCs w:val="24"/>
                <w:highlight w:val="none"/>
                <w:lang w:val="zh-CN"/>
              </w:rPr>
              <w:t>绿色施工安全防护措施费（元）</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highlight w:val="none"/>
                <w:lang w:val="zh-CN"/>
              </w:rPr>
            </w:pPr>
            <w:r>
              <w:rPr>
                <w:rFonts w:hint="eastAsia" w:ascii="宋体" w:hAnsi="宋体" w:cs="宋体"/>
                <w:b/>
                <w:sz w:val="24"/>
                <w:szCs w:val="24"/>
                <w:highlight w:val="none"/>
                <w:lang w:val="zh-CN"/>
              </w:rPr>
              <w:t>投标总工期</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highlight w:val="none"/>
              </w:rPr>
            </w:pPr>
            <w:r>
              <w:rPr>
                <w:rFonts w:hint="eastAsia" w:ascii="宋体" w:hAnsi="宋体" w:cs="宋体"/>
                <w:b/>
                <w:bCs/>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highlight w:val="none"/>
              </w:rPr>
            </w:pPr>
            <w:r>
              <w:rPr>
                <w:rFonts w:hint="eastAsia" w:ascii="宋体" w:hAnsi="宋体" w:cs="宋体"/>
                <w:b/>
                <w:sz w:val="24"/>
                <w:szCs w:val="24"/>
                <w:highlight w:val="none"/>
                <w:lang w:val="zh-CN"/>
              </w:rPr>
              <w:t>工程质量标准</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highlight w:val="none"/>
                <w:lang w:val="zh-CN"/>
              </w:rPr>
            </w:pPr>
            <w:r>
              <w:rPr>
                <w:rFonts w:hint="eastAsia" w:ascii="宋体" w:hAnsi="宋体" w:cs="宋体"/>
                <w:b/>
                <w:sz w:val="24"/>
                <w:szCs w:val="24"/>
                <w:highlight w:val="none"/>
                <w:lang w:val="zh-CN"/>
              </w:rPr>
              <w:t>保修期限</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highlight w:val="none"/>
              </w:rPr>
            </w:pPr>
            <w:r>
              <w:rPr>
                <w:rFonts w:hint="eastAsia" w:ascii="宋体" w:hAnsi="宋体" w:cs="宋体"/>
                <w:b/>
                <w:sz w:val="24"/>
                <w:szCs w:val="24"/>
                <w:highlight w:val="none"/>
              </w:rPr>
              <w:t>项目负责人</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highlight w:val="none"/>
                <w:lang w:val="zh-CN"/>
              </w:rPr>
            </w:pPr>
          </w:p>
        </w:tc>
      </w:tr>
    </w:tbl>
    <w:p>
      <w:pPr>
        <w:tabs>
          <w:tab w:val="left" w:pos="720"/>
        </w:tabs>
        <w:snapToGrid w:val="0"/>
        <w:spacing w:line="360" w:lineRule="auto"/>
        <w:rPr>
          <w:rFonts w:ascii="宋体" w:hAnsi="宋体"/>
          <w:sz w:val="24"/>
          <w:szCs w:val="24"/>
          <w:highlight w:val="none"/>
        </w:rPr>
      </w:pPr>
      <w:r>
        <w:rPr>
          <w:rFonts w:hint="eastAsia" w:ascii="宋体" w:hAnsi="宋体"/>
          <w:sz w:val="24"/>
          <w:szCs w:val="24"/>
          <w:highlight w:val="none"/>
        </w:rPr>
        <w:t>注：</w:t>
      </w:r>
      <w:r>
        <w:rPr>
          <w:rFonts w:hint="eastAsia" w:ascii="宋体" w:hAnsi="宋体"/>
          <w:sz w:val="24"/>
          <w:highlight w:val="none"/>
        </w:rPr>
        <w:t>报价精确到“分”的单位。</w:t>
      </w:r>
    </w:p>
    <w:p>
      <w:pPr>
        <w:rPr>
          <w:rFonts w:ascii="宋体" w:hAnsi="宋体"/>
          <w:highlight w:val="none"/>
        </w:rPr>
      </w:pPr>
      <w:r>
        <w:rPr>
          <w:rFonts w:ascii="宋体" w:hAnsi="宋体"/>
          <w:highlight w:val="none"/>
        </w:rPr>
        <w:br w:type="page"/>
      </w:r>
    </w:p>
    <w:p>
      <w:pPr>
        <w:pStyle w:val="124"/>
        <w:spacing w:beforeLines="0" w:afterLines="0" w:line="360" w:lineRule="auto"/>
        <w:outlineLvl w:val="9"/>
        <w:rPr>
          <w:rFonts w:ascii="宋体" w:eastAsia="宋体"/>
          <w:highlight w:val="none"/>
        </w:rPr>
      </w:pPr>
      <w:bookmarkStart w:id="35" w:name="_Toc80289079"/>
      <w:r>
        <w:rPr>
          <w:rFonts w:hint="eastAsia" w:ascii="宋体" w:eastAsia="宋体"/>
          <w:highlight w:val="none"/>
        </w:rPr>
        <w:t>格式三：参与编制技术标投标文件人员名单</w:t>
      </w:r>
      <w:bookmarkEnd w:id="35"/>
    </w:p>
    <w:p>
      <w:pPr>
        <w:tabs>
          <w:tab w:val="left" w:pos="720"/>
        </w:tabs>
        <w:snapToGrid w:val="0"/>
        <w:spacing w:line="360" w:lineRule="auto"/>
        <w:jc w:val="center"/>
        <w:rPr>
          <w:rFonts w:ascii="宋体" w:hAnsi="宋体"/>
          <w:b/>
          <w:sz w:val="32"/>
          <w:szCs w:val="32"/>
          <w:highlight w:val="none"/>
        </w:rPr>
      </w:pPr>
    </w:p>
    <w:p>
      <w:pPr>
        <w:tabs>
          <w:tab w:val="left" w:pos="720"/>
        </w:tabs>
        <w:snapToGrid w:val="0"/>
        <w:spacing w:line="360" w:lineRule="auto"/>
        <w:jc w:val="center"/>
        <w:outlineLvl w:val="1"/>
        <w:rPr>
          <w:rFonts w:ascii="宋体" w:hAnsi="宋体"/>
          <w:b/>
          <w:sz w:val="32"/>
          <w:szCs w:val="32"/>
          <w:highlight w:val="none"/>
        </w:rPr>
      </w:pPr>
      <w:r>
        <w:rPr>
          <w:rFonts w:hint="eastAsia" w:ascii="宋体" w:hAnsi="宋体"/>
          <w:b/>
          <w:sz w:val="32"/>
          <w:szCs w:val="32"/>
          <w:highlight w:val="none"/>
        </w:rPr>
        <w:t>参与编制技术标投标文件人员名单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04"/>
        <w:gridCol w:w="2552"/>
        <w:gridCol w:w="2448"/>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姓名</w:t>
            </w: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职务</w:t>
            </w: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所承担工作</w:t>
            </w: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身份证号码</w:t>
            </w: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u w:val="singl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bl>
    <w:p>
      <w:pPr>
        <w:tabs>
          <w:tab w:val="left" w:pos="720"/>
        </w:tabs>
        <w:snapToGrid w:val="0"/>
        <w:spacing w:line="360" w:lineRule="auto"/>
        <w:rPr>
          <w:rFonts w:ascii="宋体" w:hAnsi="宋体"/>
          <w:szCs w:val="21"/>
          <w:highlight w:val="none"/>
        </w:rPr>
      </w:pPr>
      <w:r>
        <w:rPr>
          <w:rFonts w:hint="eastAsia" w:ascii="宋体" w:hAnsi="宋体"/>
          <w:szCs w:val="21"/>
          <w:highlight w:val="none"/>
        </w:rPr>
        <w:t>注：参与编制技术标书所有人员名单应包括如编制技术投标方案、负责清样校对、负责打印及复印等所有人员在内的人员名单。</w:t>
      </w:r>
    </w:p>
    <w:p>
      <w:pPr>
        <w:autoSpaceDE w:val="0"/>
        <w:autoSpaceDN w:val="0"/>
        <w:adjustRightInd w:val="0"/>
        <w:rPr>
          <w:rFonts w:ascii="宋体" w:hAnsi="宋体"/>
          <w:szCs w:val="21"/>
          <w:highlight w:val="none"/>
        </w:rPr>
      </w:pPr>
    </w:p>
    <w:p>
      <w:pPr>
        <w:pStyle w:val="124"/>
        <w:spacing w:beforeLines="0" w:afterLines="0" w:line="360" w:lineRule="auto"/>
        <w:outlineLvl w:val="9"/>
        <w:rPr>
          <w:rFonts w:ascii="宋体" w:eastAsia="宋体"/>
          <w:highlight w:val="none"/>
        </w:rPr>
      </w:pPr>
      <w:r>
        <w:rPr>
          <w:rFonts w:ascii="宋体"/>
          <w:szCs w:val="21"/>
          <w:highlight w:val="none"/>
        </w:rPr>
        <w:br w:type="page"/>
      </w:r>
      <w:bookmarkStart w:id="36" w:name="_Toc80289080"/>
      <w:r>
        <w:rPr>
          <w:rFonts w:hint="eastAsia" w:ascii="宋体" w:eastAsia="宋体"/>
          <w:highlight w:val="none"/>
        </w:rPr>
        <w:t>格式四：施工项目管理团队人员信息表</w:t>
      </w:r>
      <w:bookmarkEnd w:id="36"/>
    </w:p>
    <w:p>
      <w:pPr>
        <w:jc w:val="center"/>
        <w:outlineLvl w:val="2"/>
        <w:rPr>
          <w:sz w:val="28"/>
          <w:highlight w:val="none"/>
        </w:rPr>
      </w:pPr>
      <w:r>
        <w:rPr>
          <w:rFonts w:hint="eastAsia"/>
          <w:sz w:val="28"/>
          <w:highlight w:val="none"/>
        </w:rPr>
        <w:t>施工项目管理团队人员信息表</w:t>
      </w:r>
    </w:p>
    <w:tbl>
      <w:tblPr>
        <w:tblStyle w:val="4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223"/>
        <w:gridCol w:w="1754"/>
        <w:gridCol w:w="1621"/>
        <w:gridCol w:w="1888"/>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 w:type="dxa"/>
          </w:tcPr>
          <w:p>
            <w:pPr>
              <w:pStyle w:val="124"/>
              <w:spacing w:before="156" w:after="156"/>
              <w:jc w:val="center"/>
              <w:outlineLvl w:val="9"/>
              <w:rPr>
                <w:b w:val="0"/>
                <w:sz w:val="21"/>
                <w:szCs w:val="21"/>
                <w:highlight w:val="none"/>
              </w:rPr>
            </w:pPr>
            <w:bookmarkStart w:id="37" w:name="_Toc80289081"/>
            <w:r>
              <w:rPr>
                <w:rFonts w:hint="eastAsia"/>
                <w:b w:val="0"/>
                <w:sz w:val="21"/>
                <w:szCs w:val="21"/>
                <w:highlight w:val="none"/>
              </w:rPr>
              <w:t>序号</w:t>
            </w:r>
            <w:bookmarkEnd w:id="37"/>
          </w:p>
        </w:tc>
        <w:tc>
          <w:tcPr>
            <w:tcW w:w="1223" w:type="dxa"/>
          </w:tcPr>
          <w:p>
            <w:pPr>
              <w:pStyle w:val="124"/>
              <w:spacing w:before="156" w:after="156"/>
              <w:jc w:val="center"/>
              <w:outlineLvl w:val="9"/>
              <w:rPr>
                <w:b w:val="0"/>
                <w:sz w:val="21"/>
                <w:szCs w:val="21"/>
                <w:highlight w:val="none"/>
              </w:rPr>
            </w:pPr>
            <w:bookmarkStart w:id="38" w:name="_Toc80289082"/>
            <w:r>
              <w:rPr>
                <w:rFonts w:hint="eastAsia"/>
                <w:b w:val="0"/>
                <w:sz w:val="21"/>
                <w:szCs w:val="21"/>
                <w:highlight w:val="none"/>
              </w:rPr>
              <w:t>姓名</w:t>
            </w:r>
            <w:bookmarkEnd w:id="38"/>
          </w:p>
        </w:tc>
        <w:tc>
          <w:tcPr>
            <w:tcW w:w="1754" w:type="dxa"/>
          </w:tcPr>
          <w:p>
            <w:pPr>
              <w:pStyle w:val="124"/>
              <w:spacing w:before="156" w:after="156"/>
              <w:jc w:val="center"/>
              <w:outlineLvl w:val="9"/>
              <w:rPr>
                <w:b w:val="0"/>
                <w:sz w:val="21"/>
                <w:szCs w:val="21"/>
                <w:highlight w:val="none"/>
              </w:rPr>
            </w:pPr>
            <w:bookmarkStart w:id="39" w:name="_Toc80289083"/>
            <w:r>
              <w:rPr>
                <w:rFonts w:hint="eastAsia"/>
                <w:b w:val="0"/>
                <w:sz w:val="21"/>
                <w:szCs w:val="21"/>
                <w:highlight w:val="none"/>
              </w:rPr>
              <w:t>岗位</w:t>
            </w:r>
            <w:bookmarkEnd w:id="39"/>
          </w:p>
        </w:tc>
        <w:tc>
          <w:tcPr>
            <w:tcW w:w="1621" w:type="dxa"/>
          </w:tcPr>
          <w:p>
            <w:pPr>
              <w:pStyle w:val="124"/>
              <w:spacing w:before="156" w:after="156"/>
              <w:jc w:val="center"/>
              <w:outlineLvl w:val="9"/>
              <w:rPr>
                <w:b w:val="0"/>
                <w:sz w:val="21"/>
                <w:szCs w:val="21"/>
                <w:highlight w:val="none"/>
              </w:rPr>
            </w:pPr>
            <w:bookmarkStart w:id="40" w:name="_Toc80289084"/>
            <w:r>
              <w:rPr>
                <w:rFonts w:hint="eastAsia"/>
                <w:b w:val="0"/>
                <w:sz w:val="21"/>
                <w:szCs w:val="21"/>
                <w:highlight w:val="none"/>
              </w:rPr>
              <w:t>职称</w:t>
            </w:r>
            <w:bookmarkEnd w:id="40"/>
          </w:p>
        </w:tc>
        <w:tc>
          <w:tcPr>
            <w:tcW w:w="1888" w:type="dxa"/>
          </w:tcPr>
          <w:p>
            <w:pPr>
              <w:pStyle w:val="124"/>
              <w:spacing w:before="156" w:after="156"/>
              <w:jc w:val="center"/>
              <w:outlineLvl w:val="9"/>
              <w:rPr>
                <w:b w:val="0"/>
                <w:sz w:val="21"/>
                <w:szCs w:val="21"/>
                <w:highlight w:val="none"/>
              </w:rPr>
            </w:pPr>
            <w:bookmarkStart w:id="41" w:name="_Toc80289085"/>
            <w:r>
              <w:rPr>
                <w:rFonts w:hint="eastAsia"/>
                <w:b w:val="0"/>
                <w:sz w:val="21"/>
                <w:szCs w:val="21"/>
                <w:highlight w:val="none"/>
              </w:rPr>
              <w:t>职称证书或资格证书编号</w:t>
            </w:r>
            <w:bookmarkEnd w:id="41"/>
          </w:p>
        </w:tc>
        <w:tc>
          <w:tcPr>
            <w:tcW w:w="1660" w:type="dxa"/>
          </w:tcPr>
          <w:p>
            <w:pPr>
              <w:pStyle w:val="124"/>
              <w:spacing w:before="156" w:after="156"/>
              <w:jc w:val="center"/>
              <w:outlineLvl w:val="9"/>
              <w:rPr>
                <w:b w:val="0"/>
                <w:sz w:val="21"/>
                <w:szCs w:val="21"/>
                <w:highlight w:val="none"/>
              </w:rPr>
            </w:pPr>
            <w:r>
              <w:rPr>
                <w:rFonts w:hint="eastAsia"/>
                <w:b w:val="0"/>
                <w:sz w:val="21"/>
                <w:szCs w:val="21"/>
                <w:highlight w:val="none"/>
              </w:rPr>
              <w:t>定标辅助文件中对应的页码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4"/>
              <w:spacing w:before="156" w:after="156"/>
              <w:outlineLvl w:val="9"/>
              <w:rPr>
                <w:b w:val="0"/>
                <w:sz w:val="21"/>
                <w:szCs w:val="21"/>
                <w:highlight w:val="none"/>
              </w:rPr>
            </w:pPr>
          </w:p>
        </w:tc>
        <w:tc>
          <w:tcPr>
            <w:tcW w:w="1223" w:type="dxa"/>
          </w:tcPr>
          <w:p>
            <w:pPr>
              <w:pStyle w:val="124"/>
              <w:spacing w:before="156" w:after="156"/>
              <w:outlineLvl w:val="9"/>
              <w:rPr>
                <w:b w:val="0"/>
                <w:sz w:val="21"/>
                <w:szCs w:val="21"/>
                <w:highlight w:val="none"/>
              </w:rPr>
            </w:pPr>
          </w:p>
        </w:tc>
        <w:tc>
          <w:tcPr>
            <w:tcW w:w="1754" w:type="dxa"/>
          </w:tcPr>
          <w:p>
            <w:pPr>
              <w:pStyle w:val="124"/>
              <w:spacing w:before="156" w:after="156"/>
              <w:outlineLvl w:val="9"/>
              <w:rPr>
                <w:b w:val="0"/>
                <w:sz w:val="21"/>
                <w:szCs w:val="21"/>
                <w:highlight w:val="none"/>
              </w:rPr>
            </w:pPr>
          </w:p>
        </w:tc>
        <w:tc>
          <w:tcPr>
            <w:tcW w:w="1621" w:type="dxa"/>
          </w:tcPr>
          <w:p>
            <w:pPr>
              <w:pStyle w:val="124"/>
              <w:spacing w:before="156" w:after="156"/>
              <w:outlineLvl w:val="9"/>
              <w:rPr>
                <w:b w:val="0"/>
                <w:sz w:val="21"/>
                <w:szCs w:val="21"/>
                <w:highlight w:val="none"/>
              </w:rPr>
            </w:pPr>
          </w:p>
        </w:tc>
        <w:tc>
          <w:tcPr>
            <w:tcW w:w="1888" w:type="dxa"/>
          </w:tcPr>
          <w:p>
            <w:pPr>
              <w:pStyle w:val="124"/>
              <w:spacing w:before="156" w:after="156"/>
              <w:outlineLvl w:val="9"/>
              <w:rPr>
                <w:b w:val="0"/>
                <w:sz w:val="21"/>
                <w:szCs w:val="21"/>
                <w:highlight w:val="none"/>
              </w:rPr>
            </w:pPr>
          </w:p>
        </w:tc>
        <w:tc>
          <w:tcPr>
            <w:tcW w:w="1660" w:type="dxa"/>
          </w:tcPr>
          <w:p>
            <w:pPr>
              <w:pStyle w:val="124"/>
              <w:spacing w:before="156" w:after="156"/>
              <w:outlineLvl w:val="9"/>
              <w:rPr>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 w:type="dxa"/>
          </w:tcPr>
          <w:p>
            <w:pPr>
              <w:pStyle w:val="124"/>
              <w:spacing w:before="156" w:after="156"/>
              <w:outlineLvl w:val="9"/>
              <w:rPr>
                <w:b w:val="0"/>
                <w:sz w:val="21"/>
                <w:szCs w:val="21"/>
                <w:highlight w:val="none"/>
              </w:rPr>
            </w:pPr>
          </w:p>
        </w:tc>
        <w:tc>
          <w:tcPr>
            <w:tcW w:w="1223" w:type="dxa"/>
          </w:tcPr>
          <w:p>
            <w:pPr>
              <w:pStyle w:val="124"/>
              <w:spacing w:before="156" w:after="156"/>
              <w:outlineLvl w:val="9"/>
              <w:rPr>
                <w:b w:val="0"/>
                <w:sz w:val="21"/>
                <w:szCs w:val="21"/>
                <w:highlight w:val="none"/>
              </w:rPr>
            </w:pPr>
          </w:p>
        </w:tc>
        <w:tc>
          <w:tcPr>
            <w:tcW w:w="1754" w:type="dxa"/>
          </w:tcPr>
          <w:p>
            <w:pPr>
              <w:pStyle w:val="124"/>
              <w:spacing w:before="156" w:after="156"/>
              <w:outlineLvl w:val="9"/>
              <w:rPr>
                <w:b w:val="0"/>
                <w:sz w:val="21"/>
                <w:szCs w:val="21"/>
                <w:highlight w:val="none"/>
              </w:rPr>
            </w:pPr>
          </w:p>
        </w:tc>
        <w:tc>
          <w:tcPr>
            <w:tcW w:w="1621" w:type="dxa"/>
          </w:tcPr>
          <w:p>
            <w:pPr>
              <w:pStyle w:val="124"/>
              <w:spacing w:before="156" w:after="156"/>
              <w:outlineLvl w:val="9"/>
              <w:rPr>
                <w:b w:val="0"/>
                <w:sz w:val="21"/>
                <w:szCs w:val="21"/>
                <w:highlight w:val="none"/>
              </w:rPr>
            </w:pPr>
          </w:p>
        </w:tc>
        <w:tc>
          <w:tcPr>
            <w:tcW w:w="1888" w:type="dxa"/>
          </w:tcPr>
          <w:p>
            <w:pPr>
              <w:pStyle w:val="124"/>
              <w:spacing w:before="156" w:after="156"/>
              <w:outlineLvl w:val="9"/>
              <w:rPr>
                <w:b w:val="0"/>
                <w:sz w:val="21"/>
                <w:szCs w:val="21"/>
                <w:highlight w:val="none"/>
              </w:rPr>
            </w:pPr>
          </w:p>
        </w:tc>
        <w:tc>
          <w:tcPr>
            <w:tcW w:w="1660" w:type="dxa"/>
          </w:tcPr>
          <w:p>
            <w:pPr>
              <w:pStyle w:val="124"/>
              <w:spacing w:before="156" w:after="156"/>
              <w:outlineLvl w:val="9"/>
              <w:rPr>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 w:type="dxa"/>
          </w:tcPr>
          <w:p>
            <w:pPr>
              <w:pStyle w:val="124"/>
              <w:spacing w:before="156" w:after="156"/>
              <w:outlineLvl w:val="9"/>
              <w:rPr>
                <w:b w:val="0"/>
                <w:sz w:val="21"/>
                <w:szCs w:val="21"/>
                <w:highlight w:val="none"/>
              </w:rPr>
            </w:pPr>
          </w:p>
        </w:tc>
        <w:tc>
          <w:tcPr>
            <w:tcW w:w="1223" w:type="dxa"/>
          </w:tcPr>
          <w:p>
            <w:pPr>
              <w:pStyle w:val="124"/>
              <w:spacing w:before="156" w:after="156"/>
              <w:outlineLvl w:val="9"/>
              <w:rPr>
                <w:b w:val="0"/>
                <w:sz w:val="21"/>
                <w:szCs w:val="21"/>
                <w:highlight w:val="none"/>
              </w:rPr>
            </w:pPr>
          </w:p>
        </w:tc>
        <w:tc>
          <w:tcPr>
            <w:tcW w:w="1754" w:type="dxa"/>
          </w:tcPr>
          <w:p>
            <w:pPr>
              <w:pStyle w:val="124"/>
              <w:spacing w:before="156" w:after="156"/>
              <w:outlineLvl w:val="9"/>
              <w:rPr>
                <w:b w:val="0"/>
                <w:sz w:val="21"/>
                <w:szCs w:val="21"/>
                <w:highlight w:val="none"/>
              </w:rPr>
            </w:pPr>
          </w:p>
        </w:tc>
        <w:tc>
          <w:tcPr>
            <w:tcW w:w="1621" w:type="dxa"/>
          </w:tcPr>
          <w:p>
            <w:pPr>
              <w:pStyle w:val="124"/>
              <w:spacing w:before="156" w:after="156"/>
              <w:outlineLvl w:val="9"/>
              <w:rPr>
                <w:b w:val="0"/>
                <w:sz w:val="21"/>
                <w:szCs w:val="21"/>
                <w:highlight w:val="none"/>
              </w:rPr>
            </w:pPr>
          </w:p>
        </w:tc>
        <w:tc>
          <w:tcPr>
            <w:tcW w:w="1888" w:type="dxa"/>
          </w:tcPr>
          <w:p>
            <w:pPr>
              <w:pStyle w:val="124"/>
              <w:spacing w:before="156" w:after="156"/>
              <w:outlineLvl w:val="9"/>
              <w:rPr>
                <w:b w:val="0"/>
                <w:sz w:val="21"/>
                <w:szCs w:val="21"/>
                <w:highlight w:val="none"/>
              </w:rPr>
            </w:pPr>
          </w:p>
        </w:tc>
        <w:tc>
          <w:tcPr>
            <w:tcW w:w="1660" w:type="dxa"/>
          </w:tcPr>
          <w:p>
            <w:pPr>
              <w:pStyle w:val="124"/>
              <w:spacing w:before="156" w:after="156"/>
              <w:outlineLvl w:val="9"/>
              <w:rPr>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 w:type="dxa"/>
          </w:tcPr>
          <w:p>
            <w:pPr>
              <w:pStyle w:val="124"/>
              <w:spacing w:before="156" w:after="156"/>
              <w:outlineLvl w:val="9"/>
              <w:rPr>
                <w:b w:val="0"/>
                <w:sz w:val="21"/>
                <w:szCs w:val="21"/>
                <w:highlight w:val="none"/>
              </w:rPr>
            </w:pPr>
          </w:p>
        </w:tc>
        <w:tc>
          <w:tcPr>
            <w:tcW w:w="1223" w:type="dxa"/>
          </w:tcPr>
          <w:p>
            <w:pPr>
              <w:pStyle w:val="124"/>
              <w:spacing w:before="156" w:after="156"/>
              <w:outlineLvl w:val="9"/>
              <w:rPr>
                <w:b w:val="0"/>
                <w:sz w:val="21"/>
                <w:szCs w:val="21"/>
                <w:highlight w:val="none"/>
              </w:rPr>
            </w:pPr>
          </w:p>
        </w:tc>
        <w:tc>
          <w:tcPr>
            <w:tcW w:w="1754" w:type="dxa"/>
          </w:tcPr>
          <w:p>
            <w:pPr>
              <w:pStyle w:val="124"/>
              <w:spacing w:before="156" w:after="156"/>
              <w:outlineLvl w:val="9"/>
              <w:rPr>
                <w:b w:val="0"/>
                <w:sz w:val="21"/>
                <w:szCs w:val="21"/>
                <w:highlight w:val="none"/>
              </w:rPr>
            </w:pPr>
          </w:p>
        </w:tc>
        <w:tc>
          <w:tcPr>
            <w:tcW w:w="1621" w:type="dxa"/>
          </w:tcPr>
          <w:p>
            <w:pPr>
              <w:pStyle w:val="124"/>
              <w:spacing w:before="156" w:after="156"/>
              <w:outlineLvl w:val="9"/>
              <w:rPr>
                <w:b w:val="0"/>
                <w:sz w:val="21"/>
                <w:szCs w:val="21"/>
                <w:highlight w:val="none"/>
              </w:rPr>
            </w:pPr>
          </w:p>
        </w:tc>
        <w:tc>
          <w:tcPr>
            <w:tcW w:w="1888" w:type="dxa"/>
          </w:tcPr>
          <w:p>
            <w:pPr>
              <w:pStyle w:val="124"/>
              <w:spacing w:before="156" w:after="156"/>
              <w:outlineLvl w:val="9"/>
              <w:rPr>
                <w:b w:val="0"/>
                <w:sz w:val="21"/>
                <w:szCs w:val="21"/>
                <w:highlight w:val="none"/>
              </w:rPr>
            </w:pPr>
          </w:p>
        </w:tc>
        <w:tc>
          <w:tcPr>
            <w:tcW w:w="1660" w:type="dxa"/>
          </w:tcPr>
          <w:p>
            <w:pPr>
              <w:pStyle w:val="124"/>
              <w:spacing w:before="156" w:after="156"/>
              <w:outlineLvl w:val="9"/>
              <w:rPr>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 w:type="dxa"/>
          </w:tcPr>
          <w:p>
            <w:pPr>
              <w:pStyle w:val="124"/>
              <w:spacing w:before="156" w:after="156"/>
              <w:outlineLvl w:val="9"/>
              <w:rPr>
                <w:b w:val="0"/>
                <w:sz w:val="21"/>
                <w:szCs w:val="21"/>
                <w:highlight w:val="none"/>
              </w:rPr>
            </w:pPr>
          </w:p>
        </w:tc>
        <w:tc>
          <w:tcPr>
            <w:tcW w:w="1223" w:type="dxa"/>
          </w:tcPr>
          <w:p>
            <w:pPr>
              <w:pStyle w:val="124"/>
              <w:spacing w:before="156" w:after="156"/>
              <w:outlineLvl w:val="9"/>
              <w:rPr>
                <w:b w:val="0"/>
                <w:sz w:val="21"/>
                <w:szCs w:val="21"/>
                <w:highlight w:val="none"/>
              </w:rPr>
            </w:pPr>
          </w:p>
        </w:tc>
        <w:tc>
          <w:tcPr>
            <w:tcW w:w="1754" w:type="dxa"/>
          </w:tcPr>
          <w:p>
            <w:pPr>
              <w:pStyle w:val="124"/>
              <w:spacing w:before="156" w:after="156"/>
              <w:outlineLvl w:val="9"/>
              <w:rPr>
                <w:b w:val="0"/>
                <w:sz w:val="21"/>
                <w:szCs w:val="21"/>
                <w:highlight w:val="none"/>
              </w:rPr>
            </w:pPr>
          </w:p>
        </w:tc>
        <w:tc>
          <w:tcPr>
            <w:tcW w:w="1621" w:type="dxa"/>
          </w:tcPr>
          <w:p>
            <w:pPr>
              <w:pStyle w:val="124"/>
              <w:spacing w:before="156" w:after="156"/>
              <w:outlineLvl w:val="9"/>
              <w:rPr>
                <w:b w:val="0"/>
                <w:sz w:val="21"/>
                <w:szCs w:val="21"/>
                <w:highlight w:val="none"/>
              </w:rPr>
            </w:pPr>
          </w:p>
        </w:tc>
        <w:tc>
          <w:tcPr>
            <w:tcW w:w="1888" w:type="dxa"/>
          </w:tcPr>
          <w:p>
            <w:pPr>
              <w:pStyle w:val="124"/>
              <w:spacing w:before="156" w:after="156"/>
              <w:outlineLvl w:val="9"/>
              <w:rPr>
                <w:b w:val="0"/>
                <w:sz w:val="21"/>
                <w:szCs w:val="21"/>
                <w:highlight w:val="none"/>
              </w:rPr>
            </w:pPr>
          </w:p>
        </w:tc>
        <w:tc>
          <w:tcPr>
            <w:tcW w:w="1660" w:type="dxa"/>
          </w:tcPr>
          <w:p>
            <w:pPr>
              <w:pStyle w:val="124"/>
              <w:spacing w:before="156" w:after="156"/>
              <w:outlineLvl w:val="9"/>
              <w:rPr>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 w:type="dxa"/>
          </w:tcPr>
          <w:p>
            <w:pPr>
              <w:pStyle w:val="124"/>
              <w:spacing w:before="156" w:after="156"/>
              <w:outlineLvl w:val="9"/>
              <w:rPr>
                <w:b w:val="0"/>
                <w:sz w:val="21"/>
                <w:szCs w:val="21"/>
                <w:highlight w:val="none"/>
              </w:rPr>
            </w:pPr>
          </w:p>
        </w:tc>
        <w:tc>
          <w:tcPr>
            <w:tcW w:w="1223" w:type="dxa"/>
          </w:tcPr>
          <w:p>
            <w:pPr>
              <w:pStyle w:val="124"/>
              <w:spacing w:before="156" w:after="156"/>
              <w:outlineLvl w:val="9"/>
              <w:rPr>
                <w:b w:val="0"/>
                <w:sz w:val="21"/>
                <w:szCs w:val="21"/>
                <w:highlight w:val="none"/>
              </w:rPr>
            </w:pPr>
          </w:p>
        </w:tc>
        <w:tc>
          <w:tcPr>
            <w:tcW w:w="1754" w:type="dxa"/>
          </w:tcPr>
          <w:p>
            <w:pPr>
              <w:pStyle w:val="124"/>
              <w:spacing w:before="156" w:after="156"/>
              <w:outlineLvl w:val="9"/>
              <w:rPr>
                <w:b w:val="0"/>
                <w:sz w:val="21"/>
                <w:szCs w:val="21"/>
                <w:highlight w:val="none"/>
              </w:rPr>
            </w:pPr>
          </w:p>
        </w:tc>
        <w:tc>
          <w:tcPr>
            <w:tcW w:w="1621" w:type="dxa"/>
          </w:tcPr>
          <w:p>
            <w:pPr>
              <w:pStyle w:val="124"/>
              <w:spacing w:before="156" w:after="156"/>
              <w:outlineLvl w:val="9"/>
              <w:rPr>
                <w:b w:val="0"/>
                <w:sz w:val="21"/>
                <w:szCs w:val="21"/>
                <w:highlight w:val="none"/>
              </w:rPr>
            </w:pPr>
          </w:p>
        </w:tc>
        <w:tc>
          <w:tcPr>
            <w:tcW w:w="1888" w:type="dxa"/>
          </w:tcPr>
          <w:p>
            <w:pPr>
              <w:pStyle w:val="124"/>
              <w:spacing w:before="156" w:after="156"/>
              <w:outlineLvl w:val="9"/>
              <w:rPr>
                <w:b w:val="0"/>
                <w:sz w:val="21"/>
                <w:szCs w:val="21"/>
                <w:highlight w:val="none"/>
              </w:rPr>
            </w:pPr>
          </w:p>
        </w:tc>
        <w:tc>
          <w:tcPr>
            <w:tcW w:w="1660" w:type="dxa"/>
          </w:tcPr>
          <w:p>
            <w:pPr>
              <w:pStyle w:val="124"/>
              <w:spacing w:before="156" w:after="156"/>
              <w:outlineLvl w:val="9"/>
              <w:rPr>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 w:type="dxa"/>
          </w:tcPr>
          <w:p>
            <w:pPr>
              <w:pStyle w:val="124"/>
              <w:spacing w:before="156" w:after="156"/>
              <w:outlineLvl w:val="9"/>
              <w:rPr>
                <w:b w:val="0"/>
                <w:sz w:val="21"/>
                <w:szCs w:val="21"/>
                <w:highlight w:val="none"/>
              </w:rPr>
            </w:pPr>
          </w:p>
        </w:tc>
        <w:tc>
          <w:tcPr>
            <w:tcW w:w="1223" w:type="dxa"/>
          </w:tcPr>
          <w:p>
            <w:pPr>
              <w:pStyle w:val="124"/>
              <w:spacing w:before="156" w:after="156"/>
              <w:outlineLvl w:val="9"/>
              <w:rPr>
                <w:b w:val="0"/>
                <w:sz w:val="21"/>
                <w:szCs w:val="21"/>
                <w:highlight w:val="none"/>
              </w:rPr>
            </w:pPr>
          </w:p>
        </w:tc>
        <w:tc>
          <w:tcPr>
            <w:tcW w:w="1754" w:type="dxa"/>
          </w:tcPr>
          <w:p>
            <w:pPr>
              <w:pStyle w:val="124"/>
              <w:spacing w:before="156" w:after="156"/>
              <w:outlineLvl w:val="9"/>
              <w:rPr>
                <w:b w:val="0"/>
                <w:sz w:val="21"/>
                <w:szCs w:val="21"/>
                <w:highlight w:val="none"/>
              </w:rPr>
            </w:pPr>
          </w:p>
        </w:tc>
        <w:tc>
          <w:tcPr>
            <w:tcW w:w="1621" w:type="dxa"/>
          </w:tcPr>
          <w:p>
            <w:pPr>
              <w:pStyle w:val="124"/>
              <w:spacing w:before="156" w:after="156"/>
              <w:outlineLvl w:val="9"/>
              <w:rPr>
                <w:b w:val="0"/>
                <w:sz w:val="21"/>
                <w:szCs w:val="21"/>
                <w:highlight w:val="none"/>
              </w:rPr>
            </w:pPr>
          </w:p>
        </w:tc>
        <w:tc>
          <w:tcPr>
            <w:tcW w:w="1888" w:type="dxa"/>
          </w:tcPr>
          <w:p>
            <w:pPr>
              <w:pStyle w:val="124"/>
              <w:spacing w:before="156" w:after="156"/>
              <w:outlineLvl w:val="9"/>
              <w:rPr>
                <w:b w:val="0"/>
                <w:sz w:val="21"/>
                <w:szCs w:val="21"/>
                <w:highlight w:val="none"/>
              </w:rPr>
            </w:pPr>
          </w:p>
        </w:tc>
        <w:tc>
          <w:tcPr>
            <w:tcW w:w="1660" w:type="dxa"/>
          </w:tcPr>
          <w:p>
            <w:pPr>
              <w:pStyle w:val="124"/>
              <w:spacing w:before="156" w:after="156"/>
              <w:outlineLvl w:val="9"/>
              <w:rPr>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 w:type="dxa"/>
          </w:tcPr>
          <w:p>
            <w:pPr>
              <w:pStyle w:val="124"/>
              <w:spacing w:before="156" w:after="156"/>
              <w:outlineLvl w:val="9"/>
              <w:rPr>
                <w:b w:val="0"/>
                <w:sz w:val="21"/>
                <w:szCs w:val="21"/>
                <w:highlight w:val="none"/>
              </w:rPr>
            </w:pPr>
          </w:p>
        </w:tc>
        <w:tc>
          <w:tcPr>
            <w:tcW w:w="1223" w:type="dxa"/>
          </w:tcPr>
          <w:p>
            <w:pPr>
              <w:pStyle w:val="124"/>
              <w:spacing w:before="156" w:after="156"/>
              <w:outlineLvl w:val="9"/>
              <w:rPr>
                <w:b w:val="0"/>
                <w:sz w:val="21"/>
                <w:szCs w:val="21"/>
                <w:highlight w:val="none"/>
              </w:rPr>
            </w:pPr>
          </w:p>
        </w:tc>
        <w:tc>
          <w:tcPr>
            <w:tcW w:w="1754" w:type="dxa"/>
          </w:tcPr>
          <w:p>
            <w:pPr>
              <w:pStyle w:val="124"/>
              <w:spacing w:before="156" w:after="156"/>
              <w:outlineLvl w:val="9"/>
              <w:rPr>
                <w:b w:val="0"/>
                <w:sz w:val="21"/>
                <w:szCs w:val="21"/>
                <w:highlight w:val="none"/>
              </w:rPr>
            </w:pPr>
          </w:p>
        </w:tc>
        <w:tc>
          <w:tcPr>
            <w:tcW w:w="1621" w:type="dxa"/>
          </w:tcPr>
          <w:p>
            <w:pPr>
              <w:pStyle w:val="124"/>
              <w:spacing w:before="156" w:after="156"/>
              <w:outlineLvl w:val="9"/>
              <w:rPr>
                <w:b w:val="0"/>
                <w:sz w:val="21"/>
                <w:szCs w:val="21"/>
                <w:highlight w:val="none"/>
              </w:rPr>
            </w:pPr>
          </w:p>
        </w:tc>
        <w:tc>
          <w:tcPr>
            <w:tcW w:w="1888" w:type="dxa"/>
          </w:tcPr>
          <w:p>
            <w:pPr>
              <w:pStyle w:val="124"/>
              <w:spacing w:before="156" w:after="156"/>
              <w:outlineLvl w:val="9"/>
              <w:rPr>
                <w:b w:val="0"/>
                <w:sz w:val="21"/>
                <w:szCs w:val="21"/>
                <w:highlight w:val="none"/>
              </w:rPr>
            </w:pPr>
          </w:p>
        </w:tc>
        <w:tc>
          <w:tcPr>
            <w:tcW w:w="1660" w:type="dxa"/>
          </w:tcPr>
          <w:p>
            <w:pPr>
              <w:pStyle w:val="124"/>
              <w:spacing w:before="156" w:after="156"/>
              <w:outlineLvl w:val="9"/>
              <w:rPr>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 w:type="dxa"/>
          </w:tcPr>
          <w:p>
            <w:pPr>
              <w:pStyle w:val="124"/>
              <w:spacing w:before="156" w:after="156"/>
              <w:outlineLvl w:val="9"/>
              <w:rPr>
                <w:b w:val="0"/>
                <w:sz w:val="21"/>
                <w:szCs w:val="21"/>
                <w:highlight w:val="none"/>
              </w:rPr>
            </w:pPr>
          </w:p>
        </w:tc>
        <w:tc>
          <w:tcPr>
            <w:tcW w:w="1223" w:type="dxa"/>
          </w:tcPr>
          <w:p>
            <w:pPr>
              <w:pStyle w:val="124"/>
              <w:spacing w:before="156" w:after="156"/>
              <w:outlineLvl w:val="9"/>
              <w:rPr>
                <w:b w:val="0"/>
                <w:sz w:val="21"/>
                <w:szCs w:val="21"/>
                <w:highlight w:val="none"/>
              </w:rPr>
            </w:pPr>
          </w:p>
        </w:tc>
        <w:tc>
          <w:tcPr>
            <w:tcW w:w="1754" w:type="dxa"/>
          </w:tcPr>
          <w:p>
            <w:pPr>
              <w:pStyle w:val="124"/>
              <w:spacing w:before="156" w:after="156"/>
              <w:outlineLvl w:val="9"/>
              <w:rPr>
                <w:b w:val="0"/>
                <w:sz w:val="21"/>
                <w:szCs w:val="21"/>
                <w:highlight w:val="none"/>
              </w:rPr>
            </w:pPr>
          </w:p>
        </w:tc>
        <w:tc>
          <w:tcPr>
            <w:tcW w:w="1621" w:type="dxa"/>
          </w:tcPr>
          <w:p>
            <w:pPr>
              <w:pStyle w:val="124"/>
              <w:spacing w:before="156" w:after="156"/>
              <w:outlineLvl w:val="9"/>
              <w:rPr>
                <w:b w:val="0"/>
                <w:sz w:val="21"/>
                <w:szCs w:val="21"/>
                <w:highlight w:val="none"/>
              </w:rPr>
            </w:pPr>
          </w:p>
        </w:tc>
        <w:tc>
          <w:tcPr>
            <w:tcW w:w="1888" w:type="dxa"/>
          </w:tcPr>
          <w:p>
            <w:pPr>
              <w:pStyle w:val="124"/>
              <w:spacing w:before="156" w:after="156"/>
              <w:outlineLvl w:val="9"/>
              <w:rPr>
                <w:b w:val="0"/>
                <w:sz w:val="21"/>
                <w:szCs w:val="21"/>
                <w:highlight w:val="none"/>
              </w:rPr>
            </w:pPr>
          </w:p>
        </w:tc>
        <w:tc>
          <w:tcPr>
            <w:tcW w:w="1660" w:type="dxa"/>
          </w:tcPr>
          <w:p>
            <w:pPr>
              <w:pStyle w:val="124"/>
              <w:spacing w:before="156" w:after="156"/>
              <w:outlineLvl w:val="9"/>
              <w:rPr>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 w:type="dxa"/>
          </w:tcPr>
          <w:p>
            <w:pPr>
              <w:pStyle w:val="124"/>
              <w:spacing w:before="156" w:after="156"/>
              <w:outlineLvl w:val="9"/>
              <w:rPr>
                <w:b w:val="0"/>
                <w:sz w:val="21"/>
                <w:szCs w:val="21"/>
                <w:highlight w:val="none"/>
              </w:rPr>
            </w:pPr>
          </w:p>
        </w:tc>
        <w:tc>
          <w:tcPr>
            <w:tcW w:w="1223" w:type="dxa"/>
          </w:tcPr>
          <w:p>
            <w:pPr>
              <w:pStyle w:val="124"/>
              <w:spacing w:before="156" w:after="156"/>
              <w:outlineLvl w:val="9"/>
              <w:rPr>
                <w:b w:val="0"/>
                <w:sz w:val="21"/>
                <w:szCs w:val="21"/>
                <w:highlight w:val="none"/>
              </w:rPr>
            </w:pPr>
          </w:p>
        </w:tc>
        <w:tc>
          <w:tcPr>
            <w:tcW w:w="1754" w:type="dxa"/>
          </w:tcPr>
          <w:p>
            <w:pPr>
              <w:pStyle w:val="124"/>
              <w:spacing w:before="156" w:after="156"/>
              <w:outlineLvl w:val="9"/>
              <w:rPr>
                <w:b w:val="0"/>
                <w:sz w:val="21"/>
                <w:szCs w:val="21"/>
                <w:highlight w:val="none"/>
              </w:rPr>
            </w:pPr>
          </w:p>
        </w:tc>
        <w:tc>
          <w:tcPr>
            <w:tcW w:w="1621" w:type="dxa"/>
          </w:tcPr>
          <w:p>
            <w:pPr>
              <w:pStyle w:val="124"/>
              <w:spacing w:before="156" w:after="156"/>
              <w:outlineLvl w:val="9"/>
              <w:rPr>
                <w:b w:val="0"/>
                <w:sz w:val="21"/>
                <w:szCs w:val="21"/>
                <w:highlight w:val="none"/>
              </w:rPr>
            </w:pPr>
          </w:p>
        </w:tc>
        <w:tc>
          <w:tcPr>
            <w:tcW w:w="1888" w:type="dxa"/>
          </w:tcPr>
          <w:p>
            <w:pPr>
              <w:pStyle w:val="124"/>
              <w:spacing w:before="156" w:after="156"/>
              <w:outlineLvl w:val="9"/>
              <w:rPr>
                <w:b w:val="0"/>
                <w:sz w:val="21"/>
                <w:szCs w:val="21"/>
                <w:highlight w:val="none"/>
              </w:rPr>
            </w:pPr>
          </w:p>
        </w:tc>
        <w:tc>
          <w:tcPr>
            <w:tcW w:w="1660" w:type="dxa"/>
          </w:tcPr>
          <w:p>
            <w:pPr>
              <w:pStyle w:val="124"/>
              <w:spacing w:before="156" w:after="156"/>
              <w:outlineLvl w:val="9"/>
              <w:rPr>
                <w:b w:val="0"/>
                <w:sz w:val="21"/>
                <w:szCs w:val="21"/>
                <w:highlight w:val="none"/>
              </w:rPr>
            </w:pPr>
          </w:p>
        </w:tc>
      </w:tr>
    </w:tbl>
    <w:p>
      <w:pPr>
        <w:rPr>
          <w:rFonts w:ascii="宋体" w:hAnsi="宋体"/>
          <w:highlight w:val="none"/>
        </w:rPr>
      </w:pPr>
      <w:r>
        <w:rPr>
          <w:rFonts w:hint="eastAsia" w:ascii="宋体" w:hAnsi="宋体"/>
          <w:highlight w:val="none"/>
        </w:rPr>
        <w:t>备注：</w:t>
      </w:r>
    </w:p>
    <w:p>
      <w:pPr>
        <w:rPr>
          <w:rFonts w:ascii="宋体" w:hAnsi="宋体"/>
          <w:highlight w:val="none"/>
          <w:u w:val="single"/>
        </w:rPr>
      </w:pPr>
      <w:r>
        <w:rPr>
          <w:rFonts w:hint="eastAsia" w:ascii="宋体" w:hAnsi="宋体"/>
          <w:highlight w:val="none"/>
          <w:u w:val="single"/>
        </w:rPr>
        <w:t>1、“岗位”要求（除项目负责人和专职安全员外）按招标文件中的要求，投标人可根据企业自身及项目实际情况自行增加人员配置。以上项目管理团队人员信息将由交易系统提取后供各相关单位在履约时比对、查核。</w:t>
      </w:r>
    </w:p>
    <w:p>
      <w:pPr>
        <w:rPr>
          <w:rFonts w:ascii="宋体" w:hAnsi="宋体"/>
          <w:highlight w:val="none"/>
          <w:u w:val="single"/>
        </w:rPr>
      </w:pPr>
      <w:r>
        <w:rPr>
          <w:rFonts w:hint="eastAsia" w:ascii="宋体" w:hAnsi="宋体"/>
          <w:highlight w:val="none"/>
          <w:u w:val="singl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rPr>
          <w:rFonts w:ascii="宋体" w:hAnsi="宋体"/>
          <w:highlight w:val="none"/>
          <w:u w:val="single"/>
        </w:rPr>
      </w:pPr>
      <w:r>
        <w:rPr>
          <w:rFonts w:hint="eastAsia" w:ascii="宋体" w:hAnsi="宋体"/>
          <w:highlight w:val="none"/>
          <w:u w:val="singl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rPr>
          <w:highlight w:val="none"/>
          <w:u w:val="single"/>
        </w:rPr>
      </w:pPr>
      <w:r>
        <w:rPr>
          <w:rFonts w:hint="eastAsia" w:ascii="宋体" w:hAnsi="宋体"/>
          <w:highlight w:val="none"/>
          <w:u w:val="single"/>
        </w:rPr>
        <w:t>4、投入人员需提供的证明文件复印件详见《投入主要人员基本要求表》备注要求，并附简历表以及</w:t>
      </w:r>
      <w:r>
        <w:rPr>
          <w:rFonts w:ascii="宋体" w:hAnsi="宋体"/>
          <w:highlight w:val="none"/>
          <w:u w:val="single"/>
        </w:rPr>
        <w:t>2023年</w:t>
      </w:r>
      <w:r>
        <w:rPr>
          <w:rFonts w:hint="eastAsia" w:ascii="宋体" w:hAnsi="宋体"/>
          <w:highlight w:val="none"/>
          <w:u w:val="single"/>
        </w:rPr>
        <w:t>1</w:t>
      </w:r>
      <w:r>
        <w:rPr>
          <w:rFonts w:hint="eastAsia" w:ascii="宋体" w:hAnsi="宋体"/>
          <w:highlight w:val="none"/>
          <w:u w:val="single"/>
          <w:lang w:val="en-US" w:eastAsia="zh-CN"/>
        </w:rPr>
        <w:t>2</w:t>
      </w:r>
      <w:r>
        <w:rPr>
          <w:rFonts w:hint="eastAsia" w:ascii="宋体" w:hAnsi="宋体"/>
          <w:highlight w:val="none"/>
          <w:u w:val="single"/>
        </w:rPr>
        <w:t>月至</w:t>
      </w:r>
      <w:r>
        <w:rPr>
          <w:rFonts w:ascii="宋体" w:hAnsi="宋体"/>
          <w:highlight w:val="none"/>
          <w:u w:val="single"/>
        </w:rPr>
        <w:t>202</w:t>
      </w:r>
      <w:r>
        <w:rPr>
          <w:rFonts w:hint="eastAsia" w:ascii="宋体" w:hAnsi="宋体"/>
          <w:highlight w:val="none"/>
          <w:u w:val="single"/>
        </w:rPr>
        <w:t>4年</w:t>
      </w:r>
      <w:r>
        <w:rPr>
          <w:rFonts w:hint="eastAsia" w:ascii="宋体" w:hAnsi="宋体"/>
          <w:highlight w:val="none"/>
          <w:u w:val="single"/>
          <w:lang w:val="en-US" w:eastAsia="zh-CN"/>
        </w:rPr>
        <w:t>5</w:t>
      </w:r>
      <w:r>
        <w:rPr>
          <w:rFonts w:hint="eastAsia" w:ascii="宋体" w:hAnsi="宋体"/>
          <w:highlight w:val="none"/>
          <w:u w:val="single"/>
        </w:rPr>
        <w:t>月社保证明文件复印件。</w:t>
      </w:r>
      <w:r>
        <w:rPr>
          <w:highlight w:val="none"/>
          <w:u w:val="single"/>
        </w:rPr>
        <w:tab/>
      </w:r>
    </w:p>
    <w:p>
      <w:pPr>
        <w:pStyle w:val="82"/>
        <w:ind w:firstLine="3596" w:firstLineChars="1450"/>
        <w:rPr>
          <w:highlight w:val="none"/>
        </w:rPr>
      </w:pPr>
      <w:bookmarkStart w:id="74" w:name="_GoBack"/>
      <w:bookmarkEnd w:id="74"/>
    </w:p>
    <w:p>
      <w:pPr>
        <w:pStyle w:val="82"/>
        <w:ind w:firstLine="3596" w:firstLineChars="1450"/>
        <w:rPr>
          <w:highlight w:val="none"/>
        </w:rPr>
      </w:pPr>
      <w:r>
        <w:rPr>
          <w:rFonts w:hint="eastAsia"/>
          <w:highlight w:val="none"/>
        </w:rPr>
        <w:t>投标人：　　（盖章）</w:t>
      </w:r>
    </w:p>
    <w:p>
      <w:pPr>
        <w:pStyle w:val="82"/>
        <w:ind w:firstLine="3596" w:firstLineChars="1450"/>
        <w:rPr>
          <w:highlight w:val="none"/>
        </w:rPr>
      </w:pPr>
      <w:r>
        <w:rPr>
          <w:rFonts w:hint="eastAsia"/>
          <w:highlight w:val="none"/>
        </w:rPr>
        <w:t>法定代表人或授权代理人（签字或盖章）：</w:t>
      </w:r>
    </w:p>
    <w:p>
      <w:pPr>
        <w:pStyle w:val="82"/>
        <w:ind w:firstLine="3596" w:firstLineChars="1450"/>
        <w:rPr>
          <w:highlight w:val="none"/>
        </w:rPr>
      </w:pPr>
      <w:r>
        <w:rPr>
          <w:rFonts w:hint="eastAsia"/>
          <w:highlight w:val="none"/>
        </w:rPr>
        <w:t>日期：年月日</w:t>
      </w:r>
    </w:p>
    <w:p>
      <w:pPr>
        <w:rPr>
          <w:highlight w:val="none"/>
        </w:rPr>
      </w:pPr>
    </w:p>
    <w:p>
      <w:pPr>
        <w:pStyle w:val="124"/>
        <w:spacing w:before="156" w:after="156"/>
        <w:outlineLvl w:val="9"/>
        <w:rPr>
          <w:rFonts w:ascii="宋体" w:eastAsia="宋体"/>
          <w:highlight w:val="none"/>
        </w:rPr>
      </w:pPr>
      <w:bookmarkStart w:id="42" w:name="_Toc80289086"/>
      <w:r>
        <w:rPr>
          <w:rFonts w:hint="eastAsia" w:ascii="宋体" w:eastAsia="宋体"/>
          <w:highlight w:val="none"/>
        </w:rPr>
        <w:t>格式五：企业类似工程业绩表（适用于资格审查业绩，格式自定）</w:t>
      </w:r>
      <w:bookmarkEnd w:id="42"/>
    </w:p>
    <w:p>
      <w:pPr>
        <w:jc w:val="center"/>
        <w:rPr>
          <w:rFonts w:ascii="宋体" w:hAnsi="宋体" w:cs="宋体"/>
          <w:b/>
          <w:sz w:val="24"/>
          <w:szCs w:val="24"/>
          <w:highlight w:val="none"/>
        </w:rPr>
      </w:pPr>
    </w:p>
    <w:p>
      <w:pPr>
        <w:jc w:val="center"/>
        <w:rPr>
          <w:b/>
          <w:sz w:val="24"/>
          <w:szCs w:val="24"/>
          <w:highlight w:val="none"/>
        </w:rPr>
      </w:pPr>
    </w:p>
    <w:p>
      <w:pPr>
        <w:jc w:val="center"/>
        <w:rPr>
          <w:b/>
          <w:sz w:val="24"/>
          <w:szCs w:val="24"/>
          <w:highlight w:val="none"/>
        </w:rPr>
      </w:pPr>
    </w:p>
    <w:p>
      <w:pPr>
        <w:jc w:val="center"/>
        <w:rPr>
          <w:b/>
          <w:sz w:val="24"/>
          <w:szCs w:val="24"/>
          <w:highlight w:val="none"/>
        </w:rPr>
      </w:pPr>
    </w:p>
    <w:p>
      <w:pPr>
        <w:jc w:val="center"/>
        <w:rPr>
          <w:b/>
          <w:sz w:val="24"/>
          <w:szCs w:val="24"/>
          <w:highlight w:val="none"/>
        </w:rPr>
        <w:sectPr>
          <w:pgSz w:w="11906" w:h="16838"/>
          <w:pgMar w:top="1134" w:right="1418" w:bottom="1134" w:left="1418"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b/>
          <w:sz w:val="24"/>
          <w:szCs w:val="24"/>
          <w:highlight w:val="none"/>
        </w:rPr>
      </w:pPr>
    </w:p>
    <w:p>
      <w:pPr>
        <w:jc w:val="center"/>
        <w:rPr>
          <w:b/>
          <w:sz w:val="24"/>
          <w:szCs w:val="24"/>
          <w:highlight w:val="none"/>
        </w:rPr>
      </w:pPr>
    </w:p>
    <w:p>
      <w:pPr>
        <w:pStyle w:val="124"/>
        <w:spacing w:before="156" w:after="156"/>
        <w:outlineLvl w:val="9"/>
        <w:rPr>
          <w:rFonts w:ascii="宋体" w:eastAsia="宋体"/>
          <w:highlight w:val="none"/>
        </w:rPr>
      </w:pPr>
      <w:bookmarkStart w:id="43" w:name="_Toc80289087"/>
      <w:r>
        <w:rPr>
          <w:rFonts w:hint="eastAsia" w:ascii="宋体" w:eastAsia="宋体"/>
          <w:highlight w:val="none"/>
        </w:rPr>
        <w:t>格式六：企业类似工程业绩表（适用于定标阶段评审业绩）</w:t>
      </w:r>
      <w:bookmarkEnd w:id="43"/>
    </w:p>
    <w:p>
      <w:pPr>
        <w:jc w:val="center"/>
        <w:rPr>
          <w:b/>
          <w:sz w:val="24"/>
          <w:szCs w:val="24"/>
          <w:highlight w:val="none"/>
        </w:rPr>
      </w:pPr>
    </w:p>
    <w:p>
      <w:pPr>
        <w:jc w:val="center"/>
        <w:outlineLvl w:val="2"/>
        <w:rPr>
          <w:b/>
          <w:sz w:val="24"/>
          <w:szCs w:val="24"/>
          <w:highlight w:val="none"/>
        </w:rPr>
      </w:pPr>
      <w:r>
        <w:rPr>
          <w:rFonts w:hint="eastAsia"/>
          <w:b/>
          <w:sz w:val="24"/>
          <w:szCs w:val="24"/>
          <w:highlight w:val="none"/>
        </w:rPr>
        <w:t>企业类似工程业绩表</w:t>
      </w:r>
    </w:p>
    <w:p>
      <w:pPr>
        <w:jc w:val="center"/>
        <w:rPr>
          <w:b/>
          <w:sz w:val="24"/>
          <w:szCs w:val="24"/>
          <w:highlight w:val="none"/>
        </w:rPr>
      </w:pPr>
    </w:p>
    <w:tbl>
      <w:tblPr>
        <w:tblStyle w:val="40"/>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3290"/>
        <w:gridCol w:w="2869"/>
        <w:gridCol w:w="1417"/>
        <w:gridCol w:w="1242"/>
        <w:gridCol w:w="1276"/>
        <w:gridCol w:w="26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vAlign w:val="center"/>
          </w:tcPr>
          <w:p>
            <w:pPr>
              <w:jc w:val="center"/>
              <w:rPr>
                <w:rFonts w:ascii="宋体" w:hAnsi="宋体"/>
                <w:sz w:val="18"/>
                <w:szCs w:val="18"/>
                <w:highlight w:val="none"/>
              </w:rPr>
            </w:pPr>
            <w:r>
              <w:rPr>
                <w:rFonts w:hint="eastAsia" w:ascii="宋体" w:hAnsi="宋体"/>
                <w:sz w:val="18"/>
                <w:szCs w:val="18"/>
                <w:highlight w:val="none"/>
              </w:rPr>
              <w:t>序号</w:t>
            </w:r>
          </w:p>
        </w:tc>
        <w:tc>
          <w:tcPr>
            <w:tcW w:w="3290" w:type="dxa"/>
            <w:vAlign w:val="center"/>
          </w:tcPr>
          <w:p>
            <w:pPr>
              <w:jc w:val="center"/>
              <w:rPr>
                <w:rFonts w:ascii="宋体" w:hAnsi="宋体"/>
                <w:sz w:val="18"/>
                <w:szCs w:val="18"/>
                <w:highlight w:val="none"/>
              </w:rPr>
            </w:pPr>
            <w:r>
              <w:rPr>
                <w:rFonts w:hint="eastAsia" w:ascii="宋体" w:hAnsi="宋体"/>
                <w:sz w:val="18"/>
                <w:szCs w:val="18"/>
                <w:highlight w:val="none"/>
              </w:rPr>
              <w:t>项目名称</w:t>
            </w:r>
          </w:p>
        </w:tc>
        <w:tc>
          <w:tcPr>
            <w:tcW w:w="2869" w:type="dxa"/>
            <w:vAlign w:val="center"/>
          </w:tcPr>
          <w:p>
            <w:pPr>
              <w:jc w:val="center"/>
              <w:rPr>
                <w:rFonts w:ascii="宋体" w:hAnsi="宋体"/>
                <w:sz w:val="18"/>
                <w:szCs w:val="18"/>
                <w:highlight w:val="none"/>
              </w:rPr>
            </w:pPr>
            <w:r>
              <w:rPr>
                <w:rFonts w:hint="eastAsia" w:ascii="宋体" w:hAnsi="宋体"/>
                <w:sz w:val="18"/>
                <w:szCs w:val="18"/>
                <w:highlight w:val="none"/>
              </w:rPr>
              <w:t>规模（指高度、面积等相关指标）</w:t>
            </w:r>
          </w:p>
        </w:tc>
        <w:tc>
          <w:tcPr>
            <w:tcW w:w="1417" w:type="dxa"/>
            <w:vAlign w:val="center"/>
          </w:tcPr>
          <w:p>
            <w:pPr>
              <w:jc w:val="center"/>
              <w:rPr>
                <w:rFonts w:ascii="宋体" w:hAnsi="宋体"/>
                <w:sz w:val="18"/>
                <w:szCs w:val="18"/>
                <w:highlight w:val="none"/>
              </w:rPr>
            </w:pPr>
            <w:r>
              <w:rPr>
                <w:rFonts w:hint="eastAsia" w:ascii="宋体" w:hAnsi="宋体"/>
                <w:sz w:val="18"/>
                <w:szCs w:val="18"/>
                <w:highlight w:val="none"/>
              </w:rPr>
              <w:t>合同价（万元）</w:t>
            </w:r>
          </w:p>
        </w:tc>
        <w:tc>
          <w:tcPr>
            <w:tcW w:w="1242" w:type="dxa"/>
            <w:vAlign w:val="center"/>
          </w:tcPr>
          <w:p>
            <w:pPr>
              <w:jc w:val="center"/>
              <w:rPr>
                <w:rFonts w:ascii="宋体" w:hAnsi="宋体"/>
                <w:sz w:val="18"/>
                <w:szCs w:val="18"/>
                <w:highlight w:val="none"/>
              </w:rPr>
            </w:pPr>
            <w:r>
              <w:rPr>
                <w:rFonts w:hint="eastAsia" w:ascii="宋体" w:hAnsi="宋体"/>
                <w:sz w:val="18"/>
                <w:szCs w:val="18"/>
                <w:highlight w:val="none"/>
              </w:rPr>
              <w:t>项目负责人姓名</w:t>
            </w:r>
          </w:p>
        </w:tc>
        <w:tc>
          <w:tcPr>
            <w:tcW w:w="1276" w:type="dxa"/>
            <w:vAlign w:val="center"/>
          </w:tcPr>
          <w:p>
            <w:pPr>
              <w:jc w:val="center"/>
              <w:rPr>
                <w:rFonts w:ascii="宋体" w:hAnsi="宋体"/>
                <w:sz w:val="18"/>
                <w:szCs w:val="18"/>
                <w:highlight w:val="none"/>
              </w:rPr>
            </w:pPr>
            <w:r>
              <w:rPr>
                <w:rFonts w:hint="eastAsia" w:ascii="宋体" w:hAnsi="宋体"/>
                <w:sz w:val="18"/>
                <w:szCs w:val="18"/>
                <w:highlight w:val="none"/>
              </w:rPr>
              <w:t>是否已完工</w:t>
            </w:r>
          </w:p>
        </w:tc>
        <w:tc>
          <w:tcPr>
            <w:tcW w:w="2693" w:type="dxa"/>
            <w:vAlign w:val="center"/>
          </w:tcPr>
          <w:p>
            <w:pPr>
              <w:jc w:val="center"/>
              <w:rPr>
                <w:rFonts w:ascii="宋体" w:hAnsi="宋体"/>
                <w:sz w:val="18"/>
                <w:szCs w:val="18"/>
                <w:highlight w:val="none"/>
              </w:rPr>
            </w:pPr>
            <w:r>
              <w:rPr>
                <w:rFonts w:hint="eastAsia" w:ascii="宋体" w:hAnsi="宋体"/>
                <w:sz w:val="18"/>
                <w:szCs w:val="18"/>
                <w:highlight w:val="none"/>
              </w:rPr>
              <w:t>业主联系方式（业主名称、联系人姓名、联系电话）</w:t>
            </w:r>
          </w:p>
        </w:tc>
        <w:tc>
          <w:tcPr>
            <w:tcW w:w="1418" w:type="dxa"/>
            <w:vAlign w:val="center"/>
          </w:tcPr>
          <w:p>
            <w:pPr>
              <w:jc w:val="center"/>
              <w:rPr>
                <w:rFonts w:ascii="宋体" w:hAnsi="宋体"/>
                <w:sz w:val="18"/>
                <w:szCs w:val="18"/>
                <w:highlight w:val="none"/>
              </w:rPr>
            </w:pPr>
            <w:r>
              <w:rPr>
                <w:rFonts w:hint="eastAsia" w:ascii="宋体" w:hAnsi="宋体"/>
                <w:sz w:val="18"/>
                <w:szCs w:val="18"/>
                <w:highlight w:val="none"/>
              </w:rPr>
              <w:t>定标辅助文件中对应的页码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宋体" w:hAnsi="宋体"/>
                <w:sz w:val="18"/>
                <w:szCs w:val="18"/>
                <w:highlight w:val="none"/>
              </w:rPr>
            </w:pPr>
          </w:p>
        </w:tc>
        <w:tc>
          <w:tcPr>
            <w:tcW w:w="3290" w:type="dxa"/>
          </w:tcPr>
          <w:p>
            <w:pPr>
              <w:rPr>
                <w:rFonts w:ascii="宋体" w:hAnsi="宋体"/>
                <w:sz w:val="18"/>
                <w:szCs w:val="18"/>
                <w:highlight w:val="none"/>
              </w:rPr>
            </w:pPr>
          </w:p>
        </w:tc>
        <w:tc>
          <w:tcPr>
            <w:tcW w:w="2869" w:type="dxa"/>
          </w:tcPr>
          <w:p>
            <w:pPr>
              <w:rPr>
                <w:rFonts w:ascii="宋体" w:hAnsi="宋体"/>
                <w:sz w:val="18"/>
                <w:szCs w:val="18"/>
                <w:highlight w:val="none"/>
              </w:rPr>
            </w:pPr>
          </w:p>
        </w:tc>
        <w:tc>
          <w:tcPr>
            <w:tcW w:w="1417" w:type="dxa"/>
          </w:tcPr>
          <w:p>
            <w:pPr>
              <w:rPr>
                <w:rFonts w:ascii="宋体" w:hAnsi="宋体"/>
                <w:sz w:val="18"/>
                <w:szCs w:val="18"/>
                <w:highlight w:val="none"/>
              </w:rPr>
            </w:pPr>
          </w:p>
        </w:tc>
        <w:tc>
          <w:tcPr>
            <w:tcW w:w="1242" w:type="dxa"/>
          </w:tcPr>
          <w:p>
            <w:pPr>
              <w:rPr>
                <w:rFonts w:ascii="宋体" w:hAnsi="宋体"/>
                <w:sz w:val="18"/>
                <w:szCs w:val="18"/>
                <w:highlight w:val="none"/>
              </w:rPr>
            </w:pPr>
          </w:p>
        </w:tc>
        <w:tc>
          <w:tcPr>
            <w:tcW w:w="1276" w:type="dxa"/>
          </w:tcPr>
          <w:p>
            <w:pPr>
              <w:rPr>
                <w:rFonts w:ascii="宋体" w:hAnsi="宋体"/>
                <w:sz w:val="18"/>
                <w:szCs w:val="18"/>
                <w:highlight w:val="none"/>
              </w:rPr>
            </w:pPr>
          </w:p>
        </w:tc>
        <w:tc>
          <w:tcPr>
            <w:tcW w:w="2693" w:type="dxa"/>
          </w:tcPr>
          <w:p>
            <w:pPr>
              <w:rPr>
                <w:rFonts w:ascii="宋体" w:hAnsi="宋体"/>
                <w:sz w:val="18"/>
                <w:szCs w:val="18"/>
                <w:highlight w:val="none"/>
              </w:rPr>
            </w:pPr>
          </w:p>
        </w:tc>
        <w:tc>
          <w:tcPr>
            <w:tcW w:w="1418" w:type="dxa"/>
          </w:tcPr>
          <w:p>
            <w:pP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宋体" w:hAnsi="宋体"/>
                <w:sz w:val="18"/>
                <w:szCs w:val="18"/>
                <w:highlight w:val="none"/>
              </w:rPr>
            </w:pPr>
          </w:p>
        </w:tc>
        <w:tc>
          <w:tcPr>
            <w:tcW w:w="3290" w:type="dxa"/>
          </w:tcPr>
          <w:p>
            <w:pPr>
              <w:rPr>
                <w:rFonts w:ascii="宋体" w:hAnsi="宋体"/>
                <w:sz w:val="18"/>
                <w:szCs w:val="18"/>
                <w:highlight w:val="none"/>
              </w:rPr>
            </w:pPr>
          </w:p>
        </w:tc>
        <w:tc>
          <w:tcPr>
            <w:tcW w:w="2869" w:type="dxa"/>
          </w:tcPr>
          <w:p>
            <w:pPr>
              <w:rPr>
                <w:rFonts w:ascii="宋体" w:hAnsi="宋体"/>
                <w:sz w:val="18"/>
                <w:szCs w:val="18"/>
                <w:highlight w:val="none"/>
              </w:rPr>
            </w:pPr>
          </w:p>
        </w:tc>
        <w:tc>
          <w:tcPr>
            <w:tcW w:w="1417" w:type="dxa"/>
          </w:tcPr>
          <w:p>
            <w:pPr>
              <w:rPr>
                <w:rFonts w:ascii="宋体" w:hAnsi="宋体"/>
                <w:sz w:val="18"/>
                <w:szCs w:val="18"/>
                <w:highlight w:val="none"/>
              </w:rPr>
            </w:pPr>
          </w:p>
        </w:tc>
        <w:tc>
          <w:tcPr>
            <w:tcW w:w="1242" w:type="dxa"/>
          </w:tcPr>
          <w:p>
            <w:pPr>
              <w:rPr>
                <w:rFonts w:ascii="宋体" w:hAnsi="宋体"/>
                <w:sz w:val="18"/>
                <w:szCs w:val="18"/>
                <w:highlight w:val="none"/>
              </w:rPr>
            </w:pPr>
          </w:p>
        </w:tc>
        <w:tc>
          <w:tcPr>
            <w:tcW w:w="1276" w:type="dxa"/>
          </w:tcPr>
          <w:p>
            <w:pPr>
              <w:rPr>
                <w:rFonts w:ascii="宋体" w:hAnsi="宋体"/>
                <w:sz w:val="18"/>
                <w:szCs w:val="18"/>
                <w:highlight w:val="none"/>
              </w:rPr>
            </w:pPr>
          </w:p>
        </w:tc>
        <w:tc>
          <w:tcPr>
            <w:tcW w:w="2693" w:type="dxa"/>
          </w:tcPr>
          <w:p>
            <w:pPr>
              <w:rPr>
                <w:rFonts w:ascii="宋体" w:hAnsi="宋体"/>
                <w:sz w:val="18"/>
                <w:szCs w:val="18"/>
                <w:highlight w:val="none"/>
              </w:rPr>
            </w:pPr>
          </w:p>
        </w:tc>
        <w:tc>
          <w:tcPr>
            <w:tcW w:w="1418" w:type="dxa"/>
          </w:tcPr>
          <w:p>
            <w:pP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宋体" w:hAnsi="宋体"/>
                <w:sz w:val="18"/>
                <w:szCs w:val="18"/>
                <w:highlight w:val="none"/>
              </w:rPr>
            </w:pPr>
          </w:p>
        </w:tc>
        <w:tc>
          <w:tcPr>
            <w:tcW w:w="3290" w:type="dxa"/>
          </w:tcPr>
          <w:p>
            <w:pPr>
              <w:rPr>
                <w:rFonts w:ascii="宋体" w:hAnsi="宋体"/>
                <w:sz w:val="18"/>
                <w:szCs w:val="18"/>
                <w:highlight w:val="none"/>
              </w:rPr>
            </w:pPr>
          </w:p>
        </w:tc>
        <w:tc>
          <w:tcPr>
            <w:tcW w:w="2869" w:type="dxa"/>
          </w:tcPr>
          <w:p>
            <w:pPr>
              <w:rPr>
                <w:rFonts w:ascii="宋体" w:hAnsi="宋体"/>
                <w:sz w:val="18"/>
                <w:szCs w:val="18"/>
                <w:highlight w:val="none"/>
              </w:rPr>
            </w:pPr>
          </w:p>
        </w:tc>
        <w:tc>
          <w:tcPr>
            <w:tcW w:w="1417" w:type="dxa"/>
          </w:tcPr>
          <w:p>
            <w:pPr>
              <w:rPr>
                <w:rFonts w:ascii="宋体" w:hAnsi="宋体"/>
                <w:sz w:val="18"/>
                <w:szCs w:val="18"/>
                <w:highlight w:val="none"/>
              </w:rPr>
            </w:pPr>
          </w:p>
        </w:tc>
        <w:tc>
          <w:tcPr>
            <w:tcW w:w="1242" w:type="dxa"/>
          </w:tcPr>
          <w:p>
            <w:pPr>
              <w:rPr>
                <w:rFonts w:ascii="宋体" w:hAnsi="宋体"/>
                <w:sz w:val="18"/>
                <w:szCs w:val="18"/>
                <w:highlight w:val="none"/>
              </w:rPr>
            </w:pPr>
          </w:p>
        </w:tc>
        <w:tc>
          <w:tcPr>
            <w:tcW w:w="1276" w:type="dxa"/>
          </w:tcPr>
          <w:p>
            <w:pPr>
              <w:rPr>
                <w:rFonts w:ascii="宋体" w:hAnsi="宋体"/>
                <w:sz w:val="18"/>
                <w:szCs w:val="18"/>
                <w:highlight w:val="none"/>
              </w:rPr>
            </w:pPr>
          </w:p>
        </w:tc>
        <w:tc>
          <w:tcPr>
            <w:tcW w:w="2693" w:type="dxa"/>
          </w:tcPr>
          <w:p>
            <w:pPr>
              <w:rPr>
                <w:rFonts w:ascii="宋体" w:hAnsi="宋体"/>
                <w:sz w:val="18"/>
                <w:szCs w:val="18"/>
                <w:highlight w:val="none"/>
              </w:rPr>
            </w:pPr>
          </w:p>
        </w:tc>
        <w:tc>
          <w:tcPr>
            <w:tcW w:w="1418" w:type="dxa"/>
          </w:tcPr>
          <w:p>
            <w:pP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宋体" w:hAnsi="宋体"/>
                <w:sz w:val="18"/>
                <w:szCs w:val="18"/>
                <w:highlight w:val="none"/>
              </w:rPr>
            </w:pPr>
          </w:p>
        </w:tc>
        <w:tc>
          <w:tcPr>
            <w:tcW w:w="3290" w:type="dxa"/>
          </w:tcPr>
          <w:p>
            <w:pPr>
              <w:rPr>
                <w:rFonts w:ascii="宋体" w:hAnsi="宋体"/>
                <w:sz w:val="18"/>
                <w:szCs w:val="18"/>
                <w:highlight w:val="none"/>
              </w:rPr>
            </w:pPr>
          </w:p>
        </w:tc>
        <w:tc>
          <w:tcPr>
            <w:tcW w:w="2869" w:type="dxa"/>
          </w:tcPr>
          <w:p>
            <w:pPr>
              <w:rPr>
                <w:rFonts w:ascii="宋体" w:hAnsi="宋体"/>
                <w:sz w:val="18"/>
                <w:szCs w:val="18"/>
                <w:highlight w:val="none"/>
              </w:rPr>
            </w:pPr>
          </w:p>
        </w:tc>
        <w:tc>
          <w:tcPr>
            <w:tcW w:w="1417" w:type="dxa"/>
          </w:tcPr>
          <w:p>
            <w:pPr>
              <w:rPr>
                <w:rFonts w:ascii="宋体" w:hAnsi="宋体"/>
                <w:sz w:val="18"/>
                <w:szCs w:val="18"/>
                <w:highlight w:val="none"/>
              </w:rPr>
            </w:pPr>
          </w:p>
        </w:tc>
        <w:tc>
          <w:tcPr>
            <w:tcW w:w="1242" w:type="dxa"/>
          </w:tcPr>
          <w:p>
            <w:pPr>
              <w:rPr>
                <w:rFonts w:ascii="宋体" w:hAnsi="宋体"/>
                <w:sz w:val="18"/>
                <w:szCs w:val="18"/>
                <w:highlight w:val="none"/>
              </w:rPr>
            </w:pPr>
          </w:p>
        </w:tc>
        <w:tc>
          <w:tcPr>
            <w:tcW w:w="1276" w:type="dxa"/>
          </w:tcPr>
          <w:p>
            <w:pPr>
              <w:rPr>
                <w:rFonts w:ascii="宋体" w:hAnsi="宋体"/>
                <w:sz w:val="18"/>
                <w:szCs w:val="18"/>
                <w:highlight w:val="none"/>
              </w:rPr>
            </w:pPr>
          </w:p>
        </w:tc>
        <w:tc>
          <w:tcPr>
            <w:tcW w:w="2693" w:type="dxa"/>
          </w:tcPr>
          <w:p>
            <w:pPr>
              <w:rPr>
                <w:rFonts w:ascii="宋体" w:hAnsi="宋体"/>
                <w:sz w:val="18"/>
                <w:szCs w:val="18"/>
                <w:highlight w:val="none"/>
              </w:rPr>
            </w:pPr>
          </w:p>
        </w:tc>
        <w:tc>
          <w:tcPr>
            <w:tcW w:w="1418" w:type="dxa"/>
          </w:tcPr>
          <w:p>
            <w:pP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宋体" w:hAnsi="宋体"/>
                <w:sz w:val="18"/>
                <w:szCs w:val="18"/>
                <w:highlight w:val="none"/>
              </w:rPr>
            </w:pPr>
          </w:p>
        </w:tc>
        <w:tc>
          <w:tcPr>
            <w:tcW w:w="3290" w:type="dxa"/>
          </w:tcPr>
          <w:p>
            <w:pPr>
              <w:rPr>
                <w:rFonts w:ascii="宋体" w:hAnsi="宋体"/>
                <w:sz w:val="18"/>
                <w:szCs w:val="18"/>
                <w:highlight w:val="none"/>
              </w:rPr>
            </w:pPr>
          </w:p>
        </w:tc>
        <w:tc>
          <w:tcPr>
            <w:tcW w:w="2869" w:type="dxa"/>
          </w:tcPr>
          <w:p>
            <w:pPr>
              <w:rPr>
                <w:rFonts w:ascii="宋体" w:hAnsi="宋体"/>
                <w:sz w:val="18"/>
                <w:szCs w:val="18"/>
                <w:highlight w:val="none"/>
              </w:rPr>
            </w:pPr>
          </w:p>
        </w:tc>
        <w:tc>
          <w:tcPr>
            <w:tcW w:w="1417" w:type="dxa"/>
          </w:tcPr>
          <w:p>
            <w:pPr>
              <w:rPr>
                <w:rFonts w:ascii="宋体" w:hAnsi="宋体"/>
                <w:sz w:val="18"/>
                <w:szCs w:val="18"/>
                <w:highlight w:val="none"/>
              </w:rPr>
            </w:pPr>
          </w:p>
        </w:tc>
        <w:tc>
          <w:tcPr>
            <w:tcW w:w="1242" w:type="dxa"/>
          </w:tcPr>
          <w:p>
            <w:pPr>
              <w:rPr>
                <w:rFonts w:ascii="宋体" w:hAnsi="宋体"/>
                <w:sz w:val="18"/>
                <w:szCs w:val="18"/>
                <w:highlight w:val="none"/>
              </w:rPr>
            </w:pPr>
          </w:p>
        </w:tc>
        <w:tc>
          <w:tcPr>
            <w:tcW w:w="1276" w:type="dxa"/>
          </w:tcPr>
          <w:p>
            <w:pPr>
              <w:rPr>
                <w:rFonts w:ascii="宋体" w:hAnsi="宋体"/>
                <w:sz w:val="18"/>
                <w:szCs w:val="18"/>
                <w:highlight w:val="none"/>
              </w:rPr>
            </w:pPr>
          </w:p>
        </w:tc>
        <w:tc>
          <w:tcPr>
            <w:tcW w:w="2693" w:type="dxa"/>
          </w:tcPr>
          <w:p>
            <w:pPr>
              <w:rPr>
                <w:rFonts w:ascii="宋体" w:hAnsi="宋体"/>
                <w:sz w:val="18"/>
                <w:szCs w:val="18"/>
                <w:highlight w:val="none"/>
              </w:rPr>
            </w:pPr>
          </w:p>
        </w:tc>
        <w:tc>
          <w:tcPr>
            <w:tcW w:w="1418" w:type="dxa"/>
          </w:tcPr>
          <w:p>
            <w:pPr>
              <w:rPr>
                <w:rFonts w:ascii="宋体" w:hAnsi="宋体"/>
                <w:sz w:val="18"/>
                <w:szCs w:val="18"/>
                <w:highlight w:val="none"/>
              </w:rPr>
            </w:pPr>
          </w:p>
        </w:tc>
      </w:tr>
    </w:tbl>
    <w:p>
      <w:pPr>
        <w:rPr>
          <w:rFonts w:ascii="宋体" w:hAnsi="宋体"/>
          <w:spacing w:val="4"/>
          <w:kern w:val="0"/>
          <w:sz w:val="24"/>
          <w:szCs w:val="24"/>
          <w:highlight w:val="none"/>
        </w:rPr>
      </w:pPr>
      <w:r>
        <w:rPr>
          <w:rFonts w:hint="eastAsia" w:ascii="宋体" w:hAnsi="宋体"/>
          <w:spacing w:val="4"/>
          <w:kern w:val="0"/>
          <w:sz w:val="24"/>
          <w:szCs w:val="24"/>
          <w:highlight w:val="none"/>
        </w:rPr>
        <w:t>注：1、业绩须提供的证明材料按定性评审表的要求。</w:t>
      </w:r>
    </w:p>
    <w:p>
      <w:pPr>
        <w:rPr>
          <w:rFonts w:ascii="宋体" w:hAnsi="宋体"/>
          <w:spacing w:val="4"/>
          <w:kern w:val="0"/>
          <w:sz w:val="24"/>
          <w:szCs w:val="24"/>
          <w:highlight w:val="none"/>
        </w:rPr>
      </w:pPr>
    </w:p>
    <w:p>
      <w:pPr>
        <w:pStyle w:val="82"/>
        <w:ind w:firstLine="198" w:firstLineChars="80"/>
        <w:rPr>
          <w:rFonts w:ascii="宋体" w:hAnsi="宋体"/>
          <w:highlight w:val="none"/>
        </w:rPr>
      </w:pPr>
    </w:p>
    <w:p>
      <w:pPr>
        <w:pStyle w:val="82"/>
        <w:ind w:firstLine="8645" w:firstLineChars="3486"/>
        <w:rPr>
          <w:rFonts w:ascii="宋体" w:hAnsi="宋体"/>
          <w:highlight w:val="none"/>
        </w:rPr>
      </w:pPr>
      <w:r>
        <w:rPr>
          <w:rFonts w:hint="eastAsia" w:ascii="宋体" w:hAnsi="宋体"/>
          <w:highlight w:val="none"/>
        </w:rPr>
        <w:t>投标人：　　（盖章）</w:t>
      </w:r>
    </w:p>
    <w:p>
      <w:pPr>
        <w:pStyle w:val="82"/>
        <w:ind w:firstLine="8645" w:firstLineChars="3486"/>
        <w:rPr>
          <w:rFonts w:ascii="宋体" w:hAnsi="宋体"/>
          <w:highlight w:val="none"/>
        </w:rPr>
      </w:pPr>
      <w:r>
        <w:rPr>
          <w:rFonts w:hint="eastAsia" w:ascii="宋体" w:hAnsi="宋体"/>
          <w:highlight w:val="none"/>
        </w:rPr>
        <w:t>法定代表人或授权代理人(签字或盖章)：</w:t>
      </w:r>
    </w:p>
    <w:p>
      <w:pPr>
        <w:ind w:firstLine="8645" w:firstLineChars="3486"/>
        <w:rPr>
          <w:rFonts w:ascii="宋体" w:hAnsi="宋体"/>
          <w:snapToGrid w:val="0"/>
          <w:spacing w:val="4"/>
          <w:kern w:val="0"/>
          <w:sz w:val="24"/>
          <w:szCs w:val="24"/>
          <w:highlight w:val="none"/>
        </w:rPr>
      </w:pPr>
      <w:bookmarkStart w:id="44" w:name="_Toc510963892"/>
      <w:bookmarkStart w:id="45" w:name="_Toc532475795"/>
      <w:bookmarkStart w:id="46" w:name="_Toc532475362"/>
      <w:r>
        <w:rPr>
          <w:rFonts w:hint="eastAsia" w:ascii="宋体" w:hAnsi="宋体"/>
          <w:snapToGrid w:val="0"/>
          <w:spacing w:val="4"/>
          <w:kern w:val="0"/>
          <w:sz w:val="24"/>
          <w:szCs w:val="24"/>
          <w:highlight w:val="none"/>
        </w:rPr>
        <w:t>日   期：     年    月    日</w:t>
      </w:r>
      <w:bookmarkEnd w:id="44"/>
      <w:bookmarkEnd w:id="45"/>
      <w:bookmarkEnd w:id="46"/>
    </w:p>
    <w:p>
      <w:pPr>
        <w:pStyle w:val="124"/>
        <w:spacing w:before="156" w:after="156"/>
        <w:outlineLvl w:val="9"/>
        <w:rPr>
          <w:highlight w:val="none"/>
        </w:rPr>
        <w:sectPr>
          <w:pgSz w:w="16838" w:h="11906" w:orient="landscape"/>
          <w:pgMar w:top="1418" w:right="1134" w:bottom="1418" w:left="1134" w:header="851" w:footer="992" w:gutter="0"/>
          <w:pgBorders>
            <w:top w:val="none" w:sz="0" w:space="0"/>
            <w:left w:val="none" w:sz="0" w:space="0"/>
            <w:bottom w:val="none" w:sz="0" w:space="0"/>
            <w:right w:val="none" w:sz="0" w:space="0"/>
          </w:pgBorders>
          <w:cols w:space="720" w:num="1"/>
          <w:docGrid w:type="linesAndChars" w:linePitch="312" w:charSpace="0"/>
        </w:sectPr>
      </w:pPr>
      <w:bookmarkStart w:id="47" w:name="_Toc45551720"/>
    </w:p>
    <w:bookmarkEnd w:id="47"/>
    <w:p>
      <w:pPr>
        <w:pStyle w:val="124"/>
        <w:spacing w:before="156" w:after="156"/>
        <w:outlineLvl w:val="9"/>
        <w:rPr>
          <w:rFonts w:ascii="宋体" w:eastAsia="宋体"/>
          <w:highlight w:val="none"/>
        </w:rPr>
      </w:pPr>
      <w:bookmarkStart w:id="48" w:name="_Toc80289089"/>
      <w:r>
        <w:rPr>
          <w:rFonts w:hint="eastAsia" w:ascii="宋体" w:eastAsia="宋体"/>
          <w:highlight w:val="none"/>
        </w:rPr>
        <w:t>格式七：</w:t>
      </w:r>
      <w:r>
        <w:rPr>
          <w:rFonts w:ascii="宋体" w:eastAsia="宋体"/>
          <w:highlight w:val="none"/>
        </w:rPr>
        <w:t>法定代表人身份证明及授权委托书</w:t>
      </w:r>
      <w:bookmarkEnd w:id="48"/>
    </w:p>
    <w:p>
      <w:pPr>
        <w:tabs>
          <w:tab w:val="left" w:pos="284"/>
          <w:tab w:val="left" w:pos="426"/>
          <w:tab w:val="left" w:pos="709"/>
          <w:tab w:val="left" w:pos="851"/>
        </w:tabs>
        <w:adjustRightInd w:val="0"/>
        <w:snapToGrid w:val="0"/>
        <w:rPr>
          <w:rFonts w:ascii="Times New Roman" w:hAnsi="Times New Roman" w:eastAsia="黑体"/>
          <w:b/>
          <w:sz w:val="28"/>
          <w:szCs w:val="28"/>
          <w:highlight w:val="none"/>
        </w:rPr>
      </w:pPr>
    </w:p>
    <w:p>
      <w:pPr>
        <w:tabs>
          <w:tab w:val="left" w:pos="284"/>
          <w:tab w:val="left" w:pos="426"/>
          <w:tab w:val="left" w:pos="709"/>
          <w:tab w:val="left" w:pos="851"/>
        </w:tabs>
        <w:adjustRightInd w:val="0"/>
        <w:snapToGrid w:val="0"/>
        <w:jc w:val="center"/>
        <w:outlineLvl w:val="2"/>
        <w:rPr>
          <w:rFonts w:ascii="Times New Roman" w:hAnsi="Times New Roman" w:eastAsia="黑体"/>
          <w:b/>
          <w:sz w:val="28"/>
          <w:szCs w:val="28"/>
          <w:highlight w:val="none"/>
        </w:rPr>
      </w:pPr>
      <w:r>
        <w:rPr>
          <w:rFonts w:ascii="Times New Roman" w:hAnsi="Times New Roman" w:eastAsia="黑体"/>
          <w:b/>
          <w:sz w:val="28"/>
          <w:szCs w:val="28"/>
          <w:highlight w:val="none"/>
        </w:rPr>
        <w:t>法定代表人身份证明</w:t>
      </w:r>
    </w:p>
    <w:p>
      <w:pPr>
        <w:tabs>
          <w:tab w:val="left" w:pos="284"/>
          <w:tab w:val="left" w:pos="426"/>
          <w:tab w:val="left" w:pos="709"/>
          <w:tab w:val="left" w:pos="851"/>
        </w:tabs>
        <w:adjustRightInd w:val="0"/>
        <w:snapToGrid w:val="0"/>
        <w:jc w:val="center"/>
        <w:rPr>
          <w:rFonts w:ascii="Times New Roman" w:hAnsi="Times New Roman"/>
          <w:b/>
          <w:sz w:val="24"/>
          <w:szCs w:val="24"/>
          <w:highlight w:val="none"/>
        </w:rPr>
      </w:pPr>
    </w:p>
    <w:p>
      <w:pPr>
        <w:tabs>
          <w:tab w:val="left" w:pos="284"/>
          <w:tab w:val="left" w:pos="426"/>
          <w:tab w:val="left" w:pos="709"/>
          <w:tab w:val="left" w:pos="851"/>
        </w:tabs>
        <w:adjustRightInd w:val="0"/>
        <w:snapToGrid w:val="0"/>
        <w:jc w:val="center"/>
        <w:rPr>
          <w:rFonts w:ascii="Times New Roman" w:hAnsi="Times New Roman"/>
          <w:b/>
          <w:sz w:val="24"/>
          <w:szCs w:val="24"/>
          <w:highlight w:val="none"/>
        </w:rPr>
      </w:pPr>
    </w:p>
    <w:p>
      <w:pPr>
        <w:tabs>
          <w:tab w:val="left" w:pos="284"/>
          <w:tab w:val="left" w:pos="426"/>
          <w:tab w:val="left" w:pos="709"/>
          <w:tab w:val="left" w:pos="851"/>
        </w:tabs>
        <w:adjustRightInd w:val="0"/>
        <w:snapToGrid w:val="0"/>
        <w:spacing w:line="480" w:lineRule="auto"/>
        <w:rPr>
          <w:rFonts w:ascii="Times New Roman" w:hAnsi="Times New Roman"/>
          <w:sz w:val="24"/>
          <w:szCs w:val="24"/>
          <w:highlight w:val="none"/>
        </w:rPr>
      </w:pPr>
      <w:r>
        <w:rPr>
          <w:rFonts w:ascii="Times New Roman" w:hAnsi="Times New Roman"/>
          <w:sz w:val="24"/>
          <w:szCs w:val="24"/>
          <w:highlight w:val="none"/>
        </w:rPr>
        <w:t>投标人名称：</w:t>
      </w:r>
      <w:r>
        <w:rPr>
          <w:rFonts w:ascii="Times New Roman" w:hAnsi="Times New Roman"/>
          <w:sz w:val="24"/>
          <w:szCs w:val="24"/>
          <w:highlight w:val="none"/>
          <w:u w:val="single"/>
        </w:rPr>
        <w:t>，</w:t>
      </w:r>
      <w:r>
        <w:rPr>
          <w:rFonts w:ascii="Times New Roman" w:hAnsi="Times New Roman"/>
          <w:sz w:val="24"/>
          <w:szCs w:val="24"/>
          <w:highlight w:val="none"/>
        </w:rPr>
        <w:t>单位性质：</w:t>
      </w:r>
      <w:r>
        <w:rPr>
          <w:rFonts w:ascii="Times New Roman" w:hAnsi="Times New Roman"/>
          <w:sz w:val="24"/>
          <w:szCs w:val="24"/>
          <w:highlight w:val="none"/>
          <w:u w:val="single"/>
        </w:rPr>
        <w:t>，</w:t>
      </w:r>
    </w:p>
    <w:p>
      <w:pPr>
        <w:tabs>
          <w:tab w:val="left" w:pos="284"/>
          <w:tab w:val="left" w:pos="426"/>
          <w:tab w:val="left" w:pos="709"/>
          <w:tab w:val="left" w:pos="851"/>
        </w:tabs>
        <w:adjustRightInd w:val="0"/>
        <w:snapToGrid w:val="0"/>
        <w:spacing w:line="480" w:lineRule="auto"/>
        <w:rPr>
          <w:rFonts w:ascii="Times New Roman" w:hAnsi="Times New Roman"/>
          <w:sz w:val="24"/>
          <w:szCs w:val="24"/>
          <w:highlight w:val="none"/>
        </w:rPr>
      </w:pPr>
      <w:r>
        <w:rPr>
          <w:rFonts w:ascii="Times New Roman" w:hAnsi="Times New Roman"/>
          <w:sz w:val="24"/>
          <w:szCs w:val="24"/>
          <w:highlight w:val="none"/>
        </w:rPr>
        <w:t>地址：</w:t>
      </w:r>
      <w:r>
        <w:rPr>
          <w:rFonts w:ascii="Times New Roman" w:hAnsi="Times New Roman"/>
          <w:sz w:val="24"/>
          <w:szCs w:val="24"/>
          <w:highlight w:val="none"/>
          <w:u w:val="single"/>
        </w:rPr>
        <w:t>，</w:t>
      </w:r>
      <w:r>
        <w:rPr>
          <w:rFonts w:ascii="Times New Roman" w:hAnsi="Times New Roman"/>
          <w:sz w:val="24"/>
          <w:szCs w:val="24"/>
          <w:highlight w:val="none"/>
        </w:rPr>
        <w:t>成立时间：</w:t>
      </w:r>
      <w:r>
        <w:rPr>
          <w:rFonts w:ascii="Times New Roman" w:hAnsi="Times New Roman"/>
          <w:sz w:val="24"/>
          <w:szCs w:val="24"/>
          <w:highlight w:val="none"/>
          <w:u w:val="single"/>
        </w:rPr>
        <w:t>，</w:t>
      </w:r>
    </w:p>
    <w:p>
      <w:pPr>
        <w:tabs>
          <w:tab w:val="left" w:pos="284"/>
          <w:tab w:val="left" w:pos="426"/>
          <w:tab w:val="left" w:pos="709"/>
          <w:tab w:val="left" w:pos="851"/>
        </w:tabs>
        <w:adjustRightInd w:val="0"/>
        <w:snapToGrid w:val="0"/>
        <w:spacing w:line="480" w:lineRule="auto"/>
        <w:rPr>
          <w:rFonts w:ascii="Times New Roman" w:hAnsi="Times New Roman"/>
          <w:sz w:val="24"/>
          <w:szCs w:val="24"/>
          <w:highlight w:val="none"/>
          <w:u w:val="single"/>
        </w:rPr>
      </w:pPr>
      <w:r>
        <w:rPr>
          <w:rFonts w:ascii="Times New Roman" w:hAnsi="Times New Roman"/>
          <w:sz w:val="24"/>
          <w:szCs w:val="24"/>
          <w:highlight w:val="none"/>
        </w:rPr>
        <w:t>经营期限：</w:t>
      </w:r>
    </w:p>
    <w:p>
      <w:pPr>
        <w:tabs>
          <w:tab w:val="left" w:pos="284"/>
          <w:tab w:val="left" w:pos="426"/>
          <w:tab w:val="left" w:pos="709"/>
          <w:tab w:val="left" w:pos="851"/>
        </w:tabs>
        <w:adjustRightInd w:val="0"/>
        <w:snapToGrid w:val="0"/>
        <w:spacing w:line="480" w:lineRule="auto"/>
        <w:rPr>
          <w:rFonts w:ascii="Times New Roman" w:hAnsi="Times New Roman"/>
          <w:sz w:val="24"/>
          <w:szCs w:val="24"/>
          <w:highlight w:val="none"/>
          <w:u w:val="single"/>
        </w:rPr>
      </w:pPr>
      <w:r>
        <w:rPr>
          <w:rFonts w:ascii="Times New Roman" w:hAnsi="Times New Roman"/>
          <w:sz w:val="24"/>
          <w:szCs w:val="24"/>
          <w:highlight w:val="none"/>
        </w:rPr>
        <w:t>姓名：性别：年龄：职务：</w:t>
      </w:r>
      <w:r>
        <w:rPr>
          <w:rFonts w:ascii="Times New Roman" w:hAnsi="Times New Roman"/>
          <w:sz w:val="24"/>
          <w:szCs w:val="24"/>
          <w:highlight w:val="none"/>
          <w:u w:val="single"/>
        </w:rPr>
        <w:t>，</w:t>
      </w:r>
    </w:p>
    <w:p>
      <w:pPr>
        <w:tabs>
          <w:tab w:val="left" w:pos="284"/>
          <w:tab w:val="left" w:pos="426"/>
          <w:tab w:val="left" w:pos="709"/>
          <w:tab w:val="left" w:pos="851"/>
        </w:tabs>
        <w:adjustRightInd w:val="0"/>
        <w:snapToGrid w:val="0"/>
        <w:spacing w:line="480" w:lineRule="auto"/>
        <w:rPr>
          <w:rFonts w:ascii="Times New Roman" w:hAnsi="Times New Roman"/>
          <w:sz w:val="24"/>
          <w:szCs w:val="24"/>
          <w:highlight w:val="none"/>
        </w:rPr>
      </w:pPr>
      <w:r>
        <w:rPr>
          <w:rFonts w:ascii="Times New Roman" w:hAnsi="Times New Roman"/>
          <w:sz w:val="24"/>
          <w:szCs w:val="24"/>
          <w:highlight w:val="none"/>
        </w:rPr>
        <w:t>系（投标人名称）的法定代表人。</w:t>
      </w:r>
    </w:p>
    <w:p>
      <w:pPr>
        <w:tabs>
          <w:tab w:val="left" w:pos="284"/>
          <w:tab w:val="left" w:pos="426"/>
          <w:tab w:val="left" w:pos="709"/>
          <w:tab w:val="left" w:pos="851"/>
        </w:tabs>
        <w:adjustRightInd w:val="0"/>
        <w:snapToGrid w:val="0"/>
        <w:spacing w:line="480" w:lineRule="auto"/>
        <w:rPr>
          <w:rFonts w:ascii="Times New Roman" w:hAnsi="Times New Roman"/>
          <w:sz w:val="24"/>
          <w:szCs w:val="24"/>
          <w:highlight w:val="none"/>
        </w:rPr>
      </w:pPr>
      <w:r>
        <w:rPr>
          <w:rFonts w:ascii="Times New Roman" w:hAnsi="Times New Roman"/>
          <w:sz w:val="24"/>
          <w:szCs w:val="24"/>
          <w:highlight w:val="none"/>
        </w:rPr>
        <w:t>特此证明。</w:t>
      </w:r>
    </w:p>
    <w:p>
      <w:pPr>
        <w:tabs>
          <w:tab w:val="left" w:pos="284"/>
          <w:tab w:val="left" w:pos="426"/>
          <w:tab w:val="left" w:pos="709"/>
          <w:tab w:val="left" w:pos="851"/>
        </w:tabs>
        <w:adjustRightInd w:val="0"/>
        <w:snapToGrid w:val="0"/>
        <w:spacing w:line="360" w:lineRule="auto"/>
        <w:rPr>
          <w:rFonts w:ascii="Times New Roman" w:hAnsi="Times New Roman"/>
          <w:sz w:val="24"/>
          <w:szCs w:val="24"/>
          <w:highlight w:val="none"/>
        </w:rPr>
      </w:pPr>
      <w:r>
        <w:rPr>
          <w:rFonts w:ascii="Times New Roman" w:hAnsi="Times New Roman"/>
          <w:sz w:val="24"/>
          <w:szCs w:val="24"/>
          <w:highlight w:val="none"/>
        </w:rPr>
        <w:t>投标人：（盖单位公章）</w:t>
      </w:r>
    </w:p>
    <w:p>
      <w:pPr>
        <w:tabs>
          <w:tab w:val="left" w:pos="284"/>
          <w:tab w:val="left" w:pos="426"/>
          <w:tab w:val="left" w:pos="709"/>
          <w:tab w:val="left" w:pos="851"/>
        </w:tabs>
        <w:adjustRightInd w:val="0"/>
        <w:snapToGrid w:val="0"/>
        <w:spacing w:line="360" w:lineRule="auto"/>
        <w:rPr>
          <w:rFonts w:ascii="Times New Roman" w:hAnsi="Times New Roman"/>
          <w:sz w:val="24"/>
          <w:szCs w:val="24"/>
          <w:highlight w:val="none"/>
        </w:rPr>
      </w:pPr>
    </w:p>
    <w:p>
      <w:pPr>
        <w:tabs>
          <w:tab w:val="left" w:pos="284"/>
          <w:tab w:val="left" w:pos="426"/>
          <w:tab w:val="left" w:pos="709"/>
          <w:tab w:val="left" w:pos="851"/>
        </w:tabs>
        <w:adjustRightInd w:val="0"/>
        <w:snapToGrid w:val="0"/>
        <w:spacing w:line="360" w:lineRule="auto"/>
        <w:jc w:val="center"/>
        <w:outlineLvl w:val="1"/>
        <w:rPr>
          <w:rFonts w:ascii="Times New Roman" w:hAnsi="Times New Roman"/>
          <w:sz w:val="24"/>
          <w:szCs w:val="24"/>
          <w:highlight w:val="none"/>
        </w:rPr>
      </w:pPr>
      <w:r>
        <w:rPr>
          <w:rFonts w:ascii="Times New Roman" w:hAnsi="Times New Roman"/>
          <w:sz w:val="24"/>
          <w:szCs w:val="24"/>
          <w:highlight w:val="none"/>
        </w:rPr>
        <w:t>年月日</w:t>
      </w:r>
    </w:p>
    <w:p>
      <w:pPr>
        <w:tabs>
          <w:tab w:val="left" w:pos="284"/>
          <w:tab w:val="left" w:pos="426"/>
          <w:tab w:val="left" w:pos="709"/>
          <w:tab w:val="left" w:pos="851"/>
        </w:tabs>
        <w:adjustRightInd w:val="0"/>
        <w:snapToGrid w:val="0"/>
        <w:rPr>
          <w:rFonts w:ascii="Times New Roman" w:hAnsi="Times New Roman"/>
          <w:b/>
          <w:sz w:val="24"/>
          <w:szCs w:val="24"/>
          <w:highlight w:val="none"/>
        </w:rPr>
      </w:pPr>
    </w:p>
    <w:p>
      <w:pPr>
        <w:tabs>
          <w:tab w:val="left" w:pos="284"/>
          <w:tab w:val="left" w:pos="426"/>
          <w:tab w:val="left" w:pos="709"/>
          <w:tab w:val="left" w:pos="851"/>
        </w:tabs>
        <w:adjustRightInd w:val="0"/>
        <w:snapToGrid w:val="0"/>
        <w:jc w:val="center"/>
        <w:rPr>
          <w:rFonts w:ascii="Times New Roman" w:hAnsi="Times New Roman"/>
          <w:b/>
          <w:sz w:val="24"/>
          <w:szCs w:val="24"/>
          <w:highlight w:val="none"/>
        </w:rPr>
      </w:pPr>
    </w:p>
    <w:p>
      <w:pPr>
        <w:tabs>
          <w:tab w:val="left" w:pos="284"/>
          <w:tab w:val="left" w:pos="426"/>
          <w:tab w:val="left" w:pos="709"/>
          <w:tab w:val="left" w:pos="851"/>
        </w:tabs>
        <w:adjustRightInd w:val="0"/>
        <w:snapToGrid w:val="0"/>
        <w:jc w:val="center"/>
        <w:outlineLvl w:val="2"/>
        <w:rPr>
          <w:rFonts w:ascii="Times New Roman" w:hAnsi="Times New Roman" w:eastAsia="黑体"/>
          <w:b/>
          <w:sz w:val="30"/>
          <w:szCs w:val="30"/>
          <w:highlight w:val="none"/>
        </w:rPr>
      </w:pPr>
      <w:r>
        <w:rPr>
          <w:rFonts w:ascii="Times New Roman" w:hAnsi="Times New Roman" w:eastAsia="黑体"/>
          <w:b/>
          <w:sz w:val="30"/>
          <w:szCs w:val="30"/>
          <w:highlight w:val="none"/>
        </w:rPr>
        <w:t>授权委托书</w:t>
      </w:r>
    </w:p>
    <w:p>
      <w:pPr>
        <w:tabs>
          <w:tab w:val="left" w:pos="284"/>
          <w:tab w:val="left" w:pos="426"/>
          <w:tab w:val="left" w:pos="709"/>
          <w:tab w:val="left" w:pos="851"/>
        </w:tabs>
        <w:adjustRightInd w:val="0"/>
        <w:snapToGrid w:val="0"/>
        <w:jc w:val="center"/>
        <w:rPr>
          <w:rFonts w:ascii="Times New Roman" w:hAnsi="Times New Roman"/>
          <w:sz w:val="24"/>
          <w:szCs w:val="24"/>
          <w:highlight w:val="none"/>
        </w:rPr>
      </w:pPr>
    </w:p>
    <w:p>
      <w:pPr>
        <w:tabs>
          <w:tab w:val="left" w:pos="284"/>
          <w:tab w:val="left" w:pos="426"/>
          <w:tab w:val="left" w:pos="709"/>
          <w:tab w:val="left" w:pos="851"/>
        </w:tabs>
        <w:adjustRightInd w:val="0"/>
        <w:snapToGrid w:val="0"/>
        <w:jc w:val="center"/>
        <w:rPr>
          <w:rFonts w:ascii="Times New Roman" w:hAnsi="Times New Roman"/>
          <w:sz w:val="24"/>
          <w:szCs w:val="24"/>
          <w:highlight w:val="none"/>
        </w:rPr>
      </w:pPr>
    </w:p>
    <w:p>
      <w:pPr>
        <w:tabs>
          <w:tab w:val="left" w:pos="284"/>
          <w:tab w:val="left" w:pos="426"/>
          <w:tab w:val="left" w:pos="709"/>
          <w:tab w:val="left" w:pos="851"/>
        </w:tabs>
        <w:adjustRightInd w:val="0"/>
        <w:snapToGrid w:val="0"/>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本人（姓名）系（投标人名称）的法定代表人，现委托（姓名）为我方代理人。代理人根据授权，以我方的名义签署、澄清、说明、补正、递交、撤回、修改（项目名称）施工投标文件、签订合同和处理有关事宜，其法律后果由我方承担。</w:t>
      </w:r>
    </w:p>
    <w:p>
      <w:pPr>
        <w:tabs>
          <w:tab w:val="left" w:pos="284"/>
          <w:tab w:val="left" w:pos="426"/>
          <w:tab w:val="left" w:pos="709"/>
          <w:tab w:val="left" w:pos="851"/>
        </w:tabs>
        <w:adjustRightInd w:val="0"/>
        <w:snapToGrid w:val="0"/>
        <w:spacing w:line="360" w:lineRule="auto"/>
        <w:ind w:firstLine="727" w:firstLineChars="303"/>
        <w:rPr>
          <w:rFonts w:ascii="Times New Roman" w:hAnsi="Times New Roman"/>
          <w:sz w:val="24"/>
          <w:szCs w:val="24"/>
          <w:highlight w:val="none"/>
        </w:rPr>
      </w:pPr>
      <w:r>
        <w:rPr>
          <w:rFonts w:ascii="Times New Roman" w:hAnsi="Times New Roman"/>
          <w:sz w:val="24"/>
          <w:szCs w:val="24"/>
          <w:highlight w:val="none"/>
        </w:rPr>
        <w:t>委托期限：。代理人无转委托权。</w:t>
      </w:r>
    </w:p>
    <w:p>
      <w:pPr>
        <w:tabs>
          <w:tab w:val="left" w:pos="284"/>
          <w:tab w:val="left" w:pos="426"/>
          <w:tab w:val="left" w:pos="709"/>
          <w:tab w:val="left" w:pos="851"/>
        </w:tabs>
        <w:adjustRightInd w:val="0"/>
        <w:snapToGrid w:val="0"/>
        <w:spacing w:line="360" w:lineRule="auto"/>
        <w:ind w:firstLine="727" w:firstLineChars="303"/>
        <w:rPr>
          <w:rFonts w:ascii="Times New Roman" w:hAnsi="Times New Roman"/>
          <w:sz w:val="24"/>
          <w:szCs w:val="24"/>
          <w:highlight w:val="none"/>
        </w:rPr>
      </w:pPr>
      <w:r>
        <w:rPr>
          <w:rFonts w:ascii="Times New Roman" w:hAnsi="Times New Roman"/>
          <w:sz w:val="24"/>
          <w:szCs w:val="24"/>
          <w:highlight w:val="none"/>
        </w:rPr>
        <w:t>附：代理人身份证复印件。</w:t>
      </w:r>
    </w:p>
    <w:p>
      <w:pPr>
        <w:tabs>
          <w:tab w:val="left" w:pos="284"/>
          <w:tab w:val="left" w:pos="426"/>
          <w:tab w:val="left" w:pos="709"/>
          <w:tab w:val="left" w:pos="851"/>
        </w:tabs>
        <w:adjustRightInd w:val="0"/>
        <w:snapToGrid w:val="0"/>
        <w:spacing w:line="360" w:lineRule="auto"/>
        <w:ind w:firstLine="775" w:firstLineChars="250"/>
        <w:rPr>
          <w:rFonts w:ascii="Times New Roman" w:hAnsi="Times New Roman"/>
          <w:sz w:val="24"/>
          <w:szCs w:val="24"/>
          <w:highlight w:val="none"/>
        </w:rPr>
      </w:pPr>
      <w:r>
        <w:rPr>
          <w:rFonts w:ascii="Times New Roman" w:hAnsi="Times New Roman"/>
          <w:spacing w:val="35"/>
          <w:kern w:val="0"/>
          <w:sz w:val="24"/>
          <w:szCs w:val="24"/>
          <w:highlight w:val="none"/>
        </w:rPr>
        <w:t>投标</w:t>
      </w:r>
      <w:r>
        <w:rPr>
          <w:rFonts w:ascii="Times New Roman" w:hAnsi="Times New Roman"/>
          <w:kern w:val="0"/>
          <w:sz w:val="24"/>
          <w:szCs w:val="24"/>
          <w:highlight w:val="none"/>
        </w:rPr>
        <w:t>人：</w:t>
      </w:r>
    </w:p>
    <w:p>
      <w:pPr>
        <w:tabs>
          <w:tab w:val="left" w:pos="284"/>
          <w:tab w:val="left" w:pos="426"/>
          <w:tab w:val="left" w:pos="709"/>
          <w:tab w:val="left" w:pos="851"/>
        </w:tabs>
        <w:adjustRightInd w:val="0"/>
        <w:snapToGrid w:val="0"/>
        <w:spacing w:line="360" w:lineRule="auto"/>
        <w:ind w:firstLine="727" w:firstLineChars="303"/>
        <w:rPr>
          <w:rFonts w:ascii="Times New Roman" w:hAnsi="Times New Roman"/>
          <w:sz w:val="24"/>
          <w:szCs w:val="24"/>
          <w:highlight w:val="none"/>
          <w:u w:val="single"/>
        </w:rPr>
      </w:pPr>
      <w:r>
        <w:rPr>
          <w:rFonts w:ascii="Times New Roman" w:hAnsi="Times New Roman"/>
          <w:sz w:val="24"/>
          <w:szCs w:val="24"/>
          <w:highlight w:val="none"/>
        </w:rPr>
        <w:t>法定代表人：</w:t>
      </w:r>
      <w:r>
        <w:rPr>
          <w:rFonts w:ascii="Times New Roman" w:hAnsi="Times New Roman"/>
          <w:sz w:val="24"/>
          <w:szCs w:val="24"/>
          <w:highlight w:val="none"/>
          <w:u w:val="single"/>
        </w:rPr>
        <w:t>；</w:t>
      </w:r>
      <w:r>
        <w:rPr>
          <w:rFonts w:ascii="Times New Roman" w:hAnsi="Times New Roman"/>
          <w:kern w:val="0"/>
          <w:sz w:val="24"/>
          <w:szCs w:val="24"/>
          <w:highlight w:val="none"/>
        </w:rPr>
        <w:t>身份证号码：</w:t>
      </w:r>
      <w:r>
        <w:rPr>
          <w:rFonts w:ascii="Times New Roman" w:hAnsi="Times New Roman"/>
          <w:sz w:val="24"/>
          <w:szCs w:val="24"/>
          <w:highlight w:val="none"/>
          <w:u w:val="single"/>
        </w:rPr>
        <w:t>；</w:t>
      </w:r>
    </w:p>
    <w:p>
      <w:pPr>
        <w:tabs>
          <w:tab w:val="left" w:pos="284"/>
          <w:tab w:val="left" w:pos="426"/>
          <w:tab w:val="left" w:pos="709"/>
          <w:tab w:val="left" w:pos="851"/>
        </w:tabs>
        <w:adjustRightInd w:val="0"/>
        <w:snapToGrid w:val="0"/>
        <w:spacing w:line="360" w:lineRule="auto"/>
        <w:ind w:firstLine="720" w:firstLineChars="300"/>
        <w:rPr>
          <w:rFonts w:ascii="Times New Roman" w:hAnsi="Times New Roman"/>
          <w:sz w:val="24"/>
          <w:szCs w:val="24"/>
          <w:highlight w:val="none"/>
        </w:rPr>
      </w:pPr>
      <w:r>
        <w:rPr>
          <w:rFonts w:ascii="Times New Roman" w:hAnsi="Times New Roman"/>
          <w:sz w:val="24"/>
          <w:szCs w:val="24"/>
          <w:highlight w:val="none"/>
        </w:rPr>
        <w:t>委托代理人：</w:t>
      </w:r>
      <w:r>
        <w:rPr>
          <w:rFonts w:ascii="Times New Roman" w:hAnsi="Times New Roman"/>
          <w:sz w:val="24"/>
          <w:szCs w:val="24"/>
          <w:highlight w:val="none"/>
          <w:u w:val="single"/>
        </w:rPr>
        <w:t>；</w:t>
      </w:r>
      <w:r>
        <w:rPr>
          <w:rFonts w:ascii="Times New Roman" w:hAnsi="Times New Roman"/>
          <w:kern w:val="0"/>
          <w:sz w:val="24"/>
          <w:szCs w:val="24"/>
          <w:highlight w:val="none"/>
        </w:rPr>
        <w:t>身份证号码：</w:t>
      </w:r>
      <w:r>
        <w:rPr>
          <w:rFonts w:ascii="Times New Roman" w:hAnsi="Times New Roman"/>
          <w:sz w:val="24"/>
          <w:szCs w:val="24"/>
          <w:highlight w:val="none"/>
          <w:u w:val="single"/>
        </w:rPr>
        <w:t>。</w:t>
      </w:r>
    </w:p>
    <w:p>
      <w:pPr>
        <w:tabs>
          <w:tab w:val="left" w:pos="284"/>
          <w:tab w:val="left" w:pos="426"/>
          <w:tab w:val="left" w:pos="709"/>
          <w:tab w:val="left" w:pos="851"/>
        </w:tabs>
        <w:adjustRightInd w:val="0"/>
        <w:snapToGrid w:val="0"/>
        <w:rPr>
          <w:rFonts w:ascii="Times New Roman" w:hAnsi="Times New Roman"/>
          <w:sz w:val="24"/>
          <w:szCs w:val="24"/>
          <w:highlight w:val="none"/>
        </w:rPr>
      </w:pPr>
    </w:p>
    <w:p>
      <w:pPr>
        <w:tabs>
          <w:tab w:val="left" w:pos="284"/>
          <w:tab w:val="left" w:pos="426"/>
          <w:tab w:val="left" w:pos="709"/>
          <w:tab w:val="left" w:pos="851"/>
        </w:tabs>
        <w:adjustRightInd w:val="0"/>
        <w:snapToGrid w:val="0"/>
        <w:jc w:val="right"/>
        <w:rPr>
          <w:rFonts w:ascii="Times New Roman" w:hAnsi="Times New Roman"/>
          <w:sz w:val="24"/>
          <w:szCs w:val="24"/>
          <w:highlight w:val="none"/>
        </w:rPr>
      </w:pPr>
      <w:r>
        <w:rPr>
          <w:rFonts w:ascii="Times New Roman" w:hAnsi="Times New Roman"/>
          <w:sz w:val="24"/>
          <w:szCs w:val="24"/>
          <w:highlight w:val="none"/>
        </w:rPr>
        <w:t>年月日</w:t>
      </w:r>
    </w:p>
    <w:p>
      <w:pPr>
        <w:pStyle w:val="124"/>
        <w:spacing w:beforeLines="0" w:afterLines="0" w:line="360" w:lineRule="auto"/>
        <w:outlineLvl w:val="9"/>
        <w:rPr>
          <w:highlight w:val="none"/>
        </w:rPr>
      </w:pPr>
      <w:r>
        <w:rPr>
          <w:highlight w:val="none"/>
        </w:rPr>
        <w:br w:type="page"/>
      </w:r>
      <w:r>
        <w:rPr>
          <w:rFonts w:hint="eastAsia" w:ascii="宋体" w:eastAsia="宋体"/>
          <w:highlight w:val="none"/>
        </w:rPr>
        <w:t>格式八：施工投标承诺函</w:t>
      </w:r>
    </w:p>
    <w:p>
      <w:pPr>
        <w:pStyle w:val="113"/>
        <w:outlineLvl w:val="2"/>
        <w:rPr>
          <w:rFonts w:ascii="宋体" w:hAnsi="宋体" w:eastAsia="宋体" w:cs="宋体"/>
          <w:highlight w:val="none"/>
        </w:rPr>
      </w:pPr>
      <w:r>
        <w:rPr>
          <w:rFonts w:hint="eastAsia" w:ascii="宋体" w:eastAsia="宋体"/>
          <w:highlight w:val="none"/>
        </w:rPr>
        <w:t>施工投标承诺函</w:t>
      </w:r>
      <w:r>
        <w:rPr>
          <w:rFonts w:hint="eastAsia" w:ascii="宋体" w:hAnsi="宋体" w:eastAsia="宋体" w:cs="宋体"/>
          <w:highlight w:val="none"/>
        </w:rPr>
        <w:t>（技术标）</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致：</w:t>
      </w:r>
      <w:r>
        <w:rPr>
          <w:rFonts w:hint="eastAsia"/>
          <w:bCs/>
          <w:sz w:val="24"/>
          <w:szCs w:val="24"/>
          <w:highlight w:val="none"/>
          <w:u w:val="single"/>
        </w:rPr>
        <w:t>深业置地（广州）有限公司</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 xml:space="preserve">1.根据招标人 </w:t>
      </w:r>
      <w:r>
        <w:rPr>
          <w:rFonts w:hint="eastAsia"/>
          <w:bCs/>
          <w:sz w:val="24"/>
          <w:szCs w:val="24"/>
          <w:highlight w:val="none"/>
          <w:u w:val="single"/>
        </w:rPr>
        <w:t>（项目名称）</w:t>
      </w:r>
      <w:r>
        <w:rPr>
          <w:rFonts w:hint="eastAsia" w:ascii="宋体" w:hAnsi="宋体"/>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2.我方已详细审核全部招标文件，包括澄清、说明和修改文件（如有）及有关附件。</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3.如果我方中标，我方保证按照合同文件中规定的开工日期开始施工，并按规定的预计竣工日期完成和交付全部工程。</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6.如果我方中标，我方将按照招标文件的规定，按时提交履约担保（按合同要求），以保障本项目优质、优价、按期、顺利完成。</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7.我方同意所提交的投标文件在招标文件投标须知中第1</w:t>
      </w:r>
      <w:r>
        <w:rPr>
          <w:rFonts w:ascii="宋体" w:hAnsi="宋体"/>
          <w:sz w:val="24"/>
          <w:szCs w:val="24"/>
          <w:highlight w:val="none"/>
        </w:rPr>
        <w:t>3</w:t>
      </w:r>
      <w:r>
        <w:rPr>
          <w:rFonts w:hint="eastAsia" w:ascii="宋体" w:hAnsi="宋体"/>
          <w:sz w:val="24"/>
          <w:szCs w:val="24"/>
          <w:highlight w:val="none"/>
        </w:rPr>
        <w:t>条规定的投标有效期内有效，在此期限届满之前，本投标书始终将对我方具有约束力，并随时接受中标。</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8.在合同协议书正式签署生效之前，本投标书连同你单位的中标通知书将构成我们双方之间共同遵守的文件，对双方具有约束力。</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9.随同本投标文件，我方已提</w:t>
      </w:r>
      <w:r>
        <w:rPr>
          <w:rFonts w:hint="eastAsia" w:ascii="宋体" w:hAnsi="宋体"/>
          <w:sz w:val="24"/>
          <w:szCs w:val="24"/>
          <w:highlight w:val="none"/>
        </w:rPr>
        <w:t>交人民币</w:t>
      </w:r>
      <w:r>
        <w:rPr>
          <w:rFonts w:ascii="宋体" w:hAnsi="宋体"/>
          <w:sz w:val="24"/>
          <w:szCs w:val="24"/>
          <w:highlight w:val="none"/>
          <w:u w:val="single"/>
        </w:rPr>
        <w:t xml:space="preserve">  </w:t>
      </w:r>
      <w:r>
        <w:rPr>
          <w:rFonts w:hint="eastAsia" w:ascii="宋体" w:hAnsi="宋体"/>
          <w:sz w:val="24"/>
          <w:szCs w:val="24"/>
          <w:highlight w:val="none"/>
          <w:u w:val="single"/>
        </w:rPr>
        <w:t>10</w:t>
      </w:r>
      <w:r>
        <w:rPr>
          <w:rFonts w:ascii="宋体" w:hAnsi="宋体"/>
          <w:sz w:val="24"/>
          <w:szCs w:val="24"/>
          <w:highlight w:val="none"/>
          <w:u w:val="single"/>
        </w:rPr>
        <w:t xml:space="preserve"> </w:t>
      </w:r>
      <w:r>
        <w:rPr>
          <w:rFonts w:hint="eastAsia" w:ascii="宋体" w:hAnsi="宋体"/>
          <w:sz w:val="24"/>
          <w:szCs w:val="24"/>
          <w:highlight w:val="none"/>
        </w:rPr>
        <w:t>万元的投标</w:t>
      </w:r>
      <w:r>
        <w:rPr>
          <w:rFonts w:hint="eastAsia" w:ascii="宋体" w:hAnsi="宋体"/>
          <w:sz w:val="24"/>
          <w:szCs w:val="24"/>
          <w:highlight w:val="none"/>
        </w:rPr>
        <w:t>担保。如果我方在投标文件有效期内撤回投标文件；或在接到中标通知书后</w:t>
      </w:r>
      <w:r>
        <w:rPr>
          <w:rFonts w:ascii="宋体" w:hAnsi="宋体"/>
          <w:sz w:val="24"/>
          <w:szCs w:val="24"/>
          <w:highlight w:val="none"/>
        </w:rPr>
        <w:t>30</w:t>
      </w:r>
      <w:r>
        <w:rPr>
          <w:rFonts w:hint="eastAsia" w:ascii="宋体" w:hAnsi="宋体"/>
          <w:sz w:val="24"/>
          <w:szCs w:val="24"/>
          <w:highlight w:val="none"/>
        </w:rPr>
        <w:t>天内未能或拒绝签订合同协议书；或未能按招标文件要求提交履约担保，你单位有权没收投标保证金，另选中标单位。</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10.我方理解，你单位不一定接受最低标价的投标或你单位接到的其它任何投标。同时也理解，你单位不负担我方的任何投标费用。</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投 标 人：（盖章）</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法定代表人或授权代理人（签字或签章）：</w:t>
      </w:r>
    </w:p>
    <w:p>
      <w:pPr>
        <w:pStyle w:val="5"/>
        <w:spacing w:after="0" w:line="360" w:lineRule="auto"/>
        <w:ind w:left="-2" w:leftChars="-1" w:right="240" w:firstLine="540" w:firstLineChars="225"/>
        <w:jc w:val="right"/>
        <w:rPr>
          <w:rFonts w:ascii="宋体" w:hAnsi="宋体"/>
          <w:sz w:val="24"/>
          <w:szCs w:val="24"/>
          <w:highlight w:val="none"/>
        </w:rPr>
      </w:pPr>
      <w:r>
        <w:rPr>
          <w:rFonts w:hint="eastAsia" w:ascii="宋体" w:hAnsi="宋体"/>
          <w:sz w:val="24"/>
          <w:szCs w:val="24"/>
          <w:highlight w:val="none"/>
        </w:rPr>
        <w:t xml:space="preserve">日    期：    年    月    日 </w:t>
      </w:r>
    </w:p>
    <w:p>
      <w:pPr>
        <w:pStyle w:val="124"/>
        <w:spacing w:before="156" w:after="156" w:line="360" w:lineRule="auto"/>
        <w:outlineLvl w:val="9"/>
        <w:rPr>
          <w:highlight w:val="none"/>
        </w:rPr>
      </w:pPr>
      <w:r>
        <w:rPr>
          <w:rFonts w:hint="eastAsia" w:ascii="宋体" w:eastAsia="宋体"/>
          <w:highlight w:val="none"/>
        </w:rPr>
        <w:t>格式九：独立承诺函</w:t>
      </w:r>
    </w:p>
    <w:p>
      <w:pPr>
        <w:pStyle w:val="113"/>
        <w:rPr>
          <w:highlight w:val="none"/>
        </w:rPr>
      </w:pPr>
      <w:r>
        <w:rPr>
          <w:rFonts w:hint="eastAsia"/>
          <w:highlight w:val="none"/>
        </w:rPr>
        <w:t>独立承诺函</w:t>
      </w:r>
    </w:p>
    <w:p>
      <w:pPr>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（招标人名称）</w:t>
      </w:r>
    </w:p>
    <w:p>
      <w:pPr>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我方已详细阅读了关于</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工程（下称“本工程”）的招标文件及相关附件，完全知悉并理解其中内容，自愿参与本次投标，并在</w:t>
      </w:r>
      <w:r>
        <w:rPr>
          <w:rFonts w:ascii="仿宋_GB2312" w:hAnsi="仿宋_GB2312" w:eastAsia="仿宋_GB2312" w:cs="仿宋_GB2312"/>
          <w:sz w:val="28"/>
          <w:szCs w:val="28"/>
          <w:highlight w:val="none"/>
        </w:rPr>
        <w:sym w:font="Wingdings" w:char="F0FE"/>
      </w:r>
      <w:r>
        <w:rPr>
          <w:rFonts w:hint="eastAsia" w:ascii="仿宋_GB2312" w:hAnsi="仿宋_GB2312" w:eastAsia="仿宋_GB2312" w:cs="仿宋_GB2312"/>
          <w:sz w:val="28"/>
          <w:szCs w:val="28"/>
          <w:highlight w:val="none"/>
        </w:rPr>
        <w:t>投标时</w:t>
      </w:r>
      <w:r>
        <w:rPr>
          <w:rFonts w:ascii="仿宋_GB2312" w:hAnsi="仿宋_GB2312" w:eastAsia="仿宋_GB2312" w:cs="仿宋_GB2312"/>
          <w:sz w:val="28"/>
          <w:szCs w:val="28"/>
          <w:highlight w:val="none"/>
        </w:rPr>
        <w:sym w:font="Wingdings" w:char="F0FE"/>
      </w:r>
      <w:r>
        <w:rPr>
          <w:rFonts w:hint="eastAsia" w:ascii="仿宋_GB2312" w:hAnsi="仿宋_GB2312" w:eastAsia="仿宋_GB2312" w:cs="仿宋_GB2312"/>
          <w:sz w:val="28"/>
          <w:szCs w:val="28"/>
          <w:highlight w:val="none"/>
        </w:rPr>
        <w:t>中标后签订本工程合同时就有关事项向招标人郑重承诺如下：</w:t>
      </w:r>
    </w:p>
    <w:p>
      <w:pPr>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1.按照与本工程有关的法律法规或规范性文件的规定、合同的约定承担本工程的实施，确保工程质量和安全</w:t>
      </w:r>
      <w:r>
        <w:rPr>
          <w:rFonts w:hint="eastAsia" w:ascii="仿宋_GB2312" w:hAnsi="仿宋_GB2312" w:eastAsia="仿宋_GB2312" w:cs="仿宋_GB2312"/>
          <w:bCs/>
          <w:sz w:val="28"/>
          <w:szCs w:val="28"/>
          <w:highlight w:val="none"/>
        </w:rPr>
        <w:t>，并在质量缺陷责任期及保修期内承担相应的工程维修责任</w:t>
      </w:r>
      <w:r>
        <w:rPr>
          <w:rFonts w:hint="eastAsia" w:ascii="仿宋_GB2312" w:hAnsi="仿宋_GB2312" w:eastAsia="仿宋_GB2312" w:cs="仿宋_GB2312"/>
          <w:sz w:val="28"/>
          <w:szCs w:val="28"/>
          <w:highlight w:val="none"/>
        </w:rPr>
        <w:t>,并履行合同所约定的全部义务</w:t>
      </w:r>
      <w:r>
        <w:rPr>
          <w:rFonts w:hint="eastAsia" w:ascii="仿宋_GB2312" w:hAnsi="仿宋_GB2312" w:eastAsia="仿宋_GB2312" w:cs="仿宋_GB2312"/>
          <w:bCs/>
          <w:sz w:val="28"/>
          <w:szCs w:val="28"/>
          <w:highlight w:val="none"/>
        </w:rPr>
        <w:t>。</w:t>
      </w:r>
    </w:p>
    <w:p>
      <w:pPr>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w:t>
      </w:r>
      <w:r>
        <w:rPr>
          <w:rFonts w:ascii="仿宋_GB2312" w:hAnsi="仿宋_GB2312" w:eastAsia="仿宋_GB2312" w:cs="仿宋_GB2312"/>
          <w:sz w:val="28"/>
          <w:szCs w:val="28"/>
          <w:highlight w:val="none"/>
        </w:rPr>
        <w:sym w:font="Wingdings" w:char="F0FE"/>
      </w:r>
      <w:r>
        <w:rPr>
          <w:rFonts w:hint="eastAsia" w:ascii="仿宋_GB2312" w:hAnsi="仿宋_GB2312" w:eastAsia="仿宋_GB2312" w:cs="仿宋_GB2312"/>
          <w:bCs/>
          <w:sz w:val="28"/>
          <w:szCs w:val="28"/>
          <w:highlight w:val="none"/>
        </w:rPr>
        <w:t>参与本工程投标、</w:t>
      </w:r>
      <w:r>
        <w:rPr>
          <w:rFonts w:ascii="仿宋_GB2312" w:hAnsi="仿宋_GB2312" w:eastAsia="仿宋_GB2312" w:cs="仿宋_GB2312"/>
          <w:sz w:val="28"/>
          <w:szCs w:val="28"/>
          <w:highlight w:val="none"/>
        </w:rPr>
        <w:sym w:font="Wingdings" w:char="F0FE"/>
      </w:r>
      <w:r>
        <w:rPr>
          <w:rFonts w:hint="eastAsia" w:ascii="仿宋_GB2312" w:hAnsi="仿宋_GB2312" w:eastAsia="仿宋_GB2312" w:cs="仿宋_GB2312"/>
          <w:bCs/>
          <w:sz w:val="28"/>
          <w:szCs w:val="28"/>
          <w:highlight w:val="none"/>
        </w:rPr>
        <w:t>签订本工程合同并承诺全面履行合同是我方真实意思表示。我方承诺不存在任何工程挂靠关系和挂靠行为，不进行任何违法分包和转包，也不存在我方之外的任何实际施工人。</w:t>
      </w:r>
    </w:p>
    <w:p>
      <w:pPr>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3.在中标签订合同后，派驻本工程施工现场的项目负责人、技术负责人、质量管理负责人、安全管理负责人及其他管理人员（合称“管理人员”），均为我方正式员工。我方对前述管理人员的行为负责。</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4.关于工人工资等专款专用使用情况，我方将定期每1个月向招标人书面汇报。</w:t>
      </w:r>
    </w:p>
    <w:p>
      <w:pPr>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5.由我方负责采购的建筑材料、构配件或租赁的施工机械设备等均由我方负责采购、租赁并承诺随时按照招标人要求提供相关证明。</w:t>
      </w:r>
    </w:p>
    <w:p>
      <w:pPr>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6.我方若违反上述承诺，</w:t>
      </w:r>
      <w:r>
        <w:rPr>
          <w:rFonts w:hint="eastAsia" w:ascii="仿宋_GB2312" w:hAnsi="仿宋_GB2312" w:eastAsia="仿宋_GB2312" w:cs="仿宋_GB2312"/>
          <w:bCs/>
          <w:sz w:val="28"/>
          <w:szCs w:val="28"/>
          <w:highlight w:val="none"/>
        </w:rPr>
        <w:t>不论合同在诉讼或仲裁程序中是否被认定无效，由此引发的一切法律责任均由我方单方承担。我方仍将按照合同约定向招标人支付各项违约金，并赔偿招标人全部损失，包括实际损失、预期利益及追索损失产生的所有花费（包括但不限于罚款、赔偿金、违约金、商誉减损以及为维权支付的律师费、诉讼/仲裁费、公证费、检测费、鉴定费等）；同时对被认定的实际施工人的行为和工作成果向招标人承担连带责任。</w:t>
      </w:r>
    </w:p>
    <w:p>
      <w:pPr>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7.因本函而起或与本函有关的争议，双方应提交本工程所在地有管辖权的法院进行争议解决。</w:t>
      </w:r>
    </w:p>
    <w:p>
      <w:pPr>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8.招标人已对上述内容进行了说明与提示，我方完全理解上述承诺的内容，并清楚上述承诺是招标人授予中标通知书并签订合同的前提条件和关键因素，</w:t>
      </w:r>
      <w:r>
        <w:rPr>
          <w:rFonts w:hint="eastAsia" w:ascii="仿宋_GB2312" w:hAnsi="仿宋_GB2312" w:eastAsia="仿宋_GB2312" w:cs="仿宋_GB2312"/>
          <w:bCs/>
          <w:sz w:val="28"/>
          <w:szCs w:val="28"/>
          <w:highlight w:val="none"/>
        </w:rPr>
        <w:t>在我方出具本函后</w:t>
      </w:r>
      <w:r>
        <w:rPr>
          <w:rFonts w:hint="eastAsia" w:ascii="仿宋_GB2312" w:hAnsi="仿宋_GB2312" w:eastAsia="仿宋_GB2312" w:cs="仿宋_GB2312"/>
          <w:sz w:val="28"/>
          <w:szCs w:val="28"/>
          <w:highlight w:val="none"/>
        </w:rPr>
        <w:t>持续</w:t>
      </w:r>
      <w:r>
        <w:rPr>
          <w:rFonts w:hint="eastAsia" w:ascii="仿宋_GB2312" w:hAnsi="仿宋_GB2312" w:eastAsia="仿宋_GB2312" w:cs="仿宋_GB2312"/>
          <w:bCs/>
          <w:sz w:val="28"/>
          <w:szCs w:val="28"/>
          <w:highlight w:val="none"/>
        </w:rPr>
        <w:t>有效并对我方有约束力。</w:t>
      </w:r>
    </w:p>
    <w:p>
      <w:pPr>
        <w:spacing w:line="5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9.我方确认，本函系独立于本工程合同的独立承诺，本函所述承诺不可撤销。</w:t>
      </w:r>
    </w:p>
    <w:p>
      <w:pPr>
        <w:spacing w:line="560" w:lineRule="exact"/>
        <w:ind w:firstLine="560" w:firstLineChars="200"/>
        <w:rPr>
          <w:rFonts w:ascii="仿宋_GB2312" w:hAnsi="仿宋_GB2312" w:eastAsia="仿宋_GB2312" w:cs="仿宋_GB2312"/>
          <w:bCs/>
          <w:sz w:val="28"/>
          <w:szCs w:val="28"/>
          <w:highlight w:val="none"/>
        </w:rPr>
      </w:pPr>
    </w:p>
    <w:p>
      <w:pPr>
        <w:spacing w:line="560" w:lineRule="exact"/>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投标单位名称：（签章）</w:t>
      </w:r>
    </w:p>
    <w:p>
      <w:pPr>
        <w:spacing w:line="560" w:lineRule="exact"/>
        <w:jc w:val="right"/>
        <w:rPr>
          <w:rFonts w:ascii="仿宋_GB2312" w:hAnsi="仿宋_GB2312" w:eastAsia="仿宋_GB2312" w:cs="仿宋_GB2312"/>
          <w:sz w:val="28"/>
          <w:szCs w:val="28"/>
          <w:highlight w:val="none"/>
        </w:rPr>
      </w:pPr>
    </w:p>
    <w:p>
      <w:pPr>
        <w:wordWrap w:val="0"/>
        <w:spacing w:line="560" w:lineRule="exact"/>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法定代表人（授权代表人）：     </w:t>
      </w:r>
    </w:p>
    <w:p>
      <w:pPr>
        <w:spacing w:line="560" w:lineRule="exact"/>
        <w:jc w:val="right"/>
        <w:rPr>
          <w:rFonts w:ascii="仿宋_GB2312" w:hAnsi="仿宋_GB2312" w:eastAsia="仿宋_GB2312" w:cs="仿宋_GB2312"/>
          <w:sz w:val="28"/>
          <w:szCs w:val="28"/>
          <w:highlight w:val="none"/>
        </w:rPr>
      </w:pPr>
    </w:p>
    <w:p>
      <w:pPr>
        <w:wordWrap w:val="0"/>
        <w:spacing w:line="560" w:lineRule="exact"/>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地址：  </w:t>
      </w:r>
    </w:p>
    <w:p>
      <w:pPr>
        <w:wordWrap w:val="0"/>
        <w:spacing w:line="560" w:lineRule="exact"/>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日期：  </w:t>
      </w:r>
    </w:p>
    <w:p>
      <w:pPr>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注：由授权代表人签署的，需附法定代表人签署的授权委托证明书。</w:t>
      </w:r>
    </w:p>
    <w:p>
      <w:pPr>
        <w:spacing w:line="560" w:lineRule="exact"/>
        <w:rPr>
          <w:rFonts w:ascii="仿宋_GB2312" w:hAnsi="仿宋_GB2312" w:eastAsia="仿宋_GB2312" w:cs="仿宋_GB2312"/>
          <w:sz w:val="28"/>
          <w:szCs w:val="28"/>
          <w:highlight w:val="none"/>
        </w:rPr>
      </w:pPr>
    </w:p>
    <w:p>
      <w:pPr>
        <w:pStyle w:val="124"/>
        <w:spacing w:before="156" w:after="156" w:line="360" w:lineRule="auto"/>
        <w:outlineLvl w:val="9"/>
        <w:rPr>
          <w:rFonts w:ascii="宋体" w:eastAsia="宋体"/>
          <w:highlight w:val="none"/>
        </w:rPr>
      </w:pPr>
      <w:r>
        <w:rPr>
          <w:rFonts w:hint="eastAsia" w:ascii="宋体" w:eastAsia="宋体"/>
          <w:b w:val="0"/>
          <w:highlight w:val="none"/>
        </w:rPr>
        <w:br w:type="page"/>
      </w:r>
      <w:r>
        <w:rPr>
          <w:rFonts w:hint="eastAsia" w:ascii="宋体" w:eastAsia="宋体"/>
          <w:highlight w:val="none"/>
        </w:rPr>
        <w:t>格式十：无不廉洁行为承诺函</w:t>
      </w:r>
    </w:p>
    <w:p>
      <w:pPr>
        <w:topLinePunct/>
        <w:adjustRightInd w:val="0"/>
        <w:snapToGrid w:val="0"/>
        <w:spacing w:line="360" w:lineRule="auto"/>
        <w:ind w:firstLine="440" w:firstLineChars="200"/>
        <w:jc w:val="center"/>
        <w:rPr>
          <w:rFonts w:ascii="宋体" w:hAnsi="宋体"/>
          <w:color w:val="000000"/>
          <w:sz w:val="22"/>
          <w:szCs w:val="21"/>
          <w:highlight w:val="none"/>
        </w:rPr>
      </w:pPr>
      <w:r>
        <w:rPr>
          <w:rFonts w:hint="eastAsia" w:ascii="宋体" w:hAnsi="宋体"/>
          <w:color w:val="000000"/>
          <w:sz w:val="22"/>
          <w:szCs w:val="21"/>
          <w:highlight w:val="none"/>
        </w:rPr>
        <w:t>无不廉洁行为承诺函</w:t>
      </w:r>
    </w:p>
    <w:p>
      <w:pPr>
        <w:topLinePunct/>
        <w:adjustRightInd w:val="0"/>
        <w:snapToGrid w:val="0"/>
        <w:spacing w:line="360" w:lineRule="auto"/>
        <w:ind w:firstLine="440" w:firstLineChars="200"/>
        <w:rPr>
          <w:rFonts w:ascii="宋体" w:hAnsi="宋体"/>
          <w:color w:val="000000"/>
          <w:sz w:val="22"/>
          <w:szCs w:val="21"/>
          <w:highlight w:val="none"/>
        </w:rPr>
      </w:pPr>
    </w:p>
    <w:p>
      <w:pPr>
        <w:topLinePunct/>
        <w:adjustRightInd w:val="0"/>
        <w:snapToGrid w:val="0"/>
        <w:spacing w:line="360" w:lineRule="auto"/>
        <w:ind w:firstLine="440" w:firstLineChars="200"/>
        <w:rPr>
          <w:rFonts w:ascii="宋体" w:hAnsi="宋体"/>
          <w:color w:val="000000"/>
          <w:sz w:val="22"/>
          <w:szCs w:val="21"/>
          <w:highlight w:val="none"/>
        </w:rPr>
      </w:pPr>
      <w:r>
        <w:rPr>
          <w:rFonts w:hint="eastAsia" w:ascii="宋体" w:hAnsi="宋体"/>
          <w:color w:val="000000"/>
          <w:sz w:val="22"/>
          <w:szCs w:val="21"/>
          <w:highlight w:val="none"/>
        </w:rPr>
        <w:t>致招标人：【              】</w:t>
      </w:r>
    </w:p>
    <w:p>
      <w:pPr>
        <w:topLinePunct/>
        <w:adjustRightInd w:val="0"/>
        <w:snapToGrid w:val="0"/>
        <w:spacing w:line="360" w:lineRule="auto"/>
        <w:ind w:firstLine="440" w:firstLineChars="200"/>
        <w:rPr>
          <w:rFonts w:ascii="宋体" w:hAnsi="宋体"/>
          <w:color w:val="000000"/>
          <w:sz w:val="22"/>
          <w:szCs w:val="21"/>
          <w:highlight w:val="none"/>
        </w:rPr>
      </w:pPr>
      <w:r>
        <w:rPr>
          <w:rFonts w:hint="eastAsia" w:ascii="宋体" w:hAnsi="宋体"/>
          <w:color w:val="000000"/>
          <w:sz w:val="22"/>
          <w:szCs w:val="21"/>
          <w:highlight w:val="none"/>
        </w:rPr>
        <w:t>我方为贵方组织的【           】项目招标活动（以下简称“本次招标活动”）的投标单位，我方郑重承诺及声明，近三年内（自截标之日倒算），不存在任何生效的裁判文书认定我方或我方工作人员存在以下行为：</w:t>
      </w:r>
    </w:p>
    <w:p>
      <w:pPr>
        <w:topLinePunct/>
        <w:adjustRightInd w:val="0"/>
        <w:snapToGrid w:val="0"/>
        <w:spacing w:line="360" w:lineRule="auto"/>
        <w:ind w:firstLine="440" w:firstLineChars="200"/>
        <w:rPr>
          <w:rFonts w:ascii="宋体" w:hAnsi="宋体"/>
          <w:color w:val="000000"/>
          <w:sz w:val="22"/>
          <w:szCs w:val="21"/>
          <w:highlight w:val="none"/>
        </w:rPr>
      </w:pPr>
      <w:r>
        <w:rPr>
          <w:rFonts w:hint="eastAsia" w:ascii="宋体" w:hAnsi="宋体"/>
          <w:color w:val="000000"/>
          <w:sz w:val="22"/>
          <w:szCs w:val="21"/>
          <w:highlight w:val="none"/>
        </w:rPr>
        <w:t>向贵方、贵方实际控制人深业置地有限公司、贵方实际控制人所控制的其他企业</w:t>
      </w:r>
      <w:r>
        <w:rPr>
          <w:rFonts w:ascii="宋体" w:hAnsi="宋体"/>
          <w:color w:val="000000"/>
          <w:sz w:val="22"/>
          <w:szCs w:val="21"/>
          <w:highlight w:val="none"/>
        </w:rPr>
        <w:footnoteReference w:id="0"/>
      </w:r>
      <w:r>
        <w:rPr>
          <w:rFonts w:hint="eastAsia" w:ascii="宋体" w:hAnsi="宋体"/>
          <w:color w:val="000000"/>
          <w:sz w:val="22"/>
          <w:szCs w:val="21"/>
          <w:highlight w:val="none"/>
        </w:rPr>
        <w:t>实施行贿或其他不廉洁行为;</w:t>
      </w:r>
    </w:p>
    <w:p>
      <w:pPr>
        <w:topLinePunct/>
        <w:adjustRightInd w:val="0"/>
        <w:snapToGrid w:val="0"/>
        <w:spacing w:line="360" w:lineRule="auto"/>
        <w:ind w:firstLine="440" w:firstLineChars="200"/>
        <w:rPr>
          <w:rFonts w:ascii="宋体" w:hAnsi="宋体"/>
          <w:color w:val="000000"/>
          <w:sz w:val="22"/>
          <w:szCs w:val="21"/>
          <w:highlight w:val="none"/>
        </w:rPr>
      </w:pPr>
      <w:r>
        <w:rPr>
          <w:rFonts w:hint="eastAsia" w:ascii="宋体" w:hAnsi="宋体"/>
          <w:color w:val="000000"/>
          <w:sz w:val="22"/>
          <w:szCs w:val="21"/>
          <w:highlight w:val="none"/>
        </w:rPr>
        <w:t>向上述第(1)项所列企业的工作人员实施行贿或其他不廉洁行为。</w:t>
      </w:r>
    </w:p>
    <w:p>
      <w:pPr>
        <w:topLinePunct/>
        <w:adjustRightInd w:val="0"/>
        <w:snapToGrid w:val="0"/>
        <w:spacing w:line="360" w:lineRule="auto"/>
        <w:ind w:firstLine="440" w:firstLineChars="200"/>
        <w:rPr>
          <w:rFonts w:ascii="宋体" w:hAnsi="宋体"/>
          <w:color w:val="000000"/>
          <w:sz w:val="22"/>
          <w:szCs w:val="21"/>
          <w:highlight w:val="none"/>
        </w:rPr>
      </w:pPr>
      <w:r>
        <w:rPr>
          <w:rFonts w:hint="eastAsia" w:ascii="宋体" w:hAnsi="宋体"/>
          <w:color w:val="000000"/>
          <w:sz w:val="22"/>
          <w:szCs w:val="21"/>
          <w:highlight w:val="none"/>
        </w:rPr>
        <w:t>我方保证以上承诺及声明真实、准确，如贵方发现近三年之内有生效的裁判文书认定我方或我方工作人员曾实施行贿或其他不廉洁行为的，则贵方有权不予受理我方投标、否定我方投标资格、取消我方中标资格（即便我方中标）。</w:t>
      </w:r>
    </w:p>
    <w:p>
      <w:pPr>
        <w:topLinePunct/>
        <w:adjustRightInd w:val="0"/>
        <w:snapToGrid w:val="0"/>
        <w:spacing w:line="360" w:lineRule="auto"/>
        <w:ind w:firstLine="440" w:firstLineChars="200"/>
        <w:rPr>
          <w:rFonts w:ascii="宋体" w:hAnsi="宋体"/>
          <w:color w:val="000000"/>
          <w:sz w:val="22"/>
          <w:szCs w:val="21"/>
          <w:highlight w:val="none"/>
        </w:rPr>
      </w:pPr>
    </w:p>
    <w:p>
      <w:pPr>
        <w:topLinePunct/>
        <w:adjustRightInd w:val="0"/>
        <w:snapToGrid w:val="0"/>
        <w:spacing w:line="360" w:lineRule="auto"/>
        <w:ind w:firstLine="440" w:firstLineChars="200"/>
        <w:rPr>
          <w:rFonts w:ascii="宋体" w:hAnsi="宋体"/>
          <w:color w:val="000000"/>
          <w:sz w:val="22"/>
          <w:szCs w:val="21"/>
          <w:highlight w:val="none"/>
        </w:rPr>
      </w:pPr>
      <w:r>
        <w:rPr>
          <w:rFonts w:hint="eastAsia" w:ascii="宋体" w:hAnsi="宋体"/>
          <w:color w:val="000000"/>
          <w:sz w:val="22"/>
          <w:szCs w:val="21"/>
          <w:highlight w:val="none"/>
        </w:rPr>
        <w:t xml:space="preserve">承诺人（公章）： </w:t>
      </w:r>
    </w:p>
    <w:p>
      <w:pPr>
        <w:topLinePunct/>
        <w:adjustRightInd w:val="0"/>
        <w:snapToGrid w:val="0"/>
        <w:spacing w:line="360" w:lineRule="auto"/>
        <w:ind w:firstLine="440" w:firstLineChars="200"/>
        <w:rPr>
          <w:rFonts w:ascii="Times New Roman" w:hAnsi="Times New Roman" w:eastAsia="楷体_GB2312"/>
          <w:color w:val="000000"/>
          <w:szCs w:val="21"/>
          <w:highlight w:val="none"/>
        </w:rPr>
      </w:pPr>
      <w:r>
        <w:rPr>
          <w:rFonts w:hint="eastAsia" w:ascii="宋体" w:hAnsi="宋体"/>
          <w:color w:val="000000"/>
          <w:sz w:val="22"/>
          <w:szCs w:val="21"/>
          <w:highlight w:val="none"/>
        </w:rPr>
        <w:t xml:space="preserve">法定代表人或授权代表（签名或印鉴）：    </w:t>
      </w:r>
    </w:p>
    <w:p>
      <w:pPr>
        <w:topLinePunct/>
        <w:adjustRightInd w:val="0"/>
        <w:snapToGrid w:val="0"/>
        <w:spacing w:line="360" w:lineRule="auto"/>
        <w:ind w:firstLine="420" w:firstLineChars="200"/>
        <w:rPr>
          <w:color w:val="000000"/>
          <w:szCs w:val="21"/>
          <w:highlight w:val="none"/>
        </w:rPr>
      </w:pPr>
    </w:p>
    <w:p>
      <w:pPr>
        <w:topLinePunct/>
        <w:adjustRightInd w:val="0"/>
        <w:snapToGrid w:val="0"/>
        <w:spacing w:line="360" w:lineRule="auto"/>
        <w:ind w:firstLine="440" w:firstLineChars="200"/>
        <w:rPr>
          <w:rFonts w:ascii="宋体" w:hAnsi="宋体"/>
          <w:color w:val="000000"/>
          <w:sz w:val="22"/>
          <w:szCs w:val="21"/>
          <w:highlight w:val="none"/>
        </w:rPr>
      </w:pPr>
      <w:r>
        <w:rPr>
          <w:rFonts w:hint="eastAsia" w:ascii="宋体" w:hAnsi="宋体"/>
          <w:color w:val="000000"/>
          <w:sz w:val="22"/>
          <w:szCs w:val="21"/>
          <w:highlight w:val="none"/>
        </w:rPr>
        <w:t>二〇    年   月   日</w:t>
      </w:r>
    </w:p>
    <w:p>
      <w:pPr>
        <w:pStyle w:val="5"/>
        <w:spacing w:after="0" w:line="360" w:lineRule="auto"/>
        <w:ind w:left="-2" w:leftChars="-1" w:firstLine="450" w:firstLineChars="225"/>
        <w:jc w:val="right"/>
        <w:rPr>
          <w:rFonts w:ascii="宋体" w:hAnsi="宋体"/>
          <w:sz w:val="24"/>
          <w:szCs w:val="24"/>
          <w:highlight w:val="none"/>
        </w:rPr>
      </w:pPr>
      <w:r>
        <w:rPr>
          <w:color w:val="000000"/>
          <w:szCs w:val="21"/>
          <w:highlight w:val="none"/>
        </w:rPr>
        <w:br w:type="page"/>
      </w:r>
    </w:p>
    <w:p>
      <w:pPr>
        <w:pStyle w:val="5"/>
        <w:spacing w:after="0" w:line="360" w:lineRule="auto"/>
        <w:ind w:left="-2" w:leftChars="-1" w:firstLine="540" w:firstLineChars="225"/>
        <w:jc w:val="right"/>
        <w:rPr>
          <w:rFonts w:ascii="宋体" w:hAnsi="宋体"/>
          <w:sz w:val="24"/>
          <w:szCs w:val="24"/>
          <w:highlight w:val="none"/>
        </w:rPr>
      </w:pPr>
    </w:p>
    <w:p>
      <w:pPr>
        <w:rPr>
          <w:highlight w:val="none"/>
        </w:rPr>
      </w:pPr>
    </w:p>
    <w:p>
      <w:pPr>
        <w:pStyle w:val="124"/>
        <w:spacing w:beforeLines="0" w:afterLines="0" w:line="360" w:lineRule="auto"/>
        <w:outlineLvl w:val="9"/>
        <w:rPr>
          <w:highlight w:val="none"/>
        </w:rPr>
      </w:pPr>
      <w:bookmarkStart w:id="49" w:name="_Toc80289091"/>
      <w:r>
        <w:rPr>
          <w:rFonts w:hint="eastAsia" w:ascii="宋体" w:eastAsia="宋体"/>
          <w:highlight w:val="none"/>
        </w:rPr>
        <w:t>格式十一：主要机械设备表</w:t>
      </w:r>
      <w:bookmarkEnd w:id="49"/>
    </w:p>
    <w:p>
      <w:pPr>
        <w:jc w:val="center"/>
        <w:rPr>
          <w:rFonts w:ascii="宋体" w:hAnsi="宋体"/>
          <w:sz w:val="24"/>
          <w:szCs w:val="24"/>
          <w:highlight w:val="none"/>
          <w:u w:val="single"/>
        </w:rPr>
      </w:pPr>
    </w:p>
    <w:p>
      <w:pPr>
        <w:pStyle w:val="8"/>
        <w:ind w:firstLine="480"/>
        <w:rPr>
          <w:rFonts w:ascii="宋体" w:hAnsi="宋体"/>
          <w:sz w:val="24"/>
          <w:szCs w:val="24"/>
          <w:highlight w:val="none"/>
          <w:u w:val="single"/>
        </w:rPr>
      </w:pPr>
      <w:r>
        <w:rPr>
          <w:rFonts w:hint="eastAsia" w:ascii="宋体" w:hAnsi="宋体"/>
          <w:sz w:val="24"/>
          <w:szCs w:val="24"/>
          <w:highlight w:val="none"/>
          <w:u w:val="single"/>
        </w:rPr>
        <w:t>格式自定。</w:t>
      </w:r>
    </w:p>
    <w:p>
      <w:pPr>
        <w:autoSpaceDE w:val="0"/>
        <w:autoSpaceDN w:val="0"/>
        <w:adjustRightInd w:val="0"/>
        <w:rPr>
          <w:rFonts w:ascii="宋体" w:hAnsi="宋体"/>
          <w:szCs w:val="21"/>
          <w:highlight w:val="none"/>
        </w:rPr>
      </w:pPr>
    </w:p>
    <w:p>
      <w:pPr>
        <w:pStyle w:val="82"/>
        <w:ind w:firstLine="198" w:firstLineChars="80"/>
        <w:jc w:val="left"/>
        <w:rPr>
          <w:rFonts w:ascii="宋体" w:hAnsi="宋体"/>
          <w:szCs w:val="21"/>
          <w:highlight w:val="none"/>
        </w:rPr>
      </w:pPr>
    </w:p>
    <w:p>
      <w:pPr>
        <w:tabs>
          <w:tab w:val="left" w:pos="720"/>
        </w:tabs>
        <w:snapToGrid w:val="0"/>
        <w:spacing w:line="360" w:lineRule="auto"/>
        <w:ind w:firstLine="420"/>
        <w:rPr>
          <w:rFonts w:ascii="宋体" w:hAnsi="宋体"/>
          <w:szCs w:val="21"/>
          <w:highlight w:val="none"/>
        </w:rPr>
      </w:pPr>
    </w:p>
    <w:p>
      <w:pPr>
        <w:pStyle w:val="124"/>
        <w:spacing w:beforeLines="0" w:afterLines="0" w:line="360" w:lineRule="auto"/>
        <w:outlineLvl w:val="9"/>
        <w:rPr>
          <w:rFonts w:hint="default" w:ascii="宋体" w:eastAsia="宋体"/>
          <w:highlight w:val="none"/>
          <w:lang w:val="en-US" w:eastAsia="zh-CN"/>
        </w:rPr>
      </w:pPr>
      <w:r>
        <w:rPr>
          <w:rFonts w:ascii="宋体" w:eastAsia="宋体"/>
          <w:highlight w:val="none"/>
        </w:rPr>
        <w:br w:type="page"/>
      </w:r>
      <w:bookmarkStart w:id="50" w:name="_Toc80289092"/>
      <w:r>
        <w:rPr>
          <w:rFonts w:hint="eastAsia" w:ascii="宋体" w:eastAsia="宋体"/>
          <w:highlight w:val="none"/>
        </w:rPr>
        <w:t>格式十二：</w:t>
      </w:r>
      <w:r>
        <w:rPr>
          <w:rFonts w:hint="eastAsia" w:ascii="宋体" w:eastAsia="宋体"/>
          <w:highlight w:val="none"/>
          <w:lang w:val="en-US" w:eastAsia="zh-CN"/>
        </w:rPr>
        <w:t>投标产品响应参数表</w:t>
      </w:r>
    </w:p>
    <w:p>
      <w:pPr>
        <w:rPr>
          <w:rFonts w:hint="eastAsia" w:ascii="宋体" w:eastAsia="宋体"/>
          <w:highlight w:val="none"/>
          <w:vertAlign w:val="baseline"/>
          <w:lang w:val="en-US"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995"/>
        <w:gridCol w:w="400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dxa"/>
            <w:vAlign w:val="center"/>
          </w:tcPr>
          <w:p>
            <w:pPr>
              <w:topLinePunct/>
              <w:adjustRightInd w:val="0"/>
              <w:snapToGrid w:val="0"/>
              <w:spacing w:line="360" w:lineRule="auto"/>
              <w:ind w:firstLine="0" w:firstLineChars="0"/>
              <w:rPr>
                <w:rFonts w:hint="eastAsia" w:ascii="宋体" w:hAnsi="宋体" w:eastAsia="宋体"/>
                <w:color w:val="000000"/>
                <w:sz w:val="22"/>
                <w:szCs w:val="21"/>
                <w:highlight w:val="none"/>
                <w:vertAlign w:val="baseline"/>
                <w:lang w:val="en-US" w:eastAsia="zh-CN"/>
              </w:rPr>
            </w:pPr>
            <w:r>
              <w:rPr>
                <w:rFonts w:hint="eastAsia" w:ascii="宋体" w:hAnsi="宋体"/>
                <w:color w:val="000000"/>
                <w:sz w:val="22"/>
                <w:szCs w:val="21"/>
                <w:highlight w:val="none"/>
                <w:vertAlign w:val="baseline"/>
                <w:lang w:val="en-US" w:eastAsia="zh-CN"/>
              </w:rPr>
              <w:t>序号</w:t>
            </w:r>
          </w:p>
        </w:tc>
        <w:tc>
          <w:tcPr>
            <w:tcW w:w="1995" w:type="dxa"/>
            <w:vAlign w:val="center"/>
          </w:tcPr>
          <w:p>
            <w:pPr>
              <w:topLinePunct/>
              <w:adjustRightInd w:val="0"/>
              <w:snapToGrid w:val="0"/>
              <w:spacing w:line="360" w:lineRule="auto"/>
              <w:ind w:firstLine="0" w:firstLineChars="0"/>
              <w:jc w:val="center"/>
              <w:rPr>
                <w:rFonts w:hint="eastAsia" w:ascii="宋体" w:hAnsi="宋体" w:eastAsia="宋体"/>
                <w:color w:val="000000"/>
                <w:sz w:val="22"/>
                <w:szCs w:val="21"/>
                <w:highlight w:val="none"/>
                <w:vertAlign w:val="baseline"/>
                <w:lang w:val="en-US" w:eastAsia="zh-CN"/>
              </w:rPr>
            </w:pPr>
            <w:r>
              <w:rPr>
                <w:rFonts w:hint="eastAsia" w:ascii="宋体" w:hAnsi="宋体"/>
                <w:color w:val="000000"/>
                <w:sz w:val="22"/>
                <w:szCs w:val="21"/>
                <w:highlight w:val="none"/>
                <w:vertAlign w:val="baseline"/>
                <w:lang w:val="en-US" w:eastAsia="zh-CN"/>
              </w:rPr>
              <w:t>产品名称</w:t>
            </w:r>
          </w:p>
        </w:tc>
        <w:tc>
          <w:tcPr>
            <w:tcW w:w="4005" w:type="dxa"/>
            <w:vAlign w:val="center"/>
          </w:tcPr>
          <w:p>
            <w:pPr>
              <w:topLinePunct/>
              <w:adjustRightInd w:val="0"/>
              <w:snapToGrid w:val="0"/>
              <w:spacing w:line="360" w:lineRule="auto"/>
              <w:ind w:firstLine="0" w:firstLineChars="0"/>
              <w:jc w:val="center"/>
              <w:rPr>
                <w:rFonts w:hint="eastAsia" w:ascii="宋体" w:hAnsi="宋体" w:eastAsia="宋体"/>
                <w:color w:val="000000"/>
                <w:sz w:val="22"/>
                <w:szCs w:val="21"/>
                <w:highlight w:val="none"/>
                <w:vertAlign w:val="baseline"/>
                <w:lang w:val="en-US" w:eastAsia="zh-CN"/>
              </w:rPr>
            </w:pPr>
            <w:r>
              <w:rPr>
                <w:rFonts w:hint="eastAsia" w:ascii="宋体" w:hAnsi="宋体"/>
                <w:color w:val="000000"/>
                <w:sz w:val="22"/>
                <w:szCs w:val="21"/>
                <w:highlight w:val="none"/>
                <w:vertAlign w:val="baseline"/>
                <w:lang w:val="en-US" w:eastAsia="zh-CN"/>
              </w:rPr>
              <w:t>招标文件技术参数要求</w:t>
            </w:r>
          </w:p>
        </w:tc>
        <w:tc>
          <w:tcPr>
            <w:tcW w:w="2715" w:type="dxa"/>
            <w:vAlign w:val="center"/>
          </w:tcPr>
          <w:p>
            <w:pPr>
              <w:topLinePunct/>
              <w:adjustRightInd w:val="0"/>
              <w:snapToGrid w:val="0"/>
              <w:spacing w:line="360" w:lineRule="auto"/>
              <w:ind w:firstLine="0" w:firstLineChars="0"/>
              <w:jc w:val="center"/>
              <w:rPr>
                <w:rFonts w:hint="default" w:ascii="宋体" w:hAnsi="宋体"/>
                <w:color w:val="000000"/>
                <w:sz w:val="22"/>
                <w:szCs w:val="21"/>
                <w:highlight w:val="none"/>
                <w:vertAlign w:val="baseline"/>
                <w:lang w:val="en-US" w:eastAsia="zh-CN"/>
              </w:rPr>
            </w:pPr>
            <w:r>
              <w:rPr>
                <w:rFonts w:hint="eastAsia" w:ascii="宋体" w:hAnsi="宋体"/>
                <w:color w:val="000000"/>
                <w:sz w:val="22"/>
                <w:szCs w:val="21"/>
                <w:highlight w:val="none"/>
                <w:vertAlign w:val="baseline"/>
                <w:lang w:val="en-US" w:eastAsia="zh-CN"/>
              </w:rPr>
              <w:t>投标产品技术参数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71" w:type="dxa"/>
            <w:vMerge w:val="restart"/>
            <w:vAlign w:val="center"/>
          </w:tcPr>
          <w:p>
            <w:pPr>
              <w:topLinePunct/>
              <w:adjustRightInd w:val="0"/>
              <w:snapToGrid w:val="0"/>
              <w:spacing w:line="360" w:lineRule="auto"/>
              <w:ind w:firstLine="0" w:firstLineChars="0"/>
              <w:jc w:val="center"/>
              <w:rPr>
                <w:rFonts w:hint="eastAsia" w:ascii="宋体" w:hAnsi="宋体" w:eastAsia="宋体"/>
                <w:color w:val="000000"/>
                <w:sz w:val="22"/>
                <w:szCs w:val="21"/>
                <w:highlight w:val="none"/>
                <w:vertAlign w:val="baseline"/>
                <w:lang w:val="en-US" w:eastAsia="zh-CN"/>
              </w:rPr>
            </w:pPr>
            <w:r>
              <w:rPr>
                <w:rFonts w:hint="eastAsia" w:ascii="宋体" w:hAnsi="宋体"/>
                <w:color w:val="000000"/>
                <w:sz w:val="22"/>
                <w:szCs w:val="21"/>
                <w:highlight w:val="none"/>
                <w:vertAlign w:val="baseline"/>
                <w:lang w:val="en-US" w:eastAsia="zh-CN"/>
              </w:rPr>
              <w:t>1</w:t>
            </w:r>
          </w:p>
        </w:tc>
        <w:tc>
          <w:tcPr>
            <w:tcW w:w="1995" w:type="dxa"/>
            <w:vMerge w:val="restart"/>
            <w:vAlign w:val="center"/>
          </w:tcPr>
          <w:p>
            <w:pPr>
              <w:topLinePunct/>
              <w:adjustRightInd w:val="0"/>
              <w:snapToGrid w:val="0"/>
              <w:spacing w:line="360" w:lineRule="auto"/>
              <w:ind w:firstLine="0" w:firstLineChars="0"/>
              <w:jc w:val="center"/>
              <w:rPr>
                <w:rFonts w:hint="eastAsia" w:ascii="宋体" w:hAnsi="宋体" w:eastAsia="宋体"/>
                <w:color w:val="000000"/>
                <w:sz w:val="22"/>
                <w:szCs w:val="21"/>
                <w:highlight w:val="none"/>
                <w:vertAlign w:val="baseline"/>
                <w:lang w:val="en-US" w:eastAsia="zh-CN"/>
              </w:rPr>
            </w:pPr>
            <w:r>
              <w:rPr>
                <w:rFonts w:hint="eastAsia" w:ascii="宋体" w:hAnsi="宋体"/>
                <w:color w:val="000000"/>
                <w:sz w:val="22"/>
                <w:szCs w:val="21"/>
                <w:highlight w:val="none"/>
                <w:vertAlign w:val="baseline"/>
                <w:lang w:val="en-US" w:eastAsia="zh-CN"/>
              </w:rPr>
              <w:t>抽油烟机</w:t>
            </w:r>
          </w:p>
        </w:tc>
        <w:tc>
          <w:tcPr>
            <w:tcW w:w="4005" w:type="dxa"/>
            <w:vAlign w:val="center"/>
          </w:tcPr>
          <w:p>
            <w:pPr>
              <w:topLinePunct/>
              <w:adjustRightInd w:val="0"/>
              <w:snapToGrid w:val="0"/>
              <w:spacing w:line="360" w:lineRule="auto"/>
              <w:ind w:firstLine="0"/>
              <w:jc w:val="left"/>
              <w:rPr>
                <w:rFonts w:hint="eastAsia" w:ascii="宋体" w:hAnsi="宋体"/>
                <w:color w:val="000000"/>
                <w:sz w:val="22"/>
                <w:szCs w:val="21"/>
                <w:highlight w:val="none"/>
                <w:lang w:val="en-US" w:eastAsia="zh-CN"/>
              </w:rPr>
            </w:pPr>
            <w:r>
              <w:rPr>
                <w:rFonts w:hint="eastAsia" w:ascii="宋体" w:hAnsi="宋体"/>
                <w:color w:val="000000"/>
                <w:sz w:val="22"/>
                <w:szCs w:val="21"/>
                <w:highlight w:val="none"/>
                <w:lang w:val="en-US" w:eastAsia="zh-CN"/>
              </w:rPr>
              <w:t>材质：</w:t>
            </w:r>
            <w:r>
              <w:rPr>
                <w:rFonts w:hint="eastAsia" w:ascii="宋体" w:hAnsi="宋体" w:eastAsia="宋体" w:cs="Times New Roman"/>
                <w:color w:val="000000"/>
                <w:sz w:val="22"/>
                <w:szCs w:val="21"/>
                <w:highlight w:val="none"/>
              </w:rPr>
              <w:t>不锈钢+黑色钢化玻璃</w:t>
            </w:r>
          </w:p>
        </w:tc>
        <w:tc>
          <w:tcPr>
            <w:tcW w:w="2715" w:type="dxa"/>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color w:val="000000"/>
                <w:sz w:val="22"/>
                <w:szCs w:val="21"/>
                <w:highlight w:val="none"/>
                <w:lang w:val="en-US" w:eastAsia="zh-CN"/>
              </w:rPr>
            </w:pPr>
            <w:r>
              <w:rPr>
                <w:rFonts w:hint="eastAsia" w:ascii="宋体" w:hAnsi="宋体"/>
                <w:color w:val="000000"/>
                <w:sz w:val="22"/>
                <w:szCs w:val="21"/>
                <w:highlight w:val="none"/>
                <w:lang w:val="en-US" w:eastAsia="zh-CN"/>
              </w:rPr>
              <w:t>外形尺寸（mm）需满足以下任一尺寸：长800×宽405×高435、长890×宽495×高430、长798×宽368×高430、长750×宽495×高385。（所有尺寸允许偏差±10mm以内）</w:t>
            </w:r>
          </w:p>
        </w:tc>
        <w:tc>
          <w:tcPr>
            <w:tcW w:w="2715" w:type="dxa"/>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风量（m3/min）</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油脂分离度/气味降低度</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工作噪音</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1" w:type="dxa"/>
            <w:vMerge w:val="restart"/>
            <w:vAlign w:val="center"/>
          </w:tcPr>
          <w:p>
            <w:pPr>
              <w:topLinePunct/>
              <w:adjustRightInd w:val="0"/>
              <w:snapToGrid w:val="0"/>
              <w:spacing w:line="360" w:lineRule="auto"/>
              <w:ind w:firstLine="0" w:firstLineChars="0"/>
              <w:jc w:val="center"/>
              <w:rPr>
                <w:rFonts w:hint="eastAsia" w:ascii="宋体" w:hAnsi="宋体" w:eastAsia="宋体"/>
                <w:color w:val="000000"/>
                <w:sz w:val="22"/>
                <w:szCs w:val="21"/>
                <w:highlight w:val="none"/>
                <w:vertAlign w:val="baseline"/>
                <w:lang w:val="en-US" w:eastAsia="zh-CN"/>
              </w:rPr>
            </w:pPr>
            <w:r>
              <w:rPr>
                <w:rFonts w:hint="eastAsia" w:ascii="宋体" w:hAnsi="宋体"/>
                <w:color w:val="000000"/>
                <w:sz w:val="22"/>
                <w:szCs w:val="21"/>
                <w:highlight w:val="none"/>
                <w:vertAlign w:val="baseline"/>
                <w:lang w:val="en-US" w:eastAsia="zh-CN"/>
              </w:rPr>
              <w:t>2</w:t>
            </w:r>
          </w:p>
        </w:tc>
        <w:tc>
          <w:tcPr>
            <w:tcW w:w="1995" w:type="dxa"/>
            <w:vMerge w:val="restart"/>
            <w:vAlign w:val="center"/>
          </w:tcPr>
          <w:p>
            <w:pPr>
              <w:topLinePunct/>
              <w:adjustRightInd w:val="0"/>
              <w:snapToGrid w:val="0"/>
              <w:spacing w:line="360" w:lineRule="auto"/>
              <w:ind w:firstLine="0" w:firstLineChars="0"/>
              <w:jc w:val="center"/>
              <w:rPr>
                <w:rFonts w:hint="eastAsia" w:ascii="宋体" w:hAnsi="宋体" w:eastAsia="宋体"/>
                <w:color w:val="000000"/>
                <w:sz w:val="22"/>
                <w:szCs w:val="21"/>
                <w:highlight w:val="none"/>
                <w:vertAlign w:val="baseline"/>
                <w:lang w:val="en-US" w:eastAsia="zh-CN"/>
              </w:rPr>
            </w:pPr>
            <w:r>
              <w:rPr>
                <w:rFonts w:hint="eastAsia" w:ascii="宋体" w:hAnsi="宋体"/>
                <w:color w:val="000000"/>
                <w:sz w:val="22"/>
                <w:szCs w:val="21"/>
                <w:highlight w:val="none"/>
                <w:vertAlign w:val="baseline"/>
                <w:lang w:val="en-US" w:eastAsia="zh-CN"/>
              </w:rPr>
              <w:t>燃气灶</w:t>
            </w: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lang w:val="en-US" w:eastAsia="zh-CN"/>
              </w:rPr>
              <w:t>材质：</w:t>
            </w:r>
            <w:r>
              <w:rPr>
                <w:rFonts w:hint="eastAsia" w:ascii="宋体" w:hAnsi="宋体" w:eastAsia="宋体" w:cs="Times New Roman"/>
                <w:color w:val="000000"/>
                <w:sz w:val="22"/>
                <w:szCs w:val="21"/>
                <w:highlight w:val="none"/>
              </w:rPr>
              <w:t>黑色钢化玻璃</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外形尺寸（mm）需满足以下任一尺寸：长730×宽410×高135、长720×宽420×高160、长720×宽420×高120。（所有尺寸允许偏差±10mm以内）</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提供热负荷（KW）</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热效率</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s="Times New Roman"/>
                <w:color w:val="000000"/>
                <w:sz w:val="22"/>
                <w:szCs w:val="21"/>
                <w:highlight w:val="none"/>
              </w:rPr>
            </w:pPr>
            <w:r>
              <w:rPr>
                <w:rFonts w:hint="eastAsia" w:ascii="宋体" w:hAnsi="宋体" w:eastAsia="宋体" w:cs="Times New Roman"/>
                <w:color w:val="000000"/>
                <w:sz w:val="22"/>
                <w:szCs w:val="21"/>
                <w:highlight w:val="none"/>
              </w:rPr>
              <w:t>气源</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1" w:type="dxa"/>
            <w:vMerge w:val="restart"/>
            <w:vAlign w:val="center"/>
          </w:tcPr>
          <w:p>
            <w:pPr>
              <w:topLinePunct/>
              <w:adjustRightInd w:val="0"/>
              <w:snapToGrid w:val="0"/>
              <w:spacing w:line="360" w:lineRule="auto"/>
              <w:ind w:firstLine="0" w:firstLineChars="0"/>
              <w:jc w:val="center"/>
              <w:rPr>
                <w:rFonts w:hint="eastAsia" w:ascii="宋体" w:hAnsi="宋体" w:eastAsia="宋体"/>
                <w:color w:val="000000"/>
                <w:sz w:val="22"/>
                <w:szCs w:val="21"/>
                <w:highlight w:val="none"/>
                <w:vertAlign w:val="baseline"/>
                <w:lang w:val="en-US" w:eastAsia="zh-CN"/>
              </w:rPr>
            </w:pPr>
            <w:r>
              <w:rPr>
                <w:rFonts w:hint="eastAsia" w:ascii="宋体" w:hAnsi="宋体"/>
                <w:color w:val="000000"/>
                <w:sz w:val="22"/>
                <w:szCs w:val="21"/>
                <w:highlight w:val="none"/>
                <w:vertAlign w:val="baseline"/>
                <w:lang w:val="en-US" w:eastAsia="zh-CN"/>
              </w:rPr>
              <w:t>3</w:t>
            </w:r>
          </w:p>
        </w:tc>
        <w:tc>
          <w:tcPr>
            <w:tcW w:w="1995" w:type="dxa"/>
            <w:vMerge w:val="restart"/>
            <w:vAlign w:val="center"/>
          </w:tcPr>
          <w:p>
            <w:pPr>
              <w:topLinePunct/>
              <w:adjustRightInd w:val="0"/>
              <w:snapToGrid w:val="0"/>
              <w:spacing w:line="360" w:lineRule="auto"/>
              <w:ind w:firstLine="0" w:firstLineChars="0"/>
              <w:jc w:val="center"/>
              <w:rPr>
                <w:rFonts w:hint="eastAsia" w:ascii="宋体" w:hAnsi="宋体" w:eastAsia="宋体"/>
                <w:color w:val="000000"/>
                <w:sz w:val="22"/>
                <w:szCs w:val="21"/>
                <w:highlight w:val="none"/>
                <w:vertAlign w:val="baseline"/>
                <w:lang w:val="en-US" w:eastAsia="zh-CN"/>
              </w:rPr>
            </w:pPr>
            <w:r>
              <w:rPr>
                <w:rFonts w:hint="eastAsia" w:ascii="宋体" w:hAnsi="宋体"/>
                <w:color w:val="000000"/>
                <w:sz w:val="22"/>
                <w:szCs w:val="21"/>
                <w:highlight w:val="none"/>
                <w:vertAlign w:val="baseline"/>
                <w:lang w:val="en-US" w:eastAsia="zh-CN"/>
              </w:rPr>
              <w:t>洗碗消毒一体柜</w:t>
            </w:r>
          </w:p>
        </w:tc>
        <w:tc>
          <w:tcPr>
            <w:tcW w:w="4005" w:type="dxa"/>
            <w:vAlign w:val="center"/>
          </w:tcPr>
          <w:p>
            <w:pPr>
              <w:topLinePunct/>
              <w:adjustRightInd w:val="0"/>
              <w:snapToGrid w:val="0"/>
              <w:spacing w:line="360" w:lineRule="auto"/>
              <w:ind w:firstLine="0" w:firstLineChars="0"/>
              <w:jc w:val="left"/>
              <w:rPr>
                <w:rFonts w:hint="eastAsia" w:ascii="宋体" w:hAnsi="宋体"/>
                <w:color w:val="000000"/>
                <w:sz w:val="22"/>
                <w:szCs w:val="21"/>
                <w:highlight w:val="none"/>
                <w:lang w:val="en-US" w:eastAsia="zh-CN"/>
              </w:rPr>
            </w:pPr>
            <w:r>
              <w:rPr>
                <w:rFonts w:hint="eastAsia" w:ascii="宋体" w:hAnsi="宋体"/>
                <w:color w:val="000000"/>
                <w:sz w:val="22"/>
                <w:szCs w:val="21"/>
                <w:highlight w:val="none"/>
                <w:lang w:val="en-US" w:eastAsia="zh-CN"/>
              </w:rPr>
              <w:t>材质:黑色钢化玻璃</w:t>
            </w:r>
          </w:p>
        </w:tc>
        <w:tc>
          <w:tcPr>
            <w:tcW w:w="2715" w:type="dxa"/>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olor w:val="000000"/>
                <w:sz w:val="22"/>
                <w:szCs w:val="21"/>
                <w:highlight w:val="none"/>
                <w:vertAlign w:val="baseline"/>
                <w:lang w:val="en-US" w:eastAsia="zh-CN"/>
              </w:rPr>
              <w:t>外形尺寸（mm）需满足以下任一尺寸：宽595mm×高605mm×深500mm（含门板）、宽595mm×高595mm×深525mm（含门板）、宽595mm×高598mm×深500mm（含门板）。(所有尺寸允许偏差±10mm以内）</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水效等级</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整机额定功率</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加热方式</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内胆材质</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喷淋臂数量</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容量</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功能模式</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保洁存储</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71" w:type="dxa"/>
            <w:vMerge w:val="continue"/>
            <w:vAlign w:val="center"/>
          </w:tcPr>
          <w:p>
            <w:pPr>
              <w:topLinePunct/>
              <w:adjustRightInd w:val="0"/>
              <w:snapToGrid w:val="0"/>
              <w:spacing w:line="360" w:lineRule="auto"/>
              <w:ind w:firstLine="440" w:firstLineChars="200"/>
              <w:jc w:val="center"/>
              <w:rPr>
                <w:rFonts w:hint="eastAsia" w:ascii="宋体" w:hAnsi="宋体"/>
                <w:color w:val="000000"/>
                <w:sz w:val="22"/>
                <w:szCs w:val="21"/>
                <w:highlight w:val="none"/>
                <w:vertAlign w:val="baseline"/>
                <w:lang w:val="en-US" w:eastAsia="zh-CN"/>
              </w:rPr>
            </w:pPr>
          </w:p>
        </w:tc>
        <w:tc>
          <w:tcPr>
            <w:tcW w:w="1995" w:type="dxa"/>
            <w:vMerge w:val="continue"/>
            <w:vAlign w:val="center"/>
          </w:tcPr>
          <w:p>
            <w:pPr>
              <w:topLinePunct/>
              <w:adjustRightInd w:val="0"/>
              <w:snapToGrid w:val="0"/>
              <w:spacing w:line="360" w:lineRule="auto"/>
              <w:ind w:firstLine="440" w:firstLineChars="200"/>
              <w:jc w:val="center"/>
              <w:rPr>
                <w:rFonts w:hint="eastAsia" w:ascii="宋体" w:hAnsi="宋体" w:eastAsia="宋体"/>
                <w:color w:val="000000"/>
                <w:sz w:val="22"/>
                <w:szCs w:val="21"/>
                <w:highlight w:val="none"/>
                <w:vertAlign w:val="baseline"/>
                <w:lang w:val="en-US" w:eastAsia="zh-CN"/>
              </w:rPr>
            </w:pPr>
          </w:p>
        </w:tc>
        <w:tc>
          <w:tcPr>
            <w:tcW w:w="4005" w:type="dxa"/>
            <w:vAlign w:val="center"/>
          </w:tcPr>
          <w:p>
            <w:pPr>
              <w:topLinePunct/>
              <w:adjustRightInd w:val="0"/>
              <w:snapToGrid w:val="0"/>
              <w:spacing w:line="360" w:lineRule="auto"/>
              <w:ind w:firstLine="0" w:firstLineChars="0"/>
              <w:jc w:val="left"/>
              <w:rPr>
                <w:rFonts w:hint="eastAsia" w:ascii="宋体" w:hAnsi="宋体" w:eastAsia="宋体"/>
                <w:color w:val="000000"/>
                <w:sz w:val="22"/>
                <w:szCs w:val="21"/>
                <w:highlight w:val="none"/>
                <w:vertAlign w:val="baseline"/>
                <w:lang w:val="en-US" w:eastAsia="zh-CN"/>
              </w:rPr>
            </w:pPr>
            <w:r>
              <w:rPr>
                <w:rFonts w:hint="eastAsia" w:ascii="宋体" w:hAnsi="宋体" w:eastAsia="宋体" w:cs="Times New Roman"/>
                <w:color w:val="000000"/>
                <w:sz w:val="22"/>
                <w:szCs w:val="21"/>
                <w:highlight w:val="none"/>
              </w:rPr>
              <w:t>安全防护</w:t>
            </w:r>
          </w:p>
        </w:tc>
        <w:tc>
          <w:tcPr>
            <w:tcW w:w="2715" w:type="dxa"/>
            <w:vAlign w:val="center"/>
          </w:tcPr>
          <w:p>
            <w:pPr>
              <w:topLinePunct/>
              <w:adjustRightInd w:val="0"/>
              <w:snapToGrid w:val="0"/>
              <w:spacing w:line="360" w:lineRule="auto"/>
              <w:ind w:firstLine="440" w:firstLineChars="200"/>
              <w:jc w:val="center"/>
              <w:rPr>
                <w:rFonts w:hint="eastAsia" w:ascii="宋体" w:hAnsi="宋体" w:eastAsia="宋体" w:cs="Times New Roman"/>
                <w:color w:val="000000"/>
                <w:sz w:val="22"/>
                <w:szCs w:val="21"/>
                <w:highlight w:val="none"/>
              </w:rPr>
            </w:pPr>
          </w:p>
        </w:tc>
      </w:tr>
    </w:tbl>
    <w:p>
      <w:pPr>
        <w:topLinePunct/>
        <w:adjustRightInd w:val="0"/>
        <w:snapToGrid w:val="0"/>
        <w:ind w:firstLine="440" w:firstLineChars="200"/>
        <w:rPr>
          <w:rFonts w:hint="eastAsia" w:ascii="宋体" w:hAnsi="宋体" w:eastAsia="宋体"/>
          <w:color w:val="000000"/>
          <w:sz w:val="22"/>
          <w:szCs w:val="21"/>
          <w:highlight w:val="none"/>
          <w:lang w:val="en-US" w:eastAsia="zh-CN"/>
        </w:rPr>
      </w:pPr>
    </w:p>
    <w:p>
      <w:pPr>
        <w:rPr>
          <w:rFonts w:hint="eastAsia" w:ascii="宋体" w:eastAsia="宋体"/>
          <w:highlight w:val="none"/>
          <w:lang w:val="en-US" w:eastAsia="zh-CN"/>
        </w:rPr>
      </w:pPr>
      <w:r>
        <w:rPr>
          <w:rFonts w:hint="eastAsia" w:ascii="宋体" w:eastAsia="宋体"/>
          <w:highlight w:val="none"/>
          <w:lang w:val="en-US" w:eastAsia="zh-CN"/>
        </w:rPr>
        <w:br w:type="page"/>
      </w:r>
    </w:p>
    <w:p>
      <w:pPr>
        <w:pStyle w:val="124"/>
        <w:spacing w:beforeLines="0" w:afterLines="0" w:line="360" w:lineRule="auto"/>
        <w:outlineLvl w:val="9"/>
        <w:rPr>
          <w:highlight w:val="none"/>
        </w:rPr>
      </w:pPr>
      <w:r>
        <w:rPr>
          <w:rFonts w:hint="eastAsia" w:ascii="宋体" w:eastAsia="宋体"/>
          <w:highlight w:val="none"/>
          <w:lang w:val="en-US" w:eastAsia="zh-CN"/>
        </w:rPr>
        <w:t>格式十三：</w:t>
      </w:r>
      <w:r>
        <w:rPr>
          <w:rFonts w:hint="eastAsia" w:ascii="宋体" w:eastAsia="宋体"/>
          <w:highlight w:val="none"/>
        </w:rPr>
        <w:t>投标人认为应该提供的其他资料</w:t>
      </w:r>
      <w:bookmarkEnd w:id="50"/>
    </w:p>
    <w:p>
      <w:pPr>
        <w:jc w:val="both"/>
        <w:rPr>
          <w:rFonts w:ascii="宋体" w:hAnsi="宋体"/>
          <w:sz w:val="24"/>
          <w:szCs w:val="24"/>
          <w:highlight w:val="none"/>
          <w:u w:val="single"/>
        </w:rPr>
      </w:pPr>
    </w:p>
    <w:p>
      <w:pPr>
        <w:autoSpaceDE w:val="0"/>
        <w:autoSpaceDN w:val="0"/>
        <w:adjustRightInd w:val="0"/>
        <w:rPr>
          <w:rFonts w:ascii="宋体" w:hAnsi="宋体"/>
          <w:szCs w:val="21"/>
          <w:highlight w:val="none"/>
        </w:rPr>
      </w:pPr>
    </w:p>
    <w:p>
      <w:pPr>
        <w:pStyle w:val="82"/>
        <w:ind w:firstLine="198" w:firstLineChars="80"/>
        <w:jc w:val="left"/>
        <w:rPr>
          <w:rFonts w:ascii="宋体" w:hAnsi="宋体"/>
          <w:szCs w:val="21"/>
          <w:highlight w:val="none"/>
        </w:rPr>
      </w:pPr>
    </w:p>
    <w:p>
      <w:pPr>
        <w:tabs>
          <w:tab w:val="left" w:pos="720"/>
        </w:tabs>
        <w:snapToGrid w:val="0"/>
        <w:spacing w:line="360" w:lineRule="auto"/>
        <w:ind w:firstLine="420"/>
        <w:rPr>
          <w:rFonts w:ascii="宋体" w:hAnsi="宋体"/>
          <w:szCs w:val="21"/>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pStyle w:val="8"/>
        <w:rPr>
          <w:highlight w:val="none"/>
        </w:rPr>
      </w:pPr>
    </w:p>
    <w:p>
      <w:pPr>
        <w:rPr>
          <w:highlight w:val="none"/>
        </w:rPr>
      </w:pPr>
    </w:p>
    <w:p>
      <w:pPr>
        <w:spacing w:line="360" w:lineRule="auto"/>
        <w:outlineLvl w:val="0"/>
        <w:rPr>
          <w:rFonts w:ascii="宋体" w:hAnsi="宋体"/>
          <w:highlight w:val="none"/>
        </w:rPr>
      </w:pPr>
      <w:bookmarkStart w:id="51" w:name="_Toc80289093"/>
      <w:bookmarkStart w:id="52" w:name="_Toc510963900"/>
      <w:bookmarkStart w:id="53" w:name="_Toc532475368"/>
      <w:bookmarkStart w:id="54" w:name="_Toc532475801"/>
      <w:r>
        <w:rPr>
          <w:rFonts w:hint="eastAsia" w:ascii="宋体" w:hAnsi="宋体"/>
          <w:highlight w:val="none"/>
        </w:rPr>
        <w:br w:type="page"/>
      </w:r>
    </w:p>
    <w:p>
      <w:pPr>
        <w:pStyle w:val="117"/>
        <w:spacing w:beforeLines="0" w:afterLines="0" w:line="360" w:lineRule="auto"/>
        <w:outlineLvl w:val="0"/>
        <w:rPr>
          <w:rFonts w:ascii="宋体" w:hAnsi="宋体" w:eastAsia="宋体"/>
          <w:highlight w:val="none"/>
        </w:rPr>
      </w:pPr>
      <w:r>
        <w:rPr>
          <w:rFonts w:hint="eastAsia" w:ascii="宋体" w:hAnsi="宋体" w:eastAsia="宋体"/>
          <w:highlight w:val="none"/>
        </w:rPr>
        <w:t>二、经济标投标文件格式</w:t>
      </w:r>
      <w:bookmarkEnd w:id="51"/>
      <w:bookmarkEnd w:id="52"/>
      <w:bookmarkEnd w:id="53"/>
      <w:bookmarkEnd w:id="54"/>
    </w:p>
    <w:p>
      <w:pPr>
        <w:pStyle w:val="82"/>
        <w:ind w:firstLine="496"/>
        <w:rPr>
          <w:rFonts w:ascii="宋体" w:hAnsi="宋体"/>
          <w:highlight w:val="none"/>
        </w:rPr>
      </w:pPr>
    </w:p>
    <w:p>
      <w:pPr>
        <w:pStyle w:val="124"/>
        <w:spacing w:beforeLines="0" w:afterLines="0" w:line="360" w:lineRule="auto"/>
        <w:outlineLvl w:val="9"/>
        <w:rPr>
          <w:rFonts w:ascii="宋体" w:eastAsia="宋体"/>
          <w:highlight w:val="none"/>
        </w:rPr>
      </w:pPr>
      <w:r>
        <w:rPr>
          <w:rFonts w:ascii="宋体" w:eastAsia="宋体"/>
          <w:b w:val="0"/>
          <w:highlight w:val="none"/>
        </w:rPr>
        <w:br w:type="page"/>
      </w:r>
      <w:bookmarkStart w:id="55" w:name="_Toc532475369"/>
      <w:bookmarkStart w:id="56" w:name="_Toc532475802"/>
      <w:bookmarkStart w:id="57" w:name="_Toc80289094"/>
      <w:bookmarkStart w:id="58" w:name="_Toc510963901"/>
      <w:r>
        <w:rPr>
          <w:rFonts w:hint="eastAsia" w:ascii="宋体" w:eastAsia="宋体"/>
          <w:highlight w:val="none"/>
        </w:rPr>
        <w:t>格式一：经济标封面</w:t>
      </w:r>
      <w:bookmarkEnd w:id="55"/>
      <w:bookmarkEnd w:id="56"/>
      <w:bookmarkEnd w:id="57"/>
      <w:bookmarkEnd w:id="58"/>
    </w:p>
    <w:p>
      <w:pPr>
        <w:pStyle w:val="82"/>
        <w:ind w:firstLine="496"/>
        <w:rPr>
          <w:rFonts w:ascii="宋体" w:hAnsi="宋体"/>
          <w:highlight w:val="none"/>
        </w:rPr>
      </w:pPr>
    </w:p>
    <w:p>
      <w:pPr>
        <w:pStyle w:val="82"/>
        <w:ind w:firstLine="496"/>
        <w:rPr>
          <w:rFonts w:ascii="宋体" w:hAnsi="宋体"/>
          <w:highlight w:val="none"/>
        </w:rPr>
      </w:pPr>
    </w:p>
    <w:p>
      <w:pPr>
        <w:pStyle w:val="120"/>
        <w:outlineLvl w:val="0"/>
        <w:rPr>
          <w:rFonts w:ascii="宋体" w:hAnsi="宋体" w:eastAsia="宋体"/>
          <w:b w:val="0"/>
          <w:highlight w:val="none"/>
          <w:u w:val="single"/>
        </w:rPr>
      </w:pPr>
      <w:r>
        <w:rPr>
          <w:rFonts w:hint="eastAsia" w:ascii="宋体" w:hAnsi="宋体" w:eastAsia="宋体"/>
          <w:b w:val="0"/>
          <w:highlight w:val="none"/>
          <w:u w:val="single"/>
        </w:rPr>
        <w:t xml:space="preserve">[工程名称] </w:t>
      </w:r>
    </w:p>
    <w:p>
      <w:pPr>
        <w:pStyle w:val="82"/>
        <w:ind w:firstLine="496"/>
        <w:rPr>
          <w:rFonts w:ascii="宋体" w:hAnsi="宋体"/>
          <w:highlight w:val="none"/>
        </w:rPr>
      </w:pPr>
    </w:p>
    <w:p>
      <w:pPr>
        <w:pStyle w:val="82"/>
        <w:ind w:firstLine="496"/>
        <w:rPr>
          <w:rFonts w:ascii="宋体" w:hAnsi="宋体"/>
          <w:highlight w:val="none"/>
        </w:rPr>
      </w:pPr>
    </w:p>
    <w:p>
      <w:pPr>
        <w:pStyle w:val="82"/>
        <w:ind w:firstLine="496"/>
        <w:rPr>
          <w:rFonts w:ascii="宋体" w:hAnsi="宋体"/>
          <w:highlight w:val="none"/>
        </w:rPr>
      </w:pPr>
    </w:p>
    <w:p>
      <w:pPr>
        <w:pStyle w:val="82"/>
        <w:ind w:firstLine="496"/>
        <w:rPr>
          <w:rFonts w:ascii="宋体" w:hAnsi="宋体"/>
          <w:highlight w:val="none"/>
        </w:rPr>
      </w:pPr>
    </w:p>
    <w:p>
      <w:pPr>
        <w:pStyle w:val="127"/>
        <w:outlineLvl w:val="1"/>
        <w:rPr>
          <w:rFonts w:ascii="宋体" w:hAnsi="宋体" w:eastAsia="宋体"/>
          <w:b w:val="0"/>
          <w:highlight w:val="none"/>
        </w:rPr>
      </w:pPr>
      <w:r>
        <w:rPr>
          <w:rFonts w:hint="eastAsia" w:ascii="宋体" w:hAnsi="宋体" w:eastAsia="宋体"/>
          <w:b w:val="0"/>
          <w:highlight w:val="none"/>
        </w:rPr>
        <w:t>投标文件</w:t>
      </w:r>
    </w:p>
    <w:p>
      <w:pPr>
        <w:pStyle w:val="120"/>
        <w:outlineLvl w:val="0"/>
        <w:rPr>
          <w:rFonts w:ascii="宋体" w:hAnsi="宋体" w:eastAsia="宋体"/>
          <w:b w:val="0"/>
          <w:highlight w:val="none"/>
        </w:rPr>
      </w:pPr>
      <w:r>
        <w:rPr>
          <w:rFonts w:hint="eastAsia" w:ascii="宋体" w:hAnsi="宋体" w:eastAsia="宋体"/>
          <w:b w:val="0"/>
          <w:highlight w:val="none"/>
        </w:rPr>
        <w:t>经济投标文件</w:t>
      </w:r>
    </w:p>
    <w:p>
      <w:pPr>
        <w:pStyle w:val="82"/>
        <w:ind w:firstLine="496"/>
        <w:rPr>
          <w:rFonts w:ascii="宋体" w:hAnsi="宋体"/>
          <w:highlight w:val="none"/>
        </w:rPr>
      </w:pPr>
    </w:p>
    <w:p>
      <w:pPr>
        <w:pStyle w:val="82"/>
        <w:ind w:firstLine="496"/>
        <w:rPr>
          <w:rFonts w:ascii="宋体" w:hAnsi="宋体"/>
          <w:highlight w:val="none"/>
        </w:rPr>
      </w:pPr>
    </w:p>
    <w:p>
      <w:pPr>
        <w:pStyle w:val="82"/>
        <w:ind w:firstLine="496"/>
        <w:rPr>
          <w:rFonts w:ascii="宋体" w:hAnsi="宋体"/>
          <w:highlight w:val="none"/>
        </w:rPr>
      </w:pPr>
    </w:p>
    <w:p>
      <w:pPr>
        <w:pStyle w:val="82"/>
        <w:ind w:firstLine="496"/>
        <w:rPr>
          <w:rFonts w:ascii="宋体" w:hAnsi="宋体"/>
          <w:highlight w:val="none"/>
        </w:rPr>
      </w:pPr>
    </w:p>
    <w:p>
      <w:pPr>
        <w:pStyle w:val="82"/>
        <w:ind w:firstLine="496"/>
        <w:rPr>
          <w:rFonts w:ascii="宋体" w:hAnsi="宋体"/>
          <w:highlight w:val="none"/>
        </w:rPr>
      </w:pPr>
    </w:p>
    <w:p>
      <w:pPr>
        <w:pStyle w:val="82"/>
        <w:ind w:firstLine="496"/>
        <w:rPr>
          <w:rFonts w:ascii="宋体" w:hAnsi="宋体"/>
          <w:highlight w:val="none"/>
        </w:rPr>
      </w:pPr>
    </w:p>
    <w:p>
      <w:pPr>
        <w:pStyle w:val="126"/>
        <w:ind w:firstLine="616"/>
        <w:outlineLvl w:val="0"/>
        <w:rPr>
          <w:rFonts w:ascii="宋体" w:hAnsi="宋体" w:eastAsia="宋体"/>
          <w:highlight w:val="none"/>
        </w:rPr>
      </w:pPr>
      <w:r>
        <w:rPr>
          <w:rFonts w:hint="eastAsia" w:ascii="宋体" w:hAnsi="宋体" w:eastAsia="宋体"/>
          <w:highlight w:val="none"/>
        </w:rPr>
        <w:t>投标人：</w:t>
      </w:r>
      <w:r>
        <w:rPr>
          <w:rFonts w:hint="eastAsia" w:ascii="宋体" w:hAnsi="宋体" w:eastAsia="宋体"/>
          <w:highlight w:val="none"/>
          <w:u w:val="single"/>
        </w:rPr>
        <w:t>（填写投标人单位名称）       （盖章）</w:t>
      </w:r>
    </w:p>
    <w:p>
      <w:pPr>
        <w:pStyle w:val="126"/>
        <w:ind w:firstLine="616"/>
        <w:rPr>
          <w:rFonts w:ascii="宋体" w:hAnsi="宋体" w:eastAsia="宋体"/>
          <w:highlight w:val="none"/>
        </w:rPr>
      </w:pPr>
    </w:p>
    <w:p>
      <w:pPr>
        <w:pStyle w:val="126"/>
        <w:ind w:firstLine="616"/>
        <w:outlineLvl w:val="0"/>
        <w:rPr>
          <w:rFonts w:ascii="宋体" w:hAnsi="宋体" w:eastAsia="宋体"/>
          <w:highlight w:val="none"/>
        </w:rPr>
      </w:pPr>
      <w:r>
        <w:rPr>
          <w:rFonts w:hint="eastAsia" w:ascii="宋体" w:hAnsi="宋体" w:eastAsia="宋体"/>
          <w:highlight w:val="none"/>
        </w:rPr>
        <w:t>法定代表人或</w:t>
      </w:r>
    </w:p>
    <w:p>
      <w:pPr>
        <w:pStyle w:val="126"/>
        <w:ind w:firstLine="616"/>
        <w:outlineLvl w:val="0"/>
        <w:rPr>
          <w:rFonts w:ascii="宋体" w:hAnsi="宋体" w:eastAsia="宋体"/>
          <w:highlight w:val="none"/>
        </w:rPr>
      </w:pPr>
      <w:r>
        <w:rPr>
          <w:rFonts w:hint="eastAsia" w:ascii="宋体" w:hAnsi="宋体" w:eastAsia="宋体"/>
          <w:highlight w:val="none"/>
        </w:rPr>
        <w:t>其委托代理人：</w:t>
      </w:r>
      <w:r>
        <w:rPr>
          <w:rFonts w:hint="eastAsia" w:ascii="宋体" w:hAnsi="宋体" w:eastAsia="宋体"/>
          <w:highlight w:val="none"/>
          <w:u w:val="single"/>
        </w:rPr>
        <w:t xml:space="preserve">                     （签字或盖章）</w:t>
      </w:r>
    </w:p>
    <w:p>
      <w:pPr>
        <w:pStyle w:val="126"/>
        <w:ind w:firstLine="616"/>
        <w:outlineLvl w:val="0"/>
        <w:rPr>
          <w:rFonts w:ascii="宋体" w:hAnsi="宋体" w:eastAsia="宋体"/>
          <w:highlight w:val="none"/>
        </w:rPr>
      </w:pPr>
      <w:r>
        <w:rPr>
          <w:rFonts w:hint="eastAsia" w:ascii="宋体" w:hAnsi="宋体" w:eastAsia="宋体"/>
          <w:highlight w:val="none"/>
        </w:rPr>
        <w:t>日  期：</w:t>
      </w:r>
    </w:p>
    <w:p>
      <w:pPr>
        <w:rPr>
          <w:rFonts w:ascii="宋体" w:hAnsi="宋体"/>
          <w:highlight w:val="none"/>
        </w:rPr>
      </w:pPr>
      <w:r>
        <w:rPr>
          <w:rFonts w:ascii="宋体" w:hAnsi="宋体"/>
          <w:highlight w:val="none"/>
        </w:rPr>
        <w:br w:type="page"/>
      </w:r>
      <w:bookmarkStart w:id="59" w:name="_Toc532475371"/>
      <w:bookmarkStart w:id="60" w:name="_Toc510963903"/>
      <w:bookmarkStart w:id="61" w:name="_Toc532475804"/>
    </w:p>
    <w:p>
      <w:pPr>
        <w:pStyle w:val="124"/>
        <w:spacing w:beforeLines="0" w:afterLines="0" w:line="360" w:lineRule="auto"/>
        <w:outlineLvl w:val="9"/>
        <w:rPr>
          <w:rFonts w:ascii="宋体" w:eastAsia="宋体"/>
          <w:highlight w:val="none"/>
        </w:rPr>
      </w:pPr>
      <w:bookmarkStart w:id="62" w:name="_Toc80289095"/>
      <w:r>
        <w:rPr>
          <w:rFonts w:hint="eastAsia" w:ascii="宋体" w:eastAsia="宋体"/>
          <w:highlight w:val="none"/>
        </w:rPr>
        <w:t>格式二：工程量清单计价表</w:t>
      </w:r>
      <w:bookmarkEnd w:id="59"/>
      <w:bookmarkEnd w:id="60"/>
      <w:bookmarkEnd w:id="61"/>
      <w:bookmarkEnd w:id="62"/>
    </w:p>
    <w:p>
      <w:pPr>
        <w:pStyle w:val="82"/>
        <w:ind w:firstLine="498"/>
        <w:rPr>
          <w:rFonts w:ascii="宋体" w:hAnsi="宋体"/>
          <w:b/>
          <w:highlight w:val="none"/>
        </w:rPr>
      </w:pPr>
    </w:p>
    <w:p>
      <w:pPr>
        <w:pStyle w:val="113"/>
        <w:ind w:firstLine="617"/>
        <w:outlineLvl w:val="1"/>
        <w:rPr>
          <w:rFonts w:ascii="宋体" w:hAnsi="宋体" w:eastAsia="宋体"/>
          <w:highlight w:val="none"/>
        </w:rPr>
      </w:pPr>
      <w:r>
        <w:rPr>
          <w:rFonts w:hint="eastAsia" w:ascii="宋体" w:hAnsi="宋体" w:eastAsia="宋体"/>
          <w:highlight w:val="none"/>
        </w:rPr>
        <w:t>工程量清单计价表</w:t>
      </w:r>
    </w:p>
    <w:p>
      <w:pPr>
        <w:pStyle w:val="82"/>
        <w:ind w:firstLine="498"/>
        <w:rPr>
          <w:rFonts w:ascii="宋体" w:hAnsi="宋体"/>
          <w:b/>
          <w:highlight w:val="none"/>
        </w:rPr>
      </w:pPr>
    </w:p>
    <w:p>
      <w:pPr>
        <w:pStyle w:val="82"/>
        <w:ind w:firstLine="498"/>
        <w:rPr>
          <w:rFonts w:ascii="宋体" w:hAnsi="宋体"/>
          <w:b/>
          <w:highlight w:val="none"/>
        </w:rPr>
      </w:pPr>
      <w:r>
        <w:rPr>
          <w:rFonts w:hint="eastAsia" w:ascii="宋体" w:hAnsi="宋体"/>
          <w:b/>
          <w:highlight w:val="none"/>
        </w:rPr>
        <w:t>本部分内容详见招标文件第七章工程量清单。</w:t>
      </w:r>
    </w:p>
    <w:p>
      <w:pPr>
        <w:pStyle w:val="82"/>
        <w:ind w:firstLine="496"/>
        <w:rPr>
          <w:rFonts w:ascii="宋体" w:hAnsi="宋体"/>
          <w:highlight w:val="none"/>
        </w:rPr>
      </w:pPr>
    </w:p>
    <w:p>
      <w:pPr>
        <w:rPr>
          <w:rFonts w:ascii="宋体" w:hAnsi="宋体"/>
          <w:highlight w:val="none"/>
        </w:rPr>
      </w:pPr>
      <w:r>
        <w:rPr>
          <w:rFonts w:ascii="宋体" w:hAnsi="宋体"/>
          <w:highlight w:val="none"/>
        </w:rPr>
        <w:br w:type="page"/>
      </w:r>
      <w:bookmarkStart w:id="63" w:name="_Toc532475372"/>
      <w:bookmarkStart w:id="64" w:name="_Toc532475805"/>
      <w:bookmarkStart w:id="65" w:name="_Toc510963904"/>
    </w:p>
    <w:p>
      <w:pPr>
        <w:pStyle w:val="124"/>
        <w:spacing w:beforeLines="0" w:afterLines="0" w:line="360" w:lineRule="auto"/>
        <w:outlineLvl w:val="9"/>
        <w:rPr>
          <w:rFonts w:ascii="宋体" w:eastAsia="宋体"/>
          <w:highlight w:val="none"/>
        </w:rPr>
      </w:pPr>
      <w:bookmarkStart w:id="66" w:name="_Toc80289096"/>
      <w:r>
        <w:rPr>
          <w:rFonts w:hint="eastAsia" w:ascii="宋体" w:eastAsia="宋体"/>
          <w:highlight w:val="none"/>
        </w:rPr>
        <w:t>格式三：参与编制经济标投标文件人员名单</w:t>
      </w:r>
      <w:bookmarkEnd w:id="63"/>
      <w:bookmarkEnd w:id="64"/>
      <w:bookmarkEnd w:id="65"/>
      <w:bookmarkEnd w:id="66"/>
    </w:p>
    <w:p>
      <w:pPr>
        <w:tabs>
          <w:tab w:val="left" w:pos="720"/>
        </w:tabs>
        <w:snapToGrid w:val="0"/>
        <w:spacing w:line="360" w:lineRule="auto"/>
        <w:jc w:val="center"/>
        <w:rPr>
          <w:rFonts w:ascii="宋体" w:hAnsi="宋体"/>
          <w:sz w:val="24"/>
          <w:highlight w:val="none"/>
        </w:rPr>
      </w:pPr>
    </w:p>
    <w:p>
      <w:pPr>
        <w:pStyle w:val="113"/>
        <w:ind w:firstLine="617"/>
        <w:outlineLvl w:val="1"/>
        <w:rPr>
          <w:rFonts w:ascii="宋体" w:hAnsi="宋体" w:eastAsia="宋体"/>
          <w:sz w:val="32"/>
          <w:highlight w:val="none"/>
        </w:rPr>
      </w:pPr>
      <w:r>
        <w:rPr>
          <w:rFonts w:hint="eastAsia" w:ascii="宋体" w:hAnsi="宋体" w:eastAsia="宋体"/>
          <w:sz w:val="32"/>
          <w:highlight w:val="none"/>
        </w:rPr>
        <w:t>参与编制经济标投标文件人员名单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4" w:type="dxa"/>
            <w:gridSpan w:val="5"/>
            <w:vAlign w:val="center"/>
          </w:tcPr>
          <w:p>
            <w:pPr>
              <w:tabs>
                <w:tab w:val="left" w:pos="720"/>
              </w:tabs>
              <w:snapToGrid w:val="0"/>
              <w:spacing w:line="360" w:lineRule="auto"/>
              <w:jc w:val="center"/>
              <w:rPr>
                <w:rFonts w:ascii="宋体" w:hAnsi="宋体"/>
                <w:sz w:val="24"/>
                <w:highlight w:val="none"/>
              </w:rPr>
            </w:pPr>
            <w:r>
              <w:rPr>
                <w:rFonts w:hint="eastAsia" w:ascii="宋体" w:hAnsi="宋体"/>
                <w:sz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vAlign w:val="center"/>
          </w:tcPr>
          <w:p>
            <w:pPr>
              <w:tabs>
                <w:tab w:val="left" w:pos="720"/>
              </w:tabs>
              <w:snapToGrid w:val="0"/>
              <w:spacing w:line="360" w:lineRule="auto"/>
              <w:jc w:val="center"/>
              <w:rPr>
                <w:rFonts w:ascii="宋体" w:hAnsi="宋体"/>
                <w:sz w:val="24"/>
                <w:highlight w:val="none"/>
              </w:rPr>
            </w:pPr>
            <w:r>
              <w:rPr>
                <w:rFonts w:hint="eastAsia" w:ascii="宋体" w:hAnsi="宋体"/>
                <w:sz w:val="24"/>
                <w:highlight w:val="none"/>
              </w:rPr>
              <w:t>姓名</w:t>
            </w:r>
          </w:p>
        </w:tc>
        <w:tc>
          <w:tcPr>
            <w:tcW w:w="1382" w:type="dxa"/>
            <w:vAlign w:val="center"/>
          </w:tcPr>
          <w:p>
            <w:pPr>
              <w:tabs>
                <w:tab w:val="left" w:pos="720"/>
              </w:tabs>
              <w:snapToGrid w:val="0"/>
              <w:spacing w:line="360" w:lineRule="auto"/>
              <w:jc w:val="center"/>
              <w:rPr>
                <w:rFonts w:ascii="宋体" w:hAnsi="宋体"/>
                <w:sz w:val="24"/>
                <w:highlight w:val="none"/>
              </w:rPr>
            </w:pPr>
            <w:r>
              <w:rPr>
                <w:rFonts w:hint="eastAsia" w:ascii="宋体" w:hAnsi="宋体"/>
                <w:sz w:val="24"/>
                <w:highlight w:val="none"/>
              </w:rPr>
              <w:t>职务</w:t>
            </w:r>
          </w:p>
        </w:tc>
        <w:tc>
          <w:tcPr>
            <w:tcW w:w="2341" w:type="dxa"/>
            <w:vAlign w:val="center"/>
          </w:tcPr>
          <w:p>
            <w:pPr>
              <w:tabs>
                <w:tab w:val="left" w:pos="720"/>
              </w:tabs>
              <w:snapToGrid w:val="0"/>
              <w:spacing w:line="360" w:lineRule="auto"/>
              <w:jc w:val="center"/>
              <w:rPr>
                <w:rFonts w:ascii="宋体" w:hAnsi="宋体"/>
                <w:sz w:val="24"/>
                <w:highlight w:val="none"/>
              </w:rPr>
            </w:pPr>
            <w:r>
              <w:rPr>
                <w:rFonts w:hint="eastAsia" w:ascii="宋体" w:hAnsi="宋体"/>
                <w:sz w:val="24"/>
                <w:highlight w:val="none"/>
              </w:rPr>
              <w:t>所承担工作</w:t>
            </w:r>
          </w:p>
        </w:tc>
        <w:tc>
          <w:tcPr>
            <w:tcW w:w="2245" w:type="dxa"/>
            <w:vAlign w:val="center"/>
          </w:tcPr>
          <w:p>
            <w:pPr>
              <w:tabs>
                <w:tab w:val="left" w:pos="720"/>
              </w:tabs>
              <w:snapToGrid w:val="0"/>
              <w:spacing w:line="360" w:lineRule="auto"/>
              <w:jc w:val="center"/>
              <w:rPr>
                <w:rFonts w:ascii="宋体" w:hAnsi="宋体"/>
                <w:sz w:val="24"/>
                <w:highlight w:val="none"/>
              </w:rPr>
            </w:pPr>
            <w:r>
              <w:rPr>
                <w:rFonts w:hint="eastAsia" w:ascii="宋体" w:hAnsi="宋体"/>
                <w:sz w:val="24"/>
                <w:highlight w:val="none"/>
              </w:rPr>
              <w:t>身份证号码</w:t>
            </w:r>
          </w:p>
        </w:tc>
        <w:tc>
          <w:tcPr>
            <w:tcW w:w="2304" w:type="dxa"/>
            <w:vAlign w:val="center"/>
          </w:tcPr>
          <w:p>
            <w:pPr>
              <w:tabs>
                <w:tab w:val="left" w:pos="720"/>
              </w:tabs>
              <w:snapToGrid w:val="0"/>
              <w:spacing w:line="360" w:lineRule="auto"/>
              <w:jc w:val="center"/>
              <w:rPr>
                <w:rFonts w:ascii="宋体" w:hAnsi="宋体"/>
                <w:sz w:val="24"/>
                <w:highlight w:val="none"/>
              </w:rPr>
            </w:pPr>
            <w:r>
              <w:rPr>
                <w:rFonts w:hint="eastAsia" w:ascii="宋体" w:hAnsi="宋体"/>
                <w:sz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vAlign w:val="center"/>
          </w:tcPr>
          <w:p>
            <w:pPr>
              <w:tabs>
                <w:tab w:val="left" w:pos="720"/>
              </w:tabs>
              <w:snapToGrid w:val="0"/>
              <w:spacing w:line="360" w:lineRule="auto"/>
              <w:jc w:val="center"/>
              <w:rPr>
                <w:rFonts w:ascii="宋体" w:hAnsi="宋体"/>
                <w:sz w:val="24"/>
                <w:highlight w:val="none"/>
              </w:rPr>
            </w:pPr>
          </w:p>
        </w:tc>
        <w:tc>
          <w:tcPr>
            <w:tcW w:w="1382" w:type="dxa"/>
            <w:vAlign w:val="center"/>
          </w:tcPr>
          <w:p>
            <w:pPr>
              <w:tabs>
                <w:tab w:val="left" w:pos="720"/>
              </w:tabs>
              <w:snapToGrid w:val="0"/>
              <w:spacing w:line="360" w:lineRule="auto"/>
              <w:jc w:val="center"/>
              <w:rPr>
                <w:rFonts w:ascii="宋体" w:hAnsi="宋体"/>
                <w:sz w:val="24"/>
                <w:highlight w:val="none"/>
              </w:rPr>
            </w:pPr>
          </w:p>
        </w:tc>
        <w:tc>
          <w:tcPr>
            <w:tcW w:w="2341" w:type="dxa"/>
            <w:vAlign w:val="center"/>
          </w:tcPr>
          <w:p>
            <w:pPr>
              <w:tabs>
                <w:tab w:val="left" w:pos="720"/>
              </w:tabs>
              <w:snapToGrid w:val="0"/>
              <w:spacing w:line="360" w:lineRule="auto"/>
              <w:jc w:val="center"/>
              <w:rPr>
                <w:rFonts w:ascii="宋体" w:hAnsi="宋体"/>
                <w:sz w:val="24"/>
                <w:highlight w:val="none"/>
              </w:rPr>
            </w:pPr>
          </w:p>
        </w:tc>
        <w:tc>
          <w:tcPr>
            <w:tcW w:w="2245" w:type="dxa"/>
            <w:vAlign w:val="center"/>
          </w:tcPr>
          <w:p>
            <w:pPr>
              <w:tabs>
                <w:tab w:val="left" w:pos="720"/>
              </w:tabs>
              <w:snapToGrid w:val="0"/>
              <w:spacing w:line="360" w:lineRule="auto"/>
              <w:jc w:val="center"/>
              <w:rPr>
                <w:rFonts w:ascii="宋体" w:hAnsi="宋体"/>
                <w:sz w:val="24"/>
                <w:highlight w:val="none"/>
              </w:rPr>
            </w:pPr>
          </w:p>
        </w:tc>
        <w:tc>
          <w:tcPr>
            <w:tcW w:w="2304" w:type="dxa"/>
            <w:vAlign w:val="center"/>
          </w:tcPr>
          <w:p>
            <w:pPr>
              <w:tabs>
                <w:tab w:val="left" w:pos="720"/>
              </w:tabs>
              <w:snapToGrid w:val="0"/>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sz w:val="24"/>
                <w:highlight w:val="none"/>
              </w:rPr>
            </w:pPr>
          </w:p>
        </w:tc>
        <w:tc>
          <w:tcPr>
            <w:tcW w:w="1382" w:type="dxa"/>
            <w:vAlign w:val="center"/>
          </w:tcPr>
          <w:p>
            <w:pPr>
              <w:tabs>
                <w:tab w:val="left" w:pos="720"/>
              </w:tabs>
              <w:snapToGrid w:val="0"/>
              <w:spacing w:line="360" w:lineRule="auto"/>
              <w:jc w:val="center"/>
              <w:rPr>
                <w:rFonts w:ascii="宋体" w:hAnsi="宋体"/>
                <w:sz w:val="24"/>
                <w:highlight w:val="none"/>
              </w:rPr>
            </w:pPr>
          </w:p>
        </w:tc>
        <w:tc>
          <w:tcPr>
            <w:tcW w:w="2341" w:type="dxa"/>
            <w:vAlign w:val="center"/>
          </w:tcPr>
          <w:p>
            <w:pPr>
              <w:tabs>
                <w:tab w:val="left" w:pos="720"/>
              </w:tabs>
              <w:snapToGrid w:val="0"/>
              <w:spacing w:line="360" w:lineRule="auto"/>
              <w:jc w:val="center"/>
              <w:rPr>
                <w:rFonts w:ascii="宋体" w:hAnsi="宋体"/>
                <w:sz w:val="24"/>
                <w:highlight w:val="none"/>
              </w:rPr>
            </w:pPr>
          </w:p>
        </w:tc>
        <w:tc>
          <w:tcPr>
            <w:tcW w:w="2245" w:type="dxa"/>
            <w:vAlign w:val="center"/>
          </w:tcPr>
          <w:p>
            <w:pPr>
              <w:tabs>
                <w:tab w:val="left" w:pos="720"/>
              </w:tabs>
              <w:snapToGrid w:val="0"/>
              <w:spacing w:line="360" w:lineRule="auto"/>
              <w:jc w:val="center"/>
              <w:rPr>
                <w:rFonts w:ascii="宋体" w:hAnsi="宋体"/>
                <w:sz w:val="24"/>
                <w:highlight w:val="none"/>
              </w:rPr>
            </w:pPr>
          </w:p>
        </w:tc>
        <w:tc>
          <w:tcPr>
            <w:tcW w:w="2304" w:type="dxa"/>
            <w:vAlign w:val="center"/>
          </w:tcPr>
          <w:p>
            <w:pPr>
              <w:tabs>
                <w:tab w:val="left" w:pos="720"/>
              </w:tabs>
              <w:snapToGrid w:val="0"/>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sz w:val="24"/>
                <w:highlight w:val="none"/>
              </w:rPr>
            </w:pPr>
          </w:p>
        </w:tc>
        <w:tc>
          <w:tcPr>
            <w:tcW w:w="1382" w:type="dxa"/>
            <w:vAlign w:val="center"/>
          </w:tcPr>
          <w:p>
            <w:pPr>
              <w:tabs>
                <w:tab w:val="left" w:pos="720"/>
              </w:tabs>
              <w:snapToGrid w:val="0"/>
              <w:spacing w:line="360" w:lineRule="auto"/>
              <w:jc w:val="center"/>
              <w:rPr>
                <w:rFonts w:ascii="宋体" w:hAnsi="宋体"/>
                <w:sz w:val="24"/>
                <w:highlight w:val="none"/>
              </w:rPr>
            </w:pPr>
          </w:p>
        </w:tc>
        <w:tc>
          <w:tcPr>
            <w:tcW w:w="2341" w:type="dxa"/>
            <w:vAlign w:val="center"/>
          </w:tcPr>
          <w:p>
            <w:pPr>
              <w:tabs>
                <w:tab w:val="left" w:pos="720"/>
              </w:tabs>
              <w:snapToGrid w:val="0"/>
              <w:spacing w:line="360" w:lineRule="auto"/>
              <w:jc w:val="center"/>
              <w:rPr>
                <w:rFonts w:ascii="宋体" w:hAnsi="宋体"/>
                <w:sz w:val="24"/>
                <w:highlight w:val="none"/>
              </w:rPr>
            </w:pPr>
          </w:p>
        </w:tc>
        <w:tc>
          <w:tcPr>
            <w:tcW w:w="2245" w:type="dxa"/>
            <w:vAlign w:val="center"/>
          </w:tcPr>
          <w:p>
            <w:pPr>
              <w:tabs>
                <w:tab w:val="left" w:pos="720"/>
              </w:tabs>
              <w:snapToGrid w:val="0"/>
              <w:spacing w:line="360" w:lineRule="auto"/>
              <w:jc w:val="center"/>
              <w:rPr>
                <w:rFonts w:ascii="宋体" w:hAnsi="宋体"/>
                <w:sz w:val="24"/>
                <w:highlight w:val="none"/>
              </w:rPr>
            </w:pPr>
          </w:p>
        </w:tc>
        <w:tc>
          <w:tcPr>
            <w:tcW w:w="2304" w:type="dxa"/>
            <w:vAlign w:val="center"/>
          </w:tcPr>
          <w:p>
            <w:pPr>
              <w:tabs>
                <w:tab w:val="left" w:pos="720"/>
              </w:tabs>
              <w:snapToGrid w:val="0"/>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sz w:val="24"/>
                <w:highlight w:val="none"/>
              </w:rPr>
            </w:pPr>
          </w:p>
        </w:tc>
        <w:tc>
          <w:tcPr>
            <w:tcW w:w="1382" w:type="dxa"/>
            <w:vAlign w:val="center"/>
          </w:tcPr>
          <w:p>
            <w:pPr>
              <w:tabs>
                <w:tab w:val="left" w:pos="720"/>
              </w:tabs>
              <w:snapToGrid w:val="0"/>
              <w:spacing w:line="360" w:lineRule="auto"/>
              <w:jc w:val="center"/>
              <w:rPr>
                <w:rFonts w:ascii="宋体" w:hAnsi="宋体"/>
                <w:sz w:val="24"/>
                <w:highlight w:val="none"/>
              </w:rPr>
            </w:pPr>
          </w:p>
        </w:tc>
        <w:tc>
          <w:tcPr>
            <w:tcW w:w="2341" w:type="dxa"/>
            <w:vAlign w:val="center"/>
          </w:tcPr>
          <w:p>
            <w:pPr>
              <w:tabs>
                <w:tab w:val="left" w:pos="720"/>
              </w:tabs>
              <w:snapToGrid w:val="0"/>
              <w:spacing w:line="360" w:lineRule="auto"/>
              <w:jc w:val="center"/>
              <w:rPr>
                <w:rFonts w:ascii="宋体" w:hAnsi="宋体"/>
                <w:sz w:val="24"/>
                <w:highlight w:val="none"/>
              </w:rPr>
            </w:pPr>
          </w:p>
        </w:tc>
        <w:tc>
          <w:tcPr>
            <w:tcW w:w="2245" w:type="dxa"/>
            <w:vAlign w:val="center"/>
          </w:tcPr>
          <w:p>
            <w:pPr>
              <w:tabs>
                <w:tab w:val="left" w:pos="720"/>
              </w:tabs>
              <w:snapToGrid w:val="0"/>
              <w:spacing w:line="360" w:lineRule="auto"/>
              <w:jc w:val="center"/>
              <w:rPr>
                <w:rFonts w:ascii="宋体" w:hAnsi="宋体"/>
                <w:sz w:val="24"/>
                <w:highlight w:val="none"/>
              </w:rPr>
            </w:pPr>
          </w:p>
        </w:tc>
        <w:tc>
          <w:tcPr>
            <w:tcW w:w="2304" w:type="dxa"/>
            <w:vAlign w:val="center"/>
          </w:tcPr>
          <w:p>
            <w:pPr>
              <w:tabs>
                <w:tab w:val="left" w:pos="720"/>
              </w:tabs>
              <w:snapToGrid w:val="0"/>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sz w:val="24"/>
                <w:highlight w:val="none"/>
              </w:rPr>
            </w:pPr>
          </w:p>
        </w:tc>
        <w:tc>
          <w:tcPr>
            <w:tcW w:w="1382" w:type="dxa"/>
            <w:vAlign w:val="center"/>
          </w:tcPr>
          <w:p>
            <w:pPr>
              <w:tabs>
                <w:tab w:val="left" w:pos="720"/>
              </w:tabs>
              <w:snapToGrid w:val="0"/>
              <w:spacing w:line="360" w:lineRule="auto"/>
              <w:jc w:val="center"/>
              <w:rPr>
                <w:rFonts w:ascii="宋体" w:hAnsi="宋体"/>
                <w:sz w:val="24"/>
                <w:highlight w:val="none"/>
              </w:rPr>
            </w:pPr>
          </w:p>
        </w:tc>
        <w:tc>
          <w:tcPr>
            <w:tcW w:w="2341" w:type="dxa"/>
            <w:vAlign w:val="center"/>
          </w:tcPr>
          <w:p>
            <w:pPr>
              <w:tabs>
                <w:tab w:val="left" w:pos="720"/>
              </w:tabs>
              <w:snapToGrid w:val="0"/>
              <w:spacing w:line="360" w:lineRule="auto"/>
              <w:jc w:val="center"/>
              <w:rPr>
                <w:rFonts w:ascii="宋体" w:hAnsi="宋体"/>
                <w:sz w:val="24"/>
                <w:highlight w:val="none"/>
              </w:rPr>
            </w:pPr>
          </w:p>
        </w:tc>
        <w:tc>
          <w:tcPr>
            <w:tcW w:w="2245" w:type="dxa"/>
            <w:vAlign w:val="center"/>
          </w:tcPr>
          <w:p>
            <w:pPr>
              <w:tabs>
                <w:tab w:val="left" w:pos="720"/>
              </w:tabs>
              <w:snapToGrid w:val="0"/>
              <w:spacing w:line="360" w:lineRule="auto"/>
              <w:jc w:val="center"/>
              <w:rPr>
                <w:rFonts w:ascii="宋体" w:hAnsi="宋体"/>
                <w:sz w:val="24"/>
                <w:highlight w:val="none"/>
              </w:rPr>
            </w:pPr>
          </w:p>
        </w:tc>
        <w:tc>
          <w:tcPr>
            <w:tcW w:w="2304" w:type="dxa"/>
            <w:vAlign w:val="center"/>
          </w:tcPr>
          <w:p>
            <w:pPr>
              <w:tabs>
                <w:tab w:val="left" w:pos="720"/>
              </w:tabs>
              <w:snapToGrid w:val="0"/>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sz w:val="24"/>
                <w:highlight w:val="none"/>
              </w:rPr>
            </w:pPr>
          </w:p>
        </w:tc>
        <w:tc>
          <w:tcPr>
            <w:tcW w:w="1382" w:type="dxa"/>
            <w:vAlign w:val="center"/>
          </w:tcPr>
          <w:p>
            <w:pPr>
              <w:tabs>
                <w:tab w:val="left" w:pos="720"/>
              </w:tabs>
              <w:snapToGrid w:val="0"/>
              <w:spacing w:line="360" w:lineRule="auto"/>
              <w:jc w:val="center"/>
              <w:rPr>
                <w:rFonts w:ascii="宋体" w:hAnsi="宋体"/>
                <w:sz w:val="24"/>
                <w:highlight w:val="none"/>
              </w:rPr>
            </w:pPr>
          </w:p>
        </w:tc>
        <w:tc>
          <w:tcPr>
            <w:tcW w:w="2341" w:type="dxa"/>
            <w:vAlign w:val="center"/>
          </w:tcPr>
          <w:p>
            <w:pPr>
              <w:tabs>
                <w:tab w:val="left" w:pos="720"/>
              </w:tabs>
              <w:snapToGrid w:val="0"/>
              <w:spacing w:line="360" w:lineRule="auto"/>
              <w:jc w:val="center"/>
              <w:rPr>
                <w:rFonts w:ascii="宋体" w:hAnsi="宋体"/>
                <w:sz w:val="24"/>
                <w:highlight w:val="none"/>
              </w:rPr>
            </w:pPr>
          </w:p>
        </w:tc>
        <w:tc>
          <w:tcPr>
            <w:tcW w:w="2245" w:type="dxa"/>
            <w:vAlign w:val="center"/>
          </w:tcPr>
          <w:p>
            <w:pPr>
              <w:tabs>
                <w:tab w:val="left" w:pos="720"/>
              </w:tabs>
              <w:snapToGrid w:val="0"/>
              <w:spacing w:line="360" w:lineRule="auto"/>
              <w:jc w:val="center"/>
              <w:rPr>
                <w:rFonts w:ascii="宋体" w:hAnsi="宋体"/>
                <w:sz w:val="24"/>
                <w:highlight w:val="none"/>
              </w:rPr>
            </w:pPr>
          </w:p>
        </w:tc>
        <w:tc>
          <w:tcPr>
            <w:tcW w:w="2304" w:type="dxa"/>
            <w:vAlign w:val="center"/>
          </w:tcPr>
          <w:p>
            <w:pPr>
              <w:tabs>
                <w:tab w:val="left" w:pos="720"/>
              </w:tabs>
              <w:snapToGrid w:val="0"/>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vAlign w:val="center"/>
          </w:tcPr>
          <w:p>
            <w:pPr>
              <w:tabs>
                <w:tab w:val="left" w:pos="720"/>
              </w:tabs>
              <w:snapToGrid w:val="0"/>
              <w:spacing w:line="360" w:lineRule="auto"/>
              <w:jc w:val="center"/>
              <w:rPr>
                <w:rFonts w:ascii="宋体" w:hAnsi="宋体"/>
                <w:sz w:val="24"/>
                <w:highlight w:val="none"/>
              </w:rPr>
            </w:pPr>
          </w:p>
        </w:tc>
        <w:tc>
          <w:tcPr>
            <w:tcW w:w="1382" w:type="dxa"/>
            <w:vAlign w:val="center"/>
          </w:tcPr>
          <w:p>
            <w:pPr>
              <w:tabs>
                <w:tab w:val="left" w:pos="720"/>
              </w:tabs>
              <w:snapToGrid w:val="0"/>
              <w:spacing w:line="360" w:lineRule="auto"/>
              <w:jc w:val="center"/>
              <w:rPr>
                <w:rFonts w:ascii="宋体" w:hAnsi="宋体"/>
                <w:sz w:val="24"/>
                <w:highlight w:val="none"/>
              </w:rPr>
            </w:pPr>
          </w:p>
        </w:tc>
        <w:tc>
          <w:tcPr>
            <w:tcW w:w="2341" w:type="dxa"/>
            <w:vAlign w:val="center"/>
          </w:tcPr>
          <w:p>
            <w:pPr>
              <w:tabs>
                <w:tab w:val="left" w:pos="720"/>
              </w:tabs>
              <w:snapToGrid w:val="0"/>
              <w:spacing w:line="360" w:lineRule="auto"/>
              <w:jc w:val="center"/>
              <w:rPr>
                <w:rFonts w:ascii="宋体" w:hAnsi="宋体"/>
                <w:sz w:val="24"/>
                <w:highlight w:val="none"/>
              </w:rPr>
            </w:pPr>
          </w:p>
        </w:tc>
        <w:tc>
          <w:tcPr>
            <w:tcW w:w="2245" w:type="dxa"/>
            <w:vAlign w:val="center"/>
          </w:tcPr>
          <w:p>
            <w:pPr>
              <w:tabs>
                <w:tab w:val="left" w:pos="720"/>
              </w:tabs>
              <w:snapToGrid w:val="0"/>
              <w:spacing w:line="360" w:lineRule="auto"/>
              <w:jc w:val="center"/>
              <w:rPr>
                <w:rFonts w:ascii="宋体" w:hAnsi="宋体"/>
                <w:sz w:val="24"/>
                <w:highlight w:val="none"/>
              </w:rPr>
            </w:pPr>
          </w:p>
        </w:tc>
        <w:tc>
          <w:tcPr>
            <w:tcW w:w="2304" w:type="dxa"/>
            <w:vAlign w:val="center"/>
          </w:tcPr>
          <w:p>
            <w:pPr>
              <w:tabs>
                <w:tab w:val="left" w:pos="720"/>
              </w:tabs>
              <w:snapToGrid w:val="0"/>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vAlign w:val="center"/>
          </w:tcPr>
          <w:p>
            <w:pPr>
              <w:tabs>
                <w:tab w:val="left" w:pos="720"/>
              </w:tabs>
              <w:snapToGrid w:val="0"/>
              <w:spacing w:line="360" w:lineRule="auto"/>
              <w:jc w:val="center"/>
              <w:rPr>
                <w:rFonts w:ascii="宋体" w:hAnsi="宋体"/>
                <w:sz w:val="24"/>
                <w:highlight w:val="none"/>
              </w:rPr>
            </w:pPr>
          </w:p>
        </w:tc>
        <w:tc>
          <w:tcPr>
            <w:tcW w:w="1382" w:type="dxa"/>
            <w:vAlign w:val="center"/>
          </w:tcPr>
          <w:p>
            <w:pPr>
              <w:tabs>
                <w:tab w:val="left" w:pos="720"/>
              </w:tabs>
              <w:snapToGrid w:val="0"/>
              <w:spacing w:line="360" w:lineRule="auto"/>
              <w:jc w:val="center"/>
              <w:rPr>
                <w:rFonts w:ascii="宋体" w:hAnsi="宋体"/>
                <w:sz w:val="24"/>
                <w:highlight w:val="none"/>
              </w:rPr>
            </w:pPr>
          </w:p>
        </w:tc>
        <w:tc>
          <w:tcPr>
            <w:tcW w:w="2341" w:type="dxa"/>
            <w:vAlign w:val="center"/>
          </w:tcPr>
          <w:p>
            <w:pPr>
              <w:tabs>
                <w:tab w:val="left" w:pos="720"/>
              </w:tabs>
              <w:snapToGrid w:val="0"/>
              <w:spacing w:line="360" w:lineRule="auto"/>
              <w:jc w:val="center"/>
              <w:rPr>
                <w:rFonts w:ascii="宋体" w:hAnsi="宋体"/>
                <w:sz w:val="24"/>
                <w:highlight w:val="none"/>
              </w:rPr>
            </w:pPr>
          </w:p>
        </w:tc>
        <w:tc>
          <w:tcPr>
            <w:tcW w:w="2245" w:type="dxa"/>
            <w:vAlign w:val="center"/>
          </w:tcPr>
          <w:p>
            <w:pPr>
              <w:tabs>
                <w:tab w:val="left" w:pos="720"/>
              </w:tabs>
              <w:snapToGrid w:val="0"/>
              <w:spacing w:line="360" w:lineRule="auto"/>
              <w:jc w:val="center"/>
              <w:rPr>
                <w:rFonts w:ascii="宋体" w:hAnsi="宋体"/>
                <w:sz w:val="24"/>
                <w:highlight w:val="none"/>
              </w:rPr>
            </w:pPr>
          </w:p>
        </w:tc>
        <w:tc>
          <w:tcPr>
            <w:tcW w:w="2304" w:type="dxa"/>
            <w:vAlign w:val="center"/>
          </w:tcPr>
          <w:p>
            <w:pPr>
              <w:tabs>
                <w:tab w:val="left" w:pos="720"/>
              </w:tabs>
              <w:snapToGrid w:val="0"/>
              <w:spacing w:line="360" w:lineRule="auto"/>
              <w:jc w:val="center"/>
              <w:rPr>
                <w:rFonts w:ascii="宋体" w:hAnsi="宋体"/>
                <w:sz w:val="24"/>
                <w:highlight w:val="none"/>
              </w:rPr>
            </w:pPr>
          </w:p>
        </w:tc>
      </w:tr>
    </w:tbl>
    <w:p>
      <w:pPr>
        <w:tabs>
          <w:tab w:val="left" w:pos="720"/>
        </w:tabs>
        <w:snapToGrid w:val="0"/>
        <w:spacing w:line="360" w:lineRule="auto"/>
        <w:rPr>
          <w:rFonts w:ascii="宋体" w:hAnsi="宋体"/>
          <w:sz w:val="24"/>
          <w:highlight w:val="none"/>
        </w:rPr>
      </w:pPr>
    </w:p>
    <w:p>
      <w:pPr>
        <w:autoSpaceDE w:val="0"/>
        <w:autoSpaceDN w:val="0"/>
        <w:adjustRightInd w:val="0"/>
        <w:spacing w:line="360" w:lineRule="auto"/>
        <w:ind w:firstLine="368"/>
        <w:rPr>
          <w:rFonts w:ascii="宋体" w:hAnsi="宋体"/>
          <w:szCs w:val="21"/>
          <w:highlight w:val="none"/>
        </w:rPr>
      </w:pPr>
      <w:r>
        <w:rPr>
          <w:rFonts w:hint="eastAsia" w:ascii="宋体" w:hAnsi="宋体"/>
          <w:highlight w:val="none"/>
        </w:rPr>
        <w:t>注：参与编制经济标书所有人员名单应包括如编制各种专业工程量清单投标报价、负责清样校对、负责打印及复印等所有人员在内的人员名单。</w:t>
      </w:r>
    </w:p>
    <w:p>
      <w:pPr>
        <w:autoSpaceDE w:val="0"/>
        <w:autoSpaceDN w:val="0"/>
        <w:adjustRightInd w:val="0"/>
        <w:rPr>
          <w:rFonts w:ascii="宋体" w:hAnsi="宋体"/>
          <w:sz w:val="24"/>
          <w:highlight w:val="none"/>
        </w:rPr>
      </w:pPr>
      <w:r>
        <w:rPr>
          <w:rFonts w:ascii="宋体" w:hAnsi="宋体"/>
          <w:sz w:val="24"/>
          <w:highlight w:val="none"/>
        </w:rPr>
        <w:br w:type="page"/>
      </w:r>
    </w:p>
    <w:p>
      <w:pPr>
        <w:pStyle w:val="124"/>
        <w:spacing w:beforeLines="0" w:afterLines="0" w:line="360" w:lineRule="auto"/>
        <w:outlineLvl w:val="9"/>
        <w:rPr>
          <w:rFonts w:ascii="宋体" w:eastAsia="宋体"/>
          <w:highlight w:val="none"/>
        </w:rPr>
      </w:pPr>
      <w:bookmarkStart w:id="67" w:name="_Toc80289097"/>
      <w:r>
        <w:rPr>
          <w:rFonts w:hint="eastAsia" w:ascii="宋体" w:eastAsia="宋体"/>
          <w:highlight w:val="none"/>
        </w:rPr>
        <w:t>格式四：对投标文件编制的承诺、投标文件编制情况</w:t>
      </w:r>
      <w:bookmarkEnd w:id="67"/>
    </w:p>
    <w:p>
      <w:pPr>
        <w:pStyle w:val="5"/>
        <w:spacing w:after="0" w:line="360" w:lineRule="auto"/>
        <w:ind w:firstLine="0"/>
        <w:jc w:val="center"/>
        <w:rPr>
          <w:rFonts w:ascii="宋体" w:hAnsi="宋体"/>
          <w:b/>
          <w:sz w:val="32"/>
          <w:szCs w:val="32"/>
          <w:highlight w:val="none"/>
        </w:rPr>
      </w:pPr>
    </w:p>
    <w:p>
      <w:pPr>
        <w:pStyle w:val="5"/>
        <w:spacing w:after="0" w:line="360" w:lineRule="auto"/>
        <w:ind w:firstLine="0"/>
        <w:jc w:val="center"/>
        <w:outlineLvl w:val="1"/>
        <w:rPr>
          <w:rFonts w:ascii="宋体" w:hAnsi="宋体"/>
          <w:sz w:val="32"/>
          <w:szCs w:val="32"/>
          <w:highlight w:val="none"/>
        </w:rPr>
      </w:pPr>
      <w:r>
        <w:rPr>
          <w:rFonts w:hint="eastAsia" w:ascii="宋体" w:hAnsi="宋体"/>
          <w:b/>
          <w:sz w:val="32"/>
          <w:szCs w:val="32"/>
          <w:highlight w:val="none"/>
        </w:rPr>
        <w:t>对投标文件编制的承诺</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本公司授权</w:t>
      </w:r>
      <w:r>
        <w:rPr>
          <w:rFonts w:hint="eastAsia" w:ascii="宋体" w:hAnsi="宋体"/>
          <w:sz w:val="24"/>
          <w:szCs w:val="24"/>
          <w:highlight w:val="none"/>
          <w:u w:val="single"/>
        </w:rPr>
        <w:t xml:space="preserve">         （身份证号：               ）</w:t>
      </w:r>
      <w:r>
        <w:rPr>
          <w:rFonts w:hint="eastAsia" w:ascii="宋体" w:hAnsi="宋体"/>
          <w:sz w:val="24"/>
          <w:szCs w:val="24"/>
          <w:highlight w:val="none"/>
        </w:rPr>
        <w:t>负责对投标文件的编制及内容进行解释、说明，并承诺以下事项：</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3.从评标委员会要求澄清起二小时内，被授权人应如实地书面澄清。</w:t>
      </w:r>
    </w:p>
    <w:p>
      <w:pPr>
        <w:pStyle w:val="5"/>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hAnsi="宋体"/>
          <w:sz w:val="24"/>
          <w:szCs w:val="24"/>
          <w:highlight w:val="none"/>
        </w:rPr>
      </w:pPr>
    </w:p>
    <w:p>
      <w:pPr>
        <w:pStyle w:val="5"/>
        <w:spacing w:after="0" w:line="360" w:lineRule="auto"/>
        <w:ind w:firstLine="480" w:firstLineChars="200"/>
        <w:rPr>
          <w:rFonts w:ascii="宋体" w:hAnsi="宋体"/>
          <w:sz w:val="24"/>
          <w:szCs w:val="24"/>
          <w:highlight w:val="none"/>
        </w:rPr>
      </w:pPr>
      <w:r>
        <w:rPr>
          <w:rFonts w:hint="eastAsia" w:ascii="宋体" w:hAnsi="宋体"/>
          <w:sz w:val="24"/>
          <w:szCs w:val="24"/>
          <w:highlight w:val="none"/>
        </w:rPr>
        <w:t>附件：《投标文件编制情况》</w:t>
      </w:r>
    </w:p>
    <w:p>
      <w:pPr>
        <w:spacing w:line="360" w:lineRule="auto"/>
        <w:ind w:right="90" w:firstLine="3240" w:firstLineChars="1350"/>
        <w:rPr>
          <w:rFonts w:ascii="宋体" w:hAnsi="宋体"/>
          <w:sz w:val="24"/>
          <w:szCs w:val="24"/>
          <w:highlight w:val="none"/>
          <w:u w:val="single"/>
        </w:rPr>
      </w:pPr>
      <w:r>
        <w:rPr>
          <w:rFonts w:hint="eastAsia" w:ascii="宋体" w:hAnsi="宋体"/>
          <w:sz w:val="24"/>
          <w:szCs w:val="24"/>
          <w:highlight w:val="none"/>
        </w:rPr>
        <w:t xml:space="preserve"> 投标人名称（盖法人公章）：</w:t>
      </w:r>
    </w:p>
    <w:p>
      <w:pPr>
        <w:spacing w:line="360" w:lineRule="auto"/>
        <w:ind w:firstLine="2160" w:firstLineChars="900"/>
        <w:rPr>
          <w:rFonts w:ascii="宋体" w:hAnsi="宋体"/>
          <w:sz w:val="24"/>
          <w:szCs w:val="24"/>
          <w:highlight w:val="none"/>
          <w:u w:val="single"/>
        </w:rPr>
      </w:pPr>
      <w:r>
        <w:rPr>
          <w:rFonts w:hint="eastAsia" w:ascii="宋体" w:hAnsi="宋体"/>
          <w:sz w:val="24"/>
          <w:szCs w:val="24"/>
          <w:highlight w:val="none"/>
        </w:rPr>
        <w:t>法定代表人或被授权人（签字或盖章）：</w:t>
      </w:r>
    </w:p>
    <w:p>
      <w:pPr>
        <w:spacing w:line="360" w:lineRule="auto"/>
        <w:ind w:firstLine="4440" w:firstLineChars="1850"/>
        <w:jc w:val="center"/>
        <w:outlineLvl w:val="1"/>
        <w:rPr>
          <w:rFonts w:ascii="宋体" w:hAnsi="宋体"/>
          <w:sz w:val="24"/>
          <w:szCs w:val="24"/>
          <w:highlight w:val="none"/>
        </w:rPr>
      </w:pPr>
      <w:r>
        <w:rPr>
          <w:rFonts w:hint="eastAsia" w:ascii="宋体" w:hAnsi="宋体"/>
          <w:sz w:val="24"/>
          <w:szCs w:val="24"/>
          <w:highlight w:val="none"/>
        </w:rPr>
        <w:t xml:space="preserve"> 日期：      年   月   日 </w:t>
      </w:r>
    </w:p>
    <w:p>
      <w:pPr>
        <w:pStyle w:val="5"/>
        <w:spacing w:after="0" w:line="360" w:lineRule="auto"/>
        <w:ind w:firstLine="0"/>
        <w:rPr>
          <w:rFonts w:ascii="宋体" w:hAnsi="宋体"/>
          <w:b/>
          <w:sz w:val="32"/>
          <w:szCs w:val="32"/>
          <w:highlight w:val="none"/>
        </w:rPr>
      </w:pPr>
    </w:p>
    <w:p>
      <w:pPr>
        <w:pStyle w:val="5"/>
        <w:spacing w:after="0" w:line="360" w:lineRule="auto"/>
        <w:ind w:firstLine="643" w:firstLineChars="200"/>
        <w:jc w:val="center"/>
        <w:outlineLvl w:val="1"/>
        <w:rPr>
          <w:rFonts w:ascii="宋体" w:hAnsi="宋体"/>
          <w:sz w:val="18"/>
          <w:szCs w:val="18"/>
          <w:highlight w:val="none"/>
        </w:rPr>
      </w:pPr>
      <w:r>
        <w:rPr>
          <w:rFonts w:hint="eastAsia" w:ascii="宋体" w:hAnsi="宋体"/>
          <w:b/>
          <w:sz w:val="32"/>
          <w:szCs w:val="32"/>
          <w:highlight w:val="none"/>
        </w:rPr>
        <w:t>投标文件编制情况</w:t>
      </w:r>
    </w:p>
    <w:p>
      <w:pPr>
        <w:pStyle w:val="5"/>
        <w:spacing w:after="0" w:line="360" w:lineRule="auto"/>
        <w:ind w:firstLine="480" w:firstLineChars="200"/>
        <w:rPr>
          <w:rFonts w:ascii="宋体" w:hAnsi="宋体"/>
          <w:sz w:val="24"/>
          <w:szCs w:val="24"/>
          <w:highlight w:val="none"/>
          <w:u w:val="single"/>
        </w:rPr>
      </w:pPr>
      <w:r>
        <w:rPr>
          <w:rFonts w:hint="eastAsia" w:ascii="宋体" w:hAnsi="宋体"/>
          <w:sz w:val="24"/>
          <w:szCs w:val="24"/>
          <w:highlight w:val="none"/>
        </w:rPr>
        <w:t>1.投标文件报价编制方式: □自行编制的，编制的负责人：</w:t>
      </w:r>
      <w:r>
        <w:rPr>
          <w:rFonts w:hint="eastAsia" w:ascii="宋体" w:hAnsi="宋体"/>
          <w:sz w:val="24"/>
          <w:szCs w:val="24"/>
          <w:highlight w:val="none"/>
          <w:u w:val="single"/>
        </w:rPr>
        <w:t xml:space="preserve"> （盖造价工程师执业专用章，执业单位应与投标人一致） </w:t>
      </w:r>
      <w:r>
        <w:rPr>
          <w:rFonts w:hint="eastAsia" w:ascii="宋体" w:hAnsi="宋体"/>
          <w:sz w:val="24"/>
          <w:szCs w:val="24"/>
          <w:highlight w:val="none"/>
        </w:rPr>
        <w:t>。□委托编制的，受委托单位，编制的负责人：</w:t>
      </w:r>
      <w:r>
        <w:rPr>
          <w:rFonts w:hint="eastAsia" w:ascii="宋体" w:hAnsi="宋体"/>
          <w:sz w:val="24"/>
          <w:szCs w:val="24"/>
          <w:highlight w:val="none"/>
          <w:u w:val="single"/>
        </w:rPr>
        <w:t xml:space="preserve"> （盖造价工程师执业专用章，执业单位应与受委托单位一致） </w:t>
      </w:r>
      <w:r>
        <w:rPr>
          <w:rFonts w:hint="eastAsia" w:ascii="宋体" w:hAnsi="宋体"/>
          <w:sz w:val="24"/>
          <w:szCs w:val="24"/>
          <w:highlight w:val="none"/>
        </w:rPr>
        <w:t>。</w:t>
      </w:r>
    </w:p>
    <w:p>
      <w:pPr>
        <w:pStyle w:val="5"/>
        <w:spacing w:after="0" w:line="360" w:lineRule="auto"/>
        <w:ind w:firstLine="480" w:firstLineChars="200"/>
        <w:rPr>
          <w:rFonts w:ascii="宋体" w:hAnsi="宋体"/>
          <w:sz w:val="24"/>
          <w:szCs w:val="24"/>
          <w:highlight w:val="none"/>
        </w:rPr>
      </w:pPr>
      <w:r>
        <w:rPr>
          <w:rFonts w:hint="eastAsia" w:ascii="宋体" w:hAnsi="宋体"/>
          <w:sz w:val="24"/>
          <w:szCs w:val="24"/>
          <w:highlight w:val="none"/>
        </w:rPr>
        <w:t>2.投标文件加密打包的电脑情况</w:t>
      </w:r>
    </w:p>
    <w:p>
      <w:pPr>
        <w:pStyle w:val="5"/>
        <w:spacing w:after="0" w:line="360" w:lineRule="auto"/>
        <w:ind w:firstLine="0"/>
        <w:rPr>
          <w:rFonts w:ascii="宋体" w:hAnsi="宋体"/>
          <w:kern w:val="2"/>
          <w:sz w:val="24"/>
          <w:highlight w:val="none"/>
        </w:rPr>
      </w:pPr>
      <w:r>
        <w:rPr>
          <w:rFonts w:hint="eastAsia" w:ascii="宋体" w:hAnsi="宋体"/>
          <w:kern w:val="2"/>
          <w:sz w:val="24"/>
          <w:highlight w:val="none"/>
        </w:rPr>
        <w:t>投标文件加密打包的电脑     自有</w:t>
      </w:r>
      <w:r>
        <w:rPr>
          <w:rFonts w:ascii="宋体" w:hAnsi="宋体"/>
          <w:kern w:val="2"/>
          <w:sz w:val="24"/>
          <w:highlight w:val="none"/>
        </w:rPr>
        <w:t xml:space="preserve">    □      外包    □     其他    □</w:t>
      </w:r>
    </w:p>
    <w:p>
      <w:pPr>
        <w:pStyle w:val="5"/>
        <w:spacing w:after="0" w:line="360" w:lineRule="auto"/>
        <w:ind w:firstLine="0"/>
        <w:rPr>
          <w:rFonts w:ascii="宋体" w:hAnsi="宋体"/>
          <w:kern w:val="2"/>
          <w:sz w:val="24"/>
          <w:highlight w:val="none"/>
        </w:rPr>
      </w:pPr>
      <w:r>
        <w:rPr>
          <w:rFonts w:hint="eastAsia" w:ascii="宋体" w:hAnsi="宋体"/>
          <w:kern w:val="2"/>
          <w:sz w:val="24"/>
          <w:highlight w:val="none"/>
        </w:rPr>
        <w:t>电脑类型</w:t>
      </w:r>
    </w:p>
    <w:p>
      <w:pPr>
        <w:pStyle w:val="5"/>
        <w:spacing w:after="0" w:line="360" w:lineRule="auto"/>
        <w:ind w:firstLine="0"/>
        <w:rPr>
          <w:rFonts w:ascii="宋体" w:hAnsi="宋体"/>
          <w:kern w:val="2"/>
          <w:sz w:val="24"/>
          <w:highlight w:val="none"/>
        </w:rPr>
      </w:pPr>
      <w:r>
        <w:rPr>
          <w:rFonts w:hint="eastAsia" w:ascii="宋体" w:hAnsi="宋体"/>
          <w:kern w:val="2"/>
          <w:sz w:val="24"/>
          <w:highlight w:val="none"/>
        </w:rPr>
        <w:t>电脑所属单位</w:t>
      </w:r>
    </w:p>
    <w:p>
      <w:pPr>
        <w:pStyle w:val="5"/>
        <w:spacing w:after="0" w:line="360" w:lineRule="auto"/>
        <w:ind w:firstLine="480" w:firstLineChars="200"/>
        <w:rPr>
          <w:rFonts w:ascii="宋体" w:hAnsi="宋体"/>
          <w:kern w:val="2"/>
          <w:sz w:val="24"/>
          <w:highlight w:val="none"/>
        </w:rPr>
      </w:pPr>
      <w:r>
        <w:rPr>
          <w:rFonts w:hint="eastAsia" w:ascii="宋体" w:hAnsi="宋体"/>
          <w:kern w:val="2"/>
          <w:sz w:val="24"/>
          <w:highlight w:val="none"/>
        </w:rPr>
        <w:t>电脑所在地址（如××市××区</w:t>
      </w:r>
      <w:r>
        <w:rPr>
          <w:rFonts w:ascii="宋体" w:hAnsi="宋体"/>
          <w:kern w:val="2"/>
          <w:sz w:val="24"/>
          <w:highlight w:val="none"/>
        </w:rPr>
        <w:t xml:space="preserve">(县) </w:t>
      </w:r>
      <w:r>
        <w:rPr>
          <w:rFonts w:hint="eastAsia" w:ascii="宋体" w:hAnsi="宋体"/>
          <w:kern w:val="2"/>
          <w:sz w:val="24"/>
          <w:highlight w:val="none"/>
        </w:rPr>
        <w:t>××街（路）××号××大厦××房）</w:t>
      </w:r>
    </w:p>
    <w:p>
      <w:pPr>
        <w:pStyle w:val="124"/>
        <w:spacing w:beforeLines="0" w:afterLines="0" w:line="360" w:lineRule="auto"/>
        <w:outlineLvl w:val="9"/>
        <w:rPr>
          <w:rFonts w:ascii="宋体" w:eastAsia="宋体"/>
          <w:highlight w:val="none"/>
        </w:rPr>
      </w:pPr>
      <w:r>
        <w:rPr>
          <w:highlight w:val="none"/>
        </w:rPr>
        <w:br w:type="page"/>
      </w:r>
      <w:bookmarkStart w:id="68" w:name="_Toc80289098"/>
      <w:r>
        <w:rPr>
          <w:rFonts w:hint="eastAsia" w:ascii="宋体" w:eastAsia="宋体"/>
          <w:highlight w:val="none"/>
        </w:rPr>
        <w:t>格式五：施工投标承诺函</w:t>
      </w:r>
      <w:bookmarkEnd w:id="68"/>
    </w:p>
    <w:p>
      <w:pPr>
        <w:pStyle w:val="113"/>
        <w:outlineLvl w:val="2"/>
        <w:rPr>
          <w:rFonts w:ascii="宋体" w:hAnsi="宋体" w:eastAsia="宋体" w:cs="宋体"/>
          <w:highlight w:val="none"/>
        </w:rPr>
      </w:pPr>
      <w:r>
        <w:rPr>
          <w:rFonts w:hint="eastAsia" w:ascii="宋体" w:hAnsi="宋体" w:eastAsia="宋体" w:cs="宋体"/>
          <w:highlight w:val="none"/>
        </w:rPr>
        <w:t>施工投标承诺函（经济标）</w:t>
      </w:r>
    </w:p>
    <w:p>
      <w:pPr>
        <w:adjustRightInd w:val="0"/>
        <w:snapToGrid w:val="0"/>
        <w:spacing w:line="360" w:lineRule="auto"/>
        <w:rPr>
          <w:bCs/>
          <w:szCs w:val="21"/>
          <w:highlight w:val="none"/>
        </w:rPr>
      </w:pPr>
      <w:r>
        <w:rPr>
          <w:rFonts w:hint="eastAsia"/>
          <w:bCs/>
          <w:szCs w:val="21"/>
          <w:highlight w:val="none"/>
        </w:rPr>
        <w:t>致招标人：</w:t>
      </w:r>
      <w:r>
        <w:rPr>
          <w:rFonts w:hint="eastAsia"/>
          <w:bCs/>
          <w:szCs w:val="21"/>
          <w:highlight w:val="none"/>
          <w:u w:val="single"/>
        </w:rPr>
        <w:t>深业置地（广州）有限公司</w:t>
      </w:r>
    </w:p>
    <w:p>
      <w:pPr>
        <w:adjustRightInd w:val="0"/>
        <w:snapToGrid w:val="0"/>
        <w:spacing w:line="360" w:lineRule="auto"/>
        <w:ind w:firstLine="420" w:firstLineChars="200"/>
        <w:rPr>
          <w:bCs/>
          <w:szCs w:val="21"/>
          <w:highlight w:val="none"/>
        </w:rPr>
      </w:pPr>
      <w:r>
        <w:rPr>
          <w:rFonts w:hint="eastAsia"/>
          <w:bCs/>
          <w:szCs w:val="21"/>
          <w:highlight w:val="none"/>
        </w:rPr>
        <w:t>为了确保本工程招标投标工作顺利进行，同时保证优质高效、文明施工，我方将严格执行建设工程管理的法律法规，并完全接受</w:t>
      </w:r>
      <w:r>
        <w:rPr>
          <w:rFonts w:hint="eastAsia"/>
          <w:bCs/>
          <w:szCs w:val="21"/>
          <w:highlight w:val="none"/>
          <w:u w:val="single"/>
        </w:rPr>
        <w:t>（项目名称）</w:t>
      </w:r>
      <w:r>
        <w:rPr>
          <w:rFonts w:hint="eastAsia"/>
          <w:bCs/>
          <w:szCs w:val="21"/>
          <w:highlight w:val="none"/>
        </w:rPr>
        <w:t>的招标文件所有内容，为此作出如下承诺：</w:t>
      </w:r>
    </w:p>
    <w:p>
      <w:pPr>
        <w:adjustRightInd w:val="0"/>
        <w:snapToGrid w:val="0"/>
        <w:spacing w:line="360" w:lineRule="auto"/>
        <w:ind w:firstLine="420" w:firstLineChars="200"/>
        <w:rPr>
          <w:szCs w:val="21"/>
          <w:highlight w:val="none"/>
        </w:rPr>
      </w:pPr>
      <w:r>
        <w:rPr>
          <w:rFonts w:hint="eastAsia"/>
          <w:bCs/>
          <w:szCs w:val="21"/>
          <w:highlight w:val="none"/>
        </w:rPr>
        <w:t>1、根</w:t>
      </w:r>
      <w:r>
        <w:rPr>
          <w:rFonts w:hint="eastAsia"/>
          <w:szCs w:val="21"/>
          <w:highlight w:val="none"/>
        </w:rPr>
        <w:t>据企业自身情况理性报价，不会以低于成本的报价竞标，并愿以投标总报价</w:t>
      </w:r>
      <w:r>
        <w:rPr>
          <w:szCs w:val="21"/>
          <w:highlight w:val="none"/>
          <w:u w:val="single"/>
        </w:rPr>
        <w:t>________</w:t>
      </w:r>
      <w:r>
        <w:rPr>
          <w:rFonts w:hint="eastAsia"/>
          <w:b/>
          <w:bCs/>
          <w:szCs w:val="21"/>
          <w:highlight w:val="none"/>
        </w:rPr>
        <w:t>元（报价精确到“分”的单位）</w:t>
      </w:r>
      <w:r>
        <w:rPr>
          <w:rFonts w:hint="eastAsia"/>
          <w:szCs w:val="21"/>
          <w:highlight w:val="none"/>
        </w:rPr>
        <w:t>，按招标文件要求承包本工程的施工、竣工并修补其任何缺陷。否则，我方愿意承担任何风险。（投标人填写）</w:t>
      </w:r>
    </w:p>
    <w:p>
      <w:pPr>
        <w:adjustRightInd w:val="0"/>
        <w:snapToGrid w:val="0"/>
        <w:spacing w:line="360" w:lineRule="auto"/>
        <w:ind w:firstLine="420" w:firstLineChars="200"/>
        <w:rPr>
          <w:szCs w:val="21"/>
          <w:highlight w:val="none"/>
        </w:rPr>
      </w:pPr>
      <w:r>
        <w:rPr>
          <w:rFonts w:hint="eastAsia"/>
          <w:bCs/>
          <w:szCs w:val="21"/>
          <w:highlight w:val="none"/>
        </w:rPr>
        <w:t>2、</w:t>
      </w:r>
      <w:r>
        <w:rPr>
          <w:rFonts w:hint="eastAsia"/>
          <w:szCs w:val="21"/>
          <w:highlight w:val="none"/>
        </w:rPr>
        <w:t>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adjustRightInd w:val="0"/>
        <w:snapToGrid w:val="0"/>
        <w:spacing w:line="360" w:lineRule="auto"/>
        <w:ind w:firstLine="420" w:firstLineChars="200"/>
        <w:rPr>
          <w:szCs w:val="21"/>
          <w:highlight w:val="none"/>
        </w:rPr>
      </w:pPr>
      <w:r>
        <w:rPr>
          <w:rFonts w:hint="eastAsia"/>
          <w:szCs w:val="21"/>
          <w:highlight w:val="none"/>
        </w:rPr>
        <w:t>3、我方保证所提交的保证金是从我公司基本账户汇出，银行保函是由我公司基本账户开户银行所在网点或其上级银行机构出具。否则，招标人有权取消我公司的中标资格或单方面终止合同，因此造成的责任由我公司承担。</w:t>
      </w:r>
    </w:p>
    <w:p>
      <w:pPr>
        <w:adjustRightInd w:val="0"/>
        <w:snapToGrid w:val="0"/>
        <w:spacing w:line="360" w:lineRule="auto"/>
        <w:ind w:firstLine="420" w:firstLineChars="200"/>
        <w:rPr>
          <w:rFonts w:cs="Courier New"/>
          <w:bCs/>
          <w:szCs w:val="21"/>
          <w:highlight w:val="none"/>
        </w:rPr>
      </w:pPr>
      <w:r>
        <w:rPr>
          <w:rFonts w:cs="Courier New"/>
          <w:bCs/>
          <w:szCs w:val="21"/>
          <w:highlight w:val="none"/>
        </w:rPr>
        <w:t>4</w:t>
      </w:r>
      <w:r>
        <w:rPr>
          <w:rFonts w:hint="eastAsia" w:cs="Courier New"/>
          <w:bCs/>
          <w:szCs w:val="21"/>
          <w:highlight w:val="none"/>
        </w:rPr>
        <w:t>、一旦我方中标，将保证在收到中标通知书后</w:t>
      </w:r>
      <w:r>
        <w:rPr>
          <w:rFonts w:cs="Courier New"/>
          <w:bCs/>
          <w:szCs w:val="21"/>
          <w:highlight w:val="none"/>
          <w:u w:val="single"/>
        </w:rPr>
        <w:t>30</w:t>
      </w:r>
      <w:r>
        <w:rPr>
          <w:rFonts w:hint="eastAsia" w:cs="Courier New"/>
          <w:bCs/>
          <w:szCs w:val="21"/>
          <w:highlight w:val="none"/>
        </w:rPr>
        <w:t>日内，与贵方按招标文件、中标通知书中的内容签定施工合同，否则，视为我方自愿放弃中标资格。</w:t>
      </w:r>
    </w:p>
    <w:p>
      <w:pPr>
        <w:adjustRightInd w:val="0"/>
        <w:snapToGrid w:val="0"/>
        <w:spacing w:line="360" w:lineRule="auto"/>
        <w:ind w:firstLine="420" w:firstLineChars="200"/>
        <w:rPr>
          <w:rFonts w:cs="Courier New"/>
          <w:bCs/>
          <w:szCs w:val="21"/>
          <w:highlight w:val="none"/>
        </w:rPr>
      </w:pPr>
      <w:r>
        <w:rPr>
          <w:szCs w:val="21"/>
          <w:highlight w:val="none"/>
        </w:rPr>
        <w:t>5</w:t>
      </w:r>
      <w:r>
        <w:rPr>
          <w:rFonts w:hint="eastAsia"/>
          <w:szCs w:val="21"/>
          <w:highlight w:val="none"/>
        </w:rPr>
        <w:t>、除非另外达成协议并生效，贵方的中标通知书和本投标文件将成为约束双方的合同文件的组成部分。</w:t>
      </w:r>
    </w:p>
    <w:p>
      <w:pPr>
        <w:adjustRightInd w:val="0"/>
        <w:snapToGrid w:val="0"/>
        <w:spacing w:line="360" w:lineRule="auto"/>
        <w:ind w:firstLine="420" w:firstLineChars="200"/>
        <w:rPr>
          <w:bCs/>
          <w:szCs w:val="21"/>
          <w:highlight w:val="none"/>
        </w:rPr>
      </w:pPr>
      <w:r>
        <w:rPr>
          <w:bCs/>
          <w:szCs w:val="21"/>
          <w:highlight w:val="none"/>
        </w:rPr>
        <w:t>6</w:t>
      </w:r>
      <w:r>
        <w:rPr>
          <w:rFonts w:hint="eastAsia"/>
          <w:bCs/>
          <w:szCs w:val="21"/>
          <w:highlight w:val="none"/>
        </w:rPr>
        <w:t>、按规定完成施工合同</w:t>
      </w:r>
      <w:r>
        <w:rPr>
          <w:rFonts w:hint="eastAsia"/>
          <w:bCs/>
          <w:szCs w:val="21"/>
          <w:highlight w:val="none"/>
          <w:u w:val="single"/>
        </w:rPr>
        <w:t>第一部分协议书第二款工程承包范围</w:t>
      </w:r>
      <w:r>
        <w:rPr>
          <w:rFonts w:hint="eastAsia"/>
          <w:bCs/>
          <w:szCs w:val="21"/>
          <w:highlight w:val="none"/>
        </w:rPr>
        <w:t>（与招标范围一致）的全部内容，质量达到合格标准的要求，质量目标为</w:t>
      </w:r>
      <w:r>
        <w:rPr>
          <w:rFonts w:hint="eastAsia"/>
          <w:bCs/>
          <w:szCs w:val="21"/>
          <w:highlight w:val="none"/>
          <w:u w:val="single"/>
        </w:rPr>
        <w:t>按招标文件要求</w:t>
      </w:r>
      <w:r>
        <w:rPr>
          <w:rFonts w:hint="eastAsia"/>
          <w:bCs/>
          <w:szCs w:val="21"/>
          <w:highlight w:val="none"/>
        </w:rPr>
        <w:t>。</w:t>
      </w:r>
    </w:p>
    <w:p>
      <w:pPr>
        <w:adjustRightInd w:val="0"/>
        <w:snapToGrid w:val="0"/>
        <w:spacing w:line="360" w:lineRule="auto"/>
        <w:ind w:firstLine="420" w:firstLineChars="200"/>
        <w:rPr>
          <w:bCs/>
          <w:szCs w:val="21"/>
          <w:highlight w:val="none"/>
        </w:rPr>
      </w:pPr>
      <w:r>
        <w:rPr>
          <w:bCs/>
          <w:szCs w:val="21"/>
          <w:highlight w:val="none"/>
        </w:rPr>
        <w:t>7</w:t>
      </w:r>
      <w:r>
        <w:rPr>
          <w:rFonts w:hint="eastAsia"/>
          <w:bCs/>
          <w:szCs w:val="21"/>
          <w:highlight w:val="none"/>
        </w:rPr>
        <w:t>、建立完善的质量安全保证体系，配备与投标文件相一致且满足工程建设规模、技术要求、安全要求的项目管理机构和项目管理人员，并确保常驻现场。我方在本工程中配备的项目管理机构和项目管理人员详见《施工项目管理团队人员信息表》（投标人填写）。撤换上述人员前，必须征得贵方及建设行政主管部门批准同意。否则，招标人有权取消我公司的中标资格或单方面终止合同，由此造成的违约责任由我公司承担。</w:t>
      </w:r>
    </w:p>
    <w:p>
      <w:pPr>
        <w:adjustRightInd w:val="0"/>
        <w:snapToGrid w:val="0"/>
        <w:spacing w:line="360" w:lineRule="auto"/>
        <w:ind w:firstLine="420" w:firstLineChars="200"/>
        <w:rPr>
          <w:bCs/>
          <w:szCs w:val="21"/>
          <w:highlight w:val="none"/>
        </w:rPr>
      </w:pPr>
      <w:r>
        <w:rPr>
          <w:bCs/>
          <w:szCs w:val="21"/>
          <w:highlight w:val="none"/>
        </w:rPr>
        <w:t>8</w:t>
      </w:r>
      <w:r>
        <w:rPr>
          <w:rFonts w:hint="eastAsia"/>
          <w:bCs/>
          <w:szCs w:val="21"/>
          <w:highlight w:val="none"/>
        </w:rPr>
        <w:t>、我方在本工程中投入的主要机械设备详见附件《主要机械设备表》。所使用的工程机械、装卸机械满足国家现阶段非道路移动机械用柴油机排放标准。（投标人填写）</w:t>
      </w:r>
    </w:p>
    <w:p>
      <w:pPr>
        <w:adjustRightInd w:val="0"/>
        <w:snapToGrid w:val="0"/>
        <w:spacing w:line="360" w:lineRule="auto"/>
        <w:ind w:firstLine="420" w:firstLineChars="200"/>
        <w:rPr>
          <w:bCs/>
          <w:szCs w:val="21"/>
          <w:highlight w:val="none"/>
        </w:rPr>
      </w:pPr>
      <w:r>
        <w:rPr>
          <w:bCs/>
          <w:szCs w:val="21"/>
          <w:highlight w:val="none"/>
        </w:rPr>
        <w:t>9</w:t>
      </w:r>
      <w:r>
        <w:rPr>
          <w:rFonts w:hint="eastAsia"/>
          <w:bCs/>
          <w:szCs w:val="21"/>
          <w:highlight w:val="none"/>
        </w:rPr>
        <w:t>、为确保施工安全，我方保证落实安全防护、环境保护、安全培训和信息化管理等要求，安全文明施工措施费专款专用。</w:t>
      </w:r>
    </w:p>
    <w:p>
      <w:pPr>
        <w:adjustRightInd w:val="0"/>
        <w:snapToGrid w:val="0"/>
        <w:spacing w:line="360" w:lineRule="auto"/>
        <w:ind w:firstLine="420" w:firstLineChars="200"/>
        <w:rPr>
          <w:bCs/>
          <w:szCs w:val="21"/>
          <w:highlight w:val="none"/>
        </w:rPr>
      </w:pPr>
      <w:r>
        <w:rPr>
          <w:rFonts w:hint="eastAsia"/>
          <w:bCs/>
          <w:szCs w:val="21"/>
          <w:highlight w:val="none"/>
        </w:rPr>
        <w:t>1</w:t>
      </w:r>
      <w:r>
        <w:rPr>
          <w:bCs/>
          <w:szCs w:val="21"/>
          <w:highlight w:val="none"/>
        </w:rPr>
        <w:t>0</w:t>
      </w:r>
      <w:r>
        <w:rPr>
          <w:rFonts w:hint="eastAsia"/>
          <w:bCs/>
          <w:szCs w:val="21"/>
          <w:highlight w:val="none"/>
        </w:rPr>
        <w:t>、我方保证在</w:t>
      </w:r>
      <w:r>
        <w:rPr>
          <w:bCs/>
          <w:szCs w:val="21"/>
          <w:highlight w:val="none"/>
          <w:u w:val="single"/>
        </w:rPr>
        <w:t>____</w:t>
      </w:r>
      <w:r>
        <w:rPr>
          <w:rFonts w:hint="eastAsia"/>
          <w:bCs/>
          <w:szCs w:val="21"/>
          <w:highlight w:val="none"/>
        </w:rPr>
        <w:t>日内（或于</w:t>
      </w:r>
      <w:r>
        <w:rPr>
          <w:bCs/>
          <w:szCs w:val="21"/>
          <w:highlight w:val="none"/>
          <w:u w:val="single"/>
        </w:rPr>
        <w:t>_____</w:t>
      </w:r>
      <w:r>
        <w:rPr>
          <w:rFonts w:hint="eastAsia"/>
          <w:bCs/>
          <w:szCs w:val="21"/>
          <w:highlight w:val="none"/>
        </w:rPr>
        <w:t>年</w:t>
      </w:r>
      <w:r>
        <w:rPr>
          <w:bCs/>
          <w:szCs w:val="21"/>
          <w:highlight w:val="none"/>
          <w:u w:val="single"/>
        </w:rPr>
        <w:t>____</w:t>
      </w:r>
      <w:r>
        <w:rPr>
          <w:rFonts w:hint="eastAsia"/>
          <w:bCs/>
          <w:szCs w:val="21"/>
          <w:highlight w:val="none"/>
        </w:rPr>
        <w:t>月</w:t>
      </w:r>
      <w:r>
        <w:rPr>
          <w:bCs/>
          <w:szCs w:val="21"/>
          <w:highlight w:val="none"/>
          <w:u w:val="single"/>
        </w:rPr>
        <w:t>____</w:t>
      </w:r>
      <w:r>
        <w:rPr>
          <w:rFonts w:hint="eastAsia"/>
          <w:bCs/>
          <w:szCs w:val="21"/>
          <w:highlight w:val="none"/>
        </w:rPr>
        <w:t>日前）完成并移交本工程（非我方造成的工期延误除外）。（投标人填写）</w:t>
      </w:r>
    </w:p>
    <w:p>
      <w:pPr>
        <w:adjustRightInd w:val="0"/>
        <w:snapToGrid w:val="0"/>
        <w:spacing w:line="360" w:lineRule="auto"/>
        <w:ind w:firstLine="420" w:firstLineChars="200"/>
        <w:rPr>
          <w:bCs/>
          <w:szCs w:val="21"/>
          <w:highlight w:val="none"/>
        </w:rPr>
      </w:pPr>
      <w:r>
        <w:rPr>
          <w:rFonts w:hint="eastAsia"/>
          <w:bCs/>
          <w:szCs w:val="21"/>
          <w:highlight w:val="none"/>
        </w:rPr>
        <w:t>1</w:t>
      </w:r>
      <w:r>
        <w:rPr>
          <w:bCs/>
          <w:szCs w:val="21"/>
          <w:highlight w:val="none"/>
        </w:rPr>
        <w:t>1</w:t>
      </w:r>
      <w:r>
        <w:rPr>
          <w:rFonts w:hint="eastAsia"/>
          <w:bCs/>
          <w:szCs w:val="21"/>
          <w:highlight w:val="none"/>
        </w:rPr>
        <w:t>、对在工程实施过程中发生的工程变更，严格按照双方合同的有关规定计量和计价，并保证接受贵方要求完成变更的工程内容。</w:t>
      </w:r>
    </w:p>
    <w:p>
      <w:pPr>
        <w:adjustRightInd w:val="0"/>
        <w:snapToGrid w:val="0"/>
        <w:spacing w:line="360" w:lineRule="auto"/>
        <w:ind w:firstLine="420" w:firstLineChars="200"/>
        <w:rPr>
          <w:bCs/>
          <w:szCs w:val="21"/>
          <w:highlight w:val="none"/>
        </w:rPr>
      </w:pPr>
      <w:r>
        <w:rPr>
          <w:rFonts w:hint="eastAsia"/>
          <w:bCs/>
          <w:szCs w:val="21"/>
          <w:highlight w:val="none"/>
        </w:rPr>
        <w:t>1</w:t>
      </w:r>
      <w:r>
        <w:rPr>
          <w:bCs/>
          <w:szCs w:val="21"/>
          <w:highlight w:val="none"/>
        </w:rPr>
        <w:t>2</w:t>
      </w:r>
      <w:r>
        <w:rPr>
          <w:rFonts w:hint="eastAsia"/>
          <w:bCs/>
          <w:szCs w:val="21"/>
          <w:highlight w:val="none"/>
        </w:rPr>
        <w:t>、我方在本次投标中无弄虚作假行为，且未与其他投标人、招标人及评标专家串通投标等违规行为。否则，将接受取消投标资格、取消中标资格、解除合同、已进场施工的无条件退场、清出预选承包商名录、记录不良行为红色警示、暂停一年至三年在我市参加建设工程投标的资格等处理，涉嫌构成犯罪的，将依法追究刑事责任并移送公安机关查处。</w:t>
      </w:r>
    </w:p>
    <w:p>
      <w:pPr>
        <w:adjustRightInd w:val="0"/>
        <w:snapToGrid w:val="0"/>
        <w:spacing w:line="360" w:lineRule="auto"/>
        <w:ind w:firstLine="420" w:firstLineChars="200"/>
        <w:rPr>
          <w:bCs/>
          <w:szCs w:val="21"/>
          <w:highlight w:val="none"/>
        </w:rPr>
      </w:pPr>
      <w:r>
        <w:rPr>
          <w:rFonts w:hint="eastAsia"/>
          <w:bCs/>
          <w:szCs w:val="21"/>
          <w:highlight w:val="none"/>
        </w:rPr>
        <w:t>1</w:t>
      </w:r>
      <w:r>
        <w:rPr>
          <w:bCs/>
          <w:szCs w:val="21"/>
          <w:highlight w:val="none"/>
        </w:rPr>
        <w:t>3</w:t>
      </w:r>
      <w:r>
        <w:rPr>
          <w:rFonts w:hint="eastAsia"/>
          <w:bCs/>
          <w:szCs w:val="21"/>
          <w:highlight w:val="none"/>
        </w:rPr>
        <w:t>、如果违反本承诺书中任何条款，我方愿意接受：</w:t>
      </w:r>
    </w:p>
    <w:p>
      <w:pPr>
        <w:adjustRightInd w:val="0"/>
        <w:snapToGrid w:val="0"/>
        <w:spacing w:line="360" w:lineRule="auto"/>
        <w:ind w:firstLine="420" w:firstLineChars="200"/>
        <w:rPr>
          <w:bCs/>
          <w:szCs w:val="21"/>
          <w:highlight w:val="none"/>
        </w:rPr>
      </w:pPr>
      <w:r>
        <w:rPr>
          <w:rFonts w:hint="eastAsia"/>
          <w:bCs/>
          <w:szCs w:val="21"/>
          <w:highlight w:val="none"/>
        </w:rPr>
        <w:t>(1)视作我方单方面违约，并按照合同规定向贵方支付违约金或解除合同；</w:t>
      </w:r>
    </w:p>
    <w:p>
      <w:pPr>
        <w:adjustRightInd w:val="0"/>
        <w:snapToGrid w:val="0"/>
        <w:spacing w:line="360" w:lineRule="auto"/>
        <w:ind w:firstLine="420" w:firstLineChars="200"/>
        <w:rPr>
          <w:bCs/>
          <w:szCs w:val="21"/>
          <w:highlight w:val="none"/>
        </w:rPr>
      </w:pPr>
      <w:r>
        <w:rPr>
          <w:rFonts w:hint="eastAsia"/>
          <w:bCs/>
          <w:szCs w:val="21"/>
          <w:highlight w:val="none"/>
        </w:rPr>
        <w:t>(2)履约评价评定为合格及以下；</w:t>
      </w:r>
    </w:p>
    <w:p>
      <w:pPr>
        <w:adjustRightInd w:val="0"/>
        <w:snapToGrid w:val="0"/>
        <w:spacing w:line="360" w:lineRule="auto"/>
        <w:ind w:firstLine="420" w:firstLineChars="200"/>
        <w:rPr>
          <w:bCs/>
          <w:szCs w:val="21"/>
          <w:highlight w:val="none"/>
        </w:rPr>
      </w:pPr>
      <w:r>
        <w:rPr>
          <w:rFonts w:hint="eastAsia"/>
          <w:bCs/>
          <w:szCs w:val="21"/>
          <w:highlight w:val="none"/>
        </w:rPr>
        <w:t>(3)本工程招标人今后可拒绝我方参与投标；</w:t>
      </w:r>
    </w:p>
    <w:p>
      <w:pPr>
        <w:adjustRightInd w:val="0"/>
        <w:snapToGrid w:val="0"/>
        <w:spacing w:line="360" w:lineRule="auto"/>
        <w:ind w:firstLine="420" w:firstLineChars="200"/>
        <w:rPr>
          <w:bCs/>
          <w:szCs w:val="21"/>
          <w:highlight w:val="none"/>
        </w:rPr>
      </w:pPr>
      <w:r>
        <w:rPr>
          <w:rFonts w:hint="eastAsia"/>
          <w:bCs/>
          <w:szCs w:val="21"/>
          <w:highlight w:val="none"/>
        </w:rPr>
        <w:t>(4)建设行政主管部门或相关主管部门的不良行为记录、行政处罚。</w:t>
      </w:r>
    </w:p>
    <w:p>
      <w:pPr>
        <w:adjustRightInd w:val="0"/>
        <w:snapToGrid w:val="0"/>
        <w:spacing w:line="360" w:lineRule="auto"/>
        <w:rPr>
          <w:bCs/>
          <w:szCs w:val="21"/>
          <w:highlight w:val="none"/>
        </w:rPr>
      </w:pPr>
    </w:p>
    <w:p>
      <w:pPr>
        <w:adjustRightInd w:val="0"/>
        <w:snapToGrid w:val="0"/>
        <w:spacing w:line="360" w:lineRule="auto"/>
        <w:rPr>
          <w:szCs w:val="21"/>
          <w:highlight w:val="none"/>
        </w:rPr>
      </w:pPr>
      <w:r>
        <w:rPr>
          <w:rFonts w:hint="eastAsia"/>
          <w:szCs w:val="21"/>
          <w:highlight w:val="none"/>
        </w:rPr>
        <w:t>投标人（单位公章）：</w:t>
      </w:r>
      <w:r>
        <w:rPr>
          <w:szCs w:val="21"/>
          <w:highlight w:val="none"/>
          <w:u w:val="single"/>
        </w:rPr>
        <w:t>__________________________________________</w:t>
      </w:r>
    </w:p>
    <w:p>
      <w:pPr>
        <w:adjustRightInd w:val="0"/>
        <w:snapToGrid w:val="0"/>
        <w:spacing w:line="360" w:lineRule="auto"/>
        <w:rPr>
          <w:szCs w:val="21"/>
          <w:highlight w:val="none"/>
        </w:rPr>
      </w:pPr>
      <w:r>
        <w:rPr>
          <w:rFonts w:hint="eastAsia"/>
          <w:szCs w:val="21"/>
          <w:highlight w:val="none"/>
        </w:rPr>
        <w:t>单位地址：</w:t>
      </w:r>
      <w:r>
        <w:rPr>
          <w:szCs w:val="21"/>
          <w:highlight w:val="none"/>
          <w:u w:val="single"/>
        </w:rPr>
        <w:t>___________________________________________________</w:t>
      </w:r>
    </w:p>
    <w:p>
      <w:pPr>
        <w:adjustRightInd w:val="0"/>
        <w:snapToGrid w:val="0"/>
        <w:spacing w:line="360" w:lineRule="auto"/>
        <w:rPr>
          <w:szCs w:val="21"/>
          <w:highlight w:val="none"/>
        </w:rPr>
      </w:pPr>
      <w:r>
        <w:rPr>
          <w:rFonts w:hint="eastAsia"/>
          <w:szCs w:val="21"/>
          <w:highlight w:val="none"/>
        </w:rPr>
        <w:t>邮政编码：</w:t>
      </w:r>
      <w:r>
        <w:rPr>
          <w:szCs w:val="21"/>
          <w:highlight w:val="none"/>
          <w:u w:val="single"/>
        </w:rPr>
        <w:t>______________</w:t>
      </w:r>
      <w:r>
        <w:rPr>
          <w:rFonts w:hint="eastAsia"/>
          <w:szCs w:val="21"/>
          <w:highlight w:val="none"/>
        </w:rPr>
        <w:t>电话：</w:t>
      </w:r>
      <w:r>
        <w:rPr>
          <w:szCs w:val="21"/>
          <w:highlight w:val="none"/>
          <w:u w:val="single"/>
        </w:rPr>
        <w:t>____________</w:t>
      </w:r>
      <w:r>
        <w:rPr>
          <w:rFonts w:hint="eastAsia"/>
          <w:szCs w:val="21"/>
          <w:highlight w:val="none"/>
        </w:rPr>
        <w:t>传真：</w:t>
      </w:r>
      <w:r>
        <w:rPr>
          <w:szCs w:val="21"/>
          <w:highlight w:val="none"/>
          <w:u w:val="single"/>
        </w:rPr>
        <w:t>____________</w:t>
      </w:r>
    </w:p>
    <w:p>
      <w:pPr>
        <w:adjustRightInd w:val="0"/>
        <w:snapToGrid w:val="0"/>
        <w:spacing w:line="360" w:lineRule="auto"/>
        <w:rPr>
          <w:bCs/>
          <w:szCs w:val="21"/>
          <w:highlight w:val="none"/>
        </w:rPr>
      </w:pPr>
    </w:p>
    <w:p>
      <w:pPr>
        <w:adjustRightInd w:val="0"/>
        <w:snapToGrid w:val="0"/>
        <w:spacing w:line="360" w:lineRule="auto"/>
        <w:ind w:firstLine="4200" w:firstLineChars="2000"/>
        <w:rPr>
          <w:bCs/>
          <w:szCs w:val="21"/>
          <w:highlight w:val="none"/>
        </w:rPr>
      </w:pPr>
      <w:r>
        <w:rPr>
          <w:rFonts w:hint="eastAsia"/>
          <w:bCs/>
          <w:szCs w:val="21"/>
          <w:highlight w:val="none"/>
        </w:rPr>
        <w:t>年月日</w:t>
      </w:r>
    </w:p>
    <w:p>
      <w:pPr>
        <w:rPr>
          <w:highlight w:val="none"/>
        </w:rPr>
      </w:pPr>
    </w:p>
    <w:p>
      <w:pPr>
        <w:spacing w:line="320" w:lineRule="exact"/>
        <w:rPr>
          <w:rFonts w:ascii="宋体" w:hAnsi="宋体"/>
          <w:szCs w:val="21"/>
          <w:highlight w:val="none"/>
        </w:rPr>
      </w:pPr>
    </w:p>
    <w:p>
      <w:pPr>
        <w:tabs>
          <w:tab w:val="left" w:pos="720"/>
        </w:tabs>
        <w:snapToGrid w:val="0"/>
        <w:spacing w:line="360" w:lineRule="auto"/>
        <w:rPr>
          <w:rFonts w:ascii="宋体" w:hAnsi="宋体"/>
          <w:sz w:val="24"/>
          <w:szCs w:val="24"/>
          <w:highlight w:val="none"/>
        </w:rPr>
      </w:pPr>
      <w:r>
        <w:rPr>
          <w:rFonts w:ascii="宋体" w:hAnsi="宋体"/>
          <w:sz w:val="24"/>
          <w:szCs w:val="24"/>
          <w:highlight w:val="none"/>
        </w:rPr>
        <w:br w:type="page"/>
      </w:r>
    </w:p>
    <w:p>
      <w:pPr>
        <w:pStyle w:val="3"/>
        <w:rPr>
          <w:rFonts w:ascii="宋体" w:hAnsi="宋体"/>
          <w:highlight w:val="none"/>
        </w:rPr>
      </w:pPr>
      <w:bookmarkStart w:id="69" w:name="_Toc80289099"/>
      <w:r>
        <w:rPr>
          <w:rFonts w:hint="eastAsia" w:ascii="宋体" w:hAnsi="宋体"/>
          <w:highlight w:val="none"/>
        </w:rPr>
        <w:t>第五章技术条件（工程建设标准）</w:t>
      </w:r>
      <w:bookmarkEnd w:id="69"/>
    </w:p>
    <w:p>
      <w:pPr>
        <w:spacing w:line="360" w:lineRule="auto"/>
        <w:outlineLvl w:val="1"/>
        <w:rPr>
          <w:rFonts w:ascii="宋体" w:hAnsi="宋体"/>
          <w:b/>
          <w:spacing w:val="4"/>
          <w:kern w:val="0"/>
          <w:sz w:val="24"/>
          <w:szCs w:val="24"/>
          <w:highlight w:val="none"/>
        </w:rPr>
      </w:pPr>
      <w:bookmarkStart w:id="70" w:name="_（一）土建综合要求"/>
      <w:bookmarkEnd w:id="70"/>
      <w:r>
        <w:rPr>
          <w:rFonts w:hint="eastAsia" w:ascii="宋体" w:hAnsi="宋体"/>
          <w:b/>
          <w:spacing w:val="4"/>
          <w:kern w:val="0"/>
          <w:sz w:val="24"/>
          <w:szCs w:val="24"/>
          <w:highlight w:val="none"/>
        </w:rPr>
        <w:t>一、采用中华人民共和国现行技术和验收规范</w:t>
      </w:r>
    </w:p>
    <w:p>
      <w:pPr>
        <w:pStyle w:val="3"/>
        <w:rPr>
          <w:rFonts w:ascii="宋体" w:hAnsi="宋体"/>
          <w:highlight w:val="none"/>
        </w:rPr>
      </w:pPr>
      <w:r>
        <w:rPr>
          <w:rFonts w:ascii="宋体" w:hAnsi="宋体"/>
          <w:sz w:val="24"/>
          <w:szCs w:val="24"/>
          <w:highlight w:val="none"/>
        </w:rPr>
        <w:br w:type="page"/>
      </w:r>
      <w:bookmarkStart w:id="71" w:name="_Toc80289100"/>
      <w:r>
        <w:rPr>
          <w:rFonts w:hint="eastAsia" w:ascii="宋体" w:hAnsi="宋体"/>
          <w:highlight w:val="none"/>
        </w:rPr>
        <w:t>第六章图纸及勘察资料</w:t>
      </w:r>
      <w:bookmarkEnd w:id="71"/>
    </w:p>
    <w:p>
      <w:pPr>
        <w:rPr>
          <w:rFonts w:ascii="宋体" w:hAnsi="宋体"/>
          <w:b/>
          <w:sz w:val="24"/>
          <w:szCs w:val="24"/>
          <w:highlight w:val="none"/>
        </w:rPr>
      </w:pPr>
      <w:r>
        <w:rPr>
          <w:rFonts w:hint="eastAsia" w:ascii="宋体" w:hAnsi="宋体"/>
          <w:sz w:val="24"/>
          <w:szCs w:val="24"/>
          <w:highlight w:val="none"/>
        </w:rPr>
        <w:t>注：另册。</w:t>
      </w:r>
    </w:p>
    <w:p>
      <w:pPr>
        <w:pStyle w:val="3"/>
        <w:rPr>
          <w:rFonts w:ascii="宋体" w:hAnsi="宋体"/>
          <w:highlight w:val="none"/>
        </w:rPr>
      </w:pPr>
      <w:r>
        <w:rPr>
          <w:rFonts w:ascii="宋体" w:hAnsi="宋体"/>
          <w:sz w:val="24"/>
          <w:szCs w:val="24"/>
          <w:highlight w:val="none"/>
        </w:rPr>
        <w:br w:type="page"/>
      </w:r>
      <w:bookmarkStart w:id="72" w:name="_Toc80289101"/>
      <w:r>
        <w:rPr>
          <w:rFonts w:hint="eastAsia" w:ascii="宋体" w:hAnsi="宋体"/>
          <w:highlight w:val="none"/>
        </w:rPr>
        <w:t>第七章工程量清单</w:t>
      </w:r>
      <w:bookmarkEnd w:id="72"/>
    </w:p>
    <w:p>
      <w:pPr>
        <w:jc w:val="center"/>
        <w:outlineLvl w:val="1"/>
        <w:rPr>
          <w:rFonts w:ascii="宋体" w:hAnsi="宋体"/>
          <w:sz w:val="24"/>
          <w:szCs w:val="24"/>
          <w:highlight w:val="none"/>
        </w:rPr>
      </w:pPr>
      <w:r>
        <w:rPr>
          <w:rFonts w:hint="eastAsia" w:ascii="宋体" w:hAnsi="宋体"/>
          <w:sz w:val="24"/>
          <w:szCs w:val="24"/>
          <w:highlight w:val="none"/>
        </w:rPr>
        <w:t>1、另册</w:t>
      </w:r>
    </w:p>
    <w:p>
      <w:pPr>
        <w:jc w:val="center"/>
        <w:outlineLvl w:val="1"/>
        <w:rPr>
          <w:rFonts w:ascii="宋体" w:hAnsi="宋体"/>
          <w:sz w:val="24"/>
          <w:szCs w:val="24"/>
          <w:highlight w:val="none"/>
        </w:rPr>
      </w:pPr>
      <w:r>
        <w:rPr>
          <w:rFonts w:hint="eastAsia" w:ascii="宋体" w:hAnsi="宋体"/>
          <w:sz w:val="24"/>
          <w:szCs w:val="24"/>
          <w:highlight w:val="none"/>
        </w:rPr>
        <w:t>2、综合单价分析表（详见附件，综合单价分析表）</w:t>
      </w:r>
    </w:p>
    <w:p>
      <w:pPr>
        <w:pStyle w:val="5"/>
        <w:spacing w:after="0" w:line="360" w:lineRule="auto"/>
        <w:ind w:left="-2" w:leftChars="-1" w:firstLine="960" w:firstLineChars="400"/>
        <w:rPr>
          <w:rFonts w:ascii="宋体" w:hAnsi="宋体"/>
          <w:sz w:val="24"/>
          <w:highlight w:val="none"/>
        </w:rPr>
      </w:pPr>
    </w:p>
    <w:p>
      <w:pPr>
        <w:rPr>
          <w:rFonts w:ascii="宋体" w:hAnsi="宋体"/>
          <w:highlight w:val="none"/>
        </w:rPr>
      </w:pPr>
    </w:p>
    <w:p>
      <w:pPr>
        <w:pStyle w:val="3"/>
        <w:rPr>
          <w:rFonts w:ascii="宋体" w:hAnsi="宋体"/>
          <w:highlight w:val="none"/>
        </w:rPr>
      </w:pPr>
      <w:r>
        <w:rPr>
          <w:rFonts w:ascii="宋体" w:hAnsi="宋体"/>
          <w:sz w:val="24"/>
          <w:szCs w:val="24"/>
          <w:highlight w:val="none"/>
        </w:rPr>
        <w:br w:type="page"/>
      </w:r>
      <w:bookmarkStart w:id="73" w:name="_Toc80289102"/>
      <w:r>
        <w:rPr>
          <w:rFonts w:hint="eastAsia" w:ascii="宋体" w:hAnsi="宋体"/>
          <w:highlight w:val="none"/>
        </w:rPr>
        <w:t>第八章最高投标限价</w:t>
      </w:r>
      <w:bookmarkEnd w:id="73"/>
    </w:p>
    <w:p>
      <w:pPr>
        <w:spacing w:line="360" w:lineRule="auto"/>
        <w:ind w:firstLine="480"/>
        <w:rPr>
          <w:rFonts w:ascii="宋体" w:hAnsi="宋体"/>
          <w:sz w:val="24"/>
          <w:szCs w:val="24"/>
          <w:highlight w:val="none"/>
        </w:rPr>
      </w:pPr>
      <w:r>
        <w:rPr>
          <w:rFonts w:hint="eastAsia" w:ascii="宋体" w:hAnsi="宋体"/>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600" w:lineRule="exact"/>
        <w:jc w:val="center"/>
        <w:outlineLvl w:val="1"/>
        <w:rPr>
          <w:rFonts w:ascii="宋体" w:hAnsi="宋体"/>
          <w:sz w:val="24"/>
          <w:szCs w:val="24"/>
          <w:highlight w:val="none"/>
        </w:rPr>
      </w:pPr>
      <w:r>
        <w:rPr>
          <w:rFonts w:hint="eastAsia" w:ascii="宋体" w:hAnsi="宋体"/>
          <w:sz w:val="24"/>
          <w:szCs w:val="24"/>
          <w:highlight w:val="none"/>
        </w:rPr>
        <w:t>详见《最高投标限价公布函》</w:t>
      </w:r>
    </w:p>
    <w:p>
      <w:pPr>
        <w:pStyle w:val="3"/>
        <w:jc w:val="both"/>
        <w:rPr>
          <w:rFonts w:ascii="宋体" w:hAnsi="宋体"/>
          <w:kern w:val="0"/>
          <w:sz w:val="24"/>
          <w:szCs w:val="24"/>
          <w:highlight w:val="none"/>
        </w:rPr>
      </w:pPr>
    </w:p>
    <w:sectPr>
      <w:pgSz w:w="11906" w:h="16838"/>
      <w:pgMar w:top="1134" w:right="1418" w:bottom="1134"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57</w:t>
    </w:r>
    <w:r>
      <w:rPr>
        <w:lang w:val="zh-CN"/>
      </w:rPr>
      <w:fldChar w:fldCharType="end"/>
    </w:r>
  </w:p>
  <w:p>
    <w:pPr>
      <w:pStyle w:val="28"/>
      <w:ind w:firstLine="392"/>
      <w:jc w:val="right"/>
      <w:rPr>
        <w:rStyle w:val="4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2"/>
      <w:rPr>
        <w:rStyle w:val="45"/>
      </w:rPr>
    </w:pPr>
    <w:r>
      <w:fldChar w:fldCharType="begin"/>
    </w:r>
    <w:r>
      <w:rPr>
        <w:rStyle w:val="45"/>
      </w:rPr>
      <w:instrText xml:space="preserve">PAGE  </w:instrText>
    </w:r>
    <w:r>
      <w:fldChar w:fldCharType="separate"/>
    </w:r>
    <w:r>
      <w:rPr>
        <w:rStyle w:val="45"/>
        <w:rFonts w:hint="eastAsia"/>
      </w:rPr>
      <w:t>一</w:t>
    </w:r>
    <w:r>
      <w:rPr>
        <w:rStyle w:val="45"/>
      </w:rPr>
      <w:t>–2</w:t>
    </w:r>
    <w:r>
      <w:fldChar w:fldCharType="end"/>
    </w:r>
  </w:p>
  <w:p>
    <w:pPr>
      <w:pStyle w:val="28"/>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jc w:val="center"/>
      <w:rPr>
        <w:rStyle w:val="45"/>
      </w:rPr>
    </w:pPr>
    <w:r>
      <w:fldChar w:fldCharType="begin"/>
    </w:r>
    <w:r>
      <w:rPr>
        <w:rStyle w:val="45"/>
      </w:rPr>
      <w:instrText xml:space="preserve">PAGE  </w:instrText>
    </w:r>
    <w:r>
      <w:fldChar w:fldCharType="separate"/>
    </w:r>
    <w:r>
      <w:rPr>
        <w:rStyle w:val="45"/>
      </w:rPr>
      <w:t>61</w:t>
    </w:r>
    <w:r>
      <w:fldChar w:fldCharType="end"/>
    </w:r>
  </w:p>
  <w:p>
    <w:pPr>
      <w:pStyle w:val="28"/>
      <w:framePr w:wrap="around" w:vAnchor="text" w:hAnchor="margin" w:xAlign="outside" w:y="1"/>
      <w:ind w:left="-4410" w:leftChars="-2100" w:right="-4439" w:rightChars="-2114"/>
      <w:rPr>
        <w:rStyle w:val="45"/>
      </w:rPr>
    </w:pPr>
  </w:p>
  <w:p>
    <w:pPr>
      <w:pStyle w:val="2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5"/>
      </w:rPr>
    </w:pPr>
    <w:r>
      <w:fldChar w:fldCharType="begin"/>
    </w:r>
    <w:r>
      <w:rPr>
        <w:rStyle w:val="45"/>
      </w:rPr>
      <w:instrText xml:space="preserve">PAGE  </w:instrText>
    </w:r>
    <w:r>
      <w:fldChar w:fldCharType="separate"/>
    </w:r>
    <w:r>
      <w:rPr>
        <w:rStyle w:val="45"/>
        <w:rFonts w:hint="eastAsia"/>
      </w:rPr>
      <w:t>一</w:t>
    </w:r>
    <w:r>
      <w:rPr>
        <w:rStyle w:val="45"/>
      </w:rPr>
      <w:t>–2</w:t>
    </w:r>
    <w:r>
      <w:fldChar w:fldCharType="end"/>
    </w:r>
  </w:p>
  <w:p>
    <w:pPr>
      <w:pStyle w:val="28"/>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5"/>
      </w:rPr>
      <w:instrText xml:space="preserve"> PAGE </w:instrText>
    </w:r>
    <w:r>
      <w:fldChar w:fldCharType="separate"/>
    </w:r>
    <w:r>
      <w:rPr>
        <w:rStyle w:val="45"/>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2"/>
        <w:adjustRightInd w:val="0"/>
        <w:spacing w:line="300" w:lineRule="auto"/>
        <w:ind w:firstLine="392"/>
        <w:rPr>
          <w:rFonts w:ascii="楷体" w:hAnsi="楷体" w:eastAsia="楷体"/>
          <w:b/>
          <w:bCs/>
          <w:color w:val="0000FF"/>
          <w:sz w:val="21"/>
          <w:szCs w:val="21"/>
          <w:highlight w:val="yellow"/>
          <w:lang w:val="en-GB"/>
        </w:rPr>
      </w:pPr>
      <w:r>
        <w:rPr>
          <w:rStyle w:val="48"/>
        </w:rPr>
        <w:footnoteRef/>
      </w:r>
      <w:r>
        <w:rPr>
          <w:rFonts w:hint="eastAsia" w:ascii="楷体" w:hAnsi="楷体" w:eastAsia="楷体"/>
          <w:szCs w:val="21"/>
        </w:rPr>
        <w:t>截至招标公告发布之日，深业置地有限公司所控制的企业包括深圳市科之谷投资有限公司等。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4262D"/>
    <w:multiLevelType w:val="multilevel"/>
    <w:tmpl w:val="4134262D"/>
    <w:lvl w:ilvl="0" w:tentative="0">
      <w:start w:val="1"/>
      <w:numFmt w:val="decimalEnclosedCircle"/>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4DAD1CF7"/>
    <w:multiLevelType w:val="multilevel"/>
    <w:tmpl w:val="4DAD1CF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C932C9"/>
    <w:multiLevelType w:val="multilevel"/>
    <w:tmpl w:val="4EC932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9943A3"/>
    <w:multiLevelType w:val="singleLevel"/>
    <w:tmpl w:val="679943A3"/>
    <w:lvl w:ilvl="0" w:tentative="0">
      <w:start w:val="1"/>
      <w:numFmt w:val="decimal"/>
      <w:suff w:val="nothing"/>
      <w:lvlText w:val="%1、"/>
      <w:lvlJc w:val="left"/>
    </w:lvl>
  </w:abstractNum>
  <w:abstractNum w:abstractNumId="4">
    <w:nsid w:val="6D0E0A9F"/>
    <w:multiLevelType w:val="multilevel"/>
    <w:tmpl w:val="6D0E0A9F"/>
    <w:lvl w:ilvl="0" w:tentative="0">
      <w:start w:val="1"/>
      <w:numFmt w:val="decimalEnclosedCircle"/>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jOTEyZmNjZTRhYTYzNmMzYjMxOTBkOGNlY2IwMGMifQ=="/>
  </w:docVars>
  <w:rsids>
    <w:rsidRoot w:val="007B41BE"/>
    <w:rsid w:val="00000595"/>
    <w:rsid w:val="00003064"/>
    <w:rsid w:val="00003E18"/>
    <w:rsid w:val="000047DA"/>
    <w:rsid w:val="00005D12"/>
    <w:rsid w:val="00007148"/>
    <w:rsid w:val="000121EA"/>
    <w:rsid w:val="000136E6"/>
    <w:rsid w:val="00013880"/>
    <w:rsid w:val="00013A0B"/>
    <w:rsid w:val="00014345"/>
    <w:rsid w:val="00014352"/>
    <w:rsid w:val="0001793C"/>
    <w:rsid w:val="00025063"/>
    <w:rsid w:val="0003005D"/>
    <w:rsid w:val="00032851"/>
    <w:rsid w:val="00032C74"/>
    <w:rsid w:val="00032E6C"/>
    <w:rsid w:val="0003781A"/>
    <w:rsid w:val="00041164"/>
    <w:rsid w:val="00041AAB"/>
    <w:rsid w:val="0004314D"/>
    <w:rsid w:val="0004665E"/>
    <w:rsid w:val="00046860"/>
    <w:rsid w:val="00046C94"/>
    <w:rsid w:val="00047717"/>
    <w:rsid w:val="00050369"/>
    <w:rsid w:val="00050DD7"/>
    <w:rsid w:val="0005229E"/>
    <w:rsid w:val="0005449A"/>
    <w:rsid w:val="00056CCF"/>
    <w:rsid w:val="00057D34"/>
    <w:rsid w:val="000600B9"/>
    <w:rsid w:val="00060A50"/>
    <w:rsid w:val="0006166E"/>
    <w:rsid w:val="0006253B"/>
    <w:rsid w:val="00065F07"/>
    <w:rsid w:val="000663A3"/>
    <w:rsid w:val="0006657C"/>
    <w:rsid w:val="00066F55"/>
    <w:rsid w:val="000671D1"/>
    <w:rsid w:val="00067C98"/>
    <w:rsid w:val="000704EF"/>
    <w:rsid w:val="00071D63"/>
    <w:rsid w:val="000810AE"/>
    <w:rsid w:val="00082D55"/>
    <w:rsid w:val="00083781"/>
    <w:rsid w:val="00084463"/>
    <w:rsid w:val="00085F44"/>
    <w:rsid w:val="00086191"/>
    <w:rsid w:val="00086338"/>
    <w:rsid w:val="0009073E"/>
    <w:rsid w:val="00091637"/>
    <w:rsid w:val="00092949"/>
    <w:rsid w:val="00095743"/>
    <w:rsid w:val="000959DA"/>
    <w:rsid w:val="00096B6E"/>
    <w:rsid w:val="000A053C"/>
    <w:rsid w:val="000A5184"/>
    <w:rsid w:val="000A6FD9"/>
    <w:rsid w:val="000B0DC6"/>
    <w:rsid w:val="000B1A5A"/>
    <w:rsid w:val="000B27FF"/>
    <w:rsid w:val="000B4021"/>
    <w:rsid w:val="000B48B0"/>
    <w:rsid w:val="000B7CD9"/>
    <w:rsid w:val="000C0018"/>
    <w:rsid w:val="000C088F"/>
    <w:rsid w:val="000C120E"/>
    <w:rsid w:val="000C14A3"/>
    <w:rsid w:val="000C1DC0"/>
    <w:rsid w:val="000C2FD1"/>
    <w:rsid w:val="000C3580"/>
    <w:rsid w:val="000C438B"/>
    <w:rsid w:val="000D232E"/>
    <w:rsid w:val="000D341F"/>
    <w:rsid w:val="000D5438"/>
    <w:rsid w:val="000D595A"/>
    <w:rsid w:val="000D7DD7"/>
    <w:rsid w:val="000E2656"/>
    <w:rsid w:val="000E2C6D"/>
    <w:rsid w:val="000E384B"/>
    <w:rsid w:val="000E3A94"/>
    <w:rsid w:val="000E3F2A"/>
    <w:rsid w:val="000E4066"/>
    <w:rsid w:val="000E4420"/>
    <w:rsid w:val="000E482F"/>
    <w:rsid w:val="000F00B7"/>
    <w:rsid w:val="000F0A9B"/>
    <w:rsid w:val="000F0DAC"/>
    <w:rsid w:val="000F2BFC"/>
    <w:rsid w:val="000F6858"/>
    <w:rsid w:val="000F6923"/>
    <w:rsid w:val="00101CAB"/>
    <w:rsid w:val="00101D00"/>
    <w:rsid w:val="001075E3"/>
    <w:rsid w:val="00107937"/>
    <w:rsid w:val="0011203F"/>
    <w:rsid w:val="00112C1E"/>
    <w:rsid w:val="00113629"/>
    <w:rsid w:val="001144DC"/>
    <w:rsid w:val="00115204"/>
    <w:rsid w:val="001216FF"/>
    <w:rsid w:val="00123876"/>
    <w:rsid w:val="001251E6"/>
    <w:rsid w:val="00125D84"/>
    <w:rsid w:val="001272A8"/>
    <w:rsid w:val="00130FAA"/>
    <w:rsid w:val="0013315E"/>
    <w:rsid w:val="0013336F"/>
    <w:rsid w:val="001357CD"/>
    <w:rsid w:val="001379E5"/>
    <w:rsid w:val="0014048D"/>
    <w:rsid w:val="00140549"/>
    <w:rsid w:val="00142A17"/>
    <w:rsid w:val="001447B3"/>
    <w:rsid w:val="00144E17"/>
    <w:rsid w:val="0014593D"/>
    <w:rsid w:val="001469E6"/>
    <w:rsid w:val="00146DF1"/>
    <w:rsid w:val="00147236"/>
    <w:rsid w:val="001479BE"/>
    <w:rsid w:val="00150F15"/>
    <w:rsid w:val="001517A1"/>
    <w:rsid w:val="0015338D"/>
    <w:rsid w:val="00155690"/>
    <w:rsid w:val="00155A8C"/>
    <w:rsid w:val="00155B05"/>
    <w:rsid w:val="00155DA1"/>
    <w:rsid w:val="001577E7"/>
    <w:rsid w:val="00160085"/>
    <w:rsid w:val="0016211E"/>
    <w:rsid w:val="00162331"/>
    <w:rsid w:val="00163011"/>
    <w:rsid w:val="0016457F"/>
    <w:rsid w:val="00166051"/>
    <w:rsid w:val="00166D90"/>
    <w:rsid w:val="00167AD1"/>
    <w:rsid w:val="001703FD"/>
    <w:rsid w:val="00170571"/>
    <w:rsid w:val="00170658"/>
    <w:rsid w:val="001709A6"/>
    <w:rsid w:val="00171601"/>
    <w:rsid w:val="00173112"/>
    <w:rsid w:val="001734F9"/>
    <w:rsid w:val="00175ABC"/>
    <w:rsid w:val="001765F1"/>
    <w:rsid w:val="001778E4"/>
    <w:rsid w:val="00180E14"/>
    <w:rsid w:val="00180FA5"/>
    <w:rsid w:val="00181B42"/>
    <w:rsid w:val="001826A7"/>
    <w:rsid w:val="00184818"/>
    <w:rsid w:val="00185962"/>
    <w:rsid w:val="00190375"/>
    <w:rsid w:val="00191EC1"/>
    <w:rsid w:val="00191FE1"/>
    <w:rsid w:val="00194D96"/>
    <w:rsid w:val="001950A3"/>
    <w:rsid w:val="001950A5"/>
    <w:rsid w:val="0019516E"/>
    <w:rsid w:val="00197106"/>
    <w:rsid w:val="001A290D"/>
    <w:rsid w:val="001A378E"/>
    <w:rsid w:val="001A3B36"/>
    <w:rsid w:val="001A5232"/>
    <w:rsid w:val="001A534D"/>
    <w:rsid w:val="001A5434"/>
    <w:rsid w:val="001A5CDB"/>
    <w:rsid w:val="001A5D65"/>
    <w:rsid w:val="001B1301"/>
    <w:rsid w:val="001B1C03"/>
    <w:rsid w:val="001B291E"/>
    <w:rsid w:val="001B36FD"/>
    <w:rsid w:val="001B418C"/>
    <w:rsid w:val="001B4AE4"/>
    <w:rsid w:val="001C1CBA"/>
    <w:rsid w:val="001C22FA"/>
    <w:rsid w:val="001C378A"/>
    <w:rsid w:val="001C4192"/>
    <w:rsid w:val="001C506E"/>
    <w:rsid w:val="001C7763"/>
    <w:rsid w:val="001D1B67"/>
    <w:rsid w:val="001D1F60"/>
    <w:rsid w:val="001D37A9"/>
    <w:rsid w:val="001D768F"/>
    <w:rsid w:val="001E0EBF"/>
    <w:rsid w:val="001E116F"/>
    <w:rsid w:val="001E22E1"/>
    <w:rsid w:val="001E3269"/>
    <w:rsid w:val="001E78CD"/>
    <w:rsid w:val="001F0900"/>
    <w:rsid w:val="001F1EB7"/>
    <w:rsid w:val="001F2929"/>
    <w:rsid w:val="001F39A8"/>
    <w:rsid w:val="001F610F"/>
    <w:rsid w:val="001F61D6"/>
    <w:rsid w:val="002001CD"/>
    <w:rsid w:val="00202785"/>
    <w:rsid w:val="00202ADA"/>
    <w:rsid w:val="00202D87"/>
    <w:rsid w:val="0020376F"/>
    <w:rsid w:val="00204937"/>
    <w:rsid w:val="00205EB3"/>
    <w:rsid w:val="00206838"/>
    <w:rsid w:val="0021078F"/>
    <w:rsid w:val="00210E56"/>
    <w:rsid w:val="0021169C"/>
    <w:rsid w:val="0021406C"/>
    <w:rsid w:val="002147E0"/>
    <w:rsid w:val="00215FC7"/>
    <w:rsid w:val="0021775B"/>
    <w:rsid w:val="002209AE"/>
    <w:rsid w:val="00221148"/>
    <w:rsid w:val="002219B9"/>
    <w:rsid w:val="00221DA2"/>
    <w:rsid w:val="00225351"/>
    <w:rsid w:val="00231DBF"/>
    <w:rsid w:val="002323D5"/>
    <w:rsid w:val="002323DB"/>
    <w:rsid w:val="002344D6"/>
    <w:rsid w:val="002367C0"/>
    <w:rsid w:val="002407BA"/>
    <w:rsid w:val="00241B92"/>
    <w:rsid w:val="002423C9"/>
    <w:rsid w:val="00242844"/>
    <w:rsid w:val="00242901"/>
    <w:rsid w:val="0024309D"/>
    <w:rsid w:val="00243BDF"/>
    <w:rsid w:val="00244011"/>
    <w:rsid w:val="002460B7"/>
    <w:rsid w:val="00247644"/>
    <w:rsid w:val="00247C67"/>
    <w:rsid w:val="0025041F"/>
    <w:rsid w:val="0025247C"/>
    <w:rsid w:val="0025256C"/>
    <w:rsid w:val="00253AC6"/>
    <w:rsid w:val="00254F35"/>
    <w:rsid w:val="0025680F"/>
    <w:rsid w:val="00256CF8"/>
    <w:rsid w:val="00257B70"/>
    <w:rsid w:val="002606F6"/>
    <w:rsid w:val="00260EAF"/>
    <w:rsid w:val="00262E24"/>
    <w:rsid w:val="002634D4"/>
    <w:rsid w:val="00264A7E"/>
    <w:rsid w:val="00265312"/>
    <w:rsid w:val="00270BA2"/>
    <w:rsid w:val="00271BBF"/>
    <w:rsid w:val="00272E0C"/>
    <w:rsid w:val="00274199"/>
    <w:rsid w:val="00274A76"/>
    <w:rsid w:val="00276AFC"/>
    <w:rsid w:val="00276BC1"/>
    <w:rsid w:val="00277128"/>
    <w:rsid w:val="00280322"/>
    <w:rsid w:val="002828E9"/>
    <w:rsid w:val="002863A0"/>
    <w:rsid w:val="00290AA5"/>
    <w:rsid w:val="00292757"/>
    <w:rsid w:val="00293226"/>
    <w:rsid w:val="00293343"/>
    <w:rsid w:val="002954FE"/>
    <w:rsid w:val="00296318"/>
    <w:rsid w:val="00296443"/>
    <w:rsid w:val="00296EF3"/>
    <w:rsid w:val="00297590"/>
    <w:rsid w:val="002A03A4"/>
    <w:rsid w:val="002A16F8"/>
    <w:rsid w:val="002A220D"/>
    <w:rsid w:val="002A2545"/>
    <w:rsid w:val="002A3D07"/>
    <w:rsid w:val="002A4E89"/>
    <w:rsid w:val="002A505C"/>
    <w:rsid w:val="002A65D1"/>
    <w:rsid w:val="002B0915"/>
    <w:rsid w:val="002B0AA2"/>
    <w:rsid w:val="002B37A1"/>
    <w:rsid w:val="002B4873"/>
    <w:rsid w:val="002B57D5"/>
    <w:rsid w:val="002B59BC"/>
    <w:rsid w:val="002B59FC"/>
    <w:rsid w:val="002B662D"/>
    <w:rsid w:val="002C018B"/>
    <w:rsid w:val="002C0258"/>
    <w:rsid w:val="002C0713"/>
    <w:rsid w:val="002C095F"/>
    <w:rsid w:val="002C145B"/>
    <w:rsid w:val="002C1933"/>
    <w:rsid w:val="002C1DA4"/>
    <w:rsid w:val="002C1DEE"/>
    <w:rsid w:val="002C3335"/>
    <w:rsid w:val="002C3A4E"/>
    <w:rsid w:val="002C58B8"/>
    <w:rsid w:val="002C669A"/>
    <w:rsid w:val="002C67D9"/>
    <w:rsid w:val="002C702A"/>
    <w:rsid w:val="002D1DD8"/>
    <w:rsid w:val="002D2740"/>
    <w:rsid w:val="002D31D8"/>
    <w:rsid w:val="002D3844"/>
    <w:rsid w:val="002D38C2"/>
    <w:rsid w:val="002D41C5"/>
    <w:rsid w:val="002D68C4"/>
    <w:rsid w:val="002D68D1"/>
    <w:rsid w:val="002D69C2"/>
    <w:rsid w:val="002E0026"/>
    <w:rsid w:val="002E19BA"/>
    <w:rsid w:val="002E2C93"/>
    <w:rsid w:val="002F06B0"/>
    <w:rsid w:val="002F0932"/>
    <w:rsid w:val="002F1679"/>
    <w:rsid w:val="002F1C15"/>
    <w:rsid w:val="002F4060"/>
    <w:rsid w:val="003022B4"/>
    <w:rsid w:val="0030285D"/>
    <w:rsid w:val="00302AE4"/>
    <w:rsid w:val="00303D18"/>
    <w:rsid w:val="00304E6F"/>
    <w:rsid w:val="003051F0"/>
    <w:rsid w:val="003132CA"/>
    <w:rsid w:val="003144EF"/>
    <w:rsid w:val="003170E4"/>
    <w:rsid w:val="00322B0D"/>
    <w:rsid w:val="00322BA9"/>
    <w:rsid w:val="00323B3F"/>
    <w:rsid w:val="0032478F"/>
    <w:rsid w:val="00324858"/>
    <w:rsid w:val="00330CB0"/>
    <w:rsid w:val="0033162D"/>
    <w:rsid w:val="0033179D"/>
    <w:rsid w:val="00331CAC"/>
    <w:rsid w:val="00335D63"/>
    <w:rsid w:val="003362B3"/>
    <w:rsid w:val="00344FF7"/>
    <w:rsid w:val="0034542A"/>
    <w:rsid w:val="00350561"/>
    <w:rsid w:val="003537DD"/>
    <w:rsid w:val="00354186"/>
    <w:rsid w:val="003549FE"/>
    <w:rsid w:val="00355904"/>
    <w:rsid w:val="00356365"/>
    <w:rsid w:val="0036000E"/>
    <w:rsid w:val="003607BE"/>
    <w:rsid w:val="00361448"/>
    <w:rsid w:val="00364571"/>
    <w:rsid w:val="003662F2"/>
    <w:rsid w:val="0036669C"/>
    <w:rsid w:val="003668CF"/>
    <w:rsid w:val="00370FED"/>
    <w:rsid w:val="00371313"/>
    <w:rsid w:val="00371B2F"/>
    <w:rsid w:val="00374146"/>
    <w:rsid w:val="003757EE"/>
    <w:rsid w:val="003759CD"/>
    <w:rsid w:val="003769C0"/>
    <w:rsid w:val="003771C9"/>
    <w:rsid w:val="00377E66"/>
    <w:rsid w:val="00381BC7"/>
    <w:rsid w:val="003851C2"/>
    <w:rsid w:val="003913DA"/>
    <w:rsid w:val="003923A3"/>
    <w:rsid w:val="003947F7"/>
    <w:rsid w:val="003958B6"/>
    <w:rsid w:val="00395D85"/>
    <w:rsid w:val="003963F6"/>
    <w:rsid w:val="003966E1"/>
    <w:rsid w:val="00396D06"/>
    <w:rsid w:val="003972F0"/>
    <w:rsid w:val="003979CA"/>
    <w:rsid w:val="003A0BC9"/>
    <w:rsid w:val="003A0DC5"/>
    <w:rsid w:val="003A2555"/>
    <w:rsid w:val="003A47EE"/>
    <w:rsid w:val="003A4FDF"/>
    <w:rsid w:val="003A63FC"/>
    <w:rsid w:val="003A6D66"/>
    <w:rsid w:val="003A7188"/>
    <w:rsid w:val="003A7AA1"/>
    <w:rsid w:val="003B0499"/>
    <w:rsid w:val="003B0643"/>
    <w:rsid w:val="003B30EB"/>
    <w:rsid w:val="003B6DB5"/>
    <w:rsid w:val="003B7FDC"/>
    <w:rsid w:val="003C43E3"/>
    <w:rsid w:val="003C44A0"/>
    <w:rsid w:val="003C496A"/>
    <w:rsid w:val="003C6851"/>
    <w:rsid w:val="003C68D1"/>
    <w:rsid w:val="003C6B6F"/>
    <w:rsid w:val="003C74C8"/>
    <w:rsid w:val="003D29C0"/>
    <w:rsid w:val="003D6133"/>
    <w:rsid w:val="003D65D2"/>
    <w:rsid w:val="003E10E6"/>
    <w:rsid w:val="003E26A0"/>
    <w:rsid w:val="003E2F73"/>
    <w:rsid w:val="003E3B14"/>
    <w:rsid w:val="003E5EA2"/>
    <w:rsid w:val="003E5F7E"/>
    <w:rsid w:val="003E708B"/>
    <w:rsid w:val="003F0935"/>
    <w:rsid w:val="003F0CB6"/>
    <w:rsid w:val="003F363B"/>
    <w:rsid w:val="003F3E38"/>
    <w:rsid w:val="003F5288"/>
    <w:rsid w:val="003F53C8"/>
    <w:rsid w:val="003F62D7"/>
    <w:rsid w:val="003F6B15"/>
    <w:rsid w:val="003F7152"/>
    <w:rsid w:val="00400913"/>
    <w:rsid w:val="00401011"/>
    <w:rsid w:val="00402671"/>
    <w:rsid w:val="0040461E"/>
    <w:rsid w:val="0040477C"/>
    <w:rsid w:val="004050F1"/>
    <w:rsid w:val="00407692"/>
    <w:rsid w:val="00407742"/>
    <w:rsid w:val="004134CE"/>
    <w:rsid w:val="004145FD"/>
    <w:rsid w:val="004147D1"/>
    <w:rsid w:val="00415203"/>
    <w:rsid w:val="004154DE"/>
    <w:rsid w:val="00415D25"/>
    <w:rsid w:val="00417018"/>
    <w:rsid w:val="004172A9"/>
    <w:rsid w:val="0041797C"/>
    <w:rsid w:val="00417BD1"/>
    <w:rsid w:val="004200B5"/>
    <w:rsid w:val="00420A76"/>
    <w:rsid w:val="00421153"/>
    <w:rsid w:val="004228C2"/>
    <w:rsid w:val="00423EFA"/>
    <w:rsid w:val="004240AD"/>
    <w:rsid w:val="004251CE"/>
    <w:rsid w:val="004252E7"/>
    <w:rsid w:val="00425367"/>
    <w:rsid w:val="00425BC4"/>
    <w:rsid w:val="00426279"/>
    <w:rsid w:val="004303D5"/>
    <w:rsid w:val="00430D84"/>
    <w:rsid w:val="00432B97"/>
    <w:rsid w:val="004344D2"/>
    <w:rsid w:val="004355DF"/>
    <w:rsid w:val="00435D8D"/>
    <w:rsid w:val="004401BB"/>
    <w:rsid w:val="00441BCE"/>
    <w:rsid w:val="004437F8"/>
    <w:rsid w:val="0044381A"/>
    <w:rsid w:val="004441C9"/>
    <w:rsid w:val="00444888"/>
    <w:rsid w:val="00444DCE"/>
    <w:rsid w:val="0044539D"/>
    <w:rsid w:val="004453F5"/>
    <w:rsid w:val="00445478"/>
    <w:rsid w:val="00452A15"/>
    <w:rsid w:val="004534A0"/>
    <w:rsid w:val="0045538B"/>
    <w:rsid w:val="00455ECE"/>
    <w:rsid w:val="00456579"/>
    <w:rsid w:val="00456944"/>
    <w:rsid w:val="00457202"/>
    <w:rsid w:val="00457DF5"/>
    <w:rsid w:val="00461054"/>
    <w:rsid w:val="00466A76"/>
    <w:rsid w:val="00466BE4"/>
    <w:rsid w:val="004678D4"/>
    <w:rsid w:val="004704A9"/>
    <w:rsid w:val="00472203"/>
    <w:rsid w:val="00472455"/>
    <w:rsid w:val="004765D2"/>
    <w:rsid w:val="00477F7F"/>
    <w:rsid w:val="0048341D"/>
    <w:rsid w:val="00483893"/>
    <w:rsid w:val="00484B81"/>
    <w:rsid w:val="00484C9C"/>
    <w:rsid w:val="004851C3"/>
    <w:rsid w:val="00492476"/>
    <w:rsid w:val="00492A46"/>
    <w:rsid w:val="004942D2"/>
    <w:rsid w:val="00494558"/>
    <w:rsid w:val="00494B32"/>
    <w:rsid w:val="00494CC9"/>
    <w:rsid w:val="004963FA"/>
    <w:rsid w:val="004A0BE4"/>
    <w:rsid w:val="004A0F7E"/>
    <w:rsid w:val="004A33E1"/>
    <w:rsid w:val="004A64DE"/>
    <w:rsid w:val="004A6D15"/>
    <w:rsid w:val="004A7DED"/>
    <w:rsid w:val="004B0943"/>
    <w:rsid w:val="004B2433"/>
    <w:rsid w:val="004B2F89"/>
    <w:rsid w:val="004B6621"/>
    <w:rsid w:val="004B6BE7"/>
    <w:rsid w:val="004B7D34"/>
    <w:rsid w:val="004C0B8C"/>
    <w:rsid w:val="004C23F8"/>
    <w:rsid w:val="004C272D"/>
    <w:rsid w:val="004C3682"/>
    <w:rsid w:val="004C3EBB"/>
    <w:rsid w:val="004C456A"/>
    <w:rsid w:val="004C4B34"/>
    <w:rsid w:val="004C4CF1"/>
    <w:rsid w:val="004C6A12"/>
    <w:rsid w:val="004C7291"/>
    <w:rsid w:val="004C7AC3"/>
    <w:rsid w:val="004D001D"/>
    <w:rsid w:val="004D073E"/>
    <w:rsid w:val="004D0F79"/>
    <w:rsid w:val="004D0FD0"/>
    <w:rsid w:val="004D4C7B"/>
    <w:rsid w:val="004D54D7"/>
    <w:rsid w:val="004D664E"/>
    <w:rsid w:val="004D6EE1"/>
    <w:rsid w:val="004D7DBF"/>
    <w:rsid w:val="004E146F"/>
    <w:rsid w:val="004E36B4"/>
    <w:rsid w:val="004E43BF"/>
    <w:rsid w:val="004E4779"/>
    <w:rsid w:val="004E78F6"/>
    <w:rsid w:val="004E7B1D"/>
    <w:rsid w:val="004E7D3D"/>
    <w:rsid w:val="004F1492"/>
    <w:rsid w:val="004F15E0"/>
    <w:rsid w:val="004F1DE4"/>
    <w:rsid w:val="004F20D1"/>
    <w:rsid w:val="004F21F0"/>
    <w:rsid w:val="004F23A7"/>
    <w:rsid w:val="004F7272"/>
    <w:rsid w:val="004F7BFB"/>
    <w:rsid w:val="005003FC"/>
    <w:rsid w:val="00500EBC"/>
    <w:rsid w:val="0050485E"/>
    <w:rsid w:val="005079B3"/>
    <w:rsid w:val="00507DF2"/>
    <w:rsid w:val="0051096C"/>
    <w:rsid w:val="005110C2"/>
    <w:rsid w:val="00511E96"/>
    <w:rsid w:val="00513B54"/>
    <w:rsid w:val="00520425"/>
    <w:rsid w:val="00520DEC"/>
    <w:rsid w:val="0052227B"/>
    <w:rsid w:val="00527802"/>
    <w:rsid w:val="00527DA0"/>
    <w:rsid w:val="005326F8"/>
    <w:rsid w:val="00535DE3"/>
    <w:rsid w:val="00537A6A"/>
    <w:rsid w:val="005409B2"/>
    <w:rsid w:val="00540CED"/>
    <w:rsid w:val="005419B9"/>
    <w:rsid w:val="00541EE8"/>
    <w:rsid w:val="00542675"/>
    <w:rsid w:val="00543D7F"/>
    <w:rsid w:val="005441A6"/>
    <w:rsid w:val="00550780"/>
    <w:rsid w:val="00551EF1"/>
    <w:rsid w:val="0055285D"/>
    <w:rsid w:val="00553600"/>
    <w:rsid w:val="00553DAA"/>
    <w:rsid w:val="00554B68"/>
    <w:rsid w:val="00555FC9"/>
    <w:rsid w:val="00556A7D"/>
    <w:rsid w:val="005572A9"/>
    <w:rsid w:val="00560F93"/>
    <w:rsid w:val="00562DC9"/>
    <w:rsid w:val="00565145"/>
    <w:rsid w:val="005656CE"/>
    <w:rsid w:val="00566854"/>
    <w:rsid w:val="0056744F"/>
    <w:rsid w:val="00570DBB"/>
    <w:rsid w:val="0057394E"/>
    <w:rsid w:val="0057444B"/>
    <w:rsid w:val="00574B7E"/>
    <w:rsid w:val="0057514B"/>
    <w:rsid w:val="00575586"/>
    <w:rsid w:val="005809D0"/>
    <w:rsid w:val="0058260E"/>
    <w:rsid w:val="00583012"/>
    <w:rsid w:val="00583016"/>
    <w:rsid w:val="00583F88"/>
    <w:rsid w:val="00583FDD"/>
    <w:rsid w:val="00585DC4"/>
    <w:rsid w:val="00587AF7"/>
    <w:rsid w:val="005902F1"/>
    <w:rsid w:val="00590361"/>
    <w:rsid w:val="00593477"/>
    <w:rsid w:val="0059390A"/>
    <w:rsid w:val="005949FA"/>
    <w:rsid w:val="00594EF4"/>
    <w:rsid w:val="0059556C"/>
    <w:rsid w:val="00596327"/>
    <w:rsid w:val="00597F29"/>
    <w:rsid w:val="005A06A4"/>
    <w:rsid w:val="005A0722"/>
    <w:rsid w:val="005A23F0"/>
    <w:rsid w:val="005A5825"/>
    <w:rsid w:val="005A5DAA"/>
    <w:rsid w:val="005B018B"/>
    <w:rsid w:val="005B1421"/>
    <w:rsid w:val="005B1612"/>
    <w:rsid w:val="005B1DE8"/>
    <w:rsid w:val="005B2F4A"/>
    <w:rsid w:val="005B4D2C"/>
    <w:rsid w:val="005B7A8A"/>
    <w:rsid w:val="005C1C2E"/>
    <w:rsid w:val="005C2A4C"/>
    <w:rsid w:val="005C2F3F"/>
    <w:rsid w:val="005C3158"/>
    <w:rsid w:val="005C36BE"/>
    <w:rsid w:val="005C36FB"/>
    <w:rsid w:val="005C384B"/>
    <w:rsid w:val="005C3F67"/>
    <w:rsid w:val="005C595C"/>
    <w:rsid w:val="005C755F"/>
    <w:rsid w:val="005D15AA"/>
    <w:rsid w:val="005D44BA"/>
    <w:rsid w:val="005D4CCA"/>
    <w:rsid w:val="005D79BF"/>
    <w:rsid w:val="005D7DA7"/>
    <w:rsid w:val="005E0118"/>
    <w:rsid w:val="005E01AB"/>
    <w:rsid w:val="005E04C3"/>
    <w:rsid w:val="005E10C7"/>
    <w:rsid w:val="005E1678"/>
    <w:rsid w:val="005E2412"/>
    <w:rsid w:val="005E24DD"/>
    <w:rsid w:val="005E2B97"/>
    <w:rsid w:val="005E422C"/>
    <w:rsid w:val="005E5C26"/>
    <w:rsid w:val="005E7E8A"/>
    <w:rsid w:val="005F2949"/>
    <w:rsid w:val="005F2B06"/>
    <w:rsid w:val="005F2C6F"/>
    <w:rsid w:val="005F2EFE"/>
    <w:rsid w:val="005F383F"/>
    <w:rsid w:val="005F471D"/>
    <w:rsid w:val="005F4B98"/>
    <w:rsid w:val="005F57C7"/>
    <w:rsid w:val="005F5E85"/>
    <w:rsid w:val="005F7830"/>
    <w:rsid w:val="005F7E28"/>
    <w:rsid w:val="006004BF"/>
    <w:rsid w:val="00602C3D"/>
    <w:rsid w:val="0060514A"/>
    <w:rsid w:val="0060782B"/>
    <w:rsid w:val="00610C6D"/>
    <w:rsid w:val="00610E74"/>
    <w:rsid w:val="00611803"/>
    <w:rsid w:val="006127AB"/>
    <w:rsid w:val="00613D3C"/>
    <w:rsid w:val="00614D60"/>
    <w:rsid w:val="00615F87"/>
    <w:rsid w:val="006216E6"/>
    <w:rsid w:val="00621CC6"/>
    <w:rsid w:val="00625C61"/>
    <w:rsid w:val="00627421"/>
    <w:rsid w:val="00631C7C"/>
    <w:rsid w:val="00633B09"/>
    <w:rsid w:val="00633EC3"/>
    <w:rsid w:val="0063516A"/>
    <w:rsid w:val="00635A48"/>
    <w:rsid w:val="006365CE"/>
    <w:rsid w:val="00636A2D"/>
    <w:rsid w:val="00636C72"/>
    <w:rsid w:val="0063706F"/>
    <w:rsid w:val="00637C0F"/>
    <w:rsid w:val="0064292D"/>
    <w:rsid w:val="00642A53"/>
    <w:rsid w:val="00643AA9"/>
    <w:rsid w:val="00644CE6"/>
    <w:rsid w:val="00652B63"/>
    <w:rsid w:val="00653EF4"/>
    <w:rsid w:val="00653F7A"/>
    <w:rsid w:val="0066103D"/>
    <w:rsid w:val="0066210B"/>
    <w:rsid w:val="006626F0"/>
    <w:rsid w:val="00662BAF"/>
    <w:rsid w:val="00662C9B"/>
    <w:rsid w:val="00663036"/>
    <w:rsid w:val="00664D5F"/>
    <w:rsid w:val="0066618B"/>
    <w:rsid w:val="0066678F"/>
    <w:rsid w:val="006676D9"/>
    <w:rsid w:val="0067199A"/>
    <w:rsid w:val="0067446B"/>
    <w:rsid w:val="006754C2"/>
    <w:rsid w:val="00680D12"/>
    <w:rsid w:val="006815D4"/>
    <w:rsid w:val="006846E5"/>
    <w:rsid w:val="00684722"/>
    <w:rsid w:val="00687088"/>
    <w:rsid w:val="00687BA2"/>
    <w:rsid w:val="00687D8F"/>
    <w:rsid w:val="006905C1"/>
    <w:rsid w:val="0069221D"/>
    <w:rsid w:val="00693E1E"/>
    <w:rsid w:val="00695B6B"/>
    <w:rsid w:val="00695CF9"/>
    <w:rsid w:val="00696CBD"/>
    <w:rsid w:val="006A1DE9"/>
    <w:rsid w:val="006A3D8F"/>
    <w:rsid w:val="006A4EE4"/>
    <w:rsid w:val="006A6301"/>
    <w:rsid w:val="006A79D3"/>
    <w:rsid w:val="006B04E1"/>
    <w:rsid w:val="006B09E1"/>
    <w:rsid w:val="006B1EF4"/>
    <w:rsid w:val="006B26F8"/>
    <w:rsid w:val="006B2AB7"/>
    <w:rsid w:val="006B3045"/>
    <w:rsid w:val="006B3CA6"/>
    <w:rsid w:val="006B4FC2"/>
    <w:rsid w:val="006B67AF"/>
    <w:rsid w:val="006B6B0D"/>
    <w:rsid w:val="006B7140"/>
    <w:rsid w:val="006B7919"/>
    <w:rsid w:val="006C009F"/>
    <w:rsid w:val="006C023B"/>
    <w:rsid w:val="006C18B6"/>
    <w:rsid w:val="006C3040"/>
    <w:rsid w:val="006C5104"/>
    <w:rsid w:val="006C5B36"/>
    <w:rsid w:val="006C6A54"/>
    <w:rsid w:val="006C7A5B"/>
    <w:rsid w:val="006D08B1"/>
    <w:rsid w:val="006D21AB"/>
    <w:rsid w:val="006D320B"/>
    <w:rsid w:val="006D3D5A"/>
    <w:rsid w:val="006D542C"/>
    <w:rsid w:val="006D5D59"/>
    <w:rsid w:val="006D6122"/>
    <w:rsid w:val="006D6551"/>
    <w:rsid w:val="006E3791"/>
    <w:rsid w:val="006E396E"/>
    <w:rsid w:val="006E558B"/>
    <w:rsid w:val="006F1931"/>
    <w:rsid w:val="006F2734"/>
    <w:rsid w:val="006F6E21"/>
    <w:rsid w:val="006F7C1C"/>
    <w:rsid w:val="00700AF2"/>
    <w:rsid w:val="00700E23"/>
    <w:rsid w:val="007012AE"/>
    <w:rsid w:val="00701502"/>
    <w:rsid w:val="00704D2B"/>
    <w:rsid w:val="0070560F"/>
    <w:rsid w:val="007075D5"/>
    <w:rsid w:val="00711AA0"/>
    <w:rsid w:val="00713B65"/>
    <w:rsid w:val="0071755A"/>
    <w:rsid w:val="00717941"/>
    <w:rsid w:val="00717C75"/>
    <w:rsid w:val="00720364"/>
    <w:rsid w:val="007209BB"/>
    <w:rsid w:val="00722CC0"/>
    <w:rsid w:val="00724933"/>
    <w:rsid w:val="00724D7B"/>
    <w:rsid w:val="007263F9"/>
    <w:rsid w:val="00726905"/>
    <w:rsid w:val="00727FE8"/>
    <w:rsid w:val="0073205C"/>
    <w:rsid w:val="00733DAE"/>
    <w:rsid w:val="007348A9"/>
    <w:rsid w:val="00734A6C"/>
    <w:rsid w:val="00737F67"/>
    <w:rsid w:val="00737FBE"/>
    <w:rsid w:val="007420A9"/>
    <w:rsid w:val="00742650"/>
    <w:rsid w:val="0074475C"/>
    <w:rsid w:val="00745983"/>
    <w:rsid w:val="007507F7"/>
    <w:rsid w:val="00750EEE"/>
    <w:rsid w:val="0075342B"/>
    <w:rsid w:val="00754CF8"/>
    <w:rsid w:val="00756AD2"/>
    <w:rsid w:val="00756DFE"/>
    <w:rsid w:val="007572BA"/>
    <w:rsid w:val="00757705"/>
    <w:rsid w:val="00757DDC"/>
    <w:rsid w:val="00762081"/>
    <w:rsid w:val="007628AE"/>
    <w:rsid w:val="00763904"/>
    <w:rsid w:val="00764BD5"/>
    <w:rsid w:val="00764D49"/>
    <w:rsid w:val="007672EE"/>
    <w:rsid w:val="00771068"/>
    <w:rsid w:val="00771C45"/>
    <w:rsid w:val="00772173"/>
    <w:rsid w:val="00773A8E"/>
    <w:rsid w:val="00775246"/>
    <w:rsid w:val="00777884"/>
    <w:rsid w:val="0078011A"/>
    <w:rsid w:val="00781B0A"/>
    <w:rsid w:val="007823E7"/>
    <w:rsid w:val="007861ED"/>
    <w:rsid w:val="0079143A"/>
    <w:rsid w:val="00791AAD"/>
    <w:rsid w:val="007A00A6"/>
    <w:rsid w:val="007A02FC"/>
    <w:rsid w:val="007A126B"/>
    <w:rsid w:val="007A2801"/>
    <w:rsid w:val="007A36BA"/>
    <w:rsid w:val="007A37E4"/>
    <w:rsid w:val="007A4FD6"/>
    <w:rsid w:val="007A55AA"/>
    <w:rsid w:val="007A60C2"/>
    <w:rsid w:val="007A6D51"/>
    <w:rsid w:val="007B0CBE"/>
    <w:rsid w:val="007B3A9D"/>
    <w:rsid w:val="007B41BE"/>
    <w:rsid w:val="007C16D6"/>
    <w:rsid w:val="007C2C9A"/>
    <w:rsid w:val="007C3256"/>
    <w:rsid w:val="007C50B1"/>
    <w:rsid w:val="007C53CA"/>
    <w:rsid w:val="007C78A4"/>
    <w:rsid w:val="007D0072"/>
    <w:rsid w:val="007D1B84"/>
    <w:rsid w:val="007D1E0F"/>
    <w:rsid w:val="007D3611"/>
    <w:rsid w:val="007D6787"/>
    <w:rsid w:val="007D6A86"/>
    <w:rsid w:val="007D7C50"/>
    <w:rsid w:val="007D7E0D"/>
    <w:rsid w:val="007E1974"/>
    <w:rsid w:val="007E469A"/>
    <w:rsid w:val="007E4A28"/>
    <w:rsid w:val="007E4C20"/>
    <w:rsid w:val="007E4DC6"/>
    <w:rsid w:val="007E591C"/>
    <w:rsid w:val="007E5CED"/>
    <w:rsid w:val="007E61D7"/>
    <w:rsid w:val="007E6B2C"/>
    <w:rsid w:val="007F0D03"/>
    <w:rsid w:val="007F0ECF"/>
    <w:rsid w:val="007F512F"/>
    <w:rsid w:val="007F5324"/>
    <w:rsid w:val="007F55A0"/>
    <w:rsid w:val="007F5ECC"/>
    <w:rsid w:val="007F60C2"/>
    <w:rsid w:val="007F70C3"/>
    <w:rsid w:val="00802B41"/>
    <w:rsid w:val="00805FC1"/>
    <w:rsid w:val="0080614D"/>
    <w:rsid w:val="00810CB6"/>
    <w:rsid w:val="00811D5C"/>
    <w:rsid w:val="00812C30"/>
    <w:rsid w:val="00815320"/>
    <w:rsid w:val="00816696"/>
    <w:rsid w:val="00816FDF"/>
    <w:rsid w:val="00817CAF"/>
    <w:rsid w:val="00820C5C"/>
    <w:rsid w:val="00823C65"/>
    <w:rsid w:val="00825D4A"/>
    <w:rsid w:val="00827008"/>
    <w:rsid w:val="0083177E"/>
    <w:rsid w:val="00831B4B"/>
    <w:rsid w:val="00832CFB"/>
    <w:rsid w:val="00833712"/>
    <w:rsid w:val="00833731"/>
    <w:rsid w:val="00833DD0"/>
    <w:rsid w:val="00834201"/>
    <w:rsid w:val="00834770"/>
    <w:rsid w:val="0083581C"/>
    <w:rsid w:val="00836170"/>
    <w:rsid w:val="00842574"/>
    <w:rsid w:val="00842E81"/>
    <w:rsid w:val="008534AA"/>
    <w:rsid w:val="0085387A"/>
    <w:rsid w:val="0085427D"/>
    <w:rsid w:val="00855A90"/>
    <w:rsid w:val="008605A1"/>
    <w:rsid w:val="00860AFE"/>
    <w:rsid w:val="008611D3"/>
    <w:rsid w:val="0086167B"/>
    <w:rsid w:val="00861D37"/>
    <w:rsid w:val="00861DE7"/>
    <w:rsid w:val="00863F33"/>
    <w:rsid w:val="0086414C"/>
    <w:rsid w:val="00864BC8"/>
    <w:rsid w:val="0086761D"/>
    <w:rsid w:val="00870F4F"/>
    <w:rsid w:val="0087239D"/>
    <w:rsid w:val="00874E48"/>
    <w:rsid w:val="00874EAA"/>
    <w:rsid w:val="008764AE"/>
    <w:rsid w:val="00881EDE"/>
    <w:rsid w:val="0088317A"/>
    <w:rsid w:val="00883AF1"/>
    <w:rsid w:val="00883E93"/>
    <w:rsid w:val="008879D5"/>
    <w:rsid w:val="00887A94"/>
    <w:rsid w:val="00887C7B"/>
    <w:rsid w:val="00892A74"/>
    <w:rsid w:val="00892A90"/>
    <w:rsid w:val="00892B62"/>
    <w:rsid w:val="00894B66"/>
    <w:rsid w:val="00894F6E"/>
    <w:rsid w:val="00896603"/>
    <w:rsid w:val="008968B8"/>
    <w:rsid w:val="008970CF"/>
    <w:rsid w:val="00897B12"/>
    <w:rsid w:val="008A0E09"/>
    <w:rsid w:val="008A247A"/>
    <w:rsid w:val="008A284F"/>
    <w:rsid w:val="008A3E0F"/>
    <w:rsid w:val="008A4388"/>
    <w:rsid w:val="008A4FA0"/>
    <w:rsid w:val="008A5C25"/>
    <w:rsid w:val="008A6D6E"/>
    <w:rsid w:val="008A735F"/>
    <w:rsid w:val="008B051C"/>
    <w:rsid w:val="008B1AD7"/>
    <w:rsid w:val="008B1E43"/>
    <w:rsid w:val="008B314E"/>
    <w:rsid w:val="008B3B51"/>
    <w:rsid w:val="008B50AD"/>
    <w:rsid w:val="008B71C7"/>
    <w:rsid w:val="008C0601"/>
    <w:rsid w:val="008C17A9"/>
    <w:rsid w:val="008C1FC3"/>
    <w:rsid w:val="008C23FB"/>
    <w:rsid w:val="008C2A94"/>
    <w:rsid w:val="008C5008"/>
    <w:rsid w:val="008C631C"/>
    <w:rsid w:val="008C709D"/>
    <w:rsid w:val="008C7839"/>
    <w:rsid w:val="008D1F22"/>
    <w:rsid w:val="008D296C"/>
    <w:rsid w:val="008D7727"/>
    <w:rsid w:val="008E18A6"/>
    <w:rsid w:val="008E3964"/>
    <w:rsid w:val="008E4590"/>
    <w:rsid w:val="008E4805"/>
    <w:rsid w:val="008E4B2D"/>
    <w:rsid w:val="008E7513"/>
    <w:rsid w:val="008E7FD1"/>
    <w:rsid w:val="008F099E"/>
    <w:rsid w:val="008F0F2B"/>
    <w:rsid w:val="008F293B"/>
    <w:rsid w:val="008F3011"/>
    <w:rsid w:val="008F3FC2"/>
    <w:rsid w:val="008F7AA9"/>
    <w:rsid w:val="009003A1"/>
    <w:rsid w:val="00901464"/>
    <w:rsid w:val="00901818"/>
    <w:rsid w:val="00902467"/>
    <w:rsid w:val="009037EA"/>
    <w:rsid w:val="00904AD4"/>
    <w:rsid w:val="009075E1"/>
    <w:rsid w:val="009079F9"/>
    <w:rsid w:val="00907B7B"/>
    <w:rsid w:val="00912B30"/>
    <w:rsid w:val="00914E44"/>
    <w:rsid w:val="00916E90"/>
    <w:rsid w:val="00916FB9"/>
    <w:rsid w:val="00917415"/>
    <w:rsid w:val="00917674"/>
    <w:rsid w:val="00917B97"/>
    <w:rsid w:val="0092024D"/>
    <w:rsid w:val="009205E4"/>
    <w:rsid w:val="00921FC7"/>
    <w:rsid w:val="009228A1"/>
    <w:rsid w:val="00922D6B"/>
    <w:rsid w:val="00923D0C"/>
    <w:rsid w:val="00924BCA"/>
    <w:rsid w:val="00925106"/>
    <w:rsid w:val="00925F49"/>
    <w:rsid w:val="00927446"/>
    <w:rsid w:val="009303DD"/>
    <w:rsid w:val="00930453"/>
    <w:rsid w:val="0093275A"/>
    <w:rsid w:val="00936763"/>
    <w:rsid w:val="0093702C"/>
    <w:rsid w:val="009406C8"/>
    <w:rsid w:val="00940834"/>
    <w:rsid w:val="009433B1"/>
    <w:rsid w:val="00944689"/>
    <w:rsid w:val="009473BD"/>
    <w:rsid w:val="009507A7"/>
    <w:rsid w:val="0095292E"/>
    <w:rsid w:val="009548A4"/>
    <w:rsid w:val="00954AF2"/>
    <w:rsid w:val="00955F59"/>
    <w:rsid w:val="00962AE8"/>
    <w:rsid w:val="009633C7"/>
    <w:rsid w:val="009635CD"/>
    <w:rsid w:val="009645F8"/>
    <w:rsid w:val="00964ED3"/>
    <w:rsid w:val="009665A2"/>
    <w:rsid w:val="00970261"/>
    <w:rsid w:val="009718EE"/>
    <w:rsid w:val="00973CE6"/>
    <w:rsid w:val="00973F12"/>
    <w:rsid w:val="009749C6"/>
    <w:rsid w:val="00975752"/>
    <w:rsid w:val="00976C74"/>
    <w:rsid w:val="009775DC"/>
    <w:rsid w:val="009776F2"/>
    <w:rsid w:val="00977EA3"/>
    <w:rsid w:val="009807C9"/>
    <w:rsid w:val="0098240E"/>
    <w:rsid w:val="009829C8"/>
    <w:rsid w:val="0098345F"/>
    <w:rsid w:val="00986B16"/>
    <w:rsid w:val="00986B21"/>
    <w:rsid w:val="009879D9"/>
    <w:rsid w:val="00987EC7"/>
    <w:rsid w:val="00990DD0"/>
    <w:rsid w:val="00991AC6"/>
    <w:rsid w:val="00992F6B"/>
    <w:rsid w:val="0099341B"/>
    <w:rsid w:val="00994377"/>
    <w:rsid w:val="00994CF0"/>
    <w:rsid w:val="00995ABF"/>
    <w:rsid w:val="00996D1E"/>
    <w:rsid w:val="009977F5"/>
    <w:rsid w:val="009A0646"/>
    <w:rsid w:val="009A263A"/>
    <w:rsid w:val="009A2EEC"/>
    <w:rsid w:val="009A39AC"/>
    <w:rsid w:val="009A3C6F"/>
    <w:rsid w:val="009A52C4"/>
    <w:rsid w:val="009A5E37"/>
    <w:rsid w:val="009A6A99"/>
    <w:rsid w:val="009A6C08"/>
    <w:rsid w:val="009A75FE"/>
    <w:rsid w:val="009A7B31"/>
    <w:rsid w:val="009B1152"/>
    <w:rsid w:val="009B1682"/>
    <w:rsid w:val="009B1A4F"/>
    <w:rsid w:val="009B3BF7"/>
    <w:rsid w:val="009B5945"/>
    <w:rsid w:val="009B5A40"/>
    <w:rsid w:val="009B632C"/>
    <w:rsid w:val="009C0636"/>
    <w:rsid w:val="009C101E"/>
    <w:rsid w:val="009C2248"/>
    <w:rsid w:val="009C2C1F"/>
    <w:rsid w:val="009C66B9"/>
    <w:rsid w:val="009C71BC"/>
    <w:rsid w:val="009C7445"/>
    <w:rsid w:val="009D0878"/>
    <w:rsid w:val="009D1E96"/>
    <w:rsid w:val="009D6EBF"/>
    <w:rsid w:val="009D7898"/>
    <w:rsid w:val="009E3467"/>
    <w:rsid w:val="009E3A44"/>
    <w:rsid w:val="009E41A5"/>
    <w:rsid w:val="009E427C"/>
    <w:rsid w:val="009E60F2"/>
    <w:rsid w:val="009F2004"/>
    <w:rsid w:val="009F4572"/>
    <w:rsid w:val="009F5226"/>
    <w:rsid w:val="009F5E50"/>
    <w:rsid w:val="009F72D3"/>
    <w:rsid w:val="00A0121F"/>
    <w:rsid w:val="00A01806"/>
    <w:rsid w:val="00A0188C"/>
    <w:rsid w:val="00A01E17"/>
    <w:rsid w:val="00A02A24"/>
    <w:rsid w:val="00A0311B"/>
    <w:rsid w:val="00A03250"/>
    <w:rsid w:val="00A03EEC"/>
    <w:rsid w:val="00A0466C"/>
    <w:rsid w:val="00A04F70"/>
    <w:rsid w:val="00A050EE"/>
    <w:rsid w:val="00A07786"/>
    <w:rsid w:val="00A07E6C"/>
    <w:rsid w:val="00A11CC3"/>
    <w:rsid w:val="00A129BC"/>
    <w:rsid w:val="00A13F00"/>
    <w:rsid w:val="00A154A0"/>
    <w:rsid w:val="00A16368"/>
    <w:rsid w:val="00A205A4"/>
    <w:rsid w:val="00A2073F"/>
    <w:rsid w:val="00A23D31"/>
    <w:rsid w:val="00A25A48"/>
    <w:rsid w:val="00A25D96"/>
    <w:rsid w:val="00A266B6"/>
    <w:rsid w:val="00A2704C"/>
    <w:rsid w:val="00A30E20"/>
    <w:rsid w:val="00A31127"/>
    <w:rsid w:val="00A31F74"/>
    <w:rsid w:val="00A32838"/>
    <w:rsid w:val="00A33C2D"/>
    <w:rsid w:val="00A3547E"/>
    <w:rsid w:val="00A41FBF"/>
    <w:rsid w:val="00A4379B"/>
    <w:rsid w:val="00A44148"/>
    <w:rsid w:val="00A4442F"/>
    <w:rsid w:val="00A45AB2"/>
    <w:rsid w:val="00A4619E"/>
    <w:rsid w:val="00A46C42"/>
    <w:rsid w:val="00A46D5D"/>
    <w:rsid w:val="00A50A5A"/>
    <w:rsid w:val="00A51EBC"/>
    <w:rsid w:val="00A53CB6"/>
    <w:rsid w:val="00A54A82"/>
    <w:rsid w:val="00A54FD6"/>
    <w:rsid w:val="00A55169"/>
    <w:rsid w:val="00A55B8D"/>
    <w:rsid w:val="00A56DBA"/>
    <w:rsid w:val="00A57E63"/>
    <w:rsid w:val="00A60CE4"/>
    <w:rsid w:val="00A61899"/>
    <w:rsid w:val="00A66167"/>
    <w:rsid w:val="00A6711A"/>
    <w:rsid w:val="00A67998"/>
    <w:rsid w:val="00A700E9"/>
    <w:rsid w:val="00A70732"/>
    <w:rsid w:val="00A718C3"/>
    <w:rsid w:val="00A7397B"/>
    <w:rsid w:val="00A7595E"/>
    <w:rsid w:val="00A75CAF"/>
    <w:rsid w:val="00A76074"/>
    <w:rsid w:val="00A76554"/>
    <w:rsid w:val="00A770C2"/>
    <w:rsid w:val="00A80291"/>
    <w:rsid w:val="00A819DB"/>
    <w:rsid w:val="00A83046"/>
    <w:rsid w:val="00A83AEC"/>
    <w:rsid w:val="00A84452"/>
    <w:rsid w:val="00A8597A"/>
    <w:rsid w:val="00A86320"/>
    <w:rsid w:val="00A866F3"/>
    <w:rsid w:val="00A8784E"/>
    <w:rsid w:val="00A926B6"/>
    <w:rsid w:val="00A93395"/>
    <w:rsid w:val="00A943DE"/>
    <w:rsid w:val="00A9469C"/>
    <w:rsid w:val="00A958FA"/>
    <w:rsid w:val="00A95DAC"/>
    <w:rsid w:val="00A96980"/>
    <w:rsid w:val="00A96F1F"/>
    <w:rsid w:val="00A97945"/>
    <w:rsid w:val="00AA3EB8"/>
    <w:rsid w:val="00AA459F"/>
    <w:rsid w:val="00AA5B8E"/>
    <w:rsid w:val="00AA6898"/>
    <w:rsid w:val="00AA7314"/>
    <w:rsid w:val="00AA7F04"/>
    <w:rsid w:val="00AB2450"/>
    <w:rsid w:val="00AB279C"/>
    <w:rsid w:val="00AB6C00"/>
    <w:rsid w:val="00AB7042"/>
    <w:rsid w:val="00AB7713"/>
    <w:rsid w:val="00AC00B9"/>
    <w:rsid w:val="00AC2DFC"/>
    <w:rsid w:val="00AC3E2C"/>
    <w:rsid w:val="00AC4BBB"/>
    <w:rsid w:val="00AC4C9E"/>
    <w:rsid w:val="00AC6774"/>
    <w:rsid w:val="00AD1389"/>
    <w:rsid w:val="00AD17AD"/>
    <w:rsid w:val="00AD203F"/>
    <w:rsid w:val="00AD2B08"/>
    <w:rsid w:val="00AD2B50"/>
    <w:rsid w:val="00AD2EE2"/>
    <w:rsid w:val="00AD46B7"/>
    <w:rsid w:val="00AD51CB"/>
    <w:rsid w:val="00AD53B0"/>
    <w:rsid w:val="00AD6E12"/>
    <w:rsid w:val="00AD756C"/>
    <w:rsid w:val="00AE162B"/>
    <w:rsid w:val="00AE5266"/>
    <w:rsid w:val="00AE691D"/>
    <w:rsid w:val="00AE6E5A"/>
    <w:rsid w:val="00AE6EFE"/>
    <w:rsid w:val="00AF26AD"/>
    <w:rsid w:val="00AF3364"/>
    <w:rsid w:val="00AF421E"/>
    <w:rsid w:val="00AF5E57"/>
    <w:rsid w:val="00AF6054"/>
    <w:rsid w:val="00AF6365"/>
    <w:rsid w:val="00AF65B0"/>
    <w:rsid w:val="00AF7014"/>
    <w:rsid w:val="00B03A2B"/>
    <w:rsid w:val="00B040D4"/>
    <w:rsid w:val="00B0590A"/>
    <w:rsid w:val="00B07C52"/>
    <w:rsid w:val="00B10314"/>
    <w:rsid w:val="00B1066A"/>
    <w:rsid w:val="00B111BD"/>
    <w:rsid w:val="00B11F2E"/>
    <w:rsid w:val="00B12173"/>
    <w:rsid w:val="00B12B65"/>
    <w:rsid w:val="00B16EBE"/>
    <w:rsid w:val="00B17C80"/>
    <w:rsid w:val="00B204C6"/>
    <w:rsid w:val="00B21948"/>
    <w:rsid w:val="00B21C9F"/>
    <w:rsid w:val="00B248CD"/>
    <w:rsid w:val="00B2553F"/>
    <w:rsid w:val="00B25D00"/>
    <w:rsid w:val="00B26D79"/>
    <w:rsid w:val="00B30359"/>
    <w:rsid w:val="00B329A7"/>
    <w:rsid w:val="00B42194"/>
    <w:rsid w:val="00B423A4"/>
    <w:rsid w:val="00B4375D"/>
    <w:rsid w:val="00B43B68"/>
    <w:rsid w:val="00B45F6B"/>
    <w:rsid w:val="00B50FEC"/>
    <w:rsid w:val="00B5102A"/>
    <w:rsid w:val="00B51125"/>
    <w:rsid w:val="00B52E4F"/>
    <w:rsid w:val="00B53B4F"/>
    <w:rsid w:val="00B5477E"/>
    <w:rsid w:val="00B56B83"/>
    <w:rsid w:val="00B57E27"/>
    <w:rsid w:val="00B60225"/>
    <w:rsid w:val="00B6080A"/>
    <w:rsid w:val="00B640C7"/>
    <w:rsid w:val="00B652EE"/>
    <w:rsid w:val="00B66249"/>
    <w:rsid w:val="00B6625A"/>
    <w:rsid w:val="00B671B2"/>
    <w:rsid w:val="00B72FD0"/>
    <w:rsid w:val="00B77C66"/>
    <w:rsid w:val="00B8008A"/>
    <w:rsid w:val="00B80A8C"/>
    <w:rsid w:val="00B82720"/>
    <w:rsid w:val="00B82A86"/>
    <w:rsid w:val="00B86A4D"/>
    <w:rsid w:val="00B87BE8"/>
    <w:rsid w:val="00B92854"/>
    <w:rsid w:val="00B9340C"/>
    <w:rsid w:val="00B937B3"/>
    <w:rsid w:val="00B93DCD"/>
    <w:rsid w:val="00B94204"/>
    <w:rsid w:val="00B942FC"/>
    <w:rsid w:val="00B95DC6"/>
    <w:rsid w:val="00B967EE"/>
    <w:rsid w:val="00B970A2"/>
    <w:rsid w:val="00B97D32"/>
    <w:rsid w:val="00BA046E"/>
    <w:rsid w:val="00BA43EC"/>
    <w:rsid w:val="00BA4C6F"/>
    <w:rsid w:val="00BA4E34"/>
    <w:rsid w:val="00BA7855"/>
    <w:rsid w:val="00BA78AA"/>
    <w:rsid w:val="00BB0679"/>
    <w:rsid w:val="00BB14C1"/>
    <w:rsid w:val="00BB2C07"/>
    <w:rsid w:val="00BB3816"/>
    <w:rsid w:val="00BB5EA4"/>
    <w:rsid w:val="00BB7D3C"/>
    <w:rsid w:val="00BB7E1B"/>
    <w:rsid w:val="00BC00AD"/>
    <w:rsid w:val="00BC06F4"/>
    <w:rsid w:val="00BC089A"/>
    <w:rsid w:val="00BC089E"/>
    <w:rsid w:val="00BC0AC8"/>
    <w:rsid w:val="00BC4551"/>
    <w:rsid w:val="00BC4B9E"/>
    <w:rsid w:val="00BC6E87"/>
    <w:rsid w:val="00BD128E"/>
    <w:rsid w:val="00BD1F95"/>
    <w:rsid w:val="00BD3129"/>
    <w:rsid w:val="00BD5B7E"/>
    <w:rsid w:val="00BD6D55"/>
    <w:rsid w:val="00BE05A7"/>
    <w:rsid w:val="00BE0D4E"/>
    <w:rsid w:val="00BE15F5"/>
    <w:rsid w:val="00BE30C1"/>
    <w:rsid w:val="00BE3626"/>
    <w:rsid w:val="00BE4589"/>
    <w:rsid w:val="00BF0858"/>
    <w:rsid w:val="00BF0CB2"/>
    <w:rsid w:val="00BF19F2"/>
    <w:rsid w:val="00BF3231"/>
    <w:rsid w:val="00BF621C"/>
    <w:rsid w:val="00BF6AB6"/>
    <w:rsid w:val="00C02B64"/>
    <w:rsid w:val="00C03D04"/>
    <w:rsid w:val="00C04DBC"/>
    <w:rsid w:val="00C07F52"/>
    <w:rsid w:val="00C10091"/>
    <w:rsid w:val="00C14447"/>
    <w:rsid w:val="00C14B59"/>
    <w:rsid w:val="00C15325"/>
    <w:rsid w:val="00C16F8B"/>
    <w:rsid w:val="00C1793E"/>
    <w:rsid w:val="00C20983"/>
    <w:rsid w:val="00C20ED1"/>
    <w:rsid w:val="00C20EE8"/>
    <w:rsid w:val="00C244FA"/>
    <w:rsid w:val="00C27D67"/>
    <w:rsid w:val="00C304DD"/>
    <w:rsid w:val="00C304EE"/>
    <w:rsid w:val="00C34A48"/>
    <w:rsid w:val="00C34A7A"/>
    <w:rsid w:val="00C34D54"/>
    <w:rsid w:val="00C350D7"/>
    <w:rsid w:val="00C3517D"/>
    <w:rsid w:val="00C378EC"/>
    <w:rsid w:val="00C37AB6"/>
    <w:rsid w:val="00C408D3"/>
    <w:rsid w:val="00C40B7A"/>
    <w:rsid w:val="00C41794"/>
    <w:rsid w:val="00C41D32"/>
    <w:rsid w:val="00C422EA"/>
    <w:rsid w:val="00C4674E"/>
    <w:rsid w:val="00C47B93"/>
    <w:rsid w:val="00C47DDF"/>
    <w:rsid w:val="00C50B18"/>
    <w:rsid w:val="00C51446"/>
    <w:rsid w:val="00C51DB3"/>
    <w:rsid w:val="00C5425D"/>
    <w:rsid w:val="00C55289"/>
    <w:rsid w:val="00C55B3D"/>
    <w:rsid w:val="00C56A62"/>
    <w:rsid w:val="00C61F56"/>
    <w:rsid w:val="00C6260E"/>
    <w:rsid w:val="00C63A6A"/>
    <w:rsid w:val="00C65ADC"/>
    <w:rsid w:val="00C671D8"/>
    <w:rsid w:val="00C67570"/>
    <w:rsid w:val="00C70017"/>
    <w:rsid w:val="00C70876"/>
    <w:rsid w:val="00C71570"/>
    <w:rsid w:val="00C71C13"/>
    <w:rsid w:val="00C71F69"/>
    <w:rsid w:val="00C72F06"/>
    <w:rsid w:val="00C73474"/>
    <w:rsid w:val="00C73CA6"/>
    <w:rsid w:val="00C745F2"/>
    <w:rsid w:val="00C76C65"/>
    <w:rsid w:val="00C775CE"/>
    <w:rsid w:val="00C80551"/>
    <w:rsid w:val="00C82838"/>
    <w:rsid w:val="00C855F9"/>
    <w:rsid w:val="00C869BD"/>
    <w:rsid w:val="00C86B9B"/>
    <w:rsid w:val="00C91EA3"/>
    <w:rsid w:val="00C93980"/>
    <w:rsid w:val="00C93FFB"/>
    <w:rsid w:val="00C94813"/>
    <w:rsid w:val="00C953F9"/>
    <w:rsid w:val="00C963A0"/>
    <w:rsid w:val="00CA1C5C"/>
    <w:rsid w:val="00CA2C02"/>
    <w:rsid w:val="00CA3376"/>
    <w:rsid w:val="00CA3611"/>
    <w:rsid w:val="00CA47F6"/>
    <w:rsid w:val="00CA6900"/>
    <w:rsid w:val="00CA6CB1"/>
    <w:rsid w:val="00CB0B72"/>
    <w:rsid w:val="00CB277E"/>
    <w:rsid w:val="00CB51EA"/>
    <w:rsid w:val="00CB5E03"/>
    <w:rsid w:val="00CB7E49"/>
    <w:rsid w:val="00CB7E60"/>
    <w:rsid w:val="00CC0B6C"/>
    <w:rsid w:val="00CC122A"/>
    <w:rsid w:val="00CC2529"/>
    <w:rsid w:val="00CC2687"/>
    <w:rsid w:val="00CC33CC"/>
    <w:rsid w:val="00CC6103"/>
    <w:rsid w:val="00CC715C"/>
    <w:rsid w:val="00CD257D"/>
    <w:rsid w:val="00CD298C"/>
    <w:rsid w:val="00CD2B08"/>
    <w:rsid w:val="00CD2F0A"/>
    <w:rsid w:val="00CD434C"/>
    <w:rsid w:val="00CD587C"/>
    <w:rsid w:val="00CD755D"/>
    <w:rsid w:val="00CE13EE"/>
    <w:rsid w:val="00CE1626"/>
    <w:rsid w:val="00CE1E04"/>
    <w:rsid w:val="00CE1E5A"/>
    <w:rsid w:val="00CE24B2"/>
    <w:rsid w:val="00CE3018"/>
    <w:rsid w:val="00CE4A8A"/>
    <w:rsid w:val="00CE7E70"/>
    <w:rsid w:val="00CF002E"/>
    <w:rsid w:val="00CF1C0E"/>
    <w:rsid w:val="00CF52EB"/>
    <w:rsid w:val="00CF72BB"/>
    <w:rsid w:val="00D004BE"/>
    <w:rsid w:val="00D0221F"/>
    <w:rsid w:val="00D03FCB"/>
    <w:rsid w:val="00D04D14"/>
    <w:rsid w:val="00D0701A"/>
    <w:rsid w:val="00D106DD"/>
    <w:rsid w:val="00D11660"/>
    <w:rsid w:val="00D13EB0"/>
    <w:rsid w:val="00D13F96"/>
    <w:rsid w:val="00D14444"/>
    <w:rsid w:val="00D1487E"/>
    <w:rsid w:val="00D14F23"/>
    <w:rsid w:val="00D16E1A"/>
    <w:rsid w:val="00D16F12"/>
    <w:rsid w:val="00D17587"/>
    <w:rsid w:val="00D213F7"/>
    <w:rsid w:val="00D24B0C"/>
    <w:rsid w:val="00D24C3C"/>
    <w:rsid w:val="00D2726C"/>
    <w:rsid w:val="00D27ED9"/>
    <w:rsid w:val="00D27F39"/>
    <w:rsid w:val="00D307EA"/>
    <w:rsid w:val="00D30BA5"/>
    <w:rsid w:val="00D339AF"/>
    <w:rsid w:val="00D33A1B"/>
    <w:rsid w:val="00D3496F"/>
    <w:rsid w:val="00D34CCB"/>
    <w:rsid w:val="00D34F78"/>
    <w:rsid w:val="00D351C3"/>
    <w:rsid w:val="00D35908"/>
    <w:rsid w:val="00D37117"/>
    <w:rsid w:val="00D377B9"/>
    <w:rsid w:val="00D429AA"/>
    <w:rsid w:val="00D42A53"/>
    <w:rsid w:val="00D448BC"/>
    <w:rsid w:val="00D44F76"/>
    <w:rsid w:val="00D45BAE"/>
    <w:rsid w:val="00D50EF6"/>
    <w:rsid w:val="00D55BDB"/>
    <w:rsid w:val="00D60058"/>
    <w:rsid w:val="00D6013B"/>
    <w:rsid w:val="00D62EE2"/>
    <w:rsid w:val="00D6606A"/>
    <w:rsid w:val="00D6654E"/>
    <w:rsid w:val="00D7122B"/>
    <w:rsid w:val="00D73232"/>
    <w:rsid w:val="00D74A58"/>
    <w:rsid w:val="00D75396"/>
    <w:rsid w:val="00D7651B"/>
    <w:rsid w:val="00D77CC4"/>
    <w:rsid w:val="00D82110"/>
    <w:rsid w:val="00D83A3B"/>
    <w:rsid w:val="00D913DF"/>
    <w:rsid w:val="00D91F24"/>
    <w:rsid w:val="00D92937"/>
    <w:rsid w:val="00D92CBD"/>
    <w:rsid w:val="00D93DCB"/>
    <w:rsid w:val="00D9417F"/>
    <w:rsid w:val="00D94A3B"/>
    <w:rsid w:val="00D94E7E"/>
    <w:rsid w:val="00D94F10"/>
    <w:rsid w:val="00D95EBA"/>
    <w:rsid w:val="00D95FB1"/>
    <w:rsid w:val="00D96199"/>
    <w:rsid w:val="00D96CC0"/>
    <w:rsid w:val="00D97BDD"/>
    <w:rsid w:val="00DA0373"/>
    <w:rsid w:val="00DA0C33"/>
    <w:rsid w:val="00DA1840"/>
    <w:rsid w:val="00DA325A"/>
    <w:rsid w:val="00DA4228"/>
    <w:rsid w:val="00DA4742"/>
    <w:rsid w:val="00DA6FAF"/>
    <w:rsid w:val="00DA708A"/>
    <w:rsid w:val="00DB0101"/>
    <w:rsid w:val="00DB08EE"/>
    <w:rsid w:val="00DB0A3F"/>
    <w:rsid w:val="00DB0C2D"/>
    <w:rsid w:val="00DB0D11"/>
    <w:rsid w:val="00DB1183"/>
    <w:rsid w:val="00DB2B48"/>
    <w:rsid w:val="00DB2C28"/>
    <w:rsid w:val="00DB2EAF"/>
    <w:rsid w:val="00DB3666"/>
    <w:rsid w:val="00DB373E"/>
    <w:rsid w:val="00DB3D73"/>
    <w:rsid w:val="00DB3DE5"/>
    <w:rsid w:val="00DB5F86"/>
    <w:rsid w:val="00DB7759"/>
    <w:rsid w:val="00DC1945"/>
    <w:rsid w:val="00DC1967"/>
    <w:rsid w:val="00DC219F"/>
    <w:rsid w:val="00DC2CC4"/>
    <w:rsid w:val="00DC3827"/>
    <w:rsid w:val="00DC5BF2"/>
    <w:rsid w:val="00DD1FD6"/>
    <w:rsid w:val="00DD216A"/>
    <w:rsid w:val="00DD3874"/>
    <w:rsid w:val="00DD4162"/>
    <w:rsid w:val="00DD6674"/>
    <w:rsid w:val="00DE00EC"/>
    <w:rsid w:val="00DE3D75"/>
    <w:rsid w:val="00DE5F3E"/>
    <w:rsid w:val="00DE72A8"/>
    <w:rsid w:val="00DE7CAF"/>
    <w:rsid w:val="00DF2D5C"/>
    <w:rsid w:val="00DF3586"/>
    <w:rsid w:val="00DF420D"/>
    <w:rsid w:val="00DF71AA"/>
    <w:rsid w:val="00E00D38"/>
    <w:rsid w:val="00E011D4"/>
    <w:rsid w:val="00E02863"/>
    <w:rsid w:val="00E02FBF"/>
    <w:rsid w:val="00E05512"/>
    <w:rsid w:val="00E056DA"/>
    <w:rsid w:val="00E05CD4"/>
    <w:rsid w:val="00E0707E"/>
    <w:rsid w:val="00E118FB"/>
    <w:rsid w:val="00E12FA8"/>
    <w:rsid w:val="00E12FFB"/>
    <w:rsid w:val="00E134B7"/>
    <w:rsid w:val="00E1491F"/>
    <w:rsid w:val="00E1577F"/>
    <w:rsid w:val="00E163F5"/>
    <w:rsid w:val="00E16B9C"/>
    <w:rsid w:val="00E225D2"/>
    <w:rsid w:val="00E261EF"/>
    <w:rsid w:val="00E27A6E"/>
    <w:rsid w:val="00E31C99"/>
    <w:rsid w:val="00E33709"/>
    <w:rsid w:val="00E35DAF"/>
    <w:rsid w:val="00E37ABD"/>
    <w:rsid w:val="00E41338"/>
    <w:rsid w:val="00E41500"/>
    <w:rsid w:val="00E417A8"/>
    <w:rsid w:val="00E4183C"/>
    <w:rsid w:val="00E41AC0"/>
    <w:rsid w:val="00E44498"/>
    <w:rsid w:val="00E448F1"/>
    <w:rsid w:val="00E46AA0"/>
    <w:rsid w:val="00E50700"/>
    <w:rsid w:val="00E52D86"/>
    <w:rsid w:val="00E547AF"/>
    <w:rsid w:val="00E55168"/>
    <w:rsid w:val="00E56B35"/>
    <w:rsid w:val="00E56B51"/>
    <w:rsid w:val="00E57503"/>
    <w:rsid w:val="00E5798B"/>
    <w:rsid w:val="00E60D18"/>
    <w:rsid w:val="00E60EC4"/>
    <w:rsid w:val="00E62A60"/>
    <w:rsid w:val="00E647D7"/>
    <w:rsid w:val="00E66275"/>
    <w:rsid w:val="00E70E70"/>
    <w:rsid w:val="00E71758"/>
    <w:rsid w:val="00E72439"/>
    <w:rsid w:val="00E73543"/>
    <w:rsid w:val="00E73827"/>
    <w:rsid w:val="00E762F4"/>
    <w:rsid w:val="00E8172D"/>
    <w:rsid w:val="00E8502C"/>
    <w:rsid w:val="00E85592"/>
    <w:rsid w:val="00E90FF2"/>
    <w:rsid w:val="00E9537B"/>
    <w:rsid w:val="00E953EB"/>
    <w:rsid w:val="00E95B02"/>
    <w:rsid w:val="00E96334"/>
    <w:rsid w:val="00E965E4"/>
    <w:rsid w:val="00E97847"/>
    <w:rsid w:val="00EA0489"/>
    <w:rsid w:val="00EA14A1"/>
    <w:rsid w:val="00EA1FCB"/>
    <w:rsid w:val="00EA2CD4"/>
    <w:rsid w:val="00EA39DE"/>
    <w:rsid w:val="00EA3C89"/>
    <w:rsid w:val="00EB04D2"/>
    <w:rsid w:val="00EB15F1"/>
    <w:rsid w:val="00EB1A13"/>
    <w:rsid w:val="00EB2489"/>
    <w:rsid w:val="00EB41AE"/>
    <w:rsid w:val="00EB44A9"/>
    <w:rsid w:val="00EB624C"/>
    <w:rsid w:val="00EC0DC4"/>
    <w:rsid w:val="00EC202C"/>
    <w:rsid w:val="00EC2EF1"/>
    <w:rsid w:val="00EC4D56"/>
    <w:rsid w:val="00EC5618"/>
    <w:rsid w:val="00EC65E4"/>
    <w:rsid w:val="00EC78C2"/>
    <w:rsid w:val="00ED09C6"/>
    <w:rsid w:val="00ED3F05"/>
    <w:rsid w:val="00ED47D2"/>
    <w:rsid w:val="00ED5B6C"/>
    <w:rsid w:val="00ED65FD"/>
    <w:rsid w:val="00EE0CD7"/>
    <w:rsid w:val="00EE2793"/>
    <w:rsid w:val="00EE3B01"/>
    <w:rsid w:val="00EE79F4"/>
    <w:rsid w:val="00EF14F0"/>
    <w:rsid w:val="00EF3331"/>
    <w:rsid w:val="00F00474"/>
    <w:rsid w:val="00F00B83"/>
    <w:rsid w:val="00F00CE8"/>
    <w:rsid w:val="00F012F6"/>
    <w:rsid w:val="00F02668"/>
    <w:rsid w:val="00F04E2E"/>
    <w:rsid w:val="00F05B8C"/>
    <w:rsid w:val="00F06952"/>
    <w:rsid w:val="00F07C7E"/>
    <w:rsid w:val="00F103EF"/>
    <w:rsid w:val="00F1138A"/>
    <w:rsid w:val="00F11B4E"/>
    <w:rsid w:val="00F133B7"/>
    <w:rsid w:val="00F14C4F"/>
    <w:rsid w:val="00F14D54"/>
    <w:rsid w:val="00F14E9A"/>
    <w:rsid w:val="00F16646"/>
    <w:rsid w:val="00F170BC"/>
    <w:rsid w:val="00F219E3"/>
    <w:rsid w:val="00F21FD5"/>
    <w:rsid w:val="00F220D0"/>
    <w:rsid w:val="00F22E0D"/>
    <w:rsid w:val="00F2460D"/>
    <w:rsid w:val="00F2461B"/>
    <w:rsid w:val="00F246D5"/>
    <w:rsid w:val="00F3213E"/>
    <w:rsid w:val="00F33C5E"/>
    <w:rsid w:val="00F35398"/>
    <w:rsid w:val="00F357F9"/>
    <w:rsid w:val="00F40547"/>
    <w:rsid w:val="00F410A2"/>
    <w:rsid w:val="00F4210D"/>
    <w:rsid w:val="00F43A03"/>
    <w:rsid w:val="00F47423"/>
    <w:rsid w:val="00F47E14"/>
    <w:rsid w:val="00F47EF3"/>
    <w:rsid w:val="00F50229"/>
    <w:rsid w:val="00F50D3C"/>
    <w:rsid w:val="00F50E4E"/>
    <w:rsid w:val="00F524B2"/>
    <w:rsid w:val="00F52ACA"/>
    <w:rsid w:val="00F61DD8"/>
    <w:rsid w:val="00F62030"/>
    <w:rsid w:val="00F62474"/>
    <w:rsid w:val="00F625DD"/>
    <w:rsid w:val="00F640E2"/>
    <w:rsid w:val="00F648AC"/>
    <w:rsid w:val="00F663E4"/>
    <w:rsid w:val="00F66413"/>
    <w:rsid w:val="00F665A7"/>
    <w:rsid w:val="00F66685"/>
    <w:rsid w:val="00F71561"/>
    <w:rsid w:val="00F72639"/>
    <w:rsid w:val="00F728A2"/>
    <w:rsid w:val="00F7478B"/>
    <w:rsid w:val="00F74945"/>
    <w:rsid w:val="00F75202"/>
    <w:rsid w:val="00F75310"/>
    <w:rsid w:val="00F758C9"/>
    <w:rsid w:val="00F76097"/>
    <w:rsid w:val="00F76FAF"/>
    <w:rsid w:val="00F77302"/>
    <w:rsid w:val="00F77CC7"/>
    <w:rsid w:val="00F803FA"/>
    <w:rsid w:val="00F81395"/>
    <w:rsid w:val="00F84A30"/>
    <w:rsid w:val="00F85ED8"/>
    <w:rsid w:val="00F87B57"/>
    <w:rsid w:val="00F90CF6"/>
    <w:rsid w:val="00F91497"/>
    <w:rsid w:val="00F91A8D"/>
    <w:rsid w:val="00F92A0D"/>
    <w:rsid w:val="00F92C37"/>
    <w:rsid w:val="00F94C0C"/>
    <w:rsid w:val="00F94DDB"/>
    <w:rsid w:val="00F9572F"/>
    <w:rsid w:val="00F95E47"/>
    <w:rsid w:val="00FA1D47"/>
    <w:rsid w:val="00FA3352"/>
    <w:rsid w:val="00FA3773"/>
    <w:rsid w:val="00FA37B2"/>
    <w:rsid w:val="00FA5414"/>
    <w:rsid w:val="00FA5793"/>
    <w:rsid w:val="00FA5D86"/>
    <w:rsid w:val="00FA61F2"/>
    <w:rsid w:val="00FA6EAB"/>
    <w:rsid w:val="00FA73E7"/>
    <w:rsid w:val="00FB03EA"/>
    <w:rsid w:val="00FB0AC7"/>
    <w:rsid w:val="00FB2B8E"/>
    <w:rsid w:val="00FB4CCF"/>
    <w:rsid w:val="00FB4F71"/>
    <w:rsid w:val="00FC077C"/>
    <w:rsid w:val="00FC1962"/>
    <w:rsid w:val="00FC36F4"/>
    <w:rsid w:val="00FC3702"/>
    <w:rsid w:val="00FC379B"/>
    <w:rsid w:val="00FC450F"/>
    <w:rsid w:val="00FC63BD"/>
    <w:rsid w:val="00FC7098"/>
    <w:rsid w:val="00FD0F26"/>
    <w:rsid w:val="00FD1C7A"/>
    <w:rsid w:val="00FD4522"/>
    <w:rsid w:val="00FD6DD6"/>
    <w:rsid w:val="00FD7876"/>
    <w:rsid w:val="00FD79B8"/>
    <w:rsid w:val="00FD7E08"/>
    <w:rsid w:val="00FE16C6"/>
    <w:rsid w:val="00FE23FD"/>
    <w:rsid w:val="00FE4B46"/>
    <w:rsid w:val="00FE5316"/>
    <w:rsid w:val="00FE5918"/>
    <w:rsid w:val="00FE59A6"/>
    <w:rsid w:val="00FE61C4"/>
    <w:rsid w:val="00FE6EB5"/>
    <w:rsid w:val="00FF27B6"/>
    <w:rsid w:val="00FF3715"/>
    <w:rsid w:val="00FF384D"/>
    <w:rsid w:val="00FF4AFE"/>
    <w:rsid w:val="00FF4BAB"/>
    <w:rsid w:val="00FF55C7"/>
    <w:rsid w:val="00FF5EFF"/>
    <w:rsid w:val="01F83BBB"/>
    <w:rsid w:val="02AC7AEF"/>
    <w:rsid w:val="03215447"/>
    <w:rsid w:val="05952406"/>
    <w:rsid w:val="06AB5EAD"/>
    <w:rsid w:val="084E061A"/>
    <w:rsid w:val="0AB03CBA"/>
    <w:rsid w:val="0AF51E19"/>
    <w:rsid w:val="0B1D3BA8"/>
    <w:rsid w:val="0BF23810"/>
    <w:rsid w:val="0DFF18E1"/>
    <w:rsid w:val="0F0026CA"/>
    <w:rsid w:val="124603B7"/>
    <w:rsid w:val="12BA7F9D"/>
    <w:rsid w:val="12D14720"/>
    <w:rsid w:val="13CE3728"/>
    <w:rsid w:val="14B633A8"/>
    <w:rsid w:val="16DE7E16"/>
    <w:rsid w:val="17833735"/>
    <w:rsid w:val="196D7203"/>
    <w:rsid w:val="19B40D93"/>
    <w:rsid w:val="19FE1BD0"/>
    <w:rsid w:val="1CDB0ACD"/>
    <w:rsid w:val="1D3C0ACA"/>
    <w:rsid w:val="1EBD1F11"/>
    <w:rsid w:val="20175D8A"/>
    <w:rsid w:val="246B68D8"/>
    <w:rsid w:val="26114F50"/>
    <w:rsid w:val="294727D4"/>
    <w:rsid w:val="2B230462"/>
    <w:rsid w:val="2D285818"/>
    <w:rsid w:val="2E3B21C8"/>
    <w:rsid w:val="2EE00C84"/>
    <w:rsid w:val="30363BB6"/>
    <w:rsid w:val="31AE7611"/>
    <w:rsid w:val="346F27C6"/>
    <w:rsid w:val="350E412B"/>
    <w:rsid w:val="35CF49F8"/>
    <w:rsid w:val="36326156"/>
    <w:rsid w:val="392C00B0"/>
    <w:rsid w:val="39CA7178"/>
    <w:rsid w:val="3B446D77"/>
    <w:rsid w:val="3C64500B"/>
    <w:rsid w:val="3FC8308B"/>
    <w:rsid w:val="3FF93E5E"/>
    <w:rsid w:val="40AE5970"/>
    <w:rsid w:val="42062387"/>
    <w:rsid w:val="42E84284"/>
    <w:rsid w:val="465410B6"/>
    <w:rsid w:val="47536FE5"/>
    <w:rsid w:val="485F5ECD"/>
    <w:rsid w:val="49857D42"/>
    <w:rsid w:val="49977B5E"/>
    <w:rsid w:val="49D537CC"/>
    <w:rsid w:val="4A2A774A"/>
    <w:rsid w:val="4A3A0708"/>
    <w:rsid w:val="4C57708C"/>
    <w:rsid w:val="4CE77637"/>
    <w:rsid w:val="4FC6782D"/>
    <w:rsid w:val="4FF46A79"/>
    <w:rsid w:val="51130CB8"/>
    <w:rsid w:val="517639FB"/>
    <w:rsid w:val="531817D2"/>
    <w:rsid w:val="53476CEA"/>
    <w:rsid w:val="55AB3381"/>
    <w:rsid w:val="56580DE3"/>
    <w:rsid w:val="56C5201F"/>
    <w:rsid w:val="577A1D81"/>
    <w:rsid w:val="58120AFA"/>
    <w:rsid w:val="590134CE"/>
    <w:rsid w:val="59421CE7"/>
    <w:rsid w:val="5EDC4A5C"/>
    <w:rsid w:val="5F0D56AC"/>
    <w:rsid w:val="60335C70"/>
    <w:rsid w:val="60A0339A"/>
    <w:rsid w:val="60A97414"/>
    <w:rsid w:val="61E41B2B"/>
    <w:rsid w:val="62A60202"/>
    <w:rsid w:val="633A728B"/>
    <w:rsid w:val="63733714"/>
    <w:rsid w:val="66083685"/>
    <w:rsid w:val="69C93E88"/>
    <w:rsid w:val="6A4122F7"/>
    <w:rsid w:val="6EF26498"/>
    <w:rsid w:val="71D87CEE"/>
    <w:rsid w:val="72BF417B"/>
    <w:rsid w:val="72D532A7"/>
    <w:rsid w:val="74466D8C"/>
    <w:rsid w:val="74E911D9"/>
    <w:rsid w:val="75952D02"/>
    <w:rsid w:val="77C55BCE"/>
    <w:rsid w:val="77EF053E"/>
    <w:rsid w:val="7862510D"/>
    <w:rsid w:val="78FA4541"/>
    <w:rsid w:val="7B712812"/>
    <w:rsid w:val="7C0059BC"/>
    <w:rsid w:val="7E8FE5BB"/>
    <w:rsid w:val="7FDE542C"/>
    <w:rsid w:val="DEF7C8E2"/>
    <w:rsid w:val="FF7486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58"/>
    <w:qFormat/>
    <w:uiPriority w:val="0"/>
    <w:pPr>
      <w:keepNext/>
      <w:keepLines/>
      <w:spacing w:after="120" w:line="360" w:lineRule="auto"/>
      <w:outlineLvl w:val="0"/>
    </w:pPr>
    <w:rPr>
      <w:kern w:val="44"/>
      <w:sz w:val="28"/>
      <w:szCs w:val="28"/>
    </w:rPr>
  </w:style>
  <w:style w:type="paragraph" w:styleId="7">
    <w:name w:val="heading 2"/>
    <w:basedOn w:val="1"/>
    <w:next w:val="8"/>
    <w:link w:val="62"/>
    <w:qFormat/>
    <w:uiPriority w:val="0"/>
    <w:pPr>
      <w:keepNext/>
      <w:keepLines/>
      <w:spacing w:before="120" w:after="120" w:line="415" w:lineRule="auto"/>
      <w:jc w:val="center"/>
      <w:outlineLvl w:val="1"/>
    </w:pPr>
    <w:rPr>
      <w:rFonts w:ascii="Arial" w:hAnsi="Arial"/>
      <w:b/>
      <w:color w:val="000000"/>
      <w:kern w:val="0"/>
      <w:sz w:val="24"/>
      <w:szCs w:val="24"/>
    </w:rPr>
  </w:style>
  <w:style w:type="paragraph" w:styleId="9">
    <w:name w:val="heading 3"/>
    <w:basedOn w:val="1"/>
    <w:next w:val="1"/>
    <w:link w:val="94"/>
    <w:qFormat/>
    <w:uiPriority w:val="0"/>
    <w:pPr>
      <w:widowControl/>
      <w:spacing w:before="100" w:beforeAutospacing="1" w:after="100" w:afterAutospacing="1"/>
      <w:jc w:val="left"/>
      <w:outlineLvl w:val="2"/>
    </w:pPr>
    <w:rPr>
      <w:rFonts w:ascii="宋体" w:hAnsi="宋体"/>
      <w:kern w:val="0"/>
      <w:sz w:val="27"/>
      <w:szCs w:val="27"/>
    </w:rPr>
  </w:style>
  <w:style w:type="paragraph" w:styleId="10">
    <w:name w:val="heading 4"/>
    <w:basedOn w:val="9"/>
    <w:next w:val="8"/>
    <w:link w:val="93"/>
    <w:qFormat/>
    <w:uiPriority w:val="0"/>
    <w:pPr>
      <w:keepNext/>
      <w:keepLines/>
      <w:widowControl w:val="0"/>
      <w:spacing w:beforeLines="50" w:beforeAutospacing="0" w:afterLines="50" w:afterAutospacing="0" w:line="360" w:lineRule="auto"/>
      <w:ind w:left="284" w:hanging="284"/>
      <w:outlineLvl w:val="3"/>
    </w:pPr>
    <w:rPr>
      <w:rFonts w:ascii="Arial" w:hAnsi="Arial"/>
      <w:color w:val="000000"/>
      <w:sz w:val="20"/>
      <w:szCs w:val="21"/>
    </w:rPr>
  </w:style>
  <w:style w:type="paragraph" w:styleId="11">
    <w:name w:val="heading 5"/>
    <w:basedOn w:val="10"/>
    <w:next w:val="8"/>
    <w:link w:val="49"/>
    <w:qFormat/>
    <w:uiPriority w:val="0"/>
    <w:pPr>
      <w:spacing w:line="240" w:lineRule="exact"/>
      <w:outlineLvl w:val="4"/>
    </w:pPr>
  </w:style>
  <w:style w:type="paragraph" w:styleId="12">
    <w:name w:val="heading 6"/>
    <w:basedOn w:val="1"/>
    <w:next w:val="1"/>
    <w:link w:val="63"/>
    <w:qFormat/>
    <w:uiPriority w:val="0"/>
    <w:pPr>
      <w:keepNext/>
      <w:keepLines/>
      <w:spacing w:before="240" w:after="64" w:line="320" w:lineRule="auto"/>
      <w:outlineLvl w:val="5"/>
    </w:pPr>
    <w:rPr>
      <w:rFonts w:ascii="Arial" w:hAnsi="Arial" w:eastAsia="黑体"/>
      <w:b/>
      <w:bCs/>
      <w:kern w:val="0"/>
      <w:sz w:val="24"/>
      <w:szCs w:val="24"/>
    </w:rPr>
  </w:style>
  <w:style w:type="paragraph" w:styleId="13">
    <w:name w:val="heading 7"/>
    <w:basedOn w:val="1"/>
    <w:next w:val="8"/>
    <w:link w:val="75"/>
    <w:qFormat/>
    <w:uiPriority w:val="0"/>
    <w:pPr>
      <w:keepNext/>
      <w:keepLines/>
      <w:spacing w:before="240" w:after="64" w:line="320" w:lineRule="auto"/>
      <w:outlineLvl w:val="6"/>
    </w:pPr>
    <w:rPr>
      <w:rFonts w:ascii="Times New Roman" w:hAnsi="Times New Roman"/>
      <w:b/>
      <w:kern w:val="0"/>
      <w:sz w:val="24"/>
      <w:szCs w:val="20"/>
    </w:rPr>
  </w:style>
  <w:style w:type="paragraph" w:styleId="14">
    <w:name w:val="heading 8"/>
    <w:basedOn w:val="1"/>
    <w:next w:val="8"/>
    <w:link w:val="97"/>
    <w:qFormat/>
    <w:uiPriority w:val="0"/>
    <w:pPr>
      <w:keepNext/>
      <w:keepLines/>
      <w:spacing w:before="240" w:after="64" w:line="320" w:lineRule="auto"/>
      <w:outlineLvl w:val="7"/>
    </w:pPr>
    <w:rPr>
      <w:rFonts w:ascii="Arial" w:hAnsi="Arial" w:eastAsia="黑体"/>
      <w:kern w:val="0"/>
      <w:sz w:val="24"/>
      <w:szCs w:val="20"/>
    </w:rPr>
  </w:style>
  <w:style w:type="paragraph" w:styleId="15">
    <w:name w:val="heading 9"/>
    <w:basedOn w:val="1"/>
    <w:next w:val="8"/>
    <w:link w:val="90"/>
    <w:qFormat/>
    <w:uiPriority w:val="0"/>
    <w:pPr>
      <w:keepNext/>
      <w:keepLines/>
      <w:spacing w:before="240" w:after="64" w:line="320" w:lineRule="auto"/>
      <w:outlineLvl w:val="8"/>
    </w:pPr>
    <w:rPr>
      <w:rFonts w:ascii="Arial" w:hAnsi="Arial" w:eastAsia="黑体"/>
      <w:kern w:val="0"/>
      <w:sz w:val="20"/>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1"/>
    <w:qFormat/>
    <w:uiPriority w:val="0"/>
    <w:rPr>
      <w:rFonts w:ascii="宋体" w:hAnsi="Courier New"/>
      <w:kern w:val="0"/>
      <w:sz w:val="20"/>
      <w:szCs w:val="20"/>
    </w:rPr>
  </w:style>
  <w:style w:type="paragraph" w:styleId="4">
    <w:name w:val="Title"/>
    <w:basedOn w:val="1"/>
    <w:link w:val="65"/>
    <w:qFormat/>
    <w:uiPriority w:val="0"/>
    <w:pPr>
      <w:spacing w:before="120" w:after="60"/>
      <w:jc w:val="center"/>
    </w:pPr>
    <w:rPr>
      <w:rFonts w:ascii="Arial" w:hAnsi="Arial"/>
      <w:b/>
      <w:kern w:val="0"/>
      <w:sz w:val="44"/>
      <w:szCs w:val="20"/>
    </w:rPr>
  </w:style>
  <w:style w:type="paragraph" w:styleId="5">
    <w:name w:val="Body Text First Indent"/>
    <w:basedOn w:val="6"/>
    <w:link w:val="55"/>
    <w:qFormat/>
    <w:uiPriority w:val="0"/>
    <w:pPr>
      <w:ind w:firstLine="420"/>
    </w:pPr>
  </w:style>
  <w:style w:type="paragraph" w:styleId="6">
    <w:name w:val="Body Text"/>
    <w:basedOn w:val="1"/>
    <w:link w:val="74"/>
    <w:qFormat/>
    <w:uiPriority w:val="0"/>
    <w:pPr>
      <w:spacing w:after="120"/>
    </w:pPr>
    <w:rPr>
      <w:rFonts w:ascii="Times New Roman" w:hAnsi="Times New Roman"/>
      <w:kern w:val="0"/>
      <w:sz w:val="20"/>
      <w:szCs w:val="20"/>
    </w:rPr>
  </w:style>
  <w:style w:type="paragraph" w:styleId="8">
    <w:name w:val="Normal Indent"/>
    <w:basedOn w:val="1"/>
    <w:next w:val="1"/>
    <w:qFormat/>
    <w:uiPriority w:val="0"/>
    <w:pPr>
      <w:ind w:firstLine="420"/>
    </w:pPr>
    <w:rPr>
      <w:rFonts w:ascii="Times New Roman" w:hAnsi="Times New Roman"/>
      <w:szCs w:val="20"/>
    </w:rPr>
  </w:style>
  <w:style w:type="paragraph" w:styleId="16">
    <w:name w:val="toc 7"/>
    <w:basedOn w:val="1"/>
    <w:next w:val="1"/>
    <w:unhideWhenUsed/>
    <w:qFormat/>
    <w:uiPriority w:val="39"/>
    <w:pPr>
      <w:ind w:left="1260"/>
      <w:jc w:val="left"/>
    </w:pPr>
    <w:rPr>
      <w:rFonts w:cs="Calibri"/>
      <w:sz w:val="18"/>
      <w:szCs w:val="18"/>
    </w:rPr>
  </w:style>
  <w:style w:type="paragraph" w:styleId="17">
    <w:name w:val="Document Map"/>
    <w:basedOn w:val="1"/>
    <w:link w:val="67"/>
    <w:qFormat/>
    <w:uiPriority w:val="0"/>
    <w:pPr>
      <w:shd w:val="clear" w:color="auto" w:fill="000080"/>
    </w:pPr>
    <w:rPr>
      <w:rFonts w:ascii="Times New Roman" w:hAnsi="Times New Roman"/>
      <w:kern w:val="0"/>
      <w:sz w:val="20"/>
      <w:szCs w:val="20"/>
    </w:rPr>
  </w:style>
  <w:style w:type="paragraph" w:styleId="18">
    <w:name w:val="annotation text"/>
    <w:basedOn w:val="1"/>
    <w:link w:val="105"/>
    <w:qFormat/>
    <w:uiPriority w:val="99"/>
    <w:pPr>
      <w:spacing w:line="360" w:lineRule="auto"/>
      <w:ind w:firstLine="523" w:firstLineChars="218"/>
      <w:jc w:val="left"/>
    </w:pPr>
    <w:rPr>
      <w:rFonts w:ascii="宋体" w:hAnsi="宋体"/>
      <w:kern w:val="0"/>
      <w:sz w:val="24"/>
      <w:szCs w:val="24"/>
    </w:rPr>
  </w:style>
  <w:style w:type="paragraph" w:styleId="19">
    <w:name w:val="Body Text 3"/>
    <w:basedOn w:val="1"/>
    <w:link w:val="68"/>
    <w:unhideWhenUsed/>
    <w:qFormat/>
    <w:uiPriority w:val="99"/>
    <w:pPr>
      <w:spacing w:after="120"/>
    </w:pPr>
    <w:rPr>
      <w:sz w:val="16"/>
      <w:szCs w:val="16"/>
    </w:rPr>
  </w:style>
  <w:style w:type="paragraph" w:styleId="20">
    <w:name w:val="Body Text Indent"/>
    <w:basedOn w:val="1"/>
    <w:link w:val="57"/>
    <w:qFormat/>
    <w:uiPriority w:val="0"/>
    <w:pPr>
      <w:ind w:firstLine="570"/>
    </w:pPr>
    <w:rPr>
      <w:rFonts w:ascii="Times New Roman" w:hAnsi="Times New Roman"/>
      <w:kern w:val="0"/>
      <w:sz w:val="28"/>
      <w:szCs w:val="20"/>
    </w:rPr>
  </w:style>
  <w:style w:type="paragraph" w:styleId="21">
    <w:name w:val="toc 5"/>
    <w:basedOn w:val="1"/>
    <w:next w:val="1"/>
    <w:unhideWhenUsed/>
    <w:qFormat/>
    <w:uiPriority w:val="39"/>
    <w:pPr>
      <w:ind w:left="840"/>
      <w:jc w:val="left"/>
    </w:pPr>
    <w:rPr>
      <w:rFonts w:cs="Calibri"/>
      <w:sz w:val="18"/>
      <w:szCs w:val="18"/>
    </w:rPr>
  </w:style>
  <w:style w:type="paragraph" w:styleId="22">
    <w:name w:val="toc 3"/>
    <w:basedOn w:val="1"/>
    <w:next w:val="1"/>
    <w:qFormat/>
    <w:uiPriority w:val="39"/>
    <w:pPr>
      <w:ind w:left="420"/>
      <w:jc w:val="left"/>
    </w:pPr>
    <w:rPr>
      <w:rFonts w:cs="Calibri"/>
      <w:i/>
      <w:iCs/>
      <w:sz w:val="20"/>
      <w:szCs w:val="20"/>
    </w:rPr>
  </w:style>
  <w:style w:type="paragraph" w:styleId="23">
    <w:name w:val="toc 8"/>
    <w:basedOn w:val="1"/>
    <w:next w:val="1"/>
    <w:unhideWhenUsed/>
    <w:qFormat/>
    <w:uiPriority w:val="39"/>
    <w:pPr>
      <w:ind w:left="1470"/>
      <w:jc w:val="left"/>
    </w:pPr>
    <w:rPr>
      <w:rFonts w:cs="Calibri"/>
      <w:sz w:val="18"/>
      <w:szCs w:val="18"/>
    </w:rPr>
  </w:style>
  <w:style w:type="paragraph" w:styleId="24">
    <w:name w:val="Date"/>
    <w:basedOn w:val="1"/>
    <w:next w:val="1"/>
    <w:link w:val="85"/>
    <w:qFormat/>
    <w:uiPriority w:val="0"/>
    <w:rPr>
      <w:rFonts w:ascii="Times New Roman" w:hAnsi="Times New Roman"/>
      <w:kern w:val="0"/>
      <w:sz w:val="20"/>
      <w:szCs w:val="20"/>
    </w:rPr>
  </w:style>
  <w:style w:type="paragraph" w:styleId="25">
    <w:name w:val="Body Text Indent 2"/>
    <w:basedOn w:val="1"/>
    <w:link w:val="77"/>
    <w:qFormat/>
    <w:uiPriority w:val="0"/>
    <w:pPr>
      <w:spacing w:line="400" w:lineRule="exact"/>
      <w:ind w:left="425"/>
    </w:pPr>
    <w:rPr>
      <w:rFonts w:ascii="Times New Roman" w:hAnsi="Times New Roman"/>
      <w:color w:val="000000"/>
      <w:kern w:val="0"/>
      <w:sz w:val="24"/>
      <w:szCs w:val="20"/>
    </w:rPr>
  </w:style>
  <w:style w:type="paragraph" w:styleId="26">
    <w:name w:val="endnote text"/>
    <w:basedOn w:val="1"/>
    <w:link w:val="59"/>
    <w:qFormat/>
    <w:uiPriority w:val="0"/>
    <w:pPr>
      <w:snapToGrid w:val="0"/>
      <w:jc w:val="left"/>
    </w:pPr>
    <w:rPr>
      <w:rFonts w:ascii="Times New Roman" w:hAnsi="Times New Roman"/>
      <w:kern w:val="0"/>
      <w:sz w:val="20"/>
      <w:szCs w:val="20"/>
    </w:rPr>
  </w:style>
  <w:style w:type="paragraph" w:styleId="27">
    <w:name w:val="Balloon Text"/>
    <w:basedOn w:val="1"/>
    <w:link w:val="51"/>
    <w:qFormat/>
    <w:uiPriority w:val="0"/>
    <w:rPr>
      <w:rFonts w:ascii="Times New Roman" w:hAnsi="Times New Roman"/>
      <w:kern w:val="0"/>
      <w:sz w:val="18"/>
      <w:szCs w:val="18"/>
    </w:rPr>
  </w:style>
  <w:style w:type="paragraph" w:styleId="28">
    <w:name w:val="footer"/>
    <w:basedOn w:val="1"/>
    <w:link w:val="89"/>
    <w:unhideWhenUsed/>
    <w:qFormat/>
    <w:uiPriority w:val="99"/>
    <w:pPr>
      <w:tabs>
        <w:tab w:val="center" w:pos="4153"/>
        <w:tab w:val="right" w:pos="8306"/>
      </w:tabs>
      <w:snapToGrid w:val="0"/>
      <w:jc w:val="left"/>
    </w:pPr>
    <w:rPr>
      <w:kern w:val="0"/>
      <w:sz w:val="18"/>
      <w:szCs w:val="18"/>
    </w:rPr>
  </w:style>
  <w:style w:type="paragraph" w:styleId="29">
    <w:name w:val="header"/>
    <w:basedOn w:val="1"/>
    <w:link w:val="7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rFonts w:cs="Calibri"/>
      <w:b/>
      <w:bCs/>
      <w:caps/>
      <w:sz w:val="20"/>
      <w:szCs w:val="20"/>
    </w:rPr>
  </w:style>
  <w:style w:type="paragraph" w:styleId="31">
    <w:name w:val="toc 4"/>
    <w:basedOn w:val="1"/>
    <w:next w:val="1"/>
    <w:unhideWhenUsed/>
    <w:qFormat/>
    <w:uiPriority w:val="39"/>
    <w:pPr>
      <w:ind w:left="630"/>
      <w:jc w:val="left"/>
    </w:pPr>
    <w:rPr>
      <w:rFonts w:cs="Calibri"/>
      <w:sz w:val="18"/>
      <w:szCs w:val="18"/>
    </w:rPr>
  </w:style>
  <w:style w:type="paragraph" w:styleId="32">
    <w:name w:val="footnote text"/>
    <w:basedOn w:val="1"/>
    <w:link w:val="73"/>
    <w:qFormat/>
    <w:uiPriority w:val="99"/>
    <w:pPr>
      <w:snapToGrid w:val="0"/>
      <w:spacing w:line="360" w:lineRule="auto"/>
      <w:ind w:firstLine="523" w:firstLineChars="218"/>
      <w:jc w:val="left"/>
    </w:pPr>
    <w:rPr>
      <w:rFonts w:ascii="宋体" w:hAnsi="宋体"/>
      <w:kern w:val="0"/>
      <w:sz w:val="18"/>
      <w:szCs w:val="18"/>
    </w:rPr>
  </w:style>
  <w:style w:type="paragraph" w:styleId="33">
    <w:name w:val="toc 6"/>
    <w:basedOn w:val="1"/>
    <w:next w:val="1"/>
    <w:unhideWhenUsed/>
    <w:qFormat/>
    <w:uiPriority w:val="39"/>
    <w:pPr>
      <w:ind w:left="1050"/>
      <w:jc w:val="left"/>
    </w:pPr>
    <w:rPr>
      <w:rFonts w:cs="Calibri"/>
      <w:sz w:val="18"/>
      <w:szCs w:val="18"/>
    </w:rPr>
  </w:style>
  <w:style w:type="paragraph" w:styleId="34">
    <w:name w:val="Body Text Indent 3"/>
    <w:basedOn w:val="1"/>
    <w:link w:val="69"/>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35">
    <w:name w:val="toc 2"/>
    <w:basedOn w:val="1"/>
    <w:next w:val="1"/>
    <w:qFormat/>
    <w:uiPriority w:val="39"/>
    <w:pPr>
      <w:ind w:left="210"/>
      <w:jc w:val="left"/>
    </w:pPr>
    <w:rPr>
      <w:rFonts w:cs="Calibri"/>
      <w:smallCaps/>
      <w:sz w:val="20"/>
      <w:szCs w:val="20"/>
    </w:rPr>
  </w:style>
  <w:style w:type="paragraph" w:styleId="36">
    <w:name w:val="toc 9"/>
    <w:basedOn w:val="1"/>
    <w:next w:val="1"/>
    <w:unhideWhenUsed/>
    <w:qFormat/>
    <w:uiPriority w:val="39"/>
    <w:pPr>
      <w:ind w:left="1680"/>
      <w:jc w:val="left"/>
    </w:pPr>
    <w:rPr>
      <w:rFonts w:cs="Calibri"/>
      <w:sz w:val="18"/>
      <w:szCs w:val="18"/>
    </w:rPr>
  </w:style>
  <w:style w:type="paragraph" w:styleId="37">
    <w:name w:val="Body Text 2"/>
    <w:basedOn w:val="1"/>
    <w:link w:val="79"/>
    <w:qFormat/>
    <w:uiPriority w:val="0"/>
    <w:rPr>
      <w:rFonts w:ascii="宋体" w:hAnsi="宋体"/>
      <w:kern w:val="0"/>
      <w:sz w:val="20"/>
      <w:szCs w:val="24"/>
      <w:u w:val="single"/>
    </w:rPr>
  </w:style>
  <w:style w:type="paragraph" w:styleId="38">
    <w:name w:val="index 1"/>
    <w:basedOn w:val="1"/>
    <w:next w:val="1"/>
    <w:qFormat/>
    <w:uiPriority w:val="0"/>
    <w:rPr>
      <w:rFonts w:ascii="Times New Roman" w:hAnsi="Times New Roman" w:eastAsia="仿宋_GB2312"/>
      <w:sz w:val="28"/>
      <w:szCs w:val="20"/>
    </w:rPr>
  </w:style>
  <w:style w:type="paragraph" w:styleId="39">
    <w:name w:val="annotation subject"/>
    <w:basedOn w:val="18"/>
    <w:next w:val="18"/>
    <w:link w:val="54"/>
    <w:qFormat/>
    <w:uiPriority w:val="0"/>
    <w:rPr>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cs="Times New Roman"/>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styleId="48">
    <w:name w:val="footnote reference"/>
    <w:qFormat/>
    <w:uiPriority w:val="99"/>
    <w:rPr>
      <w:vertAlign w:val="superscript"/>
    </w:rPr>
  </w:style>
  <w:style w:type="character" w:customStyle="1" w:styleId="49">
    <w:name w:val="标题 5 字符1"/>
    <w:link w:val="11"/>
    <w:qFormat/>
    <w:uiPriority w:val="0"/>
    <w:rPr>
      <w:rFonts w:ascii="Arial" w:hAnsi="Arial" w:eastAsia="宋体"/>
      <w:color w:val="000000"/>
      <w:szCs w:val="21"/>
    </w:rPr>
  </w:style>
  <w:style w:type="character" w:customStyle="1" w:styleId="50">
    <w:name w:val="标题 9 字符"/>
    <w:semiHidden/>
    <w:qFormat/>
    <w:uiPriority w:val="9"/>
    <w:rPr>
      <w:rFonts w:ascii="等线 Light" w:hAnsi="等线 Light" w:eastAsia="等线 Light" w:cs="Times New Roman"/>
      <w:szCs w:val="21"/>
    </w:rPr>
  </w:style>
  <w:style w:type="character" w:customStyle="1" w:styleId="51">
    <w:name w:val="批注框文本 字符1"/>
    <w:link w:val="27"/>
    <w:qFormat/>
    <w:uiPriority w:val="0"/>
    <w:rPr>
      <w:rFonts w:ascii="Times New Roman" w:hAnsi="Times New Roman" w:eastAsia="宋体" w:cs="Times New Roman"/>
      <w:sz w:val="18"/>
      <w:szCs w:val="18"/>
    </w:rPr>
  </w:style>
  <w:style w:type="character" w:customStyle="1" w:styleId="52">
    <w:name w:val="正文首行缩进 字符"/>
    <w:basedOn w:val="53"/>
    <w:semiHidden/>
    <w:qFormat/>
    <w:uiPriority w:val="99"/>
    <w:rPr>
      <w:rFonts w:ascii="Calibri" w:hAnsi="Calibri" w:eastAsia="宋体" w:cs="Times New Roman"/>
    </w:rPr>
  </w:style>
  <w:style w:type="character" w:customStyle="1" w:styleId="53">
    <w:name w:val="正文文本 字符"/>
    <w:semiHidden/>
    <w:qFormat/>
    <w:uiPriority w:val="99"/>
    <w:rPr>
      <w:rFonts w:ascii="Calibri" w:hAnsi="Calibri" w:eastAsia="宋体" w:cs="Times New Roman"/>
    </w:rPr>
  </w:style>
  <w:style w:type="character" w:customStyle="1" w:styleId="54">
    <w:name w:val="批注主题 字符1"/>
    <w:link w:val="39"/>
    <w:qFormat/>
    <w:uiPriority w:val="0"/>
    <w:rPr>
      <w:rFonts w:ascii="宋体" w:hAnsi="宋体" w:eastAsia="宋体" w:cs="Times New Roman"/>
      <w:b/>
      <w:bCs/>
      <w:sz w:val="24"/>
      <w:szCs w:val="24"/>
    </w:rPr>
  </w:style>
  <w:style w:type="character" w:customStyle="1" w:styleId="55">
    <w:name w:val="正文首行缩进 字符1"/>
    <w:link w:val="5"/>
    <w:qFormat/>
    <w:uiPriority w:val="0"/>
  </w:style>
  <w:style w:type="character" w:customStyle="1" w:styleId="56">
    <w:name w:val="已访问的超链接1"/>
    <w:unhideWhenUsed/>
    <w:qFormat/>
    <w:uiPriority w:val="99"/>
    <w:rPr>
      <w:color w:val="954F72"/>
      <w:u w:val="single"/>
    </w:rPr>
  </w:style>
  <w:style w:type="character" w:customStyle="1" w:styleId="57">
    <w:name w:val="正文文本缩进 字符1"/>
    <w:link w:val="20"/>
    <w:qFormat/>
    <w:uiPriority w:val="0"/>
    <w:rPr>
      <w:rFonts w:ascii="Times New Roman" w:hAnsi="Times New Roman" w:eastAsia="宋体" w:cs="Times New Roman"/>
      <w:sz w:val="28"/>
      <w:szCs w:val="20"/>
    </w:rPr>
  </w:style>
  <w:style w:type="character" w:customStyle="1" w:styleId="58">
    <w:name w:val="标题 1 字符1"/>
    <w:link w:val="3"/>
    <w:qFormat/>
    <w:uiPriority w:val="0"/>
    <w:rPr>
      <w:rFonts w:ascii="Arial" w:hAnsi="Arial" w:eastAsia="宋体"/>
      <w:b/>
      <w:kern w:val="44"/>
      <w:sz w:val="28"/>
      <w:szCs w:val="28"/>
    </w:rPr>
  </w:style>
  <w:style w:type="character" w:customStyle="1" w:styleId="59">
    <w:name w:val="尾注文本 字符1"/>
    <w:link w:val="26"/>
    <w:qFormat/>
    <w:uiPriority w:val="0"/>
    <w:rPr>
      <w:rFonts w:ascii="Times New Roman" w:hAnsi="Times New Roman" w:eastAsia="宋体" w:cs="Times New Roman"/>
      <w:szCs w:val="20"/>
    </w:rPr>
  </w:style>
  <w:style w:type="character" w:customStyle="1" w:styleId="60">
    <w:name w:val="标题 6 字符"/>
    <w:semiHidden/>
    <w:qFormat/>
    <w:uiPriority w:val="9"/>
    <w:rPr>
      <w:rFonts w:ascii="等线 Light" w:hAnsi="等线 Light" w:eastAsia="等线 Light" w:cs="Times New Roman"/>
      <w:b/>
      <w:bCs/>
      <w:sz w:val="24"/>
      <w:szCs w:val="24"/>
    </w:rPr>
  </w:style>
  <w:style w:type="character" w:customStyle="1" w:styleId="61">
    <w:name w:val="脚注文本 字符"/>
    <w:semiHidden/>
    <w:qFormat/>
    <w:uiPriority w:val="99"/>
    <w:rPr>
      <w:rFonts w:ascii="Calibri" w:hAnsi="Calibri" w:eastAsia="宋体" w:cs="Times New Roman"/>
      <w:sz w:val="18"/>
      <w:szCs w:val="18"/>
    </w:rPr>
  </w:style>
  <w:style w:type="character" w:customStyle="1" w:styleId="62">
    <w:name w:val="标题 2 字符1"/>
    <w:link w:val="7"/>
    <w:qFormat/>
    <w:uiPriority w:val="0"/>
    <w:rPr>
      <w:rFonts w:ascii="Arial" w:hAnsi="Arial" w:eastAsia="宋体"/>
      <w:b/>
      <w:color w:val="000000"/>
      <w:sz w:val="24"/>
      <w:szCs w:val="24"/>
    </w:rPr>
  </w:style>
  <w:style w:type="character" w:customStyle="1" w:styleId="63">
    <w:name w:val="标题 6 字符1"/>
    <w:link w:val="12"/>
    <w:qFormat/>
    <w:uiPriority w:val="0"/>
    <w:rPr>
      <w:rFonts w:ascii="Arial" w:hAnsi="Arial" w:eastAsia="黑体"/>
      <w:b/>
      <w:bCs/>
      <w:sz w:val="24"/>
      <w:szCs w:val="24"/>
    </w:rPr>
  </w:style>
  <w:style w:type="character" w:customStyle="1" w:styleId="64">
    <w:name w:val="标题 1 字符"/>
    <w:qFormat/>
    <w:uiPriority w:val="9"/>
    <w:rPr>
      <w:rFonts w:ascii="Calibri" w:hAnsi="Calibri" w:eastAsia="宋体" w:cs="Times New Roman"/>
      <w:b/>
      <w:bCs/>
      <w:kern w:val="44"/>
      <w:sz w:val="44"/>
      <w:szCs w:val="44"/>
    </w:rPr>
  </w:style>
  <w:style w:type="character" w:customStyle="1" w:styleId="65">
    <w:name w:val="标题 字符1"/>
    <w:link w:val="4"/>
    <w:qFormat/>
    <w:uiPriority w:val="0"/>
    <w:rPr>
      <w:rFonts w:ascii="Arial" w:hAnsi="Arial" w:eastAsia="宋体" w:cs="Times New Roman"/>
      <w:b/>
      <w:sz w:val="44"/>
      <w:szCs w:val="20"/>
    </w:rPr>
  </w:style>
  <w:style w:type="character" w:customStyle="1" w:styleId="66">
    <w:name w:val="标题 4 字符"/>
    <w:semiHidden/>
    <w:qFormat/>
    <w:uiPriority w:val="9"/>
    <w:rPr>
      <w:rFonts w:ascii="等线 Light" w:hAnsi="等线 Light" w:eastAsia="等线 Light" w:cs="Times New Roman"/>
      <w:b/>
      <w:bCs/>
      <w:sz w:val="28"/>
      <w:szCs w:val="28"/>
    </w:rPr>
  </w:style>
  <w:style w:type="character" w:customStyle="1" w:styleId="67">
    <w:name w:val="文档结构图 字符1"/>
    <w:link w:val="17"/>
    <w:qFormat/>
    <w:uiPriority w:val="0"/>
    <w:rPr>
      <w:rFonts w:ascii="Times New Roman" w:hAnsi="Times New Roman" w:eastAsia="宋体" w:cs="Times New Roman"/>
      <w:szCs w:val="20"/>
      <w:shd w:val="clear" w:color="auto" w:fill="000080"/>
    </w:rPr>
  </w:style>
  <w:style w:type="character" w:customStyle="1" w:styleId="68">
    <w:name w:val="正文文本 3 字符"/>
    <w:link w:val="19"/>
    <w:semiHidden/>
    <w:qFormat/>
    <w:uiPriority w:val="99"/>
    <w:rPr>
      <w:rFonts w:ascii="Calibri" w:hAnsi="Calibri" w:eastAsia="宋体"/>
      <w:kern w:val="2"/>
      <w:sz w:val="16"/>
      <w:szCs w:val="16"/>
    </w:rPr>
  </w:style>
  <w:style w:type="character" w:customStyle="1" w:styleId="69">
    <w:name w:val="正文文本缩进 3 字符1"/>
    <w:link w:val="34"/>
    <w:qFormat/>
    <w:uiPriority w:val="0"/>
    <w:rPr>
      <w:rFonts w:ascii="Times New Roman" w:hAnsi="Times New Roman" w:eastAsia="宋体" w:cs="Times New Roman"/>
      <w:color w:val="000000"/>
      <w:sz w:val="24"/>
      <w:szCs w:val="20"/>
    </w:rPr>
  </w:style>
  <w:style w:type="character" w:customStyle="1" w:styleId="70">
    <w:name w:val="正文文本 2 字符"/>
    <w:semiHidden/>
    <w:qFormat/>
    <w:uiPriority w:val="99"/>
    <w:rPr>
      <w:rFonts w:ascii="Calibri" w:hAnsi="Calibri" w:eastAsia="宋体" w:cs="Times New Roman"/>
    </w:rPr>
  </w:style>
  <w:style w:type="character" w:customStyle="1" w:styleId="71">
    <w:name w:val="纯文本 字符1"/>
    <w:link w:val="2"/>
    <w:qFormat/>
    <w:uiPriority w:val="0"/>
    <w:rPr>
      <w:rFonts w:ascii="宋体" w:hAnsi="Courier New" w:eastAsia="宋体" w:cs="Times New Roman"/>
      <w:szCs w:val="20"/>
    </w:rPr>
  </w:style>
  <w:style w:type="character" w:customStyle="1" w:styleId="72">
    <w:name w:val="日期 字符"/>
    <w:semiHidden/>
    <w:qFormat/>
    <w:uiPriority w:val="99"/>
    <w:rPr>
      <w:rFonts w:ascii="Calibri" w:hAnsi="Calibri" w:eastAsia="宋体" w:cs="Times New Roman"/>
    </w:rPr>
  </w:style>
  <w:style w:type="character" w:customStyle="1" w:styleId="73">
    <w:name w:val="脚注文本 字符1"/>
    <w:link w:val="32"/>
    <w:qFormat/>
    <w:uiPriority w:val="99"/>
    <w:rPr>
      <w:rFonts w:ascii="宋体" w:hAnsi="宋体" w:eastAsia="宋体" w:cs="Times New Roman"/>
      <w:sz w:val="18"/>
      <w:szCs w:val="18"/>
    </w:rPr>
  </w:style>
  <w:style w:type="character" w:customStyle="1" w:styleId="74">
    <w:name w:val="正文文本 字符1"/>
    <w:link w:val="6"/>
    <w:qFormat/>
    <w:uiPriority w:val="0"/>
    <w:rPr>
      <w:rFonts w:ascii="Times New Roman" w:hAnsi="Times New Roman" w:eastAsia="宋体" w:cs="Times New Roman"/>
      <w:szCs w:val="20"/>
    </w:rPr>
  </w:style>
  <w:style w:type="character" w:customStyle="1" w:styleId="75">
    <w:name w:val="标题 7 字符1"/>
    <w:link w:val="13"/>
    <w:qFormat/>
    <w:uiPriority w:val="0"/>
    <w:rPr>
      <w:rFonts w:ascii="Times New Roman" w:hAnsi="Times New Roman" w:eastAsia="宋体"/>
      <w:b/>
      <w:sz w:val="24"/>
    </w:rPr>
  </w:style>
  <w:style w:type="character" w:customStyle="1" w:styleId="76">
    <w:name w:val="17"/>
    <w:qFormat/>
    <w:uiPriority w:val="0"/>
    <w:rPr>
      <w:rFonts w:hint="default" w:ascii="Times New Roman" w:hAnsi="Times New Roman" w:cs="Times New Roman"/>
      <w:sz w:val="21"/>
      <w:szCs w:val="21"/>
    </w:rPr>
  </w:style>
  <w:style w:type="character" w:customStyle="1" w:styleId="77">
    <w:name w:val="正文文本缩进 2 字符1"/>
    <w:link w:val="25"/>
    <w:qFormat/>
    <w:uiPriority w:val="0"/>
    <w:rPr>
      <w:rFonts w:ascii="Times New Roman" w:hAnsi="Times New Roman" w:eastAsia="宋体" w:cs="Times New Roman"/>
      <w:color w:val="000000"/>
      <w:sz w:val="24"/>
      <w:szCs w:val="20"/>
    </w:rPr>
  </w:style>
  <w:style w:type="character" w:customStyle="1" w:styleId="78">
    <w:name w:val="页眉 字符1"/>
    <w:link w:val="29"/>
    <w:qFormat/>
    <w:uiPriority w:val="0"/>
    <w:rPr>
      <w:rFonts w:ascii="Calibri" w:hAnsi="Calibri" w:eastAsia="宋体" w:cs="Times New Roman"/>
      <w:sz w:val="18"/>
      <w:szCs w:val="18"/>
    </w:rPr>
  </w:style>
  <w:style w:type="character" w:customStyle="1" w:styleId="79">
    <w:name w:val="正文文本 2 字符1"/>
    <w:link w:val="37"/>
    <w:qFormat/>
    <w:uiPriority w:val="0"/>
    <w:rPr>
      <w:rFonts w:ascii="宋体" w:hAnsi="宋体" w:eastAsia="宋体" w:cs="Times New Roman"/>
      <w:szCs w:val="24"/>
      <w:u w:val="single"/>
    </w:rPr>
  </w:style>
  <w:style w:type="character" w:customStyle="1" w:styleId="80">
    <w:name w:val="批注文字 字符"/>
    <w:semiHidden/>
    <w:qFormat/>
    <w:uiPriority w:val="99"/>
    <w:rPr>
      <w:rFonts w:ascii="Calibri" w:hAnsi="Calibri" w:eastAsia="宋体" w:cs="Times New Roman"/>
    </w:rPr>
  </w:style>
  <w:style w:type="character" w:customStyle="1" w:styleId="81">
    <w:name w:val="文一 Char"/>
    <w:link w:val="82"/>
    <w:qFormat/>
    <w:uiPriority w:val="0"/>
    <w:rPr>
      <w:rFonts w:eastAsia="宋体"/>
      <w:snapToGrid/>
      <w:spacing w:val="4"/>
      <w:sz w:val="24"/>
      <w:szCs w:val="24"/>
    </w:rPr>
  </w:style>
  <w:style w:type="paragraph" w:customStyle="1" w:styleId="82">
    <w:name w:val="文一"/>
    <w:basedOn w:val="1"/>
    <w:link w:val="8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83">
    <w:name w:val="批注主题 字符"/>
    <w:semiHidden/>
    <w:qFormat/>
    <w:uiPriority w:val="99"/>
    <w:rPr>
      <w:rFonts w:ascii="Calibri" w:hAnsi="Calibri" w:eastAsia="宋体" w:cs="Times New Roman"/>
      <w:b/>
      <w:bCs/>
    </w:rPr>
  </w:style>
  <w:style w:type="character" w:customStyle="1" w:styleId="84">
    <w:name w:val="标题 3 字符"/>
    <w:semiHidden/>
    <w:qFormat/>
    <w:uiPriority w:val="9"/>
    <w:rPr>
      <w:rFonts w:ascii="Calibri" w:hAnsi="Calibri" w:eastAsia="宋体" w:cs="Times New Roman"/>
      <w:b/>
      <w:bCs/>
      <w:sz w:val="32"/>
      <w:szCs w:val="32"/>
    </w:rPr>
  </w:style>
  <w:style w:type="character" w:customStyle="1" w:styleId="85">
    <w:name w:val="日期 字符1"/>
    <w:link w:val="24"/>
    <w:qFormat/>
    <w:uiPriority w:val="0"/>
    <w:rPr>
      <w:rFonts w:ascii="Times New Roman" w:hAnsi="Times New Roman" w:eastAsia="宋体" w:cs="Times New Roman"/>
      <w:szCs w:val="20"/>
    </w:rPr>
  </w:style>
  <w:style w:type="character" w:customStyle="1" w:styleId="86">
    <w:name w:val="标题 2 字符"/>
    <w:semiHidden/>
    <w:qFormat/>
    <w:uiPriority w:val="9"/>
    <w:rPr>
      <w:rFonts w:ascii="等线 Light" w:hAnsi="等线 Light" w:eastAsia="等线 Light" w:cs="Times New Roman"/>
      <w:b/>
      <w:bCs/>
      <w:sz w:val="32"/>
      <w:szCs w:val="32"/>
    </w:rPr>
  </w:style>
  <w:style w:type="character" w:customStyle="1" w:styleId="87">
    <w:name w:val="纯文本 字符"/>
    <w:semiHidden/>
    <w:qFormat/>
    <w:uiPriority w:val="99"/>
    <w:rPr>
      <w:rFonts w:ascii="等线" w:hAnsi="Courier New" w:cs="Courier New"/>
    </w:rPr>
  </w:style>
  <w:style w:type="character" w:customStyle="1" w:styleId="88">
    <w:name w:val="标题 5 字符"/>
    <w:semiHidden/>
    <w:qFormat/>
    <w:uiPriority w:val="9"/>
    <w:rPr>
      <w:rFonts w:ascii="Calibri" w:hAnsi="Calibri" w:eastAsia="宋体" w:cs="Times New Roman"/>
      <w:b/>
      <w:bCs/>
      <w:sz w:val="28"/>
      <w:szCs w:val="28"/>
    </w:rPr>
  </w:style>
  <w:style w:type="character" w:customStyle="1" w:styleId="89">
    <w:name w:val="页脚 字符1"/>
    <w:link w:val="28"/>
    <w:qFormat/>
    <w:uiPriority w:val="99"/>
    <w:rPr>
      <w:rFonts w:ascii="Calibri" w:hAnsi="Calibri" w:eastAsia="宋体" w:cs="Times New Roman"/>
      <w:sz w:val="18"/>
      <w:szCs w:val="18"/>
    </w:rPr>
  </w:style>
  <w:style w:type="character" w:customStyle="1" w:styleId="90">
    <w:name w:val="标题 9 字符1"/>
    <w:link w:val="15"/>
    <w:qFormat/>
    <w:uiPriority w:val="0"/>
    <w:rPr>
      <w:rFonts w:ascii="Arial" w:hAnsi="Arial" w:eastAsia="黑体"/>
    </w:rPr>
  </w:style>
  <w:style w:type="character" w:customStyle="1" w:styleId="91">
    <w:name w:val="页眉 字符"/>
    <w:semiHidden/>
    <w:qFormat/>
    <w:uiPriority w:val="99"/>
    <w:rPr>
      <w:rFonts w:ascii="Calibri" w:hAnsi="Calibri" w:eastAsia="宋体" w:cs="Times New Roman"/>
      <w:sz w:val="18"/>
      <w:szCs w:val="18"/>
    </w:rPr>
  </w:style>
  <w:style w:type="character" w:customStyle="1" w:styleId="92">
    <w:name w:val="正文文本缩进 字符"/>
    <w:semiHidden/>
    <w:qFormat/>
    <w:uiPriority w:val="99"/>
    <w:rPr>
      <w:rFonts w:ascii="Calibri" w:hAnsi="Calibri" w:eastAsia="宋体" w:cs="Times New Roman"/>
    </w:rPr>
  </w:style>
  <w:style w:type="character" w:customStyle="1" w:styleId="93">
    <w:name w:val="标题 4 字符1"/>
    <w:link w:val="10"/>
    <w:qFormat/>
    <w:uiPriority w:val="0"/>
    <w:rPr>
      <w:rFonts w:ascii="Arial" w:hAnsi="Arial" w:eastAsia="宋体"/>
      <w:color w:val="000000"/>
      <w:szCs w:val="21"/>
    </w:rPr>
  </w:style>
  <w:style w:type="character" w:customStyle="1" w:styleId="94">
    <w:name w:val="标题 3 字符1"/>
    <w:link w:val="9"/>
    <w:qFormat/>
    <w:uiPriority w:val="0"/>
    <w:rPr>
      <w:rFonts w:ascii="宋体" w:hAnsi="宋体" w:eastAsia="宋体" w:cs="宋体"/>
      <w:kern w:val="0"/>
      <w:sz w:val="27"/>
      <w:szCs w:val="27"/>
    </w:rPr>
  </w:style>
  <w:style w:type="character" w:customStyle="1" w:styleId="95">
    <w:name w:val="文档结构图 字符"/>
    <w:semiHidden/>
    <w:qFormat/>
    <w:uiPriority w:val="99"/>
    <w:rPr>
      <w:rFonts w:ascii="Microsoft YaHei UI" w:hAnsi="Calibri" w:eastAsia="Microsoft YaHei UI" w:cs="Times New Roman"/>
      <w:sz w:val="18"/>
      <w:szCs w:val="18"/>
    </w:rPr>
  </w:style>
  <w:style w:type="character" w:customStyle="1" w:styleId="96">
    <w:name w:val="批注框文本 字符"/>
    <w:semiHidden/>
    <w:qFormat/>
    <w:uiPriority w:val="99"/>
    <w:rPr>
      <w:rFonts w:ascii="Calibri" w:hAnsi="Calibri" w:eastAsia="宋体" w:cs="Times New Roman"/>
      <w:sz w:val="18"/>
      <w:szCs w:val="18"/>
    </w:rPr>
  </w:style>
  <w:style w:type="character" w:customStyle="1" w:styleId="97">
    <w:name w:val="标题 8 字符1"/>
    <w:link w:val="14"/>
    <w:qFormat/>
    <w:uiPriority w:val="0"/>
    <w:rPr>
      <w:rFonts w:ascii="Arial" w:hAnsi="Arial" w:eastAsia="黑体"/>
      <w:sz w:val="24"/>
    </w:rPr>
  </w:style>
  <w:style w:type="character" w:customStyle="1" w:styleId="98">
    <w:name w:val="标题 7 字符"/>
    <w:semiHidden/>
    <w:qFormat/>
    <w:uiPriority w:val="9"/>
    <w:rPr>
      <w:rFonts w:ascii="Calibri" w:hAnsi="Calibri" w:eastAsia="宋体" w:cs="Times New Roman"/>
      <w:b/>
      <w:bCs/>
      <w:sz w:val="24"/>
      <w:szCs w:val="24"/>
    </w:rPr>
  </w:style>
  <w:style w:type="character" w:customStyle="1" w:styleId="99">
    <w:name w:val="尾注文本 字符"/>
    <w:semiHidden/>
    <w:qFormat/>
    <w:uiPriority w:val="99"/>
    <w:rPr>
      <w:rFonts w:ascii="Calibri" w:hAnsi="Calibri" w:eastAsia="宋体" w:cs="Times New Roman"/>
    </w:rPr>
  </w:style>
  <w:style w:type="character" w:customStyle="1" w:styleId="100">
    <w:name w:val="标题 8 字符"/>
    <w:semiHidden/>
    <w:qFormat/>
    <w:uiPriority w:val="9"/>
    <w:rPr>
      <w:rFonts w:ascii="等线 Light" w:hAnsi="等线 Light" w:eastAsia="等线 Light" w:cs="Times New Roman"/>
      <w:sz w:val="24"/>
      <w:szCs w:val="24"/>
    </w:rPr>
  </w:style>
  <w:style w:type="character" w:customStyle="1" w:styleId="101">
    <w:name w:val="正文文本缩进 3 字符"/>
    <w:semiHidden/>
    <w:qFormat/>
    <w:uiPriority w:val="99"/>
    <w:rPr>
      <w:rFonts w:ascii="Calibri" w:hAnsi="Calibri" w:eastAsia="宋体" w:cs="Times New Roman"/>
      <w:sz w:val="16"/>
      <w:szCs w:val="16"/>
    </w:rPr>
  </w:style>
  <w:style w:type="character" w:customStyle="1" w:styleId="102">
    <w:name w:val="页脚 字符"/>
    <w:semiHidden/>
    <w:qFormat/>
    <w:uiPriority w:val="99"/>
    <w:rPr>
      <w:rFonts w:ascii="Calibri" w:hAnsi="Calibri" w:eastAsia="宋体" w:cs="Times New Roman"/>
      <w:sz w:val="18"/>
      <w:szCs w:val="18"/>
    </w:rPr>
  </w:style>
  <w:style w:type="character" w:customStyle="1" w:styleId="103">
    <w:name w:val="正文文本缩进 2 字符"/>
    <w:semiHidden/>
    <w:qFormat/>
    <w:uiPriority w:val="99"/>
    <w:rPr>
      <w:rFonts w:ascii="Calibri" w:hAnsi="Calibri" w:eastAsia="宋体" w:cs="Times New Roman"/>
    </w:rPr>
  </w:style>
  <w:style w:type="character" w:customStyle="1" w:styleId="104">
    <w:name w:val="标题 字符"/>
    <w:qFormat/>
    <w:uiPriority w:val="10"/>
    <w:rPr>
      <w:rFonts w:ascii="等线 Light" w:hAnsi="等线 Light" w:eastAsia="等线 Light" w:cs="Times New Roman"/>
      <w:b/>
      <w:bCs/>
      <w:sz w:val="32"/>
      <w:szCs w:val="32"/>
    </w:rPr>
  </w:style>
  <w:style w:type="character" w:customStyle="1" w:styleId="105">
    <w:name w:val="批注文字 字符1"/>
    <w:link w:val="18"/>
    <w:qFormat/>
    <w:uiPriority w:val="99"/>
    <w:rPr>
      <w:rFonts w:ascii="宋体" w:hAnsi="宋体" w:eastAsia="宋体" w:cs="Times New Roman"/>
      <w:sz w:val="24"/>
      <w:szCs w:val="24"/>
    </w:rPr>
  </w:style>
  <w:style w:type="paragraph" w:customStyle="1" w:styleId="106">
    <w:name w:val="发文落款"/>
    <w:basedOn w:val="107"/>
    <w:qFormat/>
    <w:uiPriority w:val="0"/>
    <w:pPr>
      <w:ind w:left="4094" w:right="607" w:firstLine="0"/>
      <w:jc w:val="center"/>
    </w:pPr>
  </w:style>
  <w:style w:type="paragraph" w:customStyle="1" w:styleId="10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公文抬头"/>
    <w:basedOn w:val="8"/>
    <w:qFormat/>
    <w:uiPriority w:val="0"/>
    <w:pPr>
      <w:ind w:firstLine="0"/>
    </w:pPr>
    <w:rPr>
      <w:rFonts w:ascii="仿宋_GB2312" w:eastAsia="仿宋_GB2312"/>
      <w:sz w:val="30"/>
      <w:szCs w:val="24"/>
    </w:rPr>
  </w:style>
  <w:style w:type="paragraph" w:customStyle="1" w:styleId="110">
    <w:name w:val="Char Char Char Char"/>
    <w:basedOn w:val="1"/>
    <w:qFormat/>
    <w:uiPriority w:val="0"/>
    <w:rPr>
      <w:rFonts w:ascii="Times New Roman" w:hAnsi="Times New Roman"/>
      <w:sz w:val="30"/>
      <w:szCs w:val="24"/>
    </w:rPr>
  </w:style>
  <w:style w:type="paragraph" w:customStyle="1" w:styleId="11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2">
    <w:name w:val="修订1"/>
    <w:semiHidden/>
    <w:qFormat/>
    <w:uiPriority w:val="99"/>
    <w:rPr>
      <w:rFonts w:ascii="Times New Roman" w:hAnsi="Times New Roman" w:eastAsia="宋体" w:cs="Times New Roman"/>
      <w:kern w:val="2"/>
      <w:sz w:val="21"/>
      <w:lang w:val="en-US" w:eastAsia="zh-CN" w:bidi="ar-SA"/>
    </w:rPr>
  </w:style>
  <w:style w:type="paragraph" w:customStyle="1" w:styleId="113">
    <w:name w:val="正题"/>
    <w:basedOn w:val="82"/>
    <w:next w:val="82"/>
    <w:qFormat/>
    <w:uiPriority w:val="0"/>
    <w:pPr>
      <w:ind w:firstLine="0" w:firstLineChars="0"/>
      <w:jc w:val="center"/>
    </w:pPr>
    <w:rPr>
      <w:rFonts w:eastAsia="黑体"/>
      <w:b/>
      <w:sz w:val="36"/>
      <w:szCs w:val="36"/>
    </w:rPr>
  </w:style>
  <w:style w:type="paragraph" w:customStyle="1" w:styleId="114">
    <w:name w:val="公文标题"/>
    <w:basedOn w:val="9"/>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15">
    <w:name w:val="文二"/>
    <w:basedOn w:val="1"/>
    <w:qFormat/>
    <w:uiPriority w:val="0"/>
    <w:pPr>
      <w:jc w:val="left"/>
    </w:pPr>
    <w:rPr>
      <w:rFonts w:ascii="宋体" w:hAnsi="宋体"/>
      <w:szCs w:val="21"/>
    </w:rPr>
  </w:style>
  <w:style w:type="paragraph" w:customStyle="1" w:styleId="116">
    <w:name w:val="列表段落1"/>
    <w:basedOn w:val="1"/>
    <w:link w:val="129"/>
    <w:qFormat/>
    <w:uiPriority w:val="34"/>
    <w:pPr>
      <w:ind w:firstLine="420" w:firstLineChars="200"/>
    </w:pPr>
    <w:rPr>
      <w:rFonts w:ascii="Times New Roman" w:hAnsi="Times New Roman"/>
      <w:szCs w:val="20"/>
    </w:rPr>
  </w:style>
  <w:style w:type="paragraph" w:customStyle="1" w:styleId="117">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18">
    <w:name w:val="Char1"/>
    <w:basedOn w:val="1"/>
    <w:qFormat/>
    <w:uiPriority w:val="0"/>
    <w:pPr>
      <w:ind w:left="567" w:hanging="279"/>
    </w:pPr>
    <w:rPr>
      <w:rFonts w:ascii="Times New Roman" w:hAnsi="Times New Roman"/>
      <w:sz w:val="24"/>
      <w:szCs w:val="24"/>
    </w:rPr>
  </w:style>
  <w:style w:type="paragraph" w:customStyle="1" w:styleId="11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0">
    <w:name w:val="封二"/>
    <w:basedOn w:val="82"/>
    <w:next w:val="82"/>
    <w:qFormat/>
    <w:uiPriority w:val="0"/>
    <w:pPr>
      <w:ind w:firstLine="0" w:firstLineChars="0"/>
      <w:jc w:val="center"/>
    </w:pPr>
    <w:rPr>
      <w:rFonts w:eastAsia="黑体"/>
      <w:b/>
      <w:sz w:val="36"/>
      <w:szCs w:val="36"/>
    </w:rPr>
  </w:style>
  <w:style w:type="paragraph" w:customStyle="1" w:styleId="121">
    <w:name w:val="_Style 25"/>
    <w:basedOn w:val="1"/>
    <w:next w:val="1"/>
    <w:qFormat/>
    <w:uiPriority w:val="0"/>
  </w:style>
  <w:style w:type="paragraph" w:customStyle="1" w:styleId="122">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123">
    <w:name w:val="表头"/>
    <w:basedOn w:val="1"/>
    <w:qFormat/>
    <w:uiPriority w:val="0"/>
    <w:pPr>
      <w:spacing w:line="360" w:lineRule="auto"/>
      <w:jc w:val="center"/>
    </w:pPr>
    <w:rPr>
      <w:rFonts w:ascii="黑体" w:hAnsi="Times New Roman" w:eastAsia="黑体"/>
      <w:kern w:val="0"/>
      <w:sz w:val="24"/>
      <w:szCs w:val="20"/>
    </w:rPr>
  </w:style>
  <w:style w:type="paragraph" w:customStyle="1" w:styleId="124">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 w:type="paragraph" w:customStyle="1" w:styleId="125">
    <w:name w:val="Char Char Char1 Char"/>
    <w:basedOn w:val="17"/>
    <w:qFormat/>
    <w:uiPriority w:val="0"/>
    <w:rPr>
      <w:rFonts w:ascii="Tahoma" w:hAnsi="Tahoma"/>
      <w:sz w:val="24"/>
      <w:szCs w:val="24"/>
    </w:rPr>
  </w:style>
  <w:style w:type="paragraph" w:customStyle="1" w:styleId="126">
    <w:name w:val="封四"/>
    <w:basedOn w:val="82"/>
    <w:next w:val="82"/>
    <w:qFormat/>
    <w:uiPriority w:val="0"/>
    <w:pPr>
      <w:jc w:val="left"/>
    </w:pPr>
    <w:rPr>
      <w:rFonts w:eastAsia="等线"/>
      <w:sz w:val="30"/>
      <w:szCs w:val="30"/>
    </w:rPr>
  </w:style>
  <w:style w:type="paragraph" w:customStyle="1" w:styleId="127">
    <w:name w:val="封一"/>
    <w:basedOn w:val="82"/>
    <w:next w:val="82"/>
    <w:qFormat/>
    <w:uiPriority w:val="0"/>
    <w:pPr>
      <w:ind w:firstLine="0" w:firstLineChars="0"/>
      <w:jc w:val="center"/>
    </w:pPr>
    <w:rPr>
      <w:rFonts w:eastAsia="黑体"/>
      <w:b/>
      <w:sz w:val="84"/>
      <w:szCs w:val="84"/>
    </w:rPr>
  </w:style>
  <w:style w:type="paragraph" w:customStyle="1" w:styleId="128">
    <w:name w:val="_Style 11"/>
    <w:basedOn w:val="1"/>
    <w:qFormat/>
    <w:uiPriority w:val="0"/>
    <w:rPr>
      <w:rFonts w:ascii="Times New Roman" w:hAnsi="Times New Roman"/>
      <w:sz w:val="30"/>
      <w:szCs w:val="24"/>
    </w:rPr>
  </w:style>
  <w:style w:type="character" w:customStyle="1" w:styleId="129">
    <w:name w:val="列出段落 Char"/>
    <w:link w:val="116"/>
    <w:qFormat/>
    <w:uiPriority w:val="34"/>
    <w:rPr>
      <w:kern w:val="2"/>
      <w:sz w:val="21"/>
    </w:rPr>
  </w:style>
  <w:style w:type="paragraph" w:customStyle="1" w:styleId="130">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修订2"/>
    <w:hidden/>
    <w:unhideWhenUsed/>
    <w:qFormat/>
    <w:uiPriority w:val="99"/>
    <w:rPr>
      <w:rFonts w:ascii="Calibri" w:hAnsi="Calibri" w:eastAsia="宋体" w:cs="Times New Roman"/>
      <w:kern w:val="2"/>
      <w:sz w:val="21"/>
      <w:szCs w:val="22"/>
      <w:lang w:val="en-US" w:eastAsia="zh-CN" w:bidi="ar-SA"/>
    </w:rPr>
  </w:style>
  <w:style w:type="character" w:customStyle="1" w:styleId="133">
    <w:name w:val="列表段落 字符"/>
    <w:qFormat/>
    <w:uiPriority w:val="34"/>
    <w:rPr>
      <w:rFonts w:ascii="Calibri" w:hAnsi="Calibri" w:eastAsia="宋体" w:cs="黑体"/>
    </w:rPr>
  </w:style>
  <w:style w:type="paragraph" w:customStyle="1" w:styleId="134">
    <w:name w:val="列出段落11"/>
    <w:basedOn w:val="1"/>
    <w:qFormat/>
    <w:uiPriority w:val="0"/>
    <w:pPr>
      <w:ind w:firstLine="420" w:firstLineChars="200"/>
    </w:pPr>
  </w:style>
  <w:style w:type="character" w:customStyle="1" w:styleId="135">
    <w:name w:val="列出段落 Char1"/>
    <w:qFormat/>
    <w:uiPriority w:val="34"/>
    <w:rPr>
      <w:rFonts w:ascii="Calibri" w:hAnsi="Calibri" w:eastAsia="宋体" w:cs="黑体"/>
    </w:rPr>
  </w:style>
  <w:style w:type="paragraph" w:customStyle="1" w:styleId="136">
    <w:name w:val="Report Text"/>
    <w:link w:val="137"/>
    <w:qFormat/>
    <w:uiPriority w:val="0"/>
    <w:pPr>
      <w:spacing w:after="120" w:line="260" w:lineRule="atLeast"/>
      <w:ind w:left="1253"/>
    </w:pPr>
    <w:rPr>
      <w:rFonts w:ascii="Arial" w:hAnsi="Arial" w:eastAsia="Times New Roman" w:cs="Times New Roman"/>
      <w:lang w:val="en-GB" w:eastAsia="en-US" w:bidi="ar-SA"/>
    </w:rPr>
  </w:style>
  <w:style w:type="character" w:customStyle="1" w:styleId="137">
    <w:name w:val="Report Text Char"/>
    <w:link w:val="136"/>
    <w:qFormat/>
    <w:uiPriority w:val="0"/>
    <w:rPr>
      <w:rFonts w:ascii="Arial" w:hAnsi="Arial" w:eastAsia="Times New Roman"/>
      <w:lang w:val="en-GB" w:eastAsia="en-US"/>
    </w:rPr>
  </w:style>
  <w:style w:type="paragraph" w:customStyle="1" w:styleId="138">
    <w:name w:val="H-正文"/>
    <w:basedOn w:val="1"/>
    <w:qFormat/>
    <w:uiPriority w:val="0"/>
    <w:pPr>
      <w:ind w:firstLine="200" w:firstLineChars="200"/>
      <w:jc w:val="left"/>
    </w:pPr>
    <w:rPr>
      <w:rFonts w:ascii="Times New Roman" w:hAnsi="Times New Roman"/>
      <w:sz w:val="24"/>
      <w:szCs w:val="24"/>
      <w:lang w:val="zh-CN"/>
    </w:rPr>
  </w:style>
  <w:style w:type="paragraph" w:styleId="139">
    <w:name w:val="List Paragraph"/>
    <w:basedOn w:val="1"/>
    <w:qFormat/>
    <w:uiPriority w:val="34"/>
    <w:pPr>
      <w:ind w:firstLine="420" w:firstLineChars="200"/>
    </w:pPr>
    <w:rPr>
      <w:rFonts w:cs="黑体"/>
    </w:rPr>
  </w:style>
  <w:style w:type="paragraph" w:customStyle="1" w:styleId="140">
    <w:name w:val="修订3"/>
    <w:hidden/>
    <w:semiHidden/>
    <w:qFormat/>
    <w:uiPriority w:val="99"/>
    <w:rPr>
      <w:rFonts w:ascii="Calibri" w:hAnsi="Calibri" w:eastAsia="宋体" w:cs="Times New Roman"/>
      <w:kern w:val="2"/>
      <w:sz w:val="21"/>
      <w:szCs w:val="22"/>
      <w:lang w:val="en-US" w:eastAsia="zh-CN" w:bidi="ar-SA"/>
    </w:rPr>
  </w:style>
  <w:style w:type="paragraph" w:customStyle="1" w:styleId="141">
    <w:name w:val="修订4"/>
    <w:hidden/>
    <w:semiHidden/>
    <w:qFormat/>
    <w:uiPriority w:val="99"/>
    <w:rPr>
      <w:rFonts w:ascii="Calibri" w:hAnsi="Calibri" w:eastAsia="宋体" w:cs="Times New Roman"/>
      <w:kern w:val="2"/>
      <w:sz w:val="21"/>
      <w:szCs w:val="22"/>
      <w:lang w:val="en-US" w:eastAsia="zh-CN" w:bidi="ar-SA"/>
    </w:rPr>
  </w:style>
  <w:style w:type="paragraph" w:customStyle="1" w:styleId="142">
    <w:name w:val="修订5"/>
    <w:hidden/>
    <w:semiHidden/>
    <w:qFormat/>
    <w:uiPriority w:val="99"/>
    <w:rPr>
      <w:rFonts w:ascii="Calibri" w:hAnsi="Calibri" w:eastAsia="宋体" w:cs="Times New Roman"/>
      <w:kern w:val="2"/>
      <w:sz w:val="21"/>
      <w:szCs w:val="22"/>
      <w:lang w:val="en-US" w:eastAsia="zh-CN" w:bidi="ar-SA"/>
    </w:rPr>
  </w:style>
  <w:style w:type="paragraph" w:customStyle="1" w:styleId="14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E9A30-9897-426C-AD95-293FE12E82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50044</Words>
  <Characters>52937</Characters>
  <Lines>428</Lines>
  <Paragraphs>120</Paragraphs>
  <TotalTime>23</TotalTime>
  <ScaleCrop>false</ScaleCrop>
  <LinksUpToDate>false</LinksUpToDate>
  <CharactersWithSpaces>54486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2024-01-30T07:23:00Z</dcterms:created>
  <dc:creator>管理员</dc:creator>
  <cp:lastModifiedBy>WPS_1650870852</cp:lastModifiedBy>
  <cp:lastPrinted>2024-07-03T06:13:00Z</cp:lastPrinted>
  <dcterms:modified xsi:type="dcterms:W3CDTF">2024-07-03T08:48:59Z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7246504CE3A24E1F88F8151349D67352</vt:lpwstr>
  </property>
</Properties>
</file>