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outlineLvl w:val="1"/>
        <w:rPr>
          <w:rFonts w:hint="default"/>
          <w:color w:val="000000" w:themeColor="text1"/>
          <w14:textFill>
            <w14:solidFill>
              <w14:schemeClr w14:val="tx1"/>
            </w14:solidFill>
          </w14:textFill>
        </w:rPr>
      </w:pPr>
      <w:r>
        <w:rPr>
          <w:b/>
          <w:color w:val="000000" w:themeColor="text1"/>
          <w:sz w:val="36"/>
          <w14:textFill>
            <w14:solidFill>
              <w14:schemeClr w14:val="tx1"/>
            </w14:solidFill>
          </w14:textFill>
        </w:rPr>
        <w:t>第二章 采购需求</w:t>
      </w:r>
    </w:p>
    <w:p>
      <w:pPr>
        <w:pStyle w:val="10"/>
        <w:outlineLvl w:val="2"/>
        <w:rPr>
          <w:rFonts w:hint="default"/>
          <w:color w:val="000000" w:themeColor="text1"/>
          <w14:textFill>
            <w14:solidFill>
              <w14:schemeClr w14:val="tx1"/>
            </w14:solidFill>
          </w14:textFill>
        </w:rPr>
      </w:pPr>
      <w:r>
        <w:rPr>
          <w:b/>
          <w:color w:val="000000" w:themeColor="text1"/>
          <w:sz w:val="28"/>
          <w14:textFill>
            <w14:solidFill>
              <w14:schemeClr w14:val="tx1"/>
            </w14:solidFill>
          </w14:textFill>
        </w:rPr>
        <w:t>一、项目概况：</w:t>
      </w:r>
    </w:p>
    <w:p>
      <w:pPr>
        <w:ind w:left="524"/>
        <w:rPr>
          <w:color w:val="000000" w:themeColor="text1"/>
          <w:sz w:val="20"/>
          <w14:textFill>
            <w14:solidFill>
              <w14:schemeClr w14:val="tx1"/>
            </w14:solidFill>
          </w14:textFill>
        </w:rPr>
      </w:pPr>
      <w:r>
        <w:rPr>
          <w:color w:val="000000" w:themeColor="text1"/>
          <w:sz w:val="20"/>
          <w14:textFill>
            <w14:solidFill>
              <w14:schemeClr w14:val="tx1"/>
            </w14:solidFill>
          </w14:textFill>
        </w:rPr>
        <w:t>（一）项目属性：服务类</w:t>
      </w:r>
    </w:p>
    <w:p>
      <w:pPr>
        <w:pStyle w:val="2"/>
        <w:spacing w:before="6"/>
        <w:rPr>
          <w:color w:val="000000" w:themeColor="text1"/>
          <w:sz w:val="26"/>
          <w14:textFill>
            <w14:solidFill>
              <w14:schemeClr w14:val="tx1"/>
            </w14:solidFill>
          </w14:textFill>
        </w:rPr>
      </w:pPr>
    </w:p>
    <w:p>
      <w:pPr>
        <w:ind w:firstLine="600" w:firstLineChars="300"/>
        <w:jc w:val="both"/>
        <w:rPr>
          <w:color w:val="000000" w:themeColor="text1"/>
          <w:sz w:val="19"/>
          <w:szCs w:val="19"/>
          <w:lang w:val="en-US"/>
          <w14:textFill>
            <w14:solidFill>
              <w14:schemeClr w14:val="tx1"/>
            </w14:solidFill>
          </w14:textFill>
        </w:rPr>
      </w:pPr>
      <w:r>
        <w:rPr>
          <w:color w:val="000000" w:themeColor="text1"/>
          <w:sz w:val="20"/>
          <w14:textFill>
            <w14:solidFill>
              <w14:schemeClr w14:val="tx1"/>
            </w14:solidFill>
          </w14:textFill>
        </w:rPr>
        <w:t>（</w:t>
      </w:r>
      <w:r>
        <w:rPr>
          <w:rFonts w:hint="eastAsia"/>
          <w:color w:val="000000" w:themeColor="text1"/>
          <w:sz w:val="20"/>
          <w:lang w:val="en-US"/>
          <w14:textFill>
            <w14:solidFill>
              <w14:schemeClr w14:val="tx1"/>
            </w14:solidFill>
          </w14:textFill>
        </w:rPr>
        <w:t>二</w:t>
      </w:r>
      <w:r>
        <w:rPr>
          <w:color w:val="000000" w:themeColor="text1"/>
          <w:sz w:val="20"/>
          <w14:textFill>
            <w14:solidFill>
              <w14:schemeClr w14:val="tx1"/>
            </w14:solidFill>
          </w14:textFill>
        </w:rPr>
        <w:t>）</w:t>
      </w:r>
      <w:r>
        <w:rPr>
          <w:rFonts w:hint="eastAsia"/>
          <w:color w:val="000000" w:themeColor="text1"/>
          <w:sz w:val="19"/>
          <w:szCs w:val="19"/>
          <w:lang w:val="en-US"/>
          <w14:textFill>
            <w14:solidFill>
              <w14:schemeClr w14:val="tx1"/>
            </w14:solidFill>
          </w14:textFill>
        </w:rPr>
        <w:t>本项目属于不专门面向中小微企业预留采购份额的项目，原因和情形为：按照《政府采购促进中小企业发展管理办法》规定预留采购份额无法确保充分供应、充分竞争，或者存在可能影响政府采购目标实现的情形。</w:t>
      </w:r>
    </w:p>
    <w:p>
      <w:pPr>
        <w:ind w:left="520"/>
        <w:rPr>
          <w:color w:val="000000" w:themeColor="text1"/>
          <w:sz w:val="20"/>
          <w14:textFill>
            <w14:solidFill>
              <w14:schemeClr w14:val="tx1"/>
            </w14:solidFill>
          </w14:textFill>
        </w:rPr>
      </w:pPr>
    </w:p>
    <w:p>
      <w:pPr>
        <w:pStyle w:val="2"/>
        <w:spacing w:before="7"/>
        <w:rPr>
          <w:color w:val="000000" w:themeColor="text1"/>
          <w:sz w:val="20"/>
          <w14:textFill>
            <w14:solidFill>
              <w14:schemeClr w14:val="tx1"/>
            </w14:solidFill>
          </w14:textFill>
        </w:rPr>
      </w:pPr>
    </w:p>
    <w:p>
      <w:pPr>
        <w:pStyle w:val="3"/>
        <w:spacing w:before="72"/>
        <w:ind w:left="119"/>
        <w:rPr>
          <w:color w:val="000000" w:themeColor="text1"/>
          <w:lang w:val="en-US"/>
          <w14:textFill>
            <w14:solidFill>
              <w14:schemeClr w14:val="tx1"/>
            </w14:solidFill>
          </w14:textFill>
        </w:rPr>
      </w:pPr>
      <w:r>
        <w:rPr>
          <w:color w:val="000000" w:themeColor="text1"/>
          <w14:textFill>
            <w14:solidFill>
              <w14:schemeClr w14:val="tx1"/>
            </w14:solidFill>
          </w14:textFill>
        </w:rPr>
        <w:t>二、项目</w:t>
      </w:r>
      <w:r>
        <w:rPr>
          <w:rFonts w:hint="eastAsia"/>
          <w:color w:val="000000" w:themeColor="text1"/>
          <w14:textFill>
            <w14:solidFill>
              <w14:schemeClr w14:val="tx1"/>
            </w14:solidFill>
          </w14:textFill>
        </w:rPr>
        <w:t>背景</w:t>
      </w:r>
    </w:p>
    <w:p>
      <w:pPr>
        <w:pStyle w:val="2"/>
        <w:ind w:firstLine="380" w:firstLineChars="200"/>
        <w:rPr>
          <w:color w:val="000000" w:themeColor="text1"/>
          <w:sz w:val="20"/>
          <w14:textFill>
            <w14:solidFill>
              <w14:schemeClr w14:val="tx1"/>
            </w14:solidFill>
          </w14:textFill>
        </w:rPr>
      </w:pPr>
      <w:r>
        <w:rPr>
          <w:rFonts w:hint="eastAsia" w:ascii="仿宋_GB2312" w:cs="仿宋_GB2312"/>
          <w:color w:val="000000" w:themeColor="text1"/>
          <w14:textFill>
            <w14:solidFill>
              <w14:schemeClr w14:val="tx1"/>
            </w14:solidFill>
          </w14:textFill>
        </w:rPr>
        <w:t>随着财政各项制度改革的不断深入推进和广东省“数字财政”系统的建设，政府会计制度的施行和内控规范的要求越来越精细化，广州市人力资源和社会保障局的全面发展也对财务管理提出了更高的要求。旧系统的运行已无法满足不断增长的业务需求，无法支撑越来越多的业务板块和管理复杂的资金，导致广州市人力资源和社会保障局在资金管理方面遭遇到了极大的困难。</w:t>
      </w:r>
    </w:p>
    <w:p>
      <w:pPr>
        <w:pStyle w:val="2"/>
        <w:spacing w:before="9"/>
        <w:rPr>
          <w:color w:val="000000" w:themeColor="text1"/>
          <w:sz w:val="20"/>
          <w14:textFill>
            <w14:solidFill>
              <w14:schemeClr w14:val="tx1"/>
            </w14:solidFill>
          </w14:textFill>
        </w:rPr>
      </w:pPr>
    </w:p>
    <w:p>
      <w:pPr>
        <w:pStyle w:val="3"/>
        <w:spacing w:before="72"/>
        <w:ind w:left="119"/>
        <w:rPr>
          <w:color w:val="000000" w:themeColor="text1"/>
          <w14:textFill>
            <w14:solidFill>
              <w14:schemeClr w14:val="tx1"/>
            </w14:solidFill>
          </w14:textFill>
        </w:rPr>
      </w:pPr>
      <w:r>
        <w:rPr>
          <w:color w:val="000000" w:themeColor="text1"/>
          <w14:textFill>
            <w14:solidFill>
              <w14:schemeClr w14:val="tx1"/>
            </w14:solidFill>
          </w14:textFill>
        </w:rPr>
        <w:t>三、建设目标</w:t>
      </w:r>
    </w:p>
    <w:p>
      <w:pPr>
        <w:pStyle w:val="3"/>
        <w:rPr>
          <w:color w:val="000000" w:themeColor="text1"/>
          <w14:textFill>
            <w14:solidFill>
              <w14:schemeClr w14:val="tx1"/>
            </w14:solidFill>
          </w14:textFill>
        </w:rPr>
      </w:pPr>
      <w:bookmarkStart w:id="0" w:name="_Toc23522"/>
      <w:bookmarkStart w:id="1" w:name="_Toc5292"/>
      <w:bookmarkStart w:id="2" w:name="_Toc20179"/>
      <w:bookmarkStart w:id="3" w:name="_Toc3241"/>
      <w:bookmarkStart w:id="4" w:name="_Toc13800"/>
      <w:bookmarkStart w:id="5" w:name="_Toc32357"/>
      <w:bookmarkStart w:id="6" w:name="_Toc17326"/>
      <w:bookmarkStart w:id="7" w:name="_Toc17518"/>
      <w:bookmarkStart w:id="8" w:name="_Toc23781"/>
      <w:bookmarkStart w:id="9" w:name="_Toc11873"/>
      <w:bookmarkStart w:id="10" w:name="_Toc29995"/>
      <w:bookmarkStart w:id="11" w:name="_Toc13176"/>
      <w:bookmarkStart w:id="12" w:name="_Toc29570"/>
      <w:bookmarkStart w:id="13" w:name="_Toc22911"/>
      <w:bookmarkStart w:id="14" w:name="_Toc22588"/>
      <w:bookmarkStart w:id="15" w:name="_Toc32297"/>
      <w:bookmarkStart w:id="16" w:name="_Toc132"/>
      <w:bookmarkStart w:id="17" w:name="_Toc27678"/>
      <w:bookmarkStart w:id="18" w:name="_Toc4676"/>
      <w:r>
        <w:rPr>
          <w:rFonts w:hint="eastAsia"/>
          <w:color w:val="000000" w:themeColor="text1"/>
          <w14:textFill>
            <w14:solidFill>
              <w14:schemeClr w14:val="tx1"/>
            </w14:solidFill>
          </w14:textFill>
        </w:rPr>
        <w:t>（一）项目绩效目标</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为了适应广州市人力资源和社会保障局的业务发展变化以及财政改革的要求，提高财务管理的标准化、规范化、信息化和智能化水平，通过建设财务内控管理系统，打通人社局内外部财务相关系统的数据对接通道，增强系统的协同运作能力。将内部控制制度或规范嵌入信息系统之中，从而实现内控机制的程序化、常态化和精细化管理，有效降低财务风险，保障资金安全，进一步提升人社局整体监管和服务水平。</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具体目标如下：</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1.加强资金管理和财务内控管理，财务业务全流程纳入监管。对全局各级各类资金纳入管理，结合局内财务管理制度，对项目库、预算、绩效、指标、政府采购、合同、基建等项目资金、国有资产、支出执行、行政事业性收入、账务核算、决算报表、票据管理、财务综合管理等各典型财务业务全流程建设可用系统并纳入监管。</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2.提高财务管理能力，提高管理效率。依托系统开展对重点及高风险业务的检查、跟踪；系统实现可追溯的审批监管等业务流程；实现全量资金和重点业务的统计查询以及异常指标反馈。</w:t>
      </w:r>
    </w:p>
    <w:p>
      <w:pPr>
        <w:ind w:firstLine="480"/>
        <w:rPr>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3.辅助提高全局财务能力和决策支持能力。</w:t>
      </w:r>
    </w:p>
    <w:p>
      <w:pPr>
        <w:pStyle w:val="3"/>
        <w:rPr>
          <w:color w:val="000000" w:themeColor="text1"/>
          <w14:textFill>
            <w14:solidFill>
              <w14:schemeClr w14:val="tx1"/>
            </w14:solidFill>
          </w14:textFill>
        </w:rPr>
      </w:pPr>
      <w:bookmarkStart w:id="19" w:name="_Toc9106"/>
      <w:bookmarkStart w:id="20" w:name="_Toc26311"/>
      <w:bookmarkStart w:id="21" w:name="_Toc29235"/>
      <w:bookmarkStart w:id="22" w:name="_Toc13025"/>
      <w:bookmarkStart w:id="23" w:name="_Toc23566"/>
      <w:bookmarkStart w:id="24" w:name="_Toc16589"/>
      <w:bookmarkStart w:id="25" w:name="_Toc16111"/>
      <w:bookmarkStart w:id="26" w:name="_Toc21574"/>
      <w:bookmarkStart w:id="27" w:name="_Toc17028"/>
      <w:bookmarkStart w:id="28" w:name="_Toc19147"/>
      <w:bookmarkStart w:id="29" w:name="_Toc32578"/>
      <w:bookmarkStart w:id="30" w:name="_Toc31383"/>
      <w:bookmarkStart w:id="31" w:name="_Toc32439"/>
      <w:bookmarkStart w:id="32" w:name="_Toc18585"/>
      <w:bookmarkStart w:id="33" w:name="_Toc10146"/>
      <w:bookmarkStart w:id="34" w:name="_Toc24079"/>
      <w:bookmarkStart w:id="35" w:name="_Toc13692"/>
      <w:bookmarkStart w:id="36" w:name="_Toc26301"/>
      <w:bookmarkStart w:id="37" w:name="_Toc5148"/>
      <w:r>
        <w:rPr>
          <w:rFonts w:hint="eastAsia"/>
          <w:color w:val="000000" w:themeColor="text1"/>
          <w14:textFill>
            <w14:solidFill>
              <w14:schemeClr w14:val="tx1"/>
            </w14:solidFill>
          </w14:textFill>
        </w:rPr>
        <w:t>（二）项目绩效指标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ind w:firstLine="480"/>
        <w:jc w:val="center"/>
        <w:rPr>
          <w:rFonts w:ascii="仿宋_GB2312" w:hAnsi="仿宋_GB2312"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表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SEQ 表 \* ARABIC</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w:t>
      </w:r>
      <w:r>
        <w:rPr>
          <w:color w:val="000000" w:themeColor="text1"/>
          <w14:textFill>
            <w14:solidFill>
              <w14:schemeClr w14:val="tx1"/>
            </w14:solidFill>
          </w14:textFill>
        </w:rPr>
        <w:fldChar w:fldCharType="end"/>
      </w:r>
      <w:bookmarkStart w:id="38" w:name="_Toc10087"/>
      <w:r>
        <w:rPr>
          <w:rFonts w:hint="eastAsia" w:ascii="仿宋_GB2312" w:hAnsi="仿宋_GB2312" w:cs="仿宋_GB2312"/>
          <w:color w:val="000000" w:themeColor="text1"/>
          <w14:textFill>
            <w14:solidFill>
              <w14:schemeClr w14:val="tx1"/>
            </w14:solidFill>
          </w14:textFill>
        </w:rPr>
        <w:t xml:space="preserve"> 项目管理绩效指标</w:t>
      </w:r>
      <w:bookmarkEnd w:id="3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843"/>
        <w:gridCol w:w="2126"/>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center"/>
          </w:tcPr>
          <w:p>
            <w:pPr>
              <w:widowControl/>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1134" w:type="dxa"/>
            <w:vAlign w:val="center"/>
          </w:tcPr>
          <w:p>
            <w:pPr>
              <w:widowControl/>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一级指标</w:t>
            </w:r>
          </w:p>
        </w:tc>
        <w:tc>
          <w:tcPr>
            <w:tcW w:w="1843" w:type="dxa"/>
            <w:vAlign w:val="center"/>
          </w:tcPr>
          <w:p>
            <w:pPr>
              <w:widowControl/>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二级指标</w:t>
            </w:r>
          </w:p>
        </w:tc>
        <w:tc>
          <w:tcPr>
            <w:tcW w:w="2126" w:type="dxa"/>
            <w:vAlign w:val="center"/>
          </w:tcPr>
          <w:p>
            <w:pPr>
              <w:widowControl/>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三级指标</w:t>
            </w:r>
          </w:p>
        </w:tc>
        <w:tc>
          <w:tcPr>
            <w:tcW w:w="2898" w:type="dxa"/>
            <w:vAlign w:val="center"/>
          </w:tcPr>
          <w:p>
            <w:pPr>
              <w:widowControl/>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指标说明及测算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center"/>
          </w:tcPr>
          <w:p>
            <w:pPr>
              <w:widowControl/>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1</w:t>
            </w:r>
          </w:p>
        </w:tc>
        <w:tc>
          <w:tcPr>
            <w:tcW w:w="1134" w:type="dxa"/>
            <w:vMerge w:val="restart"/>
            <w:vAlign w:val="center"/>
          </w:tcPr>
          <w:p>
            <w:pPr>
              <w:jc w:val="center"/>
              <w:rPr>
                <w:rFonts w:ascii="黑体" w:hAnsi="黑体" w:eastAsia="黑体" w:cs="黑体"/>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项目管理</w:t>
            </w:r>
          </w:p>
        </w:tc>
        <w:tc>
          <w:tcPr>
            <w:tcW w:w="1843" w:type="dxa"/>
            <w:vAlign w:val="center"/>
          </w:tcPr>
          <w:p>
            <w:pPr>
              <w:widowControl/>
              <w:jc w:val="center"/>
              <w:rPr>
                <w:rFonts w:ascii="仿宋_GB2312" w:hAnsi="黑体" w:cs="黑体"/>
                <w:color w:val="000000" w:themeColor="text1"/>
                <w:szCs w:val="21"/>
                <w14:textFill>
                  <w14:solidFill>
                    <w14:schemeClr w14:val="tx1"/>
                  </w14:solidFill>
                </w14:textFill>
              </w:rPr>
            </w:pPr>
            <w:r>
              <w:rPr>
                <w:rFonts w:hint="eastAsia" w:ascii="仿宋_GB2312" w:hAnsi="黑体" w:cs="黑体"/>
                <w:color w:val="000000" w:themeColor="text1"/>
                <w:szCs w:val="21"/>
                <w14:textFill>
                  <w14:solidFill>
                    <w14:schemeClr w14:val="tx1"/>
                  </w14:solidFill>
                </w14:textFill>
              </w:rPr>
              <w:t>项目合同填报指标</w:t>
            </w:r>
          </w:p>
        </w:tc>
        <w:tc>
          <w:tcPr>
            <w:tcW w:w="2126" w:type="dxa"/>
            <w:vAlign w:val="center"/>
          </w:tcPr>
          <w:p>
            <w:pPr>
              <w:widowControl/>
              <w:jc w:val="center"/>
              <w:rPr>
                <w:rFonts w:ascii="仿宋_GB2312" w:hAnsi="黑体" w:cs="黑体"/>
                <w:color w:val="000000" w:themeColor="text1"/>
                <w:szCs w:val="21"/>
                <w:lang w:val="en-US"/>
                <w14:textFill>
                  <w14:solidFill>
                    <w14:schemeClr w14:val="tx1"/>
                  </w14:solidFill>
                </w14:textFill>
              </w:rPr>
            </w:pPr>
            <w:r>
              <w:rPr>
                <w:rFonts w:hint="eastAsia" w:ascii="仿宋_GB2312" w:hAnsi="黑体" w:cs="黑体"/>
                <w:color w:val="000000" w:themeColor="text1"/>
                <w:szCs w:val="21"/>
                <w14:textFill>
                  <w14:solidFill>
                    <w14:schemeClr w14:val="tx1"/>
                  </w14:solidFill>
                </w14:textFill>
              </w:rPr>
              <w:t>时间≤15</w:t>
            </w:r>
            <w:r>
              <w:rPr>
                <w:rFonts w:hint="eastAsia" w:ascii="仿宋_GB2312" w:hAnsi="黑体" w:cs="黑体"/>
                <w:color w:val="000000" w:themeColor="text1"/>
                <w:szCs w:val="21"/>
                <w:lang w:val="en-US"/>
                <w14:textFill>
                  <w14:solidFill>
                    <w14:schemeClr w14:val="tx1"/>
                  </w14:solidFill>
                </w14:textFill>
              </w:rPr>
              <w:t>工作日</w:t>
            </w:r>
          </w:p>
        </w:tc>
        <w:tc>
          <w:tcPr>
            <w:tcW w:w="2898" w:type="dxa"/>
            <w:vAlign w:val="center"/>
          </w:tcPr>
          <w:p>
            <w:pPr>
              <w:widowControl/>
              <w:rPr>
                <w:rFonts w:ascii="仿宋_GB2312" w:hAnsi="黑体" w:cs="黑体"/>
                <w:color w:val="000000" w:themeColor="text1"/>
                <w:szCs w:val="21"/>
                <w14:textFill>
                  <w14:solidFill>
                    <w14:schemeClr w14:val="tx1"/>
                  </w14:solidFill>
                </w14:textFill>
              </w:rPr>
            </w:pPr>
            <w:r>
              <w:rPr>
                <w:rFonts w:ascii="仿宋_GB2312" w:hAnsi="黑体" w:cs="黑体"/>
                <w:color w:val="000000" w:themeColor="text1"/>
                <w:szCs w:val="21"/>
                <w14:textFill>
                  <w14:solidFill>
                    <w14:schemeClr w14:val="tx1"/>
                  </w14:solidFill>
                </w14:textFill>
              </w:rPr>
              <w:t>项目单位应在签署合同后的15个工作日内</w:t>
            </w:r>
            <w:r>
              <w:rPr>
                <w:rFonts w:hint="eastAsia" w:ascii="仿宋_GB2312" w:hAnsi="黑体" w:cs="黑体"/>
                <w:color w:val="000000" w:themeColor="text1"/>
                <w:szCs w:val="21"/>
                <w14:textFill>
                  <w14:solidFill>
                    <w14:schemeClr w14:val="tx1"/>
                  </w14:solidFill>
                </w14:textFill>
              </w:rPr>
              <w:t>反馈</w:t>
            </w:r>
            <w:r>
              <w:rPr>
                <w:rFonts w:ascii="仿宋_GB2312" w:hAnsi="黑体" w:cs="黑体"/>
                <w:color w:val="000000" w:themeColor="text1"/>
                <w:szCs w:val="21"/>
                <w14:textFill>
                  <w14:solidFill>
                    <w14:schemeClr w14:val="tx1"/>
                  </w14:solidFill>
                </w14:textFill>
              </w:rPr>
              <w:t>合同签署情况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04"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ascii="仿宋_GB2312" w:hAnsi="仿宋_GB2312" w:cs="仿宋_GB2312"/>
                <w:color w:val="000000" w:themeColor="text1"/>
                <w:szCs w:val="21"/>
                <w14:textFill>
                  <w14:solidFill>
                    <w14:schemeClr w14:val="tx1"/>
                  </w14:solidFill>
                </w14:textFill>
              </w:rPr>
              <w:t>2</w:t>
            </w:r>
          </w:p>
        </w:tc>
        <w:tc>
          <w:tcPr>
            <w:tcW w:w="1134" w:type="dxa"/>
            <w:vMerge w:val="continue"/>
            <w:vAlign w:val="center"/>
          </w:tcPr>
          <w:p>
            <w:pPr>
              <w:widowControl/>
              <w:jc w:val="center"/>
              <w:rPr>
                <w:rFonts w:ascii="仿宋_GB2312" w:hAnsi="仿宋_GB2312" w:cs="仿宋_GB2312"/>
                <w:color w:val="000000" w:themeColor="text1"/>
                <w:szCs w:val="21"/>
                <w14:textFill>
                  <w14:solidFill>
                    <w14:schemeClr w14:val="tx1"/>
                  </w14:solidFill>
                </w14:textFill>
              </w:rPr>
            </w:pPr>
          </w:p>
        </w:tc>
        <w:tc>
          <w:tcPr>
            <w:tcW w:w="1843"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项目进度指标</w:t>
            </w:r>
          </w:p>
        </w:tc>
        <w:tc>
          <w:tcPr>
            <w:tcW w:w="2126"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等线"/>
                <w:color w:val="000000" w:themeColor="text1"/>
                <w:sz w:val="21"/>
                <w:szCs w:val="21"/>
                <w14:textFill>
                  <w14:solidFill>
                    <w14:schemeClr w14:val="tx1"/>
                  </w14:solidFill>
                </w14:textFill>
              </w:rPr>
              <w:t>时间≤</w:t>
            </w:r>
            <w:r>
              <w:rPr>
                <w:rFonts w:hint="eastAsia" w:ascii="仿宋_GB2312" w:hAnsi="仿宋_GB2312" w:cs="仿宋_GB2312"/>
                <w:color w:val="000000" w:themeColor="text1"/>
                <w:szCs w:val="21"/>
                <w14:textFill>
                  <w14:solidFill>
                    <w14:schemeClr w14:val="tx1"/>
                  </w14:solidFill>
                </w14:textFill>
              </w:rPr>
              <w:t>18月</w:t>
            </w:r>
          </w:p>
        </w:tc>
        <w:tc>
          <w:tcPr>
            <w:tcW w:w="2898" w:type="dxa"/>
            <w:vAlign w:val="center"/>
          </w:tcPr>
          <w:p>
            <w:pPr>
              <w:widowControl/>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项目启动到完成合同验收时间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ascii="仿宋_GB2312" w:hAnsi="仿宋_GB2312" w:cs="仿宋_GB2312"/>
                <w:color w:val="000000" w:themeColor="text1"/>
                <w:szCs w:val="21"/>
                <w14:textFill>
                  <w14:solidFill>
                    <w14:schemeClr w14:val="tx1"/>
                  </w14:solidFill>
                </w14:textFill>
              </w:rPr>
              <w:t>3</w:t>
            </w:r>
          </w:p>
        </w:tc>
        <w:tc>
          <w:tcPr>
            <w:tcW w:w="1134" w:type="dxa"/>
            <w:vMerge w:val="continue"/>
            <w:vAlign w:val="center"/>
          </w:tcPr>
          <w:p>
            <w:pPr>
              <w:widowControl/>
              <w:jc w:val="center"/>
              <w:rPr>
                <w:rFonts w:ascii="仿宋_GB2312" w:hAnsi="仿宋_GB2312" w:cs="仿宋_GB2312"/>
                <w:color w:val="000000" w:themeColor="text1"/>
                <w:szCs w:val="21"/>
                <w14:textFill>
                  <w14:solidFill>
                    <w14:schemeClr w14:val="tx1"/>
                  </w14:solidFill>
                </w14:textFill>
              </w:rPr>
            </w:pPr>
          </w:p>
        </w:tc>
        <w:tc>
          <w:tcPr>
            <w:tcW w:w="1843"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资金支出指标</w:t>
            </w:r>
          </w:p>
        </w:tc>
        <w:tc>
          <w:tcPr>
            <w:tcW w:w="2126"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ascii="仿宋_GB2312" w:hAnsi="仿宋_GB2312" w:cs="仿宋_GB2312"/>
                <w:color w:val="000000" w:themeColor="text1"/>
                <w:szCs w:val="21"/>
                <w14:textFill>
                  <w14:solidFill>
                    <w14:schemeClr w14:val="tx1"/>
                  </w14:solidFill>
                </w14:textFill>
              </w:rPr>
              <w:t>100%</w:t>
            </w:r>
          </w:p>
        </w:tc>
        <w:tc>
          <w:tcPr>
            <w:tcW w:w="2898" w:type="dxa"/>
            <w:vAlign w:val="center"/>
          </w:tcPr>
          <w:p>
            <w:pPr>
              <w:widowControl/>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合同验收后资金支付进度是否为100%</w:t>
            </w:r>
          </w:p>
        </w:tc>
      </w:tr>
    </w:tbl>
    <w:p>
      <w:pPr>
        <w:ind w:firstLine="480"/>
        <w:jc w:val="center"/>
        <w:rPr>
          <w:rFonts w:ascii="仿宋_GB2312" w:hAnsi="仿宋_GB2312"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表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SEQ 表 \* ARABIC</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w:t>
      </w:r>
      <w:r>
        <w:rPr>
          <w:color w:val="000000" w:themeColor="text1"/>
          <w14:textFill>
            <w14:solidFill>
              <w14:schemeClr w14:val="tx1"/>
            </w14:solidFill>
          </w14:textFill>
        </w:rPr>
        <w:fldChar w:fldCharType="end"/>
      </w:r>
      <w:bookmarkStart w:id="39" w:name="_Toc26637"/>
      <w:r>
        <w:rPr>
          <w:rFonts w:hint="eastAsia" w:ascii="仿宋_GB2312" w:hAnsi="仿宋_GB2312" w:cs="仿宋_GB2312"/>
          <w:color w:val="000000" w:themeColor="text1"/>
          <w14:textFill>
            <w14:solidFill>
              <w14:schemeClr w14:val="tx1"/>
            </w14:solidFill>
          </w14:textFill>
        </w:rPr>
        <w:t xml:space="preserve"> 系统绩效指标</w:t>
      </w:r>
      <w:bookmarkEnd w:id="3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843"/>
        <w:gridCol w:w="2126"/>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center"/>
          </w:tcPr>
          <w:p>
            <w:pPr>
              <w:widowControl/>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1134" w:type="dxa"/>
            <w:vAlign w:val="center"/>
          </w:tcPr>
          <w:p>
            <w:pPr>
              <w:widowControl/>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一级指标</w:t>
            </w:r>
          </w:p>
        </w:tc>
        <w:tc>
          <w:tcPr>
            <w:tcW w:w="1843" w:type="dxa"/>
            <w:vAlign w:val="center"/>
          </w:tcPr>
          <w:p>
            <w:pPr>
              <w:widowControl/>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二级指标</w:t>
            </w:r>
          </w:p>
        </w:tc>
        <w:tc>
          <w:tcPr>
            <w:tcW w:w="2126" w:type="dxa"/>
            <w:vAlign w:val="center"/>
          </w:tcPr>
          <w:p>
            <w:pPr>
              <w:widowControl/>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三级指标</w:t>
            </w:r>
          </w:p>
        </w:tc>
        <w:tc>
          <w:tcPr>
            <w:tcW w:w="2898" w:type="dxa"/>
            <w:vAlign w:val="center"/>
          </w:tcPr>
          <w:p>
            <w:pPr>
              <w:widowControl/>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指标说明及测算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center"/>
          </w:tcPr>
          <w:p>
            <w:pPr>
              <w:widowControl/>
              <w:numPr>
                <w:ilvl w:val="0"/>
                <w:numId w:val="3"/>
              </w:numPr>
              <w:ind w:firstLine="480"/>
              <w:jc w:val="center"/>
              <w:rPr>
                <w:rFonts w:ascii="仿宋_GB2312" w:hAnsi="仿宋_GB2312" w:cs="仿宋_GB2312"/>
                <w:color w:val="000000" w:themeColor="text1"/>
                <w:szCs w:val="21"/>
                <w14:textFill>
                  <w14:solidFill>
                    <w14:schemeClr w14:val="tx1"/>
                  </w14:solidFill>
                </w14:textFill>
              </w:rPr>
            </w:pPr>
          </w:p>
        </w:tc>
        <w:tc>
          <w:tcPr>
            <w:tcW w:w="1134" w:type="dxa"/>
            <w:vMerge w:val="restart"/>
            <w:noWrap/>
            <w:vAlign w:val="center"/>
          </w:tcPr>
          <w:p>
            <w:pPr>
              <w:widowControl/>
              <w:tabs>
                <w:tab w:val="left" w:pos="330"/>
              </w:tabs>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效益指标</w:t>
            </w:r>
          </w:p>
        </w:tc>
        <w:tc>
          <w:tcPr>
            <w:tcW w:w="1843" w:type="dxa"/>
            <w:noWrap/>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系统应用</w:t>
            </w:r>
          </w:p>
        </w:tc>
        <w:tc>
          <w:tcPr>
            <w:tcW w:w="2126"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系统用户数</w:t>
            </w:r>
          </w:p>
        </w:tc>
        <w:tc>
          <w:tcPr>
            <w:tcW w:w="2898" w:type="dxa"/>
            <w:vAlign w:val="center"/>
          </w:tcPr>
          <w:p>
            <w:pPr>
              <w:widowControl/>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信息系统用户数≥1000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center"/>
          </w:tcPr>
          <w:p>
            <w:pPr>
              <w:widowControl/>
              <w:numPr>
                <w:ilvl w:val="0"/>
                <w:numId w:val="3"/>
              </w:numPr>
              <w:ind w:firstLine="480"/>
              <w:jc w:val="center"/>
              <w:rPr>
                <w:rFonts w:ascii="仿宋_GB2312" w:hAnsi="仿宋_GB2312" w:cs="仿宋_GB2312"/>
                <w:color w:val="000000" w:themeColor="text1"/>
                <w:szCs w:val="21"/>
                <w14:textFill>
                  <w14:solidFill>
                    <w14:schemeClr w14:val="tx1"/>
                  </w14:solidFill>
                </w14:textFill>
              </w:rPr>
            </w:pPr>
          </w:p>
        </w:tc>
        <w:tc>
          <w:tcPr>
            <w:tcW w:w="1134" w:type="dxa"/>
            <w:vMerge w:val="continue"/>
            <w:vAlign w:val="center"/>
          </w:tcPr>
          <w:p>
            <w:pPr>
              <w:widowControl/>
              <w:jc w:val="center"/>
              <w:rPr>
                <w:rFonts w:ascii="仿宋_GB2312" w:hAnsi="仿宋_GB2312" w:cs="仿宋_GB2312"/>
                <w:color w:val="000000" w:themeColor="text1"/>
                <w:szCs w:val="21"/>
                <w14:textFill>
                  <w14:solidFill>
                    <w14:schemeClr w14:val="tx1"/>
                  </w14:solidFill>
                </w14:textFill>
              </w:rPr>
            </w:pPr>
          </w:p>
        </w:tc>
        <w:tc>
          <w:tcPr>
            <w:tcW w:w="1843"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年度业务量</w:t>
            </w:r>
          </w:p>
        </w:tc>
        <w:tc>
          <w:tcPr>
            <w:tcW w:w="2126"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年度业务量</w:t>
            </w:r>
          </w:p>
        </w:tc>
        <w:tc>
          <w:tcPr>
            <w:tcW w:w="2898" w:type="dxa"/>
            <w:vAlign w:val="center"/>
          </w:tcPr>
          <w:p>
            <w:pPr>
              <w:widowControl/>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使用系统办件的业务量≥30000件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center"/>
          </w:tcPr>
          <w:p>
            <w:pPr>
              <w:widowControl/>
              <w:numPr>
                <w:ilvl w:val="0"/>
                <w:numId w:val="3"/>
              </w:numPr>
              <w:ind w:firstLine="480"/>
              <w:jc w:val="center"/>
              <w:rPr>
                <w:rFonts w:ascii="仿宋_GB2312" w:hAnsi="仿宋_GB2312" w:cs="仿宋_GB2312"/>
                <w:color w:val="000000" w:themeColor="text1"/>
                <w:szCs w:val="21"/>
                <w14:textFill>
                  <w14:solidFill>
                    <w14:schemeClr w14:val="tx1"/>
                  </w14:solidFill>
                </w14:textFill>
              </w:rPr>
            </w:pPr>
          </w:p>
        </w:tc>
        <w:tc>
          <w:tcPr>
            <w:tcW w:w="1134" w:type="dxa"/>
            <w:vMerge w:val="restart"/>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系统质量</w:t>
            </w:r>
          </w:p>
        </w:tc>
        <w:tc>
          <w:tcPr>
            <w:tcW w:w="1843" w:type="dxa"/>
            <w:vMerge w:val="restart"/>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系统性能</w:t>
            </w:r>
          </w:p>
        </w:tc>
        <w:tc>
          <w:tcPr>
            <w:tcW w:w="2126"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系统并发数（个）</w:t>
            </w:r>
          </w:p>
        </w:tc>
        <w:tc>
          <w:tcPr>
            <w:tcW w:w="2898" w:type="dxa"/>
            <w:vAlign w:val="center"/>
          </w:tcPr>
          <w:p>
            <w:pPr>
              <w:widowControl/>
              <w:rPr>
                <w:rFonts w:ascii="仿宋" w:hAnsi="仿宋" w:cs="仿宋"/>
                <w:color w:val="000000" w:themeColor="text1"/>
                <w:szCs w:val="24"/>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1</w:t>
            </w:r>
            <w:r>
              <w:rPr>
                <w:rFonts w:ascii="仿宋_GB2312" w:hAnsi="仿宋_GB2312" w:cs="仿宋_GB2312"/>
                <w:color w:val="000000" w:themeColor="text1"/>
                <w:szCs w:val="21"/>
                <w14:textFill>
                  <w14:solidFill>
                    <w14:schemeClr w14:val="tx1"/>
                  </w14:solidFill>
                </w14:textFill>
              </w:rPr>
              <w:t>00</w:t>
            </w:r>
            <w:r>
              <w:rPr>
                <w:rFonts w:hint="eastAsia" w:ascii="仿宋_GB2312" w:hAnsi="仿宋_GB2312" w:cs="仿宋_GB2312"/>
                <w:color w:val="000000" w:themeColor="text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center"/>
          </w:tcPr>
          <w:p>
            <w:pPr>
              <w:widowControl/>
              <w:numPr>
                <w:ilvl w:val="0"/>
                <w:numId w:val="3"/>
              </w:numPr>
              <w:ind w:firstLine="480"/>
              <w:jc w:val="center"/>
              <w:rPr>
                <w:rFonts w:ascii="仿宋_GB2312" w:hAnsi="仿宋_GB2312" w:cs="仿宋_GB2312"/>
                <w:color w:val="000000" w:themeColor="text1"/>
                <w:szCs w:val="21"/>
                <w14:textFill>
                  <w14:solidFill>
                    <w14:schemeClr w14:val="tx1"/>
                  </w14:solidFill>
                </w14:textFill>
              </w:rPr>
            </w:pPr>
          </w:p>
        </w:tc>
        <w:tc>
          <w:tcPr>
            <w:tcW w:w="1134" w:type="dxa"/>
            <w:vMerge w:val="continue"/>
            <w:vAlign w:val="center"/>
          </w:tcPr>
          <w:p>
            <w:pPr>
              <w:widowControl/>
              <w:jc w:val="center"/>
              <w:rPr>
                <w:rFonts w:ascii="仿宋_GB2312" w:hAnsi="仿宋_GB2312" w:cs="仿宋_GB2312"/>
                <w:color w:val="000000" w:themeColor="text1"/>
                <w:szCs w:val="21"/>
                <w14:textFill>
                  <w14:solidFill>
                    <w14:schemeClr w14:val="tx1"/>
                  </w14:solidFill>
                </w14:textFill>
              </w:rPr>
            </w:pPr>
          </w:p>
        </w:tc>
        <w:tc>
          <w:tcPr>
            <w:tcW w:w="1843" w:type="dxa"/>
            <w:vMerge w:val="continue"/>
            <w:vAlign w:val="center"/>
          </w:tcPr>
          <w:p>
            <w:pPr>
              <w:widowControl/>
              <w:jc w:val="center"/>
              <w:rPr>
                <w:rFonts w:ascii="仿宋_GB2312" w:hAnsi="仿宋_GB2312" w:cs="仿宋_GB2312"/>
                <w:color w:val="000000" w:themeColor="text1"/>
                <w:szCs w:val="21"/>
                <w14:textFill>
                  <w14:solidFill>
                    <w14:schemeClr w14:val="tx1"/>
                  </w14:solidFill>
                </w14:textFill>
              </w:rPr>
            </w:pPr>
          </w:p>
        </w:tc>
        <w:tc>
          <w:tcPr>
            <w:tcW w:w="2126"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系统响应时间（秒）</w:t>
            </w:r>
          </w:p>
        </w:tc>
        <w:tc>
          <w:tcPr>
            <w:tcW w:w="2898" w:type="dxa"/>
            <w:vAlign w:val="center"/>
          </w:tcPr>
          <w:p>
            <w:pPr>
              <w:widowControl/>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简单事务处理(包含各类查询业务、主要页面平均响应时间等)的响应时间不大于</w:t>
            </w:r>
            <w:r>
              <w:rPr>
                <w:rFonts w:ascii="仿宋_GB2312" w:hAnsi="仿宋_GB2312" w:cs="仿宋_GB2312"/>
                <w:color w:val="000000" w:themeColor="text1"/>
                <w:sz w:val="21"/>
                <w:szCs w:val="21"/>
                <w14:textFill>
                  <w14:solidFill>
                    <w14:schemeClr w14:val="tx1"/>
                  </w14:solidFill>
                </w14:textFill>
              </w:rPr>
              <w:t>3</w:t>
            </w:r>
            <w:r>
              <w:rPr>
                <w:rFonts w:hint="eastAsia" w:ascii="仿宋_GB2312" w:hAnsi="仿宋_GB2312" w:cs="仿宋_GB2312"/>
                <w:color w:val="000000" w:themeColor="text1"/>
                <w:sz w:val="21"/>
                <w:szCs w:val="21"/>
                <w14:textFill>
                  <w14:solidFill>
                    <w14:schemeClr w14:val="tx1"/>
                  </w14:solidFill>
                </w14:textFill>
              </w:rPr>
              <w:t>秒；复杂事务处理的响应时间不大于10秒；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4" w:type="dxa"/>
            <w:vAlign w:val="center"/>
          </w:tcPr>
          <w:p>
            <w:pPr>
              <w:widowControl/>
              <w:numPr>
                <w:ilvl w:val="0"/>
                <w:numId w:val="3"/>
              </w:numPr>
              <w:ind w:firstLine="480"/>
              <w:jc w:val="center"/>
              <w:rPr>
                <w:rFonts w:ascii="仿宋_GB2312" w:hAnsi="仿宋_GB2312" w:cs="仿宋_GB2312"/>
                <w:color w:val="000000" w:themeColor="text1"/>
                <w:szCs w:val="21"/>
                <w14:textFill>
                  <w14:solidFill>
                    <w14:schemeClr w14:val="tx1"/>
                  </w14:solidFill>
                </w14:textFill>
              </w:rPr>
            </w:pPr>
          </w:p>
        </w:tc>
        <w:tc>
          <w:tcPr>
            <w:tcW w:w="1134" w:type="dxa"/>
            <w:vMerge w:val="continue"/>
            <w:vAlign w:val="center"/>
          </w:tcPr>
          <w:p>
            <w:pPr>
              <w:widowControl/>
              <w:jc w:val="center"/>
              <w:rPr>
                <w:rFonts w:ascii="仿宋_GB2312" w:hAnsi="仿宋_GB2312" w:cs="仿宋_GB2312"/>
                <w:color w:val="000000" w:themeColor="text1"/>
                <w:szCs w:val="21"/>
                <w14:textFill>
                  <w14:solidFill>
                    <w14:schemeClr w14:val="tx1"/>
                  </w14:solidFill>
                </w14:textFill>
              </w:rPr>
            </w:pPr>
          </w:p>
        </w:tc>
        <w:tc>
          <w:tcPr>
            <w:tcW w:w="1843" w:type="dxa"/>
            <w:vMerge w:val="restart"/>
            <w:noWrap/>
            <w:vAlign w:val="center"/>
          </w:tcPr>
          <w:p>
            <w:pPr>
              <w:widowControl/>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数量质量</w:t>
            </w:r>
          </w:p>
        </w:tc>
        <w:tc>
          <w:tcPr>
            <w:tcW w:w="2126" w:type="dxa"/>
            <w:vAlign w:val="center"/>
          </w:tcPr>
          <w:p>
            <w:pPr>
              <w:widowControl/>
              <w:jc w:val="both"/>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数据项完整性</w:t>
            </w:r>
            <w:r>
              <w:rPr>
                <w:rFonts w:hint="eastAsia" w:ascii="仿宋_GB2312" w:hAnsi="仿宋_GB2312" w:cs="仿宋_GB2312"/>
                <w:color w:val="000000" w:themeColor="text1"/>
                <w:sz w:val="21"/>
                <w:szCs w:val="21"/>
                <w14:textFill>
                  <w14:solidFill>
                    <w14:schemeClr w14:val="tx1"/>
                  </w14:solidFill>
                </w14:textFill>
              </w:rPr>
              <w:t>（</w:t>
            </w:r>
            <w:r>
              <w:rPr>
                <w:rFonts w:ascii="仿宋_GB2312" w:hAnsi="仿宋_GB2312" w:cs="仿宋_GB2312"/>
                <w:color w:val="000000" w:themeColor="text1"/>
                <w:sz w:val="21"/>
                <w:szCs w:val="21"/>
                <w14:textFill>
                  <w14:solidFill>
                    <w14:schemeClr w14:val="tx1"/>
                  </w14:solidFill>
                </w14:textFill>
              </w:rPr>
              <w:t>%）</w:t>
            </w:r>
          </w:p>
        </w:tc>
        <w:tc>
          <w:tcPr>
            <w:tcW w:w="2898" w:type="dxa"/>
            <w:vAlign w:val="center"/>
          </w:tcPr>
          <w:p>
            <w:pPr>
              <w:widowControl/>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w:t>
            </w:r>
            <w:r>
              <w:rPr>
                <w:rFonts w:ascii="仿宋_GB2312" w:hAnsi="仿宋_GB2312" w:cs="仿宋_GB2312"/>
                <w:color w:val="000000" w:themeColor="text1"/>
                <w:sz w:val="21"/>
                <w:szCs w:val="21"/>
                <w14:textFill>
                  <w14:solidFill>
                    <w14:schemeClr w14:val="tx1"/>
                  </w14:solidFill>
                </w14:textFill>
              </w:rPr>
              <w:t>80%</w:t>
            </w:r>
            <w:r>
              <w:rPr>
                <w:rFonts w:hint="eastAsia" w:ascii="仿宋_GB2312" w:hAnsi="仿宋_GB2312" w:cs="仿宋_GB2312"/>
                <w:color w:val="000000" w:themeColor="text1"/>
                <w:sz w:val="21"/>
                <w:szCs w:val="21"/>
                <w14:textFill>
                  <w14:solidFill>
                    <w14:schemeClr w14:val="tx1"/>
                  </w14:solidFill>
                </w14:textFill>
              </w:rPr>
              <w:t>，指</w:t>
            </w:r>
            <w:r>
              <w:rPr>
                <w:rFonts w:hint="eastAsia" w:ascii="仿宋_GB2312" w:hAnsi="仿宋_GB2312" w:cs="仿宋_GB2312"/>
                <w:color w:val="000000" w:themeColor="text1"/>
                <w:sz w:val="21"/>
                <w:szCs w:val="21"/>
                <w14:textFill>
                  <w14:solidFill>
                    <w14:schemeClr w14:val="tx1"/>
                  </w14:solidFill>
                </w14:textFill>
              </w:rPr>
              <w:t>系统不存在空值的关键数据项数量</w:t>
            </w:r>
            <w:r>
              <w:rPr>
                <w:rFonts w:ascii="仿宋_GB2312" w:hAnsi="仿宋_GB2312" w:cs="仿宋_GB2312"/>
                <w:color w:val="000000" w:themeColor="text1"/>
                <w:sz w:val="21"/>
                <w:szCs w:val="21"/>
                <w14:textFill>
                  <w14:solidFill>
                    <w14:schemeClr w14:val="tx1"/>
                  </w14:solidFill>
                </w14:textFill>
              </w:rPr>
              <w:t>/关键数据项总数量</w:t>
            </w:r>
            <w:r>
              <w:rPr>
                <w:rFonts w:hint="eastAsia" w:ascii="仿宋_GB2312" w:hAnsi="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4" w:type="dxa"/>
            <w:vAlign w:val="center"/>
          </w:tcPr>
          <w:p>
            <w:pPr>
              <w:widowControl/>
              <w:numPr>
                <w:ilvl w:val="0"/>
                <w:numId w:val="3"/>
              </w:numPr>
              <w:ind w:firstLine="480"/>
              <w:jc w:val="center"/>
              <w:rPr>
                <w:rFonts w:ascii="仿宋_GB2312" w:hAnsi="仿宋_GB2312" w:cs="仿宋_GB2312"/>
                <w:color w:val="000000" w:themeColor="text1"/>
                <w:szCs w:val="21"/>
                <w14:textFill>
                  <w14:solidFill>
                    <w14:schemeClr w14:val="tx1"/>
                  </w14:solidFill>
                </w14:textFill>
              </w:rPr>
            </w:pPr>
          </w:p>
        </w:tc>
        <w:tc>
          <w:tcPr>
            <w:tcW w:w="1134" w:type="dxa"/>
            <w:vMerge w:val="continue"/>
            <w:vAlign w:val="center"/>
          </w:tcPr>
          <w:p>
            <w:pPr>
              <w:widowControl/>
              <w:jc w:val="center"/>
              <w:rPr>
                <w:rFonts w:ascii="仿宋_GB2312" w:hAnsi="仿宋_GB2312" w:cs="仿宋_GB2312"/>
                <w:color w:val="000000" w:themeColor="text1"/>
                <w:szCs w:val="21"/>
                <w14:textFill>
                  <w14:solidFill>
                    <w14:schemeClr w14:val="tx1"/>
                  </w14:solidFill>
                </w14:textFill>
              </w:rPr>
            </w:pPr>
          </w:p>
        </w:tc>
        <w:tc>
          <w:tcPr>
            <w:tcW w:w="1843" w:type="dxa"/>
            <w:vMerge w:val="continue"/>
            <w:noWrap/>
            <w:vAlign w:val="center"/>
          </w:tcPr>
          <w:p>
            <w:pPr>
              <w:widowControl/>
              <w:rPr>
                <w:rFonts w:ascii="仿宋_GB2312" w:hAnsi="仿宋_GB2312" w:cs="仿宋_GB2312"/>
                <w:color w:val="000000" w:themeColor="text1"/>
                <w:szCs w:val="21"/>
                <w14:textFill>
                  <w14:solidFill>
                    <w14:schemeClr w14:val="tx1"/>
                  </w14:solidFill>
                </w14:textFill>
              </w:rPr>
            </w:pPr>
          </w:p>
        </w:tc>
        <w:tc>
          <w:tcPr>
            <w:tcW w:w="2126" w:type="dxa"/>
            <w:vAlign w:val="center"/>
          </w:tcPr>
          <w:p>
            <w:pPr>
              <w:widowControl/>
              <w:jc w:val="both"/>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数据内容规范性</w:t>
            </w:r>
            <w:r>
              <w:rPr>
                <w:rFonts w:hint="eastAsia" w:ascii="仿宋_GB2312" w:hAnsi="仿宋_GB2312" w:cs="仿宋_GB2312"/>
                <w:color w:val="000000" w:themeColor="text1"/>
                <w:sz w:val="21"/>
                <w:szCs w:val="21"/>
                <w14:textFill>
                  <w14:solidFill>
                    <w14:schemeClr w14:val="tx1"/>
                  </w14:solidFill>
                </w14:textFill>
              </w:rPr>
              <w:t>（</w:t>
            </w:r>
            <w:r>
              <w:rPr>
                <w:rFonts w:ascii="仿宋_GB2312" w:hAnsi="仿宋_GB2312" w:cs="仿宋_GB2312"/>
                <w:color w:val="000000" w:themeColor="text1"/>
                <w:sz w:val="21"/>
                <w:szCs w:val="21"/>
                <w14:textFill>
                  <w14:solidFill>
                    <w14:schemeClr w14:val="tx1"/>
                  </w14:solidFill>
                </w14:textFill>
              </w:rPr>
              <w:t>%）</w:t>
            </w:r>
          </w:p>
        </w:tc>
        <w:tc>
          <w:tcPr>
            <w:tcW w:w="2898" w:type="dxa"/>
            <w:vAlign w:val="center"/>
          </w:tcPr>
          <w:p>
            <w:pPr>
              <w:widowControl/>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w:t>
            </w:r>
            <w:r>
              <w:rPr>
                <w:rFonts w:ascii="仿宋_GB2312" w:hAnsi="仿宋_GB2312" w:cs="仿宋_GB2312"/>
                <w:color w:val="000000" w:themeColor="text1"/>
                <w:sz w:val="21"/>
                <w:szCs w:val="21"/>
                <w14:textFill>
                  <w14:solidFill>
                    <w14:schemeClr w14:val="tx1"/>
                  </w14:solidFill>
                </w14:textFill>
              </w:rPr>
              <w:t>90%</w:t>
            </w:r>
            <w:r>
              <w:rPr>
                <w:rFonts w:hint="eastAsia" w:ascii="仿宋_GB2312" w:hAnsi="仿宋_GB2312" w:cs="仿宋_GB2312"/>
                <w:color w:val="000000" w:themeColor="text1"/>
                <w:sz w:val="21"/>
                <w:szCs w:val="21"/>
                <w14:textFill>
                  <w14:solidFill>
                    <w14:schemeClr w14:val="tx1"/>
                  </w14:solidFill>
                </w14:textFill>
              </w:rPr>
              <w:t>，指</w:t>
            </w:r>
            <w:r>
              <w:rPr>
                <w:rFonts w:hint="eastAsia" w:ascii="仿宋_GB2312" w:hAnsi="仿宋_GB2312" w:cs="仿宋_GB2312"/>
                <w:color w:val="000000" w:themeColor="text1"/>
                <w:sz w:val="21"/>
                <w:szCs w:val="21"/>
                <w14:textFill>
                  <w14:solidFill>
                    <w14:schemeClr w14:val="tx1"/>
                  </w14:solidFill>
                </w14:textFill>
              </w:rPr>
              <w:t>系统符合格式规范或符合固有的取值标准的关键数据项数量</w:t>
            </w:r>
            <w:r>
              <w:rPr>
                <w:rFonts w:ascii="仿宋_GB2312" w:hAnsi="仿宋_GB2312" w:cs="仿宋_GB2312"/>
                <w:color w:val="000000" w:themeColor="text1"/>
                <w:sz w:val="21"/>
                <w:szCs w:val="21"/>
                <w14:textFill>
                  <w14:solidFill>
                    <w14:schemeClr w14:val="tx1"/>
                  </w14:solidFill>
                </w14:textFill>
              </w:rPr>
              <w:t>/关键数据项总数量</w:t>
            </w:r>
            <w:r>
              <w:rPr>
                <w:rFonts w:hint="eastAsia" w:ascii="仿宋_GB2312" w:hAnsi="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center"/>
          </w:tcPr>
          <w:p>
            <w:pPr>
              <w:widowControl/>
              <w:numPr>
                <w:ilvl w:val="0"/>
                <w:numId w:val="3"/>
              </w:numPr>
              <w:ind w:firstLine="480"/>
              <w:jc w:val="center"/>
              <w:rPr>
                <w:rFonts w:ascii="仿宋_GB2312" w:hAnsi="仿宋_GB2312" w:cs="仿宋_GB2312"/>
                <w:color w:val="000000" w:themeColor="text1"/>
                <w:szCs w:val="21"/>
                <w14:textFill>
                  <w14:solidFill>
                    <w14:schemeClr w14:val="tx1"/>
                  </w14:solidFill>
                </w14:textFill>
              </w:rPr>
            </w:pPr>
          </w:p>
        </w:tc>
        <w:tc>
          <w:tcPr>
            <w:tcW w:w="1134" w:type="dxa"/>
            <w:vMerge w:val="continue"/>
            <w:vAlign w:val="center"/>
          </w:tcPr>
          <w:p>
            <w:pPr>
              <w:widowControl/>
              <w:jc w:val="center"/>
              <w:rPr>
                <w:rFonts w:ascii="仿宋_GB2312" w:hAnsi="仿宋_GB2312" w:cs="仿宋_GB2312"/>
                <w:color w:val="000000" w:themeColor="text1"/>
                <w:szCs w:val="21"/>
                <w14:textFill>
                  <w14:solidFill>
                    <w14:schemeClr w14:val="tx1"/>
                  </w14:solidFill>
                </w14:textFill>
              </w:rPr>
            </w:pPr>
          </w:p>
        </w:tc>
        <w:tc>
          <w:tcPr>
            <w:tcW w:w="1843"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数据共享与开放</w:t>
            </w:r>
          </w:p>
        </w:tc>
        <w:tc>
          <w:tcPr>
            <w:tcW w:w="2126"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新增信息资源目录数（个）</w:t>
            </w:r>
          </w:p>
        </w:tc>
        <w:tc>
          <w:tcPr>
            <w:tcW w:w="2898" w:type="dxa"/>
            <w:vAlign w:val="center"/>
          </w:tcPr>
          <w:p>
            <w:pPr>
              <w:widowControl/>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新增总信息资源目录数1个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center"/>
          </w:tcPr>
          <w:p>
            <w:pPr>
              <w:widowControl/>
              <w:numPr>
                <w:ilvl w:val="0"/>
                <w:numId w:val="3"/>
              </w:numPr>
              <w:ind w:firstLine="480"/>
              <w:jc w:val="center"/>
              <w:rPr>
                <w:rFonts w:ascii="仿宋_GB2312" w:hAnsi="仿宋_GB2312" w:cs="仿宋_GB2312"/>
                <w:color w:val="000000" w:themeColor="text1"/>
                <w:szCs w:val="21"/>
                <w14:textFill>
                  <w14:solidFill>
                    <w14:schemeClr w14:val="tx1"/>
                  </w14:solidFill>
                </w14:textFill>
              </w:rPr>
            </w:pPr>
          </w:p>
        </w:tc>
        <w:tc>
          <w:tcPr>
            <w:tcW w:w="1134"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网络安全</w:t>
            </w:r>
          </w:p>
        </w:tc>
        <w:tc>
          <w:tcPr>
            <w:tcW w:w="1843"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安全指标</w:t>
            </w:r>
          </w:p>
        </w:tc>
        <w:tc>
          <w:tcPr>
            <w:tcW w:w="2126" w:type="dxa"/>
            <w:vAlign w:val="center"/>
          </w:tcPr>
          <w:p>
            <w:pPr>
              <w:widowControl/>
              <w:jc w:val="center"/>
              <w:rPr>
                <w:rFonts w:ascii="仿宋_GB2312" w:hAnsi="仿宋_GB2312" w:cs="仿宋_GB2312"/>
                <w:color w:val="000000" w:themeColor="text1"/>
                <w:szCs w:val="21"/>
                <w14:textFill>
                  <w14:solidFill>
                    <w14:schemeClr w14:val="tx1"/>
                  </w14:solidFill>
                </w14:textFill>
              </w:rPr>
            </w:pPr>
            <w:r>
              <w:rPr>
                <w:rFonts w:hint="eastAsia"/>
                <w:color w:val="000000" w:themeColor="text1"/>
                <w14:textFill>
                  <w14:solidFill>
                    <w14:schemeClr w14:val="tx1"/>
                  </w14:solidFill>
                </w14:textFill>
              </w:rPr>
              <w:t>等级保护级别</w:t>
            </w:r>
          </w:p>
        </w:tc>
        <w:tc>
          <w:tcPr>
            <w:tcW w:w="2898" w:type="dxa"/>
            <w:vAlign w:val="center"/>
          </w:tcPr>
          <w:p>
            <w:pPr>
              <w:widowControl/>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二级</w:t>
            </w:r>
          </w:p>
        </w:tc>
      </w:tr>
    </w:tbl>
    <w:p>
      <w:pPr>
        <w:pStyle w:val="2"/>
        <w:rPr>
          <w:color w:val="000000" w:themeColor="text1"/>
          <w:sz w:val="20"/>
          <w14:textFill>
            <w14:solidFill>
              <w14:schemeClr w14:val="tx1"/>
            </w14:solidFill>
          </w14:textFill>
        </w:rPr>
      </w:pPr>
    </w:p>
    <w:p>
      <w:pPr>
        <w:pStyle w:val="3"/>
        <w:spacing w:before="72"/>
        <w:ind w:left="119"/>
        <w:rPr>
          <w:color w:val="000000" w:themeColor="text1"/>
          <w14:textFill>
            <w14:solidFill>
              <w14:schemeClr w14:val="tx1"/>
            </w14:solidFill>
          </w14:textFill>
        </w:rPr>
      </w:pPr>
      <w:r>
        <w:rPr>
          <w:color w:val="000000" w:themeColor="text1"/>
          <w14:textFill>
            <w14:solidFill>
              <w14:schemeClr w14:val="tx1"/>
            </w14:solidFill>
          </w14:textFill>
        </w:rPr>
        <w:t>四、标准规范</w:t>
      </w:r>
    </w:p>
    <w:p>
      <w:pPr>
        <w:spacing w:before="133" w:line="364" w:lineRule="auto"/>
        <w:ind w:left="520" w:right="4160"/>
        <w:rPr>
          <w:color w:val="000000" w:themeColor="text1"/>
          <w:sz w:val="20"/>
          <w14:textFill>
            <w14:solidFill>
              <w14:schemeClr w14:val="tx1"/>
            </w14:solidFill>
          </w14:textFill>
        </w:rPr>
      </w:pPr>
      <w:r>
        <w:rPr>
          <w:color w:val="000000" w:themeColor="text1"/>
          <w:sz w:val="20"/>
          <w14:textFill>
            <w14:solidFill>
              <w14:schemeClr w14:val="tx1"/>
            </w14:solidFill>
          </w14:textFill>
        </w:rPr>
        <w:t>项目需执行的国家相关标准、行业标准、地方标准或者其他标准、规范。如，项目需遵循的标准规范：</w:t>
      </w:r>
    </w:p>
    <w:p>
      <w:pPr>
        <w:spacing w:line="255" w:lineRule="exact"/>
        <w:ind w:left="520"/>
        <w:rPr>
          <w:color w:val="000000" w:themeColor="text1"/>
          <w:sz w:val="20"/>
          <w14:textFill>
            <w14:solidFill>
              <w14:schemeClr w14:val="tx1"/>
            </w14:solidFill>
          </w14:textFill>
        </w:rPr>
      </w:pPr>
      <w:r>
        <w:rPr>
          <w:color w:val="000000" w:themeColor="text1"/>
          <w:sz w:val="20"/>
          <w14:textFill>
            <w14:solidFill>
              <w14:schemeClr w14:val="tx1"/>
            </w14:solidFill>
          </w14:textFill>
        </w:rPr>
        <w:t>GB/T 8567 计算机软件文档编制规范；</w:t>
      </w:r>
    </w:p>
    <w:p>
      <w:pPr>
        <w:spacing w:before="132"/>
        <w:ind w:left="520"/>
        <w:rPr>
          <w:color w:val="000000" w:themeColor="text1"/>
          <w:sz w:val="20"/>
          <w14:textFill>
            <w14:solidFill>
              <w14:schemeClr w14:val="tx1"/>
            </w14:solidFill>
          </w14:textFill>
        </w:rPr>
      </w:pPr>
      <w:r>
        <w:rPr>
          <w:color w:val="000000" w:themeColor="text1"/>
          <w:sz w:val="20"/>
          <w14:textFill>
            <w14:solidFill>
              <w14:schemeClr w14:val="tx1"/>
            </w14:solidFill>
          </w14:textFill>
        </w:rPr>
        <w:t>GB/T</w:t>
      </w:r>
      <w:r>
        <w:rPr>
          <w:color w:val="000000" w:themeColor="text1"/>
          <w:spacing w:val="-2"/>
          <w:sz w:val="20"/>
          <w14:textFill>
            <w14:solidFill>
              <w14:schemeClr w14:val="tx1"/>
            </w14:solidFill>
          </w14:textFill>
        </w:rPr>
        <w:t xml:space="preserve"> </w:t>
      </w:r>
      <w:r>
        <w:rPr>
          <w:color w:val="000000" w:themeColor="text1"/>
          <w:sz w:val="20"/>
          <w14:textFill>
            <w14:solidFill>
              <w14:schemeClr w14:val="tx1"/>
            </w14:solidFill>
          </w14:textFill>
        </w:rPr>
        <w:t>9385</w:t>
      </w:r>
      <w:r>
        <w:rPr>
          <w:color w:val="000000" w:themeColor="text1"/>
          <w:spacing w:val="-2"/>
          <w:sz w:val="20"/>
          <w14:textFill>
            <w14:solidFill>
              <w14:schemeClr w14:val="tx1"/>
            </w14:solidFill>
          </w14:textFill>
        </w:rPr>
        <w:t xml:space="preserve"> 计算机软件需求规格说明规范</w:t>
      </w:r>
    </w:p>
    <w:p>
      <w:pPr>
        <w:spacing w:before="133"/>
        <w:ind w:left="520"/>
        <w:rPr>
          <w:color w:val="000000" w:themeColor="text1"/>
          <w:sz w:val="20"/>
          <w14:textFill>
            <w14:solidFill>
              <w14:schemeClr w14:val="tx1"/>
            </w14:solidFill>
          </w14:textFill>
        </w:rPr>
      </w:pPr>
      <w:r>
        <w:rPr>
          <w:color w:val="000000" w:themeColor="text1"/>
          <w:sz w:val="20"/>
          <w14:textFill>
            <w14:solidFill>
              <w14:schemeClr w14:val="tx1"/>
            </w14:solidFill>
          </w14:textFill>
        </w:rPr>
        <w:t>GB/T</w:t>
      </w:r>
      <w:r>
        <w:rPr>
          <w:color w:val="000000" w:themeColor="text1"/>
          <w:spacing w:val="-2"/>
          <w:sz w:val="20"/>
          <w14:textFill>
            <w14:solidFill>
              <w14:schemeClr w14:val="tx1"/>
            </w14:solidFill>
          </w14:textFill>
        </w:rPr>
        <w:t xml:space="preserve"> </w:t>
      </w:r>
      <w:r>
        <w:rPr>
          <w:color w:val="000000" w:themeColor="text1"/>
          <w:sz w:val="20"/>
          <w14:textFill>
            <w14:solidFill>
              <w14:schemeClr w14:val="tx1"/>
            </w14:solidFill>
          </w14:textFill>
        </w:rPr>
        <w:t>9386</w:t>
      </w:r>
      <w:r>
        <w:rPr>
          <w:color w:val="000000" w:themeColor="text1"/>
          <w:spacing w:val="-2"/>
          <w:sz w:val="20"/>
          <w14:textFill>
            <w14:solidFill>
              <w14:schemeClr w14:val="tx1"/>
            </w14:solidFill>
          </w14:textFill>
        </w:rPr>
        <w:t xml:space="preserve"> 计算机软件测试文档编制规范</w:t>
      </w:r>
    </w:p>
    <w:p>
      <w:pPr>
        <w:spacing w:before="132"/>
        <w:ind w:left="520"/>
        <w:rPr>
          <w:color w:val="000000" w:themeColor="text1"/>
          <w:sz w:val="20"/>
          <w14:textFill>
            <w14:solidFill>
              <w14:schemeClr w14:val="tx1"/>
            </w14:solidFill>
          </w14:textFill>
        </w:rPr>
      </w:pPr>
      <w:r>
        <w:rPr>
          <w:color w:val="000000" w:themeColor="text1"/>
          <w:sz w:val="20"/>
          <w14:textFill>
            <w14:solidFill>
              <w14:schemeClr w14:val="tx1"/>
            </w14:solidFill>
          </w14:textFill>
        </w:rPr>
        <w:t>GB/T 15532 计算机软件测试规范</w:t>
      </w:r>
    </w:p>
    <w:p>
      <w:pPr>
        <w:spacing w:before="135"/>
        <w:ind w:left="520"/>
        <w:rPr>
          <w:color w:val="000000" w:themeColor="text1"/>
          <w:sz w:val="20"/>
          <w14:textFill>
            <w14:solidFill>
              <w14:schemeClr w14:val="tx1"/>
            </w14:solidFill>
          </w14:textFill>
        </w:rPr>
      </w:pPr>
      <w:r>
        <w:rPr>
          <w:color w:val="000000" w:themeColor="text1"/>
          <w:sz w:val="20"/>
          <w14:textFill>
            <w14:solidFill>
              <w14:schemeClr w14:val="tx1"/>
            </w14:solidFill>
          </w14:textFill>
        </w:rPr>
        <w:t>GB/T 28035 软件系统验收规范</w:t>
      </w:r>
    </w:p>
    <w:p>
      <w:pPr>
        <w:spacing w:before="133"/>
        <w:ind w:left="520"/>
        <w:rPr>
          <w:color w:val="000000" w:themeColor="text1"/>
          <w:sz w:val="20"/>
          <w14:textFill>
            <w14:solidFill>
              <w14:schemeClr w14:val="tx1"/>
            </w14:solidFill>
          </w14:textFill>
        </w:rPr>
      </w:pPr>
      <w:r>
        <w:rPr>
          <w:color w:val="000000" w:themeColor="text1"/>
          <w:sz w:val="20"/>
          <w14:textFill>
            <w14:solidFill>
              <w14:schemeClr w14:val="tx1"/>
            </w14:solidFill>
          </w14:textFill>
        </w:rPr>
        <w:t>SJ/T 10367 计算机过程控制软件开发规程</w:t>
      </w:r>
    </w:p>
    <w:p>
      <w:pPr>
        <w:spacing w:before="133"/>
        <w:ind w:left="520"/>
        <w:rPr>
          <w:color w:val="000000" w:themeColor="text1"/>
          <w:sz w:val="20"/>
          <w14:textFill>
            <w14:solidFill>
              <w14:schemeClr w14:val="tx1"/>
            </w14:solidFill>
          </w14:textFill>
        </w:rPr>
      </w:pPr>
      <w:r>
        <w:rPr>
          <w:color w:val="000000" w:themeColor="text1"/>
          <w:sz w:val="20"/>
          <w14:textFill>
            <w14:solidFill>
              <w14:schemeClr w14:val="tx1"/>
            </w14:solidFill>
          </w14:textFill>
        </w:rPr>
        <w:t>SJ 20822 信息技术 软件维护</w:t>
      </w:r>
    </w:p>
    <w:p>
      <w:pPr>
        <w:spacing w:before="132"/>
        <w:ind w:left="520"/>
        <w:rPr>
          <w:color w:val="000000" w:themeColor="text1"/>
          <w:sz w:val="20"/>
          <w14:textFill>
            <w14:solidFill>
              <w14:schemeClr w14:val="tx1"/>
            </w14:solidFill>
          </w14:textFill>
        </w:rPr>
      </w:pPr>
      <w:r>
        <w:rPr>
          <w:color w:val="000000" w:themeColor="text1"/>
          <w:sz w:val="20"/>
          <w14:textFill>
            <w14:solidFill>
              <w14:schemeClr w14:val="tx1"/>
            </w14:solidFill>
          </w14:textFill>
        </w:rPr>
        <w:t>其他计算机软件相关标准</w:t>
      </w:r>
    </w:p>
    <w:p>
      <w:pPr>
        <w:spacing w:before="132"/>
        <w:ind w:left="522" w:right="4660"/>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广州市政务信息化项目验收管理细则（穗政数〔2023〕20号） </w:t>
      </w: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五、技术实现方法和路线</w:t>
      </w:r>
    </w:p>
    <w:p>
      <w:pPr>
        <w:tabs>
          <w:tab w:val="left" w:pos="6470"/>
        </w:tabs>
        <w:spacing w:before="132"/>
        <w:ind w:left="469"/>
        <w:rPr>
          <w:color w:val="000000" w:themeColor="text1"/>
          <w:sz w:val="20"/>
          <w14:textFill>
            <w14:solidFill>
              <w14:schemeClr w14:val="tx1"/>
            </w14:solidFill>
          </w14:textFill>
        </w:rPr>
      </w:pPr>
      <w:r>
        <w:rPr>
          <w:color w:val="000000" w:themeColor="text1"/>
          <w:sz w:val="20"/>
          <w14:textFill>
            <w14:solidFill>
              <w14:schemeClr w14:val="tx1"/>
            </w14:solidFill>
          </w14:textFill>
        </w:rPr>
        <w:t>（一）系统开发环境：</w:t>
      </w:r>
      <w:r>
        <w:rPr>
          <w:color w:val="000000" w:themeColor="text1"/>
          <w:sz w:val="20"/>
          <w:u w:val="single"/>
          <w14:textFill>
            <w14:solidFill>
              <w14:schemeClr w14:val="tx1"/>
            </w14:solidFill>
          </w14:textFill>
        </w:rPr>
        <w:t xml:space="preserve"> </w:t>
      </w:r>
      <w:r>
        <w:rPr>
          <w:rFonts w:hint="eastAsia"/>
          <w:color w:val="000000" w:themeColor="text1"/>
          <w:sz w:val="20"/>
          <w:u w:val="single"/>
          <w14:textFill>
            <w14:solidFill>
              <w14:schemeClr w14:val="tx1"/>
            </w14:solidFill>
          </w14:textFill>
        </w:rPr>
        <w:t>符合国产化技术路线</w:t>
      </w:r>
      <w:r>
        <w:rPr>
          <w:color w:val="000000" w:themeColor="text1"/>
          <w:sz w:val="20"/>
          <w14:textFill>
            <w14:solidFill>
              <w14:schemeClr w14:val="tx1"/>
            </w14:solidFill>
          </w14:textFill>
        </w:rPr>
        <w:t>；</w:t>
      </w:r>
    </w:p>
    <w:p>
      <w:pPr>
        <w:tabs>
          <w:tab w:val="left" w:pos="6470"/>
        </w:tabs>
        <w:spacing w:before="132"/>
        <w:ind w:left="469"/>
        <w:rPr>
          <w:color w:val="000000" w:themeColor="text1"/>
          <w:sz w:val="20"/>
          <w14:textFill>
            <w14:solidFill>
              <w14:schemeClr w14:val="tx1"/>
            </w14:solidFill>
          </w14:textFill>
        </w:rPr>
      </w:pPr>
      <w:r>
        <w:rPr>
          <w:color w:val="000000" w:themeColor="text1"/>
          <w:sz w:val="20"/>
          <w14:textFill>
            <w14:solidFill>
              <w14:schemeClr w14:val="tx1"/>
            </w14:solidFill>
          </w14:textFill>
        </w:rPr>
        <w:t>（二）开发语言与数据库：</w:t>
      </w:r>
      <w:r>
        <w:rPr>
          <w:rFonts w:hint="eastAsia"/>
          <w:color w:val="000000" w:themeColor="text1"/>
          <w:sz w:val="20"/>
          <w:u w:val="single"/>
          <w14:textFill>
            <w14:solidFill>
              <w14:schemeClr w14:val="tx1"/>
            </w14:solidFill>
          </w14:textFill>
        </w:rPr>
        <w:t>符合国产化技术路线</w:t>
      </w:r>
      <w:r>
        <w:rPr>
          <w:color w:val="000000" w:themeColor="text1"/>
          <w:w w:val="95"/>
          <w:sz w:val="20"/>
          <w14:textFill>
            <w14:solidFill>
              <w14:schemeClr w14:val="tx1"/>
            </w14:solidFill>
          </w14:textFill>
        </w:rPr>
        <w:t>；</w:t>
      </w:r>
    </w:p>
    <w:p>
      <w:pPr>
        <w:tabs>
          <w:tab w:val="left" w:pos="6470"/>
        </w:tabs>
        <w:spacing w:before="132"/>
        <w:ind w:left="469"/>
        <w:rPr>
          <w:color w:val="000000" w:themeColor="text1"/>
          <w:sz w:val="20"/>
          <w14:textFill>
            <w14:solidFill>
              <w14:schemeClr w14:val="tx1"/>
            </w14:solidFill>
          </w14:textFill>
        </w:rPr>
      </w:pPr>
      <w:r>
        <w:rPr>
          <w:color w:val="000000" w:themeColor="text1"/>
          <w:sz w:val="20"/>
          <w14:textFill>
            <w14:solidFill>
              <w14:schemeClr w14:val="tx1"/>
            </w14:solidFill>
          </w14:textFill>
        </w:rPr>
        <w:t>（三）系统结构：B/S；</w:t>
      </w:r>
    </w:p>
    <w:p>
      <w:pPr>
        <w:tabs>
          <w:tab w:val="left" w:pos="6470"/>
        </w:tabs>
        <w:spacing w:before="132"/>
        <w:ind w:left="469"/>
        <w:rPr>
          <w:color w:val="000000" w:themeColor="text1"/>
          <w:sz w:val="20"/>
          <w14:textFill>
            <w14:solidFill>
              <w14:schemeClr w14:val="tx1"/>
            </w14:solidFill>
          </w14:textFill>
        </w:rPr>
      </w:pPr>
      <w:r>
        <w:rPr>
          <w:color w:val="000000" w:themeColor="text1"/>
          <w:sz w:val="20"/>
          <w14:textFill>
            <w14:solidFill>
              <w14:schemeClr w14:val="tx1"/>
            </w14:solidFill>
          </w14:textFill>
        </w:rPr>
        <w:t>（四）系统部署环境要求</w:t>
      </w:r>
    </w:p>
    <w:p>
      <w:pPr>
        <w:spacing w:before="120" w:beforeLines="50" w:line="360" w:lineRule="auto"/>
        <w:ind w:left="522"/>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系统需要部署在</w:t>
      </w:r>
      <w:r>
        <w:rPr>
          <w:rFonts w:hint="eastAsia"/>
          <w:color w:val="000000" w:themeColor="text1"/>
          <w:sz w:val="20"/>
          <w:lang w:val="en-US"/>
          <w14:textFill>
            <w14:solidFill>
              <w14:schemeClr w14:val="tx1"/>
            </w14:solidFill>
          </w14:textFill>
        </w:rPr>
        <w:t>广州市政务云平台的国产化服务器中。</w:t>
      </w:r>
    </w:p>
    <w:p>
      <w:pPr>
        <w:pStyle w:val="3"/>
        <w:numPr>
          <w:ilvl w:val="0"/>
          <w:numId w:val="4"/>
        </w:numPr>
        <w:rPr>
          <w:color w:val="000000" w:themeColor="text1"/>
          <w14:textFill>
            <w14:solidFill>
              <w14:schemeClr w14:val="tx1"/>
            </w14:solidFill>
          </w14:textFill>
        </w:rPr>
      </w:pPr>
      <w:r>
        <w:rPr>
          <w:color w:val="000000" w:themeColor="text1"/>
          <w14:textFill>
            <w14:solidFill>
              <w14:schemeClr w14:val="tx1"/>
            </w14:solidFill>
          </w14:textFill>
        </w:rPr>
        <w:t>系统功能要求</w:t>
      </w:r>
    </w:p>
    <w:p>
      <w:pPr>
        <w:rPr>
          <w:rFonts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财务内控管理系统建设内容包含以下</w:t>
      </w:r>
      <w:r>
        <w:rPr>
          <w:rFonts w:hint="eastAsia" w:ascii="仿宋_GB2312" w:hAnsi="仿宋_GB2312" w:eastAsia="仿宋_GB2312" w:cs="仿宋_GB2312"/>
          <w:color w:val="000000" w:themeColor="text1"/>
          <w:lang w:val="en-US"/>
          <w14:textFill>
            <w14:solidFill>
              <w14:schemeClr w14:val="tx1"/>
            </w14:solidFill>
          </w14:textFill>
        </w:rPr>
        <w:t>13个功能模块</w:t>
      </w:r>
    </w:p>
    <w:tbl>
      <w:tblPr>
        <w:tblStyle w:val="8"/>
        <w:tblW w:w="0" w:type="auto"/>
        <w:tblInd w:w="0" w:type="dxa"/>
        <w:tblLayout w:type="autofit"/>
        <w:tblCellMar>
          <w:top w:w="0" w:type="dxa"/>
          <w:left w:w="108" w:type="dxa"/>
          <w:bottom w:w="0" w:type="dxa"/>
          <w:right w:w="108" w:type="dxa"/>
        </w:tblCellMar>
      </w:tblPr>
      <w:tblGrid>
        <w:gridCol w:w="436"/>
        <w:gridCol w:w="1119"/>
        <w:gridCol w:w="6967"/>
      </w:tblGrid>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黑体" w:eastAsia="黑体" w:cs="黑体"/>
                <w:color w:val="000000" w:themeColor="text1"/>
                <w:szCs w:val="24"/>
                <w14:textFill>
                  <w14:solidFill>
                    <w14:schemeClr w14:val="tx1"/>
                  </w14:solidFill>
                </w14:textFill>
              </w:rPr>
            </w:pPr>
            <w:r>
              <w:rPr>
                <w:rFonts w:hint="eastAsia" w:ascii="黑体" w:eastAsia="黑体" w:cs="黑体"/>
                <w:color w:val="000000" w:themeColor="text1"/>
                <w:szCs w:val="24"/>
                <w:lang w:bidi="ar"/>
                <w14:textFill>
                  <w14:solidFill>
                    <w14:schemeClr w14:val="tx1"/>
                  </w14:solidFill>
                </w14:textFill>
              </w:rPr>
              <w:t>序号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黑体" w:eastAsia="黑体" w:cs="黑体"/>
                <w:color w:val="000000" w:themeColor="text1"/>
                <w:szCs w:val="24"/>
                <w14:textFill>
                  <w14:solidFill>
                    <w14:schemeClr w14:val="tx1"/>
                  </w14:solidFill>
                </w14:textFill>
              </w:rPr>
            </w:pPr>
            <w:r>
              <w:rPr>
                <w:rFonts w:hint="eastAsia" w:ascii="黑体" w:eastAsia="黑体" w:cs="黑体"/>
                <w:color w:val="000000" w:themeColor="text1"/>
                <w:szCs w:val="24"/>
                <w:lang w:bidi="ar"/>
                <w14:textFill>
                  <w14:solidFill>
                    <w14:schemeClr w14:val="tx1"/>
                  </w14:solidFill>
                </w14:textFill>
              </w:rPr>
              <w:t>功能模块</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黑体" w:eastAsia="黑体" w:cs="黑体"/>
                <w:color w:val="000000" w:themeColor="text1"/>
                <w:szCs w:val="24"/>
                <w14:textFill>
                  <w14:solidFill>
                    <w14:schemeClr w14:val="tx1"/>
                  </w14:solidFill>
                </w14:textFill>
              </w:rPr>
            </w:pPr>
            <w:r>
              <w:rPr>
                <w:rFonts w:hint="eastAsia" w:ascii="黑体" w:eastAsia="黑体" w:cs="黑体"/>
                <w:color w:val="000000" w:themeColor="text1"/>
                <w:szCs w:val="24"/>
                <w:lang w:bidi="ar"/>
                <w14:textFill>
                  <w14:solidFill>
                    <w14:schemeClr w14:val="tx1"/>
                  </w14:solidFill>
                </w14:textFill>
              </w:rPr>
              <w:t>功能说明</w:t>
            </w:r>
          </w:p>
        </w:tc>
      </w:tr>
      <w:tr>
        <w:tblPrEx>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基础平台</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提供基础资料设置、系统设置，权限管理、角色管理、用户管理等，提供针对本局管理架构对应的自定义系统权限管理功能。</w:t>
            </w:r>
          </w:p>
        </w:tc>
      </w:tr>
      <w:tr>
        <w:tblPrEx>
          <w:tblCellMar>
            <w:top w:w="0" w:type="dxa"/>
            <w:left w:w="108" w:type="dxa"/>
            <w:bottom w:w="0" w:type="dxa"/>
            <w:right w:w="108" w:type="dxa"/>
          </w:tblCellMar>
        </w:tblPrEx>
        <w:trPr>
          <w:trHeight w:val="4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预算管理</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实现回流数字财政预算</w:t>
            </w:r>
            <w:r>
              <w:rPr>
                <w:rFonts w:hint="eastAsia" w:ascii="仿宋_GB2312" w:hAnsi="等线" w:cs="仿宋_GB2312"/>
                <w:color w:val="000000" w:themeColor="text1"/>
                <w:szCs w:val="24"/>
                <w:lang w:bidi="ar"/>
                <w14:textFill>
                  <w14:solidFill>
                    <w14:schemeClr w14:val="tx1"/>
                  </w14:solidFill>
                </w14:textFill>
              </w:rPr>
              <w:t>、指标</w:t>
            </w:r>
            <w:r>
              <w:rPr>
                <w:rFonts w:ascii="仿宋_GB2312" w:hAnsi="等线" w:cs="仿宋_GB2312"/>
                <w:color w:val="000000" w:themeColor="text1"/>
                <w:szCs w:val="24"/>
                <w:lang w:bidi="ar"/>
                <w14:textFill>
                  <w14:solidFill>
                    <w14:schemeClr w14:val="tx1"/>
                  </w14:solidFill>
                </w14:textFill>
              </w:rPr>
              <w:t>数据，并提供预算</w:t>
            </w:r>
            <w:r>
              <w:rPr>
                <w:rFonts w:hint="eastAsia" w:ascii="仿宋_GB2312" w:hAnsi="等线" w:cs="仿宋_GB2312"/>
                <w:color w:val="000000" w:themeColor="text1"/>
                <w:szCs w:val="24"/>
                <w:lang w:bidi="ar"/>
                <w14:textFill>
                  <w14:solidFill>
                    <w14:schemeClr w14:val="tx1"/>
                  </w14:solidFill>
                </w14:textFill>
              </w:rPr>
              <w:t>、指标</w:t>
            </w:r>
            <w:r>
              <w:rPr>
                <w:rFonts w:ascii="仿宋_GB2312" w:hAnsi="等线" w:cs="仿宋_GB2312"/>
                <w:color w:val="000000" w:themeColor="text1"/>
                <w:szCs w:val="24"/>
                <w:lang w:bidi="ar"/>
                <w14:textFill>
                  <w14:solidFill>
                    <w14:schemeClr w14:val="tx1"/>
                  </w14:solidFill>
                </w14:textFill>
              </w:rPr>
              <w:t>数据查询功能。</w:t>
            </w:r>
          </w:p>
        </w:tc>
      </w:tr>
      <w:tr>
        <w:tblPrEx>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绩效管理</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提供重点项目绩效评价结果备案功能，可选定为重点项目进入重点项目评价流程，可对重点项目的绩效评价结果进行记录和归档等。</w:t>
            </w:r>
          </w:p>
        </w:tc>
      </w:tr>
      <w:tr>
        <w:tblPrEx>
          <w:tblCellMar>
            <w:top w:w="0" w:type="dxa"/>
            <w:left w:w="108" w:type="dxa"/>
            <w:bottom w:w="0" w:type="dxa"/>
            <w:right w:w="108" w:type="dxa"/>
          </w:tblCellMar>
        </w:tblPrEx>
        <w:trPr>
          <w:trHeight w:val="9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eastAsia="仿宋_GB2312" w:cs="仿宋_GB2312"/>
                <w:color w:val="000000" w:themeColor="text1"/>
                <w:szCs w:val="24"/>
                <w14:textFill>
                  <w14:solidFill>
                    <w14:schemeClr w14:val="tx1"/>
                  </w14:solidFill>
                </w14:textFill>
              </w:rPr>
            </w:pPr>
            <w:r>
              <w:rPr>
                <w:rFonts w:hint="eastAsia" w:ascii="仿宋_GB2312" w:hAnsi="等线" w:cs="仿宋_GB2312"/>
                <w:color w:val="000000" w:themeColor="text1"/>
                <w:szCs w:val="24"/>
                <w:lang w:val="en-US" w:bidi="ar"/>
                <w14:textFill>
                  <w14:solidFill>
                    <w14:schemeClr w14:val="tx1"/>
                  </w14:solidFill>
                </w14:textFill>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采购管理</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提供</w:t>
            </w:r>
            <w:r>
              <w:rPr>
                <w:rFonts w:hint="eastAsia" w:ascii="仿宋_GB2312" w:hAnsi="等线" w:cs="仿宋_GB2312"/>
                <w:color w:val="000000" w:themeColor="text1"/>
                <w:szCs w:val="24"/>
                <w:lang w:bidi="ar"/>
                <w14:textFill>
                  <w14:solidFill>
                    <w14:schemeClr w14:val="tx1"/>
                  </w14:solidFill>
                </w14:textFill>
              </w:rPr>
              <w:t>采购全流程管理、采购审批流程，可对</w:t>
            </w:r>
            <w:r>
              <w:rPr>
                <w:rFonts w:ascii="仿宋_GB2312" w:hAnsi="等线" w:cs="仿宋_GB2312"/>
                <w:color w:val="000000" w:themeColor="text1"/>
                <w:szCs w:val="24"/>
                <w:lang w:bidi="ar"/>
                <w14:textFill>
                  <w14:solidFill>
                    <w14:schemeClr w14:val="tx1"/>
                  </w14:solidFill>
                </w14:textFill>
              </w:rPr>
              <w:t>中小企业采购份额管理，采购与项目库、预算关联，政府采购执行监控，政府采购统计</w:t>
            </w:r>
            <w:r>
              <w:rPr>
                <w:rFonts w:hint="eastAsia" w:ascii="仿宋_GB2312" w:hAnsi="等线" w:cs="仿宋_GB2312"/>
                <w:color w:val="000000" w:themeColor="text1"/>
                <w:szCs w:val="24"/>
                <w:lang w:bidi="ar"/>
                <w14:textFill>
                  <w14:solidFill>
                    <w14:schemeClr w14:val="tx1"/>
                  </w14:solidFill>
                </w14:textFill>
              </w:rPr>
              <w:t>，采购关联合同主要信息登记管理</w:t>
            </w:r>
            <w:r>
              <w:rPr>
                <w:rFonts w:ascii="仿宋_GB2312" w:hAnsi="等线" w:cs="仿宋_GB2312"/>
                <w:color w:val="000000" w:themeColor="text1"/>
                <w:szCs w:val="24"/>
                <w:lang w:bidi="ar"/>
                <w14:textFill>
                  <w14:solidFill>
                    <w14:schemeClr w14:val="tx1"/>
                  </w14:solidFill>
                </w14:textFill>
              </w:rPr>
              <w:t>等，实现对政府采购风险控制管理。提供</w:t>
            </w:r>
            <w:r>
              <w:rPr>
                <w:rFonts w:hint="eastAsia" w:ascii="仿宋_GB2312" w:hAnsi="等线" w:cs="仿宋_GB2312"/>
                <w:color w:val="000000" w:themeColor="text1"/>
                <w:szCs w:val="24"/>
                <w:lang w:bidi="ar"/>
                <w14:textFill>
                  <w14:solidFill>
                    <w14:schemeClr w14:val="tx1"/>
                  </w14:solidFill>
                </w14:textFill>
              </w:rPr>
              <w:t>政府采购预算、</w:t>
            </w:r>
            <w:r>
              <w:rPr>
                <w:rFonts w:ascii="仿宋_GB2312" w:hAnsi="等线" w:cs="仿宋_GB2312"/>
                <w:color w:val="000000" w:themeColor="text1"/>
                <w:szCs w:val="24"/>
                <w:lang w:bidi="ar"/>
                <w14:textFill>
                  <w14:solidFill>
                    <w14:schemeClr w14:val="tx1"/>
                  </w14:solidFill>
                </w14:textFill>
              </w:rPr>
              <w:t>政府购买服务管理子模块。</w:t>
            </w:r>
          </w:p>
        </w:tc>
      </w:tr>
      <w:tr>
        <w:tblPrEx>
          <w:tblCellMar>
            <w:top w:w="0" w:type="dxa"/>
            <w:left w:w="108" w:type="dxa"/>
            <w:bottom w:w="0" w:type="dxa"/>
            <w:right w:w="108" w:type="dxa"/>
          </w:tblCellMar>
        </w:tblPrEx>
        <w:trPr>
          <w:trHeight w:val="6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eastAsia="仿宋_GB2312" w:cs="仿宋_GB2312"/>
                <w:color w:val="000000" w:themeColor="text1"/>
                <w:szCs w:val="24"/>
                <w14:textFill>
                  <w14:solidFill>
                    <w14:schemeClr w14:val="tx1"/>
                  </w14:solidFill>
                </w14:textFill>
              </w:rPr>
            </w:pPr>
            <w:r>
              <w:rPr>
                <w:rFonts w:hint="eastAsia" w:ascii="仿宋_GB2312" w:hAnsi="等线" w:cs="仿宋_GB2312"/>
                <w:color w:val="000000" w:themeColor="text1"/>
                <w:szCs w:val="24"/>
                <w:lang w:val="en-US" w:bidi="ar"/>
                <w14:textFill>
                  <w14:solidFill>
                    <w14:schemeClr w14:val="tx1"/>
                  </w14:solidFill>
                </w14:textFill>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项目资金管理</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提供工程建设项目全流程管理，包括工程项目的项目立项</w:t>
            </w:r>
            <w:r>
              <w:rPr>
                <w:rFonts w:hint="eastAsia" w:ascii="仿宋_GB2312" w:hAnsi="等线" w:cs="仿宋_GB2312"/>
                <w:color w:val="000000" w:themeColor="text1"/>
                <w:szCs w:val="24"/>
                <w:lang w:bidi="ar"/>
                <w14:textFill>
                  <w14:solidFill>
                    <w14:schemeClr w14:val="tx1"/>
                  </w14:solidFill>
                </w14:textFill>
              </w:rPr>
              <w:t>审批竣工等关键信息</w:t>
            </w:r>
            <w:r>
              <w:rPr>
                <w:rFonts w:ascii="仿宋_GB2312" w:hAnsi="等线" w:cs="仿宋_GB2312"/>
                <w:color w:val="000000" w:themeColor="text1"/>
                <w:szCs w:val="24"/>
                <w:lang w:bidi="ar"/>
                <w14:textFill>
                  <w14:solidFill>
                    <w14:schemeClr w14:val="tx1"/>
                  </w14:solidFill>
                </w14:textFill>
              </w:rPr>
              <w:t>，项目执行情况动态跟踪</w:t>
            </w:r>
            <w:r>
              <w:rPr>
                <w:rFonts w:hint="eastAsia" w:ascii="仿宋_GB2312" w:hAnsi="等线" w:cs="仿宋_GB2312"/>
                <w:color w:val="000000" w:themeColor="text1"/>
                <w:szCs w:val="24"/>
                <w:lang w:bidi="ar"/>
                <w14:textFill>
                  <w14:solidFill>
                    <w14:schemeClr w14:val="tx1"/>
                  </w14:solidFill>
                </w14:textFill>
              </w:rPr>
              <w:t>，对在建工程转固定资产进行监控</w:t>
            </w:r>
            <w:r>
              <w:rPr>
                <w:rFonts w:ascii="仿宋_GB2312" w:hAnsi="等线" w:cs="仿宋_GB2312"/>
                <w:color w:val="000000" w:themeColor="text1"/>
                <w:szCs w:val="24"/>
                <w:lang w:bidi="ar"/>
                <w14:textFill>
                  <w14:solidFill>
                    <w14:schemeClr w14:val="tx1"/>
                  </w14:solidFill>
                </w14:textFill>
              </w:rPr>
              <w:t>。</w:t>
            </w:r>
          </w:p>
        </w:tc>
      </w:tr>
      <w:tr>
        <w:tblPrEx>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eastAsia="仿宋_GB2312" w:cs="仿宋_GB2312"/>
                <w:color w:val="000000" w:themeColor="text1"/>
                <w:szCs w:val="24"/>
                <w14:textFill>
                  <w14:solidFill>
                    <w14:schemeClr w14:val="tx1"/>
                  </w14:solidFill>
                </w14:textFill>
              </w:rPr>
            </w:pPr>
            <w:r>
              <w:rPr>
                <w:rFonts w:hint="eastAsia" w:ascii="仿宋_GB2312" w:hAnsi="等线" w:cs="仿宋_GB2312"/>
                <w:color w:val="000000" w:themeColor="text1"/>
                <w:szCs w:val="24"/>
                <w:lang w:val="en-US" w:bidi="ar"/>
                <w14:textFill>
                  <w14:solidFill>
                    <w14:schemeClr w14:val="tx1"/>
                  </w14:solidFill>
                </w14:textFill>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国有资产管理</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提供国有资产数据回流，进行资产盘点，数据分析，监控提醒等功能。支持对国有资产进行统计分析，对盘盈盘亏等情况进行监管，对盘点结果异常情况，进行预警提醒。</w:t>
            </w:r>
            <w:r>
              <w:rPr>
                <w:rFonts w:hint="eastAsia" w:ascii="仿宋_GB2312"/>
                <w:color w:val="000000" w:themeColor="text1"/>
                <w14:textFill>
                  <w14:solidFill>
                    <w14:schemeClr w14:val="tx1"/>
                  </w14:solidFill>
                </w14:textFill>
              </w:rPr>
              <w:t>对不动产、公车进行单列管理，关联校验公车采购审批。</w:t>
            </w:r>
          </w:p>
        </w:tc>
      </w:tr>
      <w:tr>
        <w:tblPrEx>
          <w:tblCellMar>
            <w:top w:w="0" w:type="dxa"/>
            <w:left w:w="108" w:type="dxa"/>
            <w:bottom w:w="0" w:type="dxa"/>
            <w:right w:w="108" w:type="dxa"/>
          </w:tblCellMar>
        </w:tblPrEx>
        <w:trPr>
          <w:trHeight w:val="9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eastAsia="仿宋_GB2312" w:cs="仿宋_GB2312"/>
                <w:color w:val="000000" w:themeColor="text1"/>
                <w:szCs w:val="24"/>
                <w14:textFill>
                  <w14:solidFill>
                    <w14:schemeClr w14:val="tx1"/>
                  </w14:solidFill>
                </w14:textFill>
              </w:rPr>
            </w:pPr>
            <w:r>
              <w:rPr>
                <w:rFonts w:hint="eastAsia" w:ascii="仿宋_GB2312" w:hAnsi="等线" w:cs="仿宋_GB2312"/>
                <w:color w:val="000000" w:themeColor="text1"/>
                <w:szCs w:val="24"/>
                <w:lang w:val="en-US" w:bidi="ar"/>
                <w14:textFill>
                  <w14:solidFill>
                    <w14:schemeClr w14:val="tx1"/>
                  </w14:solidFill>
                </w14:textFill>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支出管理</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提供报销等常用支出业务流程和管理，提供发票</w:t>
            </w:r>
            <w:r>
              <w:rPr>
                <w:rFonts w:hint="eastAsia" w:ascii="仿宋_GB2312" w:hAnsi="等线" w:cs="仿宋_GB2312"/>
                <w:color w:val="000000" w:themeColor="text1"/>
                <w:szCs w:val="24"/>
                <w:lang w:bidi="ar"/>
                <w14:textFill>
                  <w14:solidFill>
                    <w14:schemeClr w14:val="tx1"/>
                  </w14:solidFill>
                </w14:textFill>
              </w:rPr>
              <w:t>自动</w:t>
            </w:r>
            <w:r>
              <w:rPr>
                <w:rFonts w:ascii="仿宋_GB2312" w:hAnsi="等线" w:cs="仿宋_GB2312"/>
                <w:color w:val="000000" w:themeColor="text1"/>
                <w:szCs w:val="24"/>
                <w:lang w:bidi="ar"/>
                <w14:textFill>
                  <w14:solidFill>
                    <w14:schemeClr w14:val="tx1"/>
                  </w14:solidFill>
                </w14:textFill>
              </w:rPr>
              <w:t>查验功能，实现报销业务流程审批。提供报账功能，并与财政国库</w:t>
            </w:r>
            <w:r>
              <w:rPr>
                <w:rFonts w:hint="eastAsia" w:ascii="仿宋_GB2312" w:hAnsi="等线" w:cs="仿宋_GB2312"/>
                <w:color w:val="000000" w:themeColor="text1"/>
                <w:szCs w:val="24"/>
                <w:lang w:bidi="ar"/>
                <w14:textFill>
                  <w14:solidFill>
                    <w14:schemeClr w14:val="tx1"/>
                  </w14:solidFill>
                </w14:textFill>
              </w:rPr>
              <w:t>、</w:t>
            </w:r>
            <w:r>
              <w:rPr>
                <w:rFonts w:ascii="仿宋_GB2312" w:hAnsi="等线" w:cs="仿宋_GB2312"/>
                <w:color w:val="000000" w:themeColor="text1"/>
                <w:szCs w:val="24"/>
                <w:lang w:bidi="ar"/>
                <w14:textFill>
                  <w14:solidFill>
                    <w14:schemeClr w14:val="tx1"/>
                  </w14:solidFill>
                </w14:textFill>
              </w:rPr>
              <w:t>数字财政系统</w:t>
            </w:r>
            <w:r>
              <w:rPr>
                <w:rFonts w:hint="eastAsia" w:ascii="仿宋_GB2312" w:hAnsi="等线" w:cs="仿宋_GB2312"/>
                <w:color w:val="000000" w:themeColor="text1"/>
                <w:szCs w:val="24"/>
                <w:lang w:bidi="ar"/>
                <w14:textFill>
                  <w14:solidFill>
                    <w14:schemeClr w14:val="tx1"/>
                  </w14:solidFill>
                </w14:textFill>
              </w:rPr>
              <w:t>交互</w:t>
            </w:r>
            <w:r>
              <w:rPr>
                <w:rFonts w:ascii="仿宋_GB2312" w:hAnsi="等线" w:cs="仿宋_GB2312"/>
                <w:color w:val="000000" w:themeColor="text1"/>
                <w:szCs w:val="24"/>
                <w:lang w:bidi="ar"/>
                <w14:textFill>
                  <w14:solidFill>
                    <w14:schemeClr w14:val="tx1"/>
                  </w14:solidFill>
                </w14:textFill>
              </w:rPr>
              <w:t>，实现支付令生成；提供国库支付失败后的处理功能。</w:t>
            </w:r>
          </w:p>
        </w:tc>
      </w:tr>
      <w:tr>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eastAsia="仿宋_GB2312" w:cs="仿宋_GB2312"/>
                <w:color w:val="000000" w:themeColor="text1"/>
                <w:szCs w:val="24"/>
                <w14:textFill>
                  <w14:solidFill>
                    <w14:schemeClr w14:val="tx1"/>
                  </w14:solidFill>
                </w14:textFill>
              </w:rPr>
            </w:pPr>
            <w:r>
              <w:rPr>
                <w:rFonts w:hint="eastAsia" w:ascii="仿宋_GB2312" w:hAnsi="等线" w:cs="仿宋_GB2312"/>
                <w:color w:val="000000" w:themeColor="text1"/>
                <w:szCs w:val="24"/>
                <w:lang w:val="en-US" w:bidi="ar"/>
                <w14:textFill>
                  <w14:solidFill>
                    <w14:schemeClr w14:val="tx1"/>
                  </w14:solidFill>
                </w14:textFill>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账务核算</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账务核算功能，实现与省厅财政单位内部核算系统对接回流凭证数据。基于财政监管系统对凭证的监督校验规则+本地细化监督规则，对回流的凭证数据进行核算预警校验。提供对往来账明细的管理监控，需要记录往来产生的原因、明细记录、核销期限等信息，进行挂账的成因、账龄分析、每年处置情况、核销率等管理监控；对长期未处置的挂账进行预警提醒。</w:t>
            </w:r>
          </w:p>
        </w:tc>
      </w:tr>
      <w:tr>
        <w:tblPrEx>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eastAsia="仿宋_GB2312" w:cs="仿宋_GB2312"/>
                <w:color w:val="000000" w:themeColor="text1"/>
                <w:szCs w:val="24"/>
                <w14:textFill>
                  <w14:solidFill>
                    <w14:schemeClr w14:val="tx1"/>
                  </w14:solidFill>
                </w14:textFill>
              </w:rPr>
            </w:pPr>
            <w:r>
              <w:rPr>
                <w:rFonts w:hint="eastAsia" w:ascii="仿宋_GB2312" w:hAnsi="等线" w:cs="仿宋_GB2312"/>
                <w:color w:val="000000" w:themeColor="text1"/>
                <w:szCs w:val="24"/>
                <w:lang w:val="en-US" w:bidi="ar"/>
                <w14:textFill>
                  <w14:solidFill>
                    <w14:schemeClr w14:val="tx1"/>
                  </w14:solidFill>
                </w14:textFill>
              </w:rPr>
              <w:t>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决算报表</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支持回流以前年度决算数据，</w:t>
            </w:r>
            <w:r>
              <w:rPr>
                <w:rFonts w:hint="eastAsia" w:ascii="仿宋_GB2312" w:hAnsi="仿宋_GB2312" w:cs="仿宋_GB2312"/>
                <w:color w:val="000000" w:themeColor="text1"/>
                <w14:textFill>
                  <w14:solidFill>
                    <w14:schemeClr w14:val="tx1"/>
                  </w14:solidFill>
                </w14:textFill>
              </w:rPr>
              <w:t>支持分板块、资金来源等决算分析，支持财务报告</w:t>
            </w:r>
            <w:r>
              <w:rPr>
                <w:rFonts w:ascii="仿宋_GB2312" w:hAnsi="等线" w:cs="仿宋_GB2312"/>
                <w:color w:val="000000" w:themeColor="text1"/>
                <w:szCs w:val="24"/>
                <w:lang w:bidi="ar"/>
                <w14:textFill>
                  <w14:solidFill>
                    <w14:schemeClr w14:val="tx1"/>
                  </w14:solidFill>
                </w14:textFill>
              </w:rPr>
              <w:t>。</w:t>
            </w:r>
          </w:p>
        </w:tc>
      </w:tr>
      <w:tr>
        <w:tblPrEx>
          <w:tblCellMar>
            <w:top w:w="0" w:type="dxa"/>
            <w:left w:w="108" w:type="dxa"/>
            <w:bottom w:w="0" w:type="dxa"/>
            <w:right w:w="108" w:type="dxa"/>
          </w:tblCellMar>
        </w:tblPrEx>
        <w:trPr>
          <w:trHeight w:val="8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eastAsia="仿宋_GB2312" w:cs="仿宋_GB2312"/>
                <w:color w:val="000000" w:themeColor="text1"/>
                <w:szCs w:val="24"/>
                <w:lang w:val="en-US"/>
                <w14:textFill>
                  <w14:solidFill>
                    <w14:schemeClr w14:val="tx1"/>
                  </w14:solidFill>
                </w14:textFill>
              </w:rPr>
            </w:pPr>
            <w:r>
              <w:rPr>
                <w:rFonts w:hint="eastAsia" w:ascii="仿宋_GB2312" w:hAnsi="等线" w:cs="仿宋_GB2312"/>
                <w:color w:val="000000" w:themeColor="text1"/>
                <w:szCs w:val="24"/>
                <w:lang w:val="en-US" w:bidi="ar"/>
                <w14:textFill>
                  <w14:solidFill>
                    <w14:schemeClr w14:val="tx1"/>
                  </w14:solidFill>
                </w14:textFill>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财务综合管理</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提供财务综合管理功能，</w:t>
            </w:r>
            <w:r>
              <w:rPr>
                <w:rFonts w:hint="eastAsia" w:ascii="仿宋_GB2312" w:hAnsi="等线" w:cs="仿宋_GB2312"/>
                <w:color w:val="000000" w:themeColor="text1"/>
                <w:szCs w:val="24"/>
                <w:lang w:bidi="ar"/>
                <w14:textFill>
                  <w14:solidFill>
                    <w14:schemeClr w14:val="tx1"/>
                  </w14:solidFill>
                </w14:textFill>
              </w:rPr>
              <w:t>包括任务分发、分业务板块管理、重点资金管理。</w:t>
            </w:r>
            <w:r>
              <w:rPr>
                <w:rFonts w:ascii="仿宋_GB2312" w:hAnsi="等线" w:cs="仿宋_GB2312"/>
                <w:color w:val="000000" w:themeColor="text1"/>
                <w:szCs w:val="24"/>
                <w:lang w:bidi="ar"/>
                <w14:textFill>
                  <w14:solidFill>
                    <w14:schemeClr w14:val="tx1"/>
                  </w14:solidFill>
                </w14:textFill>
              </w:rPr>
              <w:t>可发布任务下发、规定完成时限、完成任务后上报，支持发布下发任务附件上传，并提供任务完成情况统计报表，需提供在线编辑</w:t>
            </w:r>
            <w:r>
              <w:rPr>
                <w:rFonts w:hint="eastAsia" w:ascii="仿宋_GB2312" w:hAnsi="等线" w:cs="仿宋_GB2312"/>
                <w:color w:val="000000" w:themeColor="text1"/>
                <w:szCs w:val="24"/>
                <w:lang w:bidi="ar"/>
                <w14:textFill>
                  <w14:solidFill>
                    <w14:schemeClr w14:val="tx1"/>
                  </w14:solidFill>
                </w14:textFill>
              </w:rPr>
              <w:t>多人协同</w:t>
            </w:r>
            <w:r>
              <w:rPr>
                <w:rFonts w:ascii="仿宋_GB2312" w:hAnsi="等线" w:cs="仿宋_GB2312"/>
                <w:color w:val="000000" w:themeColor="text1"/>
                <w:szCs w:val="24"/>
                <w:lang w:bidi="ar"/>
                <w14:textFill>
                  <w14:solidFill>
                    <w14:schemeClr w14:val="tx1"/>
                  </w14:solidFill>
                </w14:textFill>
              </w:rPr>
              <w:t>表格功能。</w:t>
            </w:r>
            <w:r>
              <w:rPr>
                <w:rFonts w:hint="eastAsia" w:ascii="仿宋_GB2312"/>
                <w:color w:val="000000" w:themeColor="text1"/>
                <w14:textFill>
                  <w14:solidFill>
                    <w14:schemeClr w14:val="tx1"/>
                  </w14:solidFill>
                </w14:textFill>
              </w:rPr>
              <w:t>实现可自定义划分业务板块，关联预算管理模块，对下属单位预算等进行板块化管理。支持对板块内</w:t>
            </w:r>
            <w:r>
              <w:rPr>
                <w:rFonts w:hint="eastAsia" w:ascii="仿宋_GB2312" w:hAnsi="仿宋_GB2312" w:cs="仿宋_GB2312"/>
                <w:color w:val="000000" w:themeColor="text1"/>
                <w14:textFill>
                  <w14:solidFill>
                    <w14:schemeClr w14:val="tx1"/>
                  </w14:solidFill>
                </w14:textFill>
              </w:rPr>
              <w:t>自定义</w:t>
            </w:r>
            <w:r>
              <w:rPr>
                <w:rFonts w:hint="eastAsia" w:ascii="仿宋_GB2312"/>
                <w:color w:val="000000" w:themeColor="text1"/>
                <w14:textFill>
                  <w14:solidFill>
                    <w14:schemeClr w14:val="tx1"/>
                  </w14:solidFill>
                </w14:textFill>
              </w:rPr>
              <w:t>重点资金实现单列管理。</w:t>
            </w:r>
          </w:p>
        </w:tc>
      </w:tr>
      <w:tr>
        <w:tblPrEx>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eastAsia="仿宋_GB2312"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1</w:t>
            </w:r>
            <w:r>
              <w:rPr>
                <w:rFonts w:hint="eastAsia" w:ascii="仿宋_GB2312" w:hAnsi="等线" w:cs="仿宋_GB2312"/>
                <w:color w:val="000000" w:themeColor="text1"/>
                <w:szCs w:val="24"/>
                <w:lang w:val="en-US" w:bidi="ar"/>
                <w14:textFill>
                  <w14:solidFill>
                    <w14:schemeClr w14:val="tx1"/>
                  </w14:solidFill>
                </w14:textFill>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财务监管管理</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提供重点及高风险财务业务的检查、跟踪。审批流程均可追溯，对存在如超期未处理等异常情况的提供反馈。系统具备监管财务核算准确性功能。</w:t>
            </w:r>
            <w:r>
              <w:rPr>
                <w:rFonts w:hint="eastAsia" w:ascii="仿宋_GB2312" w:hAnsi="仿宋_GB2312" w:cs="仿宋_GB2312"/>
                <w:color w:val="000000" w:themeColor="text1"/>
                <w14:textFill>
                  <w14:solidFill>
                    <w14:schemeClr w14:val="tx1"/>
                  </w14:solidFill>
                </w14:textFill>
              </w:rPr>
              <w:t>在统计模块、相关业务模块的统计功能中，提供统计异常反馈。</w:t>
            </w:r>
          </w:p>
        </w:tc>
      </w:tr>
      <w:tr>
        <w:tblPrEx>
          <w:tblCellMar>
            <w:top w:w="0" w:type="dxa"/>
            <w:left w:w="108" w:type="dxa"/>
            <w:bottom w:w="0" w:type="dxa"/>
            <w:right w:w="108" w:type="dxa"/>
          </w:tblCellMar>
        </w:tblPrEx>
        <w:trPr>
          <w:trHeight w:val="8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eastAsia="仿宋_GB2312"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1</w:t>
            </w:r>
            <w:r>
              <w:rPr>
                <w:rFonts w:hint="eastAsia" w:ascii="仿宋_GB2312" w:hAnsi="等线" w:cs="仿宋_GB2312"/>
                <w:color w:val="000000" w:themeColor="text1"/>
                <w:szCs w:val="24"/>
                <w:lang w:val="en-US" w:bidi="ar"/>
                <w14:textFill>
                  <w14:solidFill>
                    <w14:schemeClr w14:val="tx1"/>
                  </w14:solidFill>
                </w14:textFill>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多维度统计报表</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提供“三公”经费、“六公”经费等重点资金的可供自定义的专项统计分析。自动生成部门、单位、单位内设机构的财务分析功能。提供统计项目自定义组合的灵活统计分析功能。提供固化部分常用统计分析报表，及领导查询。</w:t>
            </w:r>
          </w:p>
        </w:tc>
      </w:tr>
      <w:tr>
        <w:tblPrEx>
          <w:tblCellMar>
            <w:top w:w="0" w:type="dxa"/>
            <w:left w:w="108" w:type="dxa"/>
            <w:bottom w:w="0" w:type="dxa"/>
            <w:right w:w="108" w:type="dxa"/>
          </w:tblCellMar>
        </w:tblPrEx>
        <w:trPr>
          <w:trHeight w:val="7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eastAsia="仿宋_GB2312"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1</w:t>
            </w:r>
            <w:r>
              <w:rPr>
                <w:rFonts w:hint="eastAsia" w:ascii="仿宋_GB2312" w:hAnsi="等线" w:cs="仿宋_GB2312"/>
                <w:color w:val="000000" w:themeColor="text1"/>
                <w:szCs w:val="24"/>
                <w:lang w:val="en-US" w:bidi="ar"/>
                <w14:textFill>
                  <w14:solidFill>
                    <w14:schemeClr w14:val="tx1"/>
                  </w14:solidFill>
                </w14:textFill>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系统</w:t>
            </w:r>
            <w:r>
              <w:rPr>
                <w:rFonts w:hint="eastAsia" w:ascii="仿宋_GB2312" w:hAnsi="等线" w:cs="仿宋_GB2312"/>
                <w:color w:val="000000" w:themeColor="text1"/>
                <w:szCs w:val="24"/>
                <w:lang w:bidi="ar"/>
                <w14:textFill>
                  <w14:solidFill>
                    <w14:schemeClr w14:val="tx1"/>
                  </w14:solidFill>
                </w14:textFill>
              </w:rPr>
              <w:t>交互</w:t>
            </w:r>
          </w:p>
        </w:tc>
        <w:tc>
          <w:tcPr>
            <w:tcW w:w="8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bottom"/>
              <w:rPr>
                <w:rFonts w:ascii="仿宋_GB2312" w:hAnsi="等线" w:cs="仿宋_GB2312"/>
                <w:color w:val="000000" w:themeColor="text1"/>
                <w:szCs w:val="24"/>
                <w14:textFill>
                  <w14:solidFill>
                    <w14:schemeClr w14:val="tx1"/>
                  </w14:solidFill>
                </w14:textFill>
              </w:rPr>
            </w:pPr>
            <w:r>
              <w:rPr>
                <w:rFonts w:ascii="仿宋_GB2312" w:hAnsi="等线" w:cs="仿宋_GB2312"/>
                <w:color w:val="000000" w:themeColor="text1"/>
                <w:szCs w:val="24"/>
                <w:lang w:bidi="ar"/>
                <w14:textFill>
                  <w14:solidFill>
                    <w14:schemeClr w14:val="tx1"/>
                  </w14:solidFill>
                </w14:textFill>
              </w:rPr>
              <w:t>与省财政“数字财政”进行数据交互，确保基础数据的可靠。预留安全可信的接口与相关财务系统对接，支持接入基层单位的报销、采购、收支管理的结果数据。</w:t>
            </w:r>
          </w:p>
        </w:tc>
      </w:tr>
    </w:tbl>
    <w:p>
      <w:pPr>
        <w:ind w:firstLine="480"/>
        <w:rPr>
          <w:rFonts w:ascii="仿宋_GB2312" w:hAnsi="仿宋_GB2312" w:cs="仿宋_GB2312"/>
          <w:color w:val="000000" w:themeColor="text1"/>
          <w14:textFill>
            <w14:solidFill>
              <w14:schemeClr w14:val="tx1"/>
            </w14:solidFill>
          </w14:textFill>
        </w:rPr>
      </w:pPr>
    </w:p>
    <w:p>
      <w:pPr>
        <w:pStyle w:val="2"/>
        <w:rPr>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详细功能如下：</w:t>
      </w:r>
    </w:p>
    <w:p>
      <w:pPr>
        <w:pStyle w:val="4"/>
        <w:spacing w:before="120" w:after="120"/>
        <w:ind w:left="440"/>
        <w:rPr>
          <w:color w:val="000000" w:themeColor="text1"/>
          <w14:textFill>
            <w14:solidFill>
              <w14:schemeClr w14:val="tx1"/>
            </w14:solidFill>
          </w14:textFill>
        </w:rPr>
      </w:pPr>
      <w:bookmarkStart w:id="40" w:name="_Toc20827"/>
      <w:bookmarkStart w:id="41" w:name="_Toc15925"/>
      <w:bookmarkStart w:id="42" w:name="_Toc10207"/>
      <w:bookmarkStart w:id="43" w:name="_Toc1412"/>
      <w:bookmarkStart w:id="44" w:name="_Toc18470"/>
      <w:bookmarkStart w:id="45" w:name="_Toc23591"/>
      <w:bookmarkStart w:id="46" w:name="_Toc12743"/>
      <w:bookmarkStart w:id="47" w:name="_Toc19787"/>
      <w:bookmarkStart w:id="48" w:name="_Toc3840"/>
      <w:bookmarkStart w:id="49" w:name="_Toc27827"/>
      <w:bookmarkStart w:id="50" w:name="_Toc25779"/>
      <w:bookmarkStart w:id="51" w:name="_Toc3846"/>
      <w:bookmarkStart w:id="52" w:name="_Toc14786"/>
      <w:bookmarkStart w:id="53" w:name="_Toc18634"/>
      <w:bookmarkStart w:id="54" w:name="_Toc5970"/>
      <w:bookmarkStart w:id="55" w:name="_Toc4219"/>
      <w:bookmarkStart w:id="56" w:name="_Toc10367"/>
      <w:r>
        <w:rPr>
          <w:rFonts w:hint="eastAsia"/>
          <w:color w:val="000000" w:themeColor="text1"/>
          <w14:textFill>
            <w14:solidFill>
              <w14:schemeClr w14:val="tx1"/>
            </w14:solidFill>
          </w14:textFill>
        </w:rPr>
        <w:t>基础平台</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6"/>
        <w:ind w:left="856" w:hanging="187"/>
        <w:rPr>
          <w:color w:val="000000" w:themeColor="text1"/>
          <w14:textFill>
            <w14:solidFill>
              <w14:schemeClr w14:val="tx1"/>
            </w14:solidFill>
          </w14:textFill>
        </w:rPr>
      </w:pPr>
      <w:r>
        <w:rPr>
          <w:rFonts w:hint="eastAsia"/>
          <w:color w:val="000000" w:themeColor="text1"/>
          <w14:textFill>
            <w14:solidFill>
              <w14:schemeClr w14:val="tx1"/>
            </w14:solidFill>
          </w14:textFill>
        </w:rPr>
        <w:t>基础数据管理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提供基础数据设置和维护管理，详细信息展示等。</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系统设置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提供系统基本设置与管理，支持功能菜单管理、系统参数设置、数据字典管理、单据编码等。</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权限管理</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提供针对本局管理架构对应的自定义系统权限管理功能，管理员可以灵活配置各个角色的权限范围，实现精细化的权限控制。</w:t>
      </w:r>
      <w:r>
        <w:rPr>
          <w:rFonts w:ascii="仿宋_GB2312" w:hAnsi="仿宋_GB2312" w:cs="仿宋_GB2312"/>
          <w:color w:val="000000" w:themeColor="text1"/>
          <w14:textFill>
            <w14:solidFill>
              <w14:schemeClr w14:val="tx1"/>
            </w14:solidFill>
          </w14:textFill>
        </w:rPr>
        <w:t>包括对系统各个功能模块、数据操作和敏感信息的访问权限进行细致的控制</w:t>
      </w:r>
      <w:r>
        <w:rPr>
          <w:rFonts w:hint="eastAsia" w:ascii="仿宋_GB2312" w:hAnsi="仿宋_GB2312" w:cs="仿宋_GB2312"/>
          <w:color w:val="000000" w:themeColor="text1"/>
          <w14:textFill>
            <w14:solidFill>
              <w14:schemeClr w14:val="tx1"/>
            </w14:solidFill>
          </w14:textFill>
        </w:rPr>
        <w:t>，对权限信息维护和管理</w:t>
      </w:r>
      <w:r>
        <w:rPr>
          <w:rFonts w:ascii="仿宋_GB2312" w:hAnsi="仿宋_GB2312" w:cs="仿宋_GB2312"/>
          <w:color w:val="000000" w:themeColor="text1"/>
          <w14:textFill>
            <w14:solidFill>
              <w14:schemeClr w14:val="tx1"/>
            </w14:solidFill>
          </w14:textFill>
        </w:rPr>
        <w:t>。</w:t>
      </w:r>
    </w:p>
    <w:p>
      <w:pPr>
        <w:pStyle w:val="6"/>
        <w:tabs>
          <w:tab w:val="left" w:pos="1134"/>
        </w:tabs>
        <w:rPr>
          <w:color w:val="000000" w:themeColor="text1"/>
          <w14:textFill>
            <w14:solidFill>
              <w14:schemeClr w14:val="tx1"/>
            </w14:solidFill>
          </w14:textFill>
        </w:rPr>
      </w:pPr>
      <w:r>
        <w:rPr>
          <w:color w:val="000000" w:themeColor="text1"/>
          <w14:textFill>
            <w14:solidFill>
              <w14:schemeClr w14:val="tx1"/>
            </w14:solidFill>
          </w14:textFill>
        </w:rPr>
        <w:t>角色管理</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提供角色信息管理及维护，</w:t>
      </w:r>
      <w:r>
        <w:rPr>
          <w:rFonts w:ascii="仿宋_GB2312" w:hAnsi="仿宋_GB2312" w:cs="仿宋_GB2312"/>
          <w:color w:val="000000" w:themeColor="text1"/>
          <w14:textFill>
            <w14:solidFill>
              <w14:schemeClr w14:val="tx1"/>
            </w14:solidFill>
          </w14:textFill>
        </w:rPr>
        <w:t>管理员可以创建不同的角色并为每个角色分配相应的权限。</w:t>
      </w:r>
    </w:p>
    <w:p>
      <w:pPr>
        <w:pStyle w:val="6"/>
        <w:tabs>
          <w:tab w:val="left" w:pos="1134"/>
        </w:tabs>
        <w:rPr>
          <w:color w:val="000000" w:themeColor="text1"/>
          <w14:textFill>
            <w14:solidFill>
              <w14:schemeClr w14:val="tx1"/>
            </w14:solidFill>
          </w14:textFill>
        </w:rPr>
      </w:pPr>
      <w:r>
        <w:rPr>
          <w:color w:val="000000" w:themeColor="text1"/>
          <w14:textFill>
            <w14:solidFill>
              <w14:schemeClr w14:val="tx1"/>
            </w14:solidFill>
          </w14:textFill>
        </w:rPr>
        <w:t>用户管理</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提供用户信息管理及维护，用户包括市本级业务处室、1</w:t>
      </w:r>
      <w:r>
        <w:rPr>
          <w:rFonts w:ascii="仿宋_GB2312" w:hAnsi="仿宋_GB2312" w:cs="仿宋_GB2312"/>
          <w:color w:val="000000" w:themeColor="text1"/>
          <w14:textFill>
            <w14:solidFill>
              <w14:schemeClr w14:val="tx1"/>
            </w14:solidFill>
          </w14:textFill>
        </w:rPr>
        <w:t>6</w:t>
      </w:r>
      <w:r>
        <w:rPr>
          <w:rFonts w:hint="eastAsia" w:ascii="仿宋_GB2312" w:hAnsi="仿宋_GB2312" w:cs="仿宋_GB2312"/>
          <w:color w:val="000000" w:themeColor="text1"/>
          <w14:textFill>
            <w14:solidFill>
              <w14:schemeClr w14:val="tx1"/>
            </w14:solidFill>
          </w14:textFill>
        </w:rPr>
        <w:t>个下属单位等</w:t>
      </w:r>
      <w:r>
        <w:rPr>
          <w:rFonts w:ascii="仿宋_GB2312" w:hAnsi="仿宋_GB2312" w:cs="仿宋_GB2312"/>
          <w:color w:val="000000" w:themeColor="text1"/>
          <w14:textFill>
            <w14:solidFill>
              <w14:schemeClr w14:val="tx1"/>
            </w14:solidFill>
          </w14:textFill>
        </w:rPr>
        <w:t>，</w:t>
      </w:r>
      <w:r>
        <w:rPr>
          <w:rFonts w:hint="eastAsia" w:ascii="仿宋_GB2312" w:hAnsi="仿宋_GB2312" w:cs="仿宋_GB2312"/>
          <w:color w:val="000000" w:themeColor="text1"/>
          <w14:textFill>
            <w14:solidFill>
              <w14:schemeClr w14:val="tx1"/>
            </w14:solidFill>
          </w14:textFill>
        </w:rPr>
        <w:t>支持</w:t>
      </w:r>
      <w:r>
        <w:rPr>
          <w:rFonts w:ascii="仿宋_GB2312" w:hAnsi="仿宋_GB2312" w:cs="仿宋_GB2312"/>
          <w:color w:val="000000" w:themeColor="text1"/>
          <w14:textFill>
            <w14:solidFill>
              <w14:schemeClr w14:val="tx1"/>
            </w14:solidFill>
          </w14:textFill>
        </w:rPr>
        <w:t>创建新用户、编辑用户信息、重置密码等操作。</w:t>
      </w:r>
    </w:p>
    <w:p>
      <w:pPr>
        <w:pStyle w:val="4"/>
        <w:spacing w:before="120" w:after="120"/>
        <w:ind w:left="440"/>
        <w:rPr>
          <w:color w:val="000000" w:themeColor="text1"/>
          <w14:textFill>
            <w14:solidFill>
              <w14:schemeClr w14:val="tx1"/>
            </w14:solidFill>
          </w14:textFill>
        </w:rPr>
      </w:pPr>
      <w:bookmarkStart w:id="57" w:name="_Toc28755"/>
      <w:bookmarkStart w:id="58" w:name="_Toc23473"/>
      <w:bookmarkStart w:id="59" w:name="_Toc6103"/>
      <w:bookmarkStart w:id="60" w:name="_Toc6313"/>
      <w:bookmarkStart w:id="61" w:name="_Toc32365"/>
      <w:bookmarkStart w:id="62" w:name="_Toc13447"/>
      <w:bookmarkStart w:id="63" w:name="_Toc15571"/>
      <w:bookmarkStart w:id="64" w:name="_Toc17465"/>
      <w:bookmarkStart w:id="65" w:name="_Toc14188"/>
      <w:bookmarkStart w:id="66" w:name="_Toc2385"/>
      <w:bookmarkStart w:id="67" w:name="_Toc23854"/>
      <w:bookmarkStart w:id="68" w:name="_Toc21123"/>
      <w:bookmarkStart w:id="69" w:name="_Toc16022"/>
      <w:bookmarkStart w:id="70" w:name="_Toc18910"/>
      <w:bookmarkStart w:id="71" w:name="_Toc4190"/>
      <w:bookmarkStart w:id="72" w:name="_Toc13422"/>
      <w:bookmarkStart w:id="73" w:name="_Toc22587"/>
      <w:r>
        <w:rPr>
          <w:rFonts w:hint="eastAsia"/>
          <w:color w:val="000000" w:themeColor="text1"/>
          <w14:textFill>
            <w14:solidFill>
              <w14:schemeClr w14:val="tx1"/>
            </w14:solidFill>
          </w14:textFill>
        </w:rPr>
        <w:t>预算管理</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数字财政预算数据回流</w:t>
      </w:r>
    </w:p>
    <w:p>
      <w:pPr>
        <w:ind w:firstLine="480"/>
        <w:rPr>
          <w:rFonts w:ascii="仿宋_GB2312"/>
          <w:color w:val="000000" w:themeColor="text1"/>
          <w:szCs w:val="28"/>
          <w14:textFill>
            <w14:solidFill>
              <w14:schemeClr w14:val="tx1"/>
            </w14:solidFill>
          </w14:textFill>
        </w:rPr>
      </w:pPr>
      <w:r>
        <w:rPr>
          <w:rFonts w:hint="eastAsia" w:ascii="仿宋_GB2312"/>
          <w:color w:val="000000" w:themeColor="text1"/>
          <w:szCs w:val="28"/>
          <w14:textFill>
            <w14:solidFill>
              <w14:schemeClr w14:val="tx1"/>
            </w14:solidFill>
          </w14:textFill>
        </w:rPr>
        <w:t>可实现对数字财政预算批复数据回流至本系统，获取数字财政预算批复的相关信息。</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预算数据回流查询统计</w:t>
      </w:r>
    </w:p>
    <w:p>
      <w:pPr>
        <w:ind w:firstLine="480"/>
        <w:rPr>
          <w:rFonts w:ascii="仿宋_GB2312"/>
          <w:color w:val="000000" w:themeColor="text1"/>
          <w:szCs w:val="28"/>
          <w14:textFill>
            <w14:solidFill>
              <w14:schemeClr w14:val="tx1"/>
            </w14:solidFill>
          </w14:textFill>
        </w:rPr>
      </w:pPr>
      <w:r>
        <w:rPr>
          <w:rFonts w:hint="eastAsia" w:ascii="仿宋_GB2312"/>
          <w:color w:val="000000" w:themeColor="text1"/>
          <w:szCs w:val="28"/>
          <w14:textFill>
            <w14:solidFill>
              <w14:schemeClr w14:val="tx1"/>
            </w14:solidFill>
          </w14:textFill>
        </w:rPr>
        <w:t>提供回流财政预算数据查询功能，可查询统计数字财政预算批复回流结果数据。</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数字财政指标回流</w:t>
      </w:r>
    </w:p>
    <w:p>
      <w:pPr>
        <w:ind w:firstLine="480"/>
        <w:rPr>
          <w:rFonts w:ascii="仿宋_GB2312"/>
          <w:color w:val="000000" w:themeColor="text1"/>
          <w:szCs w:val="24"/>
          <w14:textFill>
            <w14:solidFill>
              <w14:schemeClr w14:val="tx1"/>
            </w14:solidFill>
          </w14:textFill>
        </w:rPr>
      </w:pPr>
      <w:r>
        <w:rPr>
          <w:rFonts w:hint="eastAsia" w:ascii="仿宋_GB2312"/>
          <w:color w:val="000000" w:themeColor="text1"/>
          <w:szCs w:val="24"/>
          <w14:textFill>
            <w14:solidFill>
              <w14:schemeClr w14:val="tx1"/>
            </w14:solidFill>
          </w14:textFill>
        </w:rPr>
        <w:t>可实现对财政指标数据回流至本系统，接收财政二级项目指标信息。</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财政指标回流查询</w:t>
      </w:r>
    </w:p>
    <w:p>
      <w:pPr>
        <w:ind w:firstLine="480"/>
        <w:rPr>
          <w:color w:val="000000" w:themeColor="text1"/>
          <w14:textFill>
            <w14:solidFill>
              <w14:schemeClr w14:val="tx1"/>
            </w14:solidFill>
          </w14:textFill>
        </w:rPr>
      </w:pPr>
      <w:r>
        <w:rPr>
          <w:rFonts w:hint="eastAsia" w:ascii="仿宋_GB2312"/>
          <w:color w:val="000000" w:themeColor="text1"/>
          <w:szCs w:val="28"/>
          <w14:textFill>
            <w14:solidFill>
              <w14:schemeClr w14:val="tx1"/>
            </w14:solidFill>
          </w14:textFill>
        </w:rPr>
        <w:t>提供财政指标回流数据查询功能，可查询数字财政二级项目指标回流结果数据。</w:t>
      </w:r>
    </w:p>
    <w:p>
      <w:pPr>
        <w:pStyle w:val="4"/>
        <w:spacing w:before="120" w:after="120"/>
        <w:ind w:left="440"/>
        <w:rPr>
          <w:color w:val="000000" w:themeColor="text1"/>
          <w14:textFill>
            <w14:solidFill>
              <w14:schemeClr w14:val="tx1"/>
            </w14:solidFill>
          </w14:textFill>
        </w:rPr>
      </w:pPr>
      <w:bookmarkStart w:id="74" w:name="_Toc7023"/>
      <w:bookmarkStart w:id="75" w:name="_Toc29005"/>
      <w:bookmarkStart w:id="76" w:name="_Toc9249"/>
      <w:bookmarkStart w:id="77" w:name="_Toc2393"/>
      <w:bookmarkStart w:id="78" w:name="_Toc12772"/>
      <w:bookmarkStart w:id="79" w:name="_Toc12005"/>
      <w:bookmarkStart w:id="80" w:name="_Toc3402"/>
      <w:bookmarkStart w:id="81" w:name="_Toc1336"/>
      <w:bookmarkStart w:id="82" w:name="_Toc17336"/>
      <w:bookmarkStart w:id="83" w:name="_Toc4115"/>
      <w:bookmarkStart w:id="84" w:name="_Toc18077"/>
      <w:bookmarkStart w:id="85" w:name="_Toc17802"/>
      <w:bookmarkStart w:id="86" w:name="_Toc19793"/>
      <w:bookmarkStart w:id="87" w:name="_Toc21642"/>
      <w:bookmarkStart w:id="88" w:name="_Toc9940"/>
      <w:bookmarkStart w:id="89" w:name="_Toc26334"/>
      <w:bookmarkStart w:id="90" w:name="_Toc24093"/>
      <w:r>
        <w:rPr>
          <w:rFonts w:hint="eastAsia"/>
          <w:color w:val="000000" w:themeColor="text1"/>
          <w14:textFill>
            <w14:solidFill>
              <w14:schemeClr w14:val="tx1"/>
            </w14:solidFill>
          </w14:textFill>
        </w:rPr>
        <w:t>绩效管理</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重点项目绩效评价结果备案</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提供重点项目绩效评价结果备案功能，可</w:t>
      </w:r>
      <w:r>
        <w:rPr>
          <w:rFonts w:hint="eastAsia" w:ascii="仿宋_GB2312"/>
          <w:color w:val="000000" w:themeColor="text1"/>
          <w14:textFill>
            <w14:solidFill>
              <w14:schemeClr w14:val="tx1"/>
            </w14:solidFill>
          </w14:textFill>
        </w:rPr>
        <w:t>选定为重点项目进入重点项目评价流程，</w:t>
      </w:r>
      <w:r>
        <w:rPr>
          <w:rFonts w:hint="eastAsia" w:ascii="仿宋_GB2312" w:hAnsi="仿宋" w:cs="仿宋"/>
          <w:color w:val="000000" w:themeColor="text1"/>
          <w:shd w:val="clear" w:color="auto" w:fill="FFFFFF"/>
          <w14:textFill>
            <w14:solidFill>
              <w14:schemeClr w14:val="tx1"/>
            </w14:solidFill>
          </w14:textFill>
        </w:rPr>
        <w:t>可对重点项目的绩效评价结果进行记录，支持第三方机构完成重点项目评价资料的上传，以便后续的绩效分析和汇报。</w:t>
      </w:r>
    </w:p>
    <w:p>
      <w:pPr>
        <w:pStyle w:val="4"/>
        <w:spacing w:before="120" w:after="120"/>
        <w:ind w:left="440"/>
        <w:rPr>
          <w:color w:val="000000" w:themeColor="text1"/>
          <w14:textFill>
            <w14:solidFill>
              <w14:schemeClr w14:val="tx1"/>
            </w14:solidFill>
          </w14:textFill>
        </w:rPr>
      </w:pPr>
      <w:r>
        <w:rPr>
          <w:rFonts w:hint="eastAsia"/>
          <w:color w:val="000000" w:themeColor="text1"/>
          <w14:textFill>
            <w14:solidFill>
              <w14:schemeClr w14:val="tx1"/>
            </w14:solidFill>
          </w14:textFill>
        </w:rPr>
        <w:t>采购管理</w:t>
      </w:r>
    </w:p>
    <w:p>
      <w:pPr>
        <w:pStyle w:val="6"/>
        <w:tabs>
          <w:tab w:val="left" w:pos="1134"/>
        </w:tabs>
        <w:rPr>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采购全流程管理</w:t>
      </w:r>
    </w:p>
    <w:p>
      <w:pP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支持模板批量导入采购信息，对采购全流程进行拓扑图管理，对关键节点办理事项提醒。关联预算支出模块。主管局可实时查询局属单位采购工作进度，是否按时推进采购工作，用于采购考核。</w:t>
      </w:r>
    </w:p>
    <w:p>
      <w:pPr>
        <w:pStyle w:val="6"/>
        <w:tabs>
          <w:tab w:val="left" w:pos="1134"/>
        </w:tabs>
        <w:rPr>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采购审批管理</w:t>
      </w:r>
    </w:p>
    <w:p>
      <w:pPr>
        <w:pStyle w:val="2"/>
        <w:rPr>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提供支持单位内部采购审批流程。</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中小企业采购份额管理</w:t>
      </w:r>
    </w:p>
    <w:p>
      <w:pPr>
        <w:ind w:firstLine="480"/>
        <w:rPr>
          <w:color w:val="000000" w:themeColor="text1"/>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提供年度预留中小企业采购份额管理功能，包括年度方案编制，实际执行统计。</w:t>
      </w:r>
    </w:p>
    <w:p>
      <w:pPr>
        <w:pStyle w:val="6"/>
        <w:tabs>
          <w:tab w:val="left" w:pos="1134"/>
        </w:tabs>
        <w:rPr>
          <w:color w:val="000000" w:themeColor="text1"/>
          <w14:textFill>
            <w14:solidFill>
              <w14:schemeClr w14:val="tx1"/>
            </w14:solidFill>
          </w14:textFill>
        </w:rPr>
      </w:pPr>
      <w:r>
        <w:rPr>
          <w:color w:val="000000" w:themeColor="text1"/>
          <w14:textFill>
            <w14:solidFill>
              <w14:schemeClr w14:val="tx1"/>
            </w14:solidFill>
          </w14:textFill>
        </w:rPr>
        <w:t>采购与项目库、预算关联</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政府采购业务流程中，</w:t>
      </w:r>
      <w:r>
        <w:rPr>
          <w:rFonts w:ascii="仿宋_GB2312" w:hAnsi="仿宋" w:cs="仿宋"/>
          <w:color w:val="000000" w:themeColor="text1"/>
          <w:shd w:val="clear" w:color="auto" w:fill="FFFFFF"/>
          <w14:textFill>
            <w14:solidFill>
              <w14:schemeClr w14:val="tx1"/>
            </w14:solidFill>
          </w14:textFill>
        </w:rPr>
        <w:t>将</w:t>
      </w:r>
      <w:r>
        <w:rPr>
          <w:rFonts w:hint="eastAsia" w:ascii="仿宋_GB2312" w:hAnsi="仿宋" w:cs="仿宋"/>
          <w:color w:val="000000" w:themeColor="text1"/>
          <w:shd w:val="clear" w:color="auto" w:fill="FFFFFF"/>
          <w14:textFill>
            <w14:solidFill>
              <w14:schemeClr w14:val="tx1"/>
            </w14:solidFill>
          </w14:textFill>
        </w:rPr>
        <w:t>政府</w:t>
      </w:r>
      <w:r>
        <w:rPr>
          <w:rFonts w:ascii="仿宋_GB2312" w:hAnsi="仿宋" w:cs="仿宋"/>
          <w:color w:val="000000" w:themeColor="text1"/>
          <w:shd w:val="clear" w:color="auto" w:fill="FFFFFF"/>
          <w14:textFill>
            <w14:solidFill>
              <w14:schemeClr w14:val="tx1"/>
            </w14:solidFill>
          </w14:textFill>
        </w:rPr>
        <w:t>采购与项目库</w:t>
      </w:r>
      <w:r>
        <w:rPr>
          <w:rFonts w:hint="eastAsia" w:ascii="仿宋_GB2312" w:hAnsi="仿宋" w:cs="仿宋"/>
          <w:color w:val="000000" w:themeColor="text1"/>
          <w:shd w:val="clear" w:color="auto" w:fill="FFFFFF"/>
          <w14:textFill>
            <w14:solidFill>
              <w14:schemeClr w14:val="tx1"/>
            </w14:solidFill>
          </w14:textFill>
        </w:rPr>
        <w:t>、</w:t>
      </w:r>
      <w:r>
        <w:rPr>
          <w:rFonts w:ascii="仿宋_GB2312" w:hAnsi="仿宋" w:cs="仿宋"/>
          <w:color w:val="000000" w:themeColor="text1"/>
          <w:shd w:val="clear" w:color="auto" w:fill="FFFFFF"/>
          <w14:textFill>
            <w14:solidFill>
              <w14:schemeClr w14:val="tx1"/>
            </w14:solidFill>
          </w14:textFill>
        </w:rPr>
        <w:t>预算进行关联，确保采购活动与项目计划和预算的一致性，避免超预算或重复采购。</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合同信息登记</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对采购关联的合同主要信息进行登记管理，包括合同编号、合同名称、合同金额、合同甲方乙方信息、支付条款、合同附件等信息。</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政府采购执行监控</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ascii="仿宋_GB2312" w:hAnsi="仿宋" w:cs="仿宋"/>
          <w:color w:val="000000" w:themeColor="text1"/>
          <w:shd w:val="clear" w:color="auto" w:fill="FFFFFF"/>
          <w14:textFill>
            <w14:solidFill>
              <w14:schemeClr w14:val="tx1"/>
            </w14:solidFill>
          </w14:textFill>
        </w:rPr>
        <w:t>建立</w:t>
      </w:r>
      <w:r>
        <w:rPr>
          <w:rFonts w:hint="eastAsia" w:ascii="仿宋_GB2312" w:hAnsi="仿宋" w:cs="仿宋"/>
          <w:color w:val="000000" w:themeColor="text1"/>
          <w:shd w:val="clear" w:color="auto" w:fill="FFFFFF"/>
          <w14:textFill>
            <w14:solidFill>
              <w14:schemeClr w14:val="tx1"/>
            </w14:solidFill>
          </w14:textFill>
        </w:rPr>
        <w:t>政府采购</w:t>
      </w:r>
      <w:r>
        <w:rPr>
          <w:rFonts w:ascii="仿宋_GB2312" w:hAnsi="仿宋" w:cs="仿宋"/>
          <w:color w:val="000000" w:themeColor="text1"/>
          <w:shd w:val="clear" w:color="auto" w:fill="FFFFFF"/>
          <w14:textFill>
            <w14:solidFill>
              <w14:schemeClr w14:val="tx1"/>
            </w14:solidFill>
          </w14:textFill>
        </w:rPr>
        <w:t>预算</w:t>
      </w:r>
      <w:r>
        <w:rPr>
          <w:rFonts w:hint="eastAsia" w:ascii="仿宋_GB2312" w:hAnsi="仿宋" w:cs="仿宋"/>
          <w:color w:val="000000" w:themeColor="text1"/>
          <w:shd w:val="clear" w:color="auto" w:fill="FFFFFF"/>
          <w14:textFill>
            <w14:solidFill>
              <w14:schemeClr w14:val="tx1"/>
            </w14:solidFill>
          </w14:textFill>
        </w:rPr>
        <w:t>执行</w:t>
      </w:r>
      <w:r>
        <w:rPr>
          <w:rFonts w:ascii="仿宋_GB2312" w:hAnsi="仿宋" w:cs="仿宋"/>
          <w:color w:val="000000" w:themeColor="text1"/>
          <w:shd w:val="clear" w:color="auto" w:fill="FFFFFF"/>
          <w14:textFill>
            <w14:solidFill>
              <w14:schemeClr w14:val="tx1"/>
            </w14:solidFill>
          </w14:textFill>
        </w:rPr>
        <w:t>监控机制，定期或实时追踪政府采购活动的预算执行情况，确保在年度预算范围内进行采购，及时发现并解决预算超支或未使用的问题</w:t>
      </w:r>
      <w:r>
        <w:rPr>
          <w:rFonts w:hint="eastAsia" w:ascii="仿宋_GB2312" w:hAnsi="仿宋" w:cs="仿宋"/>
          <w:color w:val="000000" w:themeColor="text1"/>
          <w:shd w:val="clear" w:color="auto" w:fill="FFFFFF"/>
          <w14:textFill>
            <w14:solidFill>
              <w14:schemeClr w14:val="tx1"/>
            </w14:solidFill>
          </w14:textFill>
        </w:rPr>
        <w:t>。</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1</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前置预算：在政府采购前进行指标和政府采购预算核定，确保采购活动的合规性和经济效益；对采购方式等进行规则校验。</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2</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事中校验预警：在政府采购过程中进行事中校验和预警，及时发现和纠正采购活动中的问题和风险。</w:t>
      </w:r>
    </w:p>
    <w:p>
      <w:pPr>
        <w:ind w:left="110" w:leftChars="50" w:firstLine="391" w:firstLineChars="178"/>
        <w:rPr>
          <w:rFonts w:ascii="仿宋_GB2312" w:hAnsi="仿宋" w:eastAsia="仿宋_GB2312"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3</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流程合规校验库：建立流程合规校验库，记录和管理政府采购流程的合规性和相关文件的审批备案情况。</w:t>
      </w:r>
      <w:r>
        <w:rPr>
          <w:rFonts w:hint="eastAsia" w:ascii="仿宋_GB2312" w:hAnsi="仿宋_GB2312" w:cs="仿宋_GB2312"/>
          <w:color w:val="000000" w:themeColor="text1"/>
          <w14:textFill>
            <w14:solidFill>
              <w14:schemeClr w14:val="tx1"/>
            </w14:solidFill>
          </w14:textFill>
        </w:rPr>
        <w:t>购置类合同完成后应与资产入账情况进行对碰检查。</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政府采购统计</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可统计单位年度预算中各项目的采购品目明细情况，包括采购数量、采购方式和采购预算金额等；统计预留中小企业采购份额执行情况。</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政府购买服务管理</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提供政府购买服务管理子模块，可实现政府购买服务整个采购管理流程，包括采购预算调整备案等。</w:t>
      </w:r>
    </w:p>
    <w:p>
      <w:pPr>
        <w:pStyle w:val="4"/>
        <w:spacing w:before="120" w:after="120"/>
        <w:ind w:left="440"/>
        <w:rPr>
          <w:color w:val="000000" w:themeColor="text1"/>
          <w14:textFill>
            <w14:solidFill>
              <w14:schemeClr w14:val="tx1"/>
            </w14:solidFill>
          </w14:textFill>
        </w:rPr>
      </w:pPr>
      <w:bookmarkStart w:id="91" w:name="_Toc16831"/>
      <w:bookmarkStart w:id="92" w:name="_Toc22803"/>
      <w:bookmarkStart w:id="93" w:name="_Toc8550"/>
      <w:bookmarkStart w:id="94" w:name="_Toc10693"/>
      <w:bookmarkStart w:id="95" w:name="_Toc15489"/>
      <w:bookmarkStart w:id="96" w:name="_Toc30551"/>
      <w:bookmarkStart w:id="97" w:name="_Toc208"/>
      <w:bookmarkStart w:id="98" w:name="_Toc17192"/>
      <w:bookmarkStart w:id="99" w:name="_Toc5735"/>
      <w:bookmarkStart w:id="100" w:name="_Toc18117"/>
      <w:bookmarkStart w:id="101" w:name="_Toc23312"/>
      <w:bookmarkStart w:id="102" w:name="_Toc22410"/>
      <w:bookmarkStart w:id="103" w:name="_Toc16249"/>
      <w:bookmarkStart w:id="104" w:name="_Toc23793"/>
      <w:bookmarkStart w:id="105" w:name="_Toc10218"/>
      <w:bookmarkStart w:id="106" w:name="_Toc19979"/>
      <w:bookmarkStart w:id="107" w:name="_Toc4827"/>
      <w:r>
        <w:rPr>
          <w:rFonts w:hint="eastAsia"/>
          <w:color w:val="000000" w:themeColor="text1"/>
          <w14:textFill>
            <w14:solidFill>
              <w14:schemeClr w14:val="tx1"/>
            </w14:solidFill>
          </w14:textFill>
        </w:rPr>
        <w:t>项目资金管理</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项目立项登记管理</w:t>
      </w:r>
    </w:p>
    <w:p>
      <w:pPr>
        <w:ind w:firstLine="480"/>
        <w:rPr>
          <w:rFonts w:ascii="仿宋_GB2312" w:hAnsi="仿宋"/>
          <w:color w:val="000000" w:themeColor="text1"/>
          <w:szCs w:val="28"/>
          <w14:textFill>
            <w14:solidFill>
              <w14:schemeClr w14:val="tx1"/>
            </w14:solidFill>
          </w14:textFill>
        </w:rPr>
      </w:pPr>
      <w:r>
        <w:rPr>
          <w:rFonts w:hint="eastAsia" w:ascii="仿宋_GB2312" w:hAnsi="仿宋"/>
          <w:color w:val="000000" w:themeColor="text1"/>
          <w:szCs w:val="28"/>
          <w14:textFill>
            <w14:solidFill>
              <w14:schemeClr w14:val="tx1"/>
            </w14:solidFill>
          </w14:textFill>
        </w:rPr>
        <w:t>新建项目申报审核：支持工程建设项目立项申报功能，各业务部门提供项目基本资料，项目明细信息，申报项目下年度预算信息，项目建议书，可行性报告，申报依据等资料。基建项目管理部门根据审批流程对项目进行审批。财务部门审核调整项目资金的具体明细。审批通过的项目进入项目库。并且按照项目的资金性质生成项目年初预算指标。</w:t>
      </w:r>
    </w:p>
    <w:p>
      <w:pPr>
        <w:ind w:firstLine="480"/>
        <w:rPr>
          <w:rFonts w:ascii="仿宋_GB2312" w:hAnsi="仿宋"/>
          <w:color w:val="000000" w:themeColor="text1"/>
          <w:szCs w:val="28"/>
          <w14:textFill>
            <w14:solidFill>
              <w14:schemeClr w14:val="tx1"/>
            </w14:solidFill>
          </w14:textFill>
        </w:rPr>
      </w:pPr>
      <w:r>
        <w:rPr>
          <w:rFonts w:hint="eastAsia" w:ascii="仿宋_GB2312" w:hAnsi="仿宋"/>
          <w:color w:val="000000" w:themeColor="text1"/>
          <w:szCs w:val="28"/>
          <w14:textFill>
            <w14:solidFill>
              <w14:schemeClr w14:val="tx1"/>
            </w14:solidFill>
          </w14:textFill>
        </w:rPr>
        <w:t>延续性项目申报审核：各业务部门选择延续性项目，填报项目的下年度预算信息及相关资料进行申报，主管部门根据审批流程对项目进行审批。审批通过的项目按照项目的资金性质生成项目年初预算指标。</w:t>
      </w:r>
    </w:p>
    <w:p>
      <w:pPr>
        <w:ind w:firstLine="480"/>
        <w:rPr>
          <w:rFonts w:ascii="仿宋_GB2312" w:hAnsi="仿宋"/>
          <w:color w:val="000000" w:themeColor="text1"/>
          <w:szCs w:val="28"/>
          <w14:textFill>
            <w14:solidFill>
              <w14:schemeClr w14:val="tx1"/>
            </w14:solidFill>
          </w14:textFill>
        </w:rPr>
      </w:pPr>
      <w:r>
        <w:rPr>
          <w:rFonts w:hint="eastAsia" w:ascii="仿宋_GB2312" w:hAnsi="仿宋"/>
          <w:color w:val="000000" w:themeColor="text1"/>
          <w:szCs w:val="28"/>
          <w14:textFill>
            <w14:solidFill>
              <w14:schemeClr w14:val="tx1"/>
            </w14:solidFill>
          </w14:textFill>
        </w:rPr>
        <w:t>项目概算登记：支持将审核通过后的概算明细录入到系统中，项目概算内容包括项目资金来源和概算明细。</w:t>
      </w:r>
    </w:p>
    <w:p>
      <w:pPr>
        <w:ind w:firstLine="480"/>
        <w:rPr>
          <w:rFonts w:ascii="仿宋_GB2312" w:hAnsi="仿宋"/>
          <w:color w:val="000000" w:themeColor="text1"/>
          <w:szCs w:val="28"/>
          <w14:textFill>
            <w14:solidFill>
              <w14:schemeClr w14:val="tx1"/>
            </w14:solidFill>
          </w14:textFill>
        </w:rPr>
      </w:pPr>
      <w:r>
        <w:rPr>
          <w:rFonts w:hint="eastAsia" w:ascii="仿宋_GB2312" w:hAnsi="仿宋"/>
          <w:color w:val="000000" w:themeColor="text1"/>
          <w:szCs w:val="28"/>
          <w14:textFill>
            <w14:solidFill>
              <w14:schemeClr w14:val="tx1"/>
            </w14:solidFill>
          </w14:textFill>
        </w:rPr>
        <w:t>项目概算调整：审批通过的项目概算可能会发生变化。系统提供概算调整功能，对每次发生的概算调整内容进行登记，包括资金来源和费用支出的调整。系统可以追溯概算的历史调整情况。系统提供前审核通过的调整概算录入系统，保留不同时期的项目概算，以便用不同时期的概算进行支付控制。</w:t>
      </w:r>
    </w:p>
    <w:p>
      <w:pPr>
        <w:ind w:firstLine="480"/>
        <w:rPr>
          <w:rFonts w:ascii="仿宋_GB2312" w:hAnsi="仿宋"/>
          <w:color w:val="000000" w:themeColor="text1"/>
          <w:szCs w:val="28"/>
          <w14:textFill>
            <w14:solidFill>
              <w14:schemeClr w14:val="tx1"/>
            </w14:solidFill>
          </w14:textFill>
        </w:rPr>
      </w:pPr>
      <w:r>
        <w:rPr>
          <w:rFonts w:hint="eastAsia" w:ascii="仿宋_GB2312" w:hAnsi="仿宋"/>
          <w:color w:val="000000" w:themeColor="text1"/>
          <w:szCs w:val="28"/>
          <w14:textFill>
            <w14:solidFill>
              <w14:schemeClr w14:val="tx1"/>
            </w14:solidFill>
          </w14:textFill>
        </w:rPr>
        <w:t>项目年度预算：项目年度预算录入主要是对已存在系统中的项目，录入其本年度预算信息。每一年度，单位都需要录入当前未完工项目的本年度预算信息。</w:t>
      </w:r>
    </w:p>
    <w:p>
      <w:pPr>
        <w:ind w:firstLine="480"/>
        <w:rPr>
          <w:rFonts w:ascii="仿宋_GB2312" w:hAnsi="仿宋"/>
          <w:color w:val="000000" w:themeColor="text1"/>
          <w:szCs w:val="28"/>
          <w14:textFill>
            <w14:solidFill>
              <w14:schemeClr w14:val="tx1"/>
            </w14:solidFill>
          </w14:textFill>
        </w:rPr>
      </w:pPr>
      <w:r>
        <w:rPr>
          <w:rFonts w:hint="eastAsia" w:ascii="仿宋_GB2312" w:hAnsi="仿宋"/>
          <w:color w:val="000000" w:themeColor="text1"/>
          <w:szCs w:val="28"/>
          <w14:textFill>
            <w14:solidFill>
              <w14:schemeClr w14:val="tx1"/>
            </w14:solidFill>
          </w14:textFill>
        </w:rPr>
        <w:t>施工图登记上传：实现建设项目设计阶段，记录施工设计信息，并上传施工设计文档。</w:t>
      </w:r>
    </w:p>
    <w:p>
      <w:pPr>
        <w:ind w:firstLine="480"/>
        <w:rPr>
          <w:rFonts w:ascii="仿宋_GB2312" w:hAnsi="仿宋"/>
          <w:color w:val="000000" w:themeColor="text1"/>
          <w:szCs w:val="28"/>
          <w:lang w:val="en-US"/>
          <w14:textFill>
            <w14:solidFill>
              <w14:schemeClr w14:val="tx1"/>
            </w14:solidFill>
          </w14:textFill>
        </w:rPr>
      </w:pPr>
      <w:r>
        <w:rPr>
          <w:rFonts w:hint="eastAsia" w:ascii="仿宋_GB2312" w:hAnsi="仿宋"/>
          <w:color w:val="000000" w:themeColor="text1"/>
          <w:szCs w:val="28"/>
          <w:lang w:val="en-US"/>
          <w14:textFill>
            <w14:solidFill>
              <w14:schemeClr w14:val="tx1"/>
            </w14:solidFill>
          </w14:textFill>
        </w:rPr>
        <w:t>关键信息登记：招标及合同关键信息、竣工、财务决算等信息登记。</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项目执行情况跟踪</w:t>
      </w:r>
    </w:p>
    <w:p>
      <w:pPr>
        <w:ind w:firstLine="480"/>
        <w:rPr>
          <w:rFonts w:ascii="仿宋_GB2312" w:hAnsi="仿宋"/>
          <w:color w:val="000000" w:themeColor="text1"/>
          <w:szCs w:val="28"/>
          <w14:textFill>
            <w14:solidFill>
              <w14:schemeClr w14:val="tx1"/>
            </w14:solidFill>
          </w14:textFill>
        </w:rPr>
      </w:pPr>
      <w:r>
        <w:rPr>
          <w:rFonts w:hint="eastAsia" w:ascii="仿宋_GB2312" w:hAnsi="仿宋"/>
          <w:color w:val="000000" w:themeColor="text1"/>
          <w:szCs w:val="28"/>
          <w14:textFill>
            <w14:solidFill>
              <w14:schemeClr w14:val="tx1"/>
            </w14:solidFill>
          </w14:textFill>
        </w:rPr>
        <w:t>可以查看项目资金执行情况，从支付情况反映项目的资金整体执行情况，包括新建</w:t>
      </w:r>
      <w:r>
        <w:rPr>
          <w:rFonts w:hint="eastAsia" w:ascii="仿宋_GB2312" w:hAnsi="仿宋"/>
          <w:color w:val="000000" w:themeColor="text1"/>
          <w:szCs w:val="28"/>
          <w14:textFill>
            <w14:solidFill>
              <w14:schemeClr w14:val="tx1"/>
            </w14:solidFill>
          </w14:textFill>
        </w:rPr>
        <w:t>项目和结转项目的执行投资、投资变动、资金支出，其中执行投资为发改委审定后的项目概算。对</w:t>
      </w:r>
      <w:r>
        <w:rPr>
          <w:rFonts w:hint="eastAsia" w:ascii="仿宋_GB2312" w:hAnsi="仿宋_GB2312" w:cs="仿宋_GB2312"/>
          <w:color w:val="000000" w:themeColor="text1"/>
          <w:sz w:val="24"/>
          <w14:textFill>
            <w14:solidFill>
              <w14:schemeClr w14:val="tx1"/>
            </w14:solidFill>
          </w14:textFill>
        </w:rPr>
        <w:t>在建工程转固进行监控。</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业务关联</w:t>
      </w:r>
    </w:p>
    <w:p>
      <w:pPr>
        <w:ind w:firstLine="480"/>
        <w:rPr>
          <w:rFonts w:ascii="仿宋_GB2312" w:hAnsi="仿宋"/>
          <w:color w:val="000000" w:themeColor="text1"/>
          <w:szCs w:val="28"/>
          <w14:textFill>
            <w14:solidFill>
              <w14:schemeClr w14:val="tx1"/>
            </w14:solidFill>
          </w14:textFill>
        </w:rPr>
      </w:pPr>
      <w:r>
        <w:rPr>
          <w:rFonts w:hint="eastAsia" w:ascii="仿宋_GB2312" w:hAnsi="仿宋"/>
          <w:color w:val="000000" w:themeColor="text1"/>
          <w:szCs w:val="28"/>
          <w14:textFill>
            <w14:solidFill>
              <w14:schemeClr w14:val="tx1"/>
            </w14:solidFill>
          </w14:textFill>
        </w:rPr>
        <w:t>基建合同支付与费用报销业务无缝衔接，涉及基建合同类的项目经费支付，受基建合同金额控制。完工项目关联资产模块入账。</w:t>
      </w:r>
    </w:p>
    <w:p>
      <w:pPr>
        <w:pStyle w:val="4"/>
        <w:spacing w:before="120" w:after="120"/>
        <w:ind w:left="440"/>
        <w:rPr>
          <w:color w:val="000000" w:themeColor="text1"/>
          <w14:textFill>
            <w14:solidFill>
              <w14:schemeClr w14:val="tx1"/>
            </w14:solidFill>
          </w14:textFill>
        </w:rPr>
      </w:pPr>
      <w:bookmarkStart w:id="108" w:name="_Toc26326"/>
      <w:bookmarkStart w:id="109" w:name="_Toc17097"/>
      <w:bookmarkStart w:id="110" w:name="_Toc26162"/>
      <w:bookmarkStart w:id="111" w:name="_Toc20016"/>
      <w:bookmarkStart w:id="112" w:name="_Toc27706"/>
      <w:bookmarkStart w:id="113" w:name="_Toc9240"/>
      <w:bookmarkStart w:id="114" w:name="_Toc7034"/>
      <w:bookmarkStart w:id="115" w:name="_Toc3727"/>
      <w:bookmarkStart w:id="116" w:name="_Toc14883"/>
      <w:bookmarkStart w:id="117" w:name="_Toc6808"/>
      <w:bookmarkStart w:id="118" w:name="_Toc14212"/>
      <w:bookmarkStart w:id="119" w:name="_Toc31438"/>
      <w:bookmarkStart w:id="120" w:name="_Toc29384"/>
      <w:bookmarkStart w:id="121" w:name="_Toc22281"/>
      <w:bookmarkStart w:id="122" w:name="_Toc13677"/>
      <w:bookmarkStart w:id="123" w:name="_Toc25615"/>
      <w:bookmarkStart w:id="124" w:name="_Toc10270"/>
      <w:r>
        <w:rPr>
          <w:rFonts w:hint="eastAsia"/>
          <w:color w:val="000000" w:themeColor="text1"/>
          <w14:textFill>
            <w14:solidFill>
              <w14:schemeClr w14:val="tx1"/>
            </w14:solidFill>
          </w14:textFill>
        </w:rPr>
        <w:t>国有资产管理</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国有资产数据回流</w:t>
      </w:r>
    </w:p>
    <w:p>
      <w:pPr>
        <w:ind w:firstLine="480"/>
        <w:rPr>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将财政资产数据回流到本系统中，进行资产盘点。确保本系统中的资产数据与财政系统保持一致。</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国有资产盘点处置</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提供国有资产盘点功能，对国有资产的定期清查，盘点梳理以便单位随时了解其占有资产的情况。</w:t>
      </w:r>
      <w:r>
        <w:rPr>
          <w:rFonts w:hint="eastAsia" w:ascii="仿宋_GB2312"/>
          <w:color w:val="000000" w:themeColor="text1"/>
          <w14:textFill>
            <w14:solidFill>
              <w14:schemeClr w14:val="tx1"/>
            </w14:solidFill>
          </w14:textFill>
        </w:rPr>
        <w:t>提供国有资产登记、评估、处置、盘点等功能，包括资产报告、资产档案录入（回流）与维护、资产评估报告生成、资产处置审批等流程。系统应支持对国有资产进行分类管理、统计分析，提供全局盘点情况、全局和各单位年度报废情况，关联校验资产负债表。</w:t>
      </w:r>
    </w:p>
    <w:p>
      <w:pPr>
        <w:ind w:firstLine="480"/>
        <w:rPr>
          <w:rFonts w:ascii="仿宋_GB2312" w:hAnsi="仿宋_GB2312" w:cs="仿宋_GB2312"/>
          <w:color w:val="000000" w:themeColor="text1"/>
          <w14:textFill>
            <w14:solidFill>
              <w14:schemeClr w14:val="tx1"/>
            </w14:solidFill>
          </w14:textFill>
        </w:rPr>
      </w:pPr>
      <w:r>
        <w:rPr>
          <w:rFonts w:ascii="仿宋_GB2312" w:hAnsi="仿宋_GB2312" w:cs="仿宋_GB2312"/>
          <w:color w:val="000000" w:themeColor="text1"/>
          <w14:textFill>
            <w14:solidFill>
              <w14:schemeClr w14:val="tx1"/>
            </w14:solidFill>
          </w14:textFill>
        </w:rPr>
        <w:t>通过盘点功能，可以对资产进行清点、核对和记录，确保资产数量和质量的准确性。支持对时间跨度较长的历史遗留资产进行盘点。用户可以使用导出的财政资产盘点数据，为历史遗留资产进行准确的盘点工作。</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国有</w:t>
      </w:r>
      <w:r>
        <w:rPr>
          <w:color w:val="000000" w:themeColor="text1"/>
          <w14:textFill>
            <w14:solidFill>
              <w14:schemeClr w14:val="tx1"/>
            </w14:solidFill>
          </w14:textFill>
        </w:rPr>
        <w:t>资产</w:t>
      </w:r>
      <w:r>
        <w:rPr>
          <w:rFonts w:hint="eastAsia"/>
          <w:color w:val="000000" w:themeColor="text1"/>
          <w14:textFill>
            <w14:solidFill>
              <w14:schemeClr w14:val="tx1"/>
            </w14:solidFill>
          </w14:textFill>
        </w:rPr>
        <w:t>统计分析</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系统支持对国有资产进行统计分析，</w:t>
      </w:r>
      <w:r>
        <w:rPr>
          <w:rFonts w:ascii="仿宋_GB2312" w:hAnsi="仿宋_GB2312" w:cs="仿宋_GB2312"/>
          <w:color w:val="000000" w:themeColor="text1"/>
          <w14:textFill>
            <w14:solidFill>
              <w14:schemeClr w14:val="tx1"/>
            </w14:solidFill>
          </w14:textFill>
        </w:rPr>
        <w:t>方便</w:t>
      </w:r>
      <w:r>
        <w:rPr>
          <w:rFonts w:hint="eastAsia" w:ascii="仿宋_GB2312" w:hAnsi="仿宋_GB2312" w:cs="仿宋_GB2312"/>
          <w:color w:val="000000" w:themeColor="text1"/>
          <w14:textFill>
            <w14:solidFill>
              <w14:schemeClr w14:val="tx1"/>
            </w14:solidFill>
          </w14:textFill>
        </w:rPr>
        <w:t>单位用户查看</w:t>
      </w:r>
      <w:r>
        <w:rPr>
          <w:rFonts w:ascii="仿宋_GB2312" w:hAnsi="仿宋_GB2312" w:cs="仿宋_GB2312"/>
          <w:color w:val="000000" w:themeColor="text1"/>
          <w14:textFill>
            <w14:solidFill>
              <w14:schemeClr w14:val="tx1"/>
            </w14:solidFill>
          </w14:textFill>
        </w:rPr>
        <w:t>资产</w:t>
      </w:r>
      <w:r>
        <w:rPr>
          <w:rFonts w:hint="eastAsia" w:ascii="仿宋_GB2312" w:hAnsi="仿宋_GB2312" w:cs="仿宋_GB2312"/>
          <w:color w:val="000000" w:themeColor="text1"/>
          <w14:textFill>
            <w14:solidFill>
              <w14:schemeClr w14:val="tx1"/>
            </w14:solidFill>
          </w14:textFill>
        </w:rPr>
        <w:t>数据报表</w:t>
      </w:r>
      <w:r>
        <w:rPr>
          <w:rFonts w:ascii="仿宋_GB2312" w:hAnsi="仿宋_GB2312" w:cs="仿宋_GB2312"/>
          <w:color w:val="000000" w:themeColor="text1"/>
          <w14:textFill>
            <w14:solidFill>
              <w14:schemeClr w14:val="tx1"/>
            </w14:solidFill>
          </w14:textFill>
        </w:rPr>
        <w:t>。</w:t>
      </w:r>
      <w:r>
        <w:rPr>
          <w:rFonts w:hint="eastAsia" w:ascii="仿宋_GB2312"/>
          <w:color w:val="000000" w:themeColor="text1"/>
          <w14:textFill>
            <w14:solidFill>
              <w14:schemeClr w14:val="tx1"/>
            </w14:solidFill>
          </w14:textFill>
        </w:rPr>
        <w:t>全局和各单位年度报废情况，关联校验资产负债表。</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监控提醒</w:t>
      </w:r>
    </w:p>
    <w:p>
      <w:pPr>
        <w:ind w:firstLine="480"/>
        <w:rPr>
          <w:rFonts w:ascii="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支持盘点处置跟踪，支持</w:t>
      </w:r>
      <w:r>
        <w:rPr>
          <w:rFonts w:hint="eastAsia" w:ascii="仿宋_GB2312"/>
          <w:color w:val="000000" w:themeColor="text1"/>
          <w14:textFill>
            <w14:solidFill>
              <w14:schemeClr w14:val="tx1"/>
            </w14:solidFill>
          </w14:textFill>
        </w:rPr>
        <w:t>资产入账与财务会计账校验</w:t>
      </w:r>
      <w:r>
        <w:rPr>
          <w:rFonts w:hint="eastAsia" w:ascii="仿宋_GB2312" w:hAnsi="仿宋_GB2312" w:cs="仿宋_GB2312"/>
          <w:color w:val="000000" w:themeColor="text1"/>
          <w14:textFill>
            <w14:solidFill>
              <w14:schemeClr w14:val="tx1"/>
            </w14:solidFill>
          </w14:textFill>
        </w:rPr>
        <w:t>，对存在盘盈盘亏、校验异常等情况跟踪处置情况，对长期未处置的进行预警提醒。</w:t>
      </w:r>
      <w:r>
        <w:rPr>
          <w:rFonts w:hint="eastAsia" w:ascii="仿宋_GB2312"/>
          <w:color w:val="000000" w:themeColor="text1"/>
          <w14:textFill>
            <w14:solidFill>
              <w14:schemeClr w14:val="tx1"/>
            </w14:solidFill>
          </w14:textFill>
        </w:rPr>
        <w:t>对报废事项关联校验资产处置收益上缴，对提前报废情况监控。对资产入账与财务会计账校验等情况进行监管，对盘点结果、校验异常情况，进行预警提醒。</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不动产公车管理</w:t>
      </w:r>
    </w:p>
    <w:p>
      <w:pPr>
        <w:ind w:firstLine="480"/>
        <w:rPr>
          <w:rFonts w:ascii="仿宋_GB2312"/>
          <w:color w:val="000000" w:themeColor="text1"/>
          <w:szCs w:val="24"/>
          <w14:textFill>
            <w14:solidFill>
              <w14:schemeClr w14:val="tx1"/>
            </w14:solidFill>
          </w14:textFill>
        </w:rPr>
      </w:pPr>
      <w:bookmarkStart w:id="125" w:name="_Toc10684"/>
      <w:bookmarkStart w:id="126" w:name="_Toc20591"/>
      <w:bookmarkStart w:id="127" w:name="_Toc27430"/>
      <w:bookmarkStart w:id="128" w:name="_Toc24656"/>
      <w:bookmarkStart w:id="129" w:name="_Toc24738"/>
      <w:bookmarkStart w:id="130" w:name="_Toc12844"/>
      <w:bookmarkStart w:id="131" w:name="_Toc27041"/>
      <w:bookmarkStart w:id="132" w:name="_Toc12240"/>
      <w:bookmarkStart w:id="133" w:name="_Toc8213"/>
      <w:bookmarkStart w:id="134" w:name="_Toc7931"/>
      <w:bookmarkStart w:id="135" w:name="_Toc23128"/>
      <w:bookmarkStart w:id="136" w:name="_Toc18509"/>
      <w:bookmarkStart w:id="137" w:name="_Toc32565"/>
      <w:bookmarkStart w:id="138" w:name="_Toc4589"/>
      <w:bookmarkStart w:id="139" w:name="_Toc9010"/>
      <w:bookmarkStart w:id="140" w:name="_Toc13006"/>
      <w:bookmarkStart w:id="141" w:name="_Toc5164"/>
      <w:r>
        <w:rPr>
          <w:rFonts w:hint="eastAsia" w:ascii="仿宋_GB2312"/>
          <w:color w:val="000000" w:themeColor="text1"/>
          <w14:textFill>
            <w14:solidFill>
              <w14:schemeClr w14:val="tx1"/>
            </w14:solidFill>
          </w14:textFill>
        </w:rPr>
        <w:t>对不动产、公车进行单列管理，关联校验公车采购审批。</w:t>
      </w:r>
    </w:p>
    <w:p>
      <w:pPr>
        <w:pStyle w:val="4"/>
        <w:spacing w:before="120" w:after="120"/>
        <w:ind w:left="440"/>
        <w:rPr>
          <w:color w:val="000000" w:themeColor="text1"/>
          <w14:textFill>
            <w14:solidFill>
              <w14:schemeClr w14:val="tx1"/>
            </w14:solidFill>
          </w14:textFill>
        </w:rPr>
      </w:pPr>
      <w:r>
        <w:rPr>
          <w:rFonts w:hint="eastAsia"/>
          <w:color w:val="000000" w:themeColor="text1"/>
          <w14:textFill>
            <w14:solidFill>
              <w14:schemeClr w14:val="tx1"/>
            </w14:solidFill>
          </w14:textFill>
        </w:rPr>
        <w:t>支出管理</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制度标准内嵌</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报销业务作为单位资金管理的重要业务内容之一，必须在满足财政管理要求的基础上，符合单位内部管理需要，且关联校验预算、采购、资产模块。所以，网上报销系统的相关基础信息的设置上要符合分层次管理需求，具体内容包括：单据模板、开支标准与范围、审核流程和控制规则。其中开支标准与范围涉及的相关制度和管理办法文件可内嵌到相关的事项申请单据和报销单据中，实现报销业务的规范标准，并且有对应政策文件的支持。</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将单位内部财务管理办法、各项费用支出制度等相关政策文件，内嵌入菜单新增界面，提供政策制度查看。将单位内部或政策文件有关于报销制度管理的各项费用支出标准整理并维护在系统当中，根据实际发生业务，算出报销控制额度，控制报销额度不能超于标准额度。</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“六公”事项报销</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单位“六公”事项支出报销申请，包括：差旅费报销、会议费报销、培训费报销、公务接待费报销、公车购置维护费报销、因公出国经费报销；单位内部六大事项支出申请，具体申请要素可根据实际情况定制。</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提供集中的出纳支付功能，出纳对系统推送的报销单与申请人提供的原始单据核对无误后予以支付；能实现现金、转账/汇款、支票、公务卡等各种结算方式的报销；能实现报销单与借款单的关联及核销功能；能自动</w:t>
      </w:r>
      <w:r>
        <w:rPr>
          <w:rFonts w:ascii="仿宋_GB2312" w:hAnsi="仿宋" w:cs="仿宋"/>
          <w:color w:val="000000" w:themeColor="text1"/>
          <w:shd w:val="clear" w:color="auto" w:fill="FFFFFF"/>
          <w14:textFill>
            <w14:solidFill>
              <w14:schemeClr w14:val="tx1"/>
            </w14:solidFill>
          </w14:textFill>
        </w:rPr>
        <w:t>生成出纳流水账</w:t>
      </w:r>
      <w:r>
        <w:rPr>
          <w:rFonts w:hint="eastAsia" w:ascii="仿宋_GB2312" w:hAnsi="仿宋" w:cs="仿宋"/>
          <w:color w:val="000000" w:themeColor="text1"/>
          <w:shd w:val="clear" w:color="auto" w:fill="FFFFFF"/>
          <w14:textFill>
            <w14:solidFill>
              <w14:schemeClr w14:val="tx1"/>
            </w14:solidFill>
          </w14:textFill>
        </w:rPr>
        <w:t>。如果财政支付系统开放数据接口或者通过RPA方式，还可推送支付信息直接生成支付令，非财政资金在单位网络条件满足的条件下也可实现银企直联。</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一般事项报销</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除单位“六公”事项报销以外的，可作为单位一般事项报销，如：误餐费、工会经费、党费等非“六公”事项支出的经费报销。</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无事项报销</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根据单位实际情况需要，如合同报销无需再通过事项申请后，方可进行报销；或有其他业务皆可通过该功能进行经费报销。</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发票查验存档</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支持发票的PC端及移动端查重、验真、实时归档功能，需与财务报销管理模块相</w:t>
      </w:r>
      <w:r>
        <w:rPr>
          <w:rFonts w:hint="eastAsia" w:ascii="仿宋_GB2312" w:hAnsi="仿宋" w:cs="仿宋"/>
          <w:color w:val="000000" w:themeColor="text1"/>
          <w:shd w:val="clear" w:color="auto" w:fill="FFFFFF"/>
          <w14:textFill>
            <w14:solidFill>
              <w14:schemeClr w14:val="tx1"/>
            </w14:solidFill>
          </w14:textFill>
        </w:rPr>
        <w:t>结合。</w:t>
      </w:r>
      <w:r>
        <w:rPr>
          <w:rFonts w:hint="eastAsia" w:ascii="仿宋_GB2312" w:hAnsi="仿宋_GB2312" w:cs="仿宋_GB2312"/>
          <w:color w:val="000000" w:themeColor="text1"/>
          <w14:textFill>
            <w14:solidFill>
              <w14:schemeClr w14:val="tx1"/>
            </w14:solidFill>
          </w14:textFill>
        </w:rPr>
        <w:t>提供发票自动查验功能。</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（1）支持多种方式实时获取电子发票信息,电子邮箱同步，拍照、微信卡包、微信好友的聊天记录文件、移动端的附件。</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（2）支持电子发票的直接识别并存储为结构化信息数据。</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（3）支持纸质发票的OCR识别并存储为结构化信息数据。</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（4）支持电子发票及纸质发票的自动查重、验真功能。</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（5）支持发票的批量上传功能，单据的批量送审功能。</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特定流程设计</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支持扩展辅助核算功能、细化辅助帐，对支出计划及进度管理；关联校验预算、采购、资产模块。</w:t>
      </w:r>
      <w:r>
        <w:rPr>
          <w:rFonts w:hint="eastAsia" w:ascii="仿宋_GB2312" w:hAnsi="仿宋" w:cs="仿宋"/>
          <w:color w:val="000000" w:themeColor="text1"/>
          <w:shd w:val="clear" w:color="auto" w:fill="FFFFFF"/>
          <w14:textFill>
            <w14:solidFill>
              <w14:schemeClr w14:val="tx1"/>
            </w14:solidFill>
          </w14:textFill>
        </w:rPr>
        <w:t>提供</w:t>
      </w:r>
      <w:r>
        <w:rPr>
          <w:rFonts w:hint="eastAsia" w:ascii="仿宋_GB2312" w:hAnsi="仿宋" w:cs="仿宋"/>
          <w:color w:val="000000" w:themeColor="text1"/>
          <w:shd w:val="clear" w:color="auto" w:fill="FFFFFF"/>
          <w14:textFill>
            <w14:solidFill>
              <w14:schemeClr w14:val="tx1"/>
            </w14:solidFill>
          </w14:textFill>
        </w:rPr>
        <w:t>集中的待办单据功能，支持单据审批流程的自定义，能够按照不同的项目类型、支付类型、</w:t>
      </w:r>
      <w:r>
        <w:rPr>
          <w:rFonts w:ascii="仿宋_GB2312" w:hAnsi="仿宋" w:cs="仿宋"/>
          <w:color w:val="000000" w:themeColor="text1"/>
          <w:shd w:val="clear" w:color="auto" w:fill="FFFFFF"/>
          <w14:textFill>
            <w14:solidFill>
              <w14:schemeClr w14:val="tx1"/>
            </w14:solidFill>
          </w14:textFill>
        </w:rPr>
        <w:t>部门</w:t>
      </w:r>
      <w:r>
        <w:rPr>
          <w:rFonts w:hint="eastAsia" w:ascii="仿宋_GB2312" w:hAnsi="仿宋" w:cs="仿宋"/>
          <w:color w:val="000000" w:themeColor="text1"/>
          <w:shd w:val="clear" w:color="auto" w:fill="FFFFFF"/>
          <w14:textFill>
            <w14:solidFill>
              <w14:schemeClr w14:val="tx1"/>
            </w14:solidFill>
          </w14:textFill>
        </w:rPr>
        <w:t>等条件实现不同的审批流程，可以流程跟踪每一笔资金支出的进度和审批意见。审核</w:t>
      </w:r>
      <w:r>
        <w:rPr>
          <w:rFonts w:ascii="仿宋_GB2312" w:hAnsi="仿宋" w:cs="仿宋"/>
          <w:color w:val="000000" w:themeColor="text1"/>
          <w:shd w:val="clear" w:color="auto" w:fill="FFFFFF"/>
          <w14:textFill>
            <w14:solidFill>
              <w14:schemeClr w14:val="tx1"/>
            </w14:solidFill>
          </w14:textFill>
        </w:rPr>
        <w:t>分为“</w:t>
      </w:r>
      <w:r>
        <w:rPr>
          <w:rFonts w:hint="eastAsia" w:ascii="仿宋_GB2312" w:hAnsi="仿宋" w:cs="仿宋"/>
          <w:color w:val="000000" w:themeColor="text1"/>
          <w:shd w:val="clear" w:color="auto" w:fill="FFFFFF"/>
          <w14:textFill>
            <w14:solidFill>
              <w14:schemeClr w14:val="tx1"/>
            </w14:solidFill>
          </w14:textFill>
        </w:rPr>
        <w:t>审核</w:t>
      </w:r>
      <w:r>
        <w:rPr>
          <w:rFonts w:ascii="仿宋_GB2312" w:hAnsi="仿宋" w:cs="仿宋"/>
          <w:color w:val="000000" w:themeColor="text1"/>
          <w:shd w:val="clear" w:color="auto" w:fill="FFFFFF"/>
          <w14:textFill>
            <w14:solidFill>
              <w14:schemeClr w14:val="tx1"/>
            </w14:solidFill>
          </w14:textFill>
        </w:rPr>
        <w:t>通过”</w:t>
      </w:r>
      <w:r>
        <w:rPr>
          <w:rFonts w:hint="eastAsia" w:ascii="仿宋_GB2312" w:hAnsi="仿宋" w:cs="仿宋"/>
          <w:color w:val="000000" w:themeColor="text1"/>
          <w:shd w:val="clear" w:color="auto" w:fill="FFFFFF"/>
          <w14:textFill>
            <w14:solidFill>
              <w14:schemeClr w14:val="tx1"/>
            </w14:solidFill>
          </w14:textFill>
        </w:rPr>
        <w:t>、</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审核</w:t>
      </w:r>
      <w:r>
        <w:rPr>
          <w:rFonts w:ascii="仿宋_GB2312" w:hAnsi="仿宋" w:cs="仿宋"/>
          <w:color w:val="000000" w:themeColor="text1"/>
          <w:shd w:val="clear" w:color="auto" w:fill="FFFFFF"/>
          <w14:textFill>
            <w14:solidFill>
              <w14:schemeClr w14:val="tx1"/>
            </w14:solidFill>
          </w14:textFill>
        </w:rPr>
        <w:t>不通过”</w:t>
      </w:r>
      <w:r>
        <w:rPr>
          <w:rFonts w:hint="eastAsia" w:ascii="仿宋_GB2312" w:hAnsi="仿宋" w:cs="仿宋"/>
          <w:color w:val="000000" w:themeColor="text1"/>
          <w:shd w:val="clear" w:color="auto" w:fill="FFFFFF"/>
          <w14:textFill>
            <w14:solidFill>
              <w14:schemeClr w14:val="tx1"/>
            </w14:solidFill>
          </w14:textFill>
        </w:rPr>
        <w:t>，单据</w:t>
      </w:r>
      <w:r>
        <w:rPr>
          <w:rFonts w:ascii="仿宋_GB2312" w:hAnsi="仿宋" w:cs="仿宋"/>
          <w:color w:val="000000" w:themeColor="text1"/>
          <w:shd w:val="clear" w:color="auto" w:fill="FFFFFF"/>
          <w14:textFill>
            <w14:solidFill>
              <w14:schemeClr w14:val="tx1"/>
            </w14:solidFill>
          </w14:textFill>
        </w:rPr>
        <w:t>在审核过程中</w:t>
      </w:r>
      <w:r>
        <w:rPr>
          <w:rFonts w:hint="eastAsia" w:ascii="仿宋_GB2312" w:hAnsi="仿宋" w:cs="仿宋"/>
          <w:color w:val="000000" w:themeColor="text1"/>
          <w:shd w:val="clear" w:color="auto" w:fill="FFFFFF"/>
          <w14:textFill>
            <w14:solidFill>
              <w14:schemeClr w14:val="tx1"/>
            </w14:solidFill>
          </w14:textFill>
        </w:rPr>
        <w:t>可填写</w:t>
      </w:r>
      <w:r>
        <w:rPr>
          <w:rFonts w:ascii="仿宋_GB2312" w:hAnsi="仿宋" w:cs="仿宋"/>
          <w:color w:val="000000" w:themeColor="text1"/>
          <w:shd w:val="clear" w:color="auto" w:fill="FFFFFF"/>
          <w14:textFill>
            <w14:solidFill>
              <w14:schemeClr w14:val="tx1"/>
            </w14:solidFill>
          </w14:textFill>
        </w:rPr>
        <w:t>审批意见</w:t>
      </w:r>
      <w:r>
        <w:rPr>
          <w:rFonts w:hint="eastAsia" w:ascii="仿宋_GB2312" w:hAnsi="仿宋" w:cs="仿宋"/>
          <w:color w:val="000000" w:themeColor="text1"/>
          <w:shd w:val="clear" w:color="auto" w:fill="FFFFFF"/>
          <w14:textFill>
            <w14:solidFill>
              <w14:schemeClr w14:val="tx1"/>
            </w14:solidFill>
          </w14:textFill>
        </w:rPr>
        <w:t>，</w:t>
      </w:r>
      <w:r>
        <w:rPr>
          <w:rFonts w:ascii="仿宋_GB2312" w:hAnsi="仿宋" w:cs="仿宋"/>
          <w:color w:val="000000" w:themeColor="text1"/>
          <w:shd w:val="clear" w:color="auto" w:fill="FFFFFF"/>
          <w14:textFill>
            <w14:solidFill>
              <w14:schemeClr w14:val="tx1"/>
            </w14:solidFill>
          </w14:textFill>
        </w:rPr>
        <w:t>单据</w:t>
      </w:r>
      <w:r>
        <w:rPr>
          <w:rFonts w:hint="eastAsia" w:ascii="仿宋_GB2312" w:hAnsi="仿宋" w:cs="仿宋"/>
          <w:color w:val="000000" w:themeColor="text1"/>
          <w:shd w:val="clear" w:color="auto" w:fill="FFFFFF"/>
          <w14:textFill>
            <w14:solidFill>
              <w14:schemeClr w14:val="tx1"/>
            </w14:solidFill>
          </w14:textFill>
        </w:rPr>
        <w:t>可</w:t>
      </w:r>
      <w:r>
        <w:rPr>
          <w:rFonts w:ascii="仿宋_GB2312" w:hAnsi="仿宋" w:cs="仿宋"/>
          <w:color w:val="000000" w:themeColor="text1"/>
          <w:shd w:val="clear" w:color="auto" w:fill="FFFFFF"/>
          <w14:textFill>
            <w14:solidFill>
              <w14:schemeClr w14:val="tx1"/>
            </w14:solidFill>
          </w14:textFill>
        </w:rPr>
        <w:t>退回，</w:t>
      </w:r>
      <w:r>
        <w:rPr>
          <w:rFonts w:hint="eastAsia" w:ascii="仿宋_GB2312" w:hAnsi="仿宋" w:cs="仿宋"/>
          <w:color w:val="000000" w:themeColor="text1"/>
          <w:shd w:val="clear" w:color="auto" w:fill="FFFFFF"/>
          <w14:textFill>
            <w14:solidFill>
              <w14:schemeClr w14:val="tx1"/>
            </w14:solidFill>
          </w14:textFill>
        </w:rPr>
        <w:t>也</w:t>
      </w:r>
      <w:r>
        <w:rPr>
          <w:rFonts w:ascii="仿宋_GB2312" w:hAnsi="仿宋" w:cs="仿宋"/>
          <w:color w:val="000000" w:themeColor="text1"/>
          <w:shd w:val="clear" w:color="auto" w:fill="FFFFFF"/>
          <w14:textFill>
            <w14:solidFill>
              <w14:schemeClr w14:val="tx1"/>
            </w14:solidFill>
          </w14:textFill>
        </w:rPr>
        <w:t>可收回</w:t>
      </w:r>
      <w:r>
        <w:rPr>
          <w:rFonts w:hint="eastAsia" w:ascii="仿宋_GB2312" w:hAnsi="仿宋" w:cs="仿宋"/>
          <w:color w:val="000000" w:themeColor="text1"/>
          <w:shd w:val="clear" w:color="auto" w:fill="FFFFFF"/>
          <w14:textFill>
            <w14:solidFill>
              <w14:schemeClr w14:val="tx1"/>
            </w14:solidFill>
          </w14:textFill>
        </w:rPr>
        <w:t>。</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根据单位实际情况，调整各财务报销审核流程，通过金额控制或其他要素类型，实行会签、加签等审核功能。</w:t>
      </w:r>
      <w:r>
        <w:rPr>
          <w:rFonts w:hint="eastAsia" w:ascii="仿宋_GB2312" w:hAnsi="仿宋_GB2312" w:cs="仿宋_GB2312"/>
          <w:color w:val="000000" w:themeColor="text1"/>
          <w14:textFill>
            <w14:solidFill>
              <w14:schemeClr w14:val="tx1"/>
            </w14:solidFill>
          </w14:textFill>
        </w:rPr>
        <w:t>支持扩展辅助核算功能、细化辅助帐，对支出计划及进度管理。</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定额和非定额控制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可以通过系统“固化”各项支出事项的开支范围和开支标准,自动计算报销补贴，单据可根据配置的标准自动进行定额标准控制，加强单位资金</w:t>
      </w:r>
      <w:r>
        <w:rPr>
          <w:color w:val="000000" w:themeColor="text1"/>
          <w14:textFill>
            <w14:solidFill>
              <w14:schemeClr w14:val="tx1"/>
            </w14:solidFill>
          </w14:textFill>
        </w:rPr>
        <w:t>使用标准</w:t>
      </w:r>
      <w:r>
        <w:rPr>
          <w:rFonts w:hint="eastAsia"/>
          <w:color w:val="000000" w:themeColor="text1"/>
          <w14:textFill>
            <w14:solidFill>
              <w14:schemeClr w14:val="tx1"/>
            </w14:solidFill>
          </w14:textFill>
        </w:rPr>
        <w:t>管理。不允许报销的或</w:t>
      </w:r>
      <w:r>
        <w:rPr>
          <w:color w:val="000000" w:themeColor="text1"/>
          <w14:textFill>
            <w14:solidFill>
              <w14:schemeClr w14:val="tx1"/>
            </w14:solidFill>
          </w14:textFill>
        </w:rPr>
        <w:t>不允许混用的</w:t>
      </w:r>
      <w:r>
        <w:rPr>
          <w:rFonts w:hint="eastAsia"/>
          <w:color w:val="000000" w:themeColor="text1"/>
          <w14:textFill>
            <w14:solidFill>
              <w14:schemeClr w14:val="tx1"/>
            </w14:solidFill>
          </w14:textFill>
        </w:rPr>
        <w:t>，坚决予以杜绝，在开支范围里选择不到；严格按照规章制度办事，依据职务级别，将常用开支标准（如：差旅费的出差地点、住宿标准、伙食补助、交接通费补助、车辆定点维修企业等）预置进系统，严格设置控制标准不允许</w:t>
      </w:r>
      <w:r>
        <w:rPr>
          <w:color w:val="000000" w:themeColor="text1"/>
          <w14:textFill>
            <w14:solidFill>
              <w14:schemeClr w14:val="tx1"/>
            </w14:solidFill>
          </w14:textFill>
        </w:rPr>
        <w:t>随意修改</w:t>
      </w:r>
      <w:r>
        <w:rPr>
          <w:rFonts w:hint="eastAsia"/>
          <w:color w:val="000000" w:themeColor="text1"/>
          <w14:textFill>
            <w14:solidFill>
              <w14:schemeClr w14:val="tx1"/>
            </w14:solidFill>
          </w14:textFill>
        </w:rPr>
        <w:t>，报销时各项补助按照：人数*天数*报销标准，不能超出标准范围，并设置预警提醒功能，</w:t>
      </w:r>
      <w:r>
        <w:rPr>
          <w:color w:val="000000" w:themeColor="text1"/>
          <w14:textFill>
            <w14:solidFill>
              <w14:schemeClr w14:val="tx1"/>
            </w14:solidFill>
          </w14:textFill>
        </w:rPr>
        <w:t>减少出错率</w:t>
      </w:r>
      <w:r>
        <w:rPr>
          <w:rFonts w:hint="eastAsia"/>
          <w:color w:val="000000" w:themeColor="text1"/>
          <w14:textFill>
            <w14:solidFill>
              <w14:schemeClr w14:val="tx1"/>
            </w14:solidFill>
          </w14:textFill>
        </w:rPr>
        <w:t>。</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流程跟踪过程监管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对资金支出可以进行全过程实时监管，透明化</w:t>
      </w:r>
      <w:r>
        <w:rPr>
          <w:color w:val="000000" w:themeColor="text1"/>
          <w14:textFill>
            <w14:solidFill>
              <w14:schemeClr w14:val="tx1"/>
            </w14:solidFill>
          </w14:textFill>
        </w:rPr>
        <w:t>的流程管理，便于业务人员</w:t>
      </w:r>
      <w:r>
        <w:rPr>
          <w:rFonts w:hint="eastAsia"/>
          <w:color w:val="000000" w:themeColor="text1"/>
          <w14:textFill>
            <w14:solidFill>
              <w14:schemeClr w14:val="tx1"/>
            </w14:solidFill>
          </w14:textFill>
        </w:rPr>
        <w:t>随时可以跟踪查询到每一笔资金报销的审批时间、审批状态、审批进度、合规性以及审批意见。</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多种结算方式</w:t>
      </w:r>
    </w:p>
    <w:p>
      <w:pPr>
        <w:ind w:firstLine="48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费用报销管理支持多种资金支付方式，包括现金、转账、支票、公务卡、电汇等，能满足单位费用报销的灵活管理。但严格控制现金使用方式。</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报销查询</w:t>
      </w:r>
    </w:p>
    <w:p>
      <w:pPr>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可以实现报销人、部门负责人、财务人员、财务领导等多维度的报销查询，如个人差旅费查询、各种台账查询、预算执行进度查询等。</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报账管理</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提供报账功能，并与财政国库、数字财政系统交互，实现支付令生成；提供国库支付失败后的处理功能。</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（1）</w:t>
      </w:r>
      <w:r>
        <w:rPr>
          <w:rFonts w:ascii="仿宋_GB2312" w:hAnsi="仿宋" w:cs="仿宋"/>
          <w:color w:val="000000" w:themeColor="text1"/>
          <w:shd w:val="clear" w:color="auto" w:fill="FFFFFF"/>
          <w14:textFill>
            <w14:solidFill>
              <w14:schemeClr w14:val="tx1"/>
            </w14:solidFill>
          </w14:textFill>
        </w:rPr>
        <w:t>报账</w:t>
      </w:r>
      <w:r>
        <w:rPr>
          <w:rFonts w:hint="eastAsia" w:ascii="仿宋_GB2312" w:hAnsi="仿宋" w:cs="仿宋"/>
          <w:color w:val="000000" w:themeColor="text1"/>
          <w:shd w:val="clear" w:color="auto" w:fill="FFFFFF"/>
          <w14:textFill>
            <w14:solidFill>
              <w14:schemeClr w14:val="tx1"/>
            </w14:solidFill>
          </w14:textFill>
        </w:rPr>
        <w:t>填报与审核</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ascii="仿宋_GB2312" w:hAnsi="仿宋_GB2312" w:cs="仿宋_GB2312"/>
          <w:color w:val="000000" w:themeColor="text1"/>
          <w14:textFill>
            <w14:solidFill>
              <w14:schemeClr w14:val="tx1"/>
            </w14:solidFill>
          </w14:textFill>
        </w:rPr>
        <w:t>提供报账</w:t>
      </w:r>
      <w:r>
        <w:rPr>
          <w:rFonts w:hint="eastAsia" w:ascii="仿宋_GB2312" w:hAnsi="仿宋_GB2312" w:cs="仿宋_GB2312"/>
          <w:color w:val="000000" w:themeColor="text1"/>
          <w14:textFill>
            <w14:solidFill>
              <w14:schemeClr w14:val="tx1"/>
            </w14:solidFill>
          </w14:textFill>
        </w:rPr>
        <w:t>功能，支持对</w:t>
      </w:r>
      <w:r>
        <w:rPr>
          <w:rFonts w:hint="eastAsia" w:ascii="仿宋_GB2312" w:hAnsi="仿宋" w:cs="仿宋"/>
          <w:color w:val="000000" w:themeColor="text1"/>
          <w:shd w:val="clear" w:color="auto" w:fill="FFFFFF"/>
          <w14:textFill>
            <w14:solidFill>
              <w14:schemeClr w14:val="tx1"/>
            </w14:solidFill>
          </w14:textFill>
        </w:rPr>
        <w:t>资金报账单进行统一入口管理，由单位部门报账员填报报账内容，包括事由、具体金额、收款信息、附件信息（发票信息、其他相关信息），发票信息在报账环节无须重新上报，自动引用电子发票中的发票信息。</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在送审审核时，系统可自动校验单据中收款信息与电子发票中的相关信息，</w:t>
      </w:r>
      <w:r>
        <w:rPr>
          <w:rFonts w:ascii="仿宋_GB2312" w:hAnsi="仿宋" w:cs="仿宋"/>
          <w:color w:val="000000" w:themeColor="text1"/>
          <w:shd w:val="clear" w:color="auto" w:fill="FFFFFF"/>
          <w14:textFill>
            <w14:solidFill>
              <w14:schemeClr w14:val="tx1"/>
            </w14:solidFill>
          </w14:textFill>
        </w:rPr>
        <w:t>若不一致则不允许继续送审</w:t>
      </w:r>
      <w:r>
        <w:rPr>
          <w:rFonts w:hint="eastAsia" w:ascii="仿宋_GB2312" w:hAnsi="仿宋" w:cs="仿宋"/>
          <w:color w:val="000000" w:themeColor="text1"/>
          <w:shd w:val="clear" w:color="auto" w:fill="FFFFFF"/>
          <w14:textFill>
            <w14:solidFill>
              <w14:schemeClr w14:val="tx1"/>
            </w14:solidFill>
          </w14:textFill>
        </w:rPr>
        <w:t>，</w:t>
      </w:r>
      <w:r>
        <w:rPr>
          <w:rFonts w:ascii="仿宋_GB2312" w:hAnsi="仿宋" w:cs="仿宋"/>
          <w:color w:val="000000" w:themeColor="text1"/>
          <w:shd w:val="clear" w:color="auto" w:fill="FFFFFF"/>
          <w14:textFill>
            <w14:solidFill>
              <w14:schemeClr w14:val="tx1"/>
            </w14:solidFill>
          </w14:textFill>
        </w:rPr>
        <w:t>报账员确认信息后方可进行下一步操作</w:t>
      </w:r>
      <w:r>
        <w:rPr>
          <w:rFonts w:hint="eastAsia" w:ascii="仿宋_GB2312" w:hAnsi="仿宋" w:cs="仿宋"/>
          <w:color w:val="000000" w:themeColor="text1"/>
          <w:shd w:val="clear" w:color="auto" w:fill="FFFFFF"/>
          <w14:textFill>
            <w14:solidFill>
              <w14:schemeClr w14:val="tx1"/>
            </w14:solidFill>
          </w14:textFill>
        </w:rPr>
        <w:t>。</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（2）</w:t>
      </w:r>
      <w:r>
        <w:rPr>
          <w:rFonts w:ascii="仿宋_GB2312" w:hAnsi="仿宋" w:cs="仿宋"/>
          <w:color w:val="000000" w:themeColor="text1"/>
          <w:shd w:val="clear" w:color="auto" w:fill="FFFFFF"/>
          <w14:textFill>
            <w14:solidFill>
              <w14:schemeClr w14:val="tx1"/>
            </w14:solidFill>
          </w14:textFill>
        </w:rPr>
        <w:t>与数字财政系统</w:t>
      </w:r>
      <w:r>
        <w:rPr>
          <w:rFonts w:hint="eastAsia" w:ascii="仿宋_GB2312" w:hAnsi="仿宋" w:cs="仿宋"/>
          <w:color w:val="000000" w:themeColor="text1"/>
          <w:shd w:val="clear" w:color="auto" w:fill="FFFFFF"/>
          <w14:textFill>
            <w14:solidFill>
              <w14:schemeClr w14:val="tx1"/>
            </w14:solidFill>
          </w14:textFill>
        </w:rPr>
        <w:t>交互</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实现</w:t>
      </w:r>
      <w:r>
        <w:rPr>
          <w:rFonts w:ascii="仿宋_GB2312" w:hAnsi="仿宋_GB2312" w:cs="仿宋_GB2312"/>
          <w:color w:val="000000" w:themeColor="text1"/>
          <w14:textFill>
            <w14:solidFill>
              <w14:schemeClr w14:val="tx1"/>
            </w14:solidFill>
          </w14:textFill>
        </w:rPr>
        <w:t>与数字财政系统数据交互，</w:t>
      </w:r>
      <w:r>
        <w:rPr>
          <w:rFonts w:hint="eastAsia" w:ascii="仿宋_GB2312" w:hAnsi="仿宋_GB2312" w:cs="仿宋_GB2312"/>
          <w:color w:val="000000" w:themeColor="text1"/>
          <w14:textFill>
            <w14:solidFill>
              <w14:schemeClr w14:val="tx1"/>
            </w14:solidFill>
          </w14:textFill>
        </w:rPr>
        <w:t>对</w:t>
      </w:r>
      <w:r>
        <w:rPr>
          <w:rFonts w:hint="eastAsia" w:ascii="仿宋_GB2312" w:hAnsi="仿宋" w:cs="仿宋"/>
          <w:color w:val="000000" w:themeColor="text1"/>
          <w:shd w:val="clear" w:color="auto" w:fill="FFFFFF"/>
          <w14:textFill>
            <w14:solidFill>
              <w14:schemeClr w14:val="tx1"/>
            </w14:solidFill>
          </w14:textFill>
        </w:rPr>
        <w:t>涉及财政国库集中支付资金可选择财政指标信息或计划额度信息生成待发送给“数字财政”的直接支付令、授权支付令或拨款支付令</w:t>
      </w:r>
      <w:r>
        <w:rPr>
          <w:rFonts w:hint="eastAsia" w:ascii="仿宋_GB2312" w:hAnsi="仿宋_GB2312" w:cs="仿宋_GB2312"/>
          <w:color w:val="000000" w:themeColor="text1"/>
          <w14:textFill>
            <w14:solidFill>
              <w14:schemeClr w14:val="tx1"/>
            </w14:solidFill>
          </w14:textFill>
        </w:rPr>
        <w:t>。</w:t>
      </w:r>
      <w:r>
        <w:rPr>
          <w:rFonts w:ascii="仿宋_GB2312" w:hAnsi="仿宋_GB2312" w:cs="仿宋_GB2312"/>
          <w:color w:val="000000" w:themeColor="text1"/>
          <w14:textFill>
            <w14:solidFill>
              <w14:schemeClr w14:val="tx1"/>
            </w14:solidFill>
          </w14:textFill>
        </w:rPr>
        <w:t>当报账申请通过审核后，</w:t>
      </w:r>
      <w:r>
        <w:rPr>
          <w:rFonts w:hint="eastAsia" w:ascii="仿宋_GB2312" w:hAnsi="仿宋" w:cs="仿宋"/>
          <w:color w:val="000000" w:themeColor="text1"/>
          <w:shd w:val="clear" w:color="auto" w:fill="FFFFFF"/>
          <w14:textFill>
            <w14:solidFill>
              <w14:schemeClr w14:val="tx1"/>
            </w14:solidFill>
          </w14:textFill>
        </w:rPr>
        <w:t>“数字财政”系统会生成正式的直接支付、授权支付令或拨款支付令，</w:t>
      </w:r>
      <w:r>
        <w:rPr>
          <w:rFonts w:ascii="仿宋_GB2312" w:hAnsi="仿宋_GB2312" w:cs="仿宋_GB2312"/>
          <w:color w:val="000000" w:themeColor="text1"/>
          <w14:textFill>
            <w14:solidFill>
              <w14:schemeClr w14:val="tx1"/>
            </w14:solidFill>
          </w14:textFill>
        </w:rPr>
        <w:t>以便进行资金划拨和支付</w:t>
      </w:r>
      <w:r>
        <w:rPr>
          <w:rFonts w:hint="eastAsia" w:ascii="仿宋_GB2312" w:hAnsi="仿宋" w:cs="仿宋"/>
          <w:color w:val="000000" w:themeColor="text1"/>
          <w:shd w:val="clear" w:color="auto" w:fill="FFFFFF"/>
          <w14:textFill>
            <w14:solidFill>
              <w14:schemeClr w14:val="tx1"/>
            </w14:solidFill>
          </w14:textFill>
        </w:rPr>
        <w:t>。</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（3）</w:t>
      </w:r>
      <w:r>
        <w:rPr>
          <w:rFonts w:ascii="仿宋_GB2312" w:hAnsi="仿宋" w:cs="仿宋"/>
          <w:color w:val="000000" w:themeColor="text1"/>
          <w:shd w:val="clear" w:color="auto" w:fill="FFFFFF"/>
          <w14:textFill>
            <w14:solidFill>
              <w14:schemeClr w14:val="tx1"/>
            </w14:solidFill>
          </w14:textFill>
        </w:rPr>
        <w:t>国库支付失败处理</w:t>
      </w:r>
    </w:p>
    <w:p>
      <w:pPr>
        <w:ind w:firstLine="480"/>
        <w:rPr>
          <w:rFonts w:ascii="仿宋_GB2312" w:hAnsi="仿宋_GB2312" w:cs="仿宋_GB2312"/>
          <w:color w:val="000000" w:themeColor="text1"/>
          <w14:textFill>
            <w14:solidFill>
              <w14:schemeClr w14:val="tx1"/>
            </w14:solidFill>
          </w14:textFill>
        </w:rPr>
      </w:pPr>
      <w:r>
        <w:rPr>
          <w:rFonts w:ascii="仿宋_GB2312" w:hAnsi="仿宋_GB2312" w:cs="仿宋_GB2312"/>
          <w:color w:val="000000" w:themeColor="text1"/>
          <w14:textFill>
            <w14:solidFill>
              <w14:schemeClr w14:val="tx1"/>
            </w14:solidFill>
          </w14:textFill>
        </w:rPr>
        <w:t>提供国库支付失败后的处理功能</w:t>
      </w:r>
      <w:r>
        <w:rPr>
          <w:rFonts w:hint="eastAsia" w:ascii="仿宋_GB2312" w:hAnsi="仿宋_GB2312" w:cs="仿宋_GB2312"/>
          <w:color w:val="000000" w:themeColor="text1"/>
          <w14:textFill>
            <w14:solidFill>
              <w14:schemeClr w14:val="tx1"/>
            </w14:solidFill>
          </w14:textFill>
        </w:rPr>
        <w:t>，</w:t>
      </w:r>
      <w:r>
        <w:rPr>
          <w:rFonts w:ascii="仿宋_GB2312" w:hAnsi="仿宋_GB2312" w:cs="仿宋_GB2312"/>
          <w:color w:val="000000" w:themeColor="text1"/>
          <w14:textFill>
            <w14:solidFill>
              <w14:schemeClr w14:val="tx1"/>
            </w14:solidFill>
          </w14:textFill>
        </w:rPr>
        <w:t>当支付令遇到</w:t>
      </w:r>
      <w:r>
        <w:rPr>
          <w:rFonts w:hint="eastAsia" w:ascii="仿宋_GB2312" w:hAnsi="仿宋_GB2312" w:cs="仿宋_GB2312"/>
          <w:color w:val="000000" w:themeColor="text1"/>
          <w14:textFill>
            <w14:solidFill>
              <w14:schemeClr w14:val="tx1"/>
            </w14:solidFill>
          </w14:textFill>
        </w:rPr>
        <w:t>单据信息变更、</w:t>
      </w:r>
      <w:r>
        <w:rPr>
          <w:rFonts w:ascii="仿宋_GB2312" w:hAnsi="仿宋_GB2312" w:cs="仿宋_GB2312"/>
          <w:color w:val="000000" w:themeColor="text1"/>
          <w14:textFill>
            <w14:solidFill>
              <w14:schemeClr w14:val="tx1"/>
            </w14:solidFill>
          </w14:textFill>
        </w:rPr>
        <w:t>支付失败或异常情况时，系统会自动提醒相关人员，用户可以查看支付失败原因，并进行相应的调整和处理选项，如重新提交支付申请、</w:t>
      </w:r>
      <w:r>
        <w:rPr>
          <w:rFonts w:hint="eastAsia" w:ascii="仿宋_GB2312" w:hAnsi="仿宋_GB2312" w:cs="仿宋_GB2312"/>
          <w:color w:val="000000" w:themeColor="text1"/>
          <w14:textFill>
            <w14:solidFill>
              <w14:schemeClr w14:val="tx1"/>
            </w14:solidFill>
          </w14:textFill>
        </w:rPr>
        <w:t>单据要素调整、更</w:t>
      </w:r>
      <w:r>
        <w:rPr>
          <w:rFonts w:ascii="仿宋_GB2312" w:hAnsi="仿宋_GB2312" w:cs="仿宋_GB2312"/>
          <w:color w:val="000000" w:themeColor="text1"/>
          <w14:textFill>
            <w14:solidFill>
              <w14:schemeClr w14:val="tx1"/>
            </w14:solidFill>
          </w14:textFill>
        </w:rPr>
        <w:t>换支付方式等</w:t>
      </w:r>
      <w:r>
        <w:rPr>
          <w:rFonts w:hint="eastAsia" w:ascii="仿宋_GB2312" w:hAnsi="仿宋_GB2312" w:cs="仿宋_GB2312"/>
          <w:color w:val="000000" w:themeColor="text1"/>
          <w14:textFill>
            <w14:solidFill>
              <w14:schemeClr w14:val="tx1"/>
            </w14:solidFill>
          </w14:textFill>
        </w:rPr>
        <w:t>，原来的单据作废，</w:t>
      </w:r>
      <w:r>
        <w:rPr>
          <w:rFonts w:ascii="仿宋_GB2312" w:hAnsi="仿宋_GB2312" w:cs="仿宋_GB2312"/>
          <w:color w:val="000000" w:themeColor="text1"/>
          <w14:textFill>
            <w14:solidFill>
              <w14:schemeClr w14:val="tx1"/>
            </w14:solidFill>
          </w14:textFill>
        </w:rPr>
        <w:t>并记录处理结果。</w:t>
      </w:r>
    </w:p>
    <w:p>
      <w:pPr>
        <w:pStyle w:val="4"/>
        <w:spacing w:before="120" w:after="120"/>
        <w:ind w:left="440"/>
        <w:rPr>
          <w:color w:val="000000" w:themeColor="text1"/>
          <w14:textFill>
            <w14:solidFill>
              <w14:schemeClr w14:val="tx1"/>
            </w14:solidFill>
          </w14:textFill>
        </w:rPr>
      </w:pPr>
      <w:bookmarkStart w:id="142" w:name="_Toc8724"/>
      <w:bookmarkStart w:id="143" w:name="_Toc15349"/>
      <w:bookmarkStart w:id="144" w:name="_Toc16996"/>
      <w:bookmarkStart w:id="145" w:name="_Toc6455"/>
      <w:bookmarkStart w:id="146" w:name="_Toc29508"/>
      <w:bookmarkStart w:id="147" w:name="_Toc17645"/>
      <w:bookmarkStart w:id="148" w:name="_Toc29793"/>
      <w:bookmarkStart w:id="149" w:name="_Toc21416"/>
      <w:bookmarkStart w:id="150" w:name="_Toc12976"/>
      <w:bookmarkStart w:id="151" w:name="_Toc22431"/>
      <w:bookmarkStart w:id="152" w:name="_Toc5155"/>
      <w:bookmarkStart w:id="153" w:name="_Toc2386"/>
      <w:bookmarkStart w:id="154" w:name="_Toc19880"/>
      <w:bookmarkStart w:id="155" w:name="_Toc7384"/>
      <w:bookmarkStart w:id="156" w:name="_Toc12960"/>
      <w:bookmarkStart w:id="157" w:name="_Toc21097"/>
      <w:bookmarkStart w:id="158" w:name="_Toc13684"/>
      <w:r>
        <w:rPr>
          <w:rFonts w:hint="eastAsia"/>
          <w:color w:val="000000" w:themeColor="text1"/>
          <w14:textFill>
            <w14:solidFill>
              <w14:schemeClr w14:val="tx1"/>
            </w14:solidFill>
          </w14:textFill>
        </w:rPr>
        <w:t>账务核算</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数字财政凭证数据回流</w:t>
      </w:r>
    </w:p>
    <w:p>
      <w:pPr>
        <w:ind w:firstLine="480"/>
        <w:rPr>
          <w:rFonts w:ascii="仿宋_GB2312"/>
          <w:color w:val="000000" w:themeColor="text1"/>
          <w14:textFill>
            <w14:solidFill>
              <w14:schemeClr w14:val="tx1"/>
            </w14:solidFill>
          </w14:textFill>
        </w:rPr>
      </w:pPr>
      <w:r>
        <w:rPr>
          <w:rFonts w:hint="eastAsia" w:ascii="仿宋_GB2312"/>
          <w:color w:val="000000" w:themeColor="text1"/>
          <w:szCs w:val="28"/>
          <w14:textFill>
            <w14:solidFill>
              <w14:schemeClr w14:val="tx1"/>
            </w14:solidFill>
          </w14:textFill>
        </w:rPr>
        <w:t>可实现对数字财政单位内部财务系统凭证数据回流至本系统，获取数字财政凭证中的信息。</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数字财政凭证数据查询</w:t>
      </w:r>
    </w:p>
    <w:p>
      <w:pPr>
        <w:ind w:firstLine="480"/>
        <w:rPr>
          <w:color w:val="000000" w:themeColor="text1"/>
          <w14:textFill>
            <w14:solidFill>
              <w14:schemeClr w14:val="tx1"/>
            </w14:solidFill>
          </w14:textFill>
        </w:rPr>
      </w:pPr>
      <w:r>
        <w:rPr>
          <w:rFonts w:hint="eastAsia" w:ascii="仿宋_GB2312"/>
          <w:color w:val="000000" w:themeColor="text1"/>
          <w:szCs w:val="28"/>
          <w14:textFill>
            <w14:solidFill>
              <w14:schemeClr w14:val="tx1"/>
            </w14:solidFill>
          </w14:textFill>
        </w:rPr>
        <w:t>提供回流财政凭证数据查询功能，基础信息查询、凭证箱、科目账表、科目辅助账表等功能。</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凭证数据校验</w:t>
      </w:r>
    </w:p>
    <w:p>
      <w:pPr>
        <w:ind w:firstLine="480"/>
        <w:rPr>
          <w:rFonts w:ascii="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支持对财务数据进行校验和查询，</w:t>
      </w:r>
      <w:r>
        <w:rPr>
          <w:rFonts w:ascii="仿宋_GB2312"/>
          <w:color w:val="000000" w:themeColor="text1"/>
          <w14:textFill>
            <w14:solidFill>
              <w14:schemeClr w14:val="tx1"/>
            </w14:solidFill>
          </w14:textFill>
        </w:rPr>
        <w:t>基于财政监管系统对凭证的监督校验规则+本地细化监督规则，</w:t>
      </w:r>
      <w:r>
        <w:rPr>
          <w:rFonts w:hint="eastAsia" w:ascii="仿宋_GB2312"/>
          <w:color w:val="000000" w:themeColor="text1"/>
          <w14:textFill>
            <w14:solidFill>
              <w14:schemeClr w14:val="tx1"/>
            </w14:solidFill>
          </w14:textFill>
        </w:rPr>
        <w:t>可</w:t>
      </w:r>
      <w:r>
        <w:rPr>
          <w:rFonts w:ascii="仿宋_GB2312"/>
          <w:color w:val="000000" w:themeColor="text1"/>
          <w14:textFill>
            <w14:solidFill>
              <w14:schemeClr w14:val="tx1"/>
            </w14:solidFill>
          </w14:textFill>
        </w:rPr>
        <w:t>对回流的凭证数据进行</w:t>
      </w:r>
      <w:r>
        <w:rPr>
          <w:rFonts w:ascii="仿宋_GB2312" w:hAnsi="仿宋_GB2312" w:cs="仿宋_GB2312"/>
          <w:color w:val="000000" w:themeColor="text1"/>
          <w14:textFill>
            <w14:solidFill>
              <w14:schemeClr w14:val="tx1"/>
            </w14:solidFill>
          </w14:textFill>
        </w:rPr>
        <w:t>进行</w:t>
      </w:r>
      <w:r>
        <w:rPr>
          <w:rFonts w:hint="eastAsia" w:ascii="仿宋_GB2312" w:hAnsi="仿宋_GB2312" w:cs="仿宋_GB2312"/>
          <w:color w:val="000000" w:themeColor="text1"/>
          <w14:textFill>
            <w14:solidFill>
              <w14:schemeClr w14:val="tx1"/>
            </w14:solidFill>
          </w14:textFill>
        </w:rPr>
        <w:t>挂单率、记账率、准确性等</w:t>
      </w:r>
      <w:r>
        <w:rPr>
          <w:rFonts w:ascii="仿宋_GB2312"/>
          <w:color w:val="000000" w:themeColor="text1"/>
          <w14:textFill>
            <w14:solidFill>
              <w14:schemeClr w14:val="tx1"/>
            </w14:solidFill>
          </w14:textFill>
        </w:rPr>
        <w:t>核算预警校验，并避免因不符合监管规则而导致的财务风险或处罚。</w:t>
      </w:r>
    </w:p>
    <w:p>
      <w:pPr>
        <w:ind w:firstLine="480"/>
        <w:rPr>
          <w:color w:val="000000" w:themeColor="text1"/>
          <w:szCs w:val="24"/>
          <w14:textFill>
            <w14:solidFill>
              <w14:schemeClr w14:val="tx1"/>
            </w14:solidFill>
          </w14:textFill>
        </w:rPr>
      </w:pPr>
      <w:r>
        <w:rPr>
          <w:rFonts w:hint="eastAsia" w:ascii="仿宋_GB2312"/>
          <w:color w:val="000000" w:themeColor="text1"/>
          <w:szCs w:val="24"/>
          <w14:textFill>
            <w14:solidFill>
              <w14:schemeClr w14:val="tx1"/>
            </w14:solidFill>
          </w14:textFill>
        </w:rPr>
        <w:t>提供单位的往来账明细的管理监控功能，可记录往来产生的原因、明细记录、核销期限等信息，进行挂账的成因、账龄分析、每年处置情况、核销率等管理监控；对长期未处置的挂账进行预警提醒。</w:t>
      </w:r>
    </w:p>
    <w:p>
      <w:pPr>
        <w:pStyle w:val="4"/>
        <w:spacing w:before="120" w:after="120"/>
        <w:ind w:left="440"/>
        <w:rPr>
          <w:color w:val="000000" w:themeColor="text1"/>
          <w14:textFill>
            <w14:solidFill>
              <w14:schemeClr w14:val="tx1"/>
            </w14:solidFill>
          </w14:textFill>
        </w:rPr>
      </w:pPr>
      <w:bookmarkStart w:id="159" w:name="_Toc15458"/>
      <w:bookmarkStart w:id="160" w:name="_Toc6613"/>
      <w:bookmarkStart w:id="161" w:name="_Toc12873"/>
      <w:bookmarkStart w:id="162" w:name="_Toc17950"/>
      <w:bookmarkStart w:id="163" w:name="_Toc8597"/>
      <w:bookmarkStart w:id="164" w:name="_Toc14903"/>
      <w:bookmarkStart w:id="165" w:name="_Toc16192"/>
      <w:bookmarkStart w:id="166" w:name="_Toc2248"/>
      <w:bookmarkStart w:id="167" w:name="_Toc13439"/>
      <w:bookmarkStart w:id="168" w:name="_Toc19427"/>
      <w:bookmarkStart w:id="169" w:name="_Toc18279"/>
      <w:bookmarkStart w:id="170" w:name="_Toc10824"/>
      <w:bookmarkStart w:id="171" w:name="_Toc21099"/>
      <w:bookmarkStart w:id="172" w:name="_Toc24780"/>
      <w:bookmarkStart w:id="173" w:name="_Toc10088"/>
      <w:bookmarkStart w:id="174" w:name="_Toc7154"/>
      <w:bookmarkStart w:id="175" w:name="_Toc28012"/>
      <w:r>
        <w:rPr>
          <w:rFonts w:hint="eastAsia"/>
          <w:color w:val="000000" w:themeColor="text1"/>
          <w14:textFill>
            <w14:solidFill>
              <w14:schemeClr w14:val="tx1"/>
            </w14:solidFill>
          </w14:textFill>
        </w:rPr>
        <w:t>决算报表</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年度决算报表</w:t>
      </w:r>
    </w:p>
    <w:p>
      <w:pPr>
        <w:ind w:firstLine="48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可生成与财务核算数据相关的部门决算报表数据，生成报表可根据每年决算要求进行调整，并可以导入最新决算分析方案。</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与财厅决算报表对接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实现</w:t>
      </w:r>
      <w:r>
        <w:rPr>
          <w:color w:val="000000" w:themeColor="text1"/>
          <w14:textFill>
            <w14:solidFill>
              <w14:schemeClr w14:val="tx1"/>
            </w14:solidFill>
          </w14:textFill>
        </w:rPr>
        <w:t>与财厅决算报表</w:t>
      </w:r>
      <w:r>
        <w:rPr>
          <w:rFonts w:hint="eastAsia"/>
          <w:color w:val="000000" w:themeColor="text1"/>
          <w14:textFill>
            <w14:solidFill>
              <w14:schemeClr w14:val="tx1"/>
            </w14:solidFill>
          </w14:textFill>
        </w:rPr>
        <w:t>系统</w:t>
      </w:r>
      <w:r>
        <w:rPr>
          <w:color w:val="000000" w:themeColor="text1"/>
          <w14:textFill>
            <w14:solidFill>
              <w14:schemeClr w14:val="tx1"/>
            </w14:solidFill>
          </w14:textFill>
        </w:rPr>
        <w:t>对接，回流以前年度的决算数据，整合到本系统中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并支持季度和年度决算校验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确保决算数据的准确性和合规性。同时，</w:t>
      </w:r>
      <w:r>
        <w:rPr>
          <w:rFonts w:hint="eastAsia"/>
          <w:color w:val="000000" w:themeColor="text1"/>
          <w14:textFill>
            <w14:solidFill>
              <w14:schemeClr w14:val="tx1"/>
            </w14:solidFill>
          </w14:textFill>
        </w:rPr>
        <w:t>支持</w:t>
      </w:r>
      <w:r>
        <w:rPr>
          <w:color w:val="000000" w:themeColor="text1"/>
          <w14:textFill>
            <w14:solidFill>
              <w14:schemeClr w14:val="tx1"/>
            </w14:solidFill>
          </w14:textFill>
        </w:rPr>
        <w:t>灵活的决算校验周期设置，用户设定不同的决算校验周期，以满足特定需求。</w:t>
      </w:r>
      <w:r>
        <w:rPr>
          <w:rFonts w:hint="eastAsia" w:ascii="仿宋_GB2312" w:hAnsi="仿宋_GB2312" w:cs="仿宋_GB2312"/>
          <w:color w:val="000000" w:themeColor="text1"/>
          <w14:textFill>
            <w14:solidFill>
              <w14:schemeClr w14:val="tx1"/>
            </w14:solidFill>
          </w14:textFill>
        </w:rPr>
        <w:t>支持分板块、资金来源等决算分析，支持财务报告。</w:t>
      </w:r>
    </w:p>
    <w:p>
      <w:pPr>
        <w:pStyle w:val="4"/>
        <w:spacing w:before="120" w:after="120"/>
        <w:ind w:left="440"/>
        <w:rPr>
          <w:color w:val="000000" w:themeColor="text1"/>
          <w14:textFill>
            <w14:solidFill>
              <w14:schemeClr w14:val="tx1"/>
            </w14:solidFill>
          </w14:textFill>
        </w:rPr>
      </w:pPr>
      <w:bookmarkStart w:id="176" w:name="_Toc21292"/>
      <w:bookmarkStart w:id="177" w:name="_Toc26421"/>
      <w:bookmarkStart w:id="178" w:name="_Toc13694"/>
      <w:bookmarkStart w:id="179" w:name="_Toc4871"/>
      <w:bookmarkStart w:id="180" w:name="_Toc8186"/>
      <w:bookmarkStart w:id="181" w:name="_Toc31232"/>
      <w:bookmarkStart w:id="182" w:name="_Toc11119"/>
      <w:bookmarkStart w:id="183" w:name="_Toc17137"/>
      <w:bookmarkStart w:id="184" w:name="_Toc7003"/>
      <w:bookmarkStart w:id="185" w:name="_Toc19334"/>
      <w:bookmarkStart w:id="186" w:name="_Toc26632"/>
      <w:bookmarkStart w:id="187" w:name="_Toc8054"/>
      <w:bookmarkStart w:id="188" w:name="_Toc23274"/>
      <w:bookmarkStart w:id="189" w:name="_Toc27724"/>
      <w:bookmarkStart w:id="190" w:name="_Toc32658"/>
      <w:bookmarkStart w:id="191" w:name="_Toc23152"/>
      <w:bookmarkStart w:id="192" w:name="_Toc17923"/>
      <w:r>
        <w:rPr>
          <w:rFonts w:hint="eastAsia"/>
          <w:color w:val="000000" w:themeColor="text1"/>
          <w14:textFill>
            <w14:solidFill>
              <w14:schemeClr w14:val="tx1"/>
            </w14:solidFill>
          </w14:textFill>
        </w:rPr>
        <w:t>财务综合管理</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pStyle w:val="6"/>
        <w:tabs>
          <w:tab w:val="left" w:pos="1134"/>
        </w:tabs>
        <w:rPr>
          <w:color w:val="000000" w:themeColor="text1"/>
          <w14:textFill>
            <w14:solidFill>
              <w14:schemeClr w14:val="tx1"/>
            </w14:solidFill>
          </w14:textFill>
        </w:rPr>
      </w:pPr>
      <w:r>
        <w:rPr>
          <w:color w:val="000000" w:themeColor="text1"/>
          <w14:textFill>
            <w14:solidFill>
              <w14:schemeClr w14:val="tx1"/>
            </w14:solidFill>
          </w14:textFill>
        </w:rPr>
        <w:t>任务</w:t>
      </w:r>
      <w:r>
        <w:rPr>
          <w:rFonts w:hint="eastAsia"/>
          <w:color w:val="000000" w:themeColor="text1"/>
          <w14:textFill>
            <w14:solidFill>
              <w14:schemeClr w14:val="tx1"/>
            </w14:solidFill>
          </w14:textFill>
        </w:rPr>
        <w:t>管理</w:t>
      </w:r>
    </w:p>
    <w:p>
      <w:pPr>
        <w:pStyle w:val="7"/>
        <w:numPr>
          <w:ilvl w:val="255"/>
          <w:numId w:val="0"/>
        </w:numPr>
        <w:tabs>
          <w:tab w:val="left" w:pos="1134"/>
          <w:tab w:val="clear" w:pos="1296"/>
        </w:tabs>
        <w:ind w:left="660" w:leftChars="300" w:firstLine="22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任务发布和</w:t>
      </w:r>
      <w:r>
        <w:rPr>
          <w:color w:val="000000" w:themeColor="text1"/>
          <w14:textFill>
            <w14:solidFill>
              <w14:schemeClr w14:val="tx1"/>
            </w14:solidFill>
          </w14:textFill>
        </w:rPr>
        <w:t>下发</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ascii="仿宋_GB2312" w:hAnsi="仿宋" w:cs="仿宋"/>
          <w:color w:val="000000" w:themeColor="text1"/>
          <w:shd w:val="clear" w:color="auto" w:fill="FFFFFF"/>
          <w14:textFill>
            <w14:solidFill>
              <w14:schemeClr w14:val="tx1"/>
            </w14:solidFill>
          </w14:textFill>
        </w:rPr>
        <w:t>提供日常财务任务发布和下发</w:t>
      </w:r>
      <w:r>
        <w:rPr>
          <w:rFonts w:hint="eastAsia" w:ascii="仿宋_GB2312" w:hAnsi="仿宋" w:cs="仿宋"/>
          <w:color w:val="000000" w:themeColor="text1"/>
          <w:shd w:val="clear" w:color="auto" w:fill="FFFFFF"/>
          <w14:textFill>
            <w14:solidFill>
              <w14:schemeClr w14:val="tx1"/>
            </w14:solidFill>
          </w14:textFill>
        </w:rPr>
        <w:t>功能，主管级单位</w:t>
      </w:r>
      <w:r>
        <w:rPr>
          <w:rFonts w:ascii="仿宋_GB2312" w:hAnsi="仿宋" w:cs="仿宋"/>
          <w:color w:val="000000" w:themeColor="text1"/>
          <w:shd w:val="clear" w:color="auto" w:fill="FFFFFF"/>
          <w14:textFill>
            <w14:solidFill>
              <w14:schemeClr w14:val="tx1"/>
            </w14:solidFill>
          </w14:textFill>
        </w:rPr>
        <w:t>可以创建任务并</w:t>
      </w:r>
      <w:r>
        <w:rPr>
          <w:rFonts w:hint="eastAsia" w:ascii="仿宋_GB2312" w:hAnsi="仿宋" w:cs="仿宋"/>
          <w:color w:val="000000" w:themeColor="text1"/>
          <w:shd w:val="clear" w:color="auto" w:fill="FFFFFF"/>
          <w14:textFill>
            <w14:solidFill>
              <w14:schemeClr w14:val="tx1"/>
            </w14:solidFill>
          </w14:textFill>
        </w:rPr>
        <w:t>指派给相应的财务人员，</w:t>
      </w:r>
      <w:r>
        <w:rPr>
          <w:rFonts w:ascii="仿宋_GB2312" w:hAnsi="仿宋" w:cs="仿宋"/>
          <w:color w:val="000000" w:themeColor="text1"/>
          <w:shd w:val="clear" w:color="auto" w:fill="FFFFFF"/>
          <w14:textFill>
            <w14:solidFill>
              <w14:schemeClr w14:val="tx1"/>
            </w14:solidFill>
          </w14:textFill>
        </w:rPr>
        <w:t>设定任务名称、描述、执行人、完成时限等相关信息。任务可以包括日常财务工作，如账务处理、报表编制、预算执行等，也可以包括特定的财务项目或调研任务。</w:t>
      </w:r>
      <w:r>
        <w:rPr>
          <w:rFonts w:hint="eastAsia" w:ascii="仿宋_GB2312" w:hAnsi="仿宋" w:cs="仿宋"/>
          <w:color w:val="000000" w:themeColor="text1"/>
          <w:shd w:val="clear" w:color="auto" w:fill="FFFFFF"/>
          <w14:textFill>
            <w14:solidFill>
              <w14:schemeClr w14:val="tx1"/>
            </w14:solidFill>
          </w14:textFill>
        </w:rPr>
        <w:t>系统支持三级管理结构，包括主管单位、基层单位和部门。任务发布主要包括任务编制分发平台、附件管理等功能。</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1</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任务编制分发：提供任务编制和分发功能，使主管级单位能够创建具有时效性要求高的任务。主管单位可以设定任务截止时间，并将任务分发给相应的基层单位和部门。</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2</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附件管理：支持附件上传和管理功能，使主管级单位能够在任务中添加相关文件或资料，可以确保任务的完整性和信息的准确性。</w:t>
      </w:r>
    </w:p>
    <w:p>
      <w:pPr>
        <w:pStyle w:val="7"/>
        <w:numPr>
          <w:ilvl w:val="255"/>
          <w:numId w:val="0"/>
        </w:numPr>
        <w:tabs>
          <w:tab w:val="left" w:pos="1134"/>
          <w:tab w:val="clear" w:pos="1296"/>
        </w:tabs>
        <w:ind w:left="660" w:leftChars="300" w:firstLine="22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任务完成时限规定</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ascii="仿宋_GB2312" w:hAnsi="仿宋" w:cs="仿宋"/>
          <w:color w:val="000000" w:themeColor="text1"/>
          <w:shd w:val="clear" w:color="auto" w:fill="FFFFFF"/>
          <w14:textFill>
            <w14:solidFill>
              <w14:schemeClr w14:val="tx1"/>
            </w14:solidFill>
          </w14:textFill>
        </w:rPr>
        <w:t>在任务下发过程中，支持设定任务的完成时限</w:t>
      </w:r>
      <w:r>
        <w:rPr>
          <w:rFonts w:hint="eastAsia" w:ascii="仿宋_GB2312" w:hAnsi="仿宋" w:cs="仿宋"/>
          <w:color w:val="000000" w:themeColor="text1"/>
          <w:shd w:val="clear" w:color="auto" w:fill="FFFFFF"/>
          <w14:textFill>
            <w14:solidFill>
              <w14:schemeClr w14:val="tx1"/>
            </w14:solidFill>
          </w14:textFill>
        </w:rPr>
        <w:t>，</w:t>
      </w:r>
      <w:r>
        <w:rPr>
          <w:rFonts w:ascii="仿宋_GB2312" w:hAnsi="仿宋" w:cs="仿宋"/>
          <w:color w:val="000000" w:themeColor="text1"/>
          <w:shd w:val="clear" w:color="auto" w:fill="FFFFFF"/>
          <w14:textFill>
            <w14:solidFill>
              <w14:schemeClr w14:val="tx1"/>
            </w14:solidFill>
          </w14:textFill>
        </w:rPr>
        <w:t>财务人员在接收任务后明确任务的截止日期。帮助管理人员合理安排工作时间和资源，确保任务按时完成。</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支持主管级单位编制分发具有时效性要求高的任务，并在一天内获取检查结果。</w:t>
      </w:r>
    </w:p>
    <w:p>
      <w:pPr>
        <w:pStyle w:val="7"/>
        <w:numPr>
          <w:ilvl w:val="255"/>
          <w:numId w:val="0"/>
        </w:numPr>
        <w:tabs>
          <w:tab w:val="left" w:pos="1134"/>
          <w:tab w:val="clear" w:pos="1296"/>
        </w:tabs>
        <w:ind w:left="660" w:leftChars="300" w:firstLine="22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任务上报与反馈</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ascii="仿宋_GB2312" w:hAnsi="仿宋" w:cs="仿宋"/>
          <w:color w:val="000000" w:themeColor="text1"/>
          <w:shd w:val="clear" w:color="auto" w:fill="FFFFFF"/>
          <w14:textFill>
            <w14:solidFill>
              <w14:schemeClr w14:val="tx1"/>
            </w14:solidFill>
          </w14:textFill>
        </w:rPr>
        <w:t>财务人员在完成任务后，通过系统将任务完成情况上报。</w:t>
      </w:r>
      <w:r>
        <w:rPr>
          <w:rFonts w:hint="eastAsia" w:ascii="仿宋_GB2312" w:hAnsi="仿宋" w:cs="仿宋"/>
          <w:color w:val="000000" w:themeColor="text1"/>
          <w:shd w:val="clear" w:color="auto" w:fill="FFFFFF"/>
          <w14:textFill>
            <w14:solidFill>
              <w14:schemeClr w14:val="tx1"/>
            </w14:solidFill>
          </w14:textFill>
        </w:rPr>
        <w:t>提供在线编辑多人协同表格功能，可填写上报信息和上传附件，</w:t>
      </w:r>
      <w:r>
        <w:rPr>
          <w:rFonts w:ascii="仿宋_GB2312" w:hAnsi="仿宋" w:cs="仿宋"/>
          <w:color w:val="000000" w:themeColor="text1"/>
          <w:shd w:val="clear" w:color="auto" w:fill="FFFFFF"/>
          <w14:textFill>
            <w14:solidFill>
              <w14:schemeClr w14:val="tx1"/>
            </w14:solidFill>
          </w14:textFill>
        </w:rPr>
        <w:t>上报的内容可以包括任务完成时间、工作过程中的问题和困难、完成的成果等。为管理人员提供任务执行情况的实时反馈，便于及时了解任务进展和质量。</w:t>
      </w:r>
    </w:p>
    <w:p>
      <w:pPr>
        <w:pStyle w:val="6"/>
        <w:tabs>
          <w:tab w:val="left" w:pos="1134"/>
        </w:tabs>
        <w:rPr>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分业务板块管理、重点资金管理</w:t>
      </w:r>
    </w:p>
    <w:p>
      <w:pPr>
        <w:ind w:firstLine="440" w:firstLineChars="200"/>
        <w:rPr>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实现可自定义划分业务板块，关联预算管理模块，对下属单位预算等进行板块化管理。支持对板块内</w:t>
      </w:r>
      <w:r>
        <w:rPr>
          <w:rFonts w:hint="eastAsia" w:ascii="仿宋_GB2312" w:hAnsi="仿宋_GB2312" w:cs="仿宋_GB2312"/>
          <w:color w:val="000000" w:themeColor="text1"/>
          <w14:textFill>
            <w14:solidFill>
              <w14:schemeClr w14:val="tx1"/>
            </w14:solidFill>
          </w14:textFill>
        </w:rPr>
        <w:t>自定义</w:t>
      </w:r>
      <w:r>
        <w:rPr>
          <w:rFonts w:hint="eastAsia" w:ascii="仿宋_GB2312"/>
          <w:color w:val="000000" w:themeColor="text1"/>
          <w14:textFill>
            <w14:solidFill>
              <w14:schemeClr w14:val="tx1"/>
            </w14:solidFill>
          </w14:textFill>
        </w:rPr>
        <w:t>重点资金实现单列管理。</w:t>
      </w:r>
    </w:p>
    <w:p>
      <w:pPr>
        <w:pStyle w:val="4"/>
        <w:spacing w:before="120" w:after="120"/>
        <w:ind w:left="440"/>
        <w:rPr>
          <w:color w:val="000000" w:themeColor="text1"/>
          <w14:textFill>
            <w14:solidFill>
              <w14:schemeClr w14:val="tx1"/>
            </w14:solidFill>
          </w14:textFill>
        </w:rPr>
      </w:pPr>
      <w:bookmarkStart w:id="193" w:name="_Toc1037"/>
      <w:bookmarkStart w:id="194" w:name="_Toc17054"/>
      <w:bookmarkStart w:id="195" w:name="_Toc28046"/>
      <w:bookmarkStart w:id="196" w:name="_Toc19138"/>
      <w:bookmarkStart w:id="197" w:name="_Toc10620"/>
      <w:bookmarkStart w:id="198" w:name="_Toc25927"/>
      <w:bookmarkStart w:id="199" w:name="_Toc8891"/>
      <w:bookmarkStart w:id="200" w:name="_Toc29963"/>
      <w:bookmarkStart w:id="201" w:name="_Toc7960"/>
      <w:bookmarkStart w:id="202" w:name="_Toc12690"/>
      <w:bookmarkStart w:id="203" w:name="_Toc11016"/>
      <w:bookmarkStart w:id="204" w:name="_Toc18802"/>
      <w:bookmarkStart w:id="205" w:name="_Toc20795"/>
      <w:bookmarkStart w:id="206" w:name="_Toc21826"/>
      <w:bookmarkStart w:id="207" w:name="_Toc11369"/>
      <w:bookmarkStart w:id="208" w:name="_Toc3492"/>
      <w:bookmarkStart w:id="209" w:name="_Toc4780"/>
      <w:r>
        <w:rPr>
          <w:rFonts w:hint="eastAsia"/>
          <w:color w:val="000000" w:themeColor="text1"/>
          <w14:textFill>
            <w14:solidFill>
              <w14:schemeClr w14:val="tx1"/>
            </w14:solidFill>
          </w14:textFill>
        </w:rPr>
        <w:t>财务监管管理</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财务业务监控</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ascii="仿宋_GB2312" w:hAnsi="仿宋" w:cs="仿宋"/>
          <w:color w:val="000000" w:themeColor="text1"/>
          <w:shd w:val="clear" w:color="auto" w:fill="FFFFFF"/>
          <w14:textFill>
            <w14:solidFill>
              <w14:schemeClr w14:val="tx1"/>
            </w14:solidFill>
          </w14:textFill>
        </w:rPr>
        <w:t>提供</w:t>
      </w:r>
      <w:r>
        <w:rPr>
          <w:rFonts w:hint="eastAsia" w:ascii="仿宋_GB2312" w:hAnsi="仿宋" w:cs="仿宋"/>
          <w:color w:val="000000" w:themeColor="text1"/>
          <w:shd w:val="clear" w:color="auto" w:fill="FFFFFF"/>
          <w14:textFill>
            <w14:solidFill>
              <w14:schemeClr w14:val="tx1"/>
            </w14:solidFill>
          </w14:textFill>
        </w:rPr>
        <w:t>重点及高风险财务业务的</w:t>
      </w:r>
      <w:r>
        <w:rPr>
          <w:rFonts w:ascii="仿宋_GB2312" w:hAnsi="仿宋" w:cs="仿宋"/>
          <w:color w:val="000000" w:themeColor="text1"/>
          <w:shd w:val="clear" w:color="auto" w:fill="FFFFFF"/>
          <w14:textFill>
            <w14:solidFill>
              <w14:schemeClr w14:val="tx1"/>
            </w14:solidFill>
          </w14:textFill>
        </w:rPr>
        <w:t>检查和跟踪</w:t>
      </w:r>
      <w:r>
        <w:rPr>
          <w:rFonts w:hint="eastAsia" w:ascii="仿宋_GB2312" w:hAnsi="仿宋" w:cs="仿宋"/>
          <w:color w:val="000000" w:themeColor="text1"/>
          <w:shd w:val="clear" w:color="auto" w:fill="FFFFFF"/>
          <w14:textFill>
            <w14:solidFill>
              <w14:schemeClr w14:val="tx1"/>
            </w14:solidFill>
          </w14:textFill>
        </w:rPr>
        <w:t>功能，</w:t>
      </w:r>
      <w:r>
        <w:rPr>
          <w:rFonts w:ascii="仿宋_GB2312" w:hAnsi="仿宋" w:cs="仿宋"/>
          <w:color w:val="000000" w:themeColor="text1"/>
          <w:shd w:val="clear" w:color="auto" w:fill="FFFFFF"/>
          <w14:textFill>
            <w14:solidFill>
              <w14:schemeClr w14:val="tx1"/>
            </w14:solidFill>
          </w14:textFill>
        </w:rPr>
        <w:t>系统能够标识和识别出具有重要性和风险的财务业务，</w:t>
      </w:r>
      <w:r>
        <w:rPr>
          <w:rFonts w:hint="eastAsia" w:ascii="仿宋_GB2312" w:hAnsi="仿宋" w:cs="仿宋"/>
          <w:color w:val="000000" w:themeColor="text1"/>
          <w:shd w:val="clear" w:color="auto" w:fill="FFFFFF"/>
          <w14:textFill>
            <w14:solidFill>
              <w14:schemeClr w14:val="tx1"/>
            </w14:solidFill>
          </w14:textFill>
        </w:rPr>
        <w:t>如大额支付、重要合同等，</w:t>
      </w:r>
      <w:r>
        <w:rPr>
          <w:rFonts w:ascii="仿宋_GB2312" w:hAnsi="仿宋" w:cs="仿宋"/>
          <w:color w:val="000000" w:themeColor="text1"/>
          <w:shd w:val="clear" w:color="auto" w:fill="FFFFFF"/>
          <w14:textFill>
            <w14:solidFill>
              <w14:schemeClr w14:val="tx1"/>
            </w14:solidFill>
          </w14:textFill>
        </w:rPr>
        <w:t>对其进行定期或不定期的检查和跟踪</w:t>
      </w:r>
      <w:r>
        <w:rPr>
          <w:rFonts w:hint="eastAsia" w:ascii="仿宋_GB2312" w:hAnsi="仿宋" w:cs="仿宋"/>
          <w:color w:val="000000" w:themeColor="text1"/>
          <w:shd w:val="clear" w:color="auto" w:fill="FFFFFF"/>
          <w14:textFill>
            <w14:solidFill>
              <w14:schemeClr w14:val="tx1"/>
            </w14:solidFill>
          </w14:textFill>
        </w:rPr>
        <w:t>，及时监控其执行情况，防范风险</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具体功能包括：</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ascii="仿宋_GB2312" w:hAnsi="仿宋" w:cs="仿宋"/>
          <w:color w:val="000000" w:themeColor="text1"/>
          <w:shd w:val="clear" w:color="auto" w:fill="FFFFFF"/>
          <w14:textFill>
            <w14:solidFill>
              <w14:schemeClr w14:val="tx1"/>
            </w14:solidFill>
          </w14:textFill>
        </w:rPr>
        <w:t>1.</w:t>
      </w:r>
      <w:r>
        <w:rPr>
          <w:rFonts w:hint="eastAsia" w:ascii="仿宋_GB2312" w:hAnsi="仿宋" w:cs="仿宋"/>
          <w:color w:val="000000" w:themeColor="text1"/>
          <w:shd w:val="clear" w:color="auto" w:fill="FFFFFF"/>
          <w14:textFill>
            <w14:solidFill>
              <w14:schemeClr w14:val="tx1"/>
            </w14:solidFill>
          </w14:textFill>
        </w:rPr>
        <w:t>识别重点及高风险财务业务：根据设定的规则和标准，系统可以自动识别出重点及高风险的财务业务。</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2</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设置检查频率和方式：可以根据业务的重要性和风险程度，设置不同的检查频率和方式，如每日、每周、定期等。</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3</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业务执行情况跟踪：系统可以记录和跟踪重点及高风险财务业务的执行情况，包括审批进度、操作记录等。</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4</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异常提醒：如果发现重点及高风险财务业务存在异常情况，统计异常数据，系统可以及时发出提醒，通知相关人员进行处理。</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工作流管理</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提供可追溯的审批监管等业务流程，</w:t>
      </w:r>
      <w:r>
        <w:rPr>
          <w:rFonts w:ascii="仿宋_GB2312" w:hAnsi="仿宋" w:cs="仿宋"/>
          <w:color w:val="000000" w:themeColor="text1"/>
          <w:shd w:val="clear" w:color="auto" w:fill="FFFFFF"/>
          <w14:textFill>
            <w14:solidFill>
              <w14:schemeClr w14:val="tx1"/>
            </w14:solidFill>
          </w14:textFill>
        </w:rPr>
        <w:t>在审批流程中，系统</w:t>
      </w:r>
      <w:r>
        <w:rPr>
          <w:rFonts w:hint="eastAsia" w:ascii="仿宋_GB2312" w:hAnsi="仿宋" w:cs="仿宋"/>
          <w:color w:val="000000" w:themeColor="text1"/>
          <w:shd w:val="clear" w:color="auto" w:fill="FFFFFF"/>
          <w14:textFill>
            <w14:solidFill>
              <w14:schemeClr w14:val="tx1"/>
            </w14:solidFill>
          </w14:textFill>
        </w:rPr>
        <w:t>可</w:t>
      </w:r>
      <w:r>
        <w:rPr>
          <w:rFonts w:ascii="仿宋_GB2312" w:hAnsi="仿宋" w:cs="仿宋"/>
          <w:color w:val="000000" w:themeColor="text1"/>
          <w:shd w:val="clear" w:color="auto" w:fill="FFFFFF"/>
          <w14:textFill>
            <w14:solidFill>
              <w14:schemeClr w14:val="tx1"/>
            </w14:solidFill>
          </w14:textFill>
        </w:rPr>
        <w:t>支持审批过程的追溯功能</w:t>
      </w:r>
      <w:r>
        <w:rPr>
          <w:rFonts w:hint="eastAsia" w:ascii="仿宋_GB2312" w:hAnsi="仿宋" w:cs="仿宋"/>
          <w:color w:val="000000" w:themeColor="text1"/>
          <w:shd w:val="clear" w:color="auto" w:fill="FFFFFF"/>
          <w14:textFill>
            <w14:solidFill>
              <w14:schemeClr w14:val="tx1"/>
            </w14:solidFill>
          </w14:textFill>
        </w:rPr>
        <w:t>，</w:t>
      </w:r>
      <w:r>
        <w:rPr>
          <w:rFonts w:ascii="仿宋_GB2312" w:hAnsi="仿宋" w:cs="仿宋"/>
          <w:color w:val="000000" w:themeColor="text1"/>
          <w:shd w:val="clear" w:color="auto" w:fill="FFFFFF"/>
          <w14:textFill>
            <w14:solidFill>
              <w14:schemeClr w14:val="tx1"/>
            </w14:solidFill>
          </w14:textFill>
        </w:rPr>
        <w:t>用户可以查看审批流程的历史记录和详细信息。对存在超期未处理等异常情况的审批，系统提供相应的反馈和提示，以便及时解决问题。</w:t>
      </w:r>
      <w:r>
        <w:rPr>
          <w:rFonts w:hint="eastAsia" w:ascii="仿宋_GB2312" w:hAnsi="仿宋" w:cs="仿宋"/>
          <w:color w:val="000000" w:themeColor="text1"/>
          <w:shd w:val="clear" w:color="auto" w:fill="FFFFFF"/>
          <w14:textFill>
            <w14:solidFill>
              <w14:schemeClr w14:val="tx1"/>
            </w14:solidFill>
          </w14:textFill>
        </w:rPr>
        <w:t>具体功能包括：</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1</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记录审批流程：系统会自动记录每个财务业务的审批流程，包括审批人、审批时间等信息。</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2</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审批状态查询：用户可以查询特定财务业务的审批状态，了解当前进展情况。</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3</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超期未处理提醒：如果某个审批流程超过预设的处理时限，系统可以发出提醒，通知相关人员进行处理。</w:t>
      </w:r>
    </w:p>
    <w:p>
      <w:pPr>
        <w:pStyle w:val="6"/>
        <w:tabs>
          <w:tab w:val="left" w:pos="1134"/>
        </w:tabs>
        <w:rPr>
          <w:color w:val="000000" w:themeColor="text1"/>
          <w14:textFill>
            <w14:solidFill>
              <w14:schemeClr w14:val="tx1"/>
            </w14:solidFill>
          </w14:textFill>
        </w:rPr>
      </w:pPr>
      <w:r>
        <w:rPr>
          <w:color w:val="000000" w:themeColor="text1"/>
          <w14:textFill>
            <w14:solidFill>
              <w14:schemeClr w14:val="tx1"/>
            </w14:solidFill>
          </w14:textFill>
        </w:rPr>
        <w:t>财务</w:t>
      </w:r>
      <w:r>
        <w:rPr>
          <w:rFonts w:hint="eastAsia"/>
          <w:color w:val="000000" w:themeColor="text1"/>
          <w14:textFill>
            <w14:solidFill>
              <w14:schemeClr w14:val="tx1"/>
            </w14:solidFill>
          </w14:textFill>
        </w:rPr>
        <w:t>监管与规则预警</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ascii="仿宋_GB2312" w:hAnsi="仿宋" w:cs="仿宋"/>
          <w:color w:val="000000" w:themeColor="text1"/>
          <w:shd w:val="clear" w:color="auto" w:fill="FFFFFF"/>
          <w14:textFill>
            <w14:solidFill>
              <w14:schemeClr w14:val="tx1"/>
            </w14:solidFill>
          </w14:textFill>
        </w:rPr>
        <w:t>系统具备监管财务核算准确性功能</w:t>
      </w:r>
      <w:r>
        <w:rPr>
          <w:rFonts w:hint="eastAsia" w:ascii="仿宋_GB2312" w:hAnsi="仿宋" w:cs="仿宋"/>
          <w:color w:val="000000" w:themeColor="text1"/>
          <w:shd w:val="clear" w:color="auto" w:fill="FFFFFF"/>
          <w14:textFill>
            <w14:solidFill>
              <w14:schemeClr w14:val="tx1"/>
            </w14:solidFill>
          </w14:textFill>
        </w:rPr>
        <w:t>，</w:t>
      </w:r>
      <w:r>
        <w:rPr>
          <w:rFonts w:ascii="仿宋_GB2312" w:hAnsi="仿宋" w:cs="仿宋"/>
          <w:color w:val="000000" w:themeColor="text1"/>
          <w:shd w:val="clear" w:color="auto" w:fill="FFFFFF"/>
          <w14:textFill>
            <w14:solidFill>
              <w14:schemeClr w14:val="tx1"/>
            </w14:solidFill>
          </w14:textFill>
        </w:rPr>
        <w:t>通过与</w:t>
      </w:r>
      <w:r>
        <w:rPr>
          <w:rFonts w:hint="eastAsia" w:ascii="仿宋_GB2312" w:hAnsi="仿宋" w:cs="仿宋"/>
          <w:color w:val="000000" w:themeColor="text1"/>
          <w:shd w:val="clear" w:color="auto" w:fill="FFFFFF"/>
          <w14:textFill>
            <w14:solidFill>
              <w14:schemeClr w14:val="tx1"/>
            </w14:solidFill>
          </w14:textFill>
        </w:rPr>
        <w:t>数字财政</w:t>
      </w:r>
      <w:r>
        <w:rPr>
          <w:rFonts w:ascii="仿宋_GB2312" w:hAnsi="仿宋" w:cs="仿宋"/>
          <w:color w:val="000000" w:themeColor="text1"/>
          <w:shd w:val="clear" w:color="auto" w:fill="FFFFFF"/>
          <w14:textFill>
            <w14:solidFill>
              <w14:schemeClr w14:val="tx1"/>
            </w14:solidFill>
          </w14:textFill>
        </w:rPr>
        <w:t>数据交互，系统可以实时监控财务核算的准确性，并根据预设的指标和标准提供预警</w:t>
      </w:r>
      <w:r>
        <w:rPr>
          <w:rFonts w:hint="eastAsia" w:ascii="仿宋_GB2312" w:hAnsi="仿宋" w:cs="仿宋"/>
          <w:color w:val="000000" w:themeColor="text1"/>
          <w:shd w:val="clear" w:color="auto" w:fill="FFFFFF"/>
          <w14:textFill>
            <w14:solidFill>
              <w14:schemeClr w14:val="tx1"/>
            </w14:solidFill>
          </w14:textFill>
        </w:rPr>
        <w:t>，确保数据的及时性和准确率</w:t>
      </w:r>
      <w:r>
        <w:rPr>
          <w:rFonts w:ascii="仿宋_GB2312" w:hAnsi="仿宋" w:cs="仿宋"/>
          <w:color w:val="000000" w:themeColor="text1"/>
          <w:shd w:val="clear" w:color="auto" w:fill="FFFFFF"/>
          <w14:textFill>
            <w14:solidFill>
              <w14:schemeClr w14:val="tx1"/>
            </w14:solidFill>
          </w14:textFill>
        </w:rPr>
        <w:t>。</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1</w:t>
      </w:r>
      <w:r>
        <w:rPr>
          <w:rFonts w:ascii="仿宋_GB2312" w:hAnsi="仿宋" w:cs="仿宋"/>
          <w:color w:val="000000" w:themeColor="text1"/>
          <w:shd w:val="clear" w:color="auto" w:fill="FFFFFF"/>
          <w14:textFill>
            <w14:solidFill>
              <w14:schemeClr w14:val="tx1"/>
            </w14:solidFill>
          </w14:textFill>
        </w:rPr>
        <w:t>.监管财务核算准确性：系统通过与数字财政国库的挂接，实时获取财务数据，并进行监管财务核算。确保财务数据的准确性，避免错误和漏报的情况发生。</w:t>
      </w:r>
    </w:p>
    <w:p>
      <w:pPr>
        <w:ind w:left="110" w:leftChars="50" w:firstLine="391" w:firstLineChars="178"/>
        <w:rPr>
          <w:rFonts w:ascii="Segoe UI" w:hAnsi="Segoe UI" w:cs="Segoe UI"/>
          <w:color w:val="000000" w:themeColor="text1"/>
          <w:sz w:val="21"/>
          <w:szCs w:val="21"/>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2</w:t>
      </w:r>
      <w:r>
        <w:rPr>
          <w:rFonts w:ascii="仿宋_GB2312" w:hAnsi="仿宋" w:cs="仿宋"/>
          <w:color w:val="000000" w:themeColor="text1"/>
          <w:shd w:val="clear" w:color="auto" w:fill="FFFFFF"/>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数据规则</w:t>
      </w:r>
      <w:r>
        <w:rPr>
          <w:rFonts w:ascii="仿宋_GB2312" w:hAnsi="仿宋" w:cs="仿宋"/>
          <w:color w:val="000000" w:themeColor="text1"/>
          <w:shd w:val="clear" w:color="auto" w:fill="FFFFFF"/>
          <w14:textFill>
            <w14:solidFill>
              <w14:schemeClr w14:val="tx1"/>
            </w14:solidFill>
          </w14:textFill>
        </w:rPr>
        <w:t>预警：系统</w:t>
      </w:r>
      <w:r>
        <w:rPr>
          <w:rFonts w:hint="eastAsia" w:ascii="仿宋_GB2312" w:hAnsi="仿宋" w:cs="仿宋"/>
          <w:color w:val="000000" w:themeColor="text1"/>
          <w:shd w:val="clear" w:color="auto" w:fill="FFFFFF"/>
          <w14:textFill>
            <w14:solidFill>
              <w14:schemeClr w14:val="tx1"/>
            </w14:solidFill>
          </w14:textFill>
        </w:rPr>
        <w:t>会根据各模块设定一些使用指标和标准规则</w:t>
      </w:r>
      <w:r>
        <w:rPr>
          <w:rFonts w:ascii="仿宋_GB2312" w:hAnsi="仿宋" w:cs="仿宋"/>
          <w:color w:val="000000" w:themeColor="text1"/>
          <w:shd w:val="clear" w:color="auto" w:fill="FFFFFF"/>
          <w14:textFill>
            <w14:solidFill>
              <w14:schemeClr w14:val="tx1"/>
            </w14:solidFill>
          </w14:textFill>
        </w:rPr>
        <w:t>。当出现异常时，系统会发出相应的预警信息，</w:t>
      </w:r>
      <w:r>
        <w:rPr>
          <w:rFonts w:hint="eastAsia" w:ascii="仿宋_GB2312" w:hAnsi="仿宋" w:cs="仿宋"/>
          <w:color w:val="000000" w:themeColor="text1"/>
          <w:shd w:val="clear" w:color="auto" w:fill="FFFFFF"/>
          <w14:textFill>
            <w14:solidFill>
              <w14:schemeClr w14:val="tx1"/>
            </w14:solidFill>
          </w14:textFill>
        </w:rPr>
        <w:t>通知相关人员</w:t>
      </w:r>
      <w:r>
        <w:rPr>
          <w:rFonts w:ascii="仿宋_GB2312" w:hAnsi="仿宋" w:cs="仿宋"/>
          <w:color w:val="000000" w:themeColor="text1"/>
          <w:shd w:val="clear" w:color="auto" w:fill="FFFFFF"/>
          <w14:textFill>
            <w14:solidFill>
              <w14:schemeClr w14:val="tx1"/>
            </w14:solidFill>
          </w14:textFill>
        </w:rPr>
        <w:t>及时处理和调整</w:t>
      </w:r>
      <w:r>
        <w:rPr>
          <w:rFonts w:ascii="Segoe UI" w:hAnsi="Segoe UI" w:cs="Segoe UI"/>
          <w:color w:val="000000" w:themeColor="text1"/>
          <w:sz w:val="21"/>
          <w:szCs w:val="21"/>
          <w14:textFill>
            <w14:solidFill>
              <w14:schemeClr w14:val="tx1"/>
            </w14:solidFill>
          </w14:textFill>
        </w:rPr>
        <w:t>。</w:t>
      </w:r>
    </w:p>
    <w:p>
      <w:pPr>
        <w:pStyle w:val="4"/>
        <w:spacing w:before="120" w:after="120"/>
        <w:ind w:left="440"/>
        <w:rPr>
          <w:color w:val="000000" w:themeColor="text1"/>
          <w14:textFill>
            <w14:solidFill>
              <w14:schemeClr w14:val="tx1"/>
            </w14:solidFill>
          </w14:textFill>
        </w:rPr>
      </w:pPr>
      <w:bookmarkStart w:id="210" w:name="_Toc16791"/>
      <w:bookmarkStart w:id="211" w:name="_Toc30242"/>
      <w:bookmarkStart w:id="212" w:name="_Toc382"/>
      <w:bookmarkStart w:id="213" w:name="_Toc30116"/>
      <w:bookmarkStart w:id="214" w:name="_Toc16230"/>
      <w:bookmarkStart w:id="215" w:name="_Toc16726"/>
      <w:bookmarkStart w:id="216" w:name="_Toc14436"/>
      <w:bookmarkStart w:id="217" w:name="_Toc12228"/>
      <w:bookmarkStart w:id="218" w:name="_Toc3368"/>
      <w:bookmarkStart w:id="219" w:name="_Toc19990"/>
      <w:bookmarkStart w:id="220" w:name="_Toc4696"/>
      <w:bookmarkStart w:id="221" w:name="_Toc18305"/>
      <w:bookmarkStart w:id="222" w:name="_Toc31464"/>
      <w:bookmarkStart w:id="223" w:name="_Toc28308"/>
      <w:bookmarkStart w:id="224" w:name="_Toc24994"/>
      <w:bookmarkStart w:id="225" w:name="_Toc26199"/>
      <w:bookmarkStart w:id="226" w:name="_Toc9035"/>
      <w:r>
        <w:rPr>
          <w:rFonts w:hint="eastAsia"/>
          <w:color w:val="000000" w:themeColor="text1"/>
          <w14:textFill>
            <w14:solidFill>
              <w14:schemeClr w14:val="tx1"/>
            </w14:solidFill>
          </w14:textFill>
        </w:rPr>
        <w:t>多维度统计报表</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“三公”、“六公”经费专项统计分析</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为了支持用户在特定领域进行数据统计分析视图，系统可提供“三公”经费、“六公”</w:t>
      </w:r>
      <w:r>
        <w:rPr>
          <w:rFonts w:hint="eastAsia" w:ascii="仿宋_GB2312" w:hAnsi="仿宋" w:cs="仿宋"/>
          <w:color w:val="000000" w:themeColor="text1"/>
          <w:shd w:val="clear" w:color="auto" w:fill="FFFFFF"/>
          <w14:textFill>
            <w14:solidFill>
              <w14:schemeClr w14:val="tx1"/>
            </w14:solidFill>
          </w14:textFill>
        </w:rPr>
        <w:t>经费、行政经费等重点资金的自定义的专项统计。用户可以根据需要</w:t>
      </w:r>
      <w:r>
        <w:rPr>
          <w:rFonts w:ascii="仿宋_GB2312" w:hAnsi="仿宋" w:cs="仿宋"/>
          <w:color w:val="000000" w:themeColor="text1"/>
          <w:shd w:val="clear" w:color="auto" w:fill="FFFFFF"/>
          <w14:textFill>
            <w14:solidFill>
              <w14:schemeClr w14:val="tx1"/>
            </w14:solidFill>
          </w14:textFill>
        </w:rPr>
        <w:t>选择特定的资金类别进行统计分析</w:t>
      </w:r>
      <w:r>
        <w:rPr>
          <w:rFonts w:hint="eastAsia" w:ascii="仿宋_GB2312" w:hAnsi="仿宋" w:cs="仿宋"/>
          <w:color w:val="000000" w:themeColor="text1"/>
          <w:shd w:val="clear" w:color="auto" w:fill="FFFFFF"/>
          <w14:textFill>
            <w14:solidFill>
              <w14:schemeClr w14:val="tx1"/>
            </w14:solidFill>
          </w14:textFill>
        </w:rPr>
        <w:t>，</w:t>
      </w:r>
      <w:r>
        <w:rPr>
          <w:rFonts w:ascii="仿宋_GB2312" w:hAnsi="仿宋" w:cs="仿宋"/>
          <w:color w:val="000000" w:themeColor="text1"/>
          <w:shd w:val="clear" w:color="auto" w:fill="FFFFFF"/>
          <w14:textFill>
            <w14:solidFill>
              <w14:schemeClr w14:val="tx1"/>
            </w14:solidFill>
          </w14:textFill>
        </w:rPr>
        <w:t>以了解其使用情况和相关指标</w:t>
      </w:r>
      <w:r>
        <w:rPr>
          <w:rFonts w:hint="eastAsia" w:ascii="仿宋_GB2312" w:hAnsi="仿宋" w:cs="仿宋"/>
          <w:color w:val="000000" w:themeColor="text1"/>
          <w:shd w:val="clear" w:color="auto" w:fill="FFFFFF"/>
          <w14:textFill>
            <w14:solidFill>
              <w14:schemeClr w14:val="tx1"/>
            </w14:solidFill>
          </w14:textFill>
        </w:rPr>
        <w:t>。在统计结果中，用户可以查看所筛选的详细数据信息，包括各项支出的具体用途、时间、金额等信息。</w:t>
      </w:r>
      <w:r>
        <w:rPr>
          <w:rFonts w:ascii="仿宋_GB2312" w:hAnsi="仿宋" w:cs="仿宋"/>
          <w:color w:val="000000" w:themeColor="text1"/>
          <w:shd w:val="clear" w:color="auto" w:fill="FFFFFF"/>
          <w14:textFill>
            <w14:solidFill>
              <w14:schemeClr w14:val="tx1"/>
            </w14:solidFill>
          </w14:textFill>
        </w:rPr>
        <w:t>通过专项统计功能，用户可以更加精确地监控和管理重点资金的支出情况。</w:t>
      </w:r>
    </w:p>
    <w:p>
      <w:pPr>
        <w:pStyle w:val="6"/>
        <w:tabs>
          <w:tab w:val="left" w:pos="1134"/>
        </w:tabs>
        <w:rPr>
          <w:color w:val="000000" w:themeColor="text1"/>
          <w14:textFill>
            <w14:solidFill>
              <w14:schemeClr w14:val="tx1"/>
            </w14:solidFill>
          </w14:textFill>
        </w:rPr>
      </w:pPr>
      <w:r>
        <w:rPr>
          <w:color w:val="000000" w:themeColor="text1"/>
          <w14:textFill>
            <w14:solidFill>
              <w14:schemeClr w14:val="tx1"/>
            </w14:solidFill>
          </w14:textFill>
        </w:rPr>
        <w:t>部门、单位、单位内设机构的</w:t>
      </w:r>
      <w:r>
        <w:rPr>
          <w:rFonts w:hint="eastAsia"/>
          <w:color w:val="000000" w:themeColor="text1"/>
          <w14:textFill>
            <w14:solidFill>
              <w14:schemeClr w14:val="tx1"/>
            </w14:solidFill>
          </w14:textFill>
        </w:rPr>
        <w:t>财务分析</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为了方便统计分析，系统可提供自动生成部门、单位、单位内设机构</w:t>
      </w:r>
      <w:r>
        <w:rPr>
          <w:rFonts w:hint="eastAsia" w:ascii="仿宋_GB2312" w:hAnsi="仿宋" w:cs="仿宋"/>
          <w:color w:val="000000" w:themeColor="text1"/>
          <w:shd w:val="clear" w:color="auto" w:fill="FFFFFF"/>
          <w14:textFill>
            <w14:solidFill>
              <w14:schemeClr w14:val="tx1"/>
            </w14:solidFill>
          </w14:textFill>
        </w:rPr>
        <w:t>的套表及财务</w:t>
      </w:r>
      <w:r>
        <w:rPr>
          <w:rFonts w:hint="eastAsia" w:ascii="仿宋_GB2312" w:hAnsi="仿宋" w:cs="仿宋"/>
          <w:color w:val="000000" w:themeColor="text1"/>
          <w:shd w:val="clear" w:color="auto" w:fill="FFFFFF"/>
          <w14:textFill>
            <w14:solidFill>
              <w14:schemeClr w14:val="tx1"/>
            </w14:solidFill>
          </w14:textFill>
        </w:rPr>
        <w:t>分析功能。</w:t>
      </w:r>
      <w:r>
        <w:rPr>
          <w:rFonts w:ascii="仿宋_GB2312" w:hAnsi="仿宋" w:cs="仿宋"/>
          <w:color w:val="000000" w:themeColor="text1"/>
          <w:shd w:val="clear" w:color="auto" w:fill="FFFFFF"/>
          <w14:textFill>
            <w14:solidFill>
              <w14:schemeClr w14:val="tx1"/>
            </w14:solidFill>
          </w14:textFill>
        </w:rPr>
        <w:t>用户可以选择所需的统计范围，例如按照部门</w:t>
      </w:r>
      <w:r>
        <w:rPr>
          <w:rFonts w:hint="eastAsia" w:ascii="仿宋_GB2312" w:hAnsi="仿宋" w:cs="仿宋"/>
          <w:color w:val="000000" w:themeColor="text1"/>
          <w:shd w:val="clear" w:color="auto" w:fill="FFFFFF"/>
          <w14:textFill>
            <w14:solidFill>
              <w14:schemeClr w14:val="tx1"/>
            </w14:solidFill>
          </w14:textFill>
        </w:rPr>
        <w:t>、单位</w:t>
      </w:r>
      <w:r>
        <w:rPr>
          <w:rFonts w:ascii="仿宋_GB2312" w:hAnsi="仿宋" w:cs="仿宋"/>
          <w:color w:val="000000" w:themeColor="text1"/>
          <w:shd w:val="clear" w:color="auto" w:fill="FFFFFF"/>
          <w14:textFill>
            <w14:solidFill>
              <w14:schemeClr w14:val="tx1"/>
            </w14:solidFill>
          </w14:textFill>
        </w:rPr>
        <w:t>或</w:t>
      </w:r>
      <w:r>
        <w:rPr>
          <w:rFonts w:hint="eastAsia" w:ascii="仿宋_GB2312" w:hAnsi="仿宋" w:cs="仿宋"/>
          <w:color w:val="000000" w:themeColor="text1"/>
          <w:shd w:val="clear" w:color="auto" w:fill="FFFFFF"/>
          <w14:textFill>
            <w14:solidFill>
              <w14:schemeClr w14:val="tx1"/>
            </w14:solidFill>
          </w14:textFill>
        </w:rPr>
        <w:t>内设机构</w:t>
      </w:r>
      <w:r>
        <w:rPr>
          <w:rFonts w:ascii="仿宋_GB2312" w:hAnsi="仿宋" w:cs="仿宋"/>
          <w:color w:val="000000" w:themeColor="text1"/>
          <w:shd w:val="clear" w:color="auto" w:fill="FFFFFF"/>
          <w14:textFill>
            <w14:solidFill>
              <w14:schemeClr w14:val="tx1"/>
            </w14:solidFill>
          </w14:textFill>
        </w:rPr>
        <w:t>进行统计，并生成相应的</w:t>
      </w:r>
      <w:r>
        <w:rPr>
          <w:rFonts w:hint="eastAsia" w:ascii="仿宋_GB2312" w:hAnsi="仿宋" w:cs="仿宋"/>
          <w:color w:val="000000" w:themeColor="text1"/>
          <w:shd w:val="clear" w:color="auto" w:fill="FFFFFF"/>
          <w14:textFill>
            <w14:solidFill>
              <w14:schemeClr w14:val="tx1"/>
            </w14:solidFill>
          </w14:textFill>
        </w:rPr>
        <w:t>数据分析视图，支持导出</w:t>
      </w:r>
      <w:r>
        <w:rPr>
          <w:rFonts w:ascii="仿宋_GB2312" w:hAnsi="仿宋" w:cs="仿宋"/>
          <w:color w:val="000000" w:themeColor="text1"/>
          <w:shd w:val="clear" w:color="auto" w:fill="FFFFFF"/>
          <w14:textFill>
            <w14:solidFill>
              <w14:schemeClr w14:val="tx1"/>
            </w14:solidFill>
          </w14:textFill>
        </w:rPr>
        <w:t xml:space="preserve"> Excel 或 PDF </w:t>
      </w:r>
      <w:r>
        <w:rPr>
          <w:rFonts w:hint="eastAsia" w:ascii="仿宋_GB2312" w:hAnsi="仿宋" w:cs="仿宋"/>
          <w:color w:val="000000" w:themeColor="text1"/>
          <w:shd w:val="clear" w:color="auto" w:fill="FFFFFF"/>
          <w14:textFill>
            <w14:solidFill>
              <w14:schemeClr w14:val="tx1"/>
            </w14:solidFill>
          </w14:textFill>
        </w:rPr>
        <w:t>格式</w:t>
      </w:r>
      <w:r>
        <w:rPr>
          <w:rFonts w:ascii="仿宋_GB2312" w:hAnsi="仿宋" w:cs="仿宋"/>
          <w:color w:val="000000" w:themeColor="text1"/>
          <w:shd w:val="clear" w:color="auto" w:fill="FFFFFF"/>
          <w14:textFill>
            <w14:solidFill>
              <w14:schemeClr w14:val="tx1"/>
            </w14:solidFill>
          </w14:textFill>
        </w:rPr>
        <w:t>。方便</w:t>
      </w:r>
      <w:r>
        <w:rPr>
          <w:rFonts w:hint="eastAsia" w:ascii="仿宋_GB2312" w:hAnsi="仿宋" w:cs="仿宋"/>
          <w:color w:val="000000" w:themeColor="text1"/>
          <w:shd w:val="clear" w:color="auto" w:fill="FFFFFF"/>
          <w14:textFill>
            <w14:solidFill>
              <w14:schemeClr w14:val="tx1"/>
            </w14:solidFill>
          </w14:textFill>
        </w:rPr>
        <w:t>用户</w:t>
      </w:r>
      <w:r>
        <w:rPr>
          <w:rFonts w:ascii="仿宋_GB2312" w:hAnsi="仿宋" w:cs="仿宋"/>
          <w:color w:val="000000" w:themeColor="text1"/>
          <w:shd w:val="clear" w:color="auto" w:fill="FFFFFF"/>
          <w14:textFill>
            <w14:solidFill>
              <w14:schemeClr w14:val="tx1"/>
            </w14:solidFill>
          </w14:textFill>
        </w:rPr>
        <w:t>查看和比较不同部门</w:t>
      </w:r>
      <w:r>
        <w:rPr>
          <w:rFonts w:hint="eastAsia" w:ascii="仿宋_GB2312" w:hAnsi="仿宋" w:cs="仿宋"/>
          <w:color w:val="000000" w:themeColor="text1"/>
          <w:shd w:val="clear" w:color="auto" w:fill="FFFFFF"/>
          <w14:textFill>
            <w14:solidFill>
              <w14:schemeClr w14:val="tx1"/>
            </w14:solidFill>
          </w14:textFill>
        </w:rPr>
        <w:t>、单位</w:t>
      </w:r>
      <w:r>
        <w:rPr>
          <w:rFonts w:ascii="仿宋_GB2312" w:hAnsi="仿宋" w:cs="仿宋"/>
          <w:color w:val="000000" w:themeColor="text1"/>
          <w:shd w:val="clear" w:color="auto" w:fill="FFFFFF"/>
          <w14:textFill>
            <w14:solidFill>
              <w14:schemeClr w14:val="tx1"/>
            </w14:solidFill>
          </w14:textFill>
        </w:rPr>
        <w:t>或</w:t>
      </w:r>
      <w:r>
        <w:rPr>
          <w:rFonts w:hint="eastAsia" w:ascii="仿宋_GB2312" w:hAnsi="仿宋" w:cs="仿宋"/>
          <w:color w:val="000000" w:themeColor="text1"/>
          <w:shd w:val="clear" w:color="auto" w:fill="FFFFFF"/>
          <w14:textFill>
            <w14:solidFill>
              <w14:schemeClr w14:val="tx1"/>
            </w14:solidFill>
          </w14:textFill>
        </w:rPr>
        <w:t>内设机构</w:t>
      </w:r>
      <w:r>
        <w:rPr>
          <w:rFonts w:ascii="仿宋_GB2312" w:hAnsi="仿宋" w:cs="仿宋"/>
          <w:color w:val="000000" w:themeColor="text1"/>
          <w:shd w:val="clear" w:color="auto" w:fill="FFFFFF"/>
          <w14:textFill>
            <w14:solidFill>
              <w14:schemeClr w14:val="tx1"/>
            </w14:solidFill>
          </w14:textFill>
        </w:rPr>
        <w:t>的统计数据，有助于分析和评估各个组织</w:t>
      </w:r>
      <w:r>
        <w:rPr>
          <w:rFonts w:hint="eastAsia" w:ascii="仿宋_GB2312" w:hAnsi="仿宋" w:cs="仿宋"/>
          <w:color w:val="000000" w:themeColor="text1"/>
          <w:shd w:val="clear" w:color="auto" w:fill="FFFFFF"/>
          <w14:textFill>
            <w14:solidFill>
              <w14:schemeClr w14:val="tx1"/>
            </w14:solidFill>
          </w14:textFill>
        </w:rPr>
        <w:t>机构</w:t>
      </w:r>
      <w:r>
        <w:rPr>
          <w:rFonts w:ascii="仿宋_GB2312" w:hAnsi="仿宋" w:cs="仿宋"/>
          <w:color w:val="000000" w:themeColor="text1"/>
          <w:shd w:val="clear" w:color="auto" w:fill="FFFFFF"/>
          <w14:textFill>
            <w14:solidFill>
              <w14:schemeClr w14:val="tx1"/>
            </w14:solidFill>
          </w14:textFill>
        </w:rPr>
        <w:t>的财务状况。</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项目统计分析</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hint="eastAsia" w:ascii="仿宋_GB2312" w:hAnsi="仿宋" w:cs="仿宋"/>
          <w:color w:val="000000" w:themeColor="text1"/>
          <w:shd w:val="clear" w:color="auto" w:fill="FFFFFF"/>
          <w14:textFill>
            <w14:solidFill>
              <w14:schemeClr w14:val="tx1"/>
            </w14:solidFill>
          </w14:textFill>
        </w:rPr>
        <w:t>系统可以提供统计项目自定义组合的灵活统计分析视图功能，能够满足用户不同的需求。用户可以根据自己的需要，选择不同的项目进行组合统计分析，支持数据筛选、数据排序、数据分析的生成和查看等功能，</w:t>
      </w:r>
      <w:r>
        <w:rPr>
          <w:rFonts w:ascii="仿宋_GB2312" w:hAnsi="仿宋" w:cs="仿宋"/>
          <w:color w:val="000000" w:themeColor="text1"/>
          <w:shd w:val="clear" w:color="auto" w:fill="FFFFFF"/>
          <w14:textFill>
            <w14:solidFill>
              <w14:schemeClr w14:val="tx1"/>
            </w14:solidFill>
          </w14:textFill>
        </w:rPr>
        <w:t>满足不同用户对统计维度和指标的需求，实现更精准和有针对性的统计</w:t>
      </w:r>
      <w:r>
        <w:rPr>
          <w:rFonts w:hint="eastAsia" w:ascii="仿宋_GB2312" w:hAnsi="仿宋" w:cs="仿宋"/>
          <w:color w:val="000000" w:themeColor="text1"/>
          <w:shd w:val="clear" w:color="auto" w:fill="FFFFFF"/>
          <w14:textFill>
            <w14:solidFill>
              <w14:schemeClr w14:val="tx1"/>
            </w14:solidFill>
          </w14:textFill>
        </w:rPr>
        <w:t>分析</w:t>
      </w:r>
      <w:r>
        <w:rPr>
          <w:rFonts w:ascii="仿宋_GB2312" w:hAnsi="仿宋" w:cs="仿宋"/>
          <w:color w:val="000000" w:themeColor="text1"/>
          <w:shd w:val="clear" w:color="auto" w:fill="FFFFFF"/>
          <w14:textFill>
            <w14:solidFill>
              <w14:schemeClr w14:val="tx1"/>
            </w14:solidFill>
          </w14:textFill>
        </w:rPr>
        <w:t>结果</w:t>
      </w:r>
      <w:r>
        <w:rPr>
          <w:rFonts w:hint="eastAsia" w:ascii="仿宋_GB2312" w:hAnsi="仿宋" w:cs="仿宋"/>
          <w:color w:val="000000" w:themeColor="text1"/>
          <w:shd w:val="clear" w:color="auto" w:fill="FFFFFF"/>
          <w14:textFill>
            <w14:solidFill>
              <w14:schemeClr w14:val="tx1"/>
            </w14:solidFill>
          </w14:textFill>
        </w:rPr>
        <w:t>。</w:t>
      </w:r>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常用统计分析报表</w:t>
      </w:r>
    </w:p>
    <w:p>
      <w:pPr>
        <w:ind w:firstLine="48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系统可以提供固化部分常用统计分析报表，根据用户的统计分析报表需求设置模板自动生成分析报表。主要包含以下分析报表：</w:t>
      </w:r>
    </w:p>
    <w:p>
      <w:pPr>
        <w:ind w:firstLine="480"/>
        <w:rPr>
          <w:rFonts w:ascii="仿宋_GB2312" w:hAnsi="仿宋_GB2312" w:cs="仿宋_GB2312"/>
          <w:color w:val="000000" w:themeColor="text1"/>
          <w14:textFill>
            <w14:solidFill>
              <w14:schemeClr w14:val="tx1"/>
            </w14:solidFill>
          </w14:textFill>
        </w:rPr>
      </w:pPr>
      <w:r>
        <w:rPr>
          <w:rFonts w:ascii="仿宋_GB2312" w:hAnsi="仿宋_GB2312" w:cs="仿宋_GB2312"/>
          <w:color w:val="000000" w:themeColor="text1"/>
          <w14:textFill>
            <w14:solidFill>
              <w14:schemeClr w14:val="tx1"/>
            </w14:solidFill>
          </w14:textFill>
        </w:rPr>
        <w:t>1）</w:t>
      </w:r>
      <w:r>
        <w:rPr>
          <w:rFonts w:hint="eastAsia" w:ascii="仿宋_GB2312" w:hAnsi="仿宋" w:cs="仿宋"/>
          <w:color w:val="000000" w:themeColor="text1"/>
          <w:shd w:val="clear" w:color="auto" w:fill="FFFFFF"/>
          <w14:textFill>
            <w14:solidFill>
              <w14:schemeClr w14:val="tx1"/>
            </w14:solidFill>
          </w14:textFill>
        </w:rPr>
        <w:t>全量资金统计：系统可以对所有资金进行统计。</w:t>
      </w:r>
    </w:p>
    <w:p>
      <w:pPr>
        <w:ind w:firstLine="480"/>
        <w:rPr>
          <w:rFonts w:ascii="仿宋_GB2312" w:hAnsi="仿宋_GB2312" w:cs="仿宋_GB2312"/>
          <w:color w:val="000000" w:themeColor="text1"/>
          <w14:textFill>
            <w14:solidFill>
              <w14:schemeClr w14:val="tx1"/>
            </w14:solidFill>
          </w14:textFill>
        </w:rPr>
      </w:pPr>
      <w:r>
        <w:rPr>
          <w:rFonts w:ascii="仿宋_GB2312" w:hAnsi="仿宋_GB2312" w:cs="仿宋_GB2312"/>
          <w:color w:val="000000" w:themeColor="text1"/>
          <w14:textFill>
            <w14:solidFill>
              <w14:schemeClr w14:val="tx1"/>
            </w14:solidFill>
          </w14:textFill>
        </w:rPr>
        <w:t>2）</w:t>
      </w:r>
      <w:r>
        <w:rPr>
          <w:rFonts w:hint="eastAsia" w:ascii="仿宋_GB2312" w:hAnsi="仿宋" w:cs="仿宋"/>
          <w:color w:val="000000" w:themeColor="text1"/>
          <w:shd w:val="clear" w:color="auto" w:fill="FFFFFF"/>
          <w14:textFill>
            <w14:solidFill>
              <w14:schemeClr w14:val="tx1"/>
            </w14:solidFill>
          </w14:textFill>
        </w:rPr>
        <w:t>重点业务统计：系统可以对重点业务进行统计。</w:t>
      </w:r>
      <w:r>
        <w:rPr>
          <w:rFonts w:hint="eastAsia" w:ascii="仿宋_GB2312" w:hAnsi="仿宋_GB2312" w:cs="仿宋_GB2312"/>
          <w:color w:val="000000" w:themeColor="text1"/>
          <w14:textFill>
            <w14:solidFill>
              <w14:schemeClr w14:val="tx1"/>
            </w14:solidFill>
          </w14:textFill>
        </w:rPr>
        <w:t>支持</w:t>
      </w:r>
      <w:r>
        <w:rPr>
          <w:rFonts w:ascii="仿宋_GB2312" w:hAnsi="仿宋_GB2312" w:cs="仿宋_GB2312"/>
          <w:color w:val="000000" w:themeColor="text1"/>
          <w14:textFill>
            <w14:solidFill>
              <w14:schemeClr w14:val="tx1"/>
            </w14:solidFill>
          </w14:textFill>
        </w:rPr>
        <w:t>中央、省级资金使用情况表</w:t>
      </w:r>
      <w:r>
        <w:rPr>
          <w:rFonts w:hint="eastAsia" w:ascii="仿宋_GB2312" w:hAnsi="仿宋_GB2312" w:cs="仿宋_GB2312"/>
          <w:color w:val="000000" w:themeColor="text1"/>
          <w14:textFill>
            <w14:solidFill>
              <w14:schemeClr w14:val="tx1"/>
            </w14:solidFill>
          </w14:textFill>
        </w:rPr>
        <w:t>等，支持</w:t>
      </w:r>
      <w:r>
        <w:rPr>
          <w:rFonts w:ascii="仿宋_GB2312" w:hAnsi="仿宋_GB2312" w:cs="仿宋_GB2312"/>
          <w:color w:val="000000" w:themeColor="text1"/>
          <w14:textFill>
            <w14:solidFill>
              <w14:schemeClr w14:val="tx1"/>
            </w14:solidFill>
          </w14:textFill>
        </w:rPr>
        <w:t>对重点工作起督促的报表</w:t>
      </w:r>
      <w:r>
        <w:rPr>
          <w:rFonts w:hint="eastAsia" w:ascii="仿宋_GB2312" w:hAnsi="仿宋_GB2312" w:cs="仿宋_GB2312"/>
          <w:color w:val="000000" w:themeColor="text1"/>
          <w14:textFill>
            <w14:solidFill>
              <w14:schemeClr w14:val="tx1"/>
            </w14:solidFill>
          </w14:textFill>
        </w:rPr>
        <w:t>；</w:t>
      </w:r>
    </w:p>
    <w:p>
      <w:pPr>
        <w:ind w:firstLine="480"/>
        <w:rPr>
          <w:rFonts w:ascii="仿宋_GB2312" w:hAnsi="仿宋_GB2312" w:cs="仿宋_GB2312"/>
          <w:color w:val="000000" w:themeColor="text1"/>
          <w14:textFill>
            <w14:solidFill>
              <w14:schemeClr w14:val="tx1"/>
            </w14:solidFill>
          </w14:textFill>
        </w:rPr>
      </w:pPr>
      <w:r>
        <w:rPr>
          <w:rFonts w:ascii="仿宋_GB2312" w:hAnsi="仿宋_GB2312" w:cs="仿宋_GB2312"/>
          <w:color w:val="000000" w:themeColor="text1"/>
          <w14:textFill>
            <w14:solidFill>
              <w14:schemeClr w14:val="tx1"/>
            </w14:solidFill>
          </w14:textFill>
        </w:rPr>
        <w:t>3）支持一般工作的报表，例项目支出、基本支出等</w:t>
      </w:r>
      <w:r>
        <w:rPr>
          <w:rFonts w:hint="eastAsia" w:ascii="仿宋_GB2312" w:hAnsi="仿宋_GB2312" w:cs="仿宋_GB2312"/>
          <w:color w:val="000000" w:themeColor="text1"/>
          <w14:textFill>
            <w14:solidFill>
              <w14:schemeClr w14:val="tx1"/>
            </w14:solidFill>
          </w14:textFill>
        </w:rPr>
        <w:t>。</w:t>
      </w:r>
    </w:p>
    <w:p>
      <w:pPr>
        <w:ind w:firstLine="48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4）支持领导查询，可提供服务局内领导的一些图表查询等。</w:t>
      </w:r>
    </w:p>
    <w:p>
      <w:pPr>
        <w:pStyle w:val="4"/>
        <w:spacing w:before="120" w:after="120"/>
        <w:ind w:left="440"/>
        <w:rPr>
          <w:color w:val="000000" w:themeColor="text1"/>
          <w14:textFill>
            <w14:solidFill>
              <w14:schemeClr w14:val="tx1"/>
            </w14:solidFill>
          </w14:textFill>
        </w:rPr>
      </w:pPr>
      <w:bookmarkStart w:id="227" w:name="_Toc14760"/>
      <w:bookmarkStart w:id="228" w:name="_Toc28618"/>
      <w:bookmarkStart w:id="229" w:name="_Toc4893"/>
      <w:bookmarkStart w:id="230" w:name="_Toc20976"/>
      <w:bookmarkStart w:id="231" w:name="_Toc17089"/>
      <w:bookmarkStart w:id="232" w:name="_Toc20084"/>
      <w:bookmarkStart w:id="233" w:name="_Toc5324"/>
      <w:r>
        <w:rPr>
          <w:rFonts w:hint="eastAsia"/>
          <w:color w:val="000000" w:themeColor="text1"/>
          <w14:textFill>
            <w14:solidFill>
              <w14:schemeClr w14:val="tx1"/>
            </w14:solidFill>
          </w14:textFill>
        </w:rPr>
        <w:t>系统</w:t>
      </w:r>
      <w:r>
        <w:rPr>
          <w:rFonts w:hint="eastAsia"/>
          <w:color w:val="000000" w:themeColor="text1"/>
          <w:lang w:val="en-US"/>
          <w14:textFill>
            <w14:solidFill>
              <w14:schemeClr w14:val="tx1"/>
            </w14:solidFill>
          </w14:textFill>
        </w:rPr>
        <w:t>交互</w:t>
      </w:r>
      <w:bookmarkEnd w:id="227"/>
      <w:bookmarkEnd w:id="228"/>
      <w:bookmarkEnd w:id="229"/>
      <w:bookmarkEnd w:id="230"/>
      <w:bookmarkEnd w:id="231"/>
      <w:bookmarkEnd w:id="232"/>
      <w:bookmarkEnd w:id="233"/>
    </w:p>
    <w:p>
      <w:pPr>
        <w:pStyle w:val="6"/>
        <w:tabs>
          <w:tab w:val="left" w:pos="1134"/>
        </w:tabs>
        <w:rPr>
          <w:color w:val="000000" w:themeColor="text1"/>
          <w14:textFill>
            <w14:solidFill>
              <w14:schemeClr w14:val="tx1"/>
            </w14:solidFill>
          </w14:textFill>
        </w:rPr>
      </w:pP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“数字财政”</w:t>
      </w:r>
      <w:r>
        <w:rPr>
          <w:rFonts w:hint="eastAsia"/>
          <w:color w:val="000000" w:themeColor="text1"/>
          <w14:textFill>
            <w14:solidFill>
              <w14:schemeClr w14:val="tx1"/>
            </w14:solidFill>
          </w14:textFill>
        </w:rPr>
        <w:t>数据交互</w:t>
      </w:r>
    </w:p>
    <w:p>
      <w:pPr>
        <w:ind w:left="110" w:leftChars="50" w:firstLine="370" w:firstLineChars="178"/>
        <w:rPr>
          <w:color w:val="000000" w:themeColor="text1"/>
          <w14:textFill>
            <w14:solidFill>
              <w14:schemeClr w14:val="tx1"/>
            </w14:solidFill>
          </w14:textFill>
        </w:rPr>
      </w:pPr>
      <w:r>
        <w:rPr>
          <w:color w:val="000000" w:themeColor="text1"/>
          <w:spacing w:val="9"/>
          <w:sz w:val="19"/>
          <w14:textFill>
            <w14:solidFill>
              <w14:schemeClr w14:val="tx1"/>
            </w14:solidFill>
          </w14:textFill>
        </w:rPr>
        <w:t>★</w:t>
      </w:r>
      <w:r>
        <w:rPr>
          <w:rFonts w:hint="eastAsia" w:ascii="仿宋_GB2312" w:hAnsi="仿宋" w:cs="仿宋"/>
          <w:color w:val="000000" w:themeColor="text1"/>
          <w:shd w:val="clear" w:color="auto" w:fill="FFFFFF"/>
          <w14:textFill>
            <w14:solidFill>
              <w14:schemeClr w14:val="tx1"/>
            </w14:solidFill>
          </w14:textFill>
        </w:rPr>
        <w:t>通过</w:t>
      </w:r>
      <w:r>
        <w:rPr>
          <w:rFonts w:ascii="仿宋_GB2312" w:hAnsi="仿宋" w:cs="仿宋"/>
          <w:color w:val="000000" w:themeColor="text1"/>
          <w:shd w:val="clear" w:color="auto" w:fill="FFFFFF"/>
          <w14:textFill>
            <w14:solidFill>
              <w14:schemeClr w14:val="tx1"/>
            </w14:solidFill>
          </w14:textFill>
        </w:rPr>
        <w:t>与省财政“数字财政”</w:t>
      </w:r>
      <w:r>
        <w:rPr>
          <w:rFonts w:hint="eastAsia" w:ascii="仿宋_GB2312" w:hAnsi="仿宋" w:cs="仿宋"/>
          <w:color w:val="000000" w:themeColor="text1"/>
          <w:shd w:val="clear" w:color="auto" w:fill="FFFFFF"/>
          <w14:textFill>
            <w14:solidFill>
              <w14:schemeClr w14:val="tx1"/>
            </w14:solidFill>
          </w14:textFill>
        </w:rPr>
        <w:t>各子域、各子模块系统</w:t>
      </w:r>
      <w:r>
        <w:rPr>
          <w:rFonts w:hint="eastAsia" w:ascii="仿宋_GB2312" w:hAnsi="仿宋" w:cs="仿宋"/>
          <w:color w:val="000000" w:themeColor="text1"/>
          <w:shd w:val="clear" w:color="auto" w:fill="FFFFFF"/>
          <w14:textFill>
            <w14:solidFill>
              <w14:schemeClr w14:val="tx1"/>
            </w14:solidFill>
          </w14:textFill>
        </w:rPr>
        <w:t>进行数据</w:t>
      </w:r>
      <w:r>
        <w:rPr>
          <w:rFonts w:ascii="仿宋_GB2312" w:hAnsi="仿宋" w:cs="仿宋"/>
          <w:color w:val="000000" w:themeColor="text1"/>
          <w:shd w:val="clear" w:color="auto" w:fill="FFFFFF"/>
          <w14:textFill>
            <w14:solidFill>
              <w14:schemeClr w14:val="tx1"/>
            </w14:solidFill>
          </w14:textFill>
        </w:rPr>
        <w:t>交互</w:t>
      </w:r>
      <w:r>
        <w:rPr>
          <w:rFonts w:hint="eastAsia" w:ascii="仿宋_GB2312" w:hAnsi="仿宋" w:cs="仿宋"/>
          <w:color w:val="000000" w:themeColor="text1"/>
          <w:shd w:val="clear" w:color="auto" w:fill="FFFFFF"/>
          <w14:textFill>
            <w14:solidFill>
              <w14:schemeClr w14:val="tx1"/>
            </w14:solidFill>
          </w14:textFill>
        </w:rPr>
        <w:t>，</w:t>
      </w:r>
      <w:r>
        <w:rPr>
          <w:rFonts w:ascii="仿宋_GB2312" w:hAnsi="仿宋" w:cs="仿宋"/>
          <w:color w:val="000000" w:themeColor="text1"/>
          <w:shd w:val="clear" w:color="auto" w:fill="FFFFFF"/>
          <w14:textFill>
            <w14:solidFill>
              <w14:schemeClr w14:val="tx1"/>
            </w14:solidFill>
          </w14:textFill>
        </w:rPr>
        <w:t>确保基础数据的可靠性。</w:t>
      </w:r>
      <w:r>
        <w:rPr>
          <w:rFonts w:hint="eastAsia" w:ascii="仿宋_GB2312" w:hAnsi="仿宋" w:cs="仿宋"/>
          <w:color w:val="000000" w:themeColor="text1"/>
          <w:shd w:val="clear" w:color="auto" w:fill="FFFFFF"/>
          <w14:textFill>
            <w14:solidFill>
              <w14:schemeClr w14:val="tx1"/>
            </w14:solidFill>
          </w14:textFill>
        </w:rPr>
        <w:t>包括以下功能：</w:t>
      </w:r>
      <w:r>
        <w:rPr>
          <w:rFonts w:hint="eastAsia"/>
          <w:color w:val="000000" w:themeColor="text1"/>
          <w14:textFill>
            <w14:solidFill>
              <w14:schemeClr w14:val="tx1"/>
            </w14:solidFill>
          </w14:textFill>
        </w:rPr>
        <w:t>（1）与数字财政执行域数据交互</w:t>
      </w:r>
      <w:r>
        <w:rPr>
          <w:rFonts w:hint="eastAsia" w:ascii="仿宋_GB2312" w:hAnsi="仿宋" w:cs="仿宋"/>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回流执行域单位指标；数字财政的用款计划信息；生成授权支付凭证、直接支付凭证以及实拨支付凭证；实现支付令生成；回流数字财政的支付凭证回单到本地；提供国库支付失败后的处理功能。（</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）与数字财政预算域数据交互</w:t>
      </w:r>
      <w:r>
        <w:rPr>
          <w:rFonts w:hint="eastAsia" w:ascii="仿宋_GB2312" w:hAnsi="仿宋" w:cs="仿宋"/>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回流预算域预算编审、预算指标数据。（</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）与数字财政核算域数据交互</w:t>
      </w:r>
      <w:r>
        <w:rPr>
          <w:rFonts w:hint="eastAsia" w:ascii="仿宋_GB2312" w:hAnsi="仿宋" w:cs="仿宋"/>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回流数字财政系统的凭证数据；可对回流的凭证数据进行核算校验。（</w:t>
      </w:r>
      <w:r>
        <w:rPr>
          <w:rFonts w:hint="eastAsia"/>
          <w:color w:val="000000" w:themeColor="text1"/>
          <w:lang w:val="en-US"/>
          <w14:textFill>
            <w14:solidFill>
              <w14:schemeClr w14:val="tx1"/>
            </w14:solidFill>
          </w14:textFill>
        </w:rPr>
        <w:t>4</w:t>
      </w:r>
      <w:r>
        <w:rPr>
          <w:rFonts w:hint="eastAsia"/>
          <w:color w:val="000000" w:themeColor="text1"/>
          <w14:textFill>
            <w14:solidFill>
              <w14:schemeClr w14:val="tx1"/>
            </w14:solidFill>
          </w14:textFill>
        </w:rPr>
        <w:t>）与数字财政决算系统数据交互</w:t>
      </w:r>
      <w:r>
        <w:rPr>
          <w:rFonts w:hint="eastAsia" w:ascii="仿宋_GB2312" w:hAnsi="仿宋" w:cs="仿宋"/>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回流数字财政系统的年度决算数据；可对回流的数据进行核算校验。（</w:t>
      </w:r>
      <w:r>
        <w:rPr>
          <w:rFonts w:hint="eastAsia"/>
          <w:color w:val="000000" w:themeColor="text1"/>
          <w:lang w:val="en-US"/>
          <w14:textFill>
            <w14:solidFill>
              <w14:schemeClr w14:val="tx1"/>
            </w14:solidFill>
          </w14:textFill>
        </w:rPr>
        <w:t>5</w:t>
      </w:r>
      <w:r>
        <w:rPr>
          <w:rFonts w:hint="eastAsia"/>
          <w:color w:val="000000" w:themeColor="text1"/>
          <w14:textFill>
            <w14:solidFill>
              <w14:schemeClr w14:val="tx1"/>
            </w14:solidFill>
          </w14:textFill>
        </w:rPr>
        <w:t>）与数字财政资产系统数据交互</w:t>
      </w:r>
      <w:r>
        <w:rPr>
          <w:rFonts w:hint="eastAsia" w:ascii="仿宋_GB2312" w:hAnsi="仿宋" w:cs="仿宋"/>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回流数字财政系统的资产数据；可对回流的资产数据进行核算校验。（</w:t>
      </w:r>
      <w:r>
        <w:rPr>
          <w:rFonts w:hint="eastAsia"/>
          <w:color w:val="000000" w:themeColor="text1"/>
          <w:lang w:val="en-US"/>
          <w14:textFill>
            <w14:solidFill>
              <w14:schemeClr w14:val="tx1"/>
            </w14:solidFill>
          </w14:textFill>
        </w:rPr>
        <w:t>6</w:t>
      </w:r>
      <w:r>
        <w:rPr>
          <w:rFonts w:hint="eastAsia"/>
          <w:color w:val="000000" w:themeColor="text1"/>
          <w14:textFill>
            <w14:solidFill>
              <w14:schemeClr w14:val="tx1"/>
            </w14:solidFill>
          </w14:textFill>
        </w:rPr>
        <w:t>）与数字财政绩效模块数据交互</w:t>
      </w:r>
      <w:r>
        <w:rPr>
          <w:rFonts w:hint="eastAsia" w:ascii="仿宋_GB2312" w:hAnsi="仿宋" w:cs="仿宋"/>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回流数字财政系统的绩效模块数据；可对回流的绩效数据进行核算校验。</w:t>
      </w:r>
      <w:r>
        <w:rPr>
          <w:rFonts w:hint="eastAsia"/>
          <w:color w:val="000000" w:themeColor="text1"/>
          <w14:textFill>
            <w14:solidFill>
              <w14:schemeClr w14:val="tx1"/>
            </w14:solidFill>
          </w14:textFill>
        </w:rPr>
        <w:t>(投标时提供承诺</w:t>
      </w:r>
      <w:r>
        <w:rPr>
          <w:rFonts w:hint="eastAsia"/>
          <w:color w:val="000000" w:themeColor="text1"/>
          <w:lang w:val="en-US"/>
          <w14:textFill>
            <w14:solidFill>
              <w14:schemeClr w14:val="tx1"/>
            </w14:solidFill>
          </w14:textFill>
        </w:rPr>
        <w:t>函</w:t>
      </w:r>
      <w:r>
        <w:rPr>
          <w:rFonts w:hint="eastAsia"/>
          <w:color w:val="000000" w:themeColor="text1"/>
          <w14:textFill>
            <w14:solidFill>
              <w14:schemeClr w14:val="tx1"/>
            </w14:solidFill>
          </w14:textFill>
        </w:rPr>
        <w:t>，格式</w:t>
      </w:r>
      <w:r>
        <w:rPr>
          <w:rFonts w:hint="eastAsia"/>
          <w:color w:val="000000" w:themeColor="text1"/>
          <w:lang w:val="en-US"/>
          <w14:textFill>
            <w14:solidFill>
              <w14:schemeClr w14:val="tx1"/>
            </w14:solidFill>
          </w14:textFill>
        </w:rPr>
        <w:t>自拟</w:t>
      </w:r>
      <w:r>
        <w:rPr>
          <w:rFonts w:hint="eastAsia"/>
          <w:color w:val="000000" w:themeColor="text1"/>
          <w14:textFill>
            <w14:solidFill>
              <w14:schemeClr w14:val="tx1"/>
            </w14:solidFill>
          </w14:textFill>
        </w:rPr>
        <w:t>）。</w:t>
      </w:r>
    </w:p>
    <w:p>
      <w:pPr>
        <w:pStyle w:val="6"/>
        <w:tabs>
          <w:tab w:val="left" w:pos="1134"/>
        </w:tabs>
        <w:rPr>
          <w:color w:val="000000" w:themeColor="text1"/>
          <w14:textFill>
            <w14:solidFill>
              <w14:schemeClr w14:val="tx1"/>
            </w14:solidFill>
          </w14:textFill>
        </w:rPr>
      </w:pPr>
      <w:r>
        <w:rPr>
          <w:color w:val="000000" w:themeColor="text1"/>
          <w14:textFill>
            <w14:solidFill>
              <w14:schemeClr w14:val="tx1"/>
            </w14:solidFill>
          </w14:textFill>
        </w:rPr>
        <w:t>与</w:t>
      </w:r>
      <w:r>
        <w:rPr>
          <w:rFonts w:hint="eastAsia"/>
          <w:color w:val="000000" w:themeColor="text1"/>
          <w14:textFill>
            <w14:solidFill>
              <w14:schemeClr w14:val="tx1"/>
            </w14:solidFill>
          </w14:textFill>
        </w:rPr>
        <w:t>外部</w:t>
      </w:r>
      <w:r>
        <w:rPr>
          <w:color w:val="000000" w:themeColor="text1"/>
          <w14:textFill>
            <w14:solidFill>
              <w14:schemeClr w14:val="tx1"/>
            </w14:solidFill>
          </w14:textFill>
        </w:rPr>
        <w:t>财务系统对接</w:t>
      </w:r>
    </w:p>
    <w:p>
      <w:pPr>
        <w:ind w:left="110" w:leftChars="50" w:firstLine="391" w:firstLineChars="178"/>
        <w:rPr>
          <w:rFonts w:ascii="仿宋_GB2312" w:hAnsi="仿宋" w:cs="仿宋"/>
          <w:color w:val="000000" w:themeColor="text1"/>
          <w:shd w:val="clear" w:color="auto" w:fill="FFFFFF"/>
          <w14:textFill>
            <w14:solidFill>
              <w14:schemeClr w14:val="tx1"/>
            </w14:solidFill>
          </w14:textFill>
        </w:rPr>
      </w:pPr>
      <w:r>
        <w:rPr>
          <w:rFonts w:ascii="仿宋_GB2312" w:hAnsi="仿宋" w:cs="仿宋"/>
          <w:color w:val="000000" w:themeColor="text1"/>
          <w:shd w:val="clear" w:color="auto" w:fill="FFFFFF"/>
          <w14:textFill>
            <w14:solidFill>
              <w14:schemeClr w14:val="tx1"/>
            </w14:solidFill>
          </w14:textFill>
        </w:rPr>
        <w:t>预留安全可信的接口与相关财务系统</w:t>
      </w:r>
      <w:r>
        <w:rPr>
          <w:rFonts w:hint="eastAsia" w:ascii="仿宋_GB2312" w:hAnsi="仿宋" w:cs="仿宋"/>
          <w:color w:val="000000" w:themeColor="text1"/>
          <w:shd w:val="clear" w:color="auto" w:fill="FFFFFF"/>
          <w14:textFill>
            <w14:solidFill>
              <w14:schemeClr w14:val="tx1"/>
            </w14:solidFill>
          </w14:textFill>
        </w:rPr>
        <w:t>进行</w:t>
      </w:r>
      <w:r>
        <w:rPr>
          <w:rFonts w:ascii="仿宋_GB2312" w:hAnsi="仿宋" w:cs="仿宋"/>
          <w:color w:val="000000" w:themeColor="text1"/>
          <w:shd w:val="clear" w:color="auto" w:fill="FFFFFF"/>
          <w14:textFill>
            <w14:solidFill>
              <w14:schemeClr w14:val="tx1"/>
            </w14:solidFill>
          </w14:textFill>
        </w:rPr>
        <w:t>对接</w:t>
      </w:r>
      <w:r>
        <w:rPr>
          <w:rFonts w:hint="eastAsia" w:ascii="仿宋_GB2312" w:hAnsi="仿宋" w:cs="仿宋"/>
          <w:color w:val="000000" w:themeColor="text1"/>
          <w:shd w:val="clear" w:color="auto" w:fill="FFFFFF"/>
          <w14:textFill>
            <w14:solidFill>
              <w14:schemeClr w14:val="tx1"/>
            </w14:solidFill>
          </w14:textFill>
        </w:rPr>
        <w:t>，支持接入基层单位的报销、采购、收支管理的结果数据。</w:t>
      </w:r>
      <w:r>
        <w:rPr>
          <w:rFonts w:ascii="仿宋_GB2312" w:hAnsi="仿宋" w:cs="仿宋"/>
          <w:color w:val="000000" w:themeColor="text1"/>
          <w:shd w:val="clear" w:color="auto" w:fill="FFFFFF"/>
          <w14:textFill>
            <w14:solidFill>
              <w14:schemeClr w14:val="tx1"/>
            </w14:solidFill>
          </w14:textFill>
        </w:rPr>
        <w:t>实现不同财务系统之间的数据共享和</w:t>
      </w:r>
      <w:r>
        <w:rPr>
          <w:rFonts w:hint="eastAsia" w:ascii="仿宋_GB2312" w:hAnsi="仿宋" w:cs="仿宋"/>
          <w:color w:val="000000" w:themeColor="text1"/>
          <w:shd w:val="clear" w:color="auto" w:fill="FFFFFF"/>
          <w14:textFill>
            <w14:solidFill>
              <w14:schemeClr w14:val="tx1"/>
            </w14:solidFill>
          </w14:textFill>
        </w:rPr>
        <w:t>交换</w:t>
      </w:r>
      <w:r>
        <w:rPr>
          <w:rFonts w:ascii="仿宋_GB2312" w:hAnsi="仿宋" w:cs="仿宋"/>
          <w:color w:val="000000" w:themeColor="text1"/>
          <w:shd w:val="clear" w:color="auto" w:fill="FFFFFF"/>
          <w14:textFill>
            <w14:solidFill>
              <w14:schemeClr w14:val="tx1"/>
            </w14:solidFill>
          </w14:textFill>
        </w:rPr>
        <w:t>，减少重复操作和数据冗余。</w:t>
      </w:r>
    </w:p>
    <w:p>
      <w:pPr>
        <w:pStyle w:val="2"/>
        <w:rPr>
          <w:rFonts w:ascii="仿宋_GB2312" w:hAnsi="仿宋" w:cs="仿宋"/>
          <w:color w:val="000000" w:themeColor="text1"/>
          <w:shd w:val="clear" w:color="auto" w:fill="FFFFFF"/>
          <w14:textFill>
            <w14:solidFill>
              <w14:schemeClr w14:val="tx1"/>
            </w14:solidFill>
          </w14:textFill>
        </w:rPr>
      </w:pPr>
    </w:p>
    <w:p>
      <w:pPr>
        <w:ind w:firstLine="22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★投标人应协调旧资金综合管理系统的服务商，完成历史数据迁移工作。从项目开始到项目免费运维期结束，期间因政策变化产生的功能调整，</w:t>
      </w:r>
      <w:r>
        <w:rPr>
          <w:rFonts w:hint="eastAsia"/>
          <w:color w:val="000000" w:themeColor="text1"/>
          <w:lang w:val="en-US"/>
          <w14:textFill>
            <w14:solidFill>
              <w14:schemeClr w14:val="tx1"/>
            </w14:solidFill>
          </w14:textFill>
        </w:rPr>
        <w:t>投</w:t>
      </w:r>
      <w:r>
        <w:rPr>
          <w:rFonts w:hint="eastAsia"/>
          <w:color w:val="000000" w:themeColor="text1"/>
          <w14:textFill>
            <w14:solidFill>
              <w14:schemeClr w14:val="tx1"/>
            </w14:solidFill>
          </w14:textFill>
        </w:rPr>
        <w:t>标人须提供相应服务,采购人不再另行支付费用(投标时提供承诺，格式</w:t>
      </w:r>
      <w:r>
        <w:rPr>
          <w:rFonts w:hint="eastAsia"/>
          <w:color w:val="000000" w:themeColor="text1"/>
          <w:lang w:val="en-US"/>
          <w14:textFill>
            <w14:solidFill>
              <w14:schemeClr w14:val="tx1"/>
            </w14:solidFill>
          </w14:textFill>
        </w:rPr>
        <w:t>自拟</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七、系统非功能性要求</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1.用户群及用户数要求</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用户数支持1000人以上。</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2.业务并发要求及数据处理时间要求</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1）数据服务并发数支持指标100用户以上；</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2）简单事务处理(包含各类查询业务、主要页面平均响应时间等)≤3s；</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3）复杂事务处理≤10s。</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4）各类固定统计报表形成时间≤20s。</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3.稳定性要求</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1）系统有效工作时间≥99%；</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2）系统故障恢复时间不超过12小时；</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4.兼容性要求</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兼容国产和非国产电脑的主流浏览器，如支持360、奇安信、统信等。</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5.信息安全和等保要求</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中标人需做好完整、可行的信息系统安全管理，包括不局限于“物理安全、网络安全、主机安全检测、应用安全、数据安全、安全加固”等系统安全防范措施，确保业务系统中所有数据及文件的有效保护，未经许可的用户无法访问数据，使系统在安全状态下满足工作的需求。本系统安全等级为二级等保，需按二级安全等级保护要求进行改造建设。</w:t>
      </w:r>
    </w:p>
    <w:p>
      <w:pPr>
        <w:pStyle w:val="2"/>
        <w:rPr>
          <w:color w:val="000000" w:themeColor="text1"/>
          <w:lang w:val="en-US"/>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八、项目管理要求</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1.人员配置要求</w:t>
      </w:r>
    </w:p>
    <w:p>
      <w:pPr>
        <w:spacing w:line="365" w:lineRule="auto"/>
        <w:ind w:left="522" w:firstLine="400" w:firstLineChars="200"/>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为使工程按质、按量、按时及有序实施，投标人对本项目必须有一个完善的管理组织机构及项目负责人，投标人投标时应提交该组织机构的详细资料，具体包括职员姓名、职务、职称、主要资历、经验及承担过的项目。具体工作要有A/B角色安排，在项目实施方案中有所体现。项目人员类型必须包含1名全职项目经理（在本项目验收前不能负责或兼职其他项目的工作）、软件开发、数据库、软件测试、文档编写等。</w:t>
      </w:r>
    </w:p>
    <w:p>
      <w:pPr>
        <w:spacing w:line="365" w:lineRule="auto"/>
        <w:ind w:left="522"/>
        <w:rPr>
          <w:color w:val="000000" w:themeColor="text1"/>
          <w14:textFill>
            <w14:solidFill>
              <w14:schemeClr w14:val="tx1"/>
            </w14:solidFill>
          </w14:textFill>
        </w:rPr>
      </w:pPr>
      <w:r>
        <w:rPr>
          <w:rFonts w:hint="eastAsia"/>
          <w:color w:val="000000" w:themeColor="text1"/>
          <w:sz w:val="20"/>
          <w:lang w:val="en-US"/>
          <w14:textFill>
            <w14:solidFill>
              <w14:schemeClr w14:val="tx1"/>
            </w14:solidFill>
          </w14:textFill>
        </w:rPr>
        <w:t>2.团队管理要求</w:t>
      </w:r>
    </w:p>
    <w:p>
      <w:pPr>
        <w:pStyle w:val="2"/>
        <w:numPr>
          <w:ilvl w:val="0"/>
          <w:numId w:val="5"/>
        </w:numPr>
        <w:spacing w:line="360" w:lineRule="auto"/>
        <w:rPr>
          <w:color w:val="000000" w:themeColor="text1"/>
          <w:sz w:val="20"/>
          <w:szCs w:val="22"/>
          <w:lang w:val="en-US"/>
          <w14:textFill>
            <w14:solidFill>
              <w14:schemeClr w14:val="tx1"/>
            </w14:solidFill>
          </w14:textFill>
        </w:rPr>
      </w:pPr>
      <w:r>
        <w:rPr>
          <w:rFonts w:hint="eastAsia"/>
          <w:color w:val="000000" w:themeColor="text1"/>
          <w:sz w:val="20"/>
          <w:szCs w:val="22"/>
          <w:lang w:val="en-US"/>
          <w14:textFill>
            <w14:solidFill>
              <w14:schemeClr w14:val="tx1"/>
            </w14:solidFill>
          </w14:textFill>
        </w:rPr>
        <w:t>中标人项目团队成员，一般在项目合同签订后7日内必须到岗。如需根据项目实际推进情况分阶段投入的项目团队人员，需明确人员到岗计划并获得采购人的同意，原则上需在人员负责的主要工作开启7日前到岗。</w:t>
      </w:r>
    </w:p>
    <w:p>
      <w:pPr>
        <w:numPr>
          <w:ilvl w:val="0"/>
          <w:numId w:val="5"/>
        </w:numPr>
        <w:spacing w:line="365" w:lineRule="auto"/>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中标人必须保证开发团队的稳定性，未经采购人书面同意，不得单方面更换项目团队成员。确实需要更换项目经理的，需提出书面申请，经采购人同意，且交接期满采购人认可后继者工作态度和能力后方可更换。一般项目经理和骨干成员的交接期最少为1个月，普通工程师最少交接期为15日。</w:t>
      </w:r>
    </w:p>
    <w:p>
      <w:pPr>
        <w:numPr>
          <w:ilvl w:val="0"/>
          <w:numId w:val="5"/>
        </w:numPr>
        <w:spacing w:line="365" w:lineRule="auto"/>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由于中标人原因导致项目团队不稳定，因而影响到项目质量和进度，采购人有权根据合同相关条款要求中标人承担违约责任。</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3.工作要求</w:t>
      </w:r>
    </w:p>
    <w:p>
      <w:pPr>
        <w:numPr>
          <w:ilvl w:val="0"/>
          <w:numId w:val="6"/>
        </w:numPr>
        <w:spacing w:line="365" w:lineRule="auto"/>
        <w:rPr>
          <w:color w:val="000000" w:themeColor="text1"/>
          <w:sz w:val="20"/>
          <w:lang w:val="en-US"/>
          <w14:textFill>
            <w14:solidFill>
              <w14:schemeClr w14:val="tx1"/>
            </w14:solidFill>
          </w14:textFill>
        </w:rPr>
      </w:pPr>
      <w:r>
        <w:rPr>
          <w:color w:val="000000" w:themeColor="text1"/>
          <w:sz w:val="20"/>
          <w:lang w:val="en-US"/>
          <w14:textFill>
            <w14:solidFill>
              <w14:schemeClr w14:val="tx1"/>
            </w14:solidFill>
          </w14:textFill>
        </w:rPr>
        <w:t>风险管控</w:t>
      </w:r>
    </w:p>
    <w:p>
      <w:pPr>
        <w:spacing w:line="365" w:lineRule="auto"/>
        <w:ind w:left="522"/>
        <w:rPr>
          <w:color w:val="000000" w:themeColor="text1"/>
          <w:sz w:val="20"/>
          <w:lang w:val="en-US"/>
          <w14:textFill>
            <w14:solidFill>
              <w14:schemeClr w14:val="tx1"/>
            </w14:solidFill>
          </w14:textFill>
        </w:rPr>
      </w:pPr>
      <w:r>
        <w:rPr>
          <w:color w:val="000000" w:themeColor="text1"/>
          <w:sz w:val="20"/>
          <w:lang w:val="en-US"/>
          <w14:textFill>
            <w14:solidFill>
              <w14:schemeClr w14:val="tx1"/>
            </w14:solidFill>
          </w14:textFill>
        </w:rPr>
        <w:t>中标人需提前识别潜在需求等风险，做好应对方案。</w:t>
      </w:r>
    </w:p>
    <w:p>
      <w:pPr>
        <w:numPr>
          <w:ilvl w:val="0"/>
          <w:numId w:val="6"/>
        </w:numPr>
        <w:spacing w:line="365" w:lineRule="auto"/>
        <w:rPr>
          <w:color w:val="000000" w:themeColor="text1"/>
          <w:sz w:val="20"/>
          <w:lang w:val="en-US"/>
          <w14:textFill>
            <w14:solidFill>
              <w14:schemeClr w14:val="tx1"/>
            </w14:solidFill>
          </w14:textFill>
        </w:rPr>
      </w:pPr>
      <w:r>
        <w:rPr>
          <w:color w:val="000000" w:themeColor="text1"/>
          <w:sz w:val="20"/>
          <w:lang w:val="en-US"/>
          <w14:textFill>
            <w14:solidFill>
              <w14:schemeClr w14:val="tx1"/>
            </w14:solidFill>
          </w14:textFill>
        </w:rPr>
        <w:t>需求调研</w:t>
      </w:r>
    </w:p>
    <w:p>
      <w:pPr>
        <w:spacing w:line="365" w:lineRule="auto"/>
        <w:ind w:left="522"/>
        <w:rPr>
          <w:color w:val="000000" w:themeColor="text1"/>
          <w:sz w:val="20"/>
          <w:lang w:val="en-US"/>
          <w14:textFill>
            <w14:solidFill>
              <w14:schemeClr w14:val="tx1"/>
            </w14:solidFill>
          </w14:textFill>
        </w:rPr>
      </w:pPr>
      <w:r>
        <w:rPr>
          <w:color w:val="000000" w:themeColor="text1"/>
          <w:sz w:val="20"/>
          <w:lang w:val="en-US"/>
          <w14:textFill>
            <w14:solidFill>
              <w14:schemeClr w14:val="tx1"/>
            </w14:solidFill>
          </w14:textFill>
        </w:rPr>
        <w:t>（1）需求调研原则上要求中标人安排2人以上参加，主交流和主记明确分工。同时保留原始的调研底稿和记录，在可行的情况下请业务调研对象签字。中标人需求调研前必须与采购经办负责人员沟通协调。</w:t>
      </w:r>
    </w:p>
    <w:p>
      <w:pPr>
        <w:spacing w:line="365" w:lineRule="auto"/>
        <w:ind w:left="522"/>
        <w:rPr>
          <w:color w:val="000000" w:themeColor="text1"/>
          <w:sz w:val="20"/>
          <w:lang w:val="en-US"/>
          <w14:textFill>
            <w14:solidFill>
              <w14:schemeClr w14:val="tx1"/>
            </w14:solidFill>
          </w14:textFill>
        </w:rPr>
      </w:pPr>
      <w:r>
        <w:rPr>
          <w:color w:val="000000" w:themeColor="text1"/>
          <w:sz w:val="20"/>
          <w:lang w:val="en-US"/>
          <w14:textFill>
            <w14:solidFill>
              <w14:schemeClr w14:val="tx1"/>
            </w14:solidFill>
          </w14:textFill>
        </w:rPr>
        <w:t>（2）需求确认的过程：首先由中标人获得相关业务单位或处室的需求确认，最终由采购人以及项目监理审核并确认总体需求。</w:t>
      </w:r>
    </w:p>
    <w:p>
      <w:pPr>
        <w:numPr>
          <w:ilvl w:val="0"/>
          <w:numId w:val="6"/>
        </w:numPr>
        <w:spacing w:line="365" w:lineRule="auto"/>
        <w:rPr>
          <w:color w:val="000000" w:themeColor="text1"/>
          <w:sz w:val="20"/>
          <w:lang w:val="en-US"/>
          <w14:textFill>
            <w14:solidFill>
              <w14:schemeClr w14:val="tx1"/>
            </w14:solidFill>
          </w14:textFill>
        </w:rPr>
      </w:pPr>
      <w:r>
        <w:rPr>
          <w:color w:val="000000" w:themeColor="text1"/>
          <w:sz w:val="20"/>
          <w:lang w:val="en-US"/>
          <w14:textFill>
            <w14:solidFill>
              <w14:schemeClr w14:val="tx1"/>
            </w14:solidFill>
          </w14:textFill>
        </w:rPr>
        <w:t>系统演示/用户测试要求</w:t>
      </w:r>
    </w:p>
    <w:p>
      <w:pPr>
        <w:spacing w:line="365" w:lineRule="auto"/>
        <w:ind w:left="522"/>
        <w:rPr>
          <w:color w:val="000000" w:themeColor="text1"/>
          <w:sz w:val="20"/>
          <w:lang w:val="en-US"/>
          <w14:textFill>
            <w14:solidFill>
              <w14:schemeClr w14:val="tx1"/>
            </w14:solidFill>
          </w14:textFill>
        </w:rPr>
      </w:pPr>
      <w:r>
        <w:rPr>
          <w:color w:val="000000" w:themeColor="text1"/>
          <w:sz w:val="20"/>
          <w:lang w:val="en-US"/>
          <w14:textFill>
            <w14:solidFill>
              <w14:schemeClr w14:val="tx1"/>
            </w14:solidFill>
          </w14:textFill>
        </w:rPr>
        <w:t>中标人通过充分内部测试后再和各处室约时间进行系统功能演示或提请用户测试，超过3次未通过的情况，采购人有权依据合同相关条款要求中标人承担违约责任。</w:t>
      </w:r>
    </w:p>
    <w:p>
      <w:pPr>
        <w:numPr>
          <w:ilvl w:val="0"/>
          <w:numId w:val="6"/>
        </w:numPr>
        <w:spacing w:line="365" w:lineRule="auto"/>
        <w:rPr>
          <w:color w:val="000000" w:themeColor="text1"/>
          <w:sz w:val="20"/>
          <w:lang w:val="en-US"/>
          <w14:textFill>
            <w14:solidFill>
              <w14:schemeClr w14:val="tx1"/>
            </w14:solidFill>
          </w14:textFill>
        </w:rPr>
      </w:pPr>
      <w:r>
        <w:rPr>
          <w:color w:val="000000" w:themeColor="text1"/>
          <w:sz w:val="20"/>
          <w:lang w:val="en-US"/>
          <w14:textFill>
            <w14:solidFill>
              <w14:schemeClr w14:val="tx1"/>
            </w14:solidFill>
          </w14:textFill>
        </w:rPr>
        <w:t>会议要求</w:t>
      </w:r>
    </w:p>
    <w:p>
      <w:pPr>
        <w:spacing w:line="365" w:lineRule="auto"/>
        <w:ind w:left="522"/>
        <w:rPr>
          <w:color w:val="000000" w:themeColor="text1"/>
          <w:sz w:val="20"/>
          <w:lang w:val="en-US"/>
          <w14:textFill>
            <w14:solidFill>
              <w14:schemeClr w14:val="tx1"/>
            </w14:solidFill>
          </w14:textFill>
        </w:rPr>
      </w:pPr>
      <w:r>
        <w:rPr>
          <w:color w:val="000000" w:themeColor="text1"/>
          <w:sz w:val="20"/>
          <w:lang w:val="en-US"/>
          <w14:textFill>
            <w14:solidFill>
              <w14:schemeClr w14:val="tx1"/>
            </w14:solidFill>
          </w14:textFill>
        </w:rPr>
        <w:t>项目经理需要亲自参加关键节点性质的会议，如项目启动会、项目验收会等项目协调会议。中标人参会成员也需认真记录项目问题，不能完全依赖监理方的会议纪要。</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4.项目变更要求</w:t>
      </w:r>
    </w:p>
    <w:p>
      <w:pPr>
        <w:spacing w:line="365" w:lineRule="auto"/>
        <w:ind w:left="522"/>
        <w:rPr>
          <w:color w:val="000000" w:themeColor="text1"/>
          <w:sz w:val="20"/>
          <w:lang w:val="en-US"/>
          <w14:textFill>
            <w14:solidFill>
              <w14:schemeClr w14:val="tx1"/>
            </w14:solidFill>
          </w14:textFill>
        </w:rPr>
      </w:pPr>
      <w:r>
        <w:rPr>
          <w:color w:val="000000" w:themeColor="text1"/>
          <w:sz w:val="20"/>
          <w:lang w:val="en-US"/>
          <w14:textFill>
            <w14:solidFill>
              <w14:schemeClr w14:val="tx1"/>
            </w14:solidFill>
          </w14:textFill>
        </w:rPr>
        <w:t>对于项目建设内容由于客观原因需要进行变更的，一般由中标人提出变更申请（说明变更原因），同时附上工作量及费用评估依据，最终由采购人和项目监理评估变更影响，审核变更申请。涉及合同费用支付调整的，需按财政局相关规定，签署补充协议并报备。</w:t>
      </w:r>
    </w:p>
    <w:p>
      <w:pPr>
        <w:spacing w:line="365" w:lineRule="auto"/>
        <w:ind w:left="522"/>
        <w:rPr>
          <w:color w:val="000000" w:themeColor="text1"/>
          <w:sz w:val="20"/>
          <w:lang w:val="en-US"/>
          <w14:textFill>
            <w14:solidFill>
              <w14:schemeClr w14:val="tx1"/>
            </w14:solidFill>
          </w14:textFill>
        </w:rPr>
      </w:pPr>
      <w:r>
        <w:rPr>
          <w:rFonts w:hint="eastAsia"/>
          <w:color w:val="000000" w:themeColor="text1"/>
          <w:sz w:val="20"/>
          <w:lang w:val="en-US"/>
          <w14:textFill>
            <w14:solidFill>
              <w14:schemeClr w14:val="tx1"/>
            </w14:solidFill>
          </w14:textFill>
        </w:rPr>
        <w:t>5.项目文档要求</w:t>
      </w:r>
    </w:p>
    <w:p>
      <w:pPr>
        <w:numPr>
          <w:ilvl w:val="0"/>
          <w:numId w:val="7"/>
        </w:numPr>
        <w:spacing w:line="360" w:lineRule="auto"/>
        <w:rPr>
          <w:color w:val="000000" w:themeColor="text1"/>
          <w:lang w:val="en-US"/>
          <w14:textFill>
            <w14:solidFill>
              <w14:schemeClr w14:val="tx1"/>
            </w14:solidFill>
          </w14:textFill>
        </w:rPr>
      </w:pPr>
      <w:r>
        <w:rPr>
          <w:color w:val="000000" w:themeColor="text1"/>
          <w:lang w:val="en-US"/>
          <w14:textFill>
            <w14:solidFill>
              <w14:schemeClr w14:val="tx1"/>
            </w14:solidFill>
          </w14:textFill>
        </w:rPr>
        <w:t>验收项目文档清单以广州市信息化主管部门制定的标准为依据，具体以采购人和项目监理审核确认的项目文档清单为准。</w:t>
      </w:r>
    </w:p>
    <w:p>
      <w:pPr>
        <w:numPr>
          <w:ilvl w:val="0"/>
          <w:numId w:val="7"/>
        </w:numPr>
        <w:spacing w:line="360" w:lineRule="auto"/>
        <w:rPr>
          <w:color w:val="000000" w:themeColor="text1"/>
          <w:lang w:val="en-US"/>
          <w14:textFill>
            <w14:solidFill>
              <w14:schemeClr w14:val="tx1"/>
            </w14:solidFill>
          </w14:textFill>
        </w:rPr>
      </w:pPr>
      <w:r>
        <w:rPr>
          <w:color w:val="000000" w:themeColor="text1"/>
          <w:lang w:val="en-US"/>
          <w14:textFill>
            <w14:solidFill>
              <w14:schemeClr w14:val="tx1"/>
            </w14:solidFill>
          </w14:textFill>
        </w:rPr>
        <w:t>中标人需将项目文档提交时间计划提交给采购人和项目监理，监理在计划时间点进行跟进督办，在项目例会时进行情况反馈，重要文档提交情况实时进行反馈。如发生延后提交，给出具体原因，在采购人和项目监理允许的情况下，修订新的计划时间点并跟进检查。由于中标人原因连续2次不能按时提交文档，项目监理经采购人同意签发监理通知书给中标人要求整改，同时采购人有权根据合同相关条款追究中标人的违约责任。</w:t>
      </w:r>
    </w:p>
    <w:p>
      <w:pPr>
        <w:numPr>
          <w:ilvl w:val="0"/>
          <w:numId w:val="7"/>
        </w:numPr>
        <w:spacing w:line="360" w:lineRule="auto"/>
        <w:rPr>
          <w:color w:val="000000" w:themeColor="text1"/>
          <w:lang w:val="en-US"/>
          <w14:textFill>
            <w14:solidFill>
              <w14:schemeClr w14:val="tx1"/>
            </w14:solidFill>
          </w14:textFill>
        </w:rPr>
      </w:pPr>
      <w:r>
        <w:rPr>
          <w:color w:val="000000" w:themeColor="text1"/>
          <w:lang w:val="en-US"/>
          <w14:textFill>
            <w14:solidFill>
              <w14:schemeClr w14:val="tx1"/>
            </w14:solidFill>
          </w14:textFill>
        </w:rPr>
        <w:t>文档审核时发现的问题，第二次检查时发现没有整改或没有按要求整改，根据问题严重程度，项目监理出具监理联系单或督办意见。如果出现第三次检查时发现没有整改或没有按要求整改的情况，项目监理经采购人同意签发监理通知书给中标人要求整改。</w:t>
      </w:r>
    </w:p>
    <w:p>
      <w:pPr>
        <w:numPr>
          <w:ilvl w:val="0"/>
          <w:numId w:val="7"/>
        </w:numPr>
        <w:tabs>
          <w:tab w:val="left" w:pos="482"/>
          <w:tab w:val="clear" w:pos="420"/>
        </w:tabs>
        <w:spacing w:line="360" w:lineRule="auto"/>
        <w:rPr>
          <w:color w:val="000000" w:themeColor="text1"/>
          <w:lang w:val="en-US"/>
          <w14:textFill>
            <w14:solidFill>
              <w14:schemeClr w14:val="tx1"/>
            </w14:solidFill>
          </w14:textFill>
        </w:rPr>
      </w:pPr>
      <w:r>
        <w:rPr>
          <w:color w:val="000000" w:themeColor="text1"/>
          <w:lang w:val="en-US"/>
          <w14:textFill>
            <w14:solidFill>
              <w14:schemeClr w14:val="tx1"/>
            </w14:solidFill>
          </w14:textFill>
        </w:rPr>
        <w:t>项目进行过程中中标人要及时收集保存各种测试记录、需求调研记录、处室签章等过程记录文档。</w:t>
      </w:r>
    </w:p>
    <w:p>
      <w:pPr>
        <w:numPr>
          <w:ilvl w:val="0"/>
          <w:numId w:val="7"/>
        </w:numPr>
        <w:spacing w:line="360" w:lineRule="auto"/>
        <w:rPr>
          <w:color w:val="000000" w:themeColor="text1"/>
          <w:lang w:val="en-US"/>
          <w14:textFill>
            <w14:solidFill>
              <w14:schemeClr w14:val="tx1"/>
            </w14:solidFill>
          </w14:textFill>
        </w:rPr>
      </w:pPr>
      <w:r>
        <w:rPr>
          <w:color w:val="000000" w:themeColor="text1"/>
          <w:lang w:val="en-US"/>
          <w14:textFill>
            <w14:solidFill>
              <w14:schemeClr w14:val="tx1"/>
            </w14:solidFill>
          </w14:textFill>
        </w:rPr>
        <w:t>对于以上出现的项目文档质量和时效问题，采购人有权依据合同相关条款究中标人的违约责任。</w:t>
      </w:r>
    </w:p>
    <w:p>
      <w:pPr>
        <w:pStyle w:val="5"/>
        <w:rPr>
          <w:color w:val="000000" w:themeColor="text1"/>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九、人员要求</w:t>
      </w:r>
    </w:p>
    <w:p>
      <w:pPr>
        <w:spacing w:line="255" w:lineRule="exact"/>
        <w:ind w:left="520"/>
        <w:rPr>
          <w:color w:val="000000" w:themeColor="text1"/>
          <w:sz w:val="20"/>
          <w14:textFill>
            <w14:solidFill>
              <w14:schemeClr w14:val="tx1"/>
            </w14:solidFill>
          </w14:textFill>
        </w:rPr>
      </w:pPr>
    </w:p>
    <w:p>
      <w:pPr>
        <w:pStyle w:val="11"/>
        <w:numPr>
          <w:ilvl w:val="1"/>
          <w:numId w:val="8"/>
        </w:numPr>
        <w:tabs>
          <w:tab w:val="left" w:pos="741"/>
          <w:tab w:val="left" w:pos="7540"/>
        </w:tabs>
        <w:spacing w:before="125"/>
        <w:rPr>
          <w:color w:val="000000" w:themeColor="text1"/>
          <w:sz w:val="20"/>
          <w14:textFill>
            <w14:solidFill>
              <w14:schemeClr w14:val="tx1"/>
            </w14:solidFill>
          </w14:textFill>
        </w:rPr>
      </w:pPr>
      <w:r>
        <w:rPr>
          <w:color w:val="000000" w:themeColor="text1"/>
          <w:sz w:val="20"/>
          <w14:textFill>
            <w14:solidFill>
              <w14:schemeClr w14:val="tx1"/>
            </w14:solidFill>
          </w14:textFill>
        </w:rPr>
        <w:t>项目经理需具备</w:t>
      </w:r>
      <w:r>
        <w:rPr>
          <w:color w:val="000000" w:themeColor="text1"/>
          <w:spacing w:val="92"/>
          <w:sz w:val="20"/>
          <w:u w:val="single"/>
          <w14:textFill>
            <w14:solidFill>
              <w14:schemeClr w14:val="tx1"/>
            </w14:solidFill>
          </w14:textFill>
        </w:rPr>
        <w:t xml:space="preserve"> </w:t>
      </w:r>
      <w:r>
        <w:rPr>
          <w:rFonts w:hint="eastAsia"/>
          <w:color w:val="000000" w:themeColor="text1"/>
          <w:sz w:val="20"/>
          <w:u w:val="single"/>
          <w14:textFill>
            <w14:solidFill>
              <w14:schemeClr w14:val="tx1"/>
            </w14:solidFill>
          </w14:textFill>
        </w:rPr>
        <w:t>本科</w:t>
      </w:r>
      <w:r>
        <w:rPr>
          <w:rFonts w:hint="eastAsia"/>
          <w:color w:val="000000" w:themeColor="text1"/>
          <w:sz w:val="20"/>
          <w:u w:val="single"/>
          <w:lang w:val="en-US"/>
          <w14:textFill>
            <w14:solidFill>
              <w14:schemeClr w14:val="tx1"/>
            </w14:solidFill>
          </w14:textFill>
        </w:rPr>
        <w:t>或</w:t>
      </w:r>
      <w:r>
        <w:rPr>
          <w:rFonts w:hint="eastAsia"/>
          <w:color w:val="000000" w:themeColor="text1"/>
          <w:sz w:val="20"/>
          <w:u w:val="single"/>
          <w14:textFill>
            <w14:solidFill>
              <w14:schemeClr w14:val="tx1"/>
            </w14:solidFill>
          </w14:textFill>
        </w:rPr>
        <w:t>以上学历、信息系统项目管理工程师职称；</w:t>
      </w:r>
      <w:r>
        <w:rPr>
          <w:color w:val="000000" w:themeColor="text1"/>
          <w:sz w:val="19"/>
          <w14:textFill>
            <w14:solidFill>
              <w14:schemeClr w14:val="tx1"/>
            </w14:solidFill>
          </w14:textFill>
        </w:rPr>
        <w:t>软件开发项目管理从业经验5年或以上</w:t>
      </w:r>
      <w:r>
        <w:rPr>
          <w:color w:val="000000" w:themeColor="text1"/>
          <w:sz w:val="20"/>
          <w:u w:val="single"/>
          <w14:textFill>
            <w14:solidFill>
              <w14:schemeClr w14:val="tx1"/>
            </w14:solidFill>
          </w14:textFill>
        </w:rPr>
        <w:tab/>
      </w:r>
      <w:r>
        <w:rPr>
          <w:color w:val="000000" w:themeColor="text1"/>
          <w:sz w:val="20"/>
          <w14:textFill>
            <w14:solidFill>
              <w14:schemeClr w14:val="tx1"/>
            </w14:solidFill>
          </w14:textFill>
        </w:rPr>
        <w:t>；</w:t>
      </w:r>
    </w:p>
    <w:p>
      <w:pPr>
        <w:pStyle w:val="11"/>
        <w:numPr>
          <w:ilvl w:val="1"/>
          <w:numId w:val="8"/>
        </w:numPr>
        <w:tabs>
          <w:tab w:val="left" w:pos="741"/>
          <w:tab w:val="left" w:pos="7540"/>
        </w:tabs>
        <w:spacing w:before="133"/>
        <w:rPr>
          <w:color w:val="000000" w:themeColor="text1"/>
          <w:sz w:val="20"/>
          <w14:textFill>
            <w14:solidFill>
              <w14:schemeClr w14:val="tx1"/>
            </w14:solidFill>
          </w14:textFill>
        </w:rPr>
      </w:pPr>
      <w:r>
        <w:rPr>
          <w:color w:val="000000" w:themeColor="text1"/>
          <w:sz w:val="20"/>
          <w14:textFill>
            <w14:solidFill>
              <w14:schemeClr w14:val="tx1"/>
            </w14:solidFill>
          </w14:textFill>
        </w:rPr>
        <w:t>技术人员需具备</w:t>
      </w:r>
      <w:r>
        <w:rPr>
          <w:color w:val="000000" w:themeColor="text1"/>
          <w:spacing w:val="92"/>
          <w:sz w:val="20"/>
          <w:u w:val="single"/>
          <w14:textFill>
            <w14:solidFill>
              <w14:schemeClr w14:val="tx1"/>
            </w14:solidFill>
          </w14:textFill>
        </w:rPr>
        <w:t xml:space="preserve"> </w:t>
      </w:r>
      <w:r>
        <w:rPr>
          <w:rFonts w:hint="eastAsia"/>
          <w:color w:val="000000" w:themeColor="text1"/>
          <w:sz w:val="19"/>
          <w14:textFill>
            <w14:solidFill>
              <w14:schemeClr w14:val="tx1"/>
            </w14:solidFill>
          </w14:textFill>
        </w:rPr>
        <w:t>系统架构设计师或系统分析师</w:t>
      </w:r>
      <w:r>
        <w:rPr>
          <w:rFonts w:hint="eastAsia"/>
          <w:color w:val="000000" w:themeColor="text1"/>
          <w:sz w:val="20"/>
          <w:u w:val="single"/>
          <w14:textFill>
            <w14:solidFill>
              <w14:schemeClr w14:val="tx1"/>
            </w14:solidFill>
          </w14:textFill>
        </w:rPr>
        <w:t>；</w:t>
      </w:r>
      <w:r>
        <w:rPr>
          <w:rFonts w:hint="eastAsia"/>
          <w:color w:val="000000" w:themeColor="text1"/>
          <w:sz w:val="19"/>
          <w14:textFill>
            <w14:solidFill>
              <w14:schemeClr w14:val="tx1"/>
            </w14:solidFill>
          </w14:textFill>
        </w:rPr>
        <w:t>软件设计师、数据库系统工程师</w:t>
      </w:r>
      <w:r>
        <w:rPr>
          <w:color w:val="000000" w:themeColor="text1"/>
          <w:sz w:val="20"/>
          <w:u w:val="single"/>
          <w14:textFill>
            <w14:solidFill>
              <w14:schemeClr w14:val="tx1"/>
            </w14:solidFill>
          </w14:textFill>
        </w:rPr>
        <w:tab/>
      </w:r>
      <w:r>
        <w:rPr>
          <w:color w:val="000000" w:themeColor="text1"/>
          <w:sz w:val="20"/>
          <w14:textFill>
            <w14:solidFill>
              <w14:schemeClr w14:val="tx1"/>
            </w14:solidFill>
          </w14:textFill>
        </w:rPr>
        <w:t>；</w:t>
      </w:r>
    </w:p>
    <w:p>
      <w:pPr>
        <w:pStyle w:val="11"/>
        <w:tabs>
          <w:tab w:val="left" w:pos="741"/>
          <w:tab w:val="left" w:pos="7540"/>
        </w:tabs>
        <w:spacing w:before="133" w:line="364" w:lineRule="auto"/>
        <w:ind w:left="539" w:right="3339" w:firstLine="0"/>
        <w:rPr>
          <w:b/>
          <w:color w:val="000000" w:themeColor="text1"/>
          <w:sz w:val="20"/>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十、知识产权要求</w:t>
      </w:r>
    </w:p>
    <w:p>
      <w:pPr>
        <w:spacing w:line="255" w:lineRule="exact"/>
        <w:ind w:left="520"/>
        <w:rPr>
          <w:color w:val="000000" w:themeColor="text1"/>
          <w:sz w:val="20"/>
          <w14:textFill>
            <w14:solidFill>
              <w14:schemeClr w14:val="tx1"/>
            </w14:solidFill>
          </w14:textFill>
        </w:rPr>
      </w:pPr>
      <w:r>
        <w:rPr>
          <w:color w:val="000000" w:themeColor="text1"/>
          <w:sz w:val="20"/>
          <w14:textFill>
            <w14:solidFill>
              <w14:schemeClr w14:val="tx1"/>
            </w14:solidFill>
          </w14:textFill>
        </w:rPr>
        <w:t>请采购人进行选择或补充：</w:t>
      </w:r>
    </w:p>
    <w:p>
      <w:pPr>
        <w:spacing w:before="135" w:line="364" w:lineRule="auto"/>
        <w:ind w:left="119" w:right="139" w:firstLine="400"/>
        <w:rPr>
          <w:color w:val="000000" w:themeColor="text1"/>
          <w:sz w:val="20"/>
          <w14:textFill>
            <w14:solidFill>
              <w14:schemeClr w14:val="tx1"/>
            </w14:solidFill>
          </w14:textFill>
        </w:rPr>
      </w:pPr>
      <w:r>
        <w:rPr>
          <w:color w:val="000000" w:themeColor="text1"/>
          <w:sz w:val="20"/>
          <w14:textFill>
            <w14:solidFill>
              <w14:schemeClr w14:val="tx1"/>
            </w14:solidFill>
          </w14:textFill>
        </w:rPr>
        <w:t>中标人需对所有成果、产品的知识产权负有瑕疵担保责任，因使用未被授权使用的技术、组件、系统软件、通用软件等知识产权问题引起的纠纷所产生的所有责任及费用由供应商自行承担；</w:t>
      </w:r>
    </w:p>
    <w:p>
      <w:pPr>
        <w:spacing w:line="364" w:lineRule="auto"/>
        <w:ind w:left="119" w:right="139" w:firstLine="400"/>
        <w:rPr>
          <w:color w:val="000000" w:themeColor="text1"/>
          <w:sz w:val="20"/>
          <w14:textFill>
            <w14:solidFill>
              <w14:schemeClr w14:val="tx1"/>
            </w14:solidFill>
          </w14:textFill>
        </w:rPr>
      </w:pPr>
      <w:r>
        <w:rPr>
          <w:color w:val="000000" w:themeColor="text1"/>
          <w:sz w:val="20"/>
          <w14:textFill>
            <w14:solidFill>
              <w14:schemeClr w14:val="tx1"/>
            </w14:solidFill>
          </w14:textFill>
        </w:rPr>
        <w:t>本项目研究成果及其技术文档等所有权</w:t>
      </w:r>
      <w:r>
        <w:rPr>
          <w:color w:val="000000" w:themeColor="text1"/>
          <w:sz w:val="20"/>
          <w:lang w:val="en-US"/>
          <w14:textFill>
            <w14:solidFill>
              <w14:schemeClr w14:val="tx1"/>
            </w14:solidFill>
          </w14:textFill>
        </w:rPr>
        <w:t>及知识产权</w:t>
      </w:r>
      <w:r>
        <w:rPr>
          <w:color w:val="000000" w:themeColor="text1"/>
          <w:sz w:val="20"/>
          <w14:textFill>
            <w14:solidFill>
              <w14:schemeClr w14:val="tx1"/>
            </w14:solidFill>
          </w14:textFill>
        </w:rPr>
        <w:t>由采购人享有，技术文档资料包括完备的系统设计文档、功能模块说明、程序源代码、执行代码、使用手册等，未经采购人许可，中标人不得将相关采购人资料提供给第三方；</w:t>
      </w:r>
    </w:p>
    <w:p>
      <w:pPr>
        <w:spacing w:line="364" w:lineRule="auto"/>
        <w:ind w:left="520" w:right="661"/>
        <w:rPr>
          <w:color w:val="000000" w:themeColor="text1"/>
          <w:sz w:val="20"/>
          <w14:textFill>
            <w14:solidFill>
              <w14:schemeClr w14:val="tx1"/>
            </w14:solidFill>
          </w14:textFill>
        </w:rPr>
      </w:pPr>
    </w:p>
    <w:p>
      <w:pPr>
        <w:pStyle w:val="3"/>
        <w:rPr>
          <w:b w:val="0"/>
          <w:bCs w:val="0"/>
          <w:color w:val="000000" w:themeColor="text1"/>
          <w14:textFill>
            <w14:solidFill>
              <w14:schemeClr w14:val="tx1"/>
            </w14:solidFill>
          </w14:textFill>
        </w:rPr>
      </w:pPr>
      <w:r>
        <w:rPr>
          <w:color w:val="000000" w:themeColor="text1"/>
          <w14:textFill>
            <w14:solidFill>
              <w14:schemeClr w14:val="tx1"/>
            </w14:solidFill>
          </w14:textFill>
        </w:rPr>
        <w:t>十一、系统测试要求</w:t>
      </w:r>
    </w:p>
    <w:p>
      <w:pPr>
        <w:spacing w:line="367" w:lineRule="auto"/>
        <w:ind w:left="119" w:right="140" w:firstLine="400"/>
        <w:rPr>
          <w:color w:val="000000" w:themeColor="text1"/>
          <w:sz w:val="20"/>
          <w14:textFill>
            <w14:solidFill>
              <w14:schemeClr w14:val="tx1"/>
            </w14:solidFill>
          </w14:textFill>
        </w:rPr>
      </w:pPr>
      <w:r>
        <w:rPr>
          <w:color w:val="000000" w:themeColor="text1"/>
          <w:sz w:val="20"/>
          <w14:textFill>
            <w14:solidFill>
              <w14:schemeClr w14:val="tx1"/>
            </w14:solidFill>
          </w14:textFill>
        </w:rPr>
        <w:t>中标人要对系统实际运行情况进行下列测试，其中系统测试、验收测试由采购人、监理公司和中标人三方共同成立项目测试组。</w:t>
      </w:r>
    </w:p>
    <w:p>
      <w:pPr>
        <w:spacing w:line="252" w:lineRule="exact"/>
        <w:ind w:left="539"/>
        <w:rPr>
          <w:color w:val="000000" w:themeColor="text1"/>
          <w:sz w:val="20"/>
          <w14:textFill>
            <w14:solidFill>
              <w14:schemeClr w14:val="tx1"/>
            </w14:solidFill>
          </w14:textFill>
        </w:rPr>
      </w:pPr>
      <w:r>
        <w:rPr>
          <w:color w:val="000000" w:themeColor="text1"/>
          <w:sz w:val="20"/>
          <w14:textFill>
            <w14:solidFill>
              <w14:schemeClr w14:val="tx1"/>
            </w14:solidFill>
          </w14:textFill>
        </w:rPr>
        <w:t>单元测试；</w:t>
      </w:r>
    </w:p>
    <w:p>
      <w:pPr>
        <w:spacing w:before="128"/>
        <w:ind w:left="539"/>
        <w:rPr>
          <w:color w:val="000000" w:themeColor="text1"/>
          <w:sz w:val="20"/>
          <w14:textFill>
            <w14:solidFill>
              <w14:schemeClr w14:val="tx1"/>
            </w14:solidFill>
          </w14:textFill>
        </w:rPr>
      </w:pPr>
      <w:r>
        <w:rPr>
          <w:color w:val="000000" w:themeColor="text1"/>
          <w:sz w:val="20"/>
          <w14:textFill>
            <w14:solidFill>
              <w14:schemeClr w14:val="tx1"/>
            </w14:solidFill>
          </w14:textFill>
        </w:rPr>
        <w:t>集成测试；</w:t>
      </w:r>
    </w:p>
    <w:p>
      <w:pPr>
        <w:spacing w:before="133"/>
        <w:ind w:left="539"/>
        <w:rPr>
          <w:color w:val="000000" w:themeColor="text1"/>
          <w:sz w:val="20"/>
          <w14:textFill>
            <w14:solidFill>
              <w14:schemeClr w14:val="tx1"/>
            </w14:solidFill>
          </w14:textFill>
        </w:rPr>
      </w:pPr>
      <w:r>
        <w:rPr>
          <w:color w:val="000000" w:themeColor="text1"/>
          <w:sz w:val="20"/>
          <w14:textFill>
            <w14:solidFill>
              <w14:schemeClr w14:val="tx1"/>
            </w14:solidFill>
          </w14:textFill>
        </w:rPr>
        <w:t>配置项测试；</w:t>
      </w:r>
    </w:p>
    <w:p>
      <w:pPr>
        <w:spacing w:before="133"/>
        <w:ind w:left="539"/>
        <w:rPr>
          <w:color w:val="000000" w:themeColor="text1"/>
          <w:sz w:val="20"/>
          <w14:textFill>
            <w14:solidFill>
              <w14:schemeClr w14:val="tx1"/>
            </w14:solidFill>
          </w14:textFill>
        </w:rPr>
      </w:pPr>
      <w:r>
        <w:rPr>
          <w:color w:val="000000" w:themeColor="text1"/>
          <w:sz w:val="20"/>
          <w14:textFill>
            <w14:solidFill>
              <w14:schemeClr w14:val="tx1"/>
            </w14:solidFill>
          </w14:textFill>
        </w:rPr>
        <w:t>系统测试；</w:t>
      </w:r>
    </w:p>
    <w:p>
      <w:pPr>
        <w:spacing w:before="132"/>
        <w:ind w:left="539"/>
        <w:rPr>
          <w:color w:val="000000" w:themeColor="text1"/>
          <w:sz w:val="20"/>
          <w14:textFill>
            <w14:solidFill>
              <w14:schemeClr w14:val="tx1"/>
            </w14:solidFill>
          </w14:textFill>
        </w:rPr>
      </w:pPr>
      <w:r>
        <w:rPr>
          <w:color w:val="000000" w:themeColor="text1"/>
          <w:sz w:val="20"/>
          <w14:textFill>
            <w14:solidFill>
              <w14:schemeClr w14:val="tx1"/>
            </w14:solidFill>
          </w14:textFill>
        </w:rPr>
        <w:t>验收测试；</w:t>
      </w:r>
    </w:p>
    <w:p>
      <w:pPr>
        <w:spacing w:before="133"/>
        <w:ind w:left="539"/>
        <w:rPr>
          <w:color w:val="000000" w:themeColor="text1"/>
          <w:sz w:val="20"/>
          <w14:textFill>
            <w14:solidFill>
              <w14:schemeClr w14:val="tx1"/>
            </w14:solidFill>
          </w14:textFill>
        </w:rPr>
      </w:pPr>
      <w:r>
        <w:rPr>
          <w:color w:val="000000" w:themeColor="text1"/>
          <w:sz w:val="20"/>
          <w14:textFill>
            <w14:solidFill>
              <w14:schemeClr w14:val="tx1"/>
            </w14:solidFill>
          </w14:textFill>
        </w:rPr>
        <w:t>回归测试。</w:t>
      </w: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十二、交付使用要求</w:t>
      </w:r>
    </w:p>
    <w:p>
      <w:pPr>
        <w:spacing w:line="367" w:lineRule="auto"/>
        <w:ind w:left="119" w:right="140" w:firstLine="400"/>
        <w:rPr>
          <w:color w:val="000000" w:themeColor="text1"/>
          <w14:textFill>
            <w14:solidFill>
              <w14:schemeClr w14:val="tx1"/>
            </w14:solidFill>
          </w14:textFill>
        </w:rPr>
      </w:pPr>
      <w:r>
        <w:rPr>
          <w:color w:val="000000" w:themeColor="text1"/>
          <w:sz w:val="20"/>
          <w14:textFill>
            <w14:solidFill>
              <w14:schemeClr w14:val="tx1"/>
            </w14:solidFill>
          </w14:textFill>
        </w:rPr>
        <w:t>（一）交付使用期：合同签订后</w:t>
      </w:r>
      <w:r>
        <w:rPr>
          <w:rFonts w:hint="eastAsia"/>
          <w:color w:val="000000" w:themeColor="text1"/>
          <w:sz w:val="20"/>
          <w:u w:val="single"/>
          <w14:textFill>
            <w14:solidFill>
              <w14:schemeClr w14:val="tx1"/>
            </w14:solidFill>
          </w14:textFill>
        </w:rPr>
        <w:t>十三个月</w:t>
      </w:r>
      <w:r>
        <w:rPr>
          <w:color w:val="000000" w:themeColor="text1"/>
          <w:sz w:val="20"/>
          <w14:textFill>
            <w14:solidFill>
              <w14:schemeClr w14:val="tx1"/>
            </w14:solidFill>
          </w14:textFill>
        </w:rPr>
        <w:t>内完成</w:t>
      </w:r>
      <w:r>
        <w:rPr>
          <w:rFonts w:hint="eastAsia"/>
          <w:color w:val="000000" w:themeColor="text1"/>
          <w:sz w:val="20"/>
          <w14:textFill>
            <w14:solidFill>
              <w14:schemeClr w14:val="tx1"/>
            </w14:solidFill>
          </w14:textFill>
        </w:rPr>
        <w:t>全部开发内容，组织</w:t>
      </w:r>
      <w:r>
        <w:rPr>
          <w:color w:val="000000" w:themeColor="text1"/>
          <w:sz w:val="20"/>
          <w14:textFill>
            <w14:solidFill>
              <w14:schemeClr w14:val="tx1"/>
            </w14:solidFill>
          </w14:textFill>
        </w:rPr>
        <w:t>初验</w:t>
      </w:r>
      <w:r>
        <w:rPr>
          <w:rFonts w:hint="eastAsia"/>
          <w:color w:val="000000" w:themeColor="text1"/>
          <w:sz w:val="20"/>
          <w14:textFill>
            <w14:solidFill>
              <w14:schemeClr w14:val="tx1"/>
            </w14:solidFill>
          </w14:textFill>
        </w:rPr>
        <w:t>，初验通过进入</w:t>
      </w:r>
      <w:r>
        <w:rPr>
          <w:color w:val="000000" w:themeColor="text1"/>
          <w:sz w:val="20"/>
          <w14:textFill>
            <w14:solidFill>
              <w14:schemeClr w14:val="tx1"/>
            </w14:solidFill>
          </w14:textFill>
        </w:rPr>
        <w:t>上线试运行</w:t>
      </w:r>
      <w:r>
        <w:rPr>
          <w:rFonts w:hint="eastAsia"/>
          <w:color w:val="000000" w:themeColor="text1"/>
          <w:sz w:val="20"/>
          <w14:textFill>
            <w14:solidFill>
              <w14:schemeClr w14:val="tx1"/>
            </w14:solidFill>
          </w14:textFill>
        </w:rPr>
        <w:t>，上线试运行</w:t>
      </w:r>
      <w:r>
        <w:rPr>
          <w:rFonts w:hint="eastAsia"/>
          <w:color w:val="000000" w:themeColor="text1"/>
          <w:sz w:val="20"/>
          <w:u w:val="single"/>
          <w14:textFill>
            <w14:solidFill>
              <w14:schemeClr w14:val="tx1"/>
            </w14:solidFill>
          </w14:textFill>
        </w:rPr>
        <w:t>三</w:t>
      </w:r>
      <w:r>
        <w:rPr>
          <w:color w:val="000000" w:themeColor="text1"/>
          <w:sz w:val="20"/>
          <w:u w:val="single"/>
          <w14:textFill>
            <w14:solidFill>
              <w14:schemeClr w14:val="tx1"/>
            </w14:solidFill>
          </w14:textFill>
        </w:rPr>
        <w:t>个月</w:t>
      </w:r>
      <w:r>
        <w:rPr>
          <w:color w:val="000000" w:themeColor="text1"/>
          <w:sz w:val="20"/>
          <w14:textFill>
            <w14:solidFill>
              <w14:schemeClr w14:val="tx1"/>
            </w14:solidFill>
          </w14:textFill>
        </w:rPr>
        <w:t>后进行</w:t>
      </w:r>
      <w:r>
        <w:rPr>
          <w:rFonts w:hint="eastAsia"/>
          <w:color w:val="000000" w:themeColor="text1"/>
          <w:sz w:val="20"/>
          <w14:textFill>
            <w14:solidFill>
              <w14:schemeClr w14:val="tx1"/>
            </w14:solidFill>
          </w14:textFill>
        </w:rPr>
        <w:t>合同验收</w:t>
      </w: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如试运行期间出现重大故障或重大功能、性能缺陷，试运行期从问题解决之日起重新计算。</w:t>
      </w:r>
    </w:p>
    <w:p>
      <w:pPr>
        <w:spacing w:line="367" w:lineRule="auto"/>
        <w:ind w:left="119" w:right="140" w:firstLine="400"/>
        <w:rPr>
          <w:color w:val="000000" w:themeColor="text1"/>
          <w:sz w:val="20"/>
          <w14:textFill>
            <w14:solidFill>
              <w14:schemeClr w14:val="tx1"/>
            </w14:solidFill>
          </w14:textFill>
        </w:rPr>
      </w:pPr>
      <w:r>
        <w:rPr>
          <w:color w:val="000000" w:themeColor="text1"/>
          <w:sz w:val="20"/>
          <w14:textFill>
            <w14:solidFill>
              <w14:schemeClr w14:val="tx1"/>
            </w14:solidFill>
          </w14:textFill>
        </w:rPr>
        <w:t>（二）交货地点：</w:t>
      </w:r>
      <w:r>
        <w:rPr>
          <w:rFonts w:hint="eastAsia"/>
          <w:color w:val="000000" w:themeColor="text1"/>
          <w:sz w:val="20"/>
          <w14:textFill>
            <w14:solidFill>
              <w14:schemeClr w14:val="tx1"/>
            </w14:solidFill>
          </w14:textFill>
        </w:rPr>
        <w:t>采购人指定地点</w:t>
      </w:r>
    </w:p>
    <w:p>
      <w:pPr>
        <w:spacing w:line="367" w:lineRule="auto"/>
        <w:ind w:left="119" w:right="140" w:firstLine="4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（三）交付物：</w:t>
      </w:r>
      <w:r>
        <w:rPr>
          <w:rFonts w:hint="eastAsia"/>
          <w:color w:val="000000" w:themeColor="text1"/>
          <w:sz w:val="20"/>
          <w:lang w:val="en-US"/>
          <w14:textFill>
            <w14:solidFill>
              <w14:schemeClr w14:val="tx1"/>
            </w14:solidFill>
          </w14:textFill>
        </w:rPr>
        <w:t>1.</w:t>
      </w:r>
      <w:r>
        <w:rPr>
          <w:rFonts w:hint="eastAsia"/>
          <w:color w:val="000000" w:themeColor="text1"/>
          <w:sz w:val="20"/>
          <w14:textFill>
            <w14:solidFill>
              <w14:schemeClr w14:val="tx1"/>
            </w14:solidFill>
          </w14:textFill>
        </w:rPr>
        <w:t>在采购人的服务器上安装并部署可运行的系统；</w:t>
      </w:r>
    </w:p>
    <w:p>
      <w:pPr>
        <w:spacing w:line="367" w:lineRule="auto"/>
        <w:ind w:right="140" w:firstLine="1800" w:firstLineChars="900"/>
        <w:rPr>
          <w:color w:val="000000" w:themeColor="text1"/>
          <w:sz w:val="20"/>
          <w14:textFill>
            <w14:solidFill>
              <w14:schemeClr w14:val="tx1"/>
            </w14:solidFill>
          </w14:textFill>
        </w:rPr>
      </w:pPr>
      <w:r>
        <w:rPr>
          <w:rFonts w:hint="eastAsia"/>
          <w:color w:val="000000" w:themeColor="text1"/>
          <w:sz w:val="20"/>
          <w:lang w:val="en-US"/>
          <w14:textFill>
            <w14:solidFill>
              <w14:schemeClr w14:val="tx1"/>
            </w14:solidFill>
          </w14:textFill>
        </w:rPr>
        <w:t>2.以电子文档的形式交付：</w:t>
      </w:r>
      <w:r>
        <w:rPr>
          <w:rFonts w:hint="eastAsia"/>
          <w:color w:val="000000" w:themeColor="text1"/>
          <w:sz w:val="20"/>
          <w14:textFill>
            <w14:solidFill>
              <w14:schemeClr w14:val="tx1"/>
            </w14:solidFill>
          </w14:textFill>
        </w:rPr>
        <w:t>源代码；软件系统使用的全部软件工具产品；项目实施过程中产生的关键性的项目文档等</w:t>
      </w:r>
      <w:r>
        <w:rPr>
          <w:color w:val="000000" w:themeColor="text1"/>
          <w:sz w:val="20"/>
          <w14:textFill>
            <w14:solidFill>
              <w14:schemeClr w14:val="tx1"/>
            </w14:solidFill>
          </w14:textFill>
        </w:rPr>
        <w:t>。</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四</w:t>
      </w:r>
      <w:r>
        <w:rPr>
          <w:rFonts w:hint="eastAsia"/>
          <w:color w:val="000000" w:themeColor="text1"/>
          <w14:textFill>
            <w14:solidFill>
              <w14:schemeClr w14:val="tx1"/>
            </w14:solidFill>
          </w14:textFill>
        </w:rPr>
        <w:t>）最高限价：最高限价人民币1119790.00元。其中2024年拟安排预算</w:t>
      </w:r>
      <w:r>
        <w:rPr>
          <w:rFonts w:hint="eastAsia"/>
          <w:color w:val="000000" w:themeColor="text1"/>
          <w:lang w:val="en-US"/>
          <w14:textFill>
            <w14:solidFill>
              <w14:schemeClr w14:val="tx1"/>
            </w14:solidFill>
          </w14:textFill>
        </w:rPr>
        <w:t>671874.00</w:t>
      </w:r>
      <w:r>
        <w:rPr>
          <w:rFonts w:hint="eastAsia"/>
          <w:color w:val="000000" w:themeColor="text1"/>
          <w14:textFill>
            <w14:solidFill>
              <w14:schemeClr w14:val="tx1"/>
            </w14:solidFill>
          </w14:textFill>
        </w:rPr>
        <w:t>元，2025年拟安排预算</w:t>
      </w:r>
      <w:r>
        <w:rPr>
          <w:rFonts w:hint="eastAsia"/>
          <w:color w:val="000000" w:themeColor="text1"/>
          <w:lang w:val="en-US"/>
          <w14:textFill>
            <w14:solidFill>
              <w14:schemeClr w14:val="tx1"/>
            </w14:solidFill>
          </w14:textFill>
        </w:rPr>
        <w:t>391926.50</w:t>
      </w:r>
      <w:r>
        <w:rPr>
          <w:rFonts w:hint="eastAsia"/>
          <w:color w:val="000000" w:themeColor="text1"/>
          <w14:textFill>
            <w14:solidFill>
              <w14:schemeClr w14:val="tx1"/>
            </w14:solidFill>
          </w14:textFill>
        </w:rPr>
        <w:t>元</w:t>
      </w:r>
      <w:r>
        <w:rPr>
          <w:rFonts w:hint="eastAsia"/>
          <w:color w:val="000000" w:themeColor="text1"/>
          <w:lang w:val="en-US"/>
          <w14:textFill>
            <w14:solidFill>
              <w14:schemeClr w14:val="tx1"/>
            </w14:solidFill>
          </w14:textFill>
        </w:rPr>
        <w:t>,2026年</w:t>
      </w:r>
      <w:r>
        <w:rPr>
          <w:rFonts w:hint="eastAsia"/>
          <w:color w:val="000000" w:themeColor="text1"/>
          <w:lang w:val="en-US" w:eastAsia="zh-CN"/>
          <w14:textFill>
            <w14:solidFill>
              <w14:schemeClr w14:val="tx1"/>
            </w14:solidFill>
          </w14:textFill>
        </w:rPr>
        <w:t>拟</w:t>
      </w:r>
      <w:r>
        <w:rPr>
          <w:rFonts w:hint="eastAsia"/>
          <w:color w:val="000000" w:themeColor="text1"/>
          <w:lang w:val="en-US"/>
          <w14:textFill>
            <w14:solidFill>
              <w14:schemeClr w14:val="tx1"/>
            </w14:solidFill>
          </w14:textFill>
        </w:rPr>
        <w:t>安排预算55989.50元</w:t>
      </w:r>
      <w:r>
        <w:rPr>
          <w:rFonts w:hint="eastAsia"/>
          <w:color w:val="000000" w:themeColor="text1"/>
          <w14:textFill>
            <w14:solidFill>
              <w14:schemeClr w14:val="tx1"/>
            </w14:solidFill>
          </w14:textFill>
        </w:rPr>
        <w:t>。</w:t>
      </w:r>
    </w:p>
    <w:p>
      <w:pPr>
        <w:pStyle w:val="3"/>
        <w:rPr>
          <w:b w:val="0"/>
          <w:bCs w:val="0"/>
          <w:color w:val="000000" w:themeColor="text1"/>
          <w14:textFill>
            <w14:solidFill>
              <w14:schemeClr w14:val="tx1"/>
            </w14:solidFill>
          </w14:textFill>
        </w:rPr>
      </w:pPr>
      <w:r>
        <w:rPr>
          <w:color w:val="000000" w:themeColor="text1"/>
          <w14:textFill>
            <w14:solidFill>
              <w14:schemeClr w14:val="tx1"/>
            </w14:solidFill>
          </w14:textFill>
        </w:rPr>
        <w:t>十三、验收要求</w:t>
      </w:r>
    </w:p>
    <w:p>
      <w:pPr>
        <w:spacing w:line="364" w:lineRule="auto"/>
        <w:ind w:left="520" w:right="560"/>
        <w:rPr>
          <w:color w:val="000000" w:themeColor="text1"/>
          <w:sz w:val="20"/>
          <w14:textFill>
            <w14:solidFill>
              <w14:schemeClr w14:val="tx1"/>
            </w14:solidFill>
          </w14:textFill>
        </w:rPr>
      </w:pPr>
      <w:r>
        <w:rPr>
          <w:color w:val="000000" w:themeColor="text1"/>
          <w:sz w:val="20"/>
          <w14:textFill>
            <w14:solidFill>
              <w14:schemeClr w14:val="tx1"/>
            </w14:solidFill>
          </w14:textFill>
        </w:rPr>
        <w:t>软件系统的验收属于项目的合同验收，需符合广州市信息化项目相关验收管理办法的要求，同时需符合下列要求： 1.满足合同和招标文件中列举的全部要求。</w:t>
      </w:r>
    </w:p>
    <w:p>
      <w:pPr>
        <w:pStyle w:val="11"/>
        <w:numPr>
          <w:ilvl w:val="0"/>
          <w:numId w:val="9"/>
        </w:numPr>
        <w:tabs>
          <w:tab w:val="left" w:pos="720"/>
        </w:tabs>
        <w:spacing w:before="0" w:line="255"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实现合同和招标文件中列举的全部功能和非功能要求。</w:t>
      </w:r>
    </w:p>
    <w:p>
      <w:pPr>
        <w:pStyle w:val="11"/>
        <w:numPr>
          <w:ilvl w:val="0"/>
          <w:numId w:val="9"/>
        </w:numPr>
        <w:tabs>
          <w:tab w:val="left" w:pos="720"/>
        </w:tabs>
        <w:spacing w:before="131"/>
        <w:rPr>
          <w:color w:val="000000" w:themeColor="text1"/>
          <w:sz w:val="20"/>
          <w14:textFill>
            <w14:solidFill>
              <w14:schemeClr w14:val="tx1"/>
            </w14:solidFill>
          </w14:textFill>
        </w:rPr>
      </w:pPr>
      <w:r>
        <w:rPr>
          <w:color w:val="000000" w:themeColor="text1"/>
          <w:sz w:val="20"/>
          <w14:textFill>
            <w14:solidFill>
              <w14:schemeClr w14:val="tx1"/>
            </w14:solidFill>
          </w14:textFill>
        </w:rPr>
        <w:t>达到合同和招标文件中列举的</w:t>
      </w:r>
      <w:r>
        <w:rPr>
          <w:rFonts w:hint="eastAsia"/>
          <w:color w:val="000000" w:themeColor="text1"/>
          <w:sz w:val="20"/>
          <w14:textFill>
            <w14:solidFill>
              <w14:schemeClr w14:val="tx1"/>
            </w14:solidFill>
          </w14:textFill>
        </w:rPr>
        <w:t>绩效目标和指标</w:t>
      </w:r>
      <w:r>
        <w:rPr>
          <w:color w:val="000000" w:themeColor="text1"/>
          <w:sz w:val="20"/>
          <w14:textFill>
            <w14:solidFill>
              <w14:schemeClr w14:val="tx1"/>
            </w14:solidFill>
          </w14:textFill>
        </w:rPr>
        <w:t>。</w:t>
      </w:r>
    </w:p>
    <w:p>
      <w:pPr>
        <w:pStyle w:val="11"/>
        <w:numPr>
          <w:ilvl w:val="0"/>
          <w:numId w:val="9"/>
        </w:numPr>
        <w:tabs>
          <w:tab w:val="left" w:pos="720"/>
        </w:tabs>
        <w:spacing w:before="135" w:line="364" w:lineRule="auto"/>
        <w:ind w:left="119" w:right="139" w:firstLine="400"/>
        <w:rPr>
          <w:color w:val="000000" w:themeColor="text1"/>
          <w:sz w:val="20"/>
          <w14:textFill>
            <w14:solidFill>
              <w14:schemeClr w14:val="tx1"/>
            </w14:solidFill>
          </w14:textFill>
        </w:rPr>
      </w:pPr>
      <w:r>
        <w:rPr>
          <w:color w:val="000000" w:themeColor="text1"/>
          <w:sz w:val="20"/>
          <w14:textFill>
            <w14:solidFill>
              <w14:schemeClr w14:val="tx1"/>
            </w14:solidFill>
          </w14:textFill>
        </w:rPr>
        <w:t>文档齐全，符合合同和招标文件及相关标准要求，包括但不限于下列文档; 需求说明书、概要设计说明书、详细设计说明书、数据库设计说明书、测试计划、测试报告、用户手册、用户培训计划、会议记录和开发进度月报等。</w:t>
      </w:r>
    </w:p>
    <w:p>
      <w:pPr>
        <w:pStyle w:val="11"/>
        <w:numPr>
          <w:ilvl w:val="0"/>
          <w:numId w:val="9"/>
        </w:numPr>
        <w:tabs>
          <w:tab w:val="left" w:pos="720"/>
        </w:tabs>
        <w:spacing w:before="0" w:line="364" w:lineRule="auto"/>
        <w:ind w:left="421" w:right="759" w:firstLine="98"/>
        <w:rPr>
          <w:color w:val="000000" w:themeColor="text1"/>
          <w:sz w:val="20"/>
          <w14:textFill>
            <w14:solidFill>
              <w14:schemeClr w14:val="tx1"/>
            </w14:solidFill>
          </w14:textFill>
        </w:rPr>
      </w:pPr>
      <w:r>
        <w:rPr>
          <w:color w:val="000000" w:themeColor="text1"/>
          <w:sz w:val="20"/>
          <w14:textFill>
            <w14:solidFill>
              <w14:schemeClr w14:val="tx1"/>
            </w14:solidFill>
          </w14:textFill>
        </w:rPr>
        <w:t>验收项目包括按照合同和招标文件中所标明的软件系统，及相关的技术维护文档、培训教材、使用说明书等。</w:t>
      </w:r>
    </w:p>
    <w:p>
      <w:pPr>
        <w:pStyle w:val="11"/>
        <w:numPr>
          <w:ilvl w:val="0"/>
          <w:numId w:val="9"/>
        </w:numPr>
        <w:tabs>
          <w:tab w:val="left" w:pos="720"/>
        </w:tabs>
        <w:spacing w:before="0" w:line="364" w:lineRule="auto"/>
        <w:ind w:left="421" w:right="759" w:firstLine="98"/>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验收涉及到的文档模板在合同签订后，由中标人按采购人和监理要求提供并确认。采购人和监理审核确认项目验收材料后，组织项目验收专家评审。如验收不通过，再次组织验收涉及的专家费及会务费，由中标人支付。</w:t>
      </w:r>
    </w:p>
    <w:p>
      <w:pPr>
        <w:pStyle w:val="11"/>
        <w:tabs>
          <w:tab w:val="left" w:pos="720"/>
        </w:tabs>
        <w:spacing w:before="0" w:line="364" w:lineRule="auto"/>
        <w:ind w:left="519" w:right="759" w:firstLine="0"/>
        <w:rPr>
          <w:color w:val="000000" w:themeColor="text1"/>
          <w:sz w:val="20"/>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十四、培训</w:t>
      </w:r>
      <w:r>
        <w:rPr>
          <w:rFonts w:hint="eastAsia"/>
          <w:color w:val="000000" w:themeColor="text1"/>
          <w14:textFill>
            <w14:solidFill>
              <w14:schemeClr w14:val="tx1"/>
            </w14:solidFill>
          </w14:textFill>
        </w:rPr>
        <w:t>（培训计划、培训方式、培训内容）</w:t>
      </w:r>
    </w:p>
    <w:p>
      <w:pPr>
        <w:tabs>
          <w:tab w:val="left" w:pos="9729"/>
        </w:tabs>
        <w:spacing w:line="364" w:lineRule="auto"/>
        <w:ind w:left="119" w:right="139" w:firstLine="400"/>
        <w:rPr>
          <w:color w:val="000000" w:themeColor="text1"/>
          <w:sz w:val="20"/>
          <w14:textFill>
            <w14:solidFill>
              <w14:schemeClr w14:val="tx1"/>
            </w14:solidFill>
          </w14:textFill>
        </w:rPr>
      </w:pPr>
      <w:r>
        <w:rPr>
          <w:color w:val="000000" w:themeColor="text1"/>
          <w:sz w:val="20"/>
          <w14:textFill>
            <w14:solidFill>
              <w14:schemeClr w14:val="tx1"/>
            </w14:solidFill>
          </w14:textFill>
        </w:rPr>
        <w:t>为</w:t>
      </w:r>
      <w:r>
        <w:rPr>
          <w:color w:val="000000" w:themeColor="text1"/>
          <w:spacing w:val="5"/>
          <w:sz w:val="20"/>
          <w14:textFill>
            <w14:solidFill>
              <w14:schemeClr w14:val="tx1"/>
            </w14:solidFill>
          </w14:textFill>
        </w:rPr>
        <w:t>了</w:t>
      </w:r>
      <w:r>
        <w:rPr>
          <w:color w:val="000000" w:themeColor="text1"/>
          <w:sz w:val="20"/>
          <w14:textFill>
            <w14:solidFill>
              <w14:schemeClr w14:val="tx1"/>
            </w14:solidFill>
          </w14:textFill>
        </w:rPr>
        <w:t>保证培</w:t>
      </w:r>
      <w:r>
        <w:rPr>
          <w:color w:val="000000" w:themeColor="text1"/>
          <w:spacing w:val="5"/>
          <w:sz w:val="20"/>
          <w14:textFill>
            <w14:solidFill>
              <w14:schemeClr w14:val="tx1"/>
            </w14:solidFill>
          </w14:textFill>
        </w:rPr>
        <w:t>训</w:t>
      </w:r>
      <w:r>
        <w:rPr>
          <w:color w:val="000000" w:themeColor="text1"/>
          <w:sz w:val="20"/>
          <w14:textFill>
            <w14:solidFill>
              <w14:schemeClr w14:val="tx1"/>
            </w14:solidFill>
          </w14:textFill>
        </w:rPr>
        <w:t>与实</w:t>
      </w:r>
      <w:r>
        <w:rPr>
          <w:color w:val="000000" w:themeColor="text1"/>
          <w:spacing w:val="5"/>
          <w:sz w:val="20"/>
          <w14:textFill>
            <w14:solidFill>
              <w14:schemeClr w14:val="tx1"/>
            </w14:solidFill>
          </w14:textFill>
        </w:rPr>
        <w:t>际</w:t>
      </w:r>
      <w:r>
        <w:rPr>
          <w:color w:val="000000" w:themeColor="text1"/>
          <w:sz w:val="20"/>
          <w14:textFill>
            <w14:solidFill>
              <w14:schemeClr w14:val="tx1"/>
            </w14:solidFill>
          </w14:textFill>
        </w:rPr>
        <w:t>应用</w:t>
      </w:r>
      <w:r>
        <w:rPr>
          <w:color w:val="000000" w:themeColor="text1"/>
          <w:spacing w:val="5"/>
          <w:sz w:val="20"/>
          <w14:textFill>
            <w14:solidFill>
              <w14:schemeClr w14:val="tx1"/>
            </w14:solidFill>
          </w14:textFill>
        </w:rPr>
        <w:t>的</w:t>
      </w:r>
      <w:r>
        <w:rPr>
          <w:color w:val="000000" w:themeColor="text1"/>
          <w:sz w:val="20"/>
          <w14:textFill>
            <w14:solidFill>
              <w14:schemeClr w14:val="tx1"/>
            </w14:solidFill>
          </w14:textFill>
        </w:rPr>
        <w:t>结合，</w:t>
      </w:r>
      <w:r>
        <w:rPr>
          <w:color w:val="000000" w:themeColor="text1"/>
          <w:spacing w:val="5"/>
          <w:sz w:val="20"/>
          <w14:textFill>
            <w14:solidFill>
              <w14:schemeClr w14:val="tx1"/>
            </w14:solidFill>
          </w14:textFill>
        </w:rPr>
        <w:t>要</w:t>
      </w:r>
      <w:r>
        <w:rPr>
          <w:color w:val="000000" w:themeColor="text1"/>
          <w:sz w:val="20"/>
          <w14:textFill>
            <w14:solidFill>
              <w14:schemeClr w14:val="tx1"/>
            </w14:solidFill>
          </w14:textFill>
        </w:rPr>
        <w:t>求中</w:t>
      </w:r>
      <w:r>
        <w:rPr>
          <w:color w:val="000000" w:themeColor="text1"/>
          <w:spacing w:val="5"/>
          <w:sz w:val="20"/>
          <w14:textFill>
            <w14:solidFill>
              <w14:schemeClr w14:val="tx1"/>
            </w14:solidFill>
          </w14:textFill>
        </w:rPr>
        <w:t>标</w:t>
      </w:r>
      <w:r>
        <w:rPr>
          <w:color w:val="000000" w:themeColor="text1"/>
          <w:sz w:val="20"/>
          <w14:textFill>
            <w14:solidFill>
              <w14:schemeClr w14:val="tx1"/>
            </w14:solidFill>
          </w14:textFill>
        </w:rPr>
        <w:t>人负责</w:t>
      </w:r>
      <w:r>
        <w:rPr>
          <w:color w:val="000000" w:themeColor="text1"/>
          <w:spacing w:val="5"/>
          <w:sz w:val="20"/>
          <w14:textFill>
            <w14:solidFill>
              <w14:schemeClr w14:val="tx1"/>
            </w14:solidFill>
          </w14:textFill>
        </w:rPr>
        <w:t>派</w:t>
      </w:r>
      <w:r>
        <w:rPr>
          <w:color w:val="000000" w:themeColor="text1"/>
          <w:sz w:val="20"/>
          <w14:textFill>
            <w14:solidFill>
              <w14:schemeClr w14:val="tx1"/>
            </w14:solidFill>
          </w14:textFill>
        </w:rPr>
        <w:t>出专</w:t>
      </w:r>
      <w:r>
        <w:rPr>
          <w:color w:val="000000" w:themeColor="text1"/>
          <w:spacing w:val="4"/>
          <w:sz w:val="20"/>
          <w14:textFill>
            <w14:solidFill>
              <w14:schemeClr w14:val="tx1"/>
            </w14:solidFill>
          </w14:textFill>
        </w:rPr>
        <w:t>业</w:t>
      </w:r>
      <w:r>
        <w:rPr>
          <w:color w:val="000000" w:themeColor="text1"/>
          <w:sz w:val="20"/>
          <w14:textFill>
            <w14:solidFill>
              <w14:schemeClr w14:val="tx1"/>
            </w14:solidFill>
          </w14:textFill>
        </w:rPr>
        <w:t>技术</w:t>
      </w:r>
      <w:r>
        <w:rPr>
          <w:color w:val="000000" w:themeColor="text1"/>
          <w:spacing w:val="4"/>
          <w:sz w:val="20"/>
          <w14:textFill>
            <w14:solidFill>
              <w14:schemeClr w14:val="tx1"/>
            </w14:solidFill>
          </w14:textFill>
        </w:rPr>
        <w:t>工</w:t>
      </w:r>
      <w:r>
        <w:rPr>
          <w:color w:val="000000" w:themeColor="text1"/>
          <w:sz w:val="20"/>
          <w14:textFill>
            <w14:solidFill>
              <w14:schemeClr w14:val="tx1"/>
            </w14:solidFill>
          </w14:textFill>
        </w:rPr>
        <w:t>程师在</w:t>
      </w:r>
      <w:r>
        <w:rPr>
          <w:color w:val="000000" w:themeColor="text1"/>
          <w:spacing w:val="4"/>
          <w:sz w:val="20"/>
          <w14:textFill>
            <w14:solidFill>
              <w14:schemeClr w14:val="tx1"/>
            </w14:solidFill>
          </w14:textFill>
        </w:rPr>
        <w:t>系</w:t>
      </w:r>
      <w:r>
        <w:rPr>
          <w:color w:val="000000" w:themeColor="text1"/>
          <w:sz w:val="20"/>
          <w14:textFill>
            <w14:solidFill>
              <w14:schemeClr w14:val="tx1"/>
            </w14:solidFill>
          </w14:textFill>
        </w:rPr>
        <w:t>统实</w:t>
      </w:r>
      <w:r>
        <w:rPr>
          <w:color w:val="000000" w:themeColor="text1"/>
          <w:spacing w:val="4"/>
          <w:sz w:val="20"/>
          <w14:textFill>
            <w14:solidFill>
              <w14:schemeClr w14:val="tx1"/>
            </w14:solidFill>
          </w14:textFill>
        </w:rPr>
        <w:t>施</w:t>
      </w:r>
      <w:r>
        <w:rPr>
          <w:color w:val="000000" w:themeColor="text1"/>
          <w:sz w:val="20"/>
          <w14:textFill>
            <w14:solidFill>
              <w14:schemeClr w14:val="tx1"/>
            </w14:solidFill>
          </w14:textFill>
        </w:rPr>
        <w:t>现场对</w:t>
      </w:r>
      <w:r>
        <w:rPr>
          <w:color w:val="000000" w:themeColor="text1"/>
          <w:spacing w:val="4"/>
          <w:sz w:val="20"/>
          <w14:textFill>
            <w14:solidFill>
              <w14:schemeClr w14:val="tx1"/>
            </w14:solidFill>
          </w14:textFill>
        </w:rPr>
        <w:t>采</w:t>
      </w:r>
      <w:r>
        <w:rPr>
          <w:color w:val="000000" w:themeColor="text1"/>
          <w:sz w:val="20"/>
          <w14:textFill>
            <w14:solidFill>
              <w14:schemeClr w14:val="tx1"/>
            </w14:solidFill>
          </w14:textFill>
        </w:rPr>
        <w:t>购人</w:t>
      </w:r>
      <w:r>
        <w:rPr>
          <w:color w:val="000000" w:themeColor="text1"/>
          <w:spacing w:val="4"/>
          <w:sz w:val="20"/>
          <w14:textFill>
            <w14:solidFill>
              <w14:schemeClr w14:val="tx1"/>
            </w14:solidFill>
          </w14:textFill>
        </w:rPr>
        <w:t>进</w:t>
      </w:r>
      <w:r>
        <w:rPr>
          <w:color w:val="000000" w:themeColor="text1"/>
          <w:sz w:val="20"/>
          <w14:textFill>
            <w14:solidFill>
              <w14:schemeClr w14:val="tx1"/>
            </w14:solidFill>
          </w14:textFill>
        </w:rPr>
        <w:t>行</w:t>
      </w:r>
      <w:r>
        <w:rPr>
          <w:color w:val="000000" w:themeColor="text1"/>
          <w:sz w:val="20"/>
          <w:u w:val="single"/>
          <w14:textFill>
            <w14:solidFill>
              <w14:schemeClr w14:val="tx1"/>
            </w14:solidFill>
          </w14:textFill>
        </w:rPr>
        <w:t xml:space="preserve"> </w:t>
      </w:r>
      <w:r>
        <w:rPr>
          <w:rFonts w:hint="eastAsia"/>
          <w:color w:val="000000" w:themeColor="text1"/>
          <w:sz w:val="20"/>
          <w:u w:val="single"/>
          <w:lang w:val="en-US"/>
          <w14:textFill>
            <w14:solidFill>
              <w14:schemeClr w14:val="tx1"/>
            </w14:solidFill>
          </w14:textFill>
        </w:rPr>
        <w:t xml:space="preserve">2 </w:t>
      </w:r>
      <w:r>
        <w:rPr>
          <w:color w:val="000000" w:themeColor="text1"/>
          <w:sz w:val="20"/>
          <w14:textFill>
            <w14:solidFill>
              <w14:schemeClr w14:val="tx1"/>
            </w14:solidFill>
          </w14:textFill>
        </w:rPr>
        <w:t>次</w:t>
      </w:r>
      <w:r>
        <w:rPr>
          <w:color w:val="000000" w:themeColor="text1"/>
          <w:spacing w:val="4"/>
          <w:sz w:val="20"/>
          <w14:textFill>
            <w14:solidFill>
              <w14:schemeClr w14:val="tx1"/>
            </w14:solidFill>
          </w14:textFill>
        </w:rPr>
        <w:t>免</w:t>
      </w:r>
      <w:r>
        <w:rPr>
          <w:color w:val="000000" w:themeColor="text1"/>
          <w:sz w:val="20"/>
          <w14:textFill>
            <w14:solidFill>
              <w14:schemeClr w14:val="tx1"/>
            </w14:solidFill>
          </w14:textFill>
        </w:rPr>
        <w:t>费现场</w:t>
      </w:r>
      <w:r>
        <w:rPr>
          <w:color w:val="000000" w:themeColor="text1"/>
          <w:spacing w:val="-13"/>
          <w:sz w:val="20"/>
          <w14:textFill>
            <w14:solidFill>
              <w14:schemeClr w14:val="tx1"/>
            </w14:solidFill>
          </w14:textFill>
        </w:rPr>
        <w:t>培</w:t>
      </w:r>
      <w:r>
        <w:rPr>
          <w:color w:val="000000" w:themeColor="text1"/>
          <w:sz w:val="20"/>
          <w14:textFill>
            <w14:solidFill>
              <w14:schemeClr w14:val="tx1"/>
            </w14:solidFill>
          </w14:textFill>
        </w:rPr>
        <w:t>训，培训内容包括：</w:t>
      </w:r>
    </w:p>
    <w:p>
      <w:pPr>
        <w:pStyle w:val="11"/>
        <w:numPr>
          <w:ilvl w:val="0"/>
          <w:numId w:val="10"/>
        </w:numPr>
        <w:tabs>
          <w:tab w:val="left" w:pos="720"/>
        </w:tabs>
        <w:spacing w:before="0" w:line="255"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培训业务人员，使他们熟练操作软件的各项功能；</w:t>
      </w:r>
    </w:p>
    <w:p>
      <w:pPr>
        <w:pStyle w:val="11"/>
        <w:numPr>
          <w:ilvl w:val="0"/>
          <w:numId w:val="10"/>
        </w:numPr>
        <w:tabs>
          <w:tab w:val="left" w:pos="720"/>
        </w:tabs>
        <w:spacing w:before="130" w:line="364" w:lineRule="auto"/>
        <w:ind w:left="520" w:right="159" w:firstLine="0"/>
        <w:rPr>
          <w:color w:val="000000" w:themeColor="text1"/>
          <w:sz w:val="20"/>
          <w14:textFill>
            <w14:solidFill>
              <w14:schemeClr w14:val="tx1"/>
            </w14:solidFill>
          </w14:textFill>
        </w:rPr>
      </w:pPr>
      <w:r>
        <w:rPr>
          <w:color w:val="000000" w:themeColor="text1"/>
          <w:sz w:val="20"/>
          <w14:textFill>
            <w14:solidFill>
              <w14:schemeClr w14:val="tx1"/>
            </w14:solidFill>
          </w14:textFill>
        </w:rPr>
        <w:t>培训技术人员，为用户培训相应的维护人员，便于维护日常系统，包括系统网络、系统软件、系统维护及相关技术。</w:t>
      </w:r>
    </w:p>
    <w:p>
      <w:pPr>
        <w:pStyle w:val="3"/>
        <w:rPr>
          <w:color w:val="000000" w:themeColor="text1"/>
          <w14:textFill>
            <w14:solidFill>
              <w14:schemeClr w14:val="tx1"/>
            </w14:solidFill>
          </w14:textFill>
        </w:rPr>
      </w:pPr>
      <w:r>
        <w:rPr>
          <w:color w:val="000000" w:themeColor="text1"/>
          <w14:textFill>
            <w14:solidFill>
              <w14:schemeClr w14:val="tx1"/>
            </w14:solidFill>
          </w14:textFill>
        </w:rPr>
        <w:t>十五、售后服务要求</w:t>
      </w:r>
    </w:p>
    <w:p>
      <w:pPr>
        <w:spacing w:line="255" w:lineRule="exact"/>
        <w:ind w:left="599"/>
        <w:rPr>
          <w:color w:val="000000" w:themeColor="text1"/>
          <w:sz w:val="20"/>
          <w14:textFill>
            <w14:solidFill>
              <w14:schemeClr w14:val="tx1"/>
            </w14:solidFill>
          </w14:textFill>
        </w:rPr>
      </w:pPr>
      <w:r>
        <w:rPr>
          <w:color w:val="000000" w:themeColor="text1"/>
          <w:sz w:val="20"/>
          <w14:textFill>
            <w14:solidFill>
              <w14:schemeClr w14:val="tx1"/>
            </w14:solidFill>
          </w14:textFill>
        </w:rPr>
        <w:t>（一）软件系统提供1年以上免费升级及维护服务。</w:t>
      </w:r>
    </w:p>
    <w:p>
      <w:pPr>
        <w:spacing w:before="135"/>
        <w:ind w:left="599"/>
        <w:rPr>
          <w:color w:val="000000" w:themeColor="text1"/>
          <w:sz w:val="20"/>
          <w14:textFill>
            <w14:solidFill>
              <w14:schemeClr w14:val="tx1"/>
            </w14:solidFill>
          </w14:textFill>
        </w:rPr>
      </w:pPr>
      <w:r>
        <w:rPr>
          <w:color w:val="000000" w:themeColor="text1"/>
          <w:sz w:val="20"/>
          <w14:textFill>
            <w14:solidFill>
              <w14:schemeClr w14:val="tx1"/>
            </w14:solidFill>
          </w14:textFill>
        </w:rPr>
        <w:t>（二）保修期内，所有软件系统维护均为免费</w:t>
      </w:r>
      <w:r>
        <w:rPr>
          <w:rFonts w:hint="eastAsia"/>
          <w:color w:val="000000" w:themeColor="text1"/>
          <w:sz w:val="20"/>
          <w:lang w:val="en-US"/>
          <w14:textFill>
            <w14:solidFill>
              <w14:schemeClr w14:val="tx1"/>
            </w14:solidFill>
          </w14:textFill>
        </w:rPr>
        <w:t>。</w:t>
      </w:r>
    </w:p>
    <w:p>
      <w:pPr>
        <w:spacing w:before="133" w:line="364" w:lineRule="auto"/>
        <w:ind w:left="119" w:right="139" w:firstLine="480"/>
        <w:rPr>
          <w:color w:val="000000" w:themeColor="text1"/>
          <w14:textFill>
            <w14:solidFill>
              <w14:schemeClr w14:val="tx1"/>
            </w14:solidFill>
          </w14:textFill>
        </w:rPr>
      </w:pPr>
      <w:r>
        <w:rPr>
          <w:color w:val="000000" w:themeColor="text1"/>
          <w:sz w:val="20"/>
          <w14:textFill>
            <w14:solidFill>
              <w14:schemeClr w14:val="tx1"/>
            </w14:solidFill>
          </w14:textFill>
        </w:rPr>
        <w:t>（三）中标人需设置售后服务机构，并配置服务人员。故障报修的响应时间：</w:t>
      </w:r>
      <w:r>
        <w:rPr>
          <w:rFonts w:hint="eastAsia"/>
          <w:color w:val="000000" w:themeColor="text1"/>
          <w:sz w:val="20"/>
          <w14:textFill>
            <w14:solidFill>
              <w14:schemeClr w14:val="tx1"/>
            </w14:solidFill>
          </w14:textFill>
        </w:rPr>
        <w:t>工作日</w:t>
      </w:r>
      <w:r>
        <w:rPr>
          <w:color w:val="000000" w:themeColor="text1"/>
          <w:sz w:val="20"/>
          <w14:textFill>
            <w14:solidFill>
              <w14:schemeClr w14:val="tx1"/>
            </w14:solidFill>
          </w14:textFill>
        </w:rPr>
        <w:t>8：30～18:00期间为</w:t>
      </w:r>
      <w:r>
        <w:rPr>
          <w:rFonts w:hint="eastAsia"/>
          <w:color w:val="000000" w:themeColor="text1"/>
          <w:sz w:val="20"/>
          <w:lang w:val="en-US"/>
          <w14:textFill>
            <w14:solidFill>
              <w14:schemeClr w14:val="tx1"/>
            </w14:solidFill>
          </w14:textFill>
        </w:rPr>
        <w:t>1</w:t>
      </w:r>
      <w:r>
        <w:rPr>
          <w:color w:val="000000" w:themeColor="text1"/>
          <w:sz w:val="20"/>
          <w14:textFill>
            <w14:solidFill>
              <w14:schemeClr w14:val="tx1"/>
            </w14:solidFill>
          </w14:textFill>
        </w:rPr>
        <w:t>小时</w:t>
      </w:r>
      <w:r>
        <w:rPr>
          <w:rFonts w:hint="eastAsia"/>
          <w:color w:val="000000" w:themeColor="text1"/>
          <w:sz w:val="20"/>
          <w14:textFill>
            <w14:solidFill>
              <w14:schemeClr w14:val="tx1"/>
            </w14:solidFill>
          </w14:textFill>
        </w:rPr>
        <w:t>，其余时间</w:t>
      </w:r>
      <w:r>
        <w:rPr>
          <w:rFonts w:hint="eastAsia"/>
          <w:color w:val="000000" w:themeColor="text1"/>
          <w:sz w:val="20"/>
          <w:lang w:val="en-US"/>
          <w14:textFill>
            <w14:solidFill>
              <w14:schemeClr w14:val="tx1"/>
            </w14:solidFill>
          </w14:textFill>
        </w:rPr>
        <w:t>2小时</w:t>
      </w: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严重故障时，</w:t>
      </w:r>
      <w:r>
        <w:rPr>
          <w:rFonts w:hint="eastAsia"/>
          <w:color w:val="000000" w:themeColor="text1"/>
          <w:sz w:val="20"/>
          <w:lang w:val="en-US"/>
          <w14:textFill>
            <w14:solidFill>
              <w14:schemeClr w14:val="tx1"/>
            </w14:solidFill>
          </w14:textFill>
        </w:rPr>
        <w:t>2小时内到达现场处理。提供7*24小时技术支持热线，</w:t>
      </w:r>
      <w:r>
        <w:rPr>
          <w:color w:val="000000" w:themeColor="text1"/>
          <w:sz w:val="20"/>
          <w14:textFill>
            <w14:solidFill>
              <w14:schemeClr w14:val="tx1"/>
            </w14:solidFill>
          </w14:textFill>
        </w:rPr>
        <w:t>若电话中无法解决，</w:t>
      </w:r>
      <w:r>
        <w:rPr>
          <w:rFonts w:hint="eastAsia"/>
          <w:color w:val="000000" w:themeColor="text1"/>
          <w:sz w:val="20"/>
          <w:lang w:val="en-US"/>
          <w14:textFill>
            <w14:solidFill>
              <w14:schemeClr w14:val="tx1"/>
            </w14:solidFill>
          </w14:textFill>
        </w:rPr>
        <w:t>4</w:t>
      </w:r>
      <w:r>
        <w:rPr>
          <w:color w:val="000000" w:themeColor="text1"/>
          <w:sz w:val="20"/>
          <w14:textFill>
            <w14:solidFill>
              <w14:schemeClr w14:val="tx1"/>
            </w14:solidFill>
          </w14:textFill>
        </w:rPr>
        <w:t>小时内</w:t>
      </w:r>
      <w:r>
        <w:rPr>
          <w:rFonts w:hint="eastAsia"/>
          <w:color w:val="000000" w:themeColor="text1"/>
          <w:sz w:val="20"/>
          <w14:textFill>
            <w14:solidFill>
              <w14:schemeClr w14:val="tx1"/>
            </w14:solidFill>
          </w14:textFill>
        </w:rPr>
        <w:t>派员</w:t>
      </w:r>
      <w:r>
        <w:rPr>
          <w:color w:val="000000" w:themeColor="text1"/>
          <w:sz w:val="20"/>
          <w14:textFill>
            <w14:solidFill>
              <w14:schemeClr w14:val="tx1"/>
            </w14:solidFill>
          </w14:textFill>
        </w:rPr>
        <w:t>到达现场进行维护。</w:t>
      </w:r>
    </w:p>
    <w:p>
      <w:pPr>
        <w:spacing w:before="135"/>
        <w:ind w:left="599"/>
        <w:rPr>
          <w:color w:val="000000" w:themeColor="text1"/>
          <w:sz w:val="20"/>
          <w14:textFill>
            <w14:solidFill>
              <w14:schemeClr w14:val="tx1"/>
            </w14:solidFill>
          </w14:textFill>
        </w:rPr>
      </w:pPr>
      <w:r>
        <w:rPr>
          <w:color w:val="000000" w:themeColor="text1"/>
          <w:sz w:val="20"/>
          <w14:textFill>
            <w14:solidFill>
              <w14:schemeClr w14:val="tx1"/>
            </w14:solidFill>
          </w14:textFill>
        </w:rPr>
        <w:t>（四）保修期内，所有设备维修服务均为上门服务，由此产生的费用均不再收取。</w:t>
      </w:r>
    </w:p>
    <w:p>
      <w:pPr>
        <w:spacing w:before="135"/>
        <w:ind w:left="599"/>
        <w:rPr>
          <w:color w:val="000000" w:themeColor="text1"/>
          <w:sz w:val="20"/>
          <w14:textFill>
            <w14:solidFill>
              <w14:schemeClr w14:val="tx1"/>
            </w14:solidFill>
          </w14:textFill>
        </w:rPr>
      </w:pPr>
      <w:r>
        <w:rPr>
          <w:color w:val="000000" w:themeColor="text1"/>
          <w:sz w:val="20"/>
          <w14:textFill>
            <w14:solidFill>
              <w14:schemeClr w14:val="tx1"/>
            </w14:solidFill>
          </w14:textFill>
        </w:rPr>
        <w:t>（五）需提供系统扩充、升级方面的技术支持服务</w:t>
      </w:r>
      <w:r>
        <w:rPr>
          <w:rFonts w:hint="eastAsia"/>
          <w:color w:val="000000" w:themeColor="text1"/>
          <w:sz w:val="20"/>
          <w14:textFill>
            <w14:solidFill>
              <w14:schemeClr w14:val="tx1"/>
            </w14:solidFill>
          </w14:textFill>
        </w:rPr>
        <w:t>，以及</w:t>
      </w:r>
      <w:r>
        <w:rPr>
          <w:rFonts w:hint="eastAsia"/>
          <w:color w:val="000000" w:themeColor="text1"/>
          <w:sz w:val="20"/>
          <w:lang w:val="en-US"/>
          <w14:textFill>
            <w14:solidFill>
              <w14:schemeClr w14:val="tx1"/>
            </w14:solidFill>
          </w14:textFill>
        </w:rPr>
        <w:t>保修期内间因政策变化产生的功能调整服务</w:t>
      </w:r>
      <w:r>
        <w:rPr>
          <w:color w:val="000000" w:themeColor="text1"/>
          <w:sz w:val="20"/>
          <w14:textFill>
            <w14:solidFill>
              <w14:schemeClr w14:val="tx1"/>
            </w14:solidFill>
          </w14:textFill>
        </w:rPr>
        <w:t>。</w:t>
      </w:r>
    </w:p>
    <w:p>
      <w:pPr>
        <w:pStyle w:val="2"/>
        <w:rPr>
          <w:color w:val="000000" w:themeColor="text1"/>
          <w:sz w:val="20"/>
          <w14:textFill>
            <w14:solidFill>
              <w14:schemeClr w14:val="tx1"/>
            </w14:solidFill>
          </w14:textFill>
        </w:rPr>
      </w:pPr>
    </w:p>
    <w:p>
      <w:pPr>
        <w:pStyle w:val="2"/>
        <w:spacing w:before="9"/>
        <w:rPr>
          <w:color w:val="000000" w:themeColor="text1"/>
          <w:sz w:val="20"/>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十六、信息安全及保密要求</w:t>
      </w:r>
    </w:p>
    <w:p>
      <w:pPr>
        <w:spacing w:before="133" w:line="364" w:lineRule="auto"/>
        <w:ind w:left="119" w:right="159" w:firstLine="300"/>
        <w:rPr>
          <w:color w:val="000000" w:themeColor="text1"/>
          <w:sz w:val="20"/>
          <w14:textFill>
            <w14:solidFill>
              <w14:schemeClr w14:val="tx1"/>
            </w14:solidFill>
          </w14:textFill>
        </w:rPr>
      </w:pPr>
      <w:r>
        <w:rPr>
          <w:color w:val="000000" w:themeColor="text1"/>
          <w:sz w:val="20"/>
          <w14:textFill>
            <w14:solidFill>
              <w14:schemeClr w14:val="tx1"/>
            </w14:solidFill>
          </w14:textFill>
        </w:rPr>
        <w:t>（一）中标人应严格遵守信息安全方面的规定，自觉保守信息资源秘密。项目成果以及采购人为方便项目实施所提供给中标人的相关资料文档，实施过程中所产生的资料、文档、数据、相关附属品均属于信息资源，中标人应保证这些信息在项目期间及项目完成后规定时间内的安全。中标人应建立并实际运行项目进展期间的信息安全管理规范，以确保项目启动、实施及完成后的信息安全。</w:t>
      </w:r>
    </w:p>
    <w:p>
      <w:pPr>
        <w:spacing w:line="364" w:lineRule="auto"/>
        <w:ind w:left="119" w:right="260" w:firstLine="300"/>
        <w:rPr>
          <w:color w:val="000000" w:themeColor="text1"/>
          <w:sz w:val="20"/>
          <w14:textFill>
            <w14:solidFill>
              <w14:schemeClr w14:val="tx1"/>
            </w14:solidFill>
          </w14:textFill>
        </w:rPr>
      </w:pPr>
      <w:r>
        <w:rPr>
          <w:color w:val="000000" w:themeColor="text1"/>
          <w:sz w:val="20"/>
          <w14:textFill>
            <w14:solidFill>
              <w14:schemeClr w14:val="tx1"/>
            </w14:solidFill>
          </w14:textFill>
        </w:rPr>
        <w:t>（二）非经采购人书面许可，中标人不得以任何形式泄漏以上材料。因中标人原因导致上述资料、文档、数据安全受到威胁的，采购人有权要求中标人采取措施消除影响，并赔偿相应损失。</w:t>
      </w:r>
    </w:p>
    <w:p>
      <w:pPr>
        <w:spacing w:line="364" w:lineRule="auto"/>
        <w:ind w:left="119" w:right="260" w:firstLine="300"/>
        <w:rPr>
          <w:color w:val="000000" w:themeColor="text1"/>
          <w:sz w:val="20"/>
          <w14:textFill>
            <w14:solidFill>
              <w14:schemeClr w14:val="tx1"/>
            </w14:solidFill>
          </w14:textFill>
        </w:rPr>
      </w:pPr>
      <w:r>
        <w:rPr>
          <w:color w:val="000000" w:themeColor="text1"/>
          <w:sz w:val="20"/>
          <w14:textFill>
            <w14:solidFill>
              <w14:schemeClr w14:val="tx1"/>
            </w14:solidFill>
          </w14:textFill>
        </w:rPr>
        <w:t>（三）中标人要承担合同履行时所要尽的一切保密义务。中标人对项目实施过程中的资料、数据进行保密，未经采购人书面同意不得泄露，且保密责任不因合同的中止或解除而失效。</w:t>
      </w:r>
    </w:p>
    <w:p>
      <w:pPr>
        <w:pStyle w:val="2"/>
        <w:spacing w:before="9"/>
        <w:rPr>
          <w:color w:val="000000" w:themeColor="text1"/>
          <w:sz w:val="24"/>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十七、付款方式</w:t>
      </w:r>
    </w:p>
    <w:p>
      <w:pPr>
        <w:spacing w:line="364" w:lineRule="auto"/>
        <w:ind w:left="119" w:right="260" w:firstLine="3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(一)在签订合同，开具发票后5工作日内，办理将合同总额的30%付给中标人</w:t>
      </w:r>
      <w:r>
        <w:rPr>
          <w:rFonts w:hint="eastAsia"/>
          <w:color w:val="000000" w:themeColor="text1"/>
          <w:sz w:val="20"/>
          <w:lang w:val="en-US"/>
          <w14:textFill>
            <w14:solidFill>
              <w14:schemeClr w14:val="tx1"/>
            </w14:solidFill>
          </w14:textFill>
        </w:rPr>
        <w:t>的手续</w:t>
      </w:r>
      <w:r>
        <w:rPr>
          <w:rFonts w:hint="eastAsia"/>
          <w:color w:val="000000" w:themeColor="text1"/>
          <w:sz w:val="20"/>
          <w14:textFill>
            <w14:solidFill>
              <w14:schemeClr w14:val="tx1"/>
            </w14:solidFill>
          </w14:textFill>
        </w:rPr>
        <w:t>;</w:t>
      </w:r>
    </w:p>
    <w:p>
      <w:pPr>
        <w:spacing w:line="364" w:lineRule="auto"/>
        <w:ind w:left="119" w:right="260" w:firstLine="3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(二)在项目完成需求确认工作，开具发票后5个工作日内，办理将合同总额的30%付给中标人</w:t>
      </w:r>
      <w:r>
        <w:rPr>
          <w:rFonts w:hint="eastAsia"/>
          <w:color w:val="000000" w:themeColor="text1"/>
          <w:sz w:val="20"/>
          <w:lang w:val="en-US"/>
          <w14:textFill>
            <w14:solidFill>
              <w14:schemeClr w14:val="tx1"/>
            </w14:solidFill>
          </w14:textFill>
        </w:rPr>
        <w:t>的手续</w:t>
      </w:r>
      <w:r>
        <w:rPr>
          <w:rFonts w:hint="eastAsia"/>
          <w:color w:val="000000" w:themeColor="text1"/>
          <w:sz w:val="20"/>
          <w14:textFill>
            <w14:solidFill>
              <w14:schemeClr w14:val="tx1"/>
            </w14:solidFill>
          </w14:textFill>
        </w:rPr>
        <w:t>；</w:t>
      </w:r>
    </w:p>
    <w:p>
      <w:pPr>
        <w:spacing w:line="364" w:lineRule="auto"/>
        <w:ind w:left="119" w:right="260" w:firstLine="3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(三)在项目系统开发完毕上线试运行，开具发票后5个工作日内，办理将合同总额的35%付给中标人</w:t>
      </w:r>
      <w:r>
        <w:rPr>
          <w:rFonts w:hint="eastAsia"/>
          <w:color w:val="000000" w:themeColor="text1"/>
          <w:sz w:val="20"/>
          <w:lang w:val="en-US"/>
          <w14:textFill>
            <w14:solidFill>
              <w14:schemeClr w14:val="tx1"/>
            </w14:solidFill>
          </w14:textFill>
        </w:rPr>
        <w:t>的手续</w:t>
      </w:r>
      <w:r>
        <w:rPr>
          <w:rFonts w:hint="eastAsia"/>
          <w:color w:val="000000" w:themeColor="text1"/>
          <w:sz w:val="20"/>
          <w14:textFill>
            <w14:solidFill>
              <w14:schemeClr w14:val="tx1"/>
            </w14:solidFill>
          </w14:textFill>
        </w:rPr>
        <w:t>;</w:t>
      </w:r>
    </w:p>
    <w:p>
      <w:pPr>
        <w:spacing w:line="364" w:lineRule="auto"/>
        <w:ind w:left="119" w:right="260" w:firstLine="3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(四)通过合同验收，开具发票后5个工作日内，办理支付合同总金额的5%给中标人</w:t>
      </w:r>
      <w:r>
        <w:rPr>
          <w:rFonts w:hint="eastAsia"/>
          <w:color w:val="000000" w:themeColor="text1"/>
          <w:sz w:val="20"/>
          <w:lang w:val="en-US"/>
          <w14:textFill>
            <w14:solidFill>
              <w14:schemeClr w14:val="tx1"/>
            </w14:solidFill>
          </w14:textFill>
        </w:rPr>
        <w:t>的手续</w:t>
      </w:r>
      <w:r>
        <w:rPr>
          <w:rFonts w:hint="eastAsia"/>
          <w:color w:val="000000" w:themeColor="text1"/>
          <w:sz w:val="20"/>
          <w14:textFill>
            <w14:solidFill>
              <w14:schemeClr w14:val="tx1"/>
            </w14:solidFill>
          </w14:textFill>
        </w:rPr>
        <w:t>。</w:t>
      </w:r>
    </w:p>
    <w:p>
      <w:pPr>
        <w:spacing w:line="360" w:lineRule="auto"/>
        <w:ind w:firstLine="42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中标人需在采购人办理付款手续前5个工作日内，向采购人提供符合国家财务规定的相应数额的发票。逾期提供或提供的发票不符合规定的，采购人有权顺延办理支付手续。</w:t>
      </w:r>
    </w:p>
    <w:p>
      <w:pPr>
        <w:spacing w:line="360" w:lineRule="auto"/>
        <w:ind w:firstLine="42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采购人向中标人账户汇出款项后，即视为已履行付款义务，在汇款过程中，因中标人账户的原因（包括但不限于账号被注销、被冻结等）导致其无法收取款项的，由中标人承担相应后果。采购人有权直接在应付款项中扣除中标人应承担违约金或赔偿金等</w:t>
      </w:r>
      <w:r>
        <w:rPr>
          <w:rFonts w:hint="eastAsia"/>
          <w:color w:val="000000" w:themeColor="text1"/>
          <w:sz w:val="20"/>
          <w:szCs w:val="20"/>
          <w14:textFill>
            <w14:solidFill>
              <w14:schemeClr w14:val="tx1"/>
            </w14:solidFill>
          </w14:textFill>
        </w:rPr>
        <w:t>。</w:t>
      </w:r>
    </w:p>
    <w:p>
      <w:pPr>
        <w:spacing w:line="360" w:lineRule="auto"/>
        <w:ind w:firstLine="42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合同款项的支付时间以</w:t>
      </w:r>
      <w:bookmarkStart w:id="234" w:name="_GoBack"/>
      <w:bookmarkEnd w:id="234"/>
      <w:r>
        <w:rPr>
          <w:rFonts w:hint="eastAsia"/>
          <w:color w:val="000000" w:themeColor="text1"/>
          <w:sz w:val="20"/>
          <w:szCs w:val="20"/>
          <w14:textFill>
            <w14:solidFill>
              <w14:schemeClr w14:val="tx1"/>
            </w14:solidFill>
          </w14:textFill>
        </w:rPr>
        <w:t>财政下达资金为前提，如有达到支付条件但财政资金未到位的情形，则支付时间顺延；如下达财政资金不足以全额支付已达支付条件的合同进度款，可在财政资金额度内支付部分合同进度款，余下部分待资金到位后再支付，以上情况采购人并不因此承担违约责任。</w:t>
      </w:r>
    </w:p>
    <w:p>
      <w:pPr>
        <w:pStyle w:val="2"/>
        <w:rPr>
          <w:color w:val="000000" w:themeColor="text1"/>
          <w14:textFill>
            <w14:solidFill>
              <w14:schemeClr w14:val="tx1"/>
            </w14:solidFill>
          </w14:textFill>
        </w:rPr>
      </w:pPr>
    </w:p>
    <w:p>
      <w:pPr>
        <w:spacing w:line="312" w:lineRule="auto"/>
        <w:ind w:firstLine="440" w:firstLineChars="200"/>
        <w:outlineLvl w:val="1"/>
        <w:rPr>
          <w:b/>
          <w:color w:val="000000" w:themeColor="text1"/>
          <w:sz w:val="21"/>
          <w:szCs w:val="21"/>
          <w14:textFill>
            <w14:solidFill>
              <w14:schemeClr w14:val="tx1"/>
            </w14:solidFill>
          </w14:textFill>
        </w:rPr>
      </w:pPr>
      <w:r>
        <w:rPr>
          <w:color w:val="000000" w:themeColor="text1"/>
          <w14:textFill>
            <w14:solidFill>
              <w14:schemeClr w14:val="tx1"/>
            </w14:solidFill>
          </w14:textFill>
        </w:rPr>
        <w:t>十八、</w:t>
      </w:r>
      <w:r>
        <w:rPr>
          <w:rFonts w:hint="eastAsia"/>
          <w:b/>
          <w:color w:val="000000" w:themeColor="text1"/>
          <w:sz w:val="21"/>
          <w:szCs w:val="21"/>
          <w14:textFill>
            <w14:solidFill>
              <w14:schemeClr w14:val="tx1"/>
            </w14:solidFill>
          </w14:textFill>
        </w:rPr>
        <w:t>原型演示及答辩要求</w:t>
      </w:r>
    </w:p>
    <w:p>
      <w:pPr>
        <w:pStyle w:val="12"/>
        <w:spacing w:line="312" w:lineRule="auto"/>
        <w:ind w:firstLine="369" w:firstLineChars="17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本项目要求在评标过程中进行原型演示及答辩，建议供应商在</w:t>
      </w:r>
      <w:r>
        <w:rPr>
          <w:rFonts w:hint="eastAsia" w:ascii="宋体" w:hAnsi="宋体"/>
          <w:color w:val="000000" w:themeColor="text1"/>
          <w:szCs w:val="21"/>
          <w14:textFill>
            <w14:solidFill>
              <w14:schemeClr w14:val="tx1"/>
            </w14:solidFill>
          </w14:textFill>
        </w:rPr>
        <w:t>投标文件</w:t>
      </w:r>
      <w:r>
        <w:rPr>
          <w:rFonts w:ascii="宋体" w:hAnsi="宋体"/>
          <w:color w:val="000000" w:themeColor="text1"/>
          <w:szCs w:val="21"/>
          <w14:textFill>
            <w14:solidFill>
              <w14:schemeClr w14:val="tx1"/>
            </w14:solidFill>
          </w14:textFill>
        </w:rPr>
        <w:t>解密时间截止后1小时内到达</w:t>
      </w:r>
      <w:r>
        <w:rPr>
          <w:rFonts w:hint="eastAsia" w:ascii="宋体" w:hAnsi="宋体"/>
          <w:color w:val="000000" w:themeColor="text1"/>
          <w:szCs w:val="21"/>
          <w:lang w:bidi="zh-CN"/>
          <w14:textFill>
            <w14:solidFill>
              <w14:schemeClr w14:val="tx1"/>
            </w14:solidFill>
          </w14:textFill>
        </w:rPr>
        <w:t>采购代理机构</w:t>
      </w:r>
      <w:r>
        <w:rPr>
          <w:rFonts w:ascii="宋体" w:hAnsi="宋体"/>
          <w:color w:val="000000" w:themeColor="text1"/>
          <w:szCs w:val="21"/>
          <w14:textFill>
            <w14:solidFill>
              <w14:schemeClr w14:val="tx1"/>
            </w14:solidFill>
          </w14:textFill>
        </w:rPr>
        <w:t>等候。原型演示及答辩开始时间由评标委员会确定，如供应商未在</w:t>
      </w:r>
      <w:r>
        <w:rPr>
          <w:rFonts w:hint="eastAsia" w:ascii="宋体" w:hAnsi="宋体"/>
          <w:color w:val="000000" w:themeColor="text1"/>
          <w:szCs w:val="21"/>
          <w14:textFill>
            <w14:solidFill>
              <w14:schemeClr w14:val="tx1"/>
            </w14:solidFill>
          </w14:textFill>
        </w:rPr>
        <w:t>评标委员会</w:t>
      </w:r>
      <w:r>
        <w:rPr>
          <w:rFonts w:ascii="宋体" w:hAnsi="宋体"/>
          <w:color w:val="000000" w:themeColor="text1"/>
          <w:szCs w:val="21"/>
          <w14:textFill>
            <w14:solidFill>
              <w14:schemeClr w14:val="tx1"/>
            </w14:solidFill>
          </w14:textFill>
        </w:rPr>
        <w:t>规定的时间内到达原型演示及答辩地点进行原型演示及答辩，评标委员会有权视</w:t>
      </w:r>
      <w:r>
        <w:rPr>
          <w:rFonts w:hint="eastAsia" w:ascii="宋体" w:hAnsi="宋体"/>
          <w:color w:val="000000" w:themeColor="text1"/>
          <w:szCs w:val="21"/>
          <w14:textFill>
            <w14:solidFill>
              <w14:schemeClr w14:val="tx1"/>
            </w14:solidFill>
          </w14:textFill>
        </w:rPr>
        <w:t>其</w:t>
      </w:r>
      <w:r>
        <w:rPr>
          <w:rFonts w:ascii="宋体" w:hAnsi="宋体"/>
          <w:color w:val="000000" w:themeColor="text1"/>
          <w:szCs w:val="21"/>
          <w14:textFill>
            <w14:solidFill>
              <w14:schemeClr w14:val="tx1"/>
            </w14:solidFill>
          </w14:textFill>
        </w:rPr>
        <w:t>放弃原型演示及答辩。等候地点：广州市天河区天润路445号</w:t>
      </w:r>
      <w:r>
        <w:rPr>
          <w:rFonts w:ascii="宋体" w:hAnsi="宋体"/>
          <w:color w:val="000000" w:themeColor="text1"/>
          <w:szCs w:val="21"/>
          <w:lang w:bidi="zh-CN"/>
          <w14:textFill>
            <w14:solidFill>
              <w14:schemeClr w14:val="tx1"/>
            </w14:solidFill>
          </w14:textFill>
        </w:rPr>
        <w:t>广州市政府采购中心</w:t>
      </w:r>
      <w:r>
        <w:rPr>
          <w:rFonts w:ascii="宋体" w:hAnsi="宋体"/>
          <w:color w:val="000000" w:themeColor="text1"/>
          <w:szCs w:val="21"/>
          <w14:textFill>
            <w14:solidFill>
              <w14:schemeClr w14:val="tx1"/>
            </w14:solidFill>
          </w14:textFill>
        </w:rPr>
        <w:t>（太阳广场）四楼。</w:t>
      </w:r>
    </w:p>
    <w:p>
      <w:pPr>
        <w:pStyle w:val="12"/>
        <w:spacing w:line="312" w:lineRule="auto"/>
        <w:ind w:firstLine="369" w:firstLineChars="17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（一）本项目由有效投标人于评标过程中进行原型演示及答辩，请投标人自行准备相关文件。</w:t>
      </w:r>
    </w:p>
    <w:p>
      <w:pPr>
        <w:pStyle w:val="12"/>
        <w:spacing w:line="312" w:lineRule="auto"/>
        <w:ind w:firstLine="371" w:firstLineChars="176"/>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（二）授权</w:t>
      </w:r>
      <w:r>
        <w:rPr>
          <w:rFonts w:hint="eastAsia" w:ascii="宋体" w:hAnsi="宋体"/>
          <w:b/>
          <w:bCs/>
          <w:color w:val="000000" w:themeColor="text1"/>
          <w:szCs w:val="21"/>
          <w14:textFill>
            <w14:solidFill>
              <w14:schemeClr w14:val="tx1"/>
            </w14:solidFill>
          </w14:textFill>
        </w:rPr>
        <w:t>委托代理人须凭身份证原件参加原型演示及答辩，参加人数不超过3人（含</w:t>
      </w:r>
      <w:r>
        <w:rPr>
          <w:rFonts w:hint="eastAsia" w:ascii="宋体" w:hAnsi="宋体"/>
          <w:b/>
          <w:color w:val="000000" w:themeColor="text1"/>
          <w:szCs w:val="21"/>
          <w14:textFill>
            <w14:solidFill>
              <w14:schemeClr w14:val="tx1"/>
            </w14:solidFill>
          </w14:textFill>
        </w:rPr>
        <w:t>授权</w:t>
      </w:r>
      <w:r>
        <w:rPr>
          <w:rFonts w:hint="eastAsia" w:ascii="宋体" w:hAnsi="宋体"/>
          <w:b/>
          <w:bCs/>
          <w:color w:val="000000" w:themeColor="text1"/>
          <w:szCs w:val="21"/>
          <w14:textFill>
            <w14:solidFill>
              <w14:schemeClr w14:val="tx1"/>
            </w14:solidFill>
          </w14:textFill>
        </w:rPr>
        <w:t>委托代理人在内）。</w:t>
      </w:r>
    </w:p>
    <w:p>
      <w:pPr>
        <w:pStyle w:val="12"/>
        <w:spacing w:line="312" w:lineRule="auto"/>
        <w:ind w:firstLine="369" w:firstLineChars="17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（三）如原型演示及答辩过程中需要用到电脑等设备（设备不能共用），请投标人自带，评标现场仅提供电源和投影设备。</w:t>
      </w:r>
    </w:p>
    <w:p>
      <w:pPr>
        <w:pStyle w:val="12"/>
        <w:spacing w:line="312" w:lineRule="auto"/>
        <w:ind w:firstLine="369" w:firstLineChars="17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（四）原型演示及答辩时间</w:t>
      </w:r>
      <w:r>
        <w:rPr>
          <w:rFonts w:hint="eastAsia"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分钟内。</w:t>
      </w:r>
    </w:p>
    <w:p>
      <w:pPr>
        <w:pStyle w:val="12"/>
        <w:spacing w:line="312" w:lineRule="auto"/>
        <w:ind w:firstLine="369" w:firstLineChars="17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（五）原型演示及答辩的内容为：</w:t>
      </w:r>
      <w:r>
        <w:rPr>
          <w:rFonts w:hint="eastAsia"/>
          <w:color w:val="000000" w:themeColor="text1"/>
          <w14:textFill>
            <w14:solidFill>
              <w14:schemeClr w14:val="tx1"/>
            </w14:solidFill>
          </w14:textFill>
        </w:rPr>
        <w:t>评审要求详见第四章-详细评审-技术部分相应的要求</w:t>
      </w:r>
      <w:r>
        <w:rPr>
          <w:rFonts w:hint="eastAsia" w:ascii="宋体" w:hAnsi="宋体"/>
          <w:color w:val="000000" w:themeColor="text1"/>
          <w:szCs w:val="21"/>
          <w14:textFill>
            <w14:solidFill>
              <w14:schemeClr w14:val="tx1"/>
            </w14:solidFill>
          </w14:textFill>
        </w:rPr>
        <w:t>。</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0C819"/>
    <w:multiLevelType w:val="singleLevel"/>
    <w:tmpl w:val="9840C819"/>
    <w:lvl w:ilvl="0" w:tentative="0">
      <w:start w:val="1"/>
      <w:numFmt w:val="bullet"/>
      <w:lvlText w:val=""/>
      <w:lvlJc w:val="left"/>
      <w:pPr>
        <w:tabs>
          <w:tab w:val="left" w:pos="420"/>
        </w:tabs>
        <w:ind w:left="840" w:hanging="420"/>
      </w:pPr>
      <w:rPr>
        <w:rFonts w:hint="default" w:ascii="Wingdings" w:hAnsi="Wingdings"/>
      </w:rPr>
    </w:lvl>
  </w:abstractNum>
  <w:abstractNum w:abstractNumId="1">
    <w:nsid w:val="B5F17E11"/>
    <w:multiLevelType w:val="singleLevel"/>
    <w:tmpl w:val="B5F17E11"/>
    <w:lvl w:ilvl="0" w:tentative="0">
      <w:start w:val="1"/>
      <w:numFmt w:val="decimal"/>
      <w:pStyle w:val="4"/>
      <w:lvlText w:val="%1."/>
      <w:lvlJc w:val="left"/>
      <w:pPr>
        <w:ind w:left="425" w:hanging="425"/>
      </w:pPr>
      <w:rPr>
        <w:rFonts w:hint="default"/>
      </w:rPr>
    </w:lvl>
  </w:abstractNum>
  <w:abstractNum w:abstractNumId="2">
    <w:nsid w:val="BC147396"/>
    <w:multiLevelType w:val="singleLevel"/>
    <w:tmpl w:val="BC147396"/>
    <w:lvl w:ilvl="0" w:tentative="0">
      <w:start w:val="1"/>
      <w:numFmt w:val="decimal"/>
      <w:lvlText w:val="%1"/>
      <w:lvlJc w:val="center"/>
      <w:pPr>
        <w:tabs>
          <w:tab w:val="left" w:pos="397"/>
        </w:tabs>
        <w:ind w:left="454" w:hanging="454"/>
      </w:pPr>
      <w:rPr>
        <w:rFonts w:hint="default"/>
      </w:rPr>
    </w:lvl>
  </w:abstractNum>
  <w:abstractNum w:abstractNumId="3">
    <w:nsid w:val="DE7C833C"/>
    <w:multiLevelType w:val="multilevel"/>
    <w:tmpl w:val="DE7C833C"/>
    <w:lvl w:ilvl="0" w:tentative="0">
      <w:start w:val="6"/>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4">
    <w:nsid w:val="E2E4554A"/>
    <w:multiLevelType w:val="singleLevel"/>
    <w:tmpl w:val="E2E4554A"/>
    <w:lvl w:ilvl="0" w:tentative="0">
      <w:start w:val="1"/>
      <w:numFmt w:val="bullet"/>
      <w:lvlText w:val=""/>
      <w:lvlJc w:val="left"/>
      <w:pPr>
        <w:tabs>
          <w:tab w:val="left" w:pos="420"/>
        </w:tabs>
        <w:ind w:left="840" w:hanging="420"/>
      </w:pPr>
      <w:rPr>
        <w:rFonts w:hint="default" w:ascii="Wingdings" w:hAnsi="Wingdings"/>
      </w:rPr>
    </w:lvl>
  </w:abstractNum>
  <w:abstractNum w:abstractNumId="5">
    <w:nsid w:val="F2EDE228"/>
    <w:multiLevelType w:val="multilevel"/>
    <w:tmpl w:val="F2EDE228"/>
    <w:lvl w:ilvl="0" w:tentative="0">
      <w:start w:val="1"/>
      <w:numFmt w:val="chineseCounting"/>
      <w:suff w:val="nothing"/>
      <w:lvlText w:val="第%1章 "/>
      <w:lvlJc w:val="left"/>
      <w:pPr>
        <w:tabs>
          <w:tab w:val="left" w:pos="420"/>
        </w:tabs>
        <w:ind w:left="425" w:hanging="425"/>
      </w:pPr>
      <w:rPr>
        <w:rFonts w:hint="eastAsia" w:ascii="宋体" w:hAnsi="宋体" w:eastAsia="宋体" w:cs="宋体"/>
      </w:rPr>
    </w:lvl>
    <w:lvl w:ilvl="1" w:tentative="0">
      <w:start w:val="1"/>
      <w:numFmt w:val="decimal"/>
      <w:isLgl/>
      <w:lvlText w:val="%1.%2."/>
      <w:lvlJc w:val="left"/>
      <w:pPr>
        <w:tabs>
          <w:tab w:val="left" w:pos="420"/>
        </w:tabs>
        <w:ind w:left="567" w:hanging="567"/>
      </w:pPr>
      <w:rPr>
        <w:rFonts w:hint="eastAsia" w:ascii="宋体" w:hAnsi="宋体" w:eastAsia="宋体" w:cs="宋体"/>
      </w:rPr>
    </w:lvl>
    <w:lvl w:ilvl="2" w:tentative="0">
      <w:start w:val="1"/>
      <w:numFmt w:val="decimal"/>
      <w:isLgl/>
      <w:lvlText w:val="%1.%2.%3."/>
      <w:lvlJc w:val="left"/>
      <w:pPr>
        <w:ind w:left="709" w:hanging="709"/>
      </w:pPr>
      <w:rPr>
        <w:rFonts w:hint="eastAsia" w:ascii="宋体" w:hAnsi="宋体" w:eastAsia="宋体" w:cs="宋体"/>
      </w:rPr>
    </w:lvl>
    <w:lvl w:ilvl="3" w:tentative="0">
      <w:start w:val="1"/>
      <w:numFmt w:val="decimal"/>
      <w:isLgl/>
      <w:lvlText w:val="%1.%2.%3.%4."/>
      <w:lvlJc w:val="left"/>
      <w:pPr>
        <w:ind w:left="850" w:hanging="850"/>
      </w:pPr>
      <w:rPr>
        <w:rFonts w:hint="eastAsia" w:ascii="宋体" w:hAnsi="宋体" w:eastAsia="宋体" w:cs="宋体"/>
      </w:rPr>
    </w:lvl>
    <w:lvl w:ilvl="4" w:tentative="0">
      <w:start w:val="1"/>
      <w:numFmt w:val="decimal"/>
      <w:isLgl/>
      <w:lvlText w:val="%1.%2.%3.%4.%5."/>
      <w:lvlJc w:val="left"/>
      <w:pPr>
        <w:ind w:left="991" w:hanging="991"/>
      </w:pPr>
      <w:rPr>
        <w:rFonts w:hint="eastAsia" w:ascii="宋体" w:hAnsi="宋体" w:eastAsia="宋体" w:cs="宋体"/>
      </w:rPr>
    </w:lvl>
    <w:lvl w:ilvl="5" w:tentative="0">
      <w:start w:val="1"/>
      <w:numFmt w:val="decimal"/>
      <w:isLgl/>
      <w:lvlText w:val="%1.%2.%3.%4.%5.%6."/>
      <w:lvlJc w:val="left"/>
      <w:pPr>
        <w:ind w:left="1134" w:hanging="1134"/>
      </w:pPr>
      <w:rPr>
        <w:rFonts w:hint="eastAsia" w:ascii="宋体" w:hAnsi="宋体" w:eastAsia="宋体" w:cs="宋体"/>
      </w:rPr>
    </w:lvl>
    <w:lvl w:ilvl="6" w:tentative="0">
      <w:start w:val="1"/>
      <w:numFmt w:val="decimal"/>
      <w:pStyle w:val="7"/>
      <w:isLgl/>
      <w:lvlText w:val="%1.%2.%3.%4.%5.%6.%7."/>
      <w:lvlJc w:val="left"/>
      <w:pPr>
        <w:ind w:left="1275" w:hanging="1275"/>
      </w:pPr>
      <w:rPr>
        <w:rFonts w:hint="eastAsia" w:ascii="宋体" w:hAnsi="宋体" w:eastAsia="宋体" w:cs="宋体"/>
      </w:rPr>
    </w:lvl>
    <w:lvl w:ilvl="7" w:tentative="0">
      <w:start w:val="1"/>
      <w:numFmt w:val="decimal"/>
      <w:isLgl/>
      <w:lvlText w:val="%1.%2.%3.%4.%5.%6.%7.%8."/>
      <w:lvlJc w:val="left"/>
      <w:pPr>
        <w:ind w:left="1418" w:hanging="1418"/>
      </w:pPr>
      <w:rPr>
        <w:rFonts w:hint="eastAsia" w:ascii="宋体" w:hAnsi="宋体" w:eastAsia="宋体" w:cs="宋体"/>
      </w:rPr>
    </w:lvl>
    <w:lvl w:ilvl="8" w:tentative="0">
      <w:start w:val="1"/>
      <w:numFmt w:val="decimal"/>
      <w:isLgl/>
      <w:lvlText w:val="%1.%2.%3.%4.%5.%6.%7.%8.%9."/>
      <w:lvlJc w:val="left"/>
      <w:pPr>
        <w:ind w:left="1558" w:hanging="1558"/>
      </w:pPr>
      <w:rPr>
        <w:rFonts w:hint="eastAsia" w:ascii="宋体" w:hAnsi="宋体" w:eastAsia="宋体" w:cs="宋体"/>
      </w:rPr>
    </w:lvl>
  </w:abstractNum>
  <w:abstractNum w:abstractNumId="6">
    <w:nsid w:val="0248C179"/>
    <w:multiLevelType w:val="multilevel"/>
    <w:tmpl w:val="0248C179"/>
    <w:lvl w:ilvl="0" w:tentative="0">
      <w:start w:val="1"/>
      <w:numFmt w:val="decimal"/>
      <w:lvlText w:val="%1."/>
      <w:lvlJc w:val="left"/>
      <w:pPr>
        <w:ind w:left="719" w:hanging="200"/>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1756" w:hanging="200"/>
      </w:pPr>
      <w:rPr>
        <w:rFonts w:hint="default"/>
        <w:lang w:val="zh-CN" w:eastAsia="zh-CN" w:bidi="zh-CN"/>
      </w:rPr>
    </w:lvl>
    <w:lvl w:ilvl="2" w:tentative="0">
      <w:start w:val="0"/>
      <w:numFmt w:val="bullet"/>
      <w:lvlText w:val="•"/>
      <w:lvlJc w:val="left"/>
      <w:pPr>
        <w:ind w:left="2792" w:hanging="200"/>
      </w:pPr>
      <w:rPr>
        <w:rFonts w:hint="default"/>
        <w:lang w:val="zh-CN" w:eastAsia="zh-CN" w:bidi="zh-CN"/>
      </w:rPr>
    </w:lvl>
    <w:lvl w:ilvl="3" w:tentative="0">
      <w:start w:val="0"/>
      <w:numFmt w:val="bullet"/>
      <w:lvlText w:val="•"/>
      <w:lvlJc w:val="left"/>
      <w:pPr>
        <w:ind w:left="3828" w:hanging="200"/>
      </w:pPr>
      <w:rPr>
        <w:rFonts w:hint="default"/>
        <w:lang w:val="zh-CN" w:eastAsia="zh-CN" w:bidi="zh-CN"/>
      </w:rPr>
    </w:lvl>
    <w:lvl w:ilvl="4" w:tentative="0">
      <w:start w:val="0"/>
      <w:numFmt w:val="bullet"/>
      <w:lvlText w:val="•"/>
      <w:lvlJc w:val="left"/>
      <w:pPr>
        <w:ind w:left="4864" w:hanging="200"/>
      </w:pPr>
      <w:rPr>
        <w:rFonts w:hint="default"/>
        <w:lang w:val="zh-CN" w:eastAsia="zh-CN" w:bidi="zh-CN"/>
      </w:rPr>
    </w:lvl>
    <w:lvl w:ilvl="5" w:tentative="0">
      <w:start w:val="0"/>
      <w:numFmt w:val="bullet"/>
      <w:lvlText w:val="•"/>
      <w:lvlJc w:val="left"/>
      <w:pPr>
        <w:ind w:left="5900" w:hanging="200"/>
      </w:pPr>
      <w:rPr>
        <w:rFonts w:hint="default"/>
        <w:lang w:val="zh-CN" w:eastAsia="zh-CN" w:bidi="zh-CN"/>
      </w:rPr>
    </w:lvl>
    <w:lvl w:ilvl="6" w:tentative="0">
      <w:start w:val="0"/>
      <w:numFmt w:val="bullet"/>
      <w:lvlText w:val="•"/>
      <w:lvlJc w:val="left"/>
      <w:pPr>
        <w:ind w:left="6936" w:hanging="200"/>
      </w:pPr>
      <w:rPr>
        <w:rFonts w:hint="default"/>
        <w:lang w:val="zh-CN" w:eastAsia="zh-CN" w:bidi="zh-CN"/>
      </w:rPr>
    </w:lvl>
    <w:lvl w:ilvl="7" w:tentative="0">
      <w:start w:val="0"/>
      <w:numFmt w:val="bullet"/>
      <w:lvlText w:val="•"/>
      <w:lvlJc w:val="left"/>
      <w:pPr>
        <w:ind w:left="7972" w:hanging="200"/>
      </w:pPr>
      <w:rPr>
        <w:rFonts w:hint="default"/>
        <w:lang w:val="zh-CN" w:eastAsia="zh-CN" w:bidi="zh-CN"/>
      </w:rPr>
    </w:lvl>
    <w:lvl w:ilvl="8" w:tentative="0">
      <w:start w:val="0"/>
      <w:numFmt w:val="bullet"/>
      <w:lvlText w:val="•"/>
      <w:lvlJc w:val="left"/>
      <w:pPr>
        <w:ind w:left="9009" w:hanging="200"/>
      </w:pPr>
      <w:rPr>
        <w:rFonts w:hint="default"/>
        <w:lang w:val="zh-CN" w:eastAsia="zh-CN" w:bidi="zh-CN"/>
      </w:rPr>
    </w:lvl>
  </w:abstractNum>
  <w:abstractNum w:abstractNumId="7">
    <w:nsid w:val="25B654F3"/>
    <w:multiLevelType w:val="multilevel"/>
    <w:tmpl w:val="25B654F3"/>
    <w:lvl w:ilvl="0" w:tentative="0">
      <w:start w:val="1"/>
      <w:numFmt w:val="decimal"/>
      <w:lvlText w:val="%1."/>
      <w:lvlJc w:val="left"/>
      <w:pPr>
        <w:ind w:left="431" w:hanging="207"/>
        <w:jc w:val="left"/>
      </w:pPr>
      <w:rPr>
        <w:rFonts w:hint="default" w:ascii="宋体" w:hAnsi="宋体" w:eastAsia="宋体" w:cs="宋体"/>
        <w:b/>
        <w:bCs/>
        <w:spacing w:val="-9"/>
        <w:w w:val="113"/>
        <w:sz w:val="17"/>
        <w:szCs w:val="17"/>
        <w:lang w:val="zh-CN" w:eastAsia="zh-CN" w:bidi="zh-CN"/>
      </w:rPr>
    </w:lvl>
    <w:lvl w:ilvl="1" w:tentative="0">
      <w:start w:val="1"/>
      <w:numFmt w:val="decimal"/>
      <w:lvlText w:val="%2."/>
      <w:lvlJc w:val="left"/>
      <w:pPr>
        <w:ind w:left="740" w:hanging="202"/>
        <w:jc w:val="left"/>
      </w:pPr>
      <w:rPr>
        <w:rFonts w:hint="default" w:ascii="宋体" w:hAnsi="宋体" w:eastAsia="宋体" w:cs="宋体"/>
        <w:spacing w:val="-2"/>
        <w:w w:val="99"/>
        <w:sz w:val="18"/>
        <w:szCs w:val="18"/>
        <w:lang w:val="zh-CN" w:eastAsia="zh-CN" w:bidi="zh-CN"/>
      </w:rPr>
    </w:lvl>
    <w:lvl w:ilvl="2" w:tentative="0">
      <w:start w:val="0"/>
      <w:numFmt w:val="bullet"/>
      <w:lvlText w:val="•"/>
      <w:lvlJc w:val="left"/>
      <w:pPr>
        <w:ind w:left="1889" w:hanging="202"/>
      </w:pPr>
      <w:rPr>
        <w:rFonts w:hint="default"/>
        <w:lang w:val="zh-CN" w:eastAsia="zh-CN" w:bidi="zh-CN"/>
      </w:rPr>
    </w:lvl>
    <w:lvl w:ilvl="3" w:tentative="0">
      <w:start w:val="0"/>
      <w:numFmt w:val="bullet"/>
      <w:lvlText w:val="•"/>
      <w:lvlJc w:val="left"/>
      <w:pPr>
        <w:ind w:left="3038" w:hanging="202"/>
      </w:pPr>
      <w:rPr>
        <w:rFonts w:hint="default"/>
        <w:lang w:val="zh-CN" w:eastAsia="zh-CN" w:bidi="zh-CN"/>
      </w:rPr>
    </w:lvl>
    <w:lvl w:ilvl="4" w:tentative="0">
      <w:start w:val="0"/>
      <w:numFmt w:val="bullet"/>
      <w:lvlText w:val="•"/>
      <w:lvlJc w:val="left"/>
      <w:pPr>
        <w:ind w:left="4187" w:hanging="202"/>
      </w:pPr>
      <w:rPr>
        <w:rFonts w:hint="default"/>
        <w:lang w:val="zh-CN" w:eastAsia="zh-CN" w:bidi="zh-CN"/>
      </w:rPr>
    </w:lvl>
    <w:lvl w:ilvl="5" w:tentative="0">
      <w:start w:val="0"/>
      <w:numFmt w:val="bullet"/>
      <w:lvlText w:val="•"/>
      <w:lvlJc w:val="left"/>
      <w:pPr>
        <w:ind w:left="5336" w:hanging="202"/>
      </w:pPr>
      <w:rPr>
        <w:rFonts w:hint="default"/>
        <w:lang w:val="zh-CN" w:eastAsia="zh-CN" w:bidi="zh-CN"/>
      </w:rPr>
    </w:lvl>
    <w:lvl w:ilvl="6" w:tentative="0">
      <w:start w:val="0"/>
      <w:numFmt w:val="bullet"/>
      <w:lvlText w:val="•"/>
      <w:lvlJc w:val="left"/>
      <w:pPr>
        <w:ind w:left="6485" w:hanging="202"/>
      </w:pPr>
      <w:rPr>
        <w:rFonts w:hint="default"/>
        <w:lang w:val="zh-CN" w:eastAsia="zh-CN" w:bidi="zh-CN"/>
      </w:rPr>
    </w:lvl>
    <w:lvl w:ilvl="7" w:tentative="0">
      <w:start w:val="0"/>
      <w:numFmt w:val="bullet"/>
      <w:lvlText w:val="•"/>
      <w:lvlJc w:val="left"/>
      <w:pPr>
        <w:ind w:left="7634" w:hanging="202"/>
      </w:pPr>
      <w:rPr>
        <w:rFonts w:hint="default"/>
        <w:lang w:val="zh-CN" w:eastAsia="zh-CN" w:bidi="zh-CN"/>
      </w:rPr>
    </w:lvl>
    <w:lvl w:ilvl="8" w:tentative="0">
      <w:start w:val="0"/>
      <w:numFmt w:val="bullet"/>
      <w:lvlText w:val="•"/>
      <w:lvlJc w:val="left"/>
      <w:pPr>
        <w:ind w:left="8783" w:hanging="202"/>
      </w:pPr>
      <w:rPr>
        <w:rFonts w:hint="default"/>
        <w:lang w:val="zh-CN" w:eastAsia="zh-CN" w:bidi="zh-CN"/>
      </w:rPr>
    </w:lvl>
  </w:abstractNum>
  <w:abstractNum w:abstractNumId="8">
    <w:nsid w:val="5CCB7DCE"/>
    <w:multiLevelType w:val="singleLevel"/>
    <w:tmpl w:val="5CCB7DCE"/>
    <w:lvl w:ilvl="0" w:tentative="0">
      <w:start w:val="1"/>
      <w:numFmt w:val="bullet"/>
      <w:lvlText w:val=""/>
      <w:lvlJc w:val="left"/>
      <w:pPr>
        <w:tabs>
          <w:tab w:val="left" w:pos="420"/>
        </w:tabs>
        <w:ind w:left="840" w:hanging="420"/>
      </w:pPr>
      <w:rPr>
        <w:rFonts w:hint="default" w:ascii="Wingdings" w:hAnsi="Wingdings"/>
      </w:rPr>
    </w:lvl>
  </w:abstractNum>
  <w:abstractNum w:abstractNumId="9">
    <w:nsid w:val="72183CF9"/>
    <w:multiLevelType w:val="multilevel"/>
    <w:tmpl w:val="72183CF9"/>
    <w:lvl w:ilvl="0" w:tentative="0">
      <w:start w:val="2"/>
      <w:numFmt w:val="decimal"/>
      <w:lvlText w:val="%1."/>
      <w:lvlJc w:val="left"/>
      <w:pPr>
        <w:ind w:left="719" w:hanging="200"/>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1756" w:hanging="200"/>
      </w:pPr>
      <w:rPr>
        <w:rFonts w:hint="default"/>
        <w:lang w:val="zh-CN" w:eastAsia="zh-CN" w:bidi="zh-CN"/>
      </w:rPr>
    </w:lvl>
    <w:lvl w:ilvl="2" w:tentative="0">
      <w:start w:val="0"/>
      <w:numFmt w:val="bullet"/>
      <w:lvlText w:val="•"/>
      <w:lvlJc w:val="left"/>
      <w:pPr>
        <w:ind w:left="2792" w:hanging="200"/>
      </w:pPr>
      <w:rPr>
        <w:rFonts w:hint="default"/>
        <w:lang w:val="zh-CN" w:eastAsia="zh-CN" w:bidi="zh-CN"/>
      </w:rPr>
    </w:lvl>
    <w:lvl w:ilvl="3" w:tentative="0">
      <w:start w:val="0"/>
      <w:numFmt w:val="bullet"/>
      <w:lvlText w:val="•"/>
      <w:lvlJc w:val="left"/>
      <w:pPr>
        <w:ind w:left="3828" w:hanging="200"/>
      </w:pPr>
      <w:rPr>
        <w:rFonts w:hint="default"/>
        <w:lang w:val="zh-CN" w:eastAsia="zh-CN" w:bidi="zh-CN"/>
      </w:rPr>
    </w:lvl>
    <w:lvl w:ilvl="4" w:tentative="0">
      <w:start w:val="0"/>
      <w:numFmt w:val="bullet"/>
      <w:lvlText w:val="•"/>
      <w:lvlJc w:val="left"/>
      <w:pPr>
        <w:ind w:left="4864" w:hanging="200"/>
      </w:pPr>
      <w:rPr>
        <w:rFonts w:hint="default"/>
        <w:lang w:val="zh-CN" w:eastAsia="zh-CN" w:bidi="zh-CN"/>
      </w:rPr>
    </w:lvl>
    <w:lvl w:ilvl="5" w:tentative="0">
      <w:start w:val="0"/>
      <w:numFmt w:val="bullet"/>
      <w:lvlText w:val="•"/>
      <w:lvlJc w:val="left"/>
      <w:pPr>
        <w:ind w:left="5900" w:hanging="200"/>
      </w:pPr>
      <w:rPr>
        <w:rFonts w:hint="default"/>
        <w:lang w:val="zh-CN" w:eastAsia="zh-CN" w:bidi="zh-CN"/>
      </w:rPr>
    </w:lvl>
    <w:lvl w:ilvl="6" w:tentative="0">
      <w:start w:val="0"/>
      <w:numFmt w:val="bullet"/>
      <w:lvlText w:val="•"/>
      <w:lvlJc w:val="left"/>
      <w:pPr>
        <w:ind w:left="6936" w:hanging="200"/>
      </w:pPr>
      <w:rPr>
        <w:rFonts w:hint="default"/>
        <w:lang w:val="zh-CN" w:eastAsia="zh-CN" w:bidi="zh-CN"/>
      </w:rPr>
    </w:lvl>
    <w:lvl w:ilvl="7" w:tentative="0">
      <w:start w:val="0"/>
      <w:numFmt w:val="bullet"/>
      <w:lvlText w:val="•"/>
      <w:lvlJc w:val="left"/>
      <w:pPr>
        <w:ind w:left="7972" w:hanging="200"/>
      </w:pPr>
      <w:rPr>
        <w:rFonts w:hint="default"/>
        <w:lang w:val="zh-CN" w:eastAsia="zh-CN" w:bidi="zh-CN"/>
      </w:rPr>
    </w:lvl>
    <w:lvl w:ilvl="8" w:tentative="0">
      <w:start w:val="0"/>
      <w:numFmt w:val="bullet"/>
      <w:lvlText w:val="•"/>
      <w:lvlJc w:val="left"/>
      <w:pPr>
        <w:ind w:left="9009" w:hanging="200"/>
      </w:pPr>
      <w:rPr>
        <w:rFonts w:hint="default"/>
        <w:lang w:val="zh-CN" w:eastAsia="zh-CN" w:bidi="zh-CN"/>
      </w:rPr>
    </w:lvl>
  </w:abstractNum>
  <w:num w:numId="1">
    <w:abstractNumId w:val="1"/>
  </w:num>
  <w:num w:numId="2">
    <w:abstractNumId w:val="5"/>
  </w:num>
  <w:num w:numId="3">
    <w:abstractNumId w:val="2"/>
  </w:num>
  <w:num w:numId="4">
    <w:abstractNumId w:val="3"/>
  </w:num>
  <w:num w:numId="5">
    <w:abstractNumId w:val="8"/>
  </w:num>
  <w:num w:numId="6">
    <w:abstractNumId w:val="4"/>
  </w:num>
  <w:num w:numId="7">
    <w:abstractNumId w:val="0"/>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NzNiNWRhNzBmMmI3ZDZjYzg5YzVmMjc5MDBjNmYifQ=="/>
  </w:docVars>
  <w:rsids>
    <w:rsidRoot w:val="42FF58B8"/>
    <w:rsid w:val="42FF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4"/>
    <w:basedOn w:val="1"/>
    <w:next w:val="1"/>
    <w:qFormat/>
    <w:uiPriority w:val="1"/>
    <w:pPr>
      <w:spacing w:before="43"/>
      <w:ind w:left="220"/>
      <w:outlineLvl w:val="3"/>
    </w:pPr>
    <w:rPr>
      <w:b/>
      <w:bCs/>
      <w:sz w:val="20"/>
      <w:szCs w:val="20"/>
    </w:rPr>
  </w:style>
  <w:style w:type="paragraph" w:styleId="4">
    <w:name w:val="heading 5"/>
    <w:basedOn w:val="1"/>
    <w:next w:val="5"/>
    <w:qFormat/>
    <w:uiPriority w:val="1"/>
    <w:pPr>
      <w:numPr>
        <w:ilvl w:val="0"/>
        <w:numId w:val="1"/>
      </w:numPr>
      <w:spacing w:before="50" w:beforeLines="50" w:after="50" w:afterLines="50"/>
      <w:ind w:left="865" w:leftChars="200" w:firstLine="0"/>
      <w:outlineLvl w:val="4"/>
    </w:pPr>
    <w:rPr>
      <w:iCs/>
      <w:sz w:val="20"/>
      <w:szCs w:val="24"/>
      <w:u w:val="single"/>
    </w:rPr>
  </w:style>
  <w:style w:type="paragraph" w:styleId="6">
    <w:name w:val="heading 6"/>
    <w:basedOn w:val="1"/>
    <w:next w:val="1"/>
    <w:qFormat/>
    <w:uiPriority w:val="1"/>
    <w:pPr>
      <w:ind w:left="858" w:hanging="188"/>
      <w:outlineLvl w:val="5"/>
    </w:pPr>
    <w:rPr>
      <w:b/>
      <w:bCs/>
      <w:sz w:val="19"/>
      <w:szCs w:val="19"/>
    </w:rPr>
  </w:style>
  <w:style w:type="paragraph" w:styleId="7">
    <w:name w:val="heading 7"/>
    <w:basedOn w:val="1"/>
    <w:next w:val="1"/>
    <w:qFormat/>
    <w:uiPriority w:val="0"/>
    <w:pPr>
      <w:keepNext/>
      <w:keepLines/>
      <w:widowControl/>
      <w:numPr>
        <w:ilvl w:val="6"/>
        <w:numId w:val="2"/>
      </w:numPr>
      <w:tabs>
        <w:tab w:val="left" w:pos="1296"/>
      </w:tabs>
      <w:ind w:firstLine="0"/>
      <w:outlineLvl w:val="6"/>
    </w:pPr>
    <w:rPr>
      <w:rFonts w:ascii="Calibri" w:hAnsi="Calibri" w:eastAsia="黑体"/>
      <w:bCs/>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19"/>
      <w:szCs w:val="19"/>
    </w:rPr>
  </w:style>
  <w:style w:type="paragraph" w:customStyle="1" w:styleId="5">
    <w:name w:val="仿宋正文"/>
    <w:basedOn w:val="1"/>
    <w:qFormat/>
    <w:uiPriority w:val="0"/>
    <w:pPr>
      <w:adjustRightInd w:val="0"/>
      <w:snapToGrid w:val="0"/>
      <w:spacing w:line="400" w:lineRule="exact"/>
      <w:jc w:val="both"/>
    </w:p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 w:type="paragraph" w:styleId="11">
    <w:name w:val="List Paragraph"/>
    <w:basedOn w:val="1"/>
    <w:qFormat/>
    <w:uiPriority w:val="1"/>
    <w:pPr>
      <w:spacing w:before="35"/>
      <w:ind w:left="224" w:firstLine="384"/>
    </w:pPr>
  </w:style>
  <w:style w:type="paragraph" w:customStyle="1" w:styleId="12">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2024-05-28T08:58:00Z</dcterms:created>
  <dc:creator>梁浩华</dc:creator>
  <cp:lastModifiedBy>梁浩华</cp:lastModifiedBy>
  <dcterms:modified xsi:type="dcterms:W3CDTF">2024-05-28T08:59:06Z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D67302ECAC374D159387521692050320_11</vt:lpwstr>
  </property>
</Properties>
</file>