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bCs/>
          <w:spacing w:val="40"/>
          <w:sz w:val="44"/>
          <w:szCs w:val="44"/>
        </w:rPr>
      </w:pPr>
    </w:p>
    <w:p>
      <w:pPr>
        <w:spacing w:line="360" w:lineRule="auto"/>
        <w:ind w:left="359" w:leftChars="171"/>
        <w:jc w:val="center"/>
        <w:rPr>
          <w:rFonts w:hint="eastAsia" w:ascii="宋体" w:hAnsi="宋体" w:eastAsia="宋体"/>
          <w:b/>
          <w:bCs/>
          <w:color w:val="auto"/>
          <w:spacing w:val="40"/>
          <w:sz w:val="44"/>
          <w:szCs w:val="44"/>
          <w:lang w:eastAsia="zh-CN"/>
        </w:rPr>
      </w:pPr>
      <w:r>
        <w:rPr>
          <w:rFonts w:hint="eastAsia" w:ascii="宋体" w:hAnsi="宋体"/>
          <w:b/>
          <w:color w:val="auto"/>
          <w:sz w:val="44"/>
          <w:szCs w:val="44"/>
          <w:lang w:eastAsia="zh-CN"/>
        </w:rPr>
        <w:t>中信银行广州分行本部75楼营业用房装修工程采购项目</w:t>
      </w:r>
    </w:p>
    <w:p>
      <w:pPr>
        <w:spacing w:line="360" w:lineRule="auto"/>
        <w:jc w:val="center"/>
        <w:rPr>
          <w:rFonts w:ascii="宋体" w:hAnsi="宋体"/>
          <w:color w:val="auto"/>
          <w:sz w:val="36"/>
          <w:u w:val="single"/>
        </w:rPr>
      </w:pPr>
    </w:p>
    <w:p>
      <w:pPr>
        <w:spacing w:line="360" w:lineRule="auto"/>
        <w:jc w:val="center"/>
        <w:rPr>
          <w:rFonts w:ascii="宋体" w:hAnsi="宋体"/>
          <w:color w:val="auto"/>
          <w:sz w:val="36"/>
          <w:u w:val="single"/>
        </w:rPr>
      </w:pPr>
    </w:p>
    <w:p>
      <w:pPr>
        <w:spacing w:line="360" w:lineRule="auto"/>
        <w:jc w:val="center"/>
        <w:rPr>
          <w:rFonts w:ascii="宋体" w:hAnsi="宋体"/>
          <w:color w:val="auto"/>
          <w:sz w:val="36"/>
          <w:u w:val="single"/>
        </w:rPr>
      </w:pPr>
    </w:p>
    <w:p>
      <w:pPr>
        <w:spacing w:line="360" w:lineRule="auto"/>
        <w:jc w:val="center"/>
        <w:rPr>
          <w:rFonts w:ascii="宋体" w:hAnsi="宋体"/>
          <w:color w:val="auto"/>
          <w:sz w:val="36"/>
          <w:u w:val="single"/>
        </w:rPr>
      </w:pPr>
    </w:p>
    <w:p>
      <w:pPr>
        <w:spacing w:line="360" w:lineRule="auto"/>
        <w:jc w:val="center"/>
        <w:rPr>
          <w:rFonts w:ascii="宋体" w:hAnsi="宋体"/>
          <w:b/>
          <w:bCs/>
          <w:color w:val="auto"/>
          <w:spacing w:val="26"/>
          <w:sz w:val="84"/>
          <w:szCs w:val="84"/>
        </w:rPr>
      </w:pPr>
      <w:r>
        <w:rPr>
          <w:rFonts w:hint="eastAsia" w:ascii="宋体" w:hAnsi="宋体"/>
          <w:b/>
          <w:bCs/>
          <w:color w:val="auto"/>
          <w:spacing w:val="26"/>
          <w:sz w:val="84"/>
          <w:szCs w:val="84"/>
        </w:rPr>
        <w:t>招标公告</w:t>
      </w: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jc w:val="center"/>
        <w:rPr>
          <w:rFonts w:ascii="宋体" w:hAnsi="宋体"/>
          <w:color w:val="auto"/>
          <w:sz w:val="32"/>
        </w:rPr>
      </w:pPr>
    </w:p>
    <w:p>
      <w:pPr>
        <w:spacing w:line="360" w:lineRule="auto"/>
        <w:ind w:firstLine="900" w:firstLineChars="300"/>
        <w:rPr>
          <w:rFonts w:hint="eastAsia" w:ascii="宋体" w:hAnsi="宋体" w:eastAsia="宋体"/>
          <w:color w:val="auto"/>
          <w:sz w:val="30"/>
          <w:szCs w:val="30"/>
          <w:u w:val="single"/>
          <w:lang w:eastAsia="zh-CN"/>
        </w:rPr>
      </w:pPr>
      <w:r>
        <w:rPr>
          <w:rFonts w:hint="eastAsia" w:ascii="宋体" w:hAnsi="宋体"/>
          <w:color w:val="auto"/>
          <w:sz w:val="30"/>
          <w:szCs w:val="30"/>
        </w:rPr>
        <w:t>招</w:t>
      </w:r>
      <w:r>
        <w:rPr>
          <w:rFonts w:ascii="宋体" w:hAnsi="宋体"/>
          <w:color w:val="auto"/>
          <w:sz w:val="30"/>
          <w:szCs w:val="30"/>
        </w:rPr>
        <w:t xml:space="preserve">  </w:t>
      </w:r>
      <w:r>
        <w:rPr>
          <w:rFonts w:hint="eastAsia" w:ascii="宋体" w:hAnsi="宋体"/>
          <w:color w:val="auto"/>
          <w:sz w:val="30"/>
          <w:szCs w:val="30"/>
        </w:rPr>
        <w:t>标</w:t>
      </w:r>
      <w:r>
        <w:rPr>
          <w:rFonts w:ascii="宋体" w:hAnsi="宋体"/>
          <w:color w:val="auto"/>
          <w:sz w:val="30"/>
          <w:szCs w:val="30"/>
        </w:rPr>
        <w:t xml:space="preserve"> </w:t>
      </w:r>
      <w:r>
        <w:rPr>
          <w:rFonts w:hint="eastAsia" w:ascii="宋体" w:hAnsi="宋体"/>
          <w:color w:val="auto"/>
          <w:sz w:val="30"/>
          <w:szCs w:val="30"/>
        </w:rPr>
        <w:t>单</w:t>
      </w:r>
      <w:r>
        <w:rPr>
          <w:rFonts w:ascii="宋体" w:hAnsi="宋体"/>
          <w:color w:val="auto"/>
          <w:sz w:val="30"/>
          <w:szCs w:val="30"/>
        </w:rPr>
        <w:t xml:space="preserve"> </w:t>
      </w:r>
      <w:r>
        <w:rPr>
          <w:rFonts w:hint="eastAsia" w:ascii="宋体" w:hAnsi="宋体"/>
          <w:color w:val="auto"/>
          <w:sz w:val="30"/>
          <w:szCs w:val="30"/>
        </w:rPr>
        <w:t>位：</w:t>
      </w:r>
      <w:r>
        <w:rPr>
          <w:rFonts w:hint="eastAsia" w:ascii="宋体" w:hAnsi="宋体"/>
          <w:color w:val="auto"/>
          <w:sz w:val="30"/>
          <w:szCs w:val="30"/>
          <w:u w:val="single"/>
          <w:lang w:eastAsia="zh-CN"/>
        </w:rPr>
        <w:t>中信银行股份有限公司广州分行</w:t>
      </w:r>
    </w:p>
    <w:p>
      <w:pPr>
        <w:spacing w:line="360" w:lineRule="auto"/>
        <w:ind w:firstLine="900" w:firstLineChars="300"/>
        <w:rPr>
          <w:rFonts w:hint="eastAsia" w:ascii="宋体" w:hAnsi="宋体" w:eastAsia="宋体"/>
          <w:color w:val="auto"/>
          <w:sz w:val="30"/>
          <w:szCs w:val="30"/>
          <w:u w:val="single"/>
          <w:lang w:eastAsia="zh-CN"/>
        </w:rPr>
      </w:pPr>
      <w:r>
        <w:rPr>
          <w:rFonts w:hint="eastAsia" w:ascii="宋体" w:hAnsi="宋体"/>
          <w:color w:val="auto"/>
          <w:sz w:val="30"/>
          <w:szCs w:val="30"/>
        </w:rPr>
        <w:t>招标代理单位：</w:t>
      </w:r>
      <w:r>
        <w:rPr>
          <w:rFonts w:hint="eastAsia" w:ascii="宋体" w:hAnsi="宋体"/>
          <w:color w:val="auto"/>
          <w:sz w:val="30"/>
          <w:szCs w:val="30"/>
          <w:u w:val="single"/>
          <w:lang w:eastAsia="zh-CN"/>
        </w:rPr>
        <w:t>国义招标股份有限公司</w:t>
      </w:r>
    </w:p>
    <w:p>
      <w:pPr>
        <w:spacing w:line="360" w:lineRule="auto"/>
        <w:ind w:firstLine="900" w:firstLineChars="300"/>
        <w:rPr>
          <w:rFonts w:hint="default" w:ascii="宋体" w:hAnsi="宋体" w:eastAsia="宋体"/>
          <w:color w:val="auto"/>
          <w:sz w:val="30"/>
          <w:szCs w:val="30"/>
          <w:lang w:val="en-US" w:eastAsia="zh-CN"/>
        </w:rPr>
      </w:pPr>
      <w:r>
        <w:rPr>
          <w:rFonts w:hint="eastAsia" w:ascii="宋体" w:hAnsi="宋体"/>
          <w:color w:val="auto"/>
          <w:sz w:val="30"/>
          <w:szCs w:val="30"/>
        </w:rPr>
        <w:t>日</w:t>
      </w:r>
      <w:r>
        <w:rPr>
          <w:rFonts w:ascii="宋体" w:hAnsi="宋体"/>
          <w:color w:val="auto"/>
          <w:sz w:val="30"/>
          <w:szCs w:val="30"/>
        </w:rPr>
        <w:t xml:space="preserve">        </w:t>
      </w:r>
      <w:r>
        <w:rPr>
          <w:rFonts w:hint="eastAsia" w:ascii="宋体" w:hAnsi="宋体"/>
          <w:color w:val="auto"/>
          <w:sz w:val="30"/>
          <w:szCs w:val="30"/>
        </w:rPr>
        <w:t>期：</w:t>
      </w:r>
      <w:r>
        <w:rPr>
          <w:rFonts w:hint="eastAsia" w:ascii="宋体" w:hAnsi="宋体"/>
          <w:color w:val="auto"/>
          <w:sz w:val="30"/>
          <w:szCs w:val="30"/>
          <w:u w:val="single"/>
          <w:lang w:eastAsia="zh-CN"/>
        </w:rPr>
        <w:t>2024</w:t>
      </w:r>
      <w:r>
        <w:rPr>
          <w:rFonts w:hint="eastAsia" w:ascii="宋体" w:hAnsi="宋体"/>
          <w:color w:val="auto"/>
          <w:sz w:val="30"/>
          <w:szCs w:val="30"/>
          <w:u w:val="single"/>
        </w:rPr>
        <w:t>年</w:t>
      </w:r>
      <w:r>
        <w:rPr>
          <w:rFonts w:hint="eastAsia" w:ascii="宋体" w:hAnsi="宋体"/>
          <w:color w:val="auto"/>
          <w:sz w:val="30"/>
          <w:szCs w:val="30"/>
          <w:u w:val="single"/>
          <w:lang w:val="en-US" w:eastAsia="zh-CN"/>
        </w:rPr>
        <w:t>7月</w:t>
      </w:r>
    </w:p>
    <w:p>
      <w:pPr>
        <w:pStyle w:val="30"/>
        <w:spacing w:line="360" w:lineRule="auto"/>
        <w:jc w:val="center"/>
        <w:rPr>
          <w:color w:val="auto"/>
          <w:sz w:val="32"/>
        </w:rPr>
      </w:pPr>
    </w:p>
    <w:p>
      <w:pPr>
        <w:pStyle w:val="30"/>
        <w:spacing w:line="360" w:lineRule="auto"/>
        <w:ind w:left="210" w:leftChars="100" w:right="210" w:rightChars="100"/>
        <w:jc w:val="center"/>
        <w:rPr>
          <w:rFonts w:hint="eastAsia" w:cs="仿宋_GB2312"/>
          <w:b/>
          <w:color w:val="auto"/>
          <w:sz w:val="32"/>
          <w:szCs w:val="32"/>
          <w:lang w:eastAsia="zh-CN"/>
        </w:rPr>
        <w:sectPr>
          <w:footerReference r:id="rId3" w:type="even"/>
          <w:endnotePr>
            <w:numFmt w:val="decimal"/>
          </w:endnotePr>
          <w:pgSz w:w="11906" w:h="16838"/>
          <w:pgMar w:top="1440" w:right="1134" w:bottom="1440" w:left="1134" w:header="851" w:footer="992" w:gutter="0"/>
          <w:pgNumType w:fmt="decimal"/>
          <w:cols w:space="425" w:num="1"/>
          <w:docGrid w:type="lines" w:linePitch="312" w:charSpace="0"/>
        </w:sectPr>
      </w:pPr>
    </w:p>
    <w:p>
      <w:pPr>
        <w:pStyle w:val="30"/>
        <w:spacing w:line="360" w:lineRule="auto"/>
        <w:ind w:left="210" w:leftChars="100" w:right="210" w:rightChars="100"/>
        <w:jc w:val="center"/>
        <w:rPr>
          <w:rFonts w:hint="eastAsia" w:eastAsia="宋体" w:cs="仿宋_GB2312"/>
          <w:b/>
          <w:color w:val="auto"/>
          <w:sz w:val="32"/>
          <w:szCs w:val="32"/>
          <w:lang w:eastAsia="zh-CN"/>
        </w:rPr>
      </w:pPr>
      <w:r>
        <w:rPr>
          <w:rFonts w:hint="eastAsia" w:cs="仿宋_GB2312"/>
          <w:b/>
          <w:color w:val="auto"/>
          <w:sz w:val="32"/>
          <w:szCs w:val="32"/>
          <w:lang w:eastAsia="zh-CN"/>
        </w:rPr>
        <w:t>中信银行广州分行本部75楼营业用房装修工程采购项目</w:t>
      </w:r>
    </w:p>
    <w:p>
      <w:pPr>
        <w:pStyle w:val="30"/>
        <w:spacing w:line="360" w:lineRule="auto"/>
        <w:jc w:val="center"/>
        <w:rPr>
          <w:color w:val="auto"/>
          <w:sz w:val="24"/>
        </w:rPr>
      </w:pPr>
      <w:r>
        <w:rPr>
          <w:rFonts w:hint="eastAsia" w:cs="仿宋_GB2312"/>
          <w:b/>
          <w:color w:val="auto"/>
          <w:spacing w:val="-20"/>
          <w:sz w:val="32"/>
          <w:szCs w:val="32"/>
          <w:u w:val="none"/>
        </w:rPr>
        <w:t>招标公告</w:t>
      </w:r>
    </w:p>
    <w:p>
      <w:pPr>
        <w:spacing w:line="360" w:lineRule="auto"/>
        <w:ind w:left="120" w:leftChars="57" w:firstLine="417" w:firstLineChars="174"/>
        <w:rPr>
          <w:rFonts w:hint="eastAsia" w:ascii="宋体" w:hAnsi="宋体" w:cs="宋体"/>
          <w:color w:val="auto"/>
          <w:sz w:val="24"/>
          <w:szCs w:val="24"/>
        </w:rPr>
      </w:pPr>
      <w:r>
        <w:rPr>
          <w:color w:val="auto"/>
          <w:sz w:val="24"/>
        </w:rPr>
        <w:t xml:space="preserve"> </w:t>
      </w:r>
      <w:r>
        <w:rPr>
          <w:rFonts w:hint="eastAsia" w:ascii="宋体" w:hAnsi="宋体" w:cs="宋体"/>
          <w:color w:val="auto"/>
          <w:sz w:val="24"/>
          <w:szCs w:val="24"/>
        </w:rPr>
        <w:t xml:space="preserve"> 根据</w:t>
      </w:r>
      <w:r>
        <w:rPr>
          <w:rFonts w:hint="eastAsia" w:ascii="宋体" w:hAnsi="宋体" w:cs="宋体"/>
          <w:color w:val="auto"/>
          <w:sz w:val="24"/>
          <w:szCs w:val="24"/>
          <w:highlight w:val="none"/>
          <w:u w:val="single"/>
        </w:rPr>
        <w:t>广东省企业投资项目备案证2018-440100-66-03-813149</w:t>
      </w:r>
      <w:r>
        <w:rPr>
          <w:rFonts w:hint="eastAsia" w:ascii="宋体" w:hAnsi="宋体" w:cs="宋体"/>
          <w:color w:val="auto"/>
          <w:sz w:val="24"/>
          <w:szCs w:val="24"/>
        </w:rPr>
        <w:t>批准，并且图纸和技术资料满足施工需要，</w:t>
      </w:r>
      <w:r>
        <w:rPr>
          <w:rFonts w:hint="eastAsia" w:ascii="宋体" w:hAnsi="宋体" w:cs="宋体"/>
          <w:color w:val="auto"/>
          <w:sz w:val="24"/>
          <w:szCs w:val="24"/>
          <w:u w:val="single"/>
          <w:lang w:eastAsia="zh-CN"/>
        </w:rPr>
        <w:t>中信银行股份有限公司广州分行</w:t>
      </w:r>
      <w:r>
        <w:rPr>
          <w:rFonts w:hint="eastAsia" w:ascii="宋体" w:hAnsi="宋体" w:cs="宋体"/>
          <w:color w:val="auto"/>
          <w:sz w:val="24"/>
          <w:szCs w:val="24"/>
        </w:rPr>
        <w:t>现对</w:t>
      </w:r>
      <w:r>
        <w:rPr>
          <w:rFonts w:hint="eastAsia" w:ascii="宋体" w:hAnsi="宋体" w:cs="宋体"/>
          <w:color w:val="auto"/>
          <w:sz w:val="24"/>
          <w:szCs w:val="24"/>
          <w:u w:val="single"/>
          <w:lang w:eastAsia="zh-CN"/>
        </w:rPr>
        <w:t>中信银行广州分行本部75楼营业用房装修工程采购项目</w:t>
      </w:r>
      <w:r>
        <w:rPr>
          <w:rFonts w:hint="eastAsia" w:ascii="宋体" w:hAnsi="宋体" w:cs="宋体"/>
          <w:color w:val="auto"/>
          <w:sz w:val="24"/>
          <w:szCs w:val="24"/>
        </w:rPr>
        <w:t>施工进行施工专业承包公开招标，选定承包人。</w:t>
      </w:r>
    </w:p>
    <w:p>
      <w:pPr>
        <w:tabs>
          <w:tab w:val="center" w:pos="4415"/>
        </w:tabs>
        <w:spacing w:line="360" w:lineRule="auto"/>
        <w:ind w:firstLine="537" w:firstLineChars="224"/>
        <w:rPr>
          <w:rFonts w:hint="eastAsia" w:ascii="宋体" w:hAnsi="宋体" w:eastAsia="宋体" w:cs="宋体"/>
          <w:color w:val="auto"/>
          <w:sz w:val="24"/>
          <w:szCs w:val="24"/>
          <w:u w:val="single"/>
          <w:lang w:eastAsia="zh-CN"/>
        </w:rPr>
      </w:pPr>
      <w:r>
        <w:rPr>
          <w:rFonts w:hint="eastAsia" w:ascii="宋体" w:hAnsi="宋体" w:cs="宋体"/>
          <w:color w:val="auto"/>
          <w:sz w:val="24"/>
          <w:szCs w:val="24"/>
        </w:rPr>
        <w:t>一、工程名称：</w:t>
      </w:r>
      <w:r>
        <w:rPr>
          <w:rFonts w:hint="eastAsia" w:ascii="宋体" w:hAnsi="宋体" w:cs="宋体"/>
          <w:color w:val="auto"/>
          <w:sz w:val="24"/>
          <w:szCs w:val="24"/>
          <w:u w:val="single"/>
          <w:lang w:eastAsia="zh-CN" w:bidi="ar"/>
        </w:rPr>
        <w:t>中信银行广州分行本部75楼营业用房装修工程采购项目</w:t>
      </w:r>
    </w:p>
    <w:p>
      <w:pPr>
        <w:tabs>
          <w:tab w:val="center" w:pos="4415"/>
        </w:tabs>
        <w:spacing w:line="360" w:lineRule="auto"/>
        <w:ind w:firstLine="1017" w:firstLineChars="424"/>
        <w:rPr>
          <w:rFonts w:hint="eastAsia" w:ascii="宋体" w:hAnsi="宋体" w:cs="宋体"/>
          <w:color w:val="auto"/>
          <w:sz w:val="24"/>
          <w:szCs w:val="24"/>
          <w:u w:val="single"/>
        </w:rPr>
      </w:pPr>
      <w:r>
        <w:rPr>
          <w:rFonts w:hint="eastAsia" w:ascii="宋体" w:hAnsi="宋体" w:cs="宋体"/>
          <w:color w:val="auto"/>
          <w:sz w:val="24"/>
          <w:szCs w:val="24"/>
        </w:rPr>
        <w:t>项目代码：</w:t>
      </w:r>
      <w:r>
        <w:rPr>
          <w:rFonts w:hint="eastAsia" w:ascii="宋体" w:hAnsi="宋体" w:cs="宋体"/>
          <w:color w:val="auto"/>
          <w:sz w:val="24"/>
          <w:szCs w:val="24"/>
          <w:highlight w:val="none"/>
          <w:u w:val="single"/>
        </w:rPr>
        <w:t>2018-440100-66-03-813149</w:t>
      </w:r>
    </w:p>
    <w:p>
      <w:pPr>
        <w:spacing w:line="360" w:lineRule="auto"/>
        <w:ind w:firstLine="537" w:firstLineChars="224"/>
        <w:rPr>
          <w:rFonts w:hint="eastAsia" w:ascii="宋体" w:hAnsi="宋体" w:eastAsia="宋体" w:cs="宋体"/>
          <w:color w:val="auto"/>
          <w:sz w:val="24"/>
          <w:szCs w:val="24"/>
          <w:u w:val="single"/>
          <w:lang w:eastAsia="zh-CN"/>
        </w:rPr>
      </w:pPr>
      <w:r>
        <w:rPr>
          <w:rFonts w:hint="eastAsia" w:ascii="宋体" w:hAnsi="宋体" w:cs="宋体"/>
          <w:color w:val="auto"/>
          <w:sz w:val="24"/>
          <w:szCs w:val="24"/>
        </w:rPr>
        <w:t>二、招标单位：</w:t>
      </w:r>
      <w:r>
        <w:rPr>
          <w:rFonts w:hint="eastAsia" w:ascii="宋体" w:hAnsi="宋体" w:cs="宋体"/>
          <w:color w:val="auto"/>
          <w:sz w:val="24"/>
          <w:szCs w:val="24"/>
          <w:u w:val="single"/>
          <w:lang w:eastAsia="zh-CN"/>
        </w:rPr>
        <w:t>中信银行股份有限公司广州分行</w:t>
      </w:r>
    </w:p>
    <w:p>
      <w:pPr>
        <w:spacing w:line="360" w:lineRule="auto"/>
        <w:ind w:firstLine="537" w:firstLineChars="224"/>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 xml:space="preserve">    联系人：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highlight w:val="none"/>
          <w:u w:val="single"/>
        </w:rPr>
        <w:t>何女士</w:t>
      </w:r>
      <w:r>
        <w:rPr>
          <w:rFonts w:hint="eastAsia" w:ascii="宋体" w:hAnsi="宋体" w:cs="宋体"/>
          <w:color w:val="auto"/>
          <w:sz w:val="24"/>
          <w:szCs w:val="24"/>
        </w:rPr>
        <w:t xml:space="preserve">  联系电话：</w:t>
      </w:r>
      <w:r>
        <w:rPr>
          <w:rFonts w:hint="eastAsia" w:ascii="宋体" w:hAnsi="宋体" w:cs="宋体"/>
          <w:color w:val="auto"/>
          <w:sz w:val="24"/>
          <w:szCs w:val="24"/>
          <w:highlight w:val="none"/>
          <w:u w:val="single"/>
          <w:lang w:val="en-US" w:eastAsia="zh-CN"/>
        </w:rPr>
        <w:t>020-</w:t>
      </w:r>
      <w:r>
        <w:rPr>
          <w:rFonts w:hint="eastAsia" w:ascii="宋体" w:hAnsi="宋体" w:cs="宋体"/>
          <w:color w:val="auto"/>
          <w:sz w:val="24"/>
          <w:szCs w:val="24"/>
          <w:highlight w:val="none"/>
          <w:u w:val="single"/>
          <w:lang w:eastAsia="zh-CN"/>
        </w:rPr>
        <w:t>38912392</w:t>
      </w:r>
    </w:p>
    <w:p>
      <w:pPr>
        <w:spacing w:line="360" w:lineRule="auto"/>
        <w:ind w:firstLine="1015" w:firstLineChars="423"/>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联系地址：</w:t>
      </w:r>
      <w:r>
        <w:rPr>
          <w:rFonts w:hint="eastAsia" w:ascii="宋体" w:hAnsi="宋体" w:cs="宋体"/>
          <w:color w:val="auto"/>
          <w:sz w:val="24"/>
          <w:szCs w:val="24"/>
          <w:u w:val="single"/>
        </w:rPr>
        <w:t>广州市天河区林和街道天河北路233号中信广场</w:t>
      </w:r>
    </w:p>
    <w:p>
      <w:pPr>
        <w:spacing w:line="360" w:lineRule="auto"/>
        <w:ind w:firstLine="1015" w:firstLineChars="423"/>
        <w:rPr>
          <w:rFonts w:hint="eastAsia" w:ascii="宋体" w:hAnsi="宋体" w:cs="宋体"/>
          <w:color w:val="auto"/>
          <w:sz w:val="24"/>
          <w:szCs w:val="24"/>
        </w:rPr>
      </w:pPr>
      <w:r>
        <w:rPr>
          <w:rFonts w:hint="eastAsia" w:ascii="宋体" w:hAnsi="宋体" w:cs="宋体"/>
          <w:color w:val="auto"/>
          <w:sz w:val="24"/>
          <w:szCs w:val="24"/>
        </w:rPr>
        <w:t>招标代理机构：</w:t>
      </w:r>
      <w:r>
        <w:rPr>
          <w:rFonts w:hint="eastAsia" w:ascii="宋体" w:hAnsi="宋体" w:cs="宋体"/>
          <w:color w:val="auto"/>
          <w:sz w:val="24"/>
          <w:szCs w:val="24"/>
          <w:u w:val="single"/>
          <w:lang w:eastAsia="zh-CN"/>
        </w:rPr>
        <w:t>国义招标股份有限公司</w:t>
      </w:r>
      <w:r>
        <w:rPr>
          <w:rFonts w:hint="eastAsia" w:ascii="宋体" w:hAnsi="宋体" w:cs="宋体"/>
          <w:color w:val="auto"/>
          <w:sz w:val="24"/>
          <w:szCs w:val="24"/>
        </w:rPr>
        <w:t xml:space="preserve">                                          </w:t>
      </w:r>
    </w:p>
    <w:p>
      <w:pPr>
        <w:spacing w:line="360" w:lineRule="auto"/>
        <w:ind w:firstLine="537" w:firstLineChars="224"/>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 xml:space="preserve">    联系人：</w:t>
      </w:r>
      <w:r>
        <w:rPr>
          <w:rFonts w:hint="eastAsia" w:ascii="宋体" w:hAnsi="宋体" w:cs="宋体"/>
          <w:color w:val="auto"/>
          <w:sz w:val="24"/>
          <w:szCs w:val="24"/>
          <w:highlight w:val="none"/>
          <w:u w:val="single"/>
        </w:rPr>
        <w:t>林梁威</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王珠红</w:t>
      </w:r>
      <w:r>
        <w:rPr>
          <w:rFonts w:hint="eastAsia" w:ascii="宋体" w:hAnsi="宋体" w:cs="宋体"/>
          <w:color w:val="auto"/>
          <w:sz w:val="24"/>
          <w:szCs w:val="24"/>
        </w:rPr>
        <w:t xml:space="preserve">  联系电话：</w:t>
      </w:r>
      <w:r>
        <w:rPr>
          <w:rFonts w:hint="eastAsia" w:ascii="宋体" w:hAnsi="宋体" w:cs="宋体"/>
          <w:color w:val="auto"/>
          <w:sz w:val="24"/>
          <w:szCs w:val="24"/>
          <w:highlight w:val="none"/>
          <w:u w:val="single"/>
        </w:rPr>
        <w:t>020-37861131</w:t>
      </w:r>
      <w:r>
        <w:rPr>
          <w:rFonts w:hint="eastAsia" w:ascii="宋体" w:hAnsi="宋体" w:cs="宋体"/>
          <w:color w:val="auto"/>
          <w:sz w:val="24"/>
          <w:szCs w:val="24"/>
          <w:u w:val="single"/>
          <w:lang w:val="en-US" w:eastAsia="zh-CN"/>
        </w:rPr>
        <w:t>、</w:t>
      </w:r>
      <w:r>
        <w:rPr>
          <w:rFonts w:hint="eastAsia" w:ascii="宋体" w:hAnsi="宋体" w:cs="宋体"/>
          <w:color w:val="auto"/>
          <w:sz w:val="24"/>
          <w:szCs w:val="24"/>
          <w:highlight w:val="none"/>
          <w:u w:val="single"/>
        </w:rPr>
        <w:t>020-37860743</w:t>
      </w:r>
    </w:p>
    <w:p>
      <w:pPr>
        <w:spacing w:line="360" w:lineRule="auto"/>
        <w:ind w:firstLine="1015" w:firstLineChars="423"/>
        <w:rPr>
          <w:rFonts w:hint="eastAsia" w:ascii="宋体" w:hAnsi="宋体" w:eastAsia="宋体" w:cs="宋体"/>
          <w:color w:val="auto"/>
          <w:sz w:val="24"/>
          <w:szCs w:val="24"/>
          <w:lang w:val="en-US" w:eastAsia="zh-CN"/>
        </w:rPr>
      </w:pPr>
      <w:r>
        <w:rPr>
          <w:rFonts w:hint="eastAsia" w:ascii="宋体" w:hAnsi="宋体" w:cs="宋体"/>
          <w:color w:val="auto"/>
          <w:sz w:val="24"/>
          <w:szCs w:val="24"/>
        </w:rPr>
        <w:t>联系地址：</w:t>
      </w:r>
      <w:r>
        <w:rPr>
          <w:rFonts w:hint="eastAsia" w:ascii="宋体" w:hAnsi="宋体" w:cs="宋体"/>
          <w:color w:val="auto"/>
          <w:sz w:val="24"/>
          <w:szCs w:val="24"/>
          <w:u w:val="single"/>
          <w:lang w:eastAsia="zh-CN"/>
        </w:rPr>
        <w:t>广州市东风东路726号7楼</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    招标监督机构：</w:t>
      </w:r>
      <w:r>
        <w:rPr>
          <w:rFonts w:hint="eastAsia" w:ascii="宋体" w:hAnsi="宋体" w:cs="宋体"/>
          <w:color w:val="auto"/>
          <w:sz w:val="24"/>
          <w:szCs w:val="24"/>
          <w:u w:val="single"/>
          <w:lang w:eastAsia="zh-CN"/>
        </w:rPr>
        <w:t>中信银行股份有限公司广州分行</w:t>
      </w:r>
    </w:p>
    <w:p>
      <w:pPr>
        <w:spacing w:line="360" w:lineRule="auto"/>
        <w:ind w:firstLine="537" w:firstLineChars="224"/>
        <w:rPr>
          <w:rFonts w:hint="eastAsia" w:ascii="宋体" w:hAnsi="宋体" w:eastAsia="宋体" w:cs="宋体"/>
          <w:color w:val="auto"/>
          <w:sz w:val="24"/>
          <w:szCs w:val="24"/>
          <w:u w:val="single"/>
          <w:lang w:eastAsia="zh-CN"/>
        </w:rPr>
      </w:pPr>
      <w:r>
        <w:rPr>
          <w:rFonts w:hint="eastAsia" w:ascii="宋体" w:hAnsi="宋体" w:cs="宋体"/>
          <w:color w:val="auto"/>
          <w:sz w:val="24"/>
          <w:szCs w:val="24"/>
        </w:rPr>
        <w:t xml:space="preserve">    监督电话：</w:t>
      </w:r>
      <w:r>
        <w:rPr>
          <w:rFonts w:hint="eastAsia" w:ascii="宋体" w:hAnsi="宋体" w:cs="宋体"/>
          <w:color w:val="auto"/>
          <w:sz w:val="24"/>
          <w:szCs w:val="24"/>
          <w:u w:val="single"/>
          <w:lang w:eastAsia="zh-CN"/>
        </w:rPr>
        <w:t>020-38912392</w:t>
      </w:r>
    </w:p>
    <w:p>
      <w:pPr>
        <w:spacing w:line="360" w:lineRule="auto"/>
        <w:ind w:firstLine="1015" w:firstLineChars="423"/>
        <w:rPr>
          <w:rFonts w:hint="eastAsia" w:ascii="宋体" w:hAnsi="宋体" w:eastAsia="宋体" w:cs="宋体"/>
          <w:color w:val="auto"/>
          <w:sz w:val="24"/>
          <w:szCs w:val="24"/>
          <w:lang w:eastAsia="zh-CN"/>
        </w:rPr>
      </w:pPr>
      <w:r>
        <w:rPr>
          <w:rFonts w:hint="eastAsia" w:ascii="宋体" w:hAnsi="宋体" w:cs="宋体"/>
          <w:color w:val="auto"/>
          <w:sz w:val="24"/>
          <w:szCs w:val="24"/>
        </w:rPr>
        <w:t>联系地址：</w:t>
      </w:r>
      <w:r>
        <w:rPr>
          <w:rFonts w:hint="eastAsia" w:ascii="宋体" w:hAnsi="宋体" w:cs="宋体"/>
          <w:color w:val="auto"/>
          <w:sz w:val="24"/>
          <w:szCs w:val="24"/>
          <w:u w:val="single"/>
          <w:lang w:eastAsia="zh-CN"/>
        </w:rPr>
        <w:t>广州市天河区林和街道天河北路233号中信广场</w:t>
      </w:r>
    </w:p>
    <w:p>
      <w:pPr>
        <w:spacing w:line="360" w:lineRule="auto"/>
        <w:ind w:firstLine="537" w:firstLineChars="224"/>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三、建设地点：</w:t>
      </w:r>
      <w:r>
        <w:rPr>
          <w:rFonts w:hint="eastAsia" w:ascii="宋体" w:hAnsi="宋体" w:cs="宋体"/>
          <w:color w:val="auto"/>
          <w:sz w:val="24"/>
          <w:szCs w:val="24"/>
          <w:u w:val="single"/>
        </w:rPr>
        <w:t>广州市天河区林和街道天河北路233号中信广场</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四、项目概况：</w:t>
      </w:r>
      <w:r>
        <w:rPr>
          <w:rFonts w:hint="eastAsia" w:ascii="宋体" w:hAnsi="宋体" w:cs="宋体"/>
          <w:color w:val="auto"/>
          <w:sz w:val="24"/>
          <w:szCs w:val="24"/>
          <w:highlight w:val="none"/>
          <w:u w:val="single"/>
        </w:rPr>
        <w:t>本项目为中信银行股份有限公司广州分行本部</w:t>
      </w:r>
      <w:r>
        <w:rPr>
          <w:rFonts w:hint="eastAsia" w:ascii="宋体" w:hAnsi="宋体" w:cs="宋体"/>
          <w:color w:val="auto"/>
          <w:sz w:val="24"/>
          <w:szCs w:val="24"/>
          <w:highlight w:val="none"/>
          <w:u w:val="single"/>
          <w:lang w:val="en-US" w:eastAsia="zh-CN"/>
        </w:rPr>
        <w:t>75楼</w:t>
      </w:r>
      <w:r>
        <w:rPr>
          <w:rFonts w:hint="eastAsia" w:ascii="宋体" w:hAnsi="宋体" w:cs="宋体"/>
          <w:color w:val="auto"/>
          <w:sz w:val="24"/>
          <w:szCs w:val="24"/>
          <w:highlight w:val="none"/>
          <w:u w:val="single"/>
        </w:rPr>
        <w:t>营业用房室内装修工程，装修面积约为2458.45平方米，项目预算为</w:t>
      </w:r>
      <w:r>
        <w:rPr>
          <w:rFonts w:hint="eastAsia" w:ascii="宋体" w:hAnsi="宋体" w:cs="宋体"/>
          <w:color w:val="auto"/>
          <w:sz w:val="24"/>
          <w:szCs w:val="24"/>
          <w:highlight w:val="none"/>
          <w:u w:val="single"/>
          <w:lang w:eastAsia="zh-CN"/>
        </w:rPr>
        <w:t>2,786,000.00</w:t>
      </w:r>
      <w:r>
        <w:rPr>
          <w:rFonts w:hint="eastAsia" w:ascii="宋体" w:hAnsi="宋体" w:cs="宋体"/>
          <w:color w:val="auto"/>
          <w:sz w:val="24"/>
          <w:szCs w:val="24"/>
          <w:highlight w:val="none"/>
          <w:u w:val="single"/>
        </w:rPr>
        <w:t>元。项目所在建筑物总高度为392m，总层数为75层，总建筑面积为101651.03㎡。具体内容以工程量清单、施工图纸及有关资料为准。</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五、标段划分及各标段招标内容、规模和最高投标限价：</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1、标段划分：本工程划分为</w:t>
      </w:r>
      <w:r>
        <w:rPr>
          <w:rFonts w:hint="eastAsia" w:ascii="宋体" w:hAnsi="宋体" w:cs="宋体"/>
          <w:color w:val="auto"/>
          <w:sz w:val="24"/>
          <w:szCs w:val="24"/>
          <w:u w:val="single"/>
        </w:rPr>
        <w:t xml:space="preserve"> 1 </w:t>
      </w:r>
      <w:r>
        <w:rPr>
          <w:rFonts w:hint="eastAsia" w:ascii="宋体" w:hAnsi="宋体" w:cs="宋体"/>
          <w:color w:val="auto"/>
          <w:sz w:val="24"/>
          <w:szCs w:val="24"/>
        </w:rPr>
        <w:t>个标段</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2、招标内容、规模：</w:t>
      </w:r>
      <w:r>
        <w:rPr>
          <w:rFonts w:hint="eastAsia" w:ascii="宋体" w:hAnsi="宋体" w:eastAsia="宋体" w:cs="宋体"/>
          <w:color w:val="auto"/>
          <w:sz w:val="24"/>
          <w:szCs w:val="24"/>
          <w:highlight w:val="none"/>
          <w:u w:val="single"/>
        </w:rPr>
        <w:t>本项目为中信银行股份有限公司广州分行本部</w:t>
      </w:r>
      <w:r>
        <w:rPr>
          <w:rFonts w:hint="eastAsia" w:ascii="宋体" w:hAnsi="宋体" w:cs="宋体"/>
          <w:color w:val="auto"/>
          <w:sz w:val="24"/>
          <w:szCs w:val="24"/>
          <w:highlight w:val="none"/>
          <w:u w:val="single"/>
          <w:lang w:val="en-US" w:eastAsia="zh-CN"/>
        </w:rPr>
        <w:t>75</w:t>
      </w:r>
      <w:r>
        <w:rPr>
          <w:rFonts w:hint="eastAsia" w:ascii="宋体" w:hAnsi="宋体" w:eastAsia="宋体" w:cs="宋体"/>
          <w:color w:val="auto"/>
          <w:sz w:val="24"/>
          <w:szCs w:val="24"/>
          <w:highlight w:val="none"/>
          <w:u w:val="single"/>
          <w:lang w:val="en-US" w:eastAsia="zh-CN"/>
        </w:rPr>
        <w:t>楼</w:t>
      </w:r>
      <w:r>
        <w:rPr>
          <w:rFonts w:hint="eastAsia" w:ascii="宋体" w:hAnsi="宋体" w:eastAsia="宋体" w:cs="宋体"/>
          <w:color w:val="auto"/>
          <w:sz w:val="24"/>
          <w:szCs w:val="24"/>
          <w:highlight w:val="none"/>
          <w:u w:val="single"/>
        </w:rPr>
        <w:t>营业用房室内装修工程，建筑面积2458.45平方米。包含但不限于装修装饰工程、拆除工程等。具体内容以工程量清单、施工图纸及有关资料为准。</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3、最高投标限价：</w:t>
      </w:r>
      <w:r>
        <w:rPr>
          <w:rFonts w:hint="eastAsia" w:ascii="宋体" w:hAnsi="宋体" w:cs="宋体"/>
          <w:color w:val="auto"/>
          <w:sz w:val="24"/>
          <w:szCs w:val="24"/>
          <w:lang w:eastAsia="zh-CN"/>
        </w:rPr>
        <w:t>2,</w:t>
      </w:r>
      <w:bookmarkStart w:id="0" w:name="_GoBack"/>
      <w:bookmarkEnd w:id="0"/>
      <w:r>
        <w:rPr>
          <w:rFonts w:hint="eastAsia" w:ascii="宋体" w:hAnsi="宋体" w:cs="宋体"/>
          <w:color w:val="auto"/>
          <w:sz w:val="24"/>
          <w:szCs w:val="24"/>
          <w:lang w:eastAsia="zh-CN"/>
        </w:rPr>
        <w:t>786,000.00</w:t>
      </w:r>
      <w:r>
        <w:rPr>
          <w:rFonts w:hint="eastAsia" w:ascii="宋体" w:hAnsi="宋体" w:cs="宋体"/>
          <w:color w:val="auto"/>
          <w:sz w:val="24"/>
          <w:szCs w:val="24"/>
        </w:rPr>
        <w:t>元。</w:t>
      </w:r>
    </w:p>
    <w:p>
      <w:pPr>
        <w:spacing w:line="360" w:lineRule="auto"/>
        <w:ind w:firstLine="537" w:firstLineChars="224"/>
        <w:rPr>
          <w:rFonts w:hint="eastAsia" w:ascii="宋体" w:hAnsi="宋体" w:cs="宋体"/>
          <w:color w:val="auto"/>
          <w:sz w:val="24"/>
          <w:szCs w:val="24"/>
          <w:u w:val="single"/>
        </w:rPr>
      </w:pPr>
      <w:r>
        <w:rPr>
          <w:rFonts w:hint="eastAsia" w:ascii="宋体" w:hAnsi="宋体" w:cs="宋体"/>
          <w:color w:val="auto"/>
          <w:sz w:val="24"/>
          <w:szCs w:val="24"/>
        </w:rPr>
        <w:t>六、资金来源：</w:t>
      </w:r>
      <w:r>
        <w:rPr>
          <w:rFonts w:hint="eastAsia" w:ascii="宋体" w:hAnsi="宋体" w:cs="宋体"/>
          <w:color w:val="auto"/>
          <w:sz w:val="24"/>
          <w:szCs w:val="24"/>
          <w:u w:val="single"/>
        </w:rPr>
        <w:t>自筹资金</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注：政府投资项目一律不得以建筑业企业带资承包的方式进行建设。</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七、公告发布日期、递交投标文件时间与开标时间：</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1、公告发布日期（含本日）：</w:t>
      </w:r>
      <w:r>
        <w:rPr>
          <w:rFonts w:hint="eastAsia" w:ascii="宋体" w:hAnsi="宋体" w:cs="宋体"/>
          <w:color w:val="auto"/>
          <w:sz w:val="24"/>
          <w:szCs w:val="24"/>
          <w:u w:val="single"/>
          <w:lang w:eastAsia="zh-CN"/>
        </w:rPr>
        <w:t>2024</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日至</w:t>
      </w:r>
      <w:r>
        <w:rPr>
          <w:rFonts w:hint="eastAsia" w:ascii="宋体" w:hAnsi="宋体" w:cs="宋体"/>
          <w:color w:val="auto"/>
          <w:sz w:val="24"/>
          <w:szCs w:val="24"/>
          <w:u w:val="single"/>
          <w:lang w:eastAsia="zh-CN"/>
        </w:rPr>
        <w:t>2024</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凡有意参加投标者，请登录</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交易平台网站下载电子招标文件。</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注：发布招标公告的时间为招标公告发出之日起至投标截止时间止。</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2、递交投标文件起始时间：</w:t>
      </w:r>
      <w:r>
        <w:rPr>
          <w:rFonts w:hint="eastAsia" w:ascii="宋体" w:hAnsi="宋体" w:cs="宋体"/>
          <w:color w:val="auto"/>
          <w:sz w:val="24"/>
          <w:szCs w:val="24"/>
          <w:u w:val="single"/>
          <w:lang w:eastAsia="zh-CN"/>
        </w:rPr>
        <w:t>2024</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p>
    <w:p>
      <w:pPr>
        <w:spacing w:line="360" w:lineRule="auto"/>
        <w:ind w:firstLine="2457" w:firstLineChars="1024"/>
        <w:rPr>
          <w:rFonts w:hint="eastAsia" w:ascii="宋体" w:hAnsi="宋体" w:cs="宋体"/>
          <w:color w:val="auto"/>
          <w:sz w:val="24"/>
          <w:szCs w:val="24"/>
        </w:rPr>
      </w:pPr>
      <w:r>
        <w:rPr>
          <w:rFonts w:hint="eastAsia" w:ascii="宋体" w:hAnsi="宋体" w:cs="宋体"/>
          <w:color w:val="auto"/>
          <w:sz w:val="24"/>
          <w:szCs w:val="24"/>
        </w:rPr>
        <w:t>截止时间：</w:t>
      </w:r>
      <w:r>
        <w:rPr>
          <w:rFonts w:hint="eastAsia" w:ascii="宋体" w:hAnsi="宋体" w:cs="宋体"/>
          <w:color w:val="auto"/>
          <w:sz w:val="24"/>
          <w:szCs w:val="24"/>
          <w:u w:val="single"/>
          <w:lang w:eastAsia="zh-CN"/>
        </w:rPr>
        <w:t>2024</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3、开标开始时间：</w:t>
      </w:r>
      <w:r>
        <w:rPr>
          <w:rFonts w:hint="eastAsia" w:ascii="宋体" w:hAnsi="宋体" w:cs="宋体"/>
          <w:color w:val="auto"/>
          <w:sz w:val="24"/>
          <w:szCs w:val="24"/>
          <w:u w:val="single"/>
          <w:lang w:eastAsia="zh-CN"/>
        </w:rPr>
        <w:t>2024</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4、递交投标文件截止时间与开标时间是否有变化，请密切留意招标答疑中的相关信息。递交投标文件截止时间后，开标时间因故推迟的，相关评标信息仍以原递交投标文件截止时间的信息为准。</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5、投标人通过</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交易平台递交电子投标文件。投标人应在递交投标文件截止时间前，登录</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交易平台网站办理网上投标登记手续。按照交易平台关于全流程电子化项目的相关指南进行操作。详见：</w:t>
      </w:r>
      <w:r>
        <w:rPr>
          <w:rFonts w:hint="eastAsia" w:ascii="宋体" w:hAnsi="宋体" w:cs="宋体"/>
          <w:color w:val="auto"/>
          <w:sz w:val="24"/>
          <w:szCs w:val="24"/>
          <w:u w:val="single"/>
        </w:rPr>
        <w:t>广州公共资源交易中心网站</w:t>
      </w:r>
      <w:r>
        <w:rPr>
          <w:rFonts w:hint="eastAsia" w:ascii="宋体" w:hAnsi="宋体" w:cs="宋体"/>
          <w:color w:val="auto"/>
          <w:sz w:val="24"/>
          <w:szCs w:val="24"/>
        </w:rPr>
        <w:t>。</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八、招标文件获取方式：</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本项目招标文件随招标公告一并在</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交易平台网站发布。招标文件一经在</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交易平台发布，视为发售给投标人，招标文件由投标人自行在</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交易平台网站下载。</w:t>
      </w:r>
    </w:p>
    <w:p>
      <w:pPr>
        <w:spacing w:line="540" w:lineRule="exact"/>
        <w:ind w:firstLine="537" w:firstLineChars="224"/>
        <w:rPr>
          <w:rFonts w:ascii="宋体" w:hAnsi="宋体" w:cs="宋体"/>
          <w:color w:val="auto"/>
          <w:sz w:val="24"/>
          <w:szCs w:val="24"/>
        </w:rPr>
      </w:pPr>
      <w:r>
        <w:rPr>
          <w:rFonts w:hint="eastAsia" w:ascii="宋体" w:hAnsi="宋体" w:cs="宋体"/>
          <w:color w:val="auto"/>
          <w:sz w:val="24"/>
          <w:szCs w:val="24"/>
        </w:rPr>
        <w:t>九、投标人合格条件：</w:t>
      </w:r>
    </w:p>
    <w:p>
      <w:pPr>
        <w:spacing w:line="540" w:lineRule="exact"/>
        <w:ind w:firstLine="537" w:firstLineChars="224"/>
        <w:rPr>
          <w:rFonts w:ascii="宋体" w:hAnsi="宋体" w:cs="宋体"/>
          <w:color w:val="auto"/>
          <w:sz w:val="24"/>
          <w:szCs w:val="24"/>
        </w:rPr>
      </w:pPr>
      <w:r>
        <w:rPr>
          <w:rFonts w:hint="eastAsia" w:ascii="宋体" w:hAnsi="宋体" w:cs="宋体"/>
          <w:color w:val="auto"/>
          <w:sz w:val="24"/>
          <w:szCs w:val="24"/>
        </w:rPr>
        <w:t>1、投标人参加投标的意思表达清楚，投标人代表被授权有效。</w:t>
      </w:r>
    </w:p>
    <w:p>
      <w:pPr>
        <w:spacing w:line="540" w:lineRule="exact"/>
        <w:ind w:firstLine="537" w:firstLineChars="224"/>
        <w:rPr>
          <w:rFonts w:ascii="宋体" w:hAnsi="宋体" w:cs="宋体"/>
          <w:color w:val="auto"/>
          <w:sz w:val="24"/>
          <w:szCs w:val="24"/>
        </w:rPr>
      </w:pPr>
      <w:r>
        <w:rPr>
          <w:rFonts w:hint="eastAsia" w:ascii="宋体" w:hAnsi="宋体" w:cs="宋体"/>
          <w:color w:val="auto"/>
          <w:sz w:val="24"/>
          <w:szCs w:val="24"/>
        </w:rPr>
        <w:t>2、投标人均具有独立法人资格，按国家法律经营。</w:t>
      </w:r>
    </w:p>
    <w:p>
      <w:pPr>
        <w:spacing w:line="540" w:lineRule="exact"/>
        <w:ind w:firstLine="537" w:firstLineChars="224"/>
        <w:rPr>
          <w:rFonts w:ascii="宋体" w:hAnsi="宋体" w:cs="宋体"/>
          <w:color w:val="auto"/>
          <w:sz w:val="24"/>
          <w:szCs w:val="24"/>
        </w:rPr>
      </w:pPr>
      <w:r>
        <w:rPr>
          <w:rFonts w:hint="eastAsia" w:ascii="宋体" w:hAnsi="宋体" w:cs="宋体"/>
          <w:color w:val="auto"/>
          <w:sz w:val="24"/>
          <w:szCs w:val="24"/>
        </w:rPr>
        <w:t>3、投标人均持有建设行政主管部门颁发的企业资质证书及安全生产许可证。</w:t>
      </w:r>
    </w:p>
    <w:p>
      <w:pPr>
        <w:spacing w:line="540" w:lineRule="exact"/>
        <w:ind w:firstLine="539"/>
        <w:rPr>
          <w:rFonts w:ascii="宋体" w:hAnsi="宋体" w:cs="宋体"/>
          <w:color w:val="auto"/>
          <w:kern w:val="0"/>
          <w:sz w:val="24"/>
          <w:szCs w:val="24"/>
        </w:rPr>
      </w:pPr>
      <w:r>
        <w:rPr>
          <w:rFonts w:hint="eastAsia" w:ascii="宋体" w:hAnsi="宋体" w:cs="宋体"/>
          <w:color w:val="auto"/>
          <w:kern w:val="0"/>
          <w:sz w:val="24"/>
          <w:szCs w:val="24"/>
        </w:rPr>
        <w:t>4、投标人应具备以下资质：</w:t>
      </w:r>
    </w:p>
    <w:p>
      <w:pPr>
        <w:spacing w:line="480" w:lineRule="auto"/>
        <w:ind w:firstLine="539"/>
        <w:rPr>
          <w:rFonts w:ascii="宋体" w:hAnsi="宋体" w:cs="宋体"/>
          <w:color w:val="auto"/>
          <w:kern w:val="0"/>
          <w:sz w:val="24"/>
          <w:szCs w:val="24"/>
        </w:rPr>
      </w:pPr>
      <w:r>
        <w:rPr>
          <w:rFonts w:hint="eastAsia" w:ascii="宋体" w:hAnsi="宋体" w:cs="宋体"/>
          <w:color w:val="auto"/>
          <w:kern w:val="0"/>
          <w:sz w:val="24"/>
          <w:szCs w:val="24"/>
        </w:rPr>
        <w:t>投标人具有承接本工程所需的</w:t>
      </w:r>
      <w:r>
        <w:rPr>
          <w:rFonts w:hint="eastAsia" w:ascii="宋体" w:hAnsi="宋体" w:eastAsia="宋体" w:cs="宋体"/>
          <w:color w:val="auto"/>
          <w:kern w:val="0"/>
          <w:sz w:val="24"/>
          <w:szCs w:val="24"/>
        </w:rPr>
        <w:t>建筑装修装饰工程专业承包二级</w:t>
      </w:r>
      <w:r>
        <w:rPr>
          <w:rFonts w:hint="eastAsia" w:ascii="宋体" w:hAnsi="宋体" w:cs="宋体"/>
          <w:color w:val="auto"/>
          <w:kern w:val="0"/>
          <w:sz w:val="24"/>
          <w:szCs w:val="24"/>
        </w:rPr>
        <w:t>或以上级别资质；投标人拟担任本工程项目负责人的人员为：</w:t>
      </w:r>
      <w:r>
        <w:rPr>
          <w:rFonts w:hint="eastAsia" w:ascii="宋体" w:hAnsi="宋体" w:cs="宋体"/>
          <w:color w:val="auto"/>
          <w:kern w:val="0"/>
          <w:sz w:val="24"/>
          <w:szCs w:val="24"/>
          <w:u w:val="single"/>
        </w:rPr>
        <w:t>建筑工程</w:t>
      </w:r>
      <w:r>
        <w:rPr>
          <w:rFonts w:hint="eastAsia" w:ascii="宋体" w:hAnsi="宋体" w:cs="宋体"/>
          <w:color w:val="auto"/>
          <w:kern w:val="0"/>
          <w:sz w:val="24"/>
          <w:szCs w:val="24"/>
        </w:rPr>
        <w:t>专业</w:t>
      </w:r>
      <w:r>
        <w:rPr>
          <w:rFonts w:hint="eastAsia" w:ascii="宋体" w:hAnsi="宋体" w:cs="宋体"/>
          <w:color w:val="auto"/>
          <w:kern w:val="0"/>
          <w:sz w:val="24"/>
          <w:szCs w:val="24"/>
          <w:u w:val="single"/>
        </w:rPr>
        <w:t>二</w:t>
      </w:r>
      <w:r>
        <w:rPr>
          <w:rFonts w:hint="eastAsia" w:ascii="宋体" w:hAnsi="宋体" w:cs="宋体"/>
          <w:color w:val="auto"/>
          <w:kern w:val="0"/>
          <w:sz w:val="24"/>
          <w:szCs w:val="24"/>
        </w:rPr>
        <w:t>级或以上级别的注册建造师。</w:t>
      </w:r>
    </w:p>
    <w:p>
      <w:pPr>
        <w:spacing w:line="480" w:lineRule="auto"/>
        <w:ind w:firstLine="53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spacing w:line="480" w:lineRule="auto"/>
        <w:ind w:firstLine="539"/>
        <w:rPr>
          <w:rFonts w:hint="eastAsia" w:ascii="宋体" w:hAnsi="宋体" w:cs="宋体"/>
          <w:sz w:val="24"/>
          <w:szCs w:val="24"/>
        </w:rPr>
      </w:pPr>
      <w:r>
        <w:rPr>
          <w:rFonts w:hint="eastAsia" w:ascii="宋体" w:hAnsi="宋体" w:eastAsia="宋体" w:cs="宋体"/>
          <w:bCs/>
          <w:color w:val="000000"/>
          <w:kern w:val="0"/>
          <w:sz w:val="24"/>
          <w:szCs w:val="24"/>
        </w:rPr>
        <w:t>投标人还应当符合《住房和城乡建设部办公厅关于做好建筑业“证照分离”改革衔接有关工作的通知》（建办市〔2021〕30号）、</w:t>
      </w:r>
      <w:r>
        <w:rPr>
          <w:rFonts w:hint="eastAsia" w:ascii="宋体" w:hAnsi="宋体" w:eastAsia="宋体" w:cs="宋体"/>
          <w:color w:val="000000"/>
          <w:kern w:val="0"/>
          <w:sz w:val="24"/>
          <w:szCs w:val="24"/>
        </w:rPr>
        <w:t>《住房和城乡建设部办公厅关于建设工程企业资质有关事宜的通知》（建办市函〔2022〕361号）、《广东省住房和城乡建设厅关于建设工程企业资质有关事宜的通知》（粤建许函〔2022〕846号）、</w:t>
      </w:r>
      <w:r>
        <w:rPr>
          <w:rFonts w:hint="eastAsia" w:ascii="宋体" w:hAnsi="宋体" w:eastAsia="宋体" w:cs="宋体"/>
          <w:b/>
          <w:color w:val="000000"/>
          <w:kern w:val="0"/>
          <w:sz w:val="24"/>
          <w:szCs w:val="24"/>
        </w:rPr>
        <w:t>《住房城乡建设部建筑市场监管司关于建设工程企业资质延续有关事项的通知》（建司局函市〔2023〕116号）、</w:t>
      </w:r>
      <w:r>
        <w:rPr>
          <w:rFonts w:hint="eastAsia" w:ascii="宋体" w:hAnsi="宋体" w:eastAsia="宋体" w:cs="宋体"/>
          <w:b/>
          <w:kern w:val="0"/>
          <w:sz w:val="24"/>
          <w:szCs w:val="24"/>
        </w:rPr>
        <w:t>《广东省住房和城乡建设厅关于建设工程企业资质延续有关事项的通知》</w:t>
      </w:r>
      <w:r>
        <w:rPr>
          <w:rFonts w:hint="eastAsia" w:ascii="宋体" w:hAnsi="宋体" w:eastAsia="宋体" w:cs="宋体"/>
          <w:b/>
          <w:color w:val="000000"/>
          <w:kern w:val="0"/>
          <w:sz w:val="24"/>
          <w:szCs w:val="24"/>
        </w:rPr>
        <w:t>（粤建许函〔2023〕820号）等相关规定。根据上述文件的要求，投标人需办理企业资质有效期延续的，应当按照相关规定及时办理。</w:t>
      </w:r>
    </w:p>
    <w:p>
      <w:pPr>
        <w:spacing w:line="480" w:lineRule="auto"/>
        <w:ind w:firstLine="53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pacing w:line="48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pacing w:line="480" w:lineRule="auto"/>
        <w:ind w:firstLine="539"/>
        <w:rPr>
          <w:rFonts w:ascii="宋体" w:hAnsi="宋体" w:cs="宋体"/>
          <w:color w:val="auto"/>
          <w:kern w:val="0"/>
          <w:sz w:val="24"/>
          <w:szCs w:val="24"/>
        </w:rPr>
      </w:pPr>
      <w:r>
        <w:rPr>
          <w:rFonts w:hint="eastAsia" w:ascii="宋体" w:hAnsi="宋体" w:eastAsia="宋体" w:cs="宋体"/>
          <w:sz w:val="24"/>
          <w:szCs w:val="24"/>
        </w:rPr>
        <w:t>③</w:t>
      </w:r>
      <w:r>
        <w:rPr>
          <w:rFonts w:hint="eastAsia" w:ascii="宋体" w:hAnsi="宋体" w:eastAsia="宋体" w:cs="宋体"/>
          <w:b/>
          <w:color w:val="000000"/>
          <w:kern w:val="0"/>
          <w:sz w:val="24"/>
          <w:szCs w:val="24"/>
        </w:rPr>
        <w:t>根据广东省住建厅《关于明确二级建造师注册执业有关问题的通知》（粤建市函〔2023〕469号），二级建造师应在考试取得执业资格的省、自治区、直辖市申请注册，二级注册建造师可随注册企业在全国范围内执业。</w:t>
      </w:r>
      <w:r>
        <w:rPr>
          <w:rFonts w:hint="eastAsia" w:ascii="宋体" w:hAnsi="宋体" w:eastAsia="宋体" w:cs="宋体"/>
          <w:bCs/>
          <w:color w:val="000000"/>
          <w:kern w:val="0"/>
          <w:sz w:val="24"/>
          <w:szCs w:val="24"/>
        </w:rPr>
        <w:t>项目负责人在任职期间不得担任专职安全员，项目专职安全员在任职期间也不得担任项目负责人，项目负责人和专职安全员不为同一人。</w:t>
      </w:r>
    </w:p>
    <w:p>
      <w:pPr>
        <w:spacing w:line="5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5、项目负责人持有在有效期内</w:t>
      </w:r>
      <w:r>
        <w:rPr>
          <w:rFonts w:hint="eastAsia" w:ascii="宋体" w:hAnsi="宋体" w:cs="宋体"/>
          <w:color w:val="auto"/>
          <w:kern w:val="0"/>
          <w:sz w:val="24"/>
          <w:szCs w:val="24"/>
          <w:lang w:eastAsia="zh-CN"/>
        </w:rPr>
        <w:t>的</w:t>
      </w:r>
      <w:r>
        <w:rPr>
          <w:rFonts w:hint="eastAsia" w:ascii="宋体" w:hAnsi="宋体" w:cs="宋体"/>
          <w:color w:val="auto"/>
          <w:kern w:val="0"/>
          <w:sz w:val="24"/>
          <w:szCs w:val="24"/>
        </w:rPr>
        <w:t>安全生产考核合格证（B类）或建筑施工企业项目负责人安全生产考核合格证书；</w:t>
      </w:r>
    </w:p>
    <w:p>
      <w:pPr>
        <w:spacing w:line="5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6、投标人拟担任本工程技术负责人的资格要求为：</w:t>
      </w:r>
      <w:r>
        <w:rPr>
          <w:rFonts w:hint="eastAsia" w:ascii="宋体" w:hAnsi="宋体" w:cs="宋体"/>
          <w:color w:val="auto"/>
          <w:kern w:val="0"/>
          <w:sz w:val="24"/>
          <w:szCs w:val="24"/>
          <w:u w:val="single"/>
        </w:rPr>
        <w:t>具备建筑工程相关专业中级（或以上）技术职称，技术负责人不得兼任其他岗位。</w:t>
      </w:r>
    </w:p>
    <w:p>
      <w:pPr>
        <w:spacing w:line="5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7、专职安全员须具有在有效期内的安全生产考核合格证（C类）或建筑施工企业专职安全生产管理人员安全生产考核合格证书（C3）。</w:t>
      </w:r>
    </w:p>
    <w:p>
      <w:pPr>
        <w:spacing w:line="5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8、投标人已按照附件一的内容签署盖章的投标人声明。</w:t>
      </w:r>
    </w:p>
    <w:p>
      <w:pPr>
        <w:spacing w:line="5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9、关于联合体投标：</w:t>
      </w:r>
      <w:r>
        <w:rPr>
          <w:rFonts w:hint="eastAsia" w:ascii="宋体" w:hAnsi="宋体" w:cs="宋体"/>
          <w:color w:val="auto"/>
          <w:kern w:val="0"/>
          <w:sz w:val="24"/>
          <w:szCs w:val="24"/>
          <w:u w:val="single"/>
        </w:rPr>
        <w:t>本项目不接受联合体投标</w:t>
      </w:r>
      <w:r>
        <w:rPr>
          <w:rFonts w:hint="eastAsia" w:ascii="宋体" w:hAnsi="宋体" w:cs="宋体"/>
          <w:color w:val="auto"/>
          <w:kern w:val="0"/>
          <w:sz w:val="24"/>
          <w:szCs w:val="24"/>
        </w:rPr>
        <w:t>。</w:t>
      </w:r>
    </w:p>
    <w:p>
      <w:pPr>
        <w:spacing w:line="540" w:lineRule="exact"/>
        <w:ind w:firstLine="480" w:firstLineChars="200"/>
        <w:rPr>
          <w:rFonts w:hint="eastAsia" w:ascii="宋体" w:hAnsi="宋体" w:eastAsia="宋体" w:cs="宋体"/>
          <w:b/>
          <w:color w:val="000000"/>
          <w:kern w:val="0"/>
          <w:sz w:val="24"/>
          <w:szCs w:val="24"/>
        </w:rPr>
      </w:pPr>
      <w:r>
        <w:rPr>
          <w:rFonts w:hint="eastAsia" w:ascii="宋体" w:hAnsi="宋体" w:cs="宋体"/>
          <w:color w:val="auto"/>
          <w:kern w:val="0"/>
          <w:sz w:val="24"/>
          <w:szCs w:val="24"/>
        </w:rPr>
        <w:t>10、</w:t>
      </w:r>
      <w:r>
        <w:rPr>
          <w:rFonts w:hint="eastAsia" w:ascii="宋体" w:hAnsi="宋体" w:eastAsia="宋体" w:cs="宋体"/>
          <w:bCs/>
          <w:color w:val="000000"/>
          <w:kern w:val="0"/>
          <w:sz w:val="24"/>
          <w:szCs w:val="24"/>
        </w:rPr>
        <w:t>资格审查前，投标人须在</w:t>
      </w:r>
      <w:r>
        <w:rPr>
          <w:rFonts w:hint="eastAsia" w:ascii="宋体" w:hAnsi="宋体" w:eastAsia="宋体" w:cs="宋体"/>
          <w:color w:val="000000"/>
          <w:kern w:val="0"/>
          <w:sz w:val="24"/>
          <w:szCs w:val="24"/>
        </w:rPr>
        <w:t>广州市住房和城乡建设局建立企业信用档案</w:t>
      </w:r>
      <w:r>
        <w:rPr>
          <w:rFonts w:hint="eastAsia" w:ascii="宋体" w:hAnsi="宋体" w:eastAsia="宋体" w:cs="宋体"/>
          <w:bCs/>
          <w:color w:val="000000"/>
          <w:kern w:val="0"/>
          <w:sz w:val="24"/>
          <w:szCs w:val="24"/>
        </w:rPr>
        <w:t>及拟担任本工程项目负责人、专职安全员须是本</w:t>
      </w:r>
      <w:r>
        <w:rPr>
          <w:rFonts w:hint="eastAsia" w:ascii="宋体" w:hAnsi="宋体" w:eastAsia="宋体" w:cs="宋体"/>
          <w:color w:val="000000"/>
          <w:kern w:val="0"/>
          <w:sz w:val="24"/>
          <w:szCs w:val="24"/>
        </w:rPr>
        <w:t>企业信用档案</w:t>
      </w:r>
      <w:r>
        <w:rPr>
          <w:rFonts w:hint="eastAsia" w:ascii="宋体" w:hAnsi="宋体" w:eastAsia="宋体" w:cs="宋体"/>
          <w:bCs/>
          <w:color w:val="000000"/>
          <w:kern w:val="0"/>
          <w:sz w:val="24"/>
          <w:szCs w:val="24"/>
        </w:rPr>
        <w:t>中的在册人员。</w:t>
      </w:r>
      <w:r>
        <w:rPr>
          <w:rFonts w:hint="eastAsia" w:ascii="宋体" w:hAnsi="宋体" w:eastAsia="宋体" w:cs="宋体"/>
          <w:color w:val="000000"/>
          <w:kern w:val="0"/>
          <w:sz w:val="24"/>
          <w:szCs w:val="24"/>
        </w:rPr>
        <w:t>企业信用档案</w:t>
      </w:r>
      <w:r>
        <w:rPr>
          <w:rFonts w:hint="eastAsia" w:ascii="宋体" w:hAnsi="宋体" w:eastAsia="宋体" w:cs="宋体"/>
          <w:bCs/>
          <w:color w:val="000000"/>
          <w:kern w:val="0"/>
          <w:sz w:val="24"/>
          <w:szCs w:val="24"/>
        </w:rPr>
        <w:t>取自投标截止时间投标人在</w:t>
      </w:r>
      <w:r>
        <w:rPr>
          <w:rFonts w:hint="eastAsia" w:ascii="宋体" w:hAnsi="宋体" w:eastAsia="宋体" w:cs="宋体"/>
          <w:color w:val="000000"/>
          <w:kern w:val="0"/>
          <w:sz w:val="24"/>
          <w:szCs w:val="24"/>
        </w:rPr>
        <w:t>信用管理平台</w:t>
      </w:r>
      <w:r>
        <w:rPr>
          <w:rFonts w:hint="eastAsia" w:ascii="宋体" w:hAnsi="宋体" w:eastAsia="宋体" w:cs="宋体"/>
          <w:bCs/>
          <w:color w:val="000000"/>
          <w:kern w:val="0"/>
          <w:sz w:val="24"/>
          <w:szCs w:val="24"/>
        </w:rPr>
        <w:t>的信息，投标人无需提交相关资料，若招标人延长递交投标文件截止时间的，</w:t>
      </w:r>
      <w:r>
        <w:rPr>
          <w:rFonts w:hint="eastAsia" w:ascii="宋体" w:hAnsi="宋体" w:eastAsia="宋体" w:cs="宋体"/>
          <w:color w:val="000000"/>
          <w:kern w:val="0"/>
          <w:sz w:val="24"/>
          <w:szCs w:val="24"/>
        </w:rPr>
        <w:t>信用档案</w:t>
      </w:r>
      <w:r>
        <w:rPr>
          <w:rFonts w:hint="eastAsia" w:ascii="宋体" w:hAnsi="宋体" w:eastAsia="宋体" w:cs="宋体"/>
          <w:bCs/>
          <w:color w:val="000000"/>
          <w:kern w:val="0"/>
          <w:sz w:val="24"/>
          <w:szCs w:val="24"/>
        </w:rPr>
        <w:t>信息的评审时点也相应延长。（</w:t>
      </w:r>
      <w:r>
        <w:rPr>
          <w:rFonts w:hint="eastAsia" w:ascii="宋体" w:hAnsi="宋体" w:eastAsia="宋体" w:cs="宋体"/>
          <w:color w:val="000000"/>
          <w:kern w:val="0"/>
          <w:sz w:val="24"/>
          <w:szCs w:val="24"/>
        </w:rPr>
        <w:t>信用档案办理详见《广州市住建行业信用管理平台施工企业信息录入指引》</w:t>
      </w:r>
    </w:p>
    <w:p>
      <w:pPr>
        <w:spacing w:line="540" w:lineRule="exact"/>
        <w:rPr>
          <w:rFonts w:ascii="宋体" w:hAnsi="宋体" w:cs="宋体"/>
          <w:color w:val="auto"/>
          <w:kern w:val="0"/>
          <w:sz w:val="24"/>
          <w:szCs w:val="24"/>
        </w:rPr>
      </w:pPr>
      <w:r>
        <w:rPr>
          <w:rFonts w:hint="eastAsia" w:ascii="宋体" w:hAnsi="宋体" w:cs="宋体"/>
          <w:b/>
          <w:color w:val="000000"/>
          <w:kern w:val="0"/>
          <w:sz w:val="24"/>
          <w:szCs w:val="24"/>
          <w:lang w:eastAsia="zh-CN"/>
        </w:rPr>
        <w:t>（</w:t>
      </w:r>
      <w:r>
        <w:rPr>
          <w:rFonts w:hint="eastAsia" w:ascii="宋体" w:hAnsi="宋体" w:eastAsia="宋体" w:cs="宋体"/>
          <w:b/>
          <w:color w:val="000000"/>
          <w:kern w:val="0"/>
          <w:sz w:val="24"/>
          <w:szCs w:val="24"/>
        </w:rPr>
        <w:t>http://zfcj.gz.gov.cn/zwgk/zsdwxxgkzl/gzsjzyglfwzx/bszy/content/post_8484886.html）</w:t>
      </w:r>
    </w:p>
    <w:p>
      <w:pPr>
        <w:spacing w:line="540" w:lineRule="exact"/>
        <w:ind w:firstLine="480" w:firstLineChars="200"/>
        <w:rPr>
          <w:rFonts w:ascii="宋体" w:hAnsi="宋体" w:cs="宋体"/>
          <w:color w:val="auto"/>
          <w:sz w:val="24"/>
          <w:szCs w:val="24"/>
        </w:rPr>
      </w:pPr>
      <w:r>
        <w:rPr>
          <w:rFonts w:hint="eastAsia" w:ascii="宋体" w:hAnsi="宋体" w:cs="宋体"/>
          <w:color w:val="auto"/>
          <w:kern w:val="0"/>
          <w:sz w:val="24"/>
          <w:szCs w:val="24"/>
        </w:rPr>
        <w:t>11、</w:t>
      </w:r>
      <w:r>
        <w:rPr>
          <w:rFonts w:hint="eastAsia" w:ascii="宋体" w:hAnsi="宋体" w:cs="宋体"/>
          <w:color w:val="auto"/>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s="宋体"/>
          <w:b/>
          <w:color w:val="auto"/>
          <w:sz w:val="24"/>
          <w:szCs w:val="24"/>
          <w:u w:val="single"/>
        </w:rPr>
        <w:t>相关投标均无效</w:t>
      </w:r>
      <w:r>
        <w:rPr>
          <w:rFonts w:hint="eastAsia" w:ascii="宋体" w:hAnsi="宋体" w:cs="宋体"/>
          <w:color w:val="auto"/>
          <w:sz w:val="24"/>
          <w:szCs w:val="24"/>
        </w:rPr>
        <w:t>。</w:t>
      </w:r>
    </w:p>
    <w:p>
      <w:pPr>
        <w:spacing w:line="54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12、未被列入拖欠农民工工资失信联合惩戒对象名单</w:t>
      </w:r>
      <w:r>
        <w:rPr>
          <w:rFonts w:hint="eastAsia" w:ascii="宋体" w:hAnsi="宋体" w:cs="宋体"/>
          <w:color w:val="auto"/>
          <w:sz w:val="24"/>
          <w:szCs w:val="24"/>
          <w:lang w:eastAsia="zh-CN"/>
        </w:rPr>
        <w:t>。</w:t>
      </w:r>
    </w:p>
    <w:p>
      <w:pPr>
        <w:spacing w:line="540" w:lineRule="exact"/>
        <w:ind w:firstLine="482" w:firstLineChars="200"/>
        <w:rPr>
          <w:rFonts w:ascii="宋体" w:hAnsi="宋体" w:cs="宋体"/>
          <w:color w:val="auto"/>
          <w:sz w:val="24"/>
          <w:szCs w:val="24"/>
        </w:rPr>
      </w:pPr>
      <w:r>
        <w:rPr>
          <w:rFonts w:hint="eastAsia" w:ascii="宋体" w:hAnsi="宋体" w:cs="宋体"/>
          <w:b/>
          <w:color w:val="auto"/>
          <w:sz w:val="24"/>
          <w:szCs w:val="24"/>
        </w:rPr>
        <w:t>注：未在招标公告第九条单列的资审合格条件，不作为资审不合格的依据</w:t>
      </w:r>
      <w:r>
        <w:rPr>
          <w:rFonts w:hint="eastAsia" w:ascii="宋体" w:hAnsi="宋体" w:cs="宋体"/>
          <w:color w:val="auto"/>
          <w:sz w:val="24"/>
          <w:szCs w:val="24"/>
        </w:rPr>
        <w:t>。</w:t>
      </w:r>
    </w:p>
    <w:p>
      <w:pPr>
        <w:spacing w:line="540" w:lineRule="exact"/>
        <w:ind w:firstLine="480" w:firstLineChars="200"/>
        <w:rPr>
          <w:rFonts w:ascii="宋体" w:hAnsi="宋体" w:cs="宋体"/>
          <w:color w:val="auto"/>
          <w:sz w:val="24"/>
          <w:szCs w:val="24"/>
        </w:rPr>
      </w:pPr>
      <w:r>
        <w:rPr>
          <w:rFonts w:hint="eastAsia" w:ascii="宋体" w:hAnsi="宋体" w:cs="宋体"/>
          <w:color w:val="auto"/>
          <w:sz w:val="24"/>
          <w:szCs w:val="24"/>
        </w:rPr>
        <w:t>十、资格审查方式：</w:t>
      </w:r>
    </w:p>
    <w:p>
      <w:pPr>
        <w:spacing w:line="540" w:lineRule="exact"/>
        <w:ind w:firstLine="480" w:firstLineChars="200"/>
        <w:rPr>
          <w:rFonts w:ascii="宋体" w:hAnsi="宋体" w:cs="宋体"/>
          <w:color w:val="auto"/>
          <w:sz w:val="24"/>
          <w:szCs w:val="24"/>
        </w:rPr>
      </w:pPr>
      <w:r>
        <w:rPr>
          <w:rFonts w:hint="eastAsia" w:ascii="宋体" w:hAnsi="宋体" w:cs="宋体"/>
          <w:color w:val="auto"/>
          <w:sz w:val="24"/>
          <w:szCs w:val="24"/>
        </w:rPr>
        <w:t>本工程采用资格后审方式，由评标委员会负责资格审查。</w:t>
      </w:r>
    </w:p>
    <w:p>
      <w:pPr>
        <w:spacing w:line="540" w:lineRule="exact"/>
        <w:ind w:firstLine="480" w:firstLineChars="200"/>
        <w:rPr>
          <w:rFonts w:ascii="宋体" w:hAnsi="宋体" w:cs="宋体"/>
          <w:bCs/>
          <w:color w:val="auto"/>
          <w:sz w:val="24"/>
          <w:szCs w:val="24"/>
        </w:rPr>
      </w:pPr>
      <w:r>
        <w:rPr>
          <w:rFonts w:hint="eastAsia" w:ascii="宋体" w:hAnsi="宋体" w:cs="宋体"/>
          <w:color w:val="auto"/>
          <w:sz w:val="24"/>
          <w:szCs w:val="24"/>
        </w:rPr>
        <w:t>十一、资格审查结果将在</w:t>
      </w:r>
      <w:r>
        <w:rPr>
          <w:rFonts w:hint="eastAsia" w:ascii="宋体" w:hAnsi="宋体" w:cs="宋体"/>
          <w:color w:val="auto"/>
          <w:sz w:val="24"/>
          <w:szCs w:val="24"/>
          <w:u w:val="single"/>
        </w:rPr>
        <w:t>广州公共资源交易中心</w:t>
      </w:r>
      <w:r>
        <w:rPr>
          <w:rFonts w:hint="eastAsia" w:ascii="宋体" w:hAnsi="宋体" w:cs="宋体"/>
          <w:color w:val="auto"/>
          <w:sz w:val="24"/>
          <w:szCs w:val="24"/>
        </w:rPr>
        <w:t>交易平台和</w:t>
      </w:r>
      <w:r>
        <w:rPr>
          <w:rFonts w:hint="eastAsia" w:ascii="宋体" w:hAnsi="宋体" w:cs="宋体"/>
          <w:color w:val="auto"/>
          <w:kern w:val="0"/>
          <w:sz w:val="24"/>
          <w:szCs w:val="24"/>
        </w:rPr>
        <w:t>广东省招标投标监管网</w:t>
      </w:r>
      <w:r>
        <w:rPr>
          <w:rFonts w:hint="eastAsia" w:ascii="宋体" w:hAnsi="宋体" w:cs="宋体"/>
          <w:color w:val="auto"/>
          <w:sz w:val="24"/>
          <w:szCs w:val="24"/>
        </w:rPr>
        <w:t>公示，</w:t>
      </w:r>
      <w:r>
        <w:rPr>
          <w:rFonts w:hint="eastAsia" w:ascii="宋体" w:hAnsi="宋体" w:cs="宋体"/>
          <w:bCs/>
          <w:color w:val="auto"/>
          <w:sz w:val="24"/>
          <w:szCs w:val="24"/>
        </w:rPr>
        <w:t>公示时间不得少于3日。</w:t>
      </w:r>
    </w:p>
    <w:p>
      <w:pPr>
        <w:spacing w:line="540" w:lineRule="exact"/>
        <w:ind w:firstLine="480" w:firstLineChars="200"/>
        <w:rPr>
          <w:rFonts w:ascii="宋体" w:hAnsi="宋体" w:cs="宋体"/>
          <w:color w:val="auto"/>
          <w:sz w:val="24"/>
          <w:szCs w:val="24"/>
        </w:rPr>
      </w:pPr>
      <w:r>
        <w:rPr>
          <w:rFonts w:hint="eastAsia" w:ascii="宋体" w:hAnsi="宋体" w:cs="宋体"/>
          <w:color w:val="auto"/>
          <w:sz w:val="24"/>
          <w:szCs w:val="24"/>
        </w:rPr>
        <w:t>十二、满足资格审查合格条件的投标人不足 3 名或通过有效性审查的投标人不足3名时为招标失败。招标人分析招标失败原因，修正招标方案，报有关管理部门核准后，重新组织招标。</w:t>
      </w:r>
    </w:p>
    <w:p>
      <w:pPr>
        <w:spacing w:line="540" w:lineRule="exact"/>
        <w:ind w:firstLine="480" w:firstLineChars="200"/>
        <w:rPr>
          <w:rFonts w:ascii="宋体" w:hAnsi="宋体" w:cs="宋体"/>
          <w:color w:val="auto"/>
          <w:sz w:val="24"/>
          <w:szCs w:val="24"/>
        </w:rPr>
      </w:pPr>
      <w:r>
        <w:rPr>
          <w:rFonts w:hint="eastAsia" w:ascii="宋体" w:hAnsi="宋体" w:cs="宋体"/>
          <w:color w:val="auto"/>
          <w:sz w:val="24"/>
          <w:szCs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540" w:lineRule="exact"/>
        <w:ind w:firstLine="480" w:firstLineChars="200"/>
        <w:rPr>
          <w:rFonts w:ascii="宋体" w:hAnsi="宋体" w:cs="宋体"/>
          <w:bCs/>
          <w:color w:val="auto"/>
          <w:sz w:val="24"/>
          <w:szCs w:val="24"/>
        </w:rPr>
      </w:pPr>
      <w:r>
        <w:rPr>
          <w:rFonts w:hint="eastAsia" w:ascii="宋体" w:hAnsi="宋体" w:cs="宋体"/>
          <w:color w:val="auto"/>
          <w:sz w:val="24"/>
          <w:szCs w:val="24"/>
        </w:rPr>
        <w:t>十四、</w:t>
      </w:r>
      <w:r>
        <w:rPr>
          <w:rFonts w:hint="eastAsia" w:ascii="宋体" w:hAnsi="宋体" w:cs="宋体"/>
          <w:bCs/>
          <w:color w:val="auto"/>
          <w:sz w:val="24"/>
          <w:szCs w:val="24"/>
        </w:rPr>
        <w:t>投标文件全部采用电子文档，投标人按招标文件要求提交投标文件。若投标文件中的部分内容要求取自</w:t>
      </w:r>
      <w:r>
        <w:rPr>
          <w:rFonts w:hint="eastAsia" w:ascii="宋体" w:hAnsi="宋体" w:cs="宋体"/>
          <w:b/>
          <w:color w:val="auto"/>
          <w:sz w:val="24"/>
          <w:szCs w:val="24"/>
        </w:rPr>
        <w:t>广州市住建行业信用管理平台</w:t>
      </w:r>
      <w:r>
        <w:rPr>
          <w:rFonts w:hint="eastAsia" w:ascii="宋体" w:hAnsi="宋体" w:cs="宋体"/>
          <w:bCs/>
          <w:color w:val="auto"/>
          <w:sz w:val="24"/>
          <w:szCs w:val="24"/>
        </w:rPr>
        <w:t>的，则投标人选择企业库中记录的该部分上传件将被视为投标人递交投标文件的一部分，不需重复提交。评标委员会对该部分资料的审查将以递交投标文件截止时间在</w:t>
      </w:r>
      <w:r>
        <w:rPr>
          <w:rFonts w:hint="eastAsia" w:ascii="宋体" w:hAnsi="宋体" w:cs="宋体"/>
          <w:b/>
          <w:color w:val="auto"/>
          <w:sz w:val="24"/>
          <w:szCs w:val="24"/>
        </w:rPr>
        <w:t>广州市住建行业信用管理平台内上传件</w:t>
      </w:r>
      <w:r>
        <w:rPr>
          <w:rFonts w:hint="eastAsia" w:ascii="宋体" w:hAnsi="宋体" w:cs="宋体"/>
          <w:bCs/>
          <w:color w:val="auto"/>
          <w:sz w:val="24"/>
          <w:szCs w:val="24"/>
        </w:rPr>
        <w:t>为依据。若招标人延长递交投标文件截止时间，以上资料的评审时点也相应延长。投标人应及时维护其在</w:t>
      </w:r>
      <w:r>
        <w:rPr>
          <w:rFonts w:hint="eastAsia" w:ascii="宋体" w:hAnsi="宋体" w:cs="宋体"/>
          <w:b/>
          <w:color w:val="auto"/>
          <w:sz w:val="24"/>
          <w:szCs w:val="24"/>
        </w:rPr>
        <w:t>广州市住建行业信用管理平台</w:t>
      </w:r>
      <w:r>
        <w:rPr>
          <w:rFonts w:hint="eastAsia" w:ascii="宋体" w:hAnsi="宋体" w:cs="宋体"/>
          <w:bCs/>
          <w:color w:val="auto"/>
          <w:sz w:val="24"/>
          <w:szCs w:val="24"/>
        </w:rPr>
        <w:t>登记的信息及上传件，确保各项信息及上传件在有效期内。</w:t>
      </w:r>
    </w:p>
    <w:p>
      <w:pPr>
        <w:widowControl/>
        <w:spacing w:line="360" w:lineRule="auto"/>
        <w:ind w:firstLine="537" w:firstLineChars="224"/>
        <w:jc w:val="left"/>
        <w:rPr>
          <w:rFonts w:hint="eastAsia" w:ascii="宋体" w:hAnsi="宋体" w:eastAsia="宋体" w:cs="宋体"/>
          <w:bCs/>
          <w:color w:val="000000"/>
          <w:kern w:val="0"/>
          <w:sz w:val="24"/>
          <w:szCs w:val="24"/>
        </w:rPr>
      </w:pPr>
      <w:r>
        <w:rPr>
          <w:rFonts w:hint="eastAsia" w:ascii="宋体" w:hAnsi="宋体" w:cs="宋体"/>
          <w:color w:val="auto"/>
          <w:sz w:val="24"/>
          <w:szCs w:val="24"/>
        </w:rPr>
        <w:t>十五、</w:t>
      </w:r>
      <w:r>
        <w:rPr>
          <w:rFonts w:hint="eastAsia" w:ascii="宋体" w:hAnsi="宋体" w:eastAsia="宋体" w:cs="宋体"/>
          <w:bCs/>
          <w:color w:val="000000"/>
          <w:kern w:val="0"/>
          <w:sz w:val="24"/>
          <w:szCs w:val="24"/>
        </w:rPr>
        <w:t>潜在投标人或利害关系人对本招标公告及招标文件有异议的，应当在投标截止时间10日前向招标人书面提出。</w:t>
      </w:r>
    </w:p>
    <w:p>
      <w:pPr>
        <w:spacing w:line="360" w:lineRule="auto"/>
        <w:ind w:left="538" w:leftChars="256"/>
        <w:rPr>
          <w:rFonts w:hint="eastAsia" w:ascii="宋体" w:hAnsi="宋体" w:eastAsia="宋体" w:cs="宋体"/>
          <w:color w:val="auto"/>
          <w:sz w:val="24"/>
          <w:szCs w:val="24"/>
          <w:u w:val="single"/>
          <w:lang w:eastAsia="zh-CN"/>
        </w:rPr>
      </w:pPr>
      <w:r>
        <w:rPr>
          <w:rFonts w:hint="eastAsia" w:ascii="宋体" w:hAnsi="宋体" w:cs="宋体"/>
          <w:color w:val="auto"/>
          <w:sz w:val="24"/>
          <w:szCs w:val="24"/>
        </w:rPr>
        <w:t>异议受理部门：</w:t>
      </w:r>
      <w:r>
        <w:rPr>
          <w:rFonts w:hint="eastAsia" w:ascii="宋体" w:hAnsi="宋体" w:cs="宋体"/>
          <w:color w:val="auto"/>
          <w:sz w:val="24"/>
          <w:szCs w:val="24"/>
          <w:u w:val="single"/>
          <w:lang w:eastAsia="zh-CN"/>
        </w:rPr>
        <w:t>中信银行股份有限公司广州分行</w:t>
      </w:r>
    </w:p>
    <w:p>
      <w:pPr>
        <w:spacing w:line="360" w:lineRule="auto"/>
        <w:ind w:firstLine="537" w:firstLineChars="224"/>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异议受理电话：</w:t>
      </w:r>
      <w:r>
        <w:rPr>
          <w:rFonts w:hint="eastAsia" w:ascii="宋体" w:hAnsi="宋体" w:cs="宋体"/>
          <w:color w:val="auto"/>
          <w:sz w:val="24"/>
          <w:szCs w:val="24"/>
          <w:highlight w:val="none"/>
          <w:lang w:val="en-US" w:eastAsia="zh-CN"/>
        </w:rPr>
        <w:t>020-</w:t>
      </w:r>
      <w:r>
        <w:rPr>
          <w:rFonts w:hint="eastAsia" w:ascii="宋体" w:hAnsi="宋体" w:cs="宋体"/>
          <w:color w:val="auto"/>
          <w:sz w:val="24"/>
          <w:szCs w:val="24"/>
          <w:highlight w:val="none"/>
          <w:lang w:eastAsia="zh-CN"/>
        </w:rPr>
        <w:t>38912392</w:t>
      </w:r>
    </w:p>
    <w:p>
      <w:pPr>
        <w:spacing w:line="360" w:lineRule="auto"/>
        <w:ind w:firstLine="537" w:firstLineChars="224"/>
        <w:rPr>
          <w:rFonts w:hint="eastAsia" w:ascii="宋体" w:hAnsi="宋体" w:cs="宋体"/>
          <w:color w:val="auto"/>
          <w:sz w:val="24"/>
          <w:szCs w:val="24"/>
          <w:u w:val="single"/>
        </w:rPr>
      </w:pPr>
      <w:r>
        <w:rPr>
          <w:rFonts w:hint="eastAsia" w:ascii="宋体" w:hAnsi="宋体" w:cs="宋体"/>
          <w:color w:val="auto"/>
          <w:sz w:val="24"/>
          <w:szCs w:val="24"/>
        </w:rPr>
        <w:t>地址：</w:t>
      </w:r>
      <w:r>
        <w:rPr>
          <w:rFonts w:hint="eastAsia" w:ascii="宋体" w:hAnsi="宋体" w:cs="宋体"/>
          <w:color w:val="auto"/>
          <w:sz w:val="24"/>
          <w:szCs w:val="24"/>
          <w:u w:val="single"/>
        </w:rPr>
        <w:t>广州市天河区林和街道天河北路233号中信广场</w:t>
      </w:r>
    </w:p>
    <w:p>
      <w:pPr>
        <w:spacing w:line="360" w:lineRule="auto"/>
        <w:ind w:left="239" w:leftChars="114" w:firstLine="299" w:firstLineChars="124"/>
        <w:rPr>
          <w:rFonts w:hint="eastAsia" w:ascii="宋体" w:hAnsi="宋体" w:cs="宋体"/>
          <w:color w:val="auto"/>
          <w:sz w:val="24"/>
          <w:szCs w:val="24"/>
        </w:rPr>
      </w:pPr>
      <w:r>
        <w:rPr>
          <w:rFonts w:hint="eastAsia" w:ascii="宋体" w:hAnsi="宋体" w:eastAsia="宋体" w:cs="宋体"/>
          <w:b/>
          <w:bCs/>
          <w:color w:val="000000"/>
          <w:kern w:val="0"/>
          <w:sz w:val="24"/>
          <w:szCs w:val="24"/>
        </w:rPr>
        <w:t>注：潜在投标人或利害关系人可以通过线下或线上的形式提出异议。线上提出异议的，应通过交易平台提交，招标人也应通过交易平台答复线上提出的异议。</w:t>
      </w:r>
      <w:r>
        <w:rPr>
          <w:rFonts w:hint="eastAsia" w:ascii="宋体" w:hAnsi="宋体" w:eastAsia="宋体" w:cs="宋体"/>
          <w:b/>
          <w:bCs/>
          <w:kern w:val="0"/>
          <w:sz w:val="24"/>
          <w:szCs w:val="24"/>
        </w:rPr>
        <w:t>具体按照交易平台相关指南进行操作。</w:t>
      </w:r>
      <w:r>
        <w:rPr>
          <w:rFonts w:hint="eastAsia" w:ascii="宋体" w:hAnsi="宋体" w:eastAsia="宋体" w:cs="宋体"/>
          <w:b/>
          <w:bCs/>
          <w:color w:val="000000"/>
          <w:kern w:val="0"/>
          <w:sz w:val="24"/>
          <w:szCs w:val="24"/>
        </w:rPr>
        <w:t>作出答复前，应当暂停招标投标活动。</w:t>
      </w:r>
    </w:p>
    <w:p>
      <w:pPr>
        <w:spacing w:line="360" w:lineRule="auto"/>
        <w:ind w:left="239" w:leftChars="114" w:firstLine="297" w:firstLineChars="124"/>
        <w:rPr>
          <w:rFonts w:hint="eastAsia" w:ascii="宋体" w:hAnsi="宋体" w:cs="宋体"/>
          <w:color w:val="auto"/>
          <w:sz w:val="24"/>
          <w:szCs w:val="24"/>
        </w:rPr>
      </w:pPr>
      <w:r>
        <w:rPr>
          <w:rFonts w:hint="eastAsia" w:ascii="宋体" w:hAnsi="宋体" w:cs="宋体"/>
          <w:color w:val="auto"/>
          <w:sz w:val="24"/>
          <w:szCs w:val="24"/>
        </w:rPr>
        <w:t>十六、本公告在广州公共资源交易网（网址：http://www.gzggzy.cn）、广东省招标投标监管网（网址：http://www.gdzbtb.gov.cn/）和中国招标投标公共服务平台（网址：http://www.cebpubservice.com/）发布，本公告的修改、补充，在广州公共资源交易网发布。</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十七、本招标公告及招标文件使用GZZB2018-3招标文件范本。本公告与范本内容不同之处均以下划线标明，所有标明下划线部分属于本公告的组成部分，同其他部分具有同样的效力。</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十九、 《投诉处理决定书》和《行政处理决定书》在广州市住房和城乡建设局网站上公布的，视为送达其他与决定书有关的当事人。</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1.将中标工程转包或者违法分包的</w:t>
      </w:r>
      <w:r>
        <w:rPr>
          <w:rFonts w:hint="eastAsia" w:ascii="宋体" w:hAnsi="宋体" w:cs="宋体"/>
          <w:color w:val="auto"/>
          <w:sz w:val="24"/>
          <w:szCs w:val="24"/>
          <w:lang w:eastAsia="zh-CN"/>
        </w:rPr>
        <w:t>；</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2.在中标工程中不执行质量、安全生产相关规定的，造成质量或安全事故的；</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3.存在围标或串标情形的</w:t>
      </w:r>
      <w:r>
        <w:rPr>
          <w:rFonts w:hint="eastAsia" w:ascii="宋体" w:hAnsi="宋体" w:cs="宋体"/>
          <w:color w:val="auto"/>
          <w:sz w:val="24"/>
          <w:szCs w:val="24"/>
          <w:lang w:eastAsia="zh-CN"/>
        </w:rPr>
        <w:t>；</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4.在投标文件中提供虚假材料的；</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5.存在行贿情形的</w:t>
      </w:r>
      <w:r>
        <w:rPr>
          <w:rFonts w:hint="eastAsia" w:ascii="宋体" w:hAnsi="宋体" w:cs="宋体"/>
          <w:color w:val="auto"/>
          <w:sz w:val="24"/>
          <w:szCs w:val="24"/>
          <w:lang w:eastAsia="zh-CN"/>
        </w:rPr>
        <w:t>；</w:t>
      </w:r>
    </w:p>
    <w:p>
      <w:pPr>
        <w:spacing w:line="360" w:lineRule="auto"/>
        <w:ind w:firstLine="537" w:firstLineChars="224"/>
        <w:rPr>
          <w:rFonts w:hint="eastAsia" w:ascii="宋体" w:hAnsi="宋体" w:cs="宋体"/>
          <w:color w:val="auto"/>
          <w:sz w:val="24"/>
          <w:szCs w:val="24"/>
        </w:rPr>
      </w:pPr>
      <w:r>
        <w:rPr>
          <w:rFonts w:hint="eastAsia" w:ascii="宋体" w:hAnsi="宋体" w:cs="宋体"/>
          <w:color w:val="auto"/>
          <w:sz w:val="24"/>
          <w:szCs w:val="24"/>
        </w:rPr>
        <w:t>6.拖欠农民工工资的；</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7.未按照国家、省、市有关建筑施工实名制管理和工人工资支付分账管理的规定执行，被行政监管部门处罚的</w:t>
      </w:r>
      <w:r>
        <w:rPr>
          <w:rFonts w:hint="eastAsia" w:ascii="宋体" w:hAnsi="宋体" w:cs="宋体"/>
          <w:color w:val="auto"/>
          <w:sz w:val="24"/>
          <w:szCs w:val="24"/>
          <w:lang w:eastAsia="zh-CN"/>
        </w:rPr>
        <w:t>；</w:t>
      </w:r>
    </w:p>
    <w:p>
      <w:pPr>
        <w:spacing w:line="360" w:lineRule="auto"/>
        <w:ind w:firstLine="537" w:firstLineChars="224"/>
        <w:rPr>
          <w:rFonts w:hint="eastAsia" w:ascii="宋体" w:hAnsi="宋体" w:eastAsia="宋体" w:cs="宋体"/>
          <w:color w:val="auto"/>
          <w:sz w:val="24"/>
          <w:szCs w:val="24"/>
          <w:lang w:eastAsia="zh-CN"/>
        </w:rPr>
      </w:pPr>
      <w:r>
        <w:rPr>
          <w:rFonts w:hint="eastAsia" w:ascii="宋体" w:hAnsi="宋体" w:cs="宋体"/>
          <w:color w:val="auto"/>
          <w:sz w:val="24"/>
          <w:szCs w:val="24"/>
        </w:rPr>
        <w:t>8.中标人在项目实施过程中选取的专业分包单位或劳务企业或劳务班组长与投标时不一致的（如有）</w:t>
      </w:r>
      <w:r>
        <w:rPr>
          <w:rFonts w:hint="eastAsia" w:ascii="宋体" w:hAnsi="宋体" w:cs="宋体"/>
          <w:color w:val="auto"/>
          <w:sz w:val="24"/>
          <w:szCs w:val="24"/>
          <w:lang w:eastAsia="zh-CN"/>
        </w:rPr>
        <w:t>。</w:t>
      </w:r>
    </w:p>
    <w:p>
      <w:pPr>
        <w:spacing w:line="360" w:lineRule="auto"/>
        <w:ind w:right="1348" w:rightChars="642" w:firstLine="5760" w:firstLineChars="2400"/>
        <w:rPr>
          <w:rFonts w:ascii="宋体" w:hAnsi="宋体"/>
          <w:color w:val="auto"/>
          <w:sz w:val="24"/>
        </w:rPr>
      </w:pPr>
    </w:p>
    <w:p>
      <w:pPr>
        <w:spacing w:line="360" w:lineRule="auto"/>
        <w:ind w:right="-1" w:firstLine="4080" w:firstLineChars="1700"/>
        <w:jc w:val="left"/>
        <w:rPr>
          <w:rFonts w:hint="eastAsia" w:ascii="宋体" w:hAnsi="宋体" w:eastAsia="宋体"/>
          <w:color w:val="auto"/>
          <w:sz w:val="24"/>
          <w:lang w:eastAsia="zh-CN"/>
        </w:rPr>
      </w:pPr>
      <w:r>
        <w:rPr>
          <w:rFonts w:hint="eastAsia" w:ascii="宋体" w:hAnsi="宋体"/>
          <w:color w:val="auto"/>
          <w:sz w:val="24"/>
        </w:rPr>
        <w:t>招 标 人：</w:t>
      </w:r>
      <w:r>
        <w:rPr>
          <w:rFonts w:hint="eastAsia" w:ascii="宋体" w:hAnsi="宋体"/>
          <w:color w:val="auto"/>
          <w:sz w:val="24"/>
          <w:u w:val="single"/>
          <w:lang w:eastAsia="zh-CN"/>
        </w:rPr>
        <w:t>中信银行股份有限公司广州分行</w:t>
      </w:r>
    </w:p>
    <w:p>
      <w:pPr>
        <w:spacing w:line="360" w:lineRule="auto"/>
        <w:ind w:right="1348" w:rightChars="642" w:firstLine="4080" w:firstLineChars="1700"/>
        <w:rPr>
          <w:rFonts w:hint="eastAsia" w:ascii="宋体" w:eastAsia="宋体"/>
          <w:color w:val="auto"/>
          <w:sz w:val="24"/>
          <w:lang w:eastAsia="zh-CN"/>
        </w:rPr>
      </w:pPr>
      <w:r>
        <w:rPr>
          <w:rFonts w:hint="eastAsia" w:ascii="宋体" w:hAnsi="宋体"/>
          <w:color w:val="auto"/>
          <w:sz w:val="24"/>
        </w:rPr>
        <w:t>招标代理：</w:t>
      </w:r>
      <w:r>
        <w:rPr>
          <w:rFonts w:hint="eastAsia" w:ascii="宋体" w:hAnsi="宋体"/>
          <w:color w:val="auto"/>
          <w:sz w:val="24"/>
          <w:szCs w:val="24"/>
          <w:u w:val="single"/>
          <w:lang w:eastAsia="zh-CN"/>
        </w:rPr>
        <w:t>国义招标股份有限公司</w:t>
      </w:r>
    </w:p>
    <w:p>
      <w:pPr>
        <w:spacing w:line="360" w:lineRule="auto"/>
        <w:ind w:right="1348" w:rightChars="642" w:firstLine="4860" w:firstLineChars="2025"/>
        <w:jc w:val="center"/>
        <w:rPr>
          <w:rFonts w:ascii="宋体"/>
          <w:color w:val="auto"/>
          <w:sz w:val="24"/>
        </w:rPr>
      </w:pPr>
      <w:r>
        <w:rPr>
          <w:rFonts w:hint="eastAsia" w:ascii="宋体" w:hAnsi="宋体"/>
          <w:color w:val="auto"/>
          <w:sz w:val="24"/>
          <w:u w:val="single"/>
          <w:lang w:eastAsia="zh-CN"/>
        </w:rPr>
        <w:t>2024</w:t>
      </w:r>
      <w:r>
        <w:rPr>
          <w:rFonts w:hint="eastAsia" w:ascii="宋体" w:hAnsi="宋体"/>
          <w:color w:val="auto"/>
          <w:sz w:val="24"/>
        </w:rPr>
        <w:t>年</w:t>
      </w:r>
      <w:r>
        <w:rPr>
          <w:rFonts w:hint="eastAsia" w:ascii="宋体" w:hAnsi="宋体"/>
          <w:color w:val="auto"/>
          <w:sz w:val="24"/>
          <w:u w:val="single"/>
          <w:lang w:val="en-US" w:eastAsia="zh-CN"/>
        </w:rPr>
        <w:t>7</w:t>
      </w:r>
      <w:r>
        <w:rPr>
          <w:rFonts w:hint="eastAsia" w:ascii="宋体" w:hAnsi="宋体"/>
          <w:color w:val="auto"/>
          <w:sz w:val="24"/>
        </w:rPr>
        <w:t>月</w:t>
      </w:r>
      <w:r>
        <w:rPr>
          <w:rFonts w:hint="eastAsia" w:ascii="宋体" w:hAnsi="宋体"/>
          <w:color w:val="auto"/>
          <w:sz w:val="24"/>
          <w:u w:val="single"/>
          <w:lang w:val="en-US" w:eastAsia="zh-CN"/>
        </w:rPr>
        <w:t>2</w:t>
      </w:r>
      <w:r>
        <w:rPr>
          <w:rFonts w:hint="eastAsia" w:ascii="宋体" w:hAnsi="宋体"/>
          <w:color w:val="auto"/>
          <w:sz w:val="24"/>
        </w:rPr>
        <w:t>日</w:t>
      </w:r>
    </w:p>
    <w:p>
      <w:pPr>
        <w:spacing w:line="360" w:lineRule="auto"/>
        <w:ind w:firstLine="537" w:firstLineChars="224"/>
        <w:rPr>
          <w:rFonts w:ascii="宋体"/>
          <w:color w:val="auto"/>
          <w:sz w:val="24"/>
        </w:rPr>
        <w:sectPr>
          <w:footerReference r:id="rId4" w:type="default"/>
          <w:endnotePr>
            <w:numFmt w:val="decimal"/>
          </w:endnotePr>
          <w:pgSz w:w="11906" w:h="16838"/>
          <w:pgMar w:top="1440" w:right="1134" w:bottom="1440" w:left="1134" w:header="851" w:footer="992" w:gutter="0"/>
          <w:pgNumType w:fmt="decimal" w:start="1"/>
          <w:cols w:space="425" w:num="1"/>
          <w:docGrid w:type="lines" w:linePitch="312" w:charSpace="0"/>
        </w:sectPr>
      </w:pPr>
    </w:p>
    <w:p>
      <w:pPr>
        <w:spacing w:line="360" w:lineRule="auto"/>
        <w:rPr>
          <w:b/>
          <w:color w:val="auto"/>
          <w:sz w:val="44"/>
        </w:rPr>
      </w:pPr>
      <w:r>
        <w:rPr>
          <w:rFonts w:hint="eastAsia" w:ascii="宋体" w:hAnsi="宋体"/>
          <w:color w:val="auto"/>
          <w:sz w:val="24"/>
        </w:rPr>
        <w:t>附件一：</w:t>
      </w:r>
    </w:p>
    <w:p>
      <w:pPr>
        <w:spacing w:line="360" w:lineRule="auto"/>
        <w:jc w:val="center"/>
        <w:rPr>
          <w:b/>
          <w:color w:val="auto"/>
          <w:sz w:val="44"/>
          <w:szCs w:val="44"/>
        </w:rPr>
      </w:pPr>
      <w:r>
        <w:rPr>
          <w:rFonts w:hint="eastAsia"/>
          <w:b/>
          <w:color w:val="auto"/>
          <w:kern w:val="0"/>
          <w:sz w:val="44"/>
          <w:szCs w:val="44"/>
        </w:rPr>
        <w:t>投标人</w:t>
      </w:r>
      <w:r>
        <w:rPr>
          <w:rFonts w:hint="eastAsia"/>
          <w:b/>
          <w:color w:val="auto"/>
          <w:sz w:val="44"/>
          <w:szCs w:val="44"/>
        </w:rPr>
        <w:t>声明</w:t>
      </w:r>
    </w:p>
    <w:p>
      <w:pPr>
        <w:spacing w:line="360" w:lineRule="auto"/>
        <w:jc w:val="center"/>
        <w:rPr>
          <w:b/>
          <w:color w:val="auto"/>
          <w:sz w:val="44"/>
          <w:szCs w:val="44"/>
        </w:rPr>
      </w:pPr>
    </w:p>
    <w:p>
      <w:pPr>
        <w:pStyle w:val="94"/>
        <w:ind w:firstLine="0"/>
        <w:rPr>
          <w:rFonts w:ascii="宋体" w:hAnsi="宋体" w:eastAsia="宋体"/>
          <w:color w:val="auto"/>
          <w:sz w:val="21"/>
          <w:szCs w:val="21"/>
        </w:rPr>
      </w:pPr>
      <w:r>
        <w:rPr>
          <w:rFonts w:hint="eastAsia" w:ascii="宋体" w:hAnsi="宋体" w:eastAsia="宋体"/>
          <w:color w:val="auto"/>
          <w:sz w:val="21"/>
          <w:szCs w:val="21"/>
        </w:rPr>
        <w:t>广州市住房和城乡建设局、本招标项目招标人及招标监管机构：</w:t>
      </w:r>
    </w:p>
    <w:p>
      <w:pPr>
        <w:pStyle w:val="94"/>
        <w:rPr>
          <w:rFonts w:ascii="宋体" w:hAnsi="宋体" w:eastAsia="宋体"/>
          <w:color w:val="auto"/>
          <w:sz w:val="21"/>
          <w:szCs w:val="21"/>
        </w:rPr>
      </w:pPr>
      <w:r>
        <w:rPr>
          <w:rFonts w:hint="eastAsia" w:ascii="宋体" w:hAnsi="宋体" w:eastAsia="宋体"/>
          <w:color w:val="auto"/>
          <w:sz w:val="21"/>
          <w:szCs w:val="21"/>
        </w:rPr>
        <w:t>本公司就参加</w:t>
      </w:r>
      <w:r>
        <w:rPr>
          <w:rFonts w:ascii="宋体" w:hAnsi="宋体" w:eastAsia="宋体"/>
          <w:color w:val="auto"/>
          <w:sz w:val="21"/>
          <w:szCs w:val="21"/>
          <w:u w:val="single"/>
        </w:rPr>
        <w:t xml:space="preserve">                        </w:t>
      </w:r>
      <w:r>
        <w:rPr>
          <w:rFonts w:hint="eastAsia" w:ascii="宋体" w:hAnsi="宋体" w:eastAsia="宋体"/>
          <w:color w:val="auto"/>
          <w:sz w:val="21"/>
          <w:szCs w:val="21"/>
        </w:rPr>
        <w:t>投标工作，作出郑重声明：</w:t>
      </w:r>
    </w:p>
    <w:p>
      <w:pPr>
        <w:pStyle w:val="94"/>
        <w:rPr>
          <w:rFonts w:ascii="宋体" w:hAnsi="宋体" w:eastAsia="宋体"/>
          <w:color w:val="auto"/>
          <w:sz w:val="21"/>
          <w:szCs w:val="21"/>
        </w:rPr>
      </w:pPr>
      <w:r>
        <w:rPr>
          <w:rFonts w:hint="eastAsia" w:ascii="宋体" w:hAnsi="宋体" w:eastAsia="宋体"/>
          <w:color w:val="auto"/>
          <w:sz w:val="21"/>
          <w:szCs w:val="21"/>
        </w:rPr>
        <w:t>一、本公司保证投标文件及其后提供的一切材料都是真实的。如我司成为本项目中标候选人，我司同意并授权招标人将我司投标文件商务部分的人员、业绩、奖项等资料进行公开。</w:t>
      </w:r>
    </w:p>
    <w:p>
      <w:pPr>
        <w:pStyle w:val="94"/>
        <w:rPr>
          <w:rFonts w:ascii="宋体" w:hAnsi="宋体" w:eastAsia="宋体"/>
          <w:color w:val="auto"/>
          <w:sz w:val="21"/>
          <w:szCs w:val="21"/>
        </w:rPr>
      </w:pPr>
      <w:r>
        <w:rPr>
          <w:rFonts w:hint="eastAsia" w:ascii="宋体" w:hAnsi="宋体" w:eastAsia="宋体"/>
          <w:color w:val="auto"/>
          <w:sz w:val="21"/>
          <w:szCs w:val="21"/>
        </w:rPr>
        <w:t>二、本公司保证在本项目投标中不与其他单位围标、串标，不出让投标资格，不向招标人或评标委员会成员行贿。</w:t>
      </w:r>
    </w:p>
    <w:p>
      <w:pPr>
        <w:pStyle w:val="94"/>
        <w:rPr>
          <w:rFonts w:ascii="宋体" w:hAnsi="宋体" w:eastAsia="宋体"/>
          <w:color w:val="auto"/>
          <w:sz w:val="21"/>
          <w:szCs w:val="21"/>
        </w:rPr>
      </w:pPr>
      <w:r>
        <w:rPr>
          <w:rFonts w:hint="eastAsia" w:ascii="宋体" w:hAnsi="宋体" w:eastAsia="宋体"/>
          <w:color w:val="auto"/>
          <w:sz w:val="21"/>
          <w:szCs w:val="21"/>
        </w:rPr>
        <w:t>三、本公司不存在下列情形之一：</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（一）为招标人不具有独立法人资格的附属机构（单位）；</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（二）为本标段前期准备提供设计或咨询服务或者与本项目设计人或提供咨询服务的机构存在附属关系的；</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（三）为本标段监理人或者与本标段监理人存在隶属关系或者其他利害关系；</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（四）为本标段的代建人；</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（五）为本标段提供招标代理服务的；</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（六）与本标段的监理人或代建人或招标代理机构同为一个法定代表人的；</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（七）与本标段的监理人或代建人或招标代理机构互相控股或参股的；</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（八）与本标段的监理人或代建人或招标代理机构相互任职或工作的；</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（九）与本标段的检测机构有隶属关系或者其他利害关系；</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 xml:space="preserve">（十）与招标人存在利害关系且可能影响招标公正性； </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（十二）被责令停产停业、暂扣或者吊销许可证、暂扣或者吊销执照的（本项事实应当以根据《中华人民共和国行政处罚法》依法作出并已经生效的行政处罚决定为认定依据。）；</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（十三）进入清算程序，或被宣布破产，或其他丧失履约能力的情形；</w:t>
      </w:r>
    </w:p>
    <w:p>
      <w:pPr>
        <w:spacing w:line="560" w:lineRule="exact"/>
        <w:ind w:firstLine="420" w:firstLineChars="200"/>
        <w:rPr>
          <w:rFonts w:hint="eastAsia" w:ascii="宋体" w:hAnsi="宋体"/>
          <w:color w:val="auto"/>
          <w:kern w:val="0"/>
          <w:szCs w:val="21"/>
        </w:rPr>
      </w:pPr>
      <w:r>
        <w:rPr>
          <w:rFonts w:hint="eastAsia" w:ascii="宋体" w:hAnsi="宋体"/>
          <w:color w:val="auto"/>
          <w:kern w:val="0"/>
          <w:szCs w:val="21"/>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（十五）法律法规规定的其他情形。</w:t>
      </w:r>
    </w:p>
    <w:p>
      <w:pPr>
        <w:pStyle w:val="94"/>
        <w:numPr>
          <w:ilvl w:val="0"/>
          <w:numId w:val="3"/>
        </w:numPr>
        <w:rPr>
          <w:rFonts w:ascii="宋体" w:hAnsi="宋体" w:eastAsia="宋体"/>
          <w:color w:val="auto"/>
          <w:sz w:val="21"/>
          <w:szCs w:val="21"/>
        </w:rPr>
      </w:pPr>
      <w:r>
        <w:rPr>
          <w:rFonts w:hint="eastAsia" w:ascii="宋体" w:hAnsi="宋体" w:eastAsia="宋体"/>
          <w:color w:val="auto"/>
          <w:sz w:val="21"/>
          <w:szCs w:val="21"/>
        </w:rPr>
        <w:t>本公司保证：本项目拟派的项目负责人没有在其他在建项目中任施工单位项目负责人，本项目拟派的专职安全员没有在其他在建项目中任职。</w:t>
      </w:r>
    </w:p>
    <w:p>
      <w:pPr>
        <w:pStyle w:val="94"/>
        <w:numPr>
          <w:ilvl w:val="0"/>
          <w:numId w:val="3"/>
        </w:numPr>
        <w:rPr>
          <w:rFonts w:ascii="宋体" w:hAnsi="宋体" w:eastAsia="宋体"/>
          <w:color w:val="auto"/>
          <w:sz w:val="21"/>
          <w:szCs w:val="21"/>
        </w:rPr>
      </w:pPr>
      <w:r>
        <w:rPr>
          <w:rFonts w:hint="eastAsia" w:ascii="宋体" w:hAnsi="宋体" w:eastAsia="宋体"/>
          <w:color w:val="auto"/>
          <w:sz w:val="21"/>
          <w:szCs w:val="21"/>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八、与本公司单位负责人为同一人或者与本公司存在控股、管理关系的其他单位包括：</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hint="eastAsia" w:ascii="宋体" w:hAnsi="宋体"/>
          <w:color w:val="auto"/>
          <w:kern w:val="0"/>
          <w:szCs w:val="21"/>
        </w:rPr>
        <w:t>。（注：本条由投标人如实填写，如有，应列出全部满足招标公告资质要求的相关单位的名称；如无，则填写“无”。）</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spacing w:line="560" w:lineRule="exact"/>
        <w:ind w:firstLine="420" w:firstLineChars="200"/>
        <w:rPr>
          <w:rFonts w:ascii="宋体" w:hAnsi="宋体"/>
          <w:color w:val="auto"/>
          <w:kern w:val="0"/>
          <w:szCs w:val="21"/>
        </w:rPr>
      </w:pPr>
      <w:r>
        <w:rPr>
          <w:rFonts w:hint="eastAsia" w:ascii="宋体" w:hAnsi="宋体"/>
          <w:color w:val="auto"/>
          <w:kern w:val="0"/>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560" w:lineRule="exact"/>
        <w:ind w:firstLine="420" w:firstLineChars="200"/>
        <w:jc w:val="left"/>
        <w:rPr>
          <w:rFonts w:ascii="宋体" w:hAnsi="宋体"/>
          <w:color w:val="auto"/>
          <w:kern w:val="0"/>
          <w:szCs w:val="21"/>
        </w:rPr>
      </w:pPr>
      <w:r>
        <w:rPr>
          <w:rFonts w:hint="eastAsia" w:ascii="宋体" w:hAnsi="宋体"/>
          <w:color w:val="auto"/>
          <w:kern w:val="0"/>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94"/>
        <w:rPr>
          <w:rFonts w:ascii="宋体" w:hAnsi="宋体" w:eastAsia="宋体"/>
          <w:color w:val="auto"/>
          <w:sz w:val="21"/>
          <w:szCs w:val="21"/>
        </w:rPr>
      </w:pPr>
      <w:r>
        <w:rPr>
          <w:rFonts w:hint="eastAsia" w:ascii="宋体" w:hAnsi="宋体" w:eastAsia="宋体"/>
          <w:color w:val="auto"/>
          <w:sz w:val="21"/>
          <w:szCs w:val="21"/>
        </w:rPr>
        <w:t>特此声明</w:t>
      </w:r>
    </w:p>
    <w:p>
      <w:pPr>
        <w:pStyle w:val="96"/>
        <w:ind w:left="629" w:right="1449"/>
        <w:jc w:val="both"/>
        <w:rPr>
          <w:rFonts w:ascii="宋体" w:hAnsi="宋体" w:eastAsia="宋体"/>
          <w:color w:val="auto"/>
          <w:sz w:val="21"/>
          <w:szCs w:val="21"/>
        </w:rPr>
      </w:pPr>
      <w:r>
        <w:rPr>
          <w:rFonts w:hint="eastAsia" w:ascii="宋体" w:hAnsi="宋体" w:eastAsia="宋体"/>
          <w:color w:val="auto"/>
          <w:sz w:val="21"/>
          <w:szCs w:val="21"/>
        </w:rPr>
        <w:t xml:space="preserve">   </w:t>
      </w:r>
      <w:r>
        <w:rPr>
          <w:rFonts w:ascii="宋体" w:hAnsi="宋体" w:eastAsia="宋体"/>
          <w:color w:val="auto"/>
          <w:sz w:val="21"/>
          <w:szCs w:val="21"/>
        </w:rPr>
        <w:t xml:space="preserve">          </w:t>
      </w:r>
      <w:r>
        <w:rPr>
          <w:rFonts w:hint="eastAsia" w:ascii="宋体" w:hAnsi="宋体" w:eastAsia="宋体"/>
          <w:color w:val="auto"/>
          <w:sz w:val="21"/>
          <w:szCs w:val="21"/>
        </w:rPr>
        <w:t xml:space="preserve">            声明企业：</w:t>
      </w:r>
    </w:p>
    <w:p>
      <w:pPr>
        <w:pStyle w:val="94"/>
        <w:ind w:right="1179" w:firstLine="0"/>
        <w:rPr>
          <w:rFonts w:ascii="宋体" w:hAnsi="宋体" w:eastAsia="宋体"/>
          <w:color w:val="auto"/>
          <w:sz w:val="21"/>
          <w:szCs w:val="21"/>
        </w:rPr>
      </w:pPr>
      <w:r>
        <w:rPr>
          <w:rFonts w:hint="eastAsia" w:ascii="宋体" w:hAnsi="宋体" w:eastAsia="宋体"/>
          <w:color w:val="auto"/>
          <w:sz w:val="21"/>
          <w:szCs w:val="21"/>
        </w:rPr>
        <w:t xml:space="preserve">                             法定代表人签字：</w:t>
      </w:r>
    </w:p>
    <w:p>
      <w:pPr>
        <w:pStyle w:val="94"/>
        <w:ind w:right="1179" w:firstLine="0"/>
        <w:rPr>
          <w:rFonts w:ascii="宋体" w:hAnsi="宋体" w:eastAsia="宋体"/>
          <w:color w:val="auto"/>
          <w:sz w:val="21"/>
          <w:szCs w:val="21"/>
        </w:rPr>
      </w:pPr>
      <w:r>
        <w:rPr>
          <w:rFonts w:hint="eastAsia" w:ascii="宋体" w:hAnsi="宋体" w:eastAsia="宋体"/>
          <w:color w:val="auto"/>
          <w:sz w:val="21"/>
          <w:szCs w:val="21"/>
        </w:rPr>
        <w:t xml:space="preserve">                             项目负责人签字:</w:t>
      </w:r>
    </w:p>
    <w:p>
      <w:pPr>
        <w:pStyle w:val="94"/>
        <w:ind w:right="879" w:firstLine="1890" w:firstLineChars="900"/>
        <w:jc w:val="left"/>
        <w:rPr>
          <w:rFonts w:ascii="宋体" w:hAnsi="宋体" w:eastAsia="宋体"/>
          <w:color w:val="auto"/>
          <w:sz w:val="21"/>
          <w:szCs w:val="21"/>
        </w:rPr>
      </w:pPr>
      <w:r>
        <w:rPr>
          <w:rFonts w:hint="eastAsia" w:ascii="宋体" w:hAnsi="宋体" w:eastAsia="宋体"/>
          <w:color w:val="auto"/>
          <w:sz w:val="21"/>
          <w:szCs w:val="21"/>
        </w:rPr>
        <w:t xml:space="preserve">           技术负责人签字：</w:t>
      </w:r>
    </w:p>
    <w:p>
      <w:pPr>
        <w:pStyle w:val="94"/>
        <w:ind w:right="879" w:firstLine="1890" w:firstLineChars="900"/>
        <w:jc w:val="right"/>
        <w:rPr>
          <w:rFonts w:ascii="宋体" w:hAnsi="宋体" w:eastAsia="宋体"/>
          <w:color w:val="auto"/>
          <w:sz w:val="21"/>
          <w:szCs w:val="21"/>
        </w:rPr>
      </w:pPr>
      <w:r>
        <w:rPr>
          <w:rFonts w:hint="eastAsia" w:ascii="宋体" w:hAnsi="宋体" w:eastAsia="宋体"/>
          <w:color w:val="auto"/>
          <w:sz w:val="21"/>
          <w:szCs w:val="21"/>
        </w:rPr>
        <w:t>年</w:t>
      </w:r>
      <w:r>
        <w:rPr>
          <w:rFonts w:ascii="宋体" w:hAnsi="宋体" w:eastAsia="宋体"/>
          <w:color w:val="auto"/>
          <w:sz w:val="21"/>
          <w:szCs w:val="21"/>
        </w:rPr>
        <w:t xml:space="preserve">   </w:t>
      </w:r>
      <w:r>
        <w:rPr>
          <w:rFonts w:hint="eastAsia" w:ascii="宋体" w:hAnsi="宋体" w:eastAsia="宋体"/>
          <w:color w:val="auto"/>
          <w:sz w:val="21"/>
          <w:szCs w:val="21"/>
        </w:rPr>
        <w:t>月</w:t>
      </w:r>
      <w:r>
        <w:rPr>
          <w:rFonts w:ascii="宋体" w:hAnsi="宋体" w:eastAsia="宋体"/>
          <w:color w:val="auto"/>
          <w:sz w:val="21"/>
          <w:szCs w:val="21"/>
        </w:rPr>
        <w:t xml:space="preserve">   </w:t>
      </w:r>
      <w:r>
        <w:rPr>
          <w:rFonts w:hint="eastAsia" w:ascii="宋体" w:hAnsi="宋体" w:eastAsia="宋体"/>
          <w:color w:val="auto"/>
          <w:sz w:val="21"/>
          <w:szCs w:val="21"/>
        </w:rPr>
        <w:t>日</w:t>
      </w:r>
    </w:p>
    <w:p>
      <w:pPr>
        <w:spacing w:line="360" w:lineRule="auto"/>
        <w:rPr>
          <w:rFonts w:ascii="宋体"/>
          <w:color w:val="auto"/>
          <w:szCs w:val="21"/>
        </w:rPr>
      </w:pPr>
      <w:r>
        <w:rPr>
          <w:rFonts w:hint="eastAsia" w:ascii="宋体" w:hAnsi="宋体"/>
          <w:color w:val="auto"/>
          <w:szCs w:val="21"/>
        </w:rPr>
        <w:t xml:space="preserve">                                                       </w:t>
      </w:r>
      <w:r>
        <w:rPr>
          <w:rFonts w:hint="eastAsia" w:ascii="宋体" w:hAnsi="宋体"/>
          <w:color w:val="auto"/>
          <w:kern w:val="0"/>
          <w:szCs w:val="21"/>
        </w:rPr>
        <w:t>（企业公章）</w:t>
      </w:r>
    </w:p>
    <w:p>
      <w:pPr>
        <w:widowControl/>
        <w:snapToGrid w:val="0"/>
        <w:spacing w:line="360" w:lineRule="auto"/>
        <w:ind w:right="102"/>
        <w:jc w:val="left"/>
        <w:rPr>
          <w:rFonts w:ascii="宋体" w:hAnsi="宋体"/>
          <w:color w:val="auto"/>
          <w:szCs w:val="21"/>
        </w:rPr>
      </w:pPr>
      <w:r>
        <w:rPr>
          <w:rFonts w:hint="eastAsia" w:ascii="宋体" w:hAnsi="宋体"/>
          <w:color w:val="auto"/>
          <w:szCs w:val="21"/>
        </w:rPr>
        <w:t>注：招标人应当要求投标人的项目负责人和技术负责人签字。</w:t>
      </w:r>
    </w:p>
    <w:p>
      <w:pPr>
        <w:pStyle w:val="2"/>
        <w:rPr>
          <w:color w:val="auto"/>
        </w:rPr>
      </w:pPr>
    </w:p>
    <w:p>
      <w:pPr>
        <w:pStyle w:val="2"/>
      </w:pPr>
    </w:p>
    <w:sectPr>
      <w:endnotePr>
        <w:numFmt w:val="decimal"/>
      </w:endnotePr>
      <w:pgSz w:w="11906" w:h="16838"/>
      <w:pgMar w:top="1134" w:right="1418" w:bottom="1247" w:left="1418" w:header="851" w:footer="90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 </w:t>
                          </w:r>
                          <w:r>
                            <w:rPr>
                              <w:rFonts w:hint="eastAsia" w:eastAsia="宋体"/>
                              <w:lang w:val="en-US" w:eastAsia="zh-CN"/>
                            </w:rPr>
                            <w:t>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 </w:t>
                    </w:r>
                    <w:r>
                      <w:rPr>
                        <w:rFonts w:hint="eastAsia" w:eastAsia="宋体"/>
                        <w:lang w:val="en-US" w:eastAsia="zh-CN"/>
                      </w:rPr>
                      <w:t>9</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abstractNum w:abstractNumId="1">
    <w:nsid w:val="259905B5"/>
    <w:multiLevelType w:val="multilevel"/>
    <w:tmpl w:val="259905B5"/>
    <w:lvl w:ilvl="0" w:tentative="0">
      <w:start w:val="1"/>
      <w:numFmt w:val="chineseCountingThousand"/>
      <w:pStyle w:val="91"/>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9"/>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2">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NzcyOTYyNmEwMmZlZGYwZDg5N2ExNjUxYmZiN2YifQ=="/>
  </w:docVars>
  <w:rsids>
    <w:rsidRoot w:val="007B41BE"/>
    <w:rsid w:val="000124A4"/>
    <w:rsid w:val="000200EE"/>
    <w:rsid w:val="000277BD"/>
    <w:rsid w:val="000307C1"/>
    <w:rsid w:val="000363B1"/>
    <w:rsid w:val="00053759"/>
    <w:rsid w:val="000575F8"/>
    <w:rsid w:val="0008406C"/>
    <w:rsid w:val="000C1007"/>
    <w:rsid w:val="000C11E0"/>
    <w:rsid w:val="000C2710"/>
    <w:rsid w:val="000D396E"/>
    <w:rsid w:val="00101EA5"/>
    <w:rsid w:val="001626CF"/>
    <w:rsid w:val="00181CAA"/>
    <w:rsid w:val="00190782"/>
    <w:rsid w:val="001930C1"/>
    <w:rsid w:val="00196A20"/>
    <w:rsid w:val="001D1ECD"/>
    <w:rsid w:val="001D3BBD"/>
    <w:rsid w:val="00206229"/>
    <w:rsid w:val="002156CF"/>
    <w:rsid w:val="002C4429"/>
    <w:rsid w:val="00300301"/>
    <w:rsid w:val="00336AA3"/>
    <w:rsid w:val="003A3337"/>
    <w:rsid w:val="003D0951"/>
    <w:rsid w:val="003D7736"/>
    <w:rsid w:val="004370EC"/>
    <w:rsid w:val="004424B8"/>
    <w:rsid w:val="004B295D"/>
    <w:rsid w:val="004C1182"/>
    <w:rsid w:val="004F588F"/>
    <w:rsid w:val="00510AD2"/>
    <w:rsid w:val="00575798"/>
    <w:rsid w:val="005866FB"/>
    <w:rsid w:val="00597C8F"/>
    <w:rsid w:val="005B3314"/>
    <w:rsid w:val="005C0A39"/>
    <w:rsid w:val="005C212B"/>
    <w:rsid w:val="006036EF"/>
    <w:rsid w:val="00673B83"/>
    <w:rsid w:val="00680BFD"/>
    <w:rsid w:val="006872AC"/>
    <w:rsid w:val="006A5747"/>
    <w:rsid w:val="006B3955"/>
    <w:rsid w:val="006B6B0D"/>
    <w:rsid w:val="006F3576"/>
    <w:rsid w:val="007217A6"/>
    <w:rsid w:val="0073229B"/>
    <w:rsid w:val="00736C86"/>
    <w:rsid w:val="00753DDA"/>
    <w:rsid w:val="00780EC8"/>
    <w:rsid w:val="007B41BE"/>
    <w:rsid w:val="007C3605"/>
    <w:rsid w:val="007D6D06"/>
    <w:rsid w:val="00811BC2"/>
    <w:rsid w:val="00822FDE"/>
    <w:rsid w:val="00835C9E"/>
    <w:rsid w:val="00891CA0"/>
    <w:rsid w:val="008C3F90"/>
    <w:rsid w:val="008D2515"/>
    <w:rsid w:val="008E4AD1"/>
    <w:rsid w:val="00914A5B"/>
    <w:rsid w:val="00920E49"/>
    <w:rsid w:val="0095746E"/>
    <w:rsid w:val="00991949"/>
    <w:rsid w:val="009A704D"/>
    <w:rsid w:val="009E7D01"/>
    <w:rsid w:val="00A0387A"/>
    <w:rsid w:val="00A0619D"/>
    <w:rsid w:val="00A20AF3"/>
    <w:rsid w:val="00A2579D"/>
    <w:rsid w:val="00A4140F"/>
    <w:rsid w:val="00A50D34"/>
    <w:rsid w:val="00A64E29"/>
    <w:rsid w:val="00A66215"/>
    <w:rsid w:val="00AD3DEE"/>
    <w:rsid w:val="00AD6716"/>
    <w:rsid w:val="00B71B0C"/>
    <w:rsid w:val="00B95515"/>
    <w:rsid w:val="00BC7B91"/>
    <w:rsid w:val="00BE1732"/>
    <w:rsid w:val="00BE216D"/>
    <w:rsid w:val="00BE39A8"/>
    <w:rsid w:val="00BF7130"/>
    <w:rsid w:val="00C20CE0"/>
    <w:rsid w:val="00C216BF"/>
    <w:rsid w:val="00C267C0"/>
    <w:rsid w:val="00C32C1E"/>
    <w:rsid w:val="00C33339"/>
    <w:rsid w:val="00C408D3"/>
    <w:rsid w:val="00C52AC6"/>
    <w:rsid w:val="00C730C8"/>
    <w:rsid w:val="00C81F53"/>
    <w:rsid w:val="00C82C8A"/>
    <w:rsid w:val="00C9441D"/>
    <w:rsid w:val="00CD156B"/>
    <w:rsid w:val="00D3650C"/>
    <w:rsid w:val="00D7216E"/>
    <w:rsid w:val="00D75B45"/>
    <w:rsid w:val="00D84E64"/>
    <w:rsid w:val="00DA39F3"/>
    <w:rsid w:val="00E22EAB"/>
    <w:rsid w:val="00E457F6"/>
    <w:rsid w:val="00E638F3"/>
    <w:rsid w:val="00EB6530"/>
    <w:rsid w:val="00EC014E"/>
    <w:rsid w:val="00ED0907"/>
    <w:rsid w:val="00F204BB"/>
    <w:rsid w:val="00F40301"/>
    <w:rsid w:val="00F701C2"/>
    <w:rsid w:val="00F85182"/>
    <w:rsid w:val="00F870C2"/>
    <w:rsid w:val="00FA5926"/>
    <w:rsid w:val="00FC5596"/>
    <w:rsid w:val="00FE3473"/>
    <w:rsid w:val="01290D2B"/>
    <w:rsid w:val="014074A8"/>
    <w:rsid w:val="01587B58"/>
    <w:rsid w:val="01886E78"/>
    <w:rsid w:val="01996114"/>
    <w:rsid w:val="0235100C"/>
    <w:rsid w:val="02490B86"/>
    <w:rsid w:val="02865FE7"/>
    <w:rsid w:val="029E3054"/>
    <w:rsid w:val="03020F41"/>
    <w:rsid w:val="04021EC5"/>
    <w:rsid w:val="04093DE3"/>
    <w:rsid w:val="04713ECC"/>
    <w:rsid w:val="054A5DCC"/>
    <w:rsid w:val="05935ABA"/>
    <w:rsid w:val="05DE38D3"/>
    <w:rsid w:val="060247B0"/>
    <w:rsid w:val="06C55055"/>
    <w:rsid w:val="072F44E3"/>
    <w:rsid w:val="076D545A"/>
    <w:rsid w:val="0831306B"/>
    <w:rsid w:val="087D2726"/>
    <w:rsid w:val="08E47D19"/>
    <w:rsid w:val="08F87BFF"/>
    <w:rsid w:val="090A489B"/>
    <w:rsid w:val="09E25EDD"/>
    <w:rsid w:val="09F33618"/>
    <w:rsid w:val="0A452EEF"/>
    <w:rsid w:val="0B35586A"/>
    <w:rsid w:val="0B8A30A2"/>
    <w:rsid w:val="0C3111CA"/>
    <w:rsid w:val="0D0D388B"/>
    <w:rsid w:val="0DD672C8"/>
    <w:rsid w:val="0DDE1DD7"/>
    <w:rsid w:val="0DEC0F58"/>
    <w:rsid w:val="0E0E38CD"/>
    <w:rsid w:val="0E2D295B"/>
    <w:rsid w:val="0E467780"/>
    <w:rsid w:val="0E9B2174"/>
    <w:rsid w:val="0ECC750A"/>
    <w:rsid w:val="0EE93264"/>
    <w:rsid w:val="0F5B6FA5"/>
    <w:rsid w:val="0F7E4AB5"/>
    <w:rsid w:val="0F8826C1"/>
    <w:rsid w:val="0F8E755A"/>
    <w:rsid w:val="0F8F56AC"/>
    <w:rsid w:val="0F915211"/>
    <w:rsid w:val="0FEF45D8"/>
    <w:rsid w:val="11E8746F"/>
    <w:rsid w:val="12C51F89"/>
    <w:rsid w:val="12FA5653"/>
    <w:rsid w:val="138161A2"/>
    <w:rsid w:val="139F3FD6"/>
    <w:rsid w:val="14694A55"/>
    <w:rsid w:val="14D34591"/>
    <w:rsid w:val="166F0823"/>
    <w:rsid w:val="16803DB6"/>
    <w:rsid w:val="16970024"/>
    <w:rsid w:val="169B4E1E"/>
    <w:rsid w:val="16B7574C"/>
    <w:rsid w:val="16E9089B"/>
    <w:rsid w:val="17080211"/>
    <w:rsid w:val="18151F96"/>
    <w:rsid w:val="181C07FE"/>
    <w:rsid w:val="186779BB"/>
    <w:rsid w:val="18A8071B"/>
    <w:rsid w:val="19284F7B"/>
    <w:rsid w:val="198C0662"/>
    <w:rsid w:val="1A2F4635"/>
    <w:rsid w:val="1A470D5D"/>
    <w:rsid w:val="1A571DA2"/>
    <w:rsid w:val="1AD03189"/>
    <w:rsid w:val="1D7D7C20"/>
    <w:rsid w:val="1DD1075F"/>
    <w:rsid w:val="1DD61E12"/>
    <w:rsid w:val="1DFC397F"/>
    <w:rsid w:val="1E486D96"/>
    <w:rsid w:val="1E773D8A"/>
    <w:rsid w:val="1EBA5A37"/>
    <w:rsid w:val="1EC246EC"/>
    <w:rsid w:val="1F0208C9"/>
    <w:rsid w:val="1F1D2C34"/>
    <w:rsid w:val="1F4B7C22"/>
    <w:rsid w:val="1FD477FC"/>
    <w:rsid w:val="2008115B"/>
    <w:rsid w:val="200F2B08"/>
    <w:rsid w:val="20430EB0"/>
    <w:rsid w:val="20E84629"/>
    <w:rsid w:val="21C659F7"/>
    <w:rsid w:val="221E1ED0"/>
    <w:rsid w:val="23B00562"/>
    <w:rsid w:val="24A972CC"/>
    <w:rsid w:val="24C0703B"/>
    <w:rsid w:val="25093BD6"/>
    <w:rsid w:val="25525FC7"/>
    <w:rsid w:val="257E0E06"/>
    <w:rsid w:val="260D549F"/>
    <w:rsid w:val="265703B0"/>
    <w:rsid w:val="265873DF"/>
    <w:rsid w:val="27475E4E"/>
    <w:rsid w:val="27EC5A12"/>
    <w:rsid w:val="28597C01"/>
    <w:rsid w:val="28790229"/>
    <w:rsid w:val="29042D1E"/>
    <w:rsid w:val="29120C5C"/>
    <w:rsid w:val="297B479F"/>
    <w:rsid w:val="298832E6"/>
    <w:rsid w:val="29913B90"/>
    <w:rsid w:val="29F72BE0"/>
    <w:rsid w:val="2A4B482D"/>
    <w:rsid w:val="2A880A7B"/>
    <w:rsid w:val="2C504DF9"/>
    <w:rsid w:val="2CCE3B25"/>
    <w:rsid w:val="2D511CAF"/>
    <w:rsid w:val="2D703E75"/>
    <w:rsid w:val="2D8B003A"/>
    <w:rsid w:val="2DC4660F"/>
    <w:rsid w:val="2E0C2AE2"/>
    <w:rsid w:val="2E124889"/>
    <w:rsid w:val="2E2E0B7D"/>
    <w:rsid w:val="2E4C1AC1"/>
    <w:rsid w:val="2E5B483B"/>
    <w:rsid w:val="30282FA2"/>
    <w:rsid w:val="30997F39"/>
    <w:rsid w:val="30B11229"/>
    <w:rsid w:val="31B1085F"/>
    <w:rsid w:val="31DA07F7"/>
    <w:rsid w:val="321624E5"/>
    <w:rsid w:val="322D15E7"/>
    <w:rsid w:val="32BF3509"/>
    <w:rsid w:val="330E3646"/>
    <w:rsid w:val="3362317B"/>
    <w:rsid w:val="33751903"/>
    <w:rsid w:val="339C1856"/>
    <w:rsid w:val="33B462E5"/>
    <w:rsid w:val="3496036B"/>
    <w:rsid w:val="34F37EF6"/>
    <w:rsid w:val="35297FBC"/>
    <w:rsid w:val="35ED6607"/>
    <w:rsid w:val="35F1120E"/>
    <w:rsid w:val="360D5ED7"/>
    <w:rsid w:val="3644565D"/>
    <w:rsid w:val="37154DD6"/>
    <w:rsid w:val="37273B17"/>
    <w:rsid w:val="373029C3"/>
    <w:rsid w:val="375D203C"/>
    <w:rsid w:val="375D27B7"/>
    <w:rsid w:val="37EB09F0"/>
    <w:rsid w:val="38026A6F"/>
    <w:rsid w:val="38047F1E"/>
    <w:rsid w:val="38145050"/>
    <w:rsid w:val="38A660B5"/>
    <w:rsid w:val="39886A5E"/>
    <w:rsid w:val="39887844"/>
    <w:rsid w:val="39C15447"/>
    <w:rsid w:val="3A212495"/>
    <w:rsid w:val="3BA1601D"/>
    <w:rsid w:val="3D4C2DB6"/>
    <w:rsid w:val="3D5E3B2D"/>
    <w:rsid w:val="3D60411F"/>
    <w:rsid w:val="3D950D29"/>
    <w:rsid w:val="3E5110C5"/>
    <w:rsid w:val="3E551318"/>
    <w:rsid w:val="3EDF6573"/>
    <w:rsid w:val="3F1C5BDD"/>
    <w:rsid w:val="3F61555F"/>
    <w:rsid w:val="3FD35728"/>
    <w:rsid w:val="41E657FF"/>
    <w:rsid w:val="424760B4"/>
    <w:rsid w:val="425F19CA"/>
    <w:rsid w:val="42D43737"/>
    <w:rsid w:val="42EB4BFD"/>
    <w:rsid w:val="43852830"/>
    <w:rsid w:val="43C460B3"/>
    <w:rsid w:val="44BB19B3"/>
    <w:rsid w:val="44DA48BF"/>
    <w:rsid w:val="4528791B"/>
    <w:rsid w:val="45A46AA3"/>
    <w:rsid w:val="464119D6"/>
    <w:rsid w:val="466D4634"/>
    <w:rsid w:val="46D725A8"/>
    <w:rsid w:val="47B728D2"/>
    <w:rsid w:val="481D77BF"/>
    <w:rsid w:val="482112FF"/>
    <w:rsid w:val="48523C0A"/>
    <w:rsid w:val="49927FDF"/>
    <w:rsid w:val="499E7DB8"/>
    <w:rsid w:val="49CC3E5A"/>
    <w:rsid w:val="4AB549BC"/>
    <w:rsid w:val="4B3F6B82"/>
    <w:rsid w:val="4B6B7860"/>
    <w:rsid w:val="4C0E7D86"/>
    <w:rsid w:val="4D7B5A01"/>
    <w:rsid w:val="4DFC435E"/>
    <w:rsid w:val="4E3238F7"/>
    <w:rsid w:val="4E407A12"/>
    <w:rsid w:val="4E6A26EB"/>
    <w:rsid w:val="4E6C325B"/>
    <w:rsid w:val="4E775F06"/>
    <w:rsid w:val="4EA95659"/>
    <w:rsid w:val="4F430A61"/>
    <w:rsid w:val="507F5755"/>
    <w:rsid w:val="50A22E2E"/>
    <w:rsid w:val="511931AB"/>
    <w:rsid w:val="513839A5"/>
    <w:rsid w:val="5155425E"/>
    <w:rsid w:val="516B381D"/>
    <w:rsid w:val="51AC7D79"/>
    <w:rsid w:val="51B17D92"/>
    <w:rsid w:val="52550BF8"/>
    <w:rsid w:val="5259737F"/>
    <w:rsid w:val="527D54EB"/>
    <w:rsid w:val="527E5CC3"/>
    <w:rsid w:val="53F92C98"/>
    <w:rsid w:val="53FA6C8F"/>
    <w:rsid w:val="56276C53"/>
    <w:rsid w:val="574C282B"/>
    <w:rsid w:val="57651340"/>
    <w:rsid w:val="57A47BE5"/>
    <w:rsid w:val="582C058D"/>
    <w:rsid w:val="58377E3F"/>
    <w:rsid w:val="58F02A97"/>
    <w:rsid w:val="59C9560C"/>
    <w:rsid w:val="5A406EAF"/>
    <w:rsid w:val="5A5F2431"/>
    <w:rsid w:val="5C3155AB"/>
    <w:rsid w:val="5CDF456F"/>
    <w:rsid w:val="5D572C78"/>
    <w:rsid w:val="5DC3666C"/>
    <w:rsid w:val="5DEF6379"/>
    <w:rsid w:val="5DF54C6D"/>
    <w:rsid w:val="5E042815"/>
    <w:rsid w:val="5E4F0E0B"/>
    <w:rsid w:val="5E9C66C8"/>
    <w:rsid w:val="5F2E4CBA"/>
    <w:rsid w:val="5F4B72E8"/>
    <w:rsid w:val="5FAF4282"/>
    <w:rsid w:val="60BC465C"/>
    <w:rsid w:val="60E4401B"/>
    <w:rsid w:val="613A7F69"/>
    <w:rsid w:val="61523F2E"/>
    <w:rsid w:val="628C48D9"/>
    <w:rsid w:val="63283975"/>
    <w:rsid w:val="63CD1D7F"/>
    <w:rsid w:val="63D7476E"/>
    <w:rsid w:val="64A60DC2"/>
    <w:rsid w:val="64AA6C7C"/>
    <w:rsid w:val="64BF0307"/>
    <w:rsid w:val="650E1988"/>
    <w:rsid w:val="65313A7E"/>
    <w:rsid w:val="653505E7"/>
    <w:rsid w:val="65A21D16"/>
    <w:rsid w:val="65CF6C67"/>
    <w:rsid w:val="65F235B1"/>
    <w:rsid w:val="660C4430"/>
    <w:rsid w:val="66755989"/>
    <w:rsid w:val="66764526"/>
    <w:rsid w:val="66870B0A"/>
    <w:rsid w:val="689D3466"/>
    <w:rsid w:val="68A97336"/>
    <w:rsid w:val="69252490"/>
    <w:rsid w:val="69502121"/>
    <w:rsid w:val="6A2430DE"/>
    <w:rsid w:val="6AA73A3E"/>
    <w:rsid w:val="6ADA3C0D"/>
    <w:rsid w:val="6AF3024F"/>
    <w:rsid w:val="6B3A59FB"/>
    <w:rsid w:val="6B9B2CC0"/>
    <w:rsid w:val="6BE06769"/>
    <w:rsid w:val="6C7621DF"/>
    <w:rsid w:val="6C787452"/>
    <w:rsid w:val="6CB05037"/>
    <w:rsid w:val="6CCF39F3"/>
    <w:rsid w:val="6CEF4F0F"/>
    <w:rsid w:val="6D264E2C"/>
    <w:rsid w:val="6DAB59DE"/>
    <w:rsid w:val="6DB268BF"/>
    <w:rsid w:val="6DEC485C"/>
    <w:rsid w:val="6F0F1683"/>
    <w:rsid w:val="6FD43C57"/>
    <w:rsid w:val="701B6EEF"/>
    <w:rsid w:val="70800645"/>
    <w:rsid w:val="70E05E93"/>
    <w:rsid w:val="7133147E"/>
    <w:rsid w:val="71613B48"/>
    <w:rsid w:val="71956880"/>
    <w:rsid w:val="71CA1CE6"/>
    <w:rsid w:val="72B869AC"/>
    <w:rsid w:val="72E53DE7"/>
    <w:rsid w:val="734D5550"/>
    <w:rsid w:val="737E7338"/>
    <w:rsid w:val="73CC483B"/>
    <w:rsid w:val="73D74A44"/>
    <w:rsid w:val="742715E8"/>
    <w:rsid w:val="743E0791"/>
    <w:rsid w:val="765A6D4D"/>
    <w:rsid w:val="76714018"/>
    <w:rsid w:val="76AA3641"/>
    <w:rsid w:val="77122128"/>
    <w:rsid w:val="77E90C4C"/>
    <w:rsid w:val="784836B3"/>
    <w:rsid w:val="788A4C08"/>
    <w:rsid w:val="7A385F73"/>
    <w:rsid w:val="7A735CA4"/>
    <w:rsid w:val="7ADA574C"/>
    <w:rsid w:val="7ADC31A8"/>
    <w:rsid w:val="7AF20165"/>
    <w:rsid w:val="7B4473D1"/>
    <w:rsid w:val="7B6D6B9D"/>
    <w:rsid w:val="7BBD37C1"/>
    <w:rsid w:val="7BD5481F"/>
    <w:rsid w:val="7D68266F"/>
    <w:rsid w:val="7D8C3145"/>
    <w:rsid w:val="7DE86574"/>
    <w:rsid w:val="7DED28B5"/>
    <w:rsid w:val="7E3564B2"/>
    <w:rsid w:val="7E6F0529"/>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7"/>
    <w:autoRedefine/>
    <w:qFormat/>
    <w:uiPriority w:val="0"/>
    <w:pPr>
      <w:keepNext/>
      <w:keepLines/>
      <w:spacing w:after="120" w:line="360" w:lineRule="auto"/>
      <w:outlineLvl w:val="0"/>
    </w:pPr>
    <w:rPr>
      <w:kern w:val="44"/>
      <w:sz w:val="28"/>
      <w:szCs w:val="28"/>
    </w:rPr>
  </w:style>
  <w:style w:type="paragraph" w:styleId="7">
    <w:name w:val="heading 2"/>
    <w:basedOn w:val="1"/>
    <w:next w:val="1"/>
    <w:link w:val="58"/>
    <w:autoRedefine/>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8">
    <w:name w:val="heading 3"/>
    <w:basedOn w:val="1"/>
    <w:next w:val="1"/>
    <w:link w:val="52"/>
    <w:autoRedefine/>
    <w:qFormat/>
    <w:uiPriority w:val="0"/>
    <w:pPr>
      <w:widowControl/>
      <w:spacing w:before="100" w:beforeAutospacing="1" w:after="100" w:afterAutospacing="1"/>
      <w:jc w:val="left"/>
      <w:outlineLvl w:val="2"/>
    </w:pPr>
    <w:rPr>
      <w:rFonts w:ascii="宋体" w:hAnsi="宋体" w:cs="宋体"/>
      <w:kern w:val="0"/>
      <w:sz w:val="27"/>
      <w:szCs w:val="27"/>
    </w:rPr>
  </w:style>
  <w:style w:type="paragraph" w:styleId="9">
    <w:name w:val="heading 4"/>
    <w:basedOn w:val="8"/>
    <w:next w:val="10"/>
    <w:link w:val="59"/>
    <w:autoRedefine/>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1">
    <w:name w:val="heading 5"/>
    <w:basedOn w:val="9"/>
    <w:next w:val="10"/>
    <w:link w:val="60"/>
    <w:autoRedefine/>
    <w:qFormat/>
    <w:uiPriority w:val="0"/>
    <w:pPr>
      <w:numPr>
        <w:ilvl w:val="4"/>
      </w:numPr>
      <w:spacing w:line="240" w:lineRule="exact"/>
      <w:outlineLvl w:val="4"/>
    </w:pPr>
  </w:style>
  <w:style w:type="paragraph" w:styleId="12">
    <w:name w:val="heading 6"/>
    <w:basedOn w:val="1"/>
    <w:next w:val="1"/>
    <w:link w:val="61"/>
    <w:autoRedefine/>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3">
    <w:name w:val="heading 7"/>
    <w:basedOn w:val="1"/>
    <w:next w:val="10"/>
    <w:link w:val="62"/>
    <w:autoRedefine/>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4">
    <w:name w:val="heading 8"/>
    <w:basedOn w:val="1"/>
    <w:next w:val="10"/>
    <w:link w:val="63"/>
    <w:autoRedefine/>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5">
    <w:name w:val="heading 9"/>
    <w:basedOn w:val="1"/>
    <w:next w:val="10"/>
    <w:link w:val="64"/>
    <w:autoRedefine/>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78"/>
    <w:qFormat/>
    <w:uiPriority w:val="0"/>
    <w:rPr>
      <w:rFonts w:ascii="宋体" w:hAnsi="Courier New"/>
      <w:szCs w:val="20"/>
    </w:rPr>
  </w:style>
  <w:style w:type="paragraph" w:styleId="4">
    <w:name w:val="Title"/>
    <w:basedOn w:val="1"/>
    <w:link w:val="66"/>
    <w:autoRedefine/>
    <w:qFormat/>
    <w:uiPriority w:val="0"/>
    <w:pPr>
      <w:spacing w:before="120" w:after="60"/>
      <w:jc w:val="center"/>
    </w:pPr>
    <w:rPr>
      <w:rFonts w:ascii="Arial" w:hAnsi="Arial"/>
      <w:b/>
      <w:sz w:val="44"/>
      <w:szCs w:val="20"/>
    </w:rPr>
  </w:style>
  <w:style w:type="paragraph" w:styleId="5">
    <w:name w:val="Body Text First Indent"/>
    <w:basedOn w:val="6"/>
    <w:link w:val="70"/>
    <w:autoRedefine/>
    <w:qFormat/>
    <w:uiPriority w:val="0"/>
    <w:pPr>
      <w:ind w:firstLine="420"/>
    </w:pPr>
  </w:style>
  <w:style w:type="paragraph" w:styleId="6">
    <w:name w:val="Body Text"/>
    <w:basedOn w:val="1"/>
    <w:link w:val="68"/>
    <w:qFormat/>
    <w:uiPriority w:val="0"/>
    <w:pPr>
      <w:spacing w:after="120"/>
    </w:pPr>
    <w:rPr>
      <w:rFonts w:ascii="Times New Roman" w:hAnsi="Times New Roman"/>
      <w:szCs w:val="20"/>
    </w:rPr>
  </w:style>
  <w:style w:type="paragraph" w:styleId="10">
    <w:name w:val="Normal Indent"/>
    <w:basedOn w:val="1"/>
    <w:qFormat/>
    <w:uiPriority w:val="0"/>
    <w:pPr>
      <w:ind w:firstLine="420"/>
    </w:pPr>
    <w:rPr>
      <w:rFonts w:ascii="Times New Roman" w:hAnsi="Times New Roman"/>
      <w:szCs w:val="20"/>
    </w:rPr>
  </w:style>
  <w:style w:type="paragraph" w:styleId="16">
    <w:name w:val="Document Map"/>
    <w:basedOn w:val="1"/>
    <w:link w:val="76"/>
    <w:autoRedefine/>
    <w:qFormat/>
    <w:uiPriority w:val="0"/>
    <w:pPr>
      <w:shd w:val="clear" w:color="auto" w:fill="000080"/>
    </w:pPr>
    <w:rPr>
      <w:rFonts w:ascii="Times New Roman" w:hAnsi="Times New Roman"/>
      <w:szCs w:val="20"/>
    </w:rPr>
  </w:style>
  <w:style w:type="paragraph" w:styleId="17">
    <w:name w:val="annotation text"/>
    <w:basedOn w:val="1"/>
    <w:link w:val="102"/>
    <w:qFormat/>
    <w:uiPriority w:val="0"/>
    <w:pPr>
      <w:spacing w:line="360" w:lineRule="auto"/>
      <w:ind w:firstLine="523" w:firstLineChars="218"/>
      <w:jc w:val="left"/>
    </w:pPr>
    <w:rPr>
      <w:rFonts w:ascii="宋体" w:hAnsi="宋体"/>
      <w:sz w:val="24"/>
      <w:szCs w:val="24"/>
    </w:rPr>
  </w:style>
  <w:style w:type="paragraph" w:styleId="18">
    <w:name w:val="Body Text Indent"/>
    <w:basedOn w:val="1"/>
    <w:link w:val="74"/>
    <w:autoRedefine/>
    <w:qFormat/>
    <w:uiPriority w:val="0"/>
    <w:pPr>
      <w:ind w:firstLine="570"/>
    </w:pPr>
    <w:rPr>
      <w:rFonts w:ascii="Times New Roman" w:hAnsi="Times New Roman"/>
      <w:sz w:val="28"/>
      <w:szCs w:val="20"/>
    </w:rPr>
  </w:style>
  <w:style w:type="paragraph" w:styleId="19">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0">
    <w:name w:val="Date"/>
    <w:basedOn w:val="1"/>
    <w:next w:val="1"/>
    <w:link w:val="72"/>
    <w:qFormat/>
    <w:uiPriority w:val="0"/>
    <w:rPr>
      <w:rFonts w:ascii="Times New Roman" w:hAnsi="Times New Roman"/>
      <w:szCs w:val="20"/>
    </w:rPr>
  </w:style>
  <w:style w:type="paragraph" w:styleId="21">
    <w:name w:val="Body Text Indent 2"/>
    <w:basedOn w:val="1"/>
    <w:link w:val="80"/>
    <w:autoRedefine/>
    <w:qFormat/>
    <w:uiPriority w:val="0"/>
    <w:pPr>
      <w:spacing w:line="400" w:lineRule="exact"/>
      <w:ind w:left="425"/>
    </w:pPr>
    <w:rPr>
      <w:rFonts w:ascii="Times New Roman" w:hAnsi="Times New Roman"/>
      <w:color w:val="000000"/>
      <w:sz w:val="24"/>
      <w:szCs w:val="20"/>
    </w:rPr>
  </w:style>
  <w:style w:type="paragraph" w:styleId="22">
    <w:name w:val="endnote text"/>
    <w:basedOn w:val="1"/>
    <w:link w:val="89"/>
    <w:autoRedefine/>
    <w:qFormat/>
    <w:uiPriority w:val="0"/>
    <w:pPr>
      <w:snapToGrid w:val="0"/>
      <w:jc w:val="left"/>
    </w:pPr>
    <w:rPr>
      <w:rFonts w:ascii="Times New Roman" w:hAnsi="Times New Roman"/>
      <w:szCs w:val="20"/>
    </w:rPr>
  </w:style>
  <w:style w:type="paragraph" w:styleId="23">
    <w:name w:val="Balloon Text"/>
    <w:basedOn w:val="1"/>
    <w:link w:val="99"/>
    <w:qFormat/>
    <w:uiPriority w:val="0"/>
    <w:rPr>
      <w:rFonts w:ascii="Times New Roman" w:hAnsi="Times New Roman"/>
      <w:sz w:val="18"/>
      <w:szCs w:val="18"/>
    </w:rPr>
  </w:style>
  <w:style w:type="paragraph" w:styleId="24">
    <w:name w:val="footer"/>
    <w:basedOn w:val="1"/>
    <w:link w:val="56"/>
    <w:autoRedefine/>
    <w:unhideWhenUsed/>
    <w:qFormat/>
    <w:uiPriority w:val="0"/>
    <w:pPr>
      <w:tabs>
        <w:tab w:val="center" w:pos="4153"/>
        <w:tab w:val="right" w:pos="8306"/>
      </w:tabs>
      <w:snapToGrid w:val="0"/>
      <w:jc w:val="left"/>
    </w:pPr>
    <w:rPr>
      <w:sz w:val="18"/>
      <w:szCs w:val="18"/>
    </w:rPr>
  </w:style>
  <w:style w:type="paragraph" w:styleId="25">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7">
    <w:name w:val="footnote text"/>
    <w:basedOn w:val="1"/>
    <w:link w:val="104"/>
    <w:autoRedefine/>
    <w:qFormat/>
    <w:uiPriority w:val="0"/>
    <w:pPr>
      <w:snapToGrid w:val="0"/>
      <w:spacing w:line="360" w:lineRule="auto"/>
      <w:ind w:firstLine="523" w:firstLineChars="218"/>
      <w:jc w:val="left"/>
    </w:pPr>
    <w:rPr>
      <w:rFonts w:ascii="宋体" w:hAnsi="宋体"/>
      <w:sz w:val="18"/>
      <w:szCs w:val="18"/>
    </w:rPr>
  </w:style>
  <w:style w:type="paragraph" w:styleId="28">
    <w:name w:val="Body Text Indent 3"/>
    <w:basedOn w:val="1"/>
    <w:link w:val="82"/>
    <w:autoRedefine/>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29">
    <w:name w:val="toc 2"/>
    <w:basedOn w:val="1"/>
    <w:next w:val="1"/>
    <w:autoRedefine/>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0">
    <w:name w:val="Body Text 2"/>
    <w:basedOn w:val="1"/>
    <w:link w:val="86"/>
    <w:autoRedefine/>
    <w:qFormat/>
    <w:uiPriority w:val="0"/>
    <w:rPr>
      <w:rFonts w:ascii="宋体" w:hAnsi="宋体"/>
      <w:szCs w:val="24"/>
      <w:u w:val="single"/>
    </w:rPr>
  </w:style>
  <w:style w:type="paragraph" w:styleId="31">
    <w:name w:val="index 1"/>
    <w:basedOn w:val="1"/>
    <w:next w:val="1"/>
    <w:autoRedefine/>
    <w:qFormat/>
    <w:uiPriority w:val="0"/>
    <w:rPr>
      <w:rFonts w:ascii="Times New Roman" w:hAnsi="Times New Roman" w:eastAsia="仿宋_GB2312"/>
      <w:sz w:val="28"/>
      <w:szCs w:val="20"/>
    </w:rPr>
  </w:style>
  <w:style w:type="paragraph" w:styleId="32">
    <w:name w:val="annotation subject"/>
    <w:basedOn w:val="17"/>
    <w:next w:val="17"/>
    <w:link w:val="106"/>
    <w:autoRedefine/>
    <w:qFormat/>
    <w:uiPriority w:val="0"/>
    <w:rPr>
      <w:b/>
      <w:bCs/>
    </w:rPr>
  </w:style>
  <w:style w:type="table" w:styleId="34">
    <w:name w:val="Table Grid"/>
    <w:basedOn w:val="33"/>
    <w:autoRedefine/>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rPr>
  </w:style>
  <w:style w:type="character" w:styleId="37">
    <w:name w:val="endnote reference"/>
    <w:autoRedefine/>
    <w:qFormat/>
    <w:uiPriority w:val="0"/>
    <w:rPr>
      <w:vertAlign w:val="superscript"/>
    </w:rPr>
  </w:style>
  <w:style w:type="character" w:styleId="38">
    <w:name w:val="page number"/>
    <w:autoRedefine/>
    <w:qFormat/>
    <w:uiPriority w:val="0"/>
    <w:rPr>
      <w:rFonts w:cs="Times New Roman"/>
    </w:rPr>
  </w:style>
  <w:style w:type="character" w:styleId="39">
    <w:name w:val="FollowedHyperlink"/>
    <w:autoRedefine/>
    <w:semiHidden/>
    <w:unhideWhenUsed/>
    <w:qFormat/>
    <w:uiPriority w:val="99"/>
    <w:rPr>
      <w:color w:val="954F72"/>
      <w:u w:val="single"/>
    </w:rPr>
  </w:style>
  <w:style w:type="character" w:styleId="40">
    <w:name w:val="Hyperlink"/>
    <w:autoRedefine/>
    <w:qFormat/>
    <w:uiPriority w:val="99"/>
    <w:rPr>
      <w:color w:val="0000FF"/>
      <w:u w:val="single"/>
    </w:rPr>
  </w:style>
  <w:style w:type="character" w:styleId="41">
    <w:name w:val="annotation reference"/>
    <w:autoRedefine/>
    <w:qFormat/>
    <w:uiPriority w:val="0"/>
    <w:rPr>
      <w:sz w:val="21"/>
      <w:szCs w:val="21"/>
    </w:rPr>
  </w:style>
  <w:style w:type="character" w:styleId="42">
    <w:name w:val="footnote reference"/>
    <w:autoRedefine/>
    <w:qFormat/>
    <w:uiPriority w:val="0"/>
    <w:rPr>
      <w:vertAlign w:val="superscript"/>
    </w:rPr>
  </w:style>
  <w:style w:type="character" w:customStyle="1" w:styleId="43">
    <w:name w:val="标题 1 字符"/>
    <w:autoRedefine/>
    <w:qFormat/>
    <w:uiPriority w:val="9"/>
    <w:rPr>
      <w:rFonts w:ascii="Calibri" w:hAnsi="Calibri" w:eastAsia="宋体" w:cs="Times New Roman"/>
      <w:b/>
      <w:bCs/>
      <w:kern w:val="44"/>
      <w:sz w:val="44"/>
      <w:szCs w:val="44"/>
    </w:rPr>
  </w:style>
  <w:style w:type="character" w:customStyle="1" w:styleId="44">
    <w:name w:val="标题 2 字符"/>
    <w:autoRedefine/>
    <w:semiHidden/>
    <w:qFormat/>
    <w:uiPriority w:val="9"/>
    <w:rPr>
      <w:rFonts w:ascii="等线 Light" w:hAnsi="等线 Light" w:eastAsia="等线 Light" w:cs="Times New Roman"/>
      <w:b/>
      <w:bCs/>
      <w:sz w:val="32"/>
      <w:szCs w:val="32"/>
    </w:rPr>
  </w:style>
  <w:style w:type="character" w:customStyle="1" w:styleId="45">
    <w:name w:val="标题 3 字符"/>
    <w:autoRedefine/>
    <w:semiHidden/>
    <w:qFormat/>
    <w:uiPriority w:val="9"/>
    <w:rPr>
      <w:rFonts w:ascii="Calibri" w:hAnsi="Calibri" w:eastAsia="宋体" w:cs="Times New Roman"/>
      <w:b/>
      <w:bCs/>
      <w:sz w:val="32"/>
      <w:szCs w:val="32"/>
    </w:rPr>
  </w:style>
  <w:style w:type="character" w:customStyle="1" w:styleId="46">
    <w:name w:val="标题 4 字符"/>
    <w:autoRedefine/>
    <w:semiHidden/>
    <w:qFormat/>
    <w:uiPriority w:val="9"/>
    <w:rPr>
      <w:rFonts w:ascii="等线 Light" w:hAnsi="等线 Light" w:eastAsia="等线 Light" w:cs="Times New Roman"/>
      <w:b/>
      <w:bCs/>
      <w:sz w:val="28"/>
      <w:szCs w:val="28"/>
    </w:rPr>
  </w:style>
  <w:style w:type="character" w:customStyle="1" w:styleId="47">
    <w:name w:val="标题 5 字符"/>
    <w:autoRedefine/>
    <w:semiHidden/>
    <w:qFormat/>
    <w:uiPriority w:val="9"/>
    <w:rPr>
      <w:rFonts w:ascii="Calibri" w:hAnsi="Calibri" w:eastAsia="宋体" w:cs="Times New Roman"/>
      <w:b/>
      <w:bCs/>
      <w:sz w:val="28"/>
      <w:szCs w:val="28"/>
    </w:rPr>
  </w:style>
  <w:style w:type="character" w:customStyle="1" w:styleId="48">
    <w:name w:val="标题 6 字符"/>
    <w:autoRedefine/>
    <w:semiHidden/>
    <w:qFormat/>
    <w:uiPriority w:val="9"/>
    <w:rPr>
      <w:rFonts w:ascii="等线 Light" w:hAnsi="等线 Light" w:eastAsia="等线 Light" w:cs="Times New Roman"/>
      <w:b/>
      <w:bCs/>
      <w:sz w:val="24"/>
      <w:szCs w:val="24"/>
    </w:rPr>
  </w:style>
  <w:style w:type="character" w:customStyle="1" w:styleId="49">
    <w:name w:val="标题 7 字符"/>
    <w:autoRedefine/>
    <w:semiHidden/>
    <w:qFormat/>
    <w:uiPriority w:val="9"/>
    <w:rPr>
      <w:rFonts w:ascii="Calibri" w:hAnsi="Calibri" w:eastAsia="宋体" w:cs="Times New Roman"/>
      <w:b/>
      <w:bCs/>
      <w:sz w:val="24"/>
      <w:szCs w:val="24"/>
    </w:rPr>
  </w:style>
  <w:style w:type="character" w:customStyle="1" w:styleId="50">
    <w:name w:val="标题 8 字符"/>
    <w:semiHidden/>
    <w:qFormat/>
    <w:uiPriority w:val="9"/>
    <w:rPr>
      <w:rFonts w:ascii="等线 Light" w:hAnsi="等线 Light" w:eastAsia="等线 Light" w:cs="Times New Roman"/>
      <w:sz w:val="24"/>
      <w:szCs w:val="24"/>
    </w:rPr>
  </w:style>
  <w:style w:type="character" w:customStyle="1" w:styleId="51">
    <w:name w:val="标题 9 字符"/>
    <w:semiHidden/>
    <w:qFormat/>
    <w:uiPriority w:val="9"/>
    <w:rPr>
      <w:rFonts w:ascii="等线 Light" w:hAnsi="等线 Light" w:eastAsia="等线 Light" w:cs="Times New Roman"/>
      <w:szCs w:val="21"/>
    </w:rPr>
  </w:style>
  <w:style w:type="character" w:customStyle="1" w:styleId="52">
    <w:name w:val="标题 3 Char"/>
    <w:link w:val="8"/>
    <w:qFormat/>
    <w:uiPriority w:val="0"/>
    <w:rPr>
      <w:rFonts w:ascii="宋体" w:hAnsi="宋体" w:eastAsia="宋体" w:cs="宋体"/>
      <w:kern w:val="0"/>
      <w:sz w:val="27"/>
      <w:szCs w:val="27"/>
    </w:rPr>
  </w:style>
  <w:style w:type="character" w:customStyle="1" w:styleId="53">
    <w:name w:val="页眉 字符"/>
    <w:semiHidden/>
    <w:qFormat/>
    <w:uiPriority w:val="99"/>
    <w:rPr>
      <w:rFonts w:ascii="Calibri" w:hAnsi="Calibri" w:eastAsia="宋体" w:cs="Times New Roman"/>
      <w:sz w:val="18"/>
      <w:szCs w:val="18"/>
    </w:rPr>
  </w:style>
  <w:style w:type="character" w:customStyle="1" w:styleId="54">
    <w:name w:val="页眉 Char"/>
    <w:link w:val="25"/>
    <w:qFormat/>
    <w:uiPriority w:val="0"/>
    <w:rPr>
      <w:rFonts w:ascii="Calibri" w:hAnsi="Calibri" w:eastAsia="宋体" w:cs="Times New Roman"/>
      <w:sz w:val="18"/>
      <w:szCs w:val="18"/>
    </w:rPr>
  </w:style>
  <w:style w:type="character" w:customStyle="1" w:styleId="55">
    <w:name w:val="页脚 字符"/>
    <w:semiHidden/>
    <w:qFormat/>
    <w:uiPriority w:val="99"/>
    <w:rPr>
      <w:rFonts w:ascii="Calibri" w:hAnsi="Calibri" w:eastAsia="宋体" w:cs="Times New Roman"/>
      <w:sz w:val="18"/>
      <w:szCs w:val="18"/>
    </w:rPr>
  </w:style>
  <w:style w:type="character" w:customStyle="1" w:styleId="56">
    <w:name w:val="页脚 Char"/>
    <w:link w:val="24"/>
    <w:autoRedefine/>
    <w:qFormat/>
    <w:uiPriority w:val="0"/>
    <w:rPr>
      <w:rFonts w:ascii="Calibri" w:hAnsi="Calibri" w:eastAsia="宋体" w:cs="Times New Roman"/>
      <w:sz w:val="18"/>
      <w:szCs w:val="18"/>
    </w:rPr>
  </w:style>
  <w:style w:type="character" w:customStyle="1" w:styleId="57">
    <w:name w:val="标题 1 Char"/>
    <w:link w:val="3"/>
    <w:qFormat/>
    <w:uiPriority w:val="0"/>
    <w:rPr>
      <w:rFonts w:ascii="Arial" w:hAnsi="Arial" w:eastAsia="宋体"/>
      <w:b/>
      <w:kern w:val="44"/>
      <w:sz w:val="28"/>
      <w:szCs w:val="28"/>
    </w:rPr>
  </w:style>
  <w:style w:type="character" w:customStyle="1" w:styleId="58">
    <w:name w:val="标题 2 Char"/>
    <w:link w:val="7"/>
    <w:qFormat/>
    <w:uiPriority w:val="0"/>
    <w:rPr>
      <w:rFonts w:ascii="Arial" w:hAnsi="Arial" w:eastAsia="宋体" w:cs="Times New Roman"/>
      <w:b/>
      <w:color w:val="000000"/>
      <w:sz w:val="24"/>
      <w:szCs w:val="24"/>
    </w:rPr>
  </w:style>
  <w:style w:type="character" w:customStyle="1" w:styleId="59">
    <w:name w:val="标题 4 Char"/>
    <w:link w:val="9"/>
    <w:qFormat/>
    <w:uiPriority w:val="0"/>
    <w:rPr>
      <w:rFonts w:ascii="Arial" w:hAnsi="Arial" w:eastAsia="宋体" w:cs="Times New Roman"/>
      <w:color w:val="000000"/>
      <w:szCs w:val="21"/>
    </w:rPr>
  </w:style>
  <w:style w:type="character" w:customStyle="1" w:styleId="60">
    <w:name w:val="标题 5 Char"/>
    <w:link w:val="11"/>
    <w:autoRedefine/>
    <w:qFormat/>
    <w:uiPriority w:val="0"/>
    <w:rPr>
      <w:rFonts w:ascii="Arial" w:hAnsi="Arial" w:eastAsia="宋体" w:cs="Times New Roman"/>
      <w:color w:val="000000"/>
      <w:szCs w:val="21"/>
    </w:rPr>
  </w:style>
  <w:style w:type="character" w:customStyle="1" w:styleId="61">
    <w:name w:val="标题 6 Char"/>
    <w:link w:val="12"/>
    <w:qFormat/>
    <w:uiPriority w:val="0"/>
    <w:rPr>
      <w:rFonts w:ascii="Arial" w:hAnsi="Arial" w:eastAsia="黑体" w:cs="Times New Roman"/>
      <w:b/>
      <w:bCs/>
      <w:sz w:val="24"/>
      <w:szCs w:val="24"/>
    </w:rPr>
  </w:style>
  <w:style w:type="character" w:customStyle="1" w:styleId="62">
    <w:name w:val="标题 7 Char"/>
    <w:link w:val="13"/>
    <w:autoRedefine/>
    <w:qFormat/>
    <w:uiPriority w:val="0"/>
    <w:rPr>
      <w:rFonts w:ascii="Times New Roman" w:hAnsi="Times New Roman" w:eastAsia="宋体" w:cs="Times New Roman"/>
      <w:b/>
      <w:sz w:val="24"/>
      <w:szCs w:val="20"/>
    </w:rPr>
  </w:style>
  <w:style w:type="character" w:customStyle="1" w:styleId="63">
    <w:name w:val="标题 8 Char"/>
    <w:link w:val="14"/>
    <w:qFormat/>
    <w:uiPriority w:val="0"/>
    <w:rPr>
      <w:rFonts w:ascii="Arial" w:hAnsi="Arial" w:eastAsia="黑体" w:cs="Times New Roman"/>
      <w:sz w:val="24"/>
      <w:szCs w:val="20"/>
    </w:rPr>
  </w:style>
  <w:style w:type="character" w:customStyle="1" w:styleId="64">
    <w:name w:val="标题 9 Char"/>
    <w:link w:val="15"/>
    <w:autoRedefine/>
    <w:qFormat/>
    <w:uiPriority w:val="0"/>
    <w:rPr>
      <w:rFonts w:ascii="Arial" w:hAnsi="Arial" w:eastAsia="黑体" w:cs="Times New Roman"/>
      <w:szCs w:val="20"/>
    </w:rPr>
  </w:style>
  <w:style w:type="character" w:customStyle="1" w:styleId="65">
    <w:name w:val="标题 字符"/>
    <w:autoRedefine/>
    <w:qFormat/>
    <w:uiPriority w:val="10"/>
    <w:rPr>
      <w:rFonts w:ascii="等线 Light" w:hAnsi="等线 Light" w:eastAsia="等线 Light" w:cs="Times New Roman"/>
      <w:b/>
      <w:bCs/>
      <w:sz w:val="32"/>
      <w:szCs w:val="32"/>
    </w:rPr>
  </w:style>
  <w:style w:type="character" w:customStyle="1" w:styleId="66">
    <w:name w:val="标题 Char"/>
    <w:link w:val="4"/>
    <w:autoRedefine/>
    <w:qFormat/>
    <w:uiPriority w:val="0"/>
    <w:rPr>
      <w:rFonts w:ascii="Arial" w:hAnsi="Arial" w:eastAsia="宋体" w:cs="Times New Roman"/>
      <w:b/>
      <w:sz w:val="44"/>
      <w:szCs w:val="20"/>
    </w:rPr>
  </w:style>
  <w:style w:type="character" w:customStyle="1" w:styleId="67">
    <w:name w:val="正文文本 字符"/>
    <w:autoRedefine/>
    <w:semiHidden/>
    <w:qFormat/>
    <w:uiPriority w:val="99"/>
    <w:rPr>
      <w:rFonts w:ascii="Calibri" w:hAnsi="Calibri" w:eastAsia="宋体" w:cs="Times New Roman"/>
    </w:rPr>
  </w:style>
  <w:style w:type="character" w:customStyle="1" w:styleId="68">
    <w:name w:val="正文文本 Char"/>
    <w:link w:val="6"/>
    <w:autoRedefine/>
    <w:qFormat/>
    <w:uiPriority w:val="0"/>
    <w:rPr>
      <w:rFonts w:ascii="Times New Roman" w:hAnsi="Times New Roman" w:eastAsia="宋体" w:cs="Times New Roman"/>
      <w:szCs w:val="20"/>
    </w:rPr>
  </w:style>
  <w:style w:type="character" w:customStyle="1" w:styleId="69">
    <w:name w:val="正文首行缩进 字符"/>
    <w:basedOn w:val="67"/>
    <w:autoRedefine/>
    <w:semiHidden/>
    <w:qFormat/>
    <w:uiPriority w:val="99"/>
    <w:rPr>
      <w:rFonts w:ascii="Calibri" w:hAnsi="Calibri" w:eastAsia="宋体" w:cs="Times New Roman"/>
    </w:rPr>
  </w:style>
  <w:style w:type="character" w:customStyle="1" w:styleId="70">
    <w:name w:val="正文首行缩进 Char"/>
    <w:link w:val="5"/>
    <w:autoRedefine/>
    <w:qFormat/>
    <w:uiPriority w:val="0"/>
  </w:style>
  <w:style w:type="character" w:customStyle="1" w:styleId="71">
    <w:name w:val="日期 字符"/>
    <w:autoRedefine/>
    <w:semiHidden/>
    <w:qFormat/>
    <w:uiPriority w:val="99"/>
    <w:rPr>
      <w:rFonts w:ascii="Calibri" w:hAnsi="Calibri" w:eastAsia="宋体" w:cs="Times New Roman"/>
    </w:rPr>
  </w:style>
  <w:style w:type="character" w:customStyle="1" w:styleId="72">
    <w:name w:val="日期 Char"/>
    <w:link w:val="20"/>
    <w:autoRedefine/>
    <w:qFormat/>
    <w:uiPriority w:val="0"/>
    <w:rPr>
      <w:rFonts w:ascii="Times New Roman" w:hAnsi="Times New Roman" w:eastAsia="宋体" w:cs="Times New Roman"/>
      <w:szCs w:val="20"/>
    </w:rPr>
  </w:style>
  <w:style w:type="character" w:customStyle="1" w:styleId="73">
    <w:name w:val="正文文本缩进 字符"/>
    <w:autoRedefine/>
    <w:semiHidden/>
    <w:qFormat/>
    <w:uiPriority w:val="99"/>
    <w:rPr>
      <w:rFonts w:ascii="Calibri" w:hAnsi="Calibri" w:eastAsia="宋体" w:cs="Times New Roman"/>
    </w:rPr>
  </w:style>
  <w:style w:type="character" w:customStyle="1" w:styleId="74">
    <w:name w:val="正文文本缩进 Char"/>
    <w:link w:val="18"/>
    <w:autoRedefine/>
    <w:qFormat/>
    <w:uiPriority w:val="0"/>
    <w:rPr>
      <w:rFonts w:ascii="Times New Roman" w:hAnsi="Times New Roman" w:eastAsia="宋体" w:cs="Times New Roman"/>
      <w:sz w:val="28"/>
      <w:szCs w:val="20"/>
    </w:rPr>
  </w:style>
  <w:style w:type="character" w:customStyle="1" w:styleId="75">
    <w:name w:val="文档结构图 字符"/>
    <w:autoRedefine/>
    <w:semiHidden/>
    <w:qFormat/>
    <w:uiPriority w:val="99"/>
    <w:rPr>
      <w:rFonts w:ascii="Microsoft YaHei UI" w:hAnsi="Calibri" w:eastAsia="Microsoft YaHei UI" w:cs="Times New Roman"/>
      <w:sz w:val="18"/>
      <w:szCs w:val="18"/>
    </w:rPr>
  </w:style>
  <w:style w:type="character" w:customStyle="1" w:styleId="76">
    <w:name w:val="文档结构图 Char"/>
    <w:link w:val="16"/>
    <w:autoRedefine/>
    <w:qFormat/>
    <w:uiPriority w:val="0"/>
    <w:rPr>
      <w:rFonts w:ascii="Times New Roman" w:hAnsi="Times New Roman" w:eastAsia="宋体" w:cs="Times New Roman"/>
      <w:szCs w:val="20"/>
      <w:shd w:val="clear" w:color="auto" w:fill="000080"/>
    </w:rPr>
  </w:style>
  <w:style w:type="character" w:customStyle="1" w:styleId="77">
    <w:name w:val="纯文本 字符"/>
    <w:autoRedefine/>
    <w:semiHidden/>
    <w:qFormat/>
    <w:uiPriority w:val="99"/>
    <w:rPr>
      <w:rFonts w:ascii="等线" w:hAnsi="Courier New" w:cs="Courier New"/>
    </w:rPr>
  </w:style>
  <w:style w:type="character" w:customStyle="1" w:styleId="78">
    <w:name w:val="纯文本 Char"/>
    <w:link w:val="2"/>
    <w:autoRedefine/>
    <w:qFormat/>
    <w:uiPriority w:val="0"/>
    <w:rPr>
      <w:rFonts w:ascii="宋体" w:hAnsi="Courier New" w:eastAsia="宋体" w:cs="Times New Roman"/>
      <w:szCs w:val="20"/>
    </w:rPr>
  </w:style>
  <w:style w:type="character" w:customStyle="1" w:styleId="79">
    <w:name w:val="正文文本缩进 2 字符"/>
    <w:autoRedefine/>
    <w:semiHidden/>
    <w:qFormat/>
    <w:uiPriority w:val="99"/>
    <w:rPr>
      <w:rFonts w:ascii="Calibri" w:hAnsi="Calibri" w:eastAsia="宋体" w:cs="Times New Roman"/>
    </w:rPr>
  </w:style>
  <w:style w:type="character" w:customStyle="1" w:styleId="80">
    <w:name w:val="正文文本缩进 2 Char"/>
    <w:link w:val="21"/>
    <w:autoRedefine/>
    <w:qFormat/>
    <w:uiPriority w:val="0"/>
    <w:rPr>
      <w:rFonts w:ascii="Times New Roman" w:hAnsi="Times New Roman" w:eastAsia="宋体" w:cs="Times New Roman"/>
      <w:color w:val="000000"/>
      <w:sz w:val="24"/>
      <w:szCs w:val="20"/>
    </w:rPr>
  </w:style>
  <w:style w:type="character" w:customStyle="1" w:styleId="81">
    <w:name w:val="正文文本缩进 3 字符"/>
    <w:autoRedefine/>
    <w:semiHidden/>
    <w:qFormat/>
    <w:uiPriority w:val="99"/>
    <w:rPr>
      <w:rFonts w:ascii="Calibri" w:hAnsi="Calibri" w:eastAsia="宋体" w:cs="Times New Roman"/>
      <w:sz w:val="16"/>
      <w:szCs w:val="16"/>
    </w:rPr>
  </w:style>
  <w:style w:type="character" w:customStyle="1" w:styleId="82">
    <w:name w:val="正文文本缩进 3 Char"/>
    <w:link w:val="28"/>
    <w:autoRedefine/>
    <w:qFormat/>
    <w:uiPriority w:val="0"/>
    <w:rPr>
      <w:rFonts w:ascii="Times New Roman" w:hAnsi="Times New Roman" w:eastAsia="宋体" w:cs="Times New Roman"/>
      <w:color w:val="000000"/>
      <w:sz w:val="24"/>
      <w:szCs w:val="20"/>
    </w:rPr>
  </w:style>
  <w:style w:type="paragraph" w:customStyle="1" w:styleId="83">
    <w:name w:val="Blockquote"/>
    <w:basedOn w:val="1"/>
    <w:autoRedefine/>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4">
    <w:name w:val="_Style 69"/>
    <w:autoRedefine/>
    <w:qFormat/>
    <w:uiPriority w:val="0"/>
    <w:rPr>
      <w:rFonts w:ascii="等线" w:hAnsi="等线" w:eastAsia="等线" w:cs="Times New Roman"/>
      <w:lang w:val="en-US" w:eastAsia="zh-CN" w:bidi="ar-SA"/>
    </w:rPr>
  </w:style>
  <w:style w:type="character" w:customStyle="1" w:styleId="85">
    <w:name w:val="正文文本 2 字符"/>
    <w:autoRedefine/>
    <w:semiHidden/>
    <w:qFormat/>
    <w:uiPriority w:val="99"/>
    <w:rPr>
      <w:rFonts w:ascii="Calibri" w:hAnsi="Calibri" w:eastAsia="宋体" w:cs="Times New Roman"/>
    </w:rPr>
  </w:style>
  <w:style w:type="character" w:customStyle="1" w:styleId="86">
    <w:name w:val="正文文本 2 Char"/>
    <w:link w:val="30"/>
    <w:autoRedefine/>
    <w:qFormat/>
    <w:uiPriority w:val="0"/>
    <w:rPr>
      <w:rFonts w:ascii="宋体" w:hAnsi="宋体" w:eastAsia="宋体" w:cs="Times New Roman"/>
      <w:szCs w:val="24"/>
      <w:u w:val="single"/>
    </w:rPr>
  </w:style>
  <w:style w:type="paragraph" w:customStyle="1" w:styleId="87">
    <w:name w:val="表头"/>
    <w:basedOn w:val="1"/>
    <w:autoRedefine/>
    <w:qFormat/>
    <w:uiPriority w:val="0"/>
    <w:pPr>
      <w:spacing w:line="360" w:lineRule="auto"/>
      <w:jc w:val="center"/>
    </w:pPr>
    <w:rPr>
      <w:rFonts w:ascii="黑体" w:hAnsi="Times New Roman" w:eastAsia="黑体"/>
      <w:kern w:val="0"/>
      <w:sz w:val="24"/>
      <w:szCs w:val="20"/>
    </w:rPr>
  </w:style>
  <w:style w:type="character" w:customStyle="1" w:styleId="88">
    <w:name w:val="尾注文本 字符"/>
    <w:autoRedefine/>
    <w:semiHidden/>
    <w:qFormat/>
    <w:uiPriority w:val="99"/>
    <w:rPr>
      <w:rFonts w:ascii="Calibri" w:hAnsi="Calibri" w:eastAsia="宋体" w:cs="Times New Roman"/>
    </w:rPr>
  </w:style>
  <w:style w:type="character" w:customStyle="1" w:styleId="89">
    <w:name w:val="尾注文本 Char"/>
    <w:link w:val="22"/>
    <w:autoRedefine/>
    <w:qFormat/>
    <w:uiPriority w:val="0"/>
    <w:rPr>
      <w:rFonts w:ascii="Times New Roman" w:hAnsi="Times New Roman" w:eastAsia="宋体" w:cs="Times New Roman"/>
      <w:szCs w:val="20"/>
    </w:rPr>
  </w:style>
  <w:style w:type="paragraph" w:customStyle="1" w:styleId="90">
    <w:name w:val="Char"/>
    <w:basedOn w:val="1"/>
    <w:autoRedefine/>
    <w:qFormat/>
    <w:uiPriority w:val="0"/>
    <w:rPr>
      <w:rFonts w:ascii="Tahoma" w:hAnsi="Tahoma"/>
      <w:sz w:val="24"/>
      <w:szCs w:val="20"/>
    </w:rPr>
  </w:style>
  <w:style w:type="paragraph" w:customStyle="1" w:styleId="91">
    <w:name w:val="Char1"/>
    <w:basedOn w:val="1"/>
    <w:autoRedefine/>
    <w:qFormat/>
    <w:uiPriority w:val="0"/>
    <w:pPr>
      <w:numPr>
        <w:ilvl w:val="0"/>
        <w:numId w:val="1"/>
      </w:numPr>
    </w:pPr>
    <w:rPr>
      <w:rFonts w:ascii="Times New Roman" w:hAnsi="Times New Roman"/>
      <w:sz w:val="24"/>
      <w:szCs w:val="24"/>
    </w:rPr>
  </w:style>
  <w:style w:type="paragraph" w:customStyle="1" w:styleId="92">
    <w:name w:val="公文抬头"/>
    <w:basedOn w:val="10"/>
    <w:autoRedefine/>
    <w:qFormat/>
    <w:uiPriority w:val="0"/>
    <w:pPr>
      <w:ind w:firstLine="0"/>
    </w:pPr>
    <w:rPr>
      <w:rFonts w:ascii="仿宋_GB2312" w:eastAsia="仿宋_GB2312"/>
      <w:sz w:val="30"/>
      <w:szCs w:val="24"/>
    </w:rPr>
  </w:style>
  <w:style w:type="paragraph" w:customStyle="1" w:styleId="93">
    <w:name w:val="Char Char Char1 Char"/>
    <w:basedOn w:val="16"/>
    <w:autoRedefine/>
    <w:qFormat/>
    <w:uiPriority w:val="0"/>
    <w:rPr>
      <w:rFonts w:ascii="Tahoma" w:hAnsi="Tahoma"/>
      <w:sz w:val="24"/>
      <w:szCs w:val="24"/>
    </w:rPr>
  </w:style>
  <w:style w:type="paragraph" w:customStyle="1" w:styleId="94">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5">
    <w:name w:val="公文标题"/>
    <w:basedOn w:val="8"/>
    <w:autoRedefine/>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6">
    <w:name w:val="发文落款"/>
    <w:basedOn w:val="94"/>
    <w:autoRedefine/>
    <w:qFormat/>
    <w:uiPriority w:val="0"/>
    <w:pPr>
      <w:ind w:left="4094" w:right="607" w:firstLine="0"/>
      <w:jc w:val="center"/>
    </w:pPr>
  </w:style>
  <w:style w:type="paragraph" w:customStyle="1" w:styleId="97">
    <w:name w:val="Char Char Char Char"/>
    <w:basedOn w:val="1"/>
    <w:autoRedefine/>
    <w:qFormat/>
    <w:uiPriority w:val="0"/>
    <w:rPr>
      <w:rFonts w:ascii="Times New Roman" w:hAnsi="Times New Roman"/>
      <w:sz w:val="30"/>
      <w:szCs w:val="24"/>
    </w:rPr>
  </w:style>
  <w:style w:type="character" w:customStyle="1" w:styleId="98">
    <w:name w:val="批注框文本 字符"/>
    <w:autoRedefine/>
    <w:semiHidden/>
    <w:qFormat/>
    <w:uiPriority w:val="99"/>
    <w:rPr>
      <w:rFonts w:ascii="Calibri" w:hAnsi="Calibri" w:eastAsia="宋体" w:cs="Times New Roman"/>
      <w:sz w:val="18"/>
      <w:szCs w:val="18"/>
    </w:rPr>
  </w:style>
  <w:style w:type="character" w:customStyle="1" w:styleId="99">
    <w:name w:val="批注框文本 Char"/>
    <w:link w:val="23"/>
    <w:autoRedefine/>
    <w:qFormat/>
    <w:uiPriority w:val="0"/>
    <w:rPr>
      <w:rFonts w:ascii="Times New Roman" w:hAnsi="Times New Roman" w:eastAsia="宋体" w:cs="Times New Roman"/>
      <w:sz w:val="18"/>
      <w:szCs w:val="18"/>
    </w:rPr>
  </w:style>
  <w:style w:type="paragraph" w:customStyle="1" w:styleId="100">
    <w:name w:val="TOC 标题1"/>
    <w:basedOn w:val="3"/>
    <w:next w:val="1"/>
    <w:autoRedefine/>
    <w:semiHidden/>
    <w:unhideWhenUsed/>
    <w:qFormat/>
    <w:uiPriority w:val="39"/>
    <w:pPr>
      <w:widowControl/>
      <w:spacing w:before="480" w:after="0" w:line="276" w:lineRule="auto"/>
      <w:outlineLvl w:val="9"/>
    </w:pPr>
    <w:rPr>
      <w:rFonts w:ascii="Cambria" w:hAnsi="Cambria"/>
      <w:color w:val="365F91"/>
      <w:kern w:val="0"/>
    </w:rPr>
  </w:style>
  <w:style w:type="character" w:customStyle="1" w:styleId="101">
    <w:name w:val="批注文字 字符"/>
    <w:autoRedefine/>
    <w:semiHidden/>
    <w:qFormat/>
    <w:uiPriority w:val="99"/>
    <w:rPr>
      <w:rFonts w:ascii="Calibri" w:hAnsi="Calibri" w:eastAsia="宋体" w:cs="Times New Roman"/>
    </w:rPr>
  </w:style>
  <w:style w:type="character" w:customStyle="1" w:styleId="102">
    <w:name w:val="批注文字 Char"/>
    <w:link w:val="17"/>
    <w:autoRedefine/>
    <w:qFormat/>
    <w:uiPriority w:val="0"/>
    <w:rPr>
      <w:rFonts w:ascii="宋体" w:hAnsi="宋体" w:eastAsia="宋体" w:cs="Times New Roman"/>
      <w:sz w:val="24"/>
      <w:szCs w:val="24"/>
    </w:rPr>
  </w:style>
  <w:style w:type="character" w:customStyle="1" w:styleId="103">
    <w:name w:val="脚注文本 字符"/>
    <w:autoRedefine/>
    <w:semiHidden/>
    <w:qFormat/>
    <w:uiPriority w:val="99"/>
    <w:rPr>
      <w:rFonts w:ascii="Calibri" w:hAnsi="Calibri" w:eastAsia="宋体" w:cs="Times New Roman"/>
      <w:sz w:val="18"/>
      <w:szCs w:val="18"/>
    </w:rPr>
  </w:style>
  <w:style w:type="character" w:customStyle="1" w:styleId="104">
    <w:name w:val="脚注文本 Char"/>
    <w:link w:val="27"/>
    <w:autoRedefine/>
    <w:qFormat/>
    <w:uiPriority w:val="0"/>
    <w:rPr>
      <w:rFonts w:ascii="宋体" w:hAnsi="宋体" w:eastAsia="宋体" w:cs="Times New Roman"/>
      <w:sz w:val="18"/>
      <w:szCs w:val="18"/>
    </w:rPr>
  </w:style>
  <w:style w:type="character" w:customStyle="1" w:styleId="105">
    <w:name w:val="批注主题 字符"/>
    <w:autoRedefine/>
    <w:semiHidden/>
    <w:qFormat/>
    <w:uiPriority w:val="99"/>
    <w:rPr>
      <w:rFonts w:ascii="Calibri" w:hAnsi="Calibri" w:eastAsia="宋体" w:cs="Times New Roman"/>
      <w:b/>
      <w:bCs/>
    </w:rPr>
  </w:style>
  <w:style w:type="character" w:customStyle="1" w:styleId="106">
    <w:name w:val="批注主题 Char"/>
    <w:link w:val="32"/>
    <w:autoRedefine/>
    <w:qFormat/>
    <w:uiPriority w:val="0"/>
    <w:rPr>
      <w:rFonts w:ascii="宋体" w:hAnsi="宋体" w:eastAsia="宋体" w:cs="Times New Roman"/>
      <w:b/>
      <w:bCs/>
      <w:sz w:val="24"/>
      <w:szCs w:val="24"/>
    </w:rPr>
  </w:style>
  <w:style w:type="paragraph" w:styleId="107">
    <w:name w:val="List Paragraph"/>
    <w:basedOn w:val="1"/>
    <w:autoRedefine/>
    <w:qFormat/>
    <w:uiPriority w:val="34"/>
    <w:pPr>
      <w:ind w:firstLine="420" w:firstLineChars="200"/>
    </w:pPr>
    <w:rPr>
      <w:rFonts w:ascii="Times New Roman" w:hAnsi="Times New Roman"/>
      <w:szCs w:val="20"/>
    </w:rPr>
  </w:style>
  <w:style w:type="paragraph" w:customStyle="1" w:styleId="108">
    <w:name w:val="修订1"/>
    <w:autoRedefine/>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6110</Words>
  <Characters>6611</Characters>
  <Lines>50</Lines>
  <Paragraphs>14</Paragraphs>
  <TotalTime>6</TotalTime>
  <ScaleCrop>false</ScaleCrop>
  <LinksUpToDate>false</LinksUpToDate>
  <CharactersWithSpaces>6965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2022-05-12T04:36:00Z</dcterms:created>
  <dc:creator>管理员</dc:creator>
  <cp:lastModifiedBy>Spexial丶无聊</cp:lastModifiedBy>
  <cp:lastPrinted>2022-05-13T08:54:00Z</cp:lastPrinted>
  <dcterms:modified xsi:type="dcterms:W3CDTF">2024-07-02T08:33:04Z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E570416534F843AB9577C59E43B930E0</vt:lpwstr>
  </property>
</Properties>
</file>