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Times New Roman"/>
          <w:color w:val="auto"/>
          <w:highlight w:val="none"/>
        </w:rPr>
      </w:pPr>
      <w:bookmarkStart w:id="0" w:name="_Toc492300545"/>
    </w:p>
    <w:p>
      <w:pPr>
        <w:pStyle w:val="15"/>
        <w:ind w:firstLine="200"/>
        <w:rPr>
          <w:rFonts w:eastAsia="Times New Roman"/>
          <w:color w:val="auto"/>
          <w:highlight w:val="none"/>
        </w:rPr>
      </w:pPr>
    </w:p>
    <w:p>
      <w:pPr>
        <w:pStyle w:val="15"/>
        <w:ind w:firstLine="200"/>
        <w:rPr>
          <w:rFonts w:eastAsia="Times New Roman"/>
          <w:color w:val="auto"/>
          <w:highlight w:val="none"/>
        </w:rPr>
      </w:pPr>
    </w:p>
    <w:p>
      <w:pPr>
        <w:topLinePunct/>
        <w:spacing w:line="360" w:lineRule="auto"/>
        <w:jc w:val="center"/>
        <w:rPr>
          <w:rFonts w:hint="eastAsia" w:ascii="宋体" w:hAnsi="宋体" w:eastAsia="宋体" w:cs="宋体"/>
          <w:b/>
          <w:color w:val="auto"/>
          <w:sz w:val="52"/>
          <w:szCs w:val="52"/>
          <w:highlight w:val="none"/>
          <w:lang w:eastAsia="zh-CN"/>
        </w:rPr>
      </w:pPr>
      <w:r>
        <w:rPr>
          <w:rFonts w:hint="eastAsia" w:ascii="宋体" w:hAnsi="宋体" w:eastAsia="宋体" w:cs="宋体"/>
          <w:b/>
          <w:color w:val="auto"/>
          <w:sz w:val="52"/>
          <w:szCs w:val="52"/>
          <w:highlight w:val="none"/>
          <w:lang w:eastAsia="zh-CN"/>
        </w:rPr>
        <w:t>东南西环三滘立交市政化改造工程（二期）第三方检测</w:t>
      </w:r>
    </w:p>
    <w:p>
      <w:pPr>
        <w:topLinePunct/>
        <w:spacing w:line="360" w:lineRule="auto"/>
        <w:rPr>
          <w:rStyle w:val="25"/>
          <w:b w:val="0"/>
          <w:color w:val="auto"/>
          <w:spacing w:val="40"/>
          <w:sz w:val="40"/>
          <w:szCs w:val="40"/>
          <w:highlight w:val="none"/>
        </w:rPr>
      </w:pPr>
    </w:p>
    <w:p>
      <w:pPr>
        <w:topLinePunct/>
        <w:spacing w:line="360" w:lineRule="auto"/>
        <w:rPr>
          <w:rStyle w:val="25"/>
          <w:b w:val="0"/>
          <w:color w:val="auto"/>
          <w:spacing w:val="40"/>
          <w:sz w:val="40"/>
          <w:szCs w:val="40"/>
          <w:highlight w:val="none"/>
        </w:rPr>
      </w:pPr>
    </w:p>
    <w:p>
      <w:pPr>
        <w:topLinePunct/>
        <w:spacing w:line="360" w:lineRule="auto"/>
        <w:jc w:val="center"/>
        <w:rPr>
          <w:rStyle w:val="25"/>
          <w:b w:val="0"/>
          <w:color w:val="auto"/>
          <w:spacing w:val="40"/>
          <w:kern w:val="10"/>
          <w:sz w:val="84"/>
          <w:szCs w:val="84"/>
          <w:highlight w:val="none"/>
        </w:rPr>
      </w:pPr>
      <w:r>
        <w:rPr>
          <w:rStyle w:val="25"/>
          <w:rFonts w:hint="eastAsia" w:ascii="宋体" w:hAnsi="宋体" w:eastAsia="宋体" w:cs="宋体"/>
          <w:color w:val="auto"/>
          <w:spacing w:val="40"/>
          <w:kern w:val="10"/>
          <w:sz w:val="84"/>
          <w:szCs w:val="84"/>
          <w:highlight w:val="none"/>
        </w:rPr>
        <w:t>招标文件</w:t>
      </w:r>
    </w:p>
    <w:p>
      <w:pPr>
        <w:topLinePunct/>
        <w:spacing w:line="360" w:lineRule="auto"/>
        <w:jc w:val="center"/>
        <w:rPr>
          <w:rStyle w:val="25"/>
          <w:b w:val="0"/>
          <w:color w:val="auto"/>
          <w:spacing w:val="40"/>
          <w:kern w:val="10"/>
          <w:sz w:val="84"/>
          <w:szCs w:val="84"/>
          <w:highlight w:val="none"/>
        </w:rPr>
      </w:pPr>
    </w:p>
    <w:p>
      <w:pPr>
        <w:topLinePunct/>
        <w:spacing w:line="360" w:lineRule="auto"/>
        <w:rPr>
          <w:color w:val="auto"/>
          <w:sz w:val="27"/>
          <w:szCs w:val="27"/>
          <w:highlight w:val="none"/>
        </w:rPr>
      </w:pPr>
    </w:p>
    <w:p>
      <w:pPr>
        <w:pStyle w:val="15"/>
        <w:rPr>
          <w:color w:val="auto"/>
          <w:sz w:val="27"/>
          <w:szCs w:val="27"/>
          <w:highlight w:val="none"/>
        </w:rPr>
      </w:pPr>
    </w:p>
    <w:p>
      <w:pPr>
        <w:pStyle w:val="15"/>
        <w:rPr>
          <w:color w:val="auto"/>
          <w:sz w:val="27"/>
          <w:szCs w:val="27"/>
          <w:highlight w:val="none"/>
        </w:rPr>
      </w:pPr>
    </w:p>
    <w:p>
      <w:pPr>
        <w:pStyle w:val="15"/>
        <w:rPr>
          <w:color w:val="auto"/>
          <w:sz w:val="27"/>
          <w:szCs w:val="27"/>
          <w:highlight w:val="none"/>
        </w:rPr>
      </w:pPr>
    </w:p>
    <w:p>
      <w:pPr>
        <w:pStyle w:val="15"/>
        <w:rPr>
          <w:color w:val="auto"/>
          <w:sz w:val="27"/>
          <w:szCs w:val="27"/>
          <w:highlight w:val="none"/>
        </w:rPr>
      </w:pPr>
    </w:p>
    <w:p>
      <w:pPr>
        <w:spacing w:line="360" w:lineRule="auto"/>
        <w:ind w:firstLine="945"/>
        <w:rPr>
          <w:rFonts w:hint="eastAsia" w:ascii="宋体" w:hAnsi="宋体" w:eastAsia="宋体" w:cs="宋体"/>
          <w:color w:val="auto"/>
          <w:sz w:val="30"/>
          <w:highlight w:val="none"/>
          <w:u w:val="single"/>
        </w:rPr>
      </w:pPr>
      <w:r>
        <w:rPr>
          <w:rFonts w:hint="eastAsia" w:ascii="宋体" w:hAnsi="宋体" w:eastAsia="宋体" w:cs="宋体"/>
          <w:color w:val="auto"/>
          <w:sz w:val="30"/>
          <w:highlight w:val="none"/>
        </w:rPr>
        <w:t>招  标 单 位：</w:t>
      </w:r>
      <w:r>
        <w:rPr>
          <w:rFonts w:hint="eastAsia" w:ascii="宋体" w:hAnsi="宋体" w:eastAsia="宋体" w:cs="宋体"/>
          <w:color w:val="auto"/>
          <w:sz w:val="30"/>
          <w:szCs w:val="30"/>
          <w:highlight w:val="none"/>
        </w:rPr>
        <w:t>广州交投城市道路建设有限公司</w:t>
      </w:r>
    </w:p>
    <w:p>
      <w:pPr>
        <w:spacing w:line="360" w:lineRule="auto"/>
        <w:ind w:firstLine="945"/>
        <w:rPr>
          <w:rFonts w:hint="eastAsia" w:ascii="宋体" w:hAnsi="宋体" w:eastAsia="宋体" w:cs="宋体"/>
          <w:color w:val="auto"/>
          <w:sz w:val="30"/>
          <w:highlight w:val="none"/>
          <w:u w:val="single"/>
        </w:rPr>
      </w:pPr>
      <w:r>
        <w:rPr>
          <w:rFonts w:hint="eastAsia" w:ascii="宋体" w:hAnsi="宋体" w:eastAsia="宋体" w:cs="宋体"/>
          <w:color w:val="auto"/>
          <w:sz w:val="30"/>
          <w:highlight w:val="none"/>
        </w:rPr>
        <w:t>招标代理单位：</w:t>
      </w:r>
      <w:r>
        <w:rPr>
          <w:rFonts w:hint="eastAsia" w:ascii="宋体" w:hAnsi="宋体" w:eastAsia="宋体" w:cs="宋体"/>
          <w:color w:val="auto"/>
          <w:sz w:val="30"/>
          <w:szCs w:val="30"/>
          <w:highlight w:val="none"/>
        </w:rPr>
        <w:t>广东粤信项目管理有限公司</w:t>
      </w:r>
    </w:p>
    <w:p>
      <w:pPr>
        <w:spacing w:line="360" w:lineRule="auto"/>
        <w:ind w:firstLine="945"/>
        <w:rPr>
          <w:rFonts w:hint="eastAsia" w:ascii="宋体" w:hAnsi="宋体" w:eastAsia="宋体" w:cs="宋体"/>
          <w:color w:val="auto"/>
          <w:sz w:val="30"/>
          <w:highlight w:val="none"/>
        </w:rPr>
      </w:pPr>
      <w:r>
        <w:rPr>
          <w:rFonts w:hint="eastAsia" w:ascii="宋体" w:hAnsi="宋体" w:eastAsia="宋体" w:cs="宋体"/>
          <w:color w:val="auto"/>
          <w:sz w:val="30"/>
          <w:highlight w:val="none"/>
        </w:rPr>
        <w:t>日       期：202</w:t>
      </w:r>
      <w:r>
        <w:rPr>
          <w:rFonts w:hint="eastAsia" w:ascii="宋体" w:hAnsi="宋体" w:eastAsia="宋体" w:cs="宋体"/>
          <w:color w:val="auto"/>
          <w:sz w:val="30"/>
          <w:highlight w:val="none"/>
          <w:lang w:val="en-US" w:eastAsia="zh-CN"/>
        </w:rPr>
        <w:t>4</w:t>
      </w:r>
      <w:r>
        <w:rPr>
          <w:rFonts w:hint="eastAsia" w:ascii="宋体" w:hAnsi="宋体" w:eastAsia="宋体" w:cs="宋体"/>
          <w:color w:val="auto"/>
          <w:sz w:val="30"/>
          <w:highlight w:val="none"/>
        </w:rPr>
        <w:t>年</w:t>
      </w:r>
      <w:r>
        <w:rPr>
          <w:rFonts w:hint="eastAsia" w:ascii="宋体" w:hAnsi="宋体" w:eastAsia="宋体" w:cs="宋体"/>
          <w:color w:val="auto"/>
          <w:sz w:val="30"/>
          <w:highlight w:val="none"/>
          <w:lang w:val="en-US" w:eastAsia="zh-CN"/>
        </w:rPr>
        <w:t>7</w:t>
      </w:r>
      <w:r>
        <w:rPr>
          <w:rFonts w:hint="eastAsia" w:ascii="宋体" w:hAnsi="宋体" w:eastAsia="宋体" w:cs="宋体"/>
          <w:color w:val="auto"/>
          <w:sz w:val="30"/>
          <w:highlight w:val="none"/>
        </w:rPr>
        <w:t>月</w:t>
      </w:r>
    </w:p>
    <w:p>
      <w:pPr>
        <w:spacing w:line="360" w:lineRule="auto"/>
        <w:ind w:firstLine="945"/>
        <w:rPr>
          <w:rFonts w:hint="eastAsia" w:ascii="宋体" w:hAnsi="宋体" w:eastAsia="宋体" w:cs="宋体"/>
          <w:color w:val="auto"/>
          <w:sz w:val="30"/>
          <w:highlight w:val="none"/>
        </w:rPr>
      </w:pPr>
    </w:p>
    <w:p>
      <w:pPr>
        <w:rPr>
          <w:color w:val="auto"/>
          <w:highlight w:val="none"/>
        </w:rPr>
        <w:sectPr>
          <w:footerReference r:id="rId3" w:type="default"/>
          <w:pgSz w:w="12240" w:h="15840"/>
          <w:pgMar w:top="1440" w:right="1425" w:bottom="1440" w:left="1800" w:header="720" w:footer="720" w:gutter="0"/>
          <w:cols w:space="720" w:num="1"/>
          <w:docGrid w:linePitch="285" w:charSpace="0"/>
        </w:sectPr>
      </w:pPr>
    </w:p>
    <w:p>
      <w:pPr>
        <w:pStyle w:val="14"/>
        <w:spacing w:before="240" w:after="120"/>
        <w:jc w:val="center"/>
        <w:rPr>
          <w:color w:val="auto"/>
          <w:highlight w:val="none"/>
        </w:rPr>
      </w:pPr>
      <w:bookmarkStart w:id="1" w:name="_Toc526786483"/>
      <w:r>
        <w:rPr>
          <w:rStyle w:val="24"/>
          <w:color w:val="auto"/>
          <w:highlight w:val="none"/>
        </w:rPr>
        <w:t>目录</w:t>
      </w:r>
    </w:p>
    <w:p>
      <w:pPr>
        <w:pStyle w:val="14"/>
        <w:spacing w:before="240" w:after="120"/>
        <w:rPr>
          <w:rFonts w:asciiTheme="minorHAnsi" w:hAnsiTheme="minorHAnsi" w:eastAsiaTheme="minorEastAsia" w:cstheme="minorBidi"/>
          <w:color w:val="auto"/>
          <w:sz w:val="21"/>
          <w:szCs w:val="22"/>
          <w:highlight w:val="none"/>
        </w:rPr>
      </w:pPr>
      <w:bookmarkStart w:id="194" w:name="_GoBack"/>
      <w:r>
        <w:rPr>
          <w:color w:val="auto"/>
          <w:highlight w:val="none"/>
        </w:rPr>
        <w:fldChar w:fldCharType="begin"/>
      </w:r>
      <w:r>
        <w:rPr>
          <w:color w:val="auto"/>
          <w:highlight w:val="none"/>
        </w:rPr>
        <w:instrText xml:space="preserve"> TOC \o "1-1" \u </w:instrText>
      </w:r>
      <w:r>
        <w:rPr>
          <w:color w:val="auto"/>
          <w:highlight w:val="none"/>
        </w:rPr>
        <w:fldChar w:fldCharType="separate"/>
      </w:r>
      <w:r>
        <w:rPr>
          <w:rFonts w:hint="eastAsia" w:asciiTheme="minorEastAsia" w:hAnsiTheme="minorEastAsia" w:eastAsiaTheme="minorEastAsia"/>
          <w:color w:val="auto"/>
          <w:highlight w:val="none"/>
        </w:rPr>
        <w:t>第一章</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招标公告</w:t>
      </w:r>
      <w:r>
        <w:rPr>
          <w:color w:val="auto"/>
          <w:highlight w:val="none"/>
        </w:rPr>
        <w:tab/>
      </w:r>
      <w:r>
        <w:rPr>
          <w:color w:val="auto"/>
          <w:highlight w:val="none"/>
        </w:rPr>
        <w:fldChar w:fldCharType="begin"/>
      </w:r>
      <w:r>
        <w:rPr>
          <w:color w:val="auto"/>
          <w:highlight w:val="none"/>
        </w:rPr>
        <w:instrText xml:space="preserve"> PAGEREF _Toc22637078 \h </w:instrText>
      </w:r>
      <w:r>
        <w:rPr>
          <w:color w:val="auto"/>
          <w:highlight w:val="none"/>
        </w:rPr>
        <w:fldChar w:fldCharType="separate"/>
      </w:r>
      <w:r>
        <w:rPr>
          <w:color w:val="auto"/>
          <w:highlight w:val="none"/>
        </w:rPr>
        <w:t>2</w:t>
      </w:r>
      <w:r>
        <w:rPr>
          <w:color w:val="auto"/>
          <w:highlight w:val="none"/>
        </w:rPr>
        <w:fldChar w:fldCharType="end"/>
      </w:r>
    </w:p>
    <w:p>
      <w:pPr>
        <w:pStyle w:val="14"/>
        <w:spacing w:before="240" w:after="120"/>
        <w:rPr>
          <w:rFonts w:asciiTheme="minorHAnsi" w:hAnsiTheme="minorHAnsi" w:eastAsiaTheme="minorEastAsia" w:cstheme="minorBidi"/>
          <w:color w:val="auto"/>
          <w:sz w:val="21"/>
          <w:szCs w:val="22"/>
          <w:highlight w:val="none"/>
        </w:rPr>
      </w:pPr>
      <w:r>
        <w:rPr>
          <w:rFonts w:hint="eastAsia" w:asciiTheme="minorEastAsia" w:hAnsiTheme="minorEastAsia" w:eastAsiaTheme="minorEastAsia"/>
          <w:color w:val="auto"/>
          <w:highlight w:val="none"/>
        </w:rPr>
        <w:t>第二章</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投标人须知</w:t>
      </w:r>
      <w:r>
        <w:rPr>
          <w:color w:val="auto"/>
          <w:highlight w:val="none"/>
        </w:rPr>
        <w:tab/>
      </w:r>
      <w:r>
        <w:rPr>
          <w:color w:val="auto"/>
          <w:highlight w:val="none"/>
        </w:rPr>
        <w:fldChar w:fldCharType="begin"/>
      </w:r>
      <w:r>
        <w:rPr>
          <w:color w:val="auto"/>
          <w:highlight w:val="none"/>
        </w:rPr>
        <w:instrText xml:space="preserve"> PAGEREF _Toc22637079 \h </w:instrText>
      </w:r>
      <w:r>
        <w:rPr>
          <w:color w:val="auto"/>
          <w:highlight w:val="none"/>
        </w:rPr>
        <w:fldChar w:fldCharType="separate"/>
      </w:r>
      <w:r>
        <w:rPr>
          <w:color w:val="auto"/>
          <w:highlight w:val="none"/>
        </w:rPr>
        <w:t>3</w:t>
      </w:r>
      <w:r>
        <w:rPr>
          <w:color w:val="auto"/>
          <w:highlight w:val="none"/>
        </w:rPr>
        <w:fldChar w:fldCharType="end"/>
      </w:r>
    </w:p>
    <w:p>
      <w:pPr>
        <w:pStyle w:val="14"/>
        <w:spacing w:before="240" w:after="120"/>
        <w:rPr>
          <w:rFonts w:asciiTheme="minorHAnsi" w:hAnsiTheme="minorHAnsi" w:eastAsiaTheme="minorEastAsia" w:cstheme="minorBidi"/>
          <w:color w:val="auto"/>
          <w:sz w:val="21"/>
          <w:szCs w:val="22"/>
          <w:highlight w:val="none"/>
        </w:rPr>
      </w:pPr>
      <w:r>
        <w:rPr>
          <w:rFonts w:hint="eastAsia" w:asciiTheme="minorEastAsia" w:hAnsiTheme="minorEastAsia" w:eastAsiaTheme="minorEastAsia"/>
          <w:color w:val="auto"/>
          <w:highlight w:val="none"/>
        </w:rPr>
        <w:t>第三章</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评标办法</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综合评估法</w:t>
      </w:r>
      <w:r>
        <w:rPr>
          <w:rFonts w:asciiTheme="minorEastAsia" w:hAnsiTheme="minorEastAsia" w:eastAsiaTheme="minorEastAsia"/>
          <w:color w:val="auto"/>
          <w:highlight w:val="none"/>
        </w:rPr>
        <w:t>)</w:t>
      </w:r>
      <w:r>
        <w:rPr>
          <w:color w:val="auto"/>
          <w:highlight w:val="none"/>
        </w:rPr>
        <w:tab/>
      </w:r>
      <w:r>
        <w:rPr>
          <w:color w:val="auto"/>
          <w:highlight w:val="none"/>
        </w:rPr>
        <w:fldChar w:fldCharType="begin"/>
      </w:r>
      <w:r>
        <w:rPr>
          <w:color w:val="auto"/>
          <w:highlight w:val="none"/>
        </w:rPr>
        <w:instrText xml:space="preserve"> PAGEREF _Toc22637082 \h </w:instrText>
      </w:r>
      <w:r>
        <w:rPr>
          <w:color w:val="auto"/>
          <w:highlight w:val="none"/>
        </w:rPr>
        <w:fldChar w:fldCharType="separate"/>
      </w:r>
      <w:r>
        <w:rPr>
          <w:color w:val="auto"/>
          <w:highlight w:val="none"/>
        </w:rPr>
        <w:t>30</w:t>
      </w:r>
      <w:r>
        <w:rPr>
          <w:color w:val="auto"/>
          <w:highlight w:val="none"/>
        </w:rPr>
        <w:fldChar w:fldCharType="end"/>
      </w:r>
    </w:p>
    <w:p>
      <w:pPr>
        <w:pStyle w:val="14"/>
        <w:spacing w:before="240" w:after="120"/>
        <w:rPr>
          <w:rFonts w:asciiTheme="minorHAnsi" w:hAnsiTheme="minorHAnsi" w:eastAsiaTheme="minorEastAsia" w:cstheme="minorBidi"/>
          <w:color w:val="auto"/>
          <w:sz w:val="21"/>
          <w:szCs w:val="22"/>
          <w:highlight w:val="none"/>
        </w:rPr>
      </w:pPr>
      <w:r>
        <w:rPr>
          <w:rFonts w:hint="eastAsia" w:asciiTheme="minorEastAsia" w:hAnsiTheme="minorEastAsia" w:eastAsiaTheme="minorEastAsia"/>
          <w:color w:val="auto"/>
          <w:highlight w:val="none"/>
        </w:rPr>
        <w:t>第四章</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合同条款及格式</w:t>
      </w:r>
      <w:r>
        <w:rPr>
          <w:color w:val="auto"/>
          <w:highlight w:val="none"/>
        </w:rPr>
        <w:tab/>
      </w:r>
      <w:r>
        <w:rPr>
          <w:color w:val="auto"/>
          <w:highlight w:val="none"/>
        </w:rPr>
        <w:fldChar w:fldCharType="begin"/>
      </w:r>
      <w:r>
        <w:rPr>
          <w:color w:val="auto"/>
          <w:highlight w:val="none"/>
        </w:rPr>
        <w:instrText xml:space="preserve"> PAGEREF _Toc22637083 \h </w:instrText>
      </w:r>
      <w:r>
        <w:rPr>
          <w:color w:val="auto"/>
          <w:highlight w:val="none"/>
        </w:rPr>
        <w:fldChar w:fldCharType="separate"/>
      </w:r>
      <w:r>
        <w:rPr>
          <w:color w:val="auto"/>
          <w:highlight w:val="none"/>
        </w:rPr>
        <w:t>42</w:t>
      </w:r>
      <w:r>
        <w:rPr>
          <w:color w:val="auto"/>
          <w:highlight w:val="none"/>
        </w:rPr>
        <w:fldChar w:fldCharType="end"/>
      </w:r>
    </w:p>
    <w:p>
      <w:pPr>
        <w:pStyle w:val="14"/>
        <w:spacing w:before="240" w:after="120"/>
        <w:rPr>
          <w:rFonts w:asciiTheme="minorHAnsi" w:hAnsiTheme="minorHAnsi" w:eastAsiaTheme="minorEastAsia" w:cstheme="minorBidi"/>
          <w:color w:val="auto"/>
          <w:sz w:val="21"/>
          <w:szCs w:val="22"/>
          <w:highlight w:val="none"/>
        </w:rPr>
      </w:pPr>
      <w:r>
        <w:rPr>
          <w:rFonts w:hint="eastAsia" w:asciiTheme="minorEastAsia" w:hAnsiTheme="minorEastAsia" w:eastAsiaTheme="minorEastAsia"/>
          <w:color w:val="auto"/>
          <w:highlight w:val="none"/>
        </w:rPr>
        <w:t>第五章</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委托人要求</w:t>
      </w:r>
      <w:r>
        <w:rPr>
          <w:color w:val="auto"/>
          <w:highlight w:val="none"/>
        </w:rPr>
        <w:tab/>
      </w:r>
      <w:r>
        <w:rPr>
          <w:color w:val="auto"/>
          <w:highlight w:val="none"/>
        </w:rPr>
        <w:fldChar w:fldCharType="begin"/>
      </w:r>
      <w:r>
        <w:rPr>
          <w:color w:val="auto"/>
          <w:highlight w:val="none"/>
        </w:rPr>
        <w:instrText xml:space="preserve"> PAGEREF _Toc22637084 \h </w:instrText>
      </w:r>
      <w:r>
        <w:rPr>
          <w:color w:val="auto"/>
          <w:highlight w:val="none"/>
        </w:rPr>
        <w:fldChar w:fldCharType="separate"/>
      </w:r>
      <w:r>
        <w:rPr>
          <w:color w:val="auto"/>
          <w:highlight w:val="none"/>
        </w:rPr>
        <w:t>43</w:t>
      </w:r>
      <w:r>
        <w:rPr>
          <w:color w:val="auto"/>
          <w:highlight w:val="none"/>
        </w:rPr>
        <w:fldChar w:fldCharType="end"/>
      </w:r>
    </w:p>
    <w:p>
      <w:pPr>
        <w:pStyle w:val="14"/>
        <w:spacing w:before="240" w:after="120"/>
        <w:rPr>
          <w:rFonts w:asciiTheme="minorHAnsi" w:hAnsiTheme="minorHAnsi" w:eastAsiaTheme="minorEastAsia" w:cstheme="minorBidi"/>
          <w:color w:val="auto"/>
          <w:sz w:val="21"/>
          <w:szCs w:val="22"/>
          <w:highlight w:val="none"/>
        </w:rPr>
      </w:pPr>
      <w:r>
        <w:rPr>
          <w:rFonts w:hint="eastAsia" w:asciiTheme="minorEastAsia" w:hAnsiTheme="minorEastAsia" w:eastAsiaTheme="minorEastAsia"/>
          <w:color w:val="auto"/>
          <w:highlight w:val="none"/>
        </w:rPr>
        <w:t>第六章</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_Toc22637085 \h </w:instrText>
      </w:r>
      <w:r>
        <w:rPr>
          <w:color w:val="auto"/>
          <w:highlight w:val="none"/>
        </w:rPr>
        <w:fldChar w:fldCharType="separate"/>
      </w:r>
      <w:r>
        <w:rPr>
          <w:color w:val="auto"/>
          <w:highlight w:val="none"/>
        </w:rPr>
        <w:t>49</w:t>
      </w:r>
      <w:r>
        <w:rPr>
          <w:color w:val="auto"/>
          <w:highlight w:val="none"/>
        </w:rPr>
        <w:fldChar w:fldCharType="end"/>
      </w:r>
    </w:p>
    <w:p>
      <w:pPr>
        <w:rPr>
          <w:color w:val="auto"/>
          <w:highlight w:val="none"/>
        </w:rPr>
      </w:pPr>
      <w:r>
        <w:rPr>
          <w:color w:val="auto"/>
          <w:highlight w:val="none"/>
        </w:rPr>
        <w:fldChar w:fldCharType="end"/>
      </w:r>
      <w:bookmarkEnd w:id="194"/>
    </w:p>
    <w:p>
      <w:pPr>
        <w:rPr>
          <w:color w:val="auto"/>
          <w:highlight w:val="none"/>
        </w:rPr>
      </w:pPr>
    </w:p>
    <w:p>
      <w:pPr>
        <w:rPr>
          <w:rFonts w:asciiTheme="minorEastAsia" w:hAnsiTheme="minorEastAsia" w:eastAsiaTheme="minorEastAsia"/>
          <w:color w:val="auto"/>
          <w:highlight w:val="none"/>
        </w:rPr>
      </w:pPr>
      <w:bookmarkStart w:id="2" w:name="_Toc31690_WPSOffice_Level1"/>
      <w:r>
        <w:rPr>
          <w:rFonts w:hint="eastAsia" w:asciiTheme="minorEastAsia" w:hAnsiTheme="minorEastAsia" w:eastAsiaTheme="minorEastAsia"/>
          <w:color w:val="auto"/>
          <w:highlight w:val="none"/>
        </w:rPr>
        <w:br w:type="page"/>
      </w:r>
    </w:p>
    <w:p>
      <w:pPr>
        <w:rPr>
          <w:color w:val="auto"/>
          <w:highlight w:val="none"/>
        </w:rPr>
      </w:pPr>
      <w:bookmarkStart w:id="3" w:name="_Toc22637078"/>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line="24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第一章 招标公告</w:t>
      </w:r>
      <w:bookmarkEnd w:id="1"/>
      <w:bookmarkEnd w:id="2"/>
      <w:bookmarkEnd w:id="3"/>
    </w:p>
    <w:p>
      <w:pPr>
        <w:rPr>
          <w:color w:val="auto"/>
          <w:highlight w:val="none"/>
        </w:rPr>
      </w:pPr>
    </w:p>
    <w:p>
      <w:pPr>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（另册）</w:t>
      </w:r>
    </w:p>
    <w:bookmarkEnd w:id="0"/>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pStyle w:val="4"/>
        <w:spacing w:line="240" w:lineRule="auto"/>
        <w:jc w:val="center"/>
        <w:rPr>
          <w:rFonts w:hint="eastAsia" w:asciiTheme="minorEastAsia" w:hAnsiTheme="minorEastAsia" w:eastAsiaTheme="minorEastAsia"/>
          <w:color w:val="auto"/>
          <w:highlight w:val="none"/>
        </w:rPr>
      </w:pPr>
      <w:bookmarkStart w:id="4" w:name="_Toc17448_WPSOffice_Level1"/>
      <w:bookmarkStart w:id="5" w:name="_Toc22637079"/>
      <w:r>
        <w:rPr>
          <w:rFonts w:hint="eastAsia" w:asciiTheme="minorEastAsia" w:hAnsiTheme="minorEastAsia" w:eastAsiaTheme="minorEastAsia"/>
          <w:color w:val="auto"/>
          <w:highlight w:val="none"/>
        </w:rPr>
        <w:t>第二章 投标人须知</w:t>
      </w:r>
      <w:bookmarkEnd w:id="4"/>
      <w:bookmarkEnd w:id="5"/>
    </w:p>
    <w:p>
      <w:pPr>
        <w:pStyle w:val="5"/>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投标人须知前附表</w:t>
      </w:r>
    </w:p>
    <w:tbl>
      <w:tblPr>
        <w:tblStyle w:val="17"/>
        <w:tblW w:w="9039" w:type="dxa"/>
        <w:tblInd w:w="0" w:type="dxa"/>
        <w:tblLayout w:type="fixed"/>
        <w:tblCellMar>
          <w:top w:w="0" w:type="dxa"/>
          <w:left w:w="108" w:type="dxa"/>
          <w:bottom w:w="0" w:type="dxa"/>
          <w:right w:w="108" w:type="dxa"/>
        </w:tblCellMar>
      </w:tblPr>
      <w:tblGrid>
        <w:gridCol w:w="1165"/>
        <w:gridCol w:w="2629"/>
        <w:gridCol w:w="5245"/>
      </w:tblGrid>
      <w:tr>
        <w:tblPrEx>
          <w:tblCellMar>
            <w:top w:w="0" w:type="dxa"/>
            <w:left w:w="108" w:type="dxa"/>
            <w:bottom w:w="0" w:type="dxa"/>
            <w:right w:w="108" w:type="dxa"/>
          </w:tblCellMar>
        </w:tblPrEx>
        <w:trPr>
          <w:tblHead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条款名称</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编列内容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36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招标人：广州交投城市道路建设有限公司</w:t>
            </w:r>
          </w:p>
          <w:p>
            <w:pPr>
              <w:keepNext w:val="0"/>
              <w:keepLines w:val="0"/>
              <w:suppressLineNumbers w:val="0"/>
              <w:topLinePunct/>
              <w:spacing w:before="0" w:beforeAutospacing="0" w:after="0" w:afterAutospacing="0" w:line="360" w:lineRule="auto"/>
              <w:ind w:left="0" w:right="0"/>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地址：广州市海珠区新港东路1138号智通广场A塔</w:t>
            </w:r>
            <w:r>
              <w:rPr>
                <w:rFonts w:hint="eastAsia" w:ascii="宋体" w:hAnsi="宋体" w:eastAsia="宋体" w:cs="宋体"/>
                <w:color w:val="auto"/>
                <w:sz w:val="21"/>
                <w:szCs w:val="21"/>
                <w:highlight w:val="none"/>
                <w:lang w:val="en-US" w:eastAsia="zh-CN"/>
              </w:rPr>
              <w:t>4F</w:t>
            </w:r>
          </w:p>
          <w:p>
            <w:pPr>
              <w:keepNext w:val="0"/>
              <w:keepLines w:val="0"/>
              <w:suppressLineNumbers w:val="0"/>
              <w:topLinePunct/>
              <w:spacing w:before="0" w:beforeAutospacing="0" w:after="0" w:afterAutospacing="0" w:line="36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联系人：纪工</w:t>
            </w:r>
          </w:p>
          <w:p>
            <w:pPr>
              <w:keepNext w:val="0"/>
              <w:keepLines w:val="0"/>
              <w:suppressLineNumbers w:val="0"/>
              <w:topLinePunct/>
              <w:spacing w:before="0" w:beforeAutospacing="0" w:after="0" w:afterAutospacing="0" w:line="36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电话：020－84029950-8895</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招标代理机构</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36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招标代理机构：广东粤信项目管理有限公司</w:t>
            </w:r>
          </w:p>
          <w:p>
            <w:pPr>
              <w:keepNext w:val="0"/>
              <w:keepLines w:val="0"/>
              <w:suppressLineNumbers w:val="0"/>
              <w:topLinePunct/>
              <w:spacing w:before="0" w:beforeAutospacing="0" w:after="0" w:afterAutospacing="0" w:line="36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地址：广州市天河区天寿路31号江河大厦1305室</w:t>
            </w:r>
          </w:p>
          <w:p>
            <w:pPr>
              <w:keepNext w:val="0"/>
              <w:keepLines w:val="0"/>
              <w:suppressLineNumbers w:val="0"/>
              <w:topLinePunct/>
              <w:spacing w:before="0" w:beforeAutospacing="0" w:after="0" w:afterAutospacing="0" w:line="36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联系人：王工</w:t>
            </w:r>
          </w:p>
          <w:p>
            <w:pPr>
              <w:keepNext w:val="0"/>
              <w:keepLines w:val="0"/>
              <w:suppressLineNumbers w:val="0"/>
              <w:topLinePunct/>
              <w:spacing w:before="0" w:beforeAutospacing="0" w:after="0" w:afterAutospacing="0" w:line="36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电话：020-37209484-821</w:t>
            </w:r>
            <w:r>
              <w:rPr>
                <w:rFonts w:hint="eastAsia" w:ascii="宋体" w:hAnsi="宋体" w:eastAsia="宋体" w:cs="宋体"/>
                <w:color w:val="auto"/>
                <w:sz w:val="21"/>
                <w:szCs w:val="21"/>
                <w:highlight w:val="none"/>
                <w:lang w:val="en-US" w:eastAsia="zh-CN"/>
              </w:rPr>
              <w:t>/18820054044</w:t>
            </w:r>
          </w:p>
        </w:tc>
      </w:tr>
      <w:tr>
        <w:tblPrEx>
          <w:tblCellMar>
            <w:top w:w="0" w:type="dxa"/>
            <w:left w:w="108" w:type="dxa"/>
            <w:bottom w:w="0" w:type="dxa"/>
            <w:right w:w="108" w:type="dxa"/>
          </w:tblCellMar>
        </w:tblPrEx>
        <w:trPr>
          <w:trHeight w:val="679"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招标项目名称</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东南西环三滘立交市政化改造工程（二期）第三方检测</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项目建设地点</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详见招标公告</w:t>
            </w:r>
            <w:r>
              <w:rPr>
                <w:rFonts w:hint="eastAsia" w:ascii="宋体" w:hAnsi="宋体" w:eastAsia="宋体" w:cs="宋体"/>
                <w:color w:val="auto"/>
                <w:sz w:val="21"/>
                <w:szCs w:val="21"/>
                <w:highlight w:val="none"/>
                <w:lang w:eastAsia="zh-CN"/>
              </w:rPr>
              <w:t>。</w:t>
            </w:r>
          </w:p>
        </w:tc>
      </w:tr>
      <w:tr>
        <w:tblPrEx>
          <w:tblCellMar>
            <w:top w:w="0" w:type="dxa"/>
            <w:left w:w="108" w:type="dxa"/>
            <w:bottom w:w="0" w:type="dxa"/>
            <w:right w:w="108" w:type="dxa"/>
          </w:tblCellMar>
        </w:tblPrEx>
        <w:trPr>
          <w:trHeight w:val="54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1.1.6</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项目建设规模</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详见招标公告</w:t>
            </w:r>
            <w:r>
              <w:rPr>
                <w:rFonts w:hint="eastAsia" w:ascii="宋体" w:hAnsi="宋体" w:eastAsia="宋体" w:cs="宋体"/>
                <w:color w:val="auto"/>
                <w:sz w:val="21"/>
                <w:szCs w:val="21"/>
                <w:highlight w:val="none"/>
                <w:lang w:eastAsia="zh-CN"/>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1.1.7</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计划工期</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服务周期从中标单位进场至所有服务项目完成，暂定为18个月，实际工期自签发开工令起至本工程取得竣工验收证书之日止。服务周期必须满足实际施工要求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实际进场日期以招标人通知时间为准。</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1.1.8</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建筑安装工程费/工程概算</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详见招标公告。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资金来源及比例</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详见招标公告。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资金落实情况</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资金来源已经落实。</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招标范围</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详见招标公告。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服务期限</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详见招标公告。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1.3.3</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质量标准</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按国家</w:t>
            </w:r>
            <w:r>
              <w:rPr>
                <w:rFonts w:hint="eastAsia" w:ascii="宋体" w:hAnsi="宋体" w:eastAsia="宋体" w:cs="宋体"/>
                <w:color w:val="auto"/>
                <w:sz w:val="21"/>
                <w:szCs w:val="21"/>
                <w:highlight w:val="none"/>
                <w:lang w:val="en-US" w:eastAsia="zh-CN"/>
              </w:rPr>
              <w:t>或地方等</w:t>
            </w:r>
            <w:r>
              <w:rPr>
                <w:rFonts w:hint="eastAsia" w:ascii="宋体" w:hAnsi="宋体" w:eastAsia="宋体" w:cs="宋体"/>
                <w:color w:val="auto"/>
                <w:sz w:val="21"/>
                <w:szCs w:val="21"/>
                <w:highlight w:val="none"/>
              </w:rPr>
              <w:t>相关规定执行的合格标准。</w:t>
            </w:r>
          </w:p>
        </w:tc>
      </w:tr>
      <w:tr>
        <w:tblPrEx>
          <w:tblCellMar>
            <w:top w:w="0" w:type="dxa"/>
            <w:left w:w="108" w:type="dxa"/>
            <w:bottom w:w="0" w:type="dxa"/>
            <w:right w:w="108" w:type="dxa"/>
          </w:tblCellMar>
        </w:tblPrEx>
        <w:trPr>
          <w:trHeight w:val="3712"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投标人资质条件、能力、信誉</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240" w:beforeLines="10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（1）资质要求：详见招标公告投标人资格要求；</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（2）财务要求：不要求；</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（3）业绩要求：不要求；</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（4）信誉要求：不要求；</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（5）项目负责人的资格要求：详见招标公告投标人资格要求；</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（6）其他主要人员要求：不要求；</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（7）试验检测仪器设备要求：不要求；</w:t>
            </w:r>
          </w:p>
          <w:p>
            <w:pPr>
              <w:keepNext w:val="0"/>
              <w:keepLines w:val="0"/>
              <w:suppressLineNumbers w:val="0"/>
              <w:spacing w:before="0" w:beforeAutospacing="0" w:after="72" w:afterLines="3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（8）其他要求：详见招标公告投标人资格要求。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是否接受联合体投标</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□不接受</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■接受，应满足下列要求：</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投标人组成联合体，联合体应当在投标登记前组成，应以实体检测工程量多的为主办方</w:t>
            </w:r>
            <w:r>
              <w:rPr>
                <w:rFonts w:hint="eastAsia" w:ascii="宋体" w:hAnsi="宋体" w:eastAsia="宋体" w:cs="宋体"/>
                <w:color w:val="auto"/>
                <w:sz w:val="21"/>
                <w:szCs w:val="21"/>
                <w:highlight w:val="none"/>
                <w:lang w:eastAsia="zh-CN"/>
              </w:rPr>
              <w:t>（牵头人）</w:t>
            </w:r>
            <w:r>
              <w:rPr>
                <w:rFonts w:hint="eastAsia" w:ascii="宋体" w:hAnsi="宋体" w:eastAsia="宋体" w:cs="宋体"/>
                <w:color w:val="auto"/>
                <w:sz w:val="21"/>
                <w:szCs w:val="21"/>
                <w:highlight w:val="none"/>
              </w:rPr>
              <w:t>，并签定联合体共同投标协议（格式参考附件二）。联合体共同投标协议应明确约定各方拟承担的工作和责任。联合体的资格条件按联合体任务分工进行评审。</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投标登记截止后联合体增减、更换成员的，其投标无效。</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投标人拟任本工程项目负责人应为牵头人正式员工。</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注：组成联合体的各方（包括牵头人及联合体成员）不得再单独或再次与其他单位组成联合体参与本项目投标。出现上述情况者，其投标和与此有关的联合体的投标将被拒绝。</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1.4.3</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0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投标人不得存在的其他情形</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tc>
      </w:tr>
      <w:tr>
        <w:tblPrEx>
          <w:tblCellMar>
            <w:top w:w="0" w:type="dxa"/>
            <w:left w:w="108" w:type="dxa"/>
            <w:bottom w:w="0" w:type="dxa"/>
            <w:right w:w="108" w:type="dxa"/>
          </w:tblCellMar>
        </w:tblPrEx>
        <w:trPr>
          <w:trHeight w:val="1703"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踏勘现场</w:t>
            </w:r>
          </w:p>
        </w:tc>
        <w:tc>
          <w:tcPr>
            <w:tcW w:w="524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■不组织，</w:t>
            </w:r>
            <w:r>
              <w:rPr>
                <w:rFonts w:hint="eastAsia" w:ascii="宋体" w:hAnsi="宋体" w:eastAsia="宋体" w:cs="宋体"/>
                <w:color w:val="auto"/>
                <w:sz w:val="21"/>
                <w:szCs w:val="21"/>
                <w:highlight w:val="none"/>
                <w:u w:val="single"/>
              </w:rPr>
              <w:t>本次招标项目不统一组织现场考察，各投标人可根据需要自行现场考察。</w:t>
            </w:r>
          </w:p>
          <w:p>
            <w:pPr>
              <w:pStyle w:val="9"/>
              <w:keepNext w:val="0"/>
              <w:keepLines w:val="0"/>
              <w:suppressLineNumbers w:val="0"/>
              <w:topLinePunct/>
              <w:spacing w:before="0" w:beforeAutospacing="0" w:after="40" w:afterAutospacing="0" w:line="400" w:lineRule="exact"/>
              <w:ind w:left="0" w:righ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□组织，踏勘时间：/</w:t>
            </w:r>
          </w:p>
          <w:p>
            <w:pPr>
              <w:pStyle w:val="9"/>
              <w:keepNext w:val="0"/>
              <w:keepLines w:val="0"/>
              <w:suppressLineNumbers w:val="0"/>
              <w:topLinePunct/>
              <w:spacing w:before="0" w:beforeAutospacing="0" w:afterAutospacing="0" w:line="400" w:lineRule="exact"/>
              <w:ind w:left="0" w:right="0" w:firstLine="840" w:firstLineChars="4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踏勘集中地点：/</w:t>
            </w:r>
          </w:p>
        </w:tc>
      </w:tr>
      <w:tr>
        <w:tblPrEx>
          <w:tblCellMar>
            <w:top w:w="0" w:type="dxa"/>
            <w:left w:w="108" w:type="dxa"/>
            <w:bottom w:w="0" w:type="dxa"/>
            <w:right w:w="108" w:type="dxa"/>
          </w:tblCellMar>
        </w:tblPrEx>
        <w:trPr>
          <w:trHeight w:val="1086"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投标预备会</w:t>
            </w:r>
          </w:p>
        </w:tc>
        <w:tc>
          <w:tcPr>
            <w:tcW w:w="524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■不召开</w:t>
            </w:r>
          </w:p>
          <w:p>
            <w:pPr>
              <w:keepNext w:val="0"/>
              <w:keepLines w:val="0"/>
              <w:suppressLineNumbers w:val="0"/>
              <w:spacing w:before="0" w:beforeAutospacing="0" w:after="40" w:afterAutospacing="0" w:line="400" w:lineRule="exact"/>
              <w:ind w:left="0" w:righ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□召开，召开时间：/</w:t>
            </w:r>
          </w:p>
          <w:p>
            <w:pPr>
              <w:keepNext w:val="0"/>
              <w:keepLines w:val="0"/>
              <w:suppressLineNumbers w:val="0"/>
              <w:spacing w:before="0" w:beforeAutospacing="0" w:after="120" w:afterAutospacing="0" w:line="400" w:lineRule="exact"/>
              <w:ind w:left="0" w:right="0" w:firstLine="840" w:firstLineChars="4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召开地点：/</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1.10.2</w:t>
            </w:r>
          </w:p>
        </w:tc>
        <w:tc>
          <w:tcPr>
            <w:tcW w:w="2629"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120" w:afterAutospacing="0"/>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投标人在投标预备会前提出问题</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440" w:lineRule="exact"/>
              <w:ind w:left="0" w:right="0"/>
              <w:jc w:val="center"/>
              <w:outlineLvl w:val="2"/>
              <w:rPr>
                <w:rFonts w:hint="eastAsia" w:ascii="宋体" w:hAnsi="宋体" w:eastAsia="宋体" w:cs="宋体"/>
                <w:color w:val="auto"/>
                <w:sz w:val="21"/>
                <w:szCs w:val="21"/>
                <w:highlight w:val="none"/>
              </w:rPr>
            </w:pPr>
          </w:p>
        </w:tc>
        <w:tc>
          <w:tcPr>
            <w:tcW w:w="2629" w:type="dxa"/>
            <w:vMerge w:val="continue"/>
            <w:tcBorders>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440" w:lineRule="exact"/>
              <w:ind w:left="0" w:right="0"/>
              <w:jc w:val="center"/>
              <w:outlineLvl w:val="2"/>
              <w:rPr>
                <w:rFonts w:hint="eastAsia" w:ascii="宋体" w:hAnsi="宋体" w:eastAsia="宋体" w:cs="宋体"/>
                <w:color w:val="auto"/>
                <w:sz w:val="21"/>
                <w:szCs w:val="21"/>
                <w:highlight w:val="none"/>
              </w:rPr>
            </w:pP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1.10.3</w:t>
            </w:r>
          </w:p>
        </w:tc>
        <w:tc>
          <w:tcPr>
            <w:tcW w:w="2629" w:type="dxa"/>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招标文件澄清发出的形式</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（此为投标预备会的答疑澄清）</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实质性要求和条件</w:t>
            </w:r>
          </w:p>
        </w:tc>
        <w:tc>
          <w:tcPr>
            <w:tcW w:w="524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topLinePunct/>
              <w:spacing w:before="0" w:beforeAutospacing="0" w:afterAutospacing="0" w:line="40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1.12.3</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偏差</w:t>
            </w:r>
          </w:p>
        </w:tc>
        <w:tc>
          <w:tcPr>
            <w:tcW w:w="524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topLinePunct/>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■不允许</w:t>
            </w:r>
          </w:p>
          <w:p>
            <w:pPr>
              <w:pStyle w:val="9"/>
              <w:keepNext w:val="0"/>
              <w:keepLines w:val="0"/>
              <w:suppressLineNumbers w:val="0"/>
              <w:topLinePunct/>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□允许，偏差范围：/</w:t>
            </w:r>
          </w:p>
          <w:p>
            <w:pPr>
              <w:pStyle w:val="9"/>
              <w:keepNext w:val="0"/>
              <w:keepLines w:val="0"/>
              <w:suppressLineNumbers w:val="0"/>
              <w:topLinePunct/>
              <w:spacing w:before="0" w:beforeAutospacing="0" w:afterAutospacing="0" w:line="400" w:lineRule="exact"/>
              <w:ind w:left="0" w:right="0"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偏差幅度：/</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构成招标文件的其他资料</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补充公告（如有）、答疑纪要、澄清文件等（如有）</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w:t>
            </w:r>
          </w:p>
        </w:tc>
        <w:tc>
          <w:tcPr>
            <w:tcW w:w="2629"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投标人要求澄清招标文件</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时间：在提交投标文件截止时间18天前提出。</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440" w:lineRule="exact"/>
              <w:ind w:left="0" w:right="0"/>
              <w:jc w:val="center"/>
              <w:outlineLvl w:val="2"/>
              <w:rPr>
                <w:rFonts w:hint="eastAsia" w:ascii="宋体" w:hAnsi="宋体" w:eastAsia="宋体" w:cs="宋体"/>
                <w:color w:val="auto"/>
                <w:sz w:val="21"/>
                <w:szCs w:val="21"/>
                <w:highlight w:val="none"/>
              </w:rPr>
            </w:pPr>
          </w:p>
        </w:tc>
        <w:tc>
          <w:tcPr>
            <w:tcW w:w="2629" w:type="dxa"/>
            <w:vMerge w:val="continue"/>
            <w:tcBorders>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440" w:lineRule="exact"/>
              <w:ind w:left="0" w:right="0"/>
              <w:jc w:val="center"/>
              <w:outlineLvl w:val="2"/>
              <w:rPr>
                <w:rFonts w:hint="eastAsia" w:ascii="宋体" w:hAnsi="宋体" w:eastAsia="宋体" w:cs="宋体"/>
                <w:color w:val="auto"/>
                <w:sz w:val="21"/>
                <w:szCs w:val="21"/>
                <w:highlight w:val="none"/>
              </w:rPr>
            </w:pP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1、招标答疑采用网上答疑方式进行。投标人若对招标文件有疑问的，可在规定的时间内通过广州交易集团有限公司（广州公共资源交易中心）网站登录新建设工程交易平台将问题提交给招标人或招标代理人，提交问题时一律不得署名。</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网上答疑的操作指南为：登陆广州交易集团有限公司（广州公共资源交易中心）网站→凭CA数字证书登录新建设工程交易平台→我是投标人→招标答疑提问→通过项目编号或名称找到所需的项目→在上述的答疑时间内点击“答疑提问”→无记名或匿名提出问题以及查看所有的问题。</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应在投标截止时间18日前停止质疑。招标人应在投标截止时间15日前解答投标人对招标文件提出的疑问，形成答疑纪要，并在广州交易集团有限公司（广州公共资源交易中心）网站项目答疑专区和广州国企阳光采购信息发布平台发布。</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w:t>
            </w:r>
          </w:p>
        </w:tc>
        <w:tc>
          <w:tcPr>
            <w:tcW w:w="2629" w:type="dxa"/>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招标文件澄清发出的形式</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none"/>
              </w:rPr>
              <w:t>在递交投标文件截止时间15日前；在广州交易集团有限公司（广州公共资源交易中心）网站通过项目答疑专区</w:t>
            </w:r>
            <w:r>
              <w:rPr>
                <w:rFonts w:hint="eastAsia" w:ascii="宋体" w:hAnsi="宋体" w:eastAsia="宋体" w:cs="宋体"/>
                <w:color w:val="auto"/>
                <w:sz w:val="21"/>
                <w:szCs w:val="21"/>
                <w:highlight w:val="none"/>
              </w:rPr>
              <w:t>和广州国企阳光采购信息发布平台</w:t>
            </w:r>
            <w:r>
              <w:rPr>
                <w:rFonts w:hint="eastAsia" w:ascii="宋体" w:hAnsi="宋体" w:eastAsia="宋体" w:cs="宋体"/>
                <w:color w:val="auto"/>
                <w:sz w:val="21"/>
                <w:szCs w:val="21"/>
                <w:highlight w:val="none"/>
                <w:u w:val="none"/>
              </w:rPr>
              <w:t>网上公开发布。不足15日的，招标人应当顺延投标文件的截止时间。</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2.2.3</w:t>
            </w:r>
          </w:p>
        </w:tc>
        <w:tc>
          <w:tcPr>
            <w:tcW w:w="2629"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投标人确认收到招标文件澄清</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u w:val="single"/>
              </w:rPr>
              <w:t>网上答疑,</w:t>
            </w:r>
            <w:r>
              <w:rPr>
                <w:rFonts w:hint="eastAsia" w:ascii="宋体" w:hAnsi="宋体" w:eastAsia="宋体" w:cs="宋体"/>
                <w:color w:val="auto"/>
                <w:sz w:val="21"/>
                <w:szCs w:val="21"/>
                <w:highlight w:val="none"/>
              </w:rPr>
              <w:t>发出即视作收到。</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440" w:lineRule="exact"/>
              <w:ind w:left="0" w:right="0"/>
              <w:jc w:val="center"/>
              <w:outlineLvl w:val="2"/>
              <w:rPr>
                <w:rFonts w:hint="eastAsia" w:ascii="宋体" w:hAnsi="宋体" w:eastAsia="宋体" w:cs="宋体"/>
                <w:color w:val="auto"/>
                <w:sz w:val="21"/>
                <w:szCs w:val="21"/>
                <w:highlight w:val="none"/>
              </w:rPr>
            </w:pPr>
          </w:p>
        </w:tc>
        <w:tc>
          <w:tcPr>
            <w:tcW w:w="2629" w:type="dxa"/>
            <w:vMerge w:val="continue"/>
            <w:tcBorders>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440" w:lineRule="exact"/>
              <w:ind w:left="0" w:right="0"/>
              <w:jc w:val="center"/>
              <w:outlineLvl w:val="2"/>
              <w:rPr>
                <w:rFonts w:hint="eastAsia" w:ascii="宋体" w:hAnsi="宋体" w:eastAsia="宋体" w:cs="宋体"/>
                <w:color w:val="auto"/>
                <w:sz w:val="21"/>
                <w:szCs w:val="21"/>
                <w:highlight w:val="none"/>
              </w:rPr>
            </w:pP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w:t>
            </w:r>
            <w:r>
              <w:rPr>
                <w:rFonts w:hint="eastAsia" w:ascii="宋体" w:hAnsi="宋体" w:eastAsia="宋体" w:cs="宋体"/>
                <w:color w:val="auto"/>
                <w:sz w:val="21"/>
                <w:szCs w:val="21"/>
                <w:highlight w:val="none"/>
                <w:u w:val="single"/>
              </w:rPr>
              <w:t>招标文件澄清（招标答疑纪要）一经在广州公共资源交易中心网站和广州国企阳光采购信息发布平台发布，视作已发放给所有投标人，无需确认。潜在投标人应自行关注招标公告公布的网站公告，招标人不再一一通知。投标人因自身贻误行为导致投标失败的，责任自负。</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2.3.1</w:t>
            </w:r>
          </w:p>
        </w:tc>
        <w:tc>
          <w:tcPr>
            <w:tcW w:w="2629" w:type="dxa"/>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招标文件修改发出的形式</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以补充公告或项目答疑澄清的方式在广州公共资源交易中心网站和广州国企阳光采购信息发布平台发布。</w:t>
            </w:r>
          </w:p>
        </w:tc>
      </w:tr>
      <w:tr>
        <w:tblPrEx>
          <w:tblCellMar>
            <w:top w:w="0" w:type="dxa"/>
            <w:left w:w="108" w:type="dxa"/>
            <w:bottom w:w="0" w:type="dxa"/>
            <w:right w:w="108" w:type="dxa"/>
          </w:tblCellMar>
        </w:tblPrEx>
        <w:trPr>
          <w:trHeight w:val="536"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2.3.2</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投标人确认收到招标文件修改</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时间：发出即视作收到</w:t>
            </w:r>
          </w:p>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文件修改一经在广州公共资源交易中心网站和广州国企阳光采购信息发布平台发布，视作已发放给所有投标人，无需确认。潜在投标人应自行关注招标公告公布的网站公告，招标人不再一一通知。投标人因自身贻误行为导致投标失败的，责任自负。</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构成投标文件的其他资料</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bookmarkStart w:id="6" w:name="_Toc22637080"/>
            <w:r>
              <w:rPr>
                <w:rFonts w:hint="eastAsia" w:ascii="宋体" w:hAnsi="宋体" w:eastAsia="宋体" w:cs="宋体"/>
                <w:color w:val="auto"/>
                <w:sz w:val="21"/>
                <w:szCs w:val="21"/>
                <w:highlight w:val="none"/>
              </w:rPr>
              <w:t>投标人声明、按照评标办法投标人需提交的证明资料（如有）、其它证明投标人实力的资料（如有）</w:t>
            </w:r>
            <w:bookmarkEnd w:id="6"/>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增值税税金的计算方法</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按国家税务机关的规定执行。</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3.2.3</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报价方式</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根据投标报价表自行报价</w:t>
            </w:r>
            <w:r>
              <w:rPr>
                <w:rFonts w:hint="eastAsia" w:ascii="宋体" w:hAnsi="宋体" w:eastAsia="宋体" w:cs="宋体"/>
                <w:color w:val="auto"/>
                <w:sz w:val="21"/>
                <w:szCs w:val="21"/>
                <w:highlight w:val="none"/>
              </w:rPr>
              <w:t>，精确到小数点后2位，第三位四舍五入。</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3.2.4</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最高投标限价</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w:t>
            </w:r>
          </w:p>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■有，最高投标限价：</w:t>
            </w:r>
            <w:r>
              <w:rPr>
                <w:rFonts w:hint="eastAsia" w:ascii="宋体" w:hAnsi="宋体" w:eastAsia="宋体" w:cs="宋体"/>
                <w:color w:val="auto"/>
                <w:sz w:val="21"/>
                <w:szCs w:val="21"/>
                <w:highlight w:val="none"/>
                <w:u w:val="single"/>
              </w:rPr>
              <w:t>681.818115</w:t>
            </w:r>
            <w:r>
              <w:rPr>
                <w:rFonts w:hint="eastAsia" w:ascii="宋体" w:hAnsi="宋体" w:eastAsia="宋体" w:cs="宋体"/>
                <w:color w:val="auto"/>
                <w:sz w:val="21"/>
                <w:szCs w:val="21"/>
                <w:highlight w:val="none"/>
                <w:u w:val="single"/>
                <w:lang w:val="en-US" w:eastAsia="zh-CN"/>
              </w:rPr>
              <w:t>万元</w:t>
            </w:r>
            <w:r>
              <w:rPr>
                <w:rFonts w:hint="eastAsia" w:ascii="宋体" w:hAnsi="宋体" w:eastAsia="宋体" w:cs="宋体"/>
                <w:color w:val="auto"/>
                <w:sz w:val="21"/>
                <w:szCs w:val="21"/>
                <w:highlight w:val="none"/>
                <w:u w:val="single"/>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3.2.5</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投标报价的其他要求</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1.投标人只有一个投标报价。投标人的投标报价不得高于最高投标限价。投标报价高于最高投标限价的投标将被否决。</w:t>
            </w:r>
          </w:p>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2.本合同的</w:t>
            </w:r>
            <w:r>
              <w:rPr>
                <w:rFonts w:hint="eastAsia" w:ascii="宋体" w:hAnsi="宋体" w:eastAsia="宋体" w:cs="宋体"/>
                <w:color w:val="auto"/>
                <w:sz w:val="21"/>
                <w:szCs w:val="21"/>
                <w:highlight w:val="none"/>
                <w:lang w:eastAsia="zh-CN"/>
              </w:rPr>
              <w:t>第三方检测</w:t>
            </w:r>
            <w:r>
              <w:rPr>
                <w:rFonts w:hint="eastAsia" w:ascii="宋体" w:hAnsi="宋体" w:eastAsia="宋体" w:cs="宋体"/>
                <w:color w:val="auto"/>
                <w:sz w:val="21"/>
                <w:szCs w:val="21"/>
                <w:highlight w:val="none"/>
              </w:rPr>
              <w:t>范围为本招标文件规定的全部服务范围。投标人的报价，应是其按招标文件完成</w:t>
            </w:r>
            <w:r>
              <w:rPr>
                <w:rFonts w:hint="eastAsia" w:ascii="宋体" w:hAnsi="宋体" w:eastAsia="宋体" w:cs="宋体"/>
                <w:color w:val="auto"/>
                <w:sz w:val="21"/>
                <w:szCs w:val="21"/>
                <w:highlight w:val="none"/>
                <w:lang w:eastAsia="zh-CN"/>
              </w:rPr>
              <w:t>第三方检测</w:t>
            </w:r>
            <w:r>
              <w:rPr>
                <w:rFonts w:hint="eastAsia" w:ascii="宋体" w:hAnsi="宋体" w:eastAsia="宋体" w:cs="宋体"/>
                <w:color w:val="auto"/>
                <w:sz w:val="21"/>
                <w:szCs w:val="21"/>
                <w:highlight w:val="none"/>
              </w:rPr>
              <w:t>的所有费用。投标人必须详细审阅全部招标文件,充分考虑职责和义务,全面地理解招标文件对投标报价的要求,并按招标人提出的条件及内容进行报价。</w:t>
            </w:r>
          </w:p>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3.投标人报价应包含单位在</w:t>
            </w:r>
            <w:r>
              <w:rPr>
                <w:rFonts w:hint="eastAsia" w:ascii="宋体" w:hAnsi="宋体" w:eastAsia="宋体" w:cs="宋体"/>
                <w:color w:val="auto"/>
                <w:sz w:val="21"/>
                <w:szCs w:val="21"/>
                <w:highlight w:val="none"/>
                <w:lang w:eastAsia="zh-CN"/>
              </w:rPr>
              <w:t>第三方检测</w:t>
            </w:r>
            <w:r>
              <w:rPr>
                <w:rFonts w:hint="eastAsia" w:ascii="宋体" w:hAnsi="宋体" w:eastAsia="宋体" w:cs="宋体"/>
                <w:color w:val="auto"/>
                <w:sz w:val="21"/>
                <w:szCs w:val="21"/>
                <w:highlight w:val="none"/>
              </w:rPr>
              <w:t>实施中应缴纳的一切税费。</w:t>
            </w:r>
          </w:p>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4.投标文件的报价合价全部用人民币表示。</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2520"/>
              </w:tabs>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90日历天（从投标截止之日算起），如出现异议或投诉，则投标有效期自动延长至异议或投诉处理结束，确定中标人并发放中标通知书为止。</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w:t>
            </w:r>
          </w:p>
        </w:tc>
        <w:tc>
          <w:tcPr>
            <w:tcW w:w="524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topLinePunct/>
              <w:spacing w:before="0" w:beforeAutospacing="0" w:afterAutospacing="0" w:line="360" w:lineRule="auto"/>
              <w:ind w:left="0" w:right="0"/>
              <w:rPr>
                <w:rFonts w:hint="eastAsia" w:ascii="宋体" w:hAnsi="宋体" w:eastAsia="宋体" w:cs="宋体"/>
                <w:b/>
                <w:bCs/>
                <w:color w:val="auto"/>
                <w:sz w:val="21"/>
                <w:szCs w:val="21"/>
                <w:highlight w:val="none"/>
                <w:lang w:eastAsia="zh"/>
              </w:rPr>
            </w:pPr>
            <w:r>
              <w:rPr>
                <w:rFonts w:hint="eastAsia" w:ascii="宋体" w:hAnsi="宋体" w:eastAsia="宋体" w:cs="宋体"/>
                <w:b/>
                <w:bCs/>
                <w:color w:val="auto"/>
                <w:sz w:val="21"/>
                <w:szCs w:val="21"/>
                <w:highlight w:val="none"/>
                <w:lang w:eastAsia="zh"/>
              </w:rPr>
              <w:t>□要求</w:t>
            </w:r>
          </w:p>
          <w:p>
            <w:pPr>
              <w:pStyle w:val="9"/>
              <w:keepNext w:val="0"/>
              <w:keepLines w:val="0"/>
              <w:suppressLineNumbers w:val="0"/>
              <w:topLinePunct/>
              <w:spacing w:before="0" w:beforeAutospacing="0" w:afterAutospacing="0" w:line="360" w:lineRule="auto"/>
              <w:ind w:left="0" w:right="0"/>
              <w:rPr>
                <w:rFonts w:hint="eastAsia" w:ascii="宋体" w:hAnsi="宋体" w:eastAsia="宋体" w:cs="宋体"/>
                <w:color w:val="auto"/>
                <w:sz w:val="21"/>
                <w:szCs w:val="21"/>
                <w:highlight w:val="none"/>
                <w:lang w:eastAsia="zh"/>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
              </w:rPr>
              <w:t>不要求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3.4.4</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其他可以不予退还投标保证金的情形</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修改为：</w:t>
            </w:r>
          </w:p>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（3）经查实投标人投标文件弄虚作假的。</w:t>
            </w:r>
          </w:p>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（4）投标人采用不正当的手段骗取中标经查实的。</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资格审查资料的特殊要求</w:t>
            </w:r>
          </w:p>
        </w:tc>
        <w:tc>
          <w:tcPr>
            <w:tcW w:w="524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w:t>
            </w:r>
          </w:p>
          <w:p>
            <w:pPr>
              <w:pStyle w:val="9"/>
              <w:keepNext w:val="0"/>
              <w:keepLines w:val="0"/>
              <w:suppressLineNumbers w:val="0"/>
              <w:topLinePunct/>
              <w:spacing w:before="0" w:beforeAutospacing="0" w:after="4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■有，具体要求：</w:t>
            </w:r>
            <w:r>
              <w:rPr>
                <w:rFonts w:hint="eastAsia" w:ascii="宋体" w:hAnsi="宋体" w:eastAsia="宋体" w:cs="宋体"/>
                <w:color w:val="auto"/>
                <w:sz w:val="21"/>
                <w:szCs w:val="21"/>
                <w:highlight w:val="none"/>
                <w:u w:val="single"/>
              </w:rPr>
              <w:t>投标人须知前附表1.4.1中不要求的内容，不作为资格审查内容。具体资格审查资料详见招标公告。</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3.5.2</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近年财务状况的年份要求</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年至</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年</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3.5.3</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近年承接的类似项目情况的时间要求</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日</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3.5.4</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近年发生的诉讼及仲裁情况的时间要求</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日</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是否允许递交备选投标方案</w:t>
            </w:r>
          </w:p>
        </w:tc>
        <w:tc>
          <w:tcPr>
            <w:tcW w:w="524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■不允许</w:t>
            </w:r>
          </w:p>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□允许</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210" w:leftChars="10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3.7.3（B）</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0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投标文件所附证书证件要求</w:t>
            </w:r>
          </w:p>
        </w:tc>
        <w:tc>
          <w:tcPr>
            <w:tcW w:w="524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证书证件需为原件清晰复印件</w:t>
            </w:r>
            <w:r>
              <w:rPr>
                <w:rFonts w:hint="eastAsia" w:ascii="宋体" w:hAnsi="宋体" w:eastAsia="宋体" w:cs="宋体"/>
                <w:color w:val="auto"/>
                <w:sz w:val="21"/>
                <w:szCs w:val="21"/>
                <w:highlight w:val="none"/>
                <w:lang w:val="en-US" w:eastAsia="zh-CN"/>
              </w:rPr>
              <w:t>或扫描件</w:t>
            </w:r>
            <w:r>
              <w:rPr>
                <w:rFonts w:hint="eastAsia" w:ascii="宋体" w:hAnsi="宋体" w:eastAsia="宋体" w:cs="宋体"/>
                <w:color w:val="auto"/>
                <w:sz w:val="21"/>
                <w:szCs w:val="21"/>
                <w:highlight w:val="none"/>
              </w:rPr>
              <w:t>，并采用单位数字证书，按照招标文件要求在相应位置加盖电子印章。</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210" w:leftChars="10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3.7.3（B）</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0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投标文件签字或盖章要求</w:t>
            </w:r>
          </w:p>
        </w:tc>
        <w:tc>
          <w:tcPr>
            <w:tcW w:w="524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全部采用电子文档，投标文件所附证书证件均为原件扫描件，并采用单位数字证书，按招标文件要求在相应位置加盖电子印章。投标文件中需个人签字或盖章的，应加盖个人电子印章或在线下完成后扫描上传。具体操作详见附件《 房屋建筑和市政基础设施工程全流程电子化项目专章 》。</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210" w:leftChars="10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4.1.1（B）</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0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投标文件加密要求</w:t>
            </w:r>
          </w:p>
        </w:tc>
        <w:tc>
          <w:tcPr>
            <w:tcW w:w="524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网上递交的电子投标文件须进行加密。具体操作详见《房屋建筑和市政基础设施工程全流程电子化项目专章》。</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4.1.2</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shd w:val="clear" w:color="FFFFFF" w:fill="D9D9D9"/>
              </w:rPr>
            </w:pPr>
            <w:r>
              <w:rPr>
                <w:rFonts w:hint="eastAsia" w:ascii="宋体" w:hAnsi="宋体" w:eastAsia="宋体" w:cs="宋体"/>
                <w:color w:val="auto"/>
                <w:sz w:val="21"/>
                <w:szCs w:val="21"/>
                <w:highlight w:val="none"/>
              </w:rPr>
              <w:t>封套上应载明的信息</w:t>
            </w:r>
          </w:p>
        </w:tc>
        <w:tc>
          <w:tcPr>
            <w:tcW w:w="524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如有提交投标文件光盘备用，封套上应注明如下信息：</w:t>
            </w:r>
          </w:p>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招标人名称：</w:t>
            </w:r>
            <w:r>
              <w:rPr>
                <w:rFonts w:hint="eastAsia" w:ascii="宋体" w:hAnsi="宋体" w:eastAsia="宋体" w:cs="宋体"/>
                <w:color w:val="auto"/>
                <w:sz w:val="21"/>
                <w:szCs w:val="21"/>
                <w:highlight w:val="none"/>
                <w:lang w:eastAsia="zh-CN"/>
              </w:rPr>
              <w:t>广州交投城市道路建设有限公司</w:t>
            </w:r>
          </w:p>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招标人地址：</w:t>
            </w:r>
            <w:r>
              <w:rPr>
                <w:rFonts w:hint="eastAsia" w:ascii="宋体" w:hAnsi="宋体" w:eastAsia="宋体" w:cs="宋体"/>
                <w:color w:val="auto"/>
                <w:sz w:val="21"/>
                <w:szCs w:val="21"/>
                <w:highlight w:val="none"/>
                <w:lang w:eastAsia="zh-CN"/>
              </w:rPr>
              <w:t>广州市海珠区智通广场A塔4F</w:t>
            </w:r>
          </w:p>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东南西环三滘立交市政化改造工程（二期）第三方检测</w:t>
            </w:r>
            <w:r>
              <w:rPr>
                <w:rFonts w:hint="eastAsia" w:ascii="宋体" w:hAnsi="宋体" w:eastAsia="宋体" w:cs="宋体"/>
                <w:color w:val="auto"/>
                <w:sz w:val="21"/>
                <w:szCs w:val="21"/>
                <w:highlight w:val="none"/>
              </w:rPr>
              <w:t>投标文件</w:t>
            </w:r>
          </w:p>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招标项目编号：                    </w:t>
            </w:r>
          </w:p>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投标人名称：                    </w:t>
            </w:r>
          </w:p>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投标人地址：                    </w:t>
            </w:r>
          </w:p>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u w:val="single"/>
              </w:rPr>
              <w:t xml:space="preserve">   年   月   日   时</w:t>
            </w:r>
            <w:r>
              <w:rPr>
                <w:rFonts w:hint="eastAsia" w:ascii="宋体" w:hAnsi="宋体" w:eastAsia="宋体" w:cs="宋体"/>
                <w:color w:val="auto"/>
                <w:sz w:val="21"/>
                <w:szCs w:val="21"/>
                <w:highlight w:val="none"/>
                <w:u w:val="single"/>
                <w:lang w:val="en-US" w:eastAsia="zh-CN"/>
              </w:rPr>
              <w:t xml:space="preserve">     分</w:t>
            </w:r>
            <w:r>
              <w:rPr>
                <w:rFonts w:hint="eastAsia" w:ascii="宋体" w:hAnsi="宋体" w:eastAsia="宋体" w:cs="宋体"/>
                <w:color w:val="auto"/>
                <w:sz w:val="21"/>
                <w:szCs w:val="21"/>
                <w:highlight w:val="none"/>
              </w:rPr>
              <w:t>前不得开启</w:t>
            </w:r>
          </w:p>
        </w:tc>
      </w:tr>
      <w:tr>
        <w:tblPrEx>
          <w:tblCellMar>
            <w:top w:w="0" w:type="dxa"/>
            <w:left w:w="108" w:type="dxa"/>
            <w:bottom w:w="0" w:type="dxa"/>
            <w:right w:w="108" w:type="dxa"/>
          </w:tblCellMar>
        </w:tblPrEx>
        <w:trPr>
          <w:trHeight w:val="1339"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投标截止时间</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投标截止时间</w:t>
            </w:r>
            <w:r>
              <w:rPr>
                <w:rFonts w:hint="eastAsia" w:ascii="宋体" w:hAnsi="宋体" w:eastAsia="宋体" w:cs="宋体"/>
                <w:color w:val="auto"/>
                <w:sz w:val="21"/>
                <w:szCs w:val="21"/>
                <w:highlight w:val="none"/>
                <w:u w:val="single"/>
              </w:rPr>
              <w:t>： 年  月  日  时  分</w:t>
            </w:r>
            <w:r>
              <w:rPr>
                <w:rFonts w:hint="eastAsia" w:ascii="宋体" w:hAnsi="宋体" w:eastAsia="宋体" w:cs="宋体"/>
                <w:color w:val="auto"/>
                <w:sz w:val="21"/>
                <w:szCs w:val="21"/>
                <w:highlight w:val="none"/>
              </w:rPr>
              <w:t>（北京时间）</w:t>
            </w:r>
          </w:p>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详见招标公告（具体交易活动安排详见</w:t>
            </w:r>
            <w:r>
              <w:rPr>
                <w:rFonts w:hint="eastAsia" w:ascii="宋体" w:hAnsi="宋体" w:eastAsia="宋体" w:cs="宋体"/>
                <w:color w:val="auto"/>
                <w:sz w:val="21"/>
                <w:szCs w:val="21"/>
                <w:highlight w:val="none"/>
                <w:u w:val="single"/>
                <w:lang w:eastAsia="zh-CN"/>
              </w:rPr>
              <w:t>广州交易集团有限公司（广州公共资源交易中心）</w:t>
            </w:r>
            <w:r>
              <w:rPr>
                <w:rFonts w:hint="eastAsia" w:ascii="宋体" w:hAnsi="宋体" w:eastAsia="宋体" w:cs="宋体"/>
                <w:color w:val="auto"/>
                <w:sz w:val="21"/>
                <w:szCs w:val="21"/>
                <w:highlight w:val="none"/>
                <w:u w:val="single"/>
              </w:rPr>
              <w:t>网站“交易活动安排”栏目）</w:t>
            </w:r>
            <w:r>
              <w:rPr>
                <w:rFonts w:hint="eastAsia" w:ascii="宋体" w:hAnsi="宋体" w:eastAsia="宋体" w:cs="宋体"/>
                <w:color w:val="auto"/>
                <w:sz w:val="21"/>
                <w:szCs w:val="21"/>
                <w:highlight w:val="none"/>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4.2.3</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投标文件是否退还</w:t>
            </w:r>
          </w:p>
        </w:tc>
        <w:tc>
          <w:tcPr>
            <w:tcW w:w="5245" w:type="dxa"/>
            <w:tcBorders>
              <w:top w:val="single" w:color="auto" w:sz="4" w:space="0"/>
              <w:left w:val="single" w:color="auto" w:sz="4" w:space="0"/>
              <w:bottom w:val="single" w:color="auto" w:sz="4" w:space="0"/>
              <w:right w:val="single" w:color="auto" w:sz="4" w:space="0"/>
            </w:tcBorders>
            <w:vAlign w:val="center"/>
          </w:tcPr>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■否</w:t>
            </w:r>
          </w:p>
          <w:p>
            <w:pPr>
              <w:pStyle w:val="9"/>
              <w:keepNext w:val="0"/>
              <w:keepLines w:val="0"/>
              <w:suppressLineNumbers w:val="0"/>
              <w:topLinePunct/>
              <w:spacing w:before="0" w:beforeAutospacing="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□是，退还时间：/</w:t>
            </w:r>
          </w:p>
        </w:tc>
      </w:tr>
      <w:tr>
        <w:tblPrEx>
          <w:tblCellMar>
            <w:top w:w="0" w:type="dxa"/>
            <w:left w:w="108" w:type="dxa"/>
            <w:bottom w:w="0" w:type="dxa"/>
            <w:right w:w="108" w:type="dxa"/>
          </w:tblCellMar>
        </w:tblPrEx>
        <w:trPr>
          <w:trHeight w:val="545" w:hRule="atLeast"/>
        </w:trPr>
        <w:tc>
          <w:tcPr>
            <w:tcW w:w="1165"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5.1（B）新增</w:t>
            </w:r>
          </w:p>
        </w:tc>
        <w:tc>
          <w:tcPr>
            <w:tcW w:w="2629"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开标时间和地点</w:t>
            </w:r>
          </w:p>
        </w:tc>
        <w:tc>
          <w:tcPr>
            <w:tcW w:w="5245" w:type="dxa"/>
            <w:tcBorders>
              <w:top w:val="single" w:color="auto" w:sz="4" w:space="0"/>
              <w:left w:val="single" w:color="auto" w:sz="4" w:space="0"/>
              <w:bottom w:val="nil"/>
              <w:right w:val="single" w:color="auto" w:sz="4" w:space="0"/>
            </w:tcBorders>
            <w:vAlign w:val="center"/>
          </w:tcPr>
          <w:p>
            <w:pPr>
              <w:pStyle w:val="8"/>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开标时间：同投标截止时间</w:t>
            </w:r>
          </w:p>
          <w:p>
            <w:pPr>
              <w:pStyle w:val="8"/>
              <w:keepNext w:val="0"/>
              <w:keepLines w:val="0"/>
              <w:suppressLineNumbers w:val="0"/>
              <w:spacing w:before="0" w:beforeAutospacing="0" w:after="0" w:afterAutospacing="0" w:line="360"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开标地点：</w:t>
            </w:r>
            <w:r>
              <w:rPr>
                <w:rFonts w:hint="eastAsia" w:ascii="宋体" w:hAnsi="宋体" w:eastAsia="宋体" w:cs="宋体"/>
                <w:color w:val="auto"/>
                <w:sz w:val="21"/>
                <w:szCs w:val="21"/>
                <w:highlight w:val="none"/>
                <w:lang w:eastAsia="zh-CN"/>
              </w:rPr>
              <w:t>广州交易集团有限公司（广州公共资源交易中心）</w:t>
            </w:r>
            <w:r>
              <w:rPr>
                <w:rFonts w:hint="eastAsia" w:ascii="宋体" w:hAnsi="宋体" w:eastAsia="宋体" w:cs="宋体"/>
                <w:color w:val="auto"/>
                <w:sz w:val="21"/>
                <w:szCs w:val="21"/>
                <w:highlight w:val="none"/>
              </w:rPr>
              <w:t>开标室（广州市天河区天润路333号）</w:t>
            </w:r>
          </w:p>
          <w:p>
            <w:pPr>
              <w:pStyle w:val="8"/>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具体交易活动安排详见</w:t>
            </w:r>
            <w:r>
              <w:rPr>
                <w:rFonts w:hint="eastAsia" w:ascii="宋体" w:hAnsi="宋体" w:eastAsia="宋体" w:cs="宋体"/>
                <w:color w:val="auto"/>
                <w:sz w:val="21"/>
                <w:szCs w:val="21"/>
                <w:highlight w:val="none"/>
                <w:lang w:eastAsia="zh-CN"/>
              </w:rPr>
              <w:t>广州交易集团有限公司（广州公共资源交易中心）</w:t>
            </w:r>
            <w:r>
              <w:rPr>
                <w:rFonts w:hint="eastAsia" w:ascii="宋体" w:hAnsi="宋体" w:eastAsia="宋体" w:cs="宋体"/>
                <w:color w:val="auto"/>
                <w:sz w:val="21"/>
                <w:szCs w:val="21"/>
                <w:highlight w:val="none"/>
              </w:rPr>
              <w:t>网站“交易活动安排”栏目。</w:t>
            </w:r>
          </w:p>
          <w:p>
            <w:pPr>
              <w:pStyle w:val="8"/>
              <w:keepNext w:val="0"/>
              <w:keepLines w:val="0"/>
              <w:suppressLineNumbers w:val="0"/>
              <w:spacing w:before="0" w:beforeAutospacing="0" w:after="0" w:afterAutospacing="0" w:line="360" w:lineRule="auto"/>
              <w:ind w:left="0" w:right="0" w:firstLine="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在</w:t>
            </w:r>
            <w:r>
              <w:rPr>
                <w:rFonts w:hint="eastAsia" w:ascii="宋体" w:hAnsi="宋体" w:eastAsia="宋体" w:cs="宋体"/>
                <w:color w:val="auto"/>
                <w:sz w:val="21"/>
                <w:szCs w:val="21"/>
                <w:highlight w:val="none"/>
                <w:u w:val="single"/>
                <w:lang w:eastAsia="zh-CN"/>
              </w:rPr>
              <w:t>广州交易集团有限公司（广州公共资源交易中心）</w:t>
            </w:r>
            <w:r>
              <w:rPr>
                <w:rFonts w:hint="eastAsia" w:ascii="宋体" w:hAnsi="宋体" w:eastAsia="宋体" w:cs="宋体"/>
                <w:color w:val="auto"/>
                <w:sz w:val="21"/>
                <w:szCs w:val="21"/>
                <w:highlight w:val="none"/>
                <w:u w:val="single"/>
              </w:rPr>
              <w:t>公开开标，并邀请所有投标人的法定代表人（单位负责人）或其委托代理人准时参加。开标时，投标人代表有权出席开标会，也可以自主决定不参加开标会。</w:t>
            </w:r>
          </w:p>
        </w:tc>
      </w:tr>
      <w:tr>
        <w:tblPrEx>
          <w:tblCellMar>
            <w:top w:w="0" w:type="dxa"/>
            <w:left w:w="108" w:type="dxa"/>
            <w:bottom w:w="0" w:type="dxa"/>
            <w:right w:w="108" w:type="dxa"/>
          </w:tblCellMar>
        </w:tblPrEx>
        <w:trPr>
          <w:trHeight w:val="381"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5.2（B）</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开标程序</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电子招投标项目开标按下列程序进行：</w:t>
            </w:r>
          </w:p>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5.2.1主持人按下列程序进行开标：</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（1）宣布开标纪律；</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（2）公布在投标截止时间前递交投标文件的投标人名称；</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（3）宣布开标人、唱标人、记录人、监标人等有关人员姓名；</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（4）投标人通过电子招标投标交易平台对已递交的电子投标文件进行解密，公布招标项目名称、投标人名称、投标报价、服务期限及其他内容，并记录在案；</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（5）投标人代表、招标人代表、监标人、记录人等有关人员在开标记录上签字确认；若有关人员不签字的，不影响开标程序；</w:t>
            </w:r>
          </w:p>
          <w:p>
            <w:pPr>
              <w:keepNext w:val="0"/>
              <w:keepLines w:val="0"/>
              <w:suppressLineNumbers w:val="0"/>
              <w:spacing w:before="0" w:beforeAutospacing="0" w:after="120" w:afterAutospacing="0" w:line="400" w:lineRule="exact"/>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（6）开标结束。</w:t>
            </w:r>
          </w:p>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5.2.2投标截止时间前未完成投标文件传输的或因投标人之外的原因造成投标文件未解密的，视为投标人其撤回投标文件。因投标人原因造成投标文件未解密的或未在投标截止时间后半小时解密的，视为撤销其投标文件。</w:t>
            </w:r>
          </w:p>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5.2.3开标时，两个（含两个）以上的投标人加密打包投标文件电脑机器特征码一致的，不参与下一程序，并由评标委员会否决其投标。</w:t>
            </w:r>
          </w:p>
        </w:tc>
      </w:tr>
      <w:tr>
        <w:tblPrEx>
          <w:tblCellMar>
            <w:top w:w="0" w:type="dxa"/>
            <w:left w:w="108" w:type="dxa"/>
            <w:bottom w:w="0" w:type="dxa"/>
            <w:right w:w="108" w:type="dxa"/>
          </w:tblCellMar>
        </w:tblPrEx>
        <w:trPr>
          <w:trHeight w:val="381"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leftChars="0" w:right="0" w:firstLine="21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5.3</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leftChars="0" w:right="0" w:firstLine="21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 开标异议</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leftChars="0" w:right="0" w:firstLine="210" w:firstLine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u w:val="single"/>
                <w:lang w:val="en-US" w:eastAsia="zh-CN"/>
              </w:rPr>
              <w:t>投标人对开标有异议的，应当在开标时通过电子交易系统提出，招标人应当对投标人提出的异议当场作出答复，并在电子交易系统中如实记录。参加现场开标会的投标人，对开标有异议的，应当在开标现场提出，招标人应当当场作出答复，并制作记录。</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评标委员会的组建</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评标委员会由招标人依法组建。评标委员会</w:t>
            </w:r>
            <w:r>
              <w:rPr>
                <w:rFonts w:hint="eastAsia" w:ascii="宋体" w:hAnsi="宋体" w:eastAsia="宋体" w:cs="宋体"/>
                <w:color w:val="auto"/>
                <w:sz w:val="21"/>
                <w:szCs w:val="21"/>
                <w:highlight w:val="none"/>
                <w:lang w:eastAsia="zh-CN"/>
              </w:rPr>
              <w:t>为</w:t>
            </w:r>
            <w:r>
              <w:rPr>
                <w:rFonts w:hint="eastAsia" w:ascii="宋体" w:hAnsi="宋体" w:eastAsia="宋体" w:cs="宋体"/>
                <w:color w:val="auto"/>
                <w:sz w:val="21"/>
                <w:szCs w:val="21"/>
                <w:highlight w:val="none"/>
                <w:lang w:eastAsia="zh"/>
              </w:rPr>
              <w:t>7</w:t>
            </w:r>
            <w:r>
              <w:rPr>
                <w:rFonts w:hint="eastAsia" w:ascii="宋体" w:hAnsi="宋体" w:eastAsia="宋体" w:cs="宋体"/>
                <w:color w:val="auto"/>
                <w:sz w:val="21"/>
                <w:szCs w:val="21"/>
                <w:highlight w:val="none"/>
              </w:rPr>
              <w:t>人，专家人数不得少于成员总数的三分之二。</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6.3.2</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评标委员会推荐中标候选人的人数</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推荐中标候选人：</w:t>
            </w:r>
            <w:r>
              <w:rPr>
                <w:rFonts w:hint="eastAsia" w:ascii="宋体" w:hAnsi="宋体" w:eastAsia="宋体" w:cs="宋体"/>
                <w:color w:val="auto"/>
                <w:sz w:val="21"/>
                <w:szCs w:val="21"/>
                <w:highlight w:val="none"/>
                <w:u w:val="single"/>
              </w:rPr>
              <w:t>按投标人总得分由高至低排序依次推荐前</w:t>
            </w:r>
            <w:r>
              <w:rPr>
                <w:rFonts w:hint="eastAsia" w:ascii="宋体" w:hAnsi="宋体" w:eastAsia="宋体" w:cs="宋体"/>
                <w:color w:val="auto"/>
                <w:sz w:val="21"/>
                <w:szCs w:val="21"/>
                <w:highlight w:val="none"/>
                <w:u w:val="single"/>
                <w:lang w:val="en-US" w:eastAsia="zh-CN"/>
              </w:rPr>
              <w:t>2</w:t>
            </w:r>
            <w:r>
              <w:rPr>
                <w:rFonts w:hint="eastAsia" w:ascii="宋体" w:hAnsi="宋体" w:eastAsia="宋体" w:cs="宋体"/>
                <w:color w:val="auto"/>
                <w:sz w:val="21"/>
                <w:szCs w:val="21"/>
                <w:highlight w:val="none"/>
                <w:u w:val="single"/>
              </w:rPr>
              <w:t>名为第一、二中标候选人</w:t>
            </w:r>
            <w:r>
              <w:rPr>
                <w:rFonts w:hint="eastAsia" w:ascii="宋体" w:hAnsi="宋体" w:eastAsia="宋体" w:cs="宋体"/>
                <w:color w:val="auto"/>
                <w:sz w:val="21"/>
                <w:szCs w:val="21"/>
                <w:highlight w:val="none"/>
              </w:rPr>
              <w:t>。</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0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中标候选人公示媒介及期限</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公示媒介：中国招标投标公共服务平台、广东省招标投标监管网、广州公共资源交易网和广州国企阳光采购信息发布平台</w:t>
            </w:r>
          </w:p>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公示期限：</w:t>
            </w:r>
            <w:r>
              <w:rPr>
                <w:rFonts w:hint="eastAsia" w:ascii="宋体" w:hAnsi="宋体" w:eastAsia="宋体" w:cs="宋体"/>
                <w:color w:val="auto"/>
                <w:sz w:val="21"/>
                <w:szCs w:val="21"/>
                <w:highlight w:val="none"/>
                <w:u w:val="single"/>
              </w:rPr>
              <w:t>3</w:t>
            </w:r>
            <w:r>
              <w:rPr>
                <w:rFonts w:hint="eastAsia" w:ascii="宋体" w:hAnsi="宋体" w:eastAsia="宋体" w:cs="宋体"/>
                <w:color w:val="auto"/>
                <w:sz w:val="21"/>
                <w:szCs w:val="21"/>
                <w:highlight w:val="none"/>
              </w:rPr>
              <w:t>日</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leftChars="0" w:right="0" w:firstLine="210" w:firstLine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7.2</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00" w:lineRule="exact"/>
              <w:ind w:left="0" w:leftChars="0" w:right="0" w:firstLine="21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 评标结果异议</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投标人或者其他利害关系人对评标结果有异议的，应当在中标候选人公示期间</w:t>
            </w:r>
            <w:r>
              <w:rPr>
                <w:rFonts w:hint="eastAsia" w:ascii="宋体" w:hAnsi="宋体" w:eastAsia="宋体" w:cs="宋体"/>
                <w:b/>
                <w:bCs/>
                <w:color w:val="auto"/>
                <w:sz w:val="21"/>
                <w:szCs w:val="21"/>
                <w:highlight w:val="none"/>
                <w:u w:val="single"/>
                <w:lang w:val="en-US" w:eastAsia="zh-CN"/>
              </w:rPr>
              <w:t>通过电子交易系统</w:t>
            </w:r>
            <w:r>
              <w:rPr>
                <w:rFonts w:hint="eastAsia" w:ascii="宋体" w:hAnsi="宋体" w:eastAsia="宋体" w:cs="宋体"/>
                <w:color w:val="auto"/>
                <w:sz w:val="21"/>
                <w:szCs w:val="21"/>
                <w:highlight w:val="none"/>
              </w:rPr>
              <w:t>提出</w:t>
            </w:r>
            <w:r>
              <w:rPr>
                <w:rFonts w:hint="eastAsia" w:ascii="宋体" w:hAnsi="宋体" w:eastAsia="宋体" w:cs="宋体"/>
                <w:color w:val="auto"/>
                <w:kern w:val="2"/>
                <w:sz w:val="21"/>
                <w:szCs w:val="21"/>
                <w:highlight w:val="none"/>
                <w:u w:val="single"/>
                <w:lang w:val="en-US" w:eastAsia="zh-CN" w:bidi="ar"/>
              </w:rPr>
              <w:t>，</w:t>
            </w:r>
            <w:r>
              <w:rPr>
                <w:rFonts w:hint="eastAsia" w:ascii="宋体" w:hAnsi="宋体" w:eastAsia="宋体" w:cs="宋体"/>
                <w:color w:val="auto"/>
                <w:sz w:val="21"/>
                <w:szCs w:val="21"/>
                <w:highlight w:val="none"/>
              </w:rPr>
              <w:t>招标人将在收到异议之日起 3 日内作出答复；作出答复前，将暂停招标投标活动。</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7.4</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是否授权评标委员会确定中标人</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4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p>
            <w:pPr>
              <w:keepNext w:val="0"/>
              <w:keepLines w:val="0"/>
              <w:suppressLineNumbers w:val="0"/>
              <w:spacing w:before="0" w:beforeAutospacing="0" w:after="120" w:afterAutospacing="0" w:line="44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■否</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7.6.1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是否要求中标人提交履约保证金：</w:t>
            </w:r>
          </w:p>
          <w:p>
            <w:pPr>
              <w:keepNext w:val="0"/>
              <w:keepLines w:val="0"/>
              <w:widowControl/>
              <w:suppressLineNumbers w:val="0"/>
              <w:topLinePunct w:val="0"/>
              <w:spacing w:before="0" w:beforeAutospacing="0" w:after="0" w:afterAutospacing="0" w:line="24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■要求，履约保证金的形式：</w:t>
            </w:r>
            <w:r>
              <w:rPr>
                <w:rFonts w:hint="eastAsia" w:ascii="宋体" w:hAnsi="宋体" w:eastAsia="宋体" w:cs="宋体"/>
                <w:color w:val="auto"/>
                <w:kern w:val="2"/>
                <w:sz w:val="21"/>
                <w:szCs w:val="21"/>
                <w:highlight w:val="none"/>
                <w:u w:val="single"/>
                <w:lang w:val="en-US" w:eastAsia="zh-CN" w:bidi="ar"/>
              </w:rPr>
              <w:t>转账、现金或银行保函、保证保险、担保保函</w:t>
            </w:r>
            <w:r>
              <w:rPr>
                <w:rFonts w:hint="eastAsia" w:ascii="宋体" w:hAnsi="宋体" w:eastAsia="宋体" w:cs="宋体"/>
                <w:color w:val="auto"/>
                <w:kern w:val="2"/>
                <w:sz w:val="21"/>
                <w:szCs w:val="21"/>
                <w:highlight w:val="none"/>
                <w:u w:val="single"/>
                <w:lang w:val="en-US" w:eastAsia="zh" w:bidi="ar"/>
              </w:rPr>
              <w:t>或其他合法形式</w:t>
            </w:r>
            <w:r>
              <w:rPr>
                <w:rFonts w:hint="eastAsia" w:ascii="宋体" w:hAnsi="宋体" w:eastAsia="宋体" w:cs="宋体"/>
                <w:color w:val="auto"/>
                <w:sz w:val="21"/>
                <w:szCs w:val="21"/>
                <w:highlight w:val="none"/>
              </w:rPr>
              <w:t>。</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履约保证金的金额：</w:t>
            </w:r>
            <w:r>
              <w:rPr>
                <w:rFonts w:hint="eastAsia" w:ascii="宋体" w:hAnsi="宋体" w:eastAsia="宋体" w:cs="宋体"/>
                <w:color w:val="auto"/>
                <w:sz w:val="21"/>
                <w:szCs w:val="21"/>
                <w:highlight w:val="none"/>
                <w:lang w:eastAsia="zh"/>
              </w:rPr>
              <w:t>签约合同总价的10%</w:t>
            </w:r>
          </w:p>
          <w:p>
            <w:pPr>
              <w:keepNext w:val="0"/>
              <w:keepLines w:val="0"/>
              <w:suppressLineNumbers w:val="0"/>
              <w:topLinePunct/>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不要求</w:t>
            </w:r>
          </w:p>
        </w:tc>
      </w:tr>
      <w:tr>
        <w:tblPrEx>
          <w:tblCellMar>
            <w:top w:w="0" w:type="dxa"/>
            <w:left w:w="108" w:type="dxa"/>
            <w:bottom w:w="0" w:type="dxa"/>
            <w:right w:w="108" w:type="dxa"/>
          </w:tblCellMar>
        </w:tblPrEx>
        <w:trPr>
          <w:trHeight w:val="11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是否采用电子招标投标</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120" w:afterAutospacing="0"/>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□否</w:t>
            </w:r>
          </w:p>
          <w:p>
            <w:pPr>
              <w:keepNext w:val="0"/>
              <w:keepLines w:val="0"/>
              <w:suppressLineNumbers w:val="0"/>
              <w:spacing w:before="0" w:beforeAutospacing="0" w:after="0" w:afterAutospacing="0" w:line="360" w:lineRule="auto"/>
              <w:ind w:left="40" w:leftChars="19" w:right="107" w:rightChars="5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■是，具体要求：</w:t>
            </w:r>
          </w:p>
          <w:p>
            <w:pPr>
              <w:keepNext w:val="0"/>
              <w:keepLines w:val="0"/>
              <w:suppressLineNumbers w:val="0"/>
              <w:spacing w:before="0" w:beforeAutospacing="0" w:after="0" w:afterAutospacing="0" w:line="360" w:lineRule="auto"/>
              <w:ind w:left="40" w:leftChars="19" w:right="107" w:rightChars="51"/>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1、具体操作详见广州交易集团有限公司（广州公共资源交易中心）发布的《房屋建筑和市政基础设施工程全流程电子化项目专章》（http://www.gzggzy.cn/fwznbszyjsgc/928327.jhtml）、</w:t>
            </w:r>
          </w:p>
          <w:p>
            <w:pPr>
              <w:keepNext w:val="0"/>
              <w:keepLines w:val="0"/>
              <w:suppressLineNumbers w:val="0"/>
              <w:spacing w:before="0" w:beforeAutospacing="0" w:after="0" w:afterAutospacing="0" w:line="360" w:lineRule="auto"/>
              <w:ind w:left="40" w:leftChars="19" w:right="107" w:rightChars="51"/>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2、现场提交投标文件备用光盘</w:t>
            </w:r>
          </w:p>
          <w:p>
            <w:pPr>
              <w:keepNext w:val="0"/>
              <w:keepLines w:val="0"/>
              <w:suppressLineNumbers w:val="0"/>
              <w:spacing w:before="0" w:beforeAutospacing="0" w:after="0" w:afterAutospacing="0" w:line="360" w:lineRule="auto"/>
              <w:ind w:left="40" w:leftChars="19" w:right="107" w:rightChars="51"/>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投标人将按《房屋建筑和市政基础设施工程全流程电子化项目专章》的操作方法制作的非加密的电子投标文件刻入光盘（1份），在开标现场（投标截止时间前15分钟）提交备用。刻录好的投标文件光盘密封在密封袋中，并在封口处加盖投标人单位公章。密封袋上应写明的内容见投标人须知前附表4.1.2要求。现场递交的投标文件（光盘）不得加密。光盘（投标文件）无法读取或导入的，则视为未提交备用投标文件光盘。如果投标人没有按规定通过交易平台网上递交电子投标文件的，不再接受现场提交的光盘。投标人也可不提交投标文件光盘(备用)</w:t>
            </w:r>
            <w:r>
              <w:rPr>
                <w:rFonts w:hint="eastAsia" w:ascii="宋体" w:hAnsi="宋体" w:eastAsia="宋体" w:cs="宋体"/>
                <w:color w:val="auto"/>
                <w:sz w:val="21"/>
                <w:szCs w:val="21"/>
                <w:highlight w:val="none"/>
              </w:rPr>
              <w:t>。</w:t>
            </w:r>
          </w:p>
          <w:p>
            <w:pPr>
              <w:keepNext w:val="0"/>
              <w:keepLines w:val="0"/>
              <w:suppressLineNumbers w:val="0"/>
              <w:spacing w:before="0" w:beforeAutospacing="0" w:after="0" w:afterAutospacing="0" w:line="360" w:lineRule="auto"/>
              <w:ind w:left="40" w:leftChars="19" w:right="107" w:rightChars="51"/>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3、补救方案</w:t>
            </w:r>
          </w:p>
          <w:p>
            <w:pPr>
              <w:keepNext w:val="0"/>
              <w:keepLines w:val="0"/>
              <w:suppressLineNumbers w:val="0"/>
              <w:spacing w:before="0" w:beforeAutospacing="0" w:after="0" w:afterAutospacing="0" w:line="360" w:lineRule="auto"/>
              <w:ind w:left="40" w:leftChars="19" w:right="107" w:rightChars="51"/>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（1）投标文件解密失败的补救方案：</w:t>
            </w:r>
          </w:p>
          <w:p>
            <w:pPr>
              <w:keepNext w:val="0"/>
              <w:keepLines w:val="0"/>
              <w:suppressLineNumbers w:val="0"/>
              <w:spacing w:before="0" w:beforeAutospacing="0" w:after="0" w:afterAutospacing="0" w:line="360" w:lineRule="auto"/>
              <w:ind w:left="40" w:leftChars="19" w:right="107" w:rightChars="51"/>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在规定时间内，因投标人之外原因导致的电子投标文件解密失败，在开标现场读取光盘内容，继续开标程序。评标委员会对其投标文件的评审以光盘内容为准。</w:t>
            </w:r>
          </w:p>
          <w:p>
            <w:pPr>
              <w:keepNext w:val="0"/>
              <w:keepLines w:val="0"/>
              <w:suppressLineNumbers w:val="0"/>
              <w:spacing w:before="0" w:beforeAutospacing="0" w:after="0" w:afterAutospacing="0" w:line="360" w:lineRule="auto"/>
              <w:ind w:left="40" w:leftChars="19" w:right="107" w:rightChars="51"/>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（2）评标时突发情况的补救方案</w:t>
            </w:r>
          </w:p>
          <w:p>
            <w:pPr>
              <w:keepNext w:val="0"/>
              <w:keepLines w:val="0"/>
              <w:suppressLineNumbers w:val="0"/>
              <w:spacing w:before="0" w:beforeAutospacing="0" w:after="0" w:afterAutospacing="0" w:line="360" w:lineRule="auto"/>
              <w:ind w:left="40" w:leftChars="19" w:right="107" w:rightChars="51"/>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若遇不可抗力发生（如：网络瘫痪、服务器损坏、交易系统故障短期无法恢复等因素），由评标委员会开启现场递交的全部投标文件光盘，并按光盘内容进行评审。</w:t>
            </w:r>
          </w:p>
          <w:p>
            <w:pPr>
              <w:keepNext w:val="0"/>
              <w:keepLines w:val="0"/>
              <w:suppressLineNumbers w:val="0"/>
              <w:spacing w:before="0" w:beforeAutospacing="0" w:after="120" w:afterAutospacing="0" w:line="40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（3）除发生上述情况外，开标评标均以投标人通过交易平台网上递交的电子投标文件为准。</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120" w:afterAutospacing="0" w:line="44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7874" w:type="dxa"/>
            <w:gridSpan w:val="2"/>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440" w:lineRule="exact"/>
              <w:ind w:left="0" w:right="0"/>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需要补充的其他内容</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10.1</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特别提示</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color="auto" w:fill="FFFFFF"/>
              <w:spacing w:before="120" w:beforeAutospacing="0" w:after="0" w:afterAutospacing="0" w:line="360" w:lineRule="auto"/>
              <w:ind w:left="0" w:right="0"/>
              <w:jc w:val="left"/>
              <w:rPr>
                <w:rFonts w:hint="eastAsia" w:ascii="宋体" w:hAnsi="宋体" w:eastAsia="宋体" w:cs="宋体"/>
                <w:color w:val="auto"/>
                <w:kern w:val="0"/>
                <w:sz w:val="21"/>
                <w:szCs w:val="21"/>
                <w:highlight w:val="none"/>
                <w:u w:val="none"/>
              </w:rPr>
            </w:pPr>
            <w:r>
              <w:rPr>
                <w:rFonts w:hint="eastAsia" w:ascii="宋体" w:hAnsi="宋体" w:eastAsia="宋体" w:cs="宋体"/>
                <w:color w:val="auto"/>
                <w:kern w:val="0"/>
                <w:sz w:val="21"/>
                <w:szCs w:val="21"/>
                <w:highlight w:val="none"/>
                <w:u w:val="none"/>
              </w:rPr>
              <w:t>投标人在本项目招标人的工程项目中存在下列行为的，将被拒绝</w:t>
            </w:r>
            <w:r>
              <w:rPr>
                <w:rFonts w:hint="eastAsia" w:ascii="宋体" w:hAnsi="宋体" w:eastAsia="宋体" w:cs="宋体"/>
                <w:color w:val="auto"/>
                <w:kern w:val="0"/>
                <w:sz w:val="21"/>
                <w:szCs w:val="21"/>
                <w:highlight w:val="none"/>
                <w:u w:val="none"/>
                <w:lang w:val="en-US" w:eastAsia="zh-CN"/>
              </w:rPr>
              <w:t>一年</w:t>
            </w:r>
            <w:r>
              <w:rPr>
                <w:rFonts w:hint="eastAsia" w:ascii="宋体" w:hAnsi="宋体" w:eastAsia="宋体" w:cs="宋体"/>
                <w:color w:val="auto"/>
                <w:kern w:val="0"/>
                <w:sz w:val="21"/>
                <w:szCs w:val="21"/>
                <w:highlight w:val="none"/>
                <w:u w:val="none"/>
              </w:rPr>
              <w:t>内参与我单位后续工程投标：</w:t>
            </w:r>
          </w:p>
          <w:p>
            <w:pPr>
              <w:keepNext w:val="0"/>
              <w:keepLines w:val="0"/>
              <w:widowControl/>
              <w:suppressLineNumbers w:val="0"/>
              <w:shd w:val="clear" w:color="auto" w:fill="FFFFFF"/>
              <w:spacing w:before="0" w:beforeAutospacing="0" w:after="0" w:afterAutospacing="0" w:line="400" w:lineRule="exact"/>
              <w:ind w:left="0" w:right="0" w:firstLine="420" w:firstLineChars="200"/>
              <w:rPr>
                <w:rFonts w:hint="eastAsia" w:ascii="宋体" w:hAnsi="宋体" w:eastAsia="宋体" w:cs="宋体"/>
                <w:color w:val="auto"/>
                <w:kern w:val="0"/>
                <w:sz w:val="21"/>
                <w:szCs w:val="21"/>
                <w:highlight w:val="none"/>
                <w:u w:val="none"/>
              </w:rPr>
            </w:pPr>
            <w:r>
              <w:rPr>
                <w:rFonts w:hint="eastAsia" w:ascii="宋体" w:hAnsi="宋体" w:eastAsia="宋体" w:cs="宋体"/>
                <w:color w:val="auto"/>
                <w:kern w:val="0"/>
                <w:sz w:val="21"/>
                <w:szCs w:val="21"/>
                <w:highlight w:val="none"/>
                <w:u w:val="none"/>
              </w:rPr>
              <w:t>（1）将中标工程转包或者违法分包的；</w:t>
            </w:r>
          </w:p>
          <w:p>
            <w:pPr>
              <w:keepNext w:val="0"/>
              <w:keepLines w:val="0"/>
              <w:widowControl/>
              <w:suppressLineNumbers w:val="0"/>
              <w:shd w:val="clear" w:color="auto" w:fill="FFFFFF"/>
              <w:spacing w:before="0" w:beforeAutospacing="0" w:after="0" w:afterAutospacing="0" w:line="400" w:lineRule="exact"/>
              <w:ind w:left="0" w:right="0" w:firstLine="420" w:firstLineChars="200"/>
              <w:rPr>
                <w:rFonts w:hint="eastAsia" w:ascii="宋体" w:hAnsi="宋体" w:eastAsia="宋体" w:cs="宋体"/>
                <w:color w:val="auto"/>
                <w:kern w:val="0"/>
                <w:sz w:val="21"/>
                <w:szCs w:val="21"/>
                <w:highlight w:val="none"/>
                <w:u w:val="none"/>
              </w:rPr>
            </w:pPr>
            <w:r>
              <w:rPr>
                <w:rFonts w:hint="eastAsia" w:ascii="宋体" w:hAnsi="宋体" w:eastAsia="宋体" w:cs="宋体"/>
                <w:color w:val="auto"/>
                <w:kern w:val="0"/>
                <w:sz w:val="21"/>
                <w:szCs w:val="21"/>
                <w:highlight w:val="none"/>
                <w:u w:val="none"/>
              </w:rPr>
              <w:t>（2）在中标工程中不执行质量、安全生产相关规定的，造成质量或安全事故的；</w:t>
            </w:r>
          </w:p>
          <w:p>
            <w:pPr>
              <w:keepNext w:val="0"/>
              <w:keepLines w:val="0"/>
              <w:widowControl/>
              <w:suppressLineNumbers w:val="0"/>
              <w:shd w:val="clear" w:color="auto" w:fill="FFFFFF"/>
              <w:spacing w:before="0" w:beforeAutospacing="0" w:after="0" w:afterAutospacing="0" w:line="400" w:lineRule="exact"/>
              <w:ind w:left="0" w:right="0" w:firstLine="420" w:firstLineChars="200"/>
              <w:rPr>
                <w:rFonts w:hint="eastAsia" w:ascii="宋体" w:hAnsi="宋体" w:eastAsia="宋体" w:cs="宋体"/>
                <w:color w:val="auto"/>
                <w:kern w:val="0"/>
                <w:sz w:val="21"/>
                <w:szCs w:val="21"/>
                <w:highlight w:val="none"/>
                <w:u w:val="none"/>
              </w:rPr>
            </w:pPr>
            <w:r>
              <w:rPr>
                <w:rFonts w:hint="eastAsia" w:ascii="宋体" w:hAnsi="宋体" w:eastAsia="宋体" w:cs="宋体"/>
                <w:color w:val="auto"/>
                <w:kern w:val="0"/>
                <w:sz w:val="21"/>
                <w:szCs w:val="21"/>
                <w:highlight w:val="none"/>
                <w:u w:val="none"/>
              </w:rPr>
              <w:t>（3）存在围标或串标情形的；</w:t>
            </w:r>
          </w:p>
          <w:p>
            <w:pPr>
              <w:keepNext w:val="0"/>
              <w:keepLines w:val="0"/>
              <w:suppressLineNumbers w:val="0"/>
              <w:spacing w:before="0" w:beforeAutospacing="0" w:after="120" w:afterAutospacing="0" w:line="400" w:lineRule="exact"/>
              <w:ind w:left="0" w:right="0" w:firstLine="420" w:firstLineChars="200"/>
              <w:rPr>
                <w:rFonts w:hint="eastAsia" w:ascii="宋体" w:hAnsi="宋体" w:eastAsia="宋体" w:cs="宋体"/>
                <w:color w:val="auto"/>
                <w:kern w:val="0"/>
                <w:sz w:val="21"/>
                <w:szCs w:val="21"/>
                <w:highlight w:val="none"/>
                <w:u w:val="none"/>
              </w:rPr>
            </w:pPr>
            <w:r>
              <w:rPr>
                <w:rFonts w:hint="eastAsia" w:ascii="宋体" w:hAnsi="宋体" w:eastAsia="宋体" w:cs="宋体"/>
                <w:color w:val="auto"/>
                <w:kern w:val="0"/>
                <w:sz w:val="21"/>
                <w:szCs w:val="21"/>
                <w:highlight w:val="none"/>
                <w:u w:val="none"/>
              </w:rPr>
              <w:t>（4）存在弄虚作假骗取中标情形的。</w:t>
            </w:r>
          </w:p>
          <w:p>
            <w:pPr>
              <w:keepNext w:val="0"/>
              <w:keepLines w:val="0"/>
              <w:suppressLineNumbers w:val="0"/>
              <w:spacing w:before="0" w:beforeAutospacing="0" w:after="120" w:afterAutospacing="0" w:line="400" w:lineRule="exact"/>
              <w:ind w:left="0" w:right="0" w:firstLine="420" w:firstLineChars="200"/>
              <w:rPr>
                <w:rFonts w:hint="eastAsia" w:ascii="宋体" w:hAnsi="宋体" w:eastAsia="宋体" w:cs="宋体"/>
                <w:color w:val="auto"/>
                <w:kern w:val="0"/>
                <w:sz w:val="21"/>
                <w:szCs w:val="21"/>
                <w:highlight w:val="none"/>
                <w:u w:val="none"/>
                <w:lang w:eastAsia="zh-CN"/>
              </w:rPr>
            </w:pPr>
            <w:r>
              <w:rPr>
                <w:rFonts w:hint="eastAsia" w:ascii="宋体" w:hAnsi="宋体" w:eastAsia="宋体" w:cs="宋体"/>
                <w:color w:val="auto"/>
                <w:kern w:val="0"/>
                <w:sz w:val="21"/>
                <w:szCs w:val="21"/>
                <w:highlight w:val="none"/>
                <w:u w:val="none"/>
              </w:rPr>
              <w:t>（5）为招标人提供服务过程中存在因过错行为被生效法律文书认定承担违约或侵权责任的</w:t>
            </w:r>
            <w:r>
              <w:rPr>
                <w:rFonts w:hint="eastAsia" w:ascii="宋体" w:hAnsi="宋体" w:eastAsia="宋体" w:cs="宋体"/>
                <w:color w:val="auto"/>
                <w:kern w:val="0"/>
                <w:sz w:val="21"/>
                <w:szCs w:val="21"/>
                <w:highlight w:val="none"/>
                <w:u w:val="none"/>
                <w:lang w:eastAsia="zh-CN"/>
              </w:rPr>
              <w:t>。</w:t>
            </w:r>
          </w:p>
          <w:p>
            <w:pPr>
              <w:keepNext w:val="0"/>
              <w:keepLines w:val="0"/>
              <w:suppressLineNumbers w:val="0"/>
              <w:spacing w:before="0" w:beforeAutospacing="0" w:after="120" w:afterAutospacing="0" w:line="400" w:lineRule="exact"/>
              <w:ind w:left="0" w:right="0" w:firstLine="420" w:firstLineChars="200"/>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single"/>
              </w:rPr>
              <w:t>（6）违反合同约定自行调换或未按照招标人要求及时更换</w:t>
            </w:r>
            <w:r>
              <w:rPr>
                <w:rFonts w:hint="eastAsia" w:ascii="宋体" w:hAnsi="宋体" w:eastAsia="宋体" w:cs="宋体"/>
                <w:color w:val="auto"/>
                <w:sz w:val="21"/>
                <w:szCs w:val="21"/>
                <w:highlight w:val="none"/>
                <w:u w:val="single"/>
                <w:lang w:eastAsia="zh-CN"/>
              </w:rPr>
              <w:t>项目负责人</w:t>
            </w:r>
            <w:r>
              <w:rPr>
                <w:rFonts w:hint="eastAsia" w:ascii="宋体" w:hAnsi="宋体" w:eastAsia="宋体" w:cs="宋体"/>
                <w:color w:val="auto"/>
                <w:sz w:val="21"/>
                <w:szCs w:val="21"/>
                <w:highlight w:val="none"/>
                <w:u w:val="single"/>
              </w:rPr>
              <w:t>的</w:t>
            </w:r>
            <w:r>
              <w:rPr>
                <w:rFonts w:hint="eastAsia" w:ascii="宋体" w:hAnsi="宋体" w:eastAsia="宋体" w:cs="宋体"/>
                <w:color w:val="auto"/>
                <w:sz w:val="21"/>
                <w:szCs w:val="21"/>
                <w:highlight w:val="none"/>
                <w:u w:val="single"/>
                <w:lang w:eastAsia="zh-CN"/>
              </w:rPr>
              <w:t>。</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10.2</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招标人拒绝接收其投标文件情况</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10.2.1在投标截止期后逾期上传递交电子投标文件的。</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10.3</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招标失败的情形</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10.3.1本项目采用资格后审方式，递交投标文件单位不足3名，或通过初步评审（资格评审、形式评审、响应性评审）的投标申请人不足3名时为招标失败。招标人分析招标失败原因，修正招标方案，报有关管理部门核准后，重新组织招标。</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u w:val="none"/>
              </w:rPr>
            </w:pPr>
            <w:r>
              <w:rPr>
                <w:rFonts w:hint="eastAsia" w:ascii="宋体" w:hAnsi="宋体" w:eastAsia="宋体" w:cs="宋体"/>
                <w:bCs/>
                <w:color w:val="auto"/>
                <w:sz w:val="21"/>
                <w:szCs w:val="21"/>
                <w:highlight w:val="none"/>
                <w:u w:val="none"/>
              </w:rPr>
              <w:t>10.4</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color="auto" w:fill="FFFFFF"/>
              <w:adjustRightInd w:val="0"/>
              <w:spacing w:before="0" w:beforeAutospacing="0" w:after="0" w:afterAutospacing="0" w:line="360" w:lineRule="auto"/>
              <w:ind w:left="0" w:right="0"/>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第一中标候选人放弃中标资格情形</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组织招标。</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rPr>
              <w:t>10.</w:t>
            </w:r>
            <w:r>
              <w:rPr>
                <w:rFonts w:hint="eastAsia" w:ascii="宋体" w:hAnsi="宋体" w:eastAsia="宋体" w:cs="宋体"/>
                <w:color w:val="auto"/>
                <w:sz w:val="21"/>
                <w:szCs w:val="21"/>
                <w:highlight w:val="none"/>
                <w:u w:val="none"/>
                <w:lang w:val="en-US" w:eastAsia="zh-CN"/>
              </w:rPr>
              <w:t>5</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其他费用</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Autospacing="0" w:after="120" w:afterAutospacing="0" w:line="360" w:lineRule="auto"/>
              <w:ind w:left="0" w:right="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10.5.1交易服务费：中标人按《广州市发展改革委转发省发展改革委关于规范公共资源交易服务收费及有关问题的通知》（穗发改〔2017〕811号）文件的规定，向广州交易集团有限公司（广州公共资源交易中心）代缴交易服务费，其费用包含在中标人投标报价中，招标人不另行支付。</w:t>
            </w:r>
          </w:p>
          <w:p>
            <w:pPr>
              <w:keepNext w:val="0"/>
              <w:keepLines w:val="0"/>
              <w:widowControl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10.5.2招标代理费：中标人在领取中标通知书前需向本项目招标代理机构缴纳招标代理费，招标代理费按招标人与招标代理机构签署的合同计算，最终金额具体以招标代理发出的缴费通知书为准。</w:t>
            </w:r>
            <w:r>
              <w:rPr>
                <w:rFonts w:hint="eastAsia" w:ascii="宋体" w:hAnsi="宋体" w:eastAsia="宋体" w:cs="宋体"/>
                <w:color w:val="auto"/>
                <w:sz w:val="21"/>
                <w:szCs w:val="21"/>
                <w:highlight w:val="none"/>
                <w:u w:val="none"/>
                <w:lang w:eastAsia="zh"/>
              </w:rPr>
              <w:t>公示如下：</w:t>
            </w:r>
            <w:r>
              <w:rPr>
                <w:rFonts w:hint="eastAsia" w:ascii="宋体" w:hAnsi="宋体" w:eastAsia="宋体" w:cs="宋体"/>
                <w:color w:val="auto"/>
                <w:sz w:val="21"/>
                <w:szCs w:val="21"/>
                <w:highlight w:val="none"/>
                <w:u w:val="none"/>
              </w:rPr>
              <w:t>即中标价≥500万时，A=【4.7+（B-500）*0.45%】</w:t>
            </w:r>
            <w:r>
              <w:rPr>
                <w:rFonts w:hint="eastAsia" w:ascii="宋体" w:hAnsi="宋体" w:eastAsia="宋体" w:cs="宋体"/>
                <w:color w:val="auto"/>
                <w:sz w:val="21"/>
                <w:szCs w:val="21"/>
                <w:highlight w:val="none"/>
                <w:u w:val="none"/>
                <w:lang w:val="en-US" w:eastAsia="zh-CN"/>
              </w:rPr>
              <w:t>*80%</w:t>
            </w:r>
            <w:r>
              <w:rPr>
                <w:rFonts w:hint="eastAsia" w:ascii="宋体" w:hAnsi="宋体" w:eastAsia="宋体" w:cs="宋体"/>
                <w:color w:val="auto"/>
                <w:sz w:val="21"/>
                <w:szCs w:val="21"/>
                <w:highlight w:val="none"/>
                <w:u w:val="none"/>
              </w:rPr>
              <w:t>；500万≥中标价≥100万时</w:t>
            </w:r>
            <w:r>
              <w:rPr>
                <w:rFonts w:hint="eastAsia" w:ascii="宋体" w:hAnsi="宋体" w:eastAsia="宋体" w:cs="宋体"/>
                <w:color w:val="auto"/>
                <w:kern w:val="2"/>
                <w:sz w:val="21"/>
                <w:szCs w:val="21"/>
                <w:highlight w:val="none"/>
                <w:u w:val="none"/>
                <w:lang w:val="en-US" w:eastAsia="zh-CN" w:bidi="ar"/>
              </w:rPr>
              <w:t>，</w:t>
            </w:r>
            <w:r>
              <w:rPr>
                <w:rFonts w:hint="eastAsia" w:ascii="宋体" w:hAnsi="宋体" w:eastAsia="宋体" w:cs="宋体"/>
                <w:color w:val="auto"/>
                <w:sz w:val="21"/>
                <w:szCs w:val="21"/>
                <w:highlight w:val="none"/>
                <w:u w:val="none"/>
              </w:rPr>
              <w:t>A=【1.5+（B-100）*0.8%】</w:t>
            </w:r>
            <w:r>
              <w:rPr>
                <w:rFonts w:hint="eastAsia" w:ascii="宋体" w:hAnsi="宋体" w:eastAsia="宋体" w:cs="宋体"/>
                <w:color w:val="auto"/>
                <w:sz w:val="21"/>
                <w:szCs w:val="21"/>
                <w:highlight w:val="none"/>
                <w:u w:val="none"/>
                <w:lang w:val="en-US" w:eastAsia="zh-CN"/>
              </w:rPr>
              <w:t>*80%</w:t>
            </w:r>
            <w:r>
              <w:rPr>
                <w:rFonts w:hint="eastAsia" w:ascii="宋体" w:hAnsi="宋体" w:eastAsia="宋体" w:cs="宋体"/>
                <w:color w:val="auto"/>
                <w:sz w:val="21"/>
                <w:szCs w:val="21"/>
                <w:highlight w:val="none"/>
                <w:u w:val="none"/>
              </w:rPr>
              <w:t>；</w:t>
            </w:r>
            <w:r>
              <w:rPr>
                <w:rFonts w:hint="eastAsia" w:ascii="宋体" w:hAnsi="宋体" w:eastAsia="宋体" w:cs="宋体"/>
                <w:color w:val="auto"/>
                <w:kern w:val="2"/>
                <w:sz w:val="21"/>
                <w:szCs w:val="21"/>
                <w:highlight w:val="none"/>
                <w:u w:val="none"/>
                <w:lang w:val="en-US" w:eastAsia="zh-CN" w:bidi="ar"/>
              </w:rPr>
              <w:t>中标价＜100万时，A=1.5%*B*80%   A表示代理费（单位为万元） ；B表示中标价（单位为万元）。</w:t>
            </w:r>
            <w:r>
              <w:rPr>
                <w:rFonts w:hint="eastAsia" w:ascii="宋体" w:hAnsi="宋体" w:eastAsia="宋体" w:cs="宋体"/>
                <w:color w:val="auto"/>
                <w:sz w:val="21"/>
                <w:szCs w:val="21"/>
                <w:highlight w:val="none"/>
                <w:u w:val="none"/>
              </w:rPr>
              <w:t>其费用包含在中标人投标报价中，招标人不另行支付。</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rPr>
              <w:t>10.</w:t>
            </w:r>
            <w:r>
              <w:rPr>
                <w:rFonts w:hint="eastAsia" w:ascii="宋体" w:hAnsi="宋体" w:eastAsia="宋体" w:cs="宋体"/>
                <w:color w:val="auto"/>
                <w:sz w:val="21"/>
                <w:szCs w:val="21"/>
                <w:highlight w:val="none"/>
                <w:u w:val="none"/>
                <w:lang w:val="en-US" w:eastAsia="zh-CN"/>
              </w:rPr>
              <w:t>6</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color="auto" w:fill="FFFFFF"/>
              <w:adjustRightInd w:val="0"/>
              <w:spacing w:before="0" w:beforeAutospacing="0" w:after="0" w:afterAutospacing="0"/>
              <w:ind w:left="0" w:right="0"/>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中标候选人公示要求</w:t>
            </w:r>
          </w:p>
        </w:tc>
        <w:tc>
          <w:tcPr>
            <w:tcW w:w="5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rPr>
                <w:rFonts w:hint="eastAsia" w:ascii="宋体" w:hAnsi="宋体" w:eastAsia="宋体" w:cs="宋体"/>
                <w:bCs/>
                <w:color w:val="auto"/>
                <w:sz w:val="21"/>
                <w:szCs w:val="21"/>
                <w:highlight w:val="none"/>
                <w:u w:val="none"/>
              </w:rPr>
            </w:pPr>
            <w:r>
              <w:rPr>
                <w:rFonts w:hint="eastAsia" w:ascii="宋体" w:hAnsi="宋体" w:eastAsia="宋体" w:cs="宋体"/>
                <w:bCs/>
                <w:color w:val="auto"/>
                <w:sz w:val="21"/>
                <w:szCs w:val="21"/>
                <w:highlight w:val="none"/>
                <w:u w:val="none"/>
              </w:rPr>
              <w:t>10.6.1在产生中标候选人后，招标人将中标候选人的投标文件商务部分的电子版（</w:t>
            </w:r>
            <w:r>
              <w:rPr>
                <w:rFonts w:hint="eastAsia" w:ascii="宋体" w:hAnsi="宋体" w:eastAsia="宋体" w:cs="宋体"/>
                <w:bCs/>
                <w:color w:val="auto"/>
                <w:sz w:val="21"/>
                <w:szCs w:val="21"/>
                <w:highlight w:val="none"/>
                <w:u w:val="none"/>
                <w:lang w:eastAsia="zh-CN"/>
              </w:rPr>
              <w:t>投标报价表</w:t>
            </w:r>
            <w:r>
              <w:rPr>
                <w:rFonts w:hint="eastAsia" w:ascii="宋体" w:hAnsi="宋体" w:eastAsia="宋体" w:cs="宋体"/>
                <w:bCs/>
                <w:color w:val="auto"/>
                <w:sz w:val="21"/>
                <w:szCs w:val="21"/>
                <w:highlight w:val="none"/>
                <w:u w:val="none"/>
              </w:rPr>
              <w:t>、方案等涉及商业秘密的内容除外）在</w:t>
            </w:r>
            <w:r>
              <w:rPr>
                <w:rFonts w:hint="eastAsia" w:ascii="宋体" w:hAnsi="宋体" w:eastAsia="宋体" w:cs="宋体"/>
                <w:color w:val="auto"/>
                <w:sz w:val="21"/>
                <w:szCs w:val="21"/>
                <w:highlight w:val="none"/>
                <w:u w:val="none"/>
              </w:rPr>
              <w:t>广东省招标投标监管网、</w:t>
            </w:r>
            <w:r>
              <w:rPr>
                <w:rFonts w:hint="eastAsia" w:ascii="宋体" w:hAnsi="宋体" w:eastAsia="宋体" w:cs="宋体"/>
                <w:bCs/>
                <w:color w:val="auto"/>
                <w:sz w:val="21"/>
                <w:szCs w:val="21"/>
                <w:highlight w:val="none"/>
                <w:u w:val="none"/>
              </w:rPr>
              <w:t>广州交易集团有限公司（广州公共资源交易中心）网站公开。</w:t>
            </w:r>
          </w:p>
          <w:p>
            <w:pPr>
              <w:keepNext w:val="0"/>
              <w:keepLines w:val="0"/>
              <w:suppressLineNumbers w:val="0"/>
              <w:snapToGrid w:val="0"/>
              <w:spacing w:before="0" w:beforeAutospacing="0" w:after="0" w:afterAutospacing="0" w:line="360" w:lineRule="auto"/>
              <w:ind w:left="0" w:right="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10.6.2招标人发放中标通知书后3天内，中标人需将在广州交易集团有限公司（广州公共资源交易中心）网站下载的投标文件打印，投标文件需与中标人在广州交易集团有限公司（广州公共资源交易中心）网站提交的投标文件一致。前述资料中标人需加盖公章，一正两副（加盖公章），合共3套投标文件提供给招标人，相关费用由中标人支付。</w:t>
            </w:r>
          </w:p>
          <w:p>
            <w:pPr>
              <w:pStyle w:val="23"/>
              <w:keepNext w:val="0"/>
              <w:keepLines w:val="0"/>
              <w:widowControl/>
              <w:suppressLineNumbers w:val="0"/>
              <w:shd w:val="clear" w:color="auto" w:fill="FFFFFF"/>
              <w:spacing w:before="120" w:beforeAutospacing="0" w:after="0" w:afterAutospacing="0" w:line="276" w:lineRule="auto"/>
              <w:ind w:left="0" w:right="0"/>
              <w:jc w:val="left"/>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10.6.3本项目采用电子招标投标，招标文件中要求投标人提供证明材料的复印件</w:t>
            </w:r>
            <w:r>
              <w:rPr>
                <w:rFonts w:hint="eastAsia" w:ascii="宋体" w:hAnsi="宋体" w:eastAsia="宋体" w:cs="宋体"/>
                <w:color w:val="auto"/>
                <w:sz w:val="21"/>
                <w:szCs w:val="21"/>
                <w:highlight w:val="none"/>
                <w:u w:val="none"/>
                <w:lang w:val="en-US" w:eastAsia="zh-CN"/>
              </w:rPr>
              <w:t>或扫描件</w:t>
            </w:r>
            <w:r>
              <w:rPr>
                <w:rFonts w:hint="eastAsia" w:ascii="宋体" w:hAnsi="宋体" w:eastAsia="宋体" w:cs="宋体"/>
                <w:color w:val="auto"/>
                <w:sz w:val="21"/>
                <w:szCs w:val="21"/>
                <w:highlight w:val="none"/>
                <w:u w:val="none"/>
              </w:rPr>
              <w:t>形式的，即为提供电子格式文件。</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10.7</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color="auto" w:fill="FFFFFF"/>
              <w:adjustRightInd w:val="0"/>
              <w:spacing w:before="0" w:beforeAutospacing="0" w:after="0" w:afterAutospacing="0"/>
              <w:ind w:left="0" w:right="0"/>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中标结果公告</w:t>
            </w:r>
          </w:p>
        </w:tc>
        <w:tc>
          <w:tcPr>
            <w:tcW w:w="524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suppressLineNumbers w:val="0"/>
              <w:shd w:val="clear" w:color="auto" w:fill="FFFFFF"/>
              <w:spacing w:before="120" w:beforeAutospacing="0" w:after="0" w:afterAutospacing="0" w:line="276" w:lineRule="auto"/>
              <w:ind w:left="0" w:right="0"/>
              <w:jc w:val="left"/>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lang w:val="en-US" w:eastAsia="zh-CN"/>
              </w:rPr>
              <w:t>10.7.1</w:t>
            </w:r>
            <w:r>
              <w:rPr>
                <w:rFonts w:hint="eastAsia" w:ascii="宋体" w:hAnsi="宋体" w:eastAsia="宋体" w:cs="宋体"/>
                <w:color w:val="auto"/>
                <w:sz w:val="21"/>
                <w:szCs w:val="21"/>
                <w:highlight w:val="none"/>
              </w:rPr>
              <w:t>中标结果公告：由招标人按定标原则选定中标人后，将在广州交易集团有限公司（广州公共资源交易中心）网（网址：http://www.gzggzy.cn）、广东省招标投标监管网（网址：https://www.gdzwfw.gov.cn/ztbjg-portal/#/index）和中国招标投标公共服务平台（网址：http://www.cebpubservice.com/）、广州国企阳光采购信息发布平台（https://ygcg.gzggzy.cn/p92/index.html）</w:t>
            </w:r>
            <w:r>
              <w:rPr>
                <w:rStyle w:val="20"/>
                <w:rFonts w:hint="eastAsia" w:ascii="宋体" w:hAnsi="宋体" w:eastAsia="宋体" w:cs="宋体"/>
                <w:color w:val="auto"/>
                <w:sz w:val="21"/>
                <w:szCs w:val="21"/>
                <w:highlight w:val="none"/>
              </w:rPr>
              <w:t>发布中标结果公告。）</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10.8</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color="auto" w:fill="FFFFFF"/>
              <w:adjustRightInd w:val="0"/>
              <w:spacing w:before="0" w:beforeAutospacing="0" w:after="0" w:afterAutospacing="0"/>
              <w:ind w:left="0" w:right="0"/>
              <w:jc w:val="center"/>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联合体签字盖章要求</w:t>
            </w:r>
          </w:p>
        </w:tc>
        <w:tc>
          <w:tcPr>
            <w:tcW w:w="5245"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widowControl/>
              <w:suppressLineNumbers w:val="0"/>
              <w:shd w:val="clear" w:color="auto" w:fill="FFFFFF"/>
              <w:spacing w:before="120" w:beforeAutospacing="0" w:after="0" w:afterAutospacing="0" w:line="276" w:lineRule="auto"/>
              <w:ind w:left="0" w:right="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合体签字盖章要求：①《联合体共同投标协议》必须联合体各方分别按要求进行签字或盖章；②投标人声明、投标文件封面、其他内容及落款中的“投标人”应填写联合体各方的单位全称【格式表示为：(主)XXXX公司(成)XXXX公司】，可由联合体牵头人签字或盖章即可；法定代表人身份证明及授权委托书可由联合体牵头人出具，“投标人”一栏可只填写联合体牵头人名称及签字或盖章即可；③其他资料若需要签字或盖章的均可由联合体牵头人签字或盖章。</w:t>
            </w:r>
          </w:p>
        </w:tc>
      </w:tr>
    </w:tbl>
    <w:p>
      <w:pPr>
        <w:spacing w:line="361" w:lineRule="exact"/>
        <w:rPr>
          <w:rFonts w:asciiTheme="minorEastAsia" w:hAnsiTheme="minorEastAsia" w:eastAsiaTheme="minorEastAsia"/>
          <w:color w:val="auto"/>
          <w:sz w:val="20"/>
          <w:szCs w:val="20"/>
          <w:highlight w:val="none"/>
        </w:rPr>
      </w:pPr>
    </w:p>
    <w:p>
      <w:pPr>
        <w:spacing w:line="361" w:lineRule="exact"/>
        <w:rPr>
          <w:rFonts w:asciiTheme="minorEastAsia" w:hAnsiTheme="minorEastAsia" w:eastAsiaTheme="minorEastAsia"/>
          <w:color w:val="auto"/>
          <w:sz w:val="20"/>
          <w:szCs w:val="20"/>
          <w:highlight w:val="none"/>
        </w:rPr>
      </w:pPr>
      <w:r>
        <w:rPr>
          <w:rFonts w:asciiTheme="minorEastAsia" w:hAnsiTheme="minorEastAsia" w:eastAsiaTheme="minorEastAsia"/>
          <w:color w:val="auto"/>
          <w:sz w:val="20"/>
          <w:szCs w:val="20"/>
          <w:highlight w:val="none"/>
        </w:rPr>
        <w:br w:type="page"/>
      </w:r>
    </w:p>
    <w:p>
      <w:pPr>
        <w:pStyle w:val="5"/>
        <w:rPr>
          <w:rFonts w:asciiTheme="minorEastAsia" w:hAnsiTheme="minorEastAsia" w:eastAsiaTheme="minorEastAsia"/>
          <w:color w:val="auto"/>
          <w:highlight w:val="none"/>
        </w:rPr>
      </w:pPr>
      <w:bookmarkStart w:id="7" w:name="_Toc532744082"/>
      <w:r>
        <w:rPr>
          <w:rFonts w:asciiTheme="minorEastAsia" w:hAnsiTheme="minorEastAsia" w:eastAsiaTheme="minorEastAsia"/>
          <w:color w:val="auto"/>
          <w:highlight w:val="none"/>
        </w:rPr>
        <w:t xml:space="preserve">1. </w:t>
      </w:r>
      <w:r>
        <w:rPr>
          <w:rFonts w:hint="eastAsia" w:asciiTheme="minorEastAsia" w:hAnsiTheme="minorEastAsia" w:eastAsiaTheme="minorEastAsia"/>
          <w:color w:val="auto"/>
          <w:highlight w:val="none"/>
        </w:rPr>
        <w:t>总则</w:t>
      </w:r>
      <w:bookmarkEnd w:id="7"/>
    </w:p>
    <w:p>
      <w:pPr>
        <w:pStyle w:val="6"/>
        <w:spacing w:before="48" w:beforeLines="20" w:after="48" w:afterLines="20"/>
        <w:jc w:val="left"/>
        <w:rPr>
          <w:rFonts w:asciiTheme="minorEastAsia" w:hAnsiTheme="minorEastAsia" w:eastAsiaTheme="minorEastAsia"/>
          <w:color w:val="auto"/>
          <w:highlight w:val="none"/>
        </w:rPr>
      </w:pPr>
      <w:bookmarkStart w:id="8" w:name="_Toc532744083"/>
      <w:r>
        <w:rPr>
          <w:rFonts w:asciiTheme="minorEastAsia" w:hAnsiTheme="minorEastAsia" w:eastAsiaTheme="minorEastAsia"/>
          <w:color w:val="auto"/>
          <w:highlight w:val="none"/>
        </w:rPr>
        <w:t xml:space="preserve">1.1 </w:t>
      </w:r>
      <w:r>
        <w:rPr>
          <w:rFonts w:hint="eastAsia" w:asciiTheme="minorEastAsia" w:hAnsiTheme="minorEastAsia" w:eastAsiaTheme="minorEastAsia"/>
          <w:color w:val="auto"/>
          <w:highlight w:val="none"/>
        </w:rPr>
        <w:t>招标项目概况</w:t>
      </w:r>
      <w:bookmarkEnd w:id="8"/>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1.1.1 </w:t>
      </w:r>
      <w:r>
        <w:rPr>
          <w:rFonts w:hint="eastAsia" w:asciiTheme="minorEastAsia" w:hAnsiTheme="minorEastAsia" w:eastAsiaTheme="minorEastAsia"/>
          <w:color w:val="auto"/>
          <w:highlight w:val="none"/>
        </w:rPr>
        <w:t>根据《中华人民共和国招标投标法》、《中华人民共和国招标投标法实施条例》等有关法律、法规和规章的规定，本招标项目已具备招标条件，现对</w:t>
      </w:r>
      <w:r>
        <w:rPr>
          <w:rFonts w:hint="eastAsia" w:asciiTheme="minorEastAsia" w:hAnsiTheme="minorEastAsia" w:eastAsiaTheme="minorEastAsia"/>
          <w:color w:val="auto"/>
          <w:highlight w:val="none"/>
          <w:u w:val="single"/>
        </w:rPr>
        <w:t>该项目</w:t>
      </w:r>
      <w:r>
        <w:rPr>
          <w:rFonts w:hint="eastAsia" w:asciiTheme="minorEastAsia" w:hAnsiTheme="minorEastAsia" w:eastAsiaTheme="minorEastAsia"/>
          <w:color w:val="auto"/>
          <w:highlight w:val="none"/>
        </w:rPr>
        <w:t>进行招标。</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1.1.2 </w:t>
      </w:r>
      <w:r>
        <w:rPr>
          <w:rFonts w:hint="eastAsia" w:asciiTheme="minorEastAsia" w:hAnsiTheme="minorEastAsia" w:eastAsiaTheme="minorEastAsia"/>
          <w:color w:val="auto"/>
          <w:highlight w:val="none"/>
        </w:rPr>
        <w:t>招标人：见投标人须知前附表。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1.1.3 </w:t>
      </w:r>
      <w:r>
        <w:rPr>
          <w:rFonts w:hint="eastAsia" w:asciiTheme="minorEastAsia" w:hAnsiTheme="minorEastAsia" w:eastAsiaTheme="minorEastAsia"/>
          <w:color w:val="auto"/>
          <w:highlight w:val="none"/>
        </w:rPr>
        <w:t>招标代理机构：见投标人须知前附表。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1.1.4 </w:t>
      </w:r>
      <w:r>
        <w:rPr>
          <w:rFonts w:hint="eastAsia" w:asciiTheme="minorEastAsia" w:hAnsiTheme="minorEastAsia" w:eastAsiaTheme="minorEastAsia"/>
          <w:color w:val="auto"/>
          <w:highlight w:val="none"/>
        </w:rPr>
        <w:t>招标项目名称：见投标人须知前附表。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1.1.5 </w:t>
      </w:r>
      <w:r>
        <w:rPr>
          <w:rFonts w:hint="eastAsia" w:asciiTheme="minorEastAsia" w:hAnsiTheme="minorEastAsia" w:eastAsiaTheme="minorEastAsia"/>
          <w:color w:val="auto"/>
          <w:highlight w:val="none"/>
        </w:rPr>
        <w:t>项目建设地点：见投标人须知前附表。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1.1.6 </w:t>
      </w:r>
      <w:r>
        <w:rPr>
          <w:rFonts w:hint="eastAsia" w:asciiTheme="minorEastAsia" w:hAnsiTheme="minorEastAsia" w:eastAsiaTheme="minorEastAsia"/>
          <w:color w:val="auto"/>
          <w:highlight w:val="none"/>
        </w:rPr>
        <w:t>项目建设规模：见投标人须知前附表。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1.1.7 </w:t>
      </w:r>
      <w:r>
        <w:rPr>
          <w:rFonts w:hint="eastAsia" w:asciiTheme="minorEastAsia" w:hAnsiTheme="minorEastAsia" w:eastAsiaTheme="minorEastAsia" w:cstheme="minorEastAsia"/>
          <w:color w:val="auto"/>
          <w:szCs w:val="21"/>
          <w:highlight w:val="none"/>
        </w:rPr>
        <w:t>计划工期</w:t>
      </w:r>
      <w:r>
        <w:rPr>
          <w:rFonts w:hint="eastAsia" w:asciiTheme="minorEastAsia" w:hAnsiTheme="minorEastAsia" w:eastAsiaTheme="minorEastAsia"/>
          <w:color w:val="auto"/>
          <w:highlight w:val="none"/>
        </w:rPr>
        <w:t>：见投标人须知前附表。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1.1.8 </w:t>
      </w:r>
      <w:r>
        <w:rPr>
          <w:rFonts w:hint="eastAsia" w:asciiTheme="minorEastAsia" w:hAnsiTheme="minorEastAsia" w:eastAsiaTheme="minorEastAsia"/>
          <w:color w:val="auto"/>
          <w:highlight w:val="none"/>
        </w:rPr>
        <w:t>建筑安装工程费</w:t>
      </w:r>
      <w:r>
        <w:rPr>
          <w:rFonts w:asciiTheme="minorEastAsia" w:hAnsiTheme="minorEastAsia" w:eastAsiaTheme="minorEastAsia"/>
          <w:color w:val="auto"/>
          <w:highlight w:val="none"/>
        </w:rPr>
        <w:t>/工程概算：见投标人须知前附表。</w:t>
      </w:r>
    </w:p>
    <w:p>
      <w:pPr>
        <w:pStyle w:val="6"/>
        <w:spacing w:before="48" w:beforeLines="20" w:after="48" w:afterLines="20"/>
        <w:jc w:val="left"/>
        <w:rPr>
          <w:rFonts w:asciiTheme="minorEastAsia" w:hAnsiTheme="minorEastAsia" w:eastAsiaTheme="minorEastAsia"/>
          <w:color w:val="auto"/>
          <w:highlight w:val="none"/>
        </w:rPr>
      </w:pPr>
      <w:bookmarkStart w:id="9" w:name="_Toc532744084"/>
      <w:r>
        <w:rPr>
          <w:rFonts w:asciiTheme="minorEastAsia" w:hAnsiTheme="minorEastAsia" w:eastAsiaTheme="minorEastAsia"/>
          <w:color w:val="auto"/>
          <w:highlight w:val="none"/>
        </w:rPr>
        <w:t xml:space="preserve">1.2 </w:t>
      </w:r>
      <w:r>
        <w:rPr>
          <w:rFonts w:hint="eastAsia" w:asciiTheme="minorEastAsia" w:hAnsiTheme="minorEastAsia" w:eastAsiaTheme="minorEastAsia"/>
          <w:color w:val="auto"/>
          <w:highlight w:val="none"/>
        </w:rPr>
        <w:t>招标项目的资金来源和落实情况</w:t>
      </w:r>
      <w:bookmarkEnd w:id="9"/>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1.2.1 </w:t>
      </w:r>
      <w:r>
        <w:rPr>
          <w:rFonts w:hint="eastAsia" w:asciiTheme="minorEastAsia" w:hAnsiTheme="minorEastAsia" w:eastAsiaTheme="minorEastAsia"/>
          <w:color w:val="auto"/>
          <w:highlight w:val="none"/>
        </w:rPr>
        <w:t>资金来源及比例：见投标人须知前附表。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1.2.2 </w:t>
      </w:r>
      <w:r>
        <w:rPr>
          <w:rFonts w:hint="eastAsia" w:asciiTheme="minorEastAsia" w:hAnsiTheme="minorEastAsia" w:eastAsiaTheme="minorEastAsia"/>
          <w:color w:val="auto"/>
          <w:highlight w:val="none"/>
        </w:rPr>
        <w:t>资金落实情况：见投标人须知前附表。</w:t>
      </w:r>
    </w:p>
    <w:p>
      <w:pPr>
        <w:pStyle w:val="6"/>
        <w:spacing w:before="48" w:beforeLines="20" w:after="48" w:afterLines="20"/>
        <w:jc w:val="left"/>
        <w:rPr>
          <w:rFonts w:asciiTheme="minorEastAsia" w:hAnsiTheme="minorEastAsia" w:eastAsiaTheme="minorEastAsia"/>
          <w:color w:val="auto"/>
          <w:highlight w:val="none"/>
        </w:rPr>
      </w:pPr>
      <w:bookmarkStart w:id="10" w:name="_Toc532744085"/>
      <w:r>
        <w:rPr>
          <w:rFonts w:asciiTheme="minorEastAsia" w:hAnsiTheme="minorEastAsia" w:eastAsiaTheme="minorEastAsia"/>
          <w:color w:val="auto"/>
          <w:highlight w:val="none"/>
        </w:rPr>
        <w:t xml:space="preserve">1.3 </w:t>
      </w:r>
      <w:r>
        <w:rPr>
          <w:rFonts w:hint="eastAsia" w:asciiTheme="minorEastAsia" w:hAnsiTheme="minorEastAsia" w:eastAsiaTheme="minorEastAsia"/>
          <w:color w:val="auto"/>
          <w:highlight w:val="none"/>
        </w:rPr>
        <w:t>招标范围、服务期限和质量标准</w:t>
      </w:r>
      <w:bookmarkEnd w:id="10"/>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1.3.1 </w:t>
      </w:r>
      <w:r>
        <w:rPr>
          <w:rFonts w:hint="eastAsia" w:asciiTheme="minorEastAsia" w:hAnsiTheme="minorEastAsia" w:eastAsiaTheme="minorEastAsia"/>
          <w:color w:val="auto"/>
          <w:highlight w:val="none"/>
        </w:rPr>
        <w:t>招标范围：见投标人须知前附表。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1.3.2 </w:t>
      </w:r>
      <w:r>
        <w:rPr>
          <w:rFonts w:hint="eastAsia" w:asciiTheme="minorEastAsia" w:hAnsiTheme="minorEastAsia" w:eastAsiaTheme="minorEastAsia"/>
          <w:color w:val="auto"/>
          <w:highlight w:val="none"/>
        </w:rPr>
        <w:t>服务期限：见投标人须知前附表。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1.3.3 </w:t>
      </w:r>
      <w:r>
        <w:rPr>
          <w:rFonts w:hint="eastAsia" w:asciiTheme="minorEastAsia" w:hAnsiTheme="minorEastAsia" w:eastAsiaTheme="minorEastAsia"/>
          <w:color w:val="auto"/>
          <w:highlight w:val="none"/>
        </w:rPr>
        <w:t>质量标准：见投标人须知前附表。</w:t>
      </w:r>
    </w:p>
    <w:p>
      <w:pPr>
        <w:pStyle w:val="6"/>
        <w:spacing w:before="48" w:beforeLines="20" w:after="48" w:afterLines="20"/>
        <w:jc w:val="left"/>
        <w:rPr>
          <w:rFonts w:asciiTheme="minorEastAsia" w:hAnsiTheme="minorEastAsia" w:eastAsiaTheme="minorEastAsia"/>
          <w:color w:val="auto"/>
          <w:highlight w:val="none"/>
        </w:rPr>
      </w:pPr>
      <w:bookmarkStart w:id="11" w:name="_Toc532744086"/>
      <w:r>
        <w:rPr>
          <w:rFonts w:asciiTheme="minorEastAsia" w:hAnsiTheme="minorEastAsia" w:eastAsiaTheme="minorEastAsia"/>
          <w:color w:val="auto"/>
          <w:highlight w:val="none"/>
        </w:rPr>
        <w:t xml:space="preserve">1.4 </w:t>
      </w:r>
      <w:r>
        <w:rPr>
          <w:rFonts w:hint="eastAsia" w:asciiTheme="minorEastAsia" w:hAnsiTheme="minorEastAsia" w:eastAsiaTheme="minorEastAsia"/>
          <w:color w:val="auto"/>
          <w:highlight w:val="none"/>
        </w:rPr>
        <w:t>投标人资格要求</w:t>
      </w:r>
      <w:bookmarkEnd w:id="11"/>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1.4.1 </w:t>
      </w:r>
      <w:r>
        <w:rPr>
          <w:rFonts w:hint="eastAsia" w:asciiTheme="minorEastAsia" w:hAnsiTheme="minorEastAsia" w:eastAsiaTheme="minorEastAsia"/>
          <w:color w:val="auto"/>
          <w:highlight w:val="none"/>
        </w:rPr>
        <w:t>投标人应具备承担本招标项目资质条件、能力和信誉：</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1）资质要求：见投标人须知前附表；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2）财务要求：见投标人须知前附表；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3）业绩要求：见投标人须知前附表；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4）信誉要求：见投标人须知前附表；</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5）</w:t>
      </w:r>
      <w:r>
        <w:rPr>
          <w:rFonts w:hint="eastAsia" w:asciiTheme="minorEastAsia" w:hAnsiTheme="minorEastAsia" w:eastAsiaTheme="minorEastAsia"/>
          <w:color w:val="auto"/>
          <w:szCs w:val="21"/>
          <w:highlight w:val="none"/>
          <w:u w:val="single"/>
        </w:rPr>
        <w:t>项目负责人</w:t>
      </w:r>
      <w:r>
        <w:rPr>
          <w:rFonts w:hint="eastAsia" w:asciiTheme="minorEastAsia" w:hAnsiTheme="minorEastAsia" w:eastAsiaTheme="minorEastAsia"/>
          <w:color w:val="auto"/>
          <w:highlight w:val="none"/>
        </w:rPr>
        <w:t>的资格要求：</w:t>
      </w:r>
      <w:r>
        <w:rPr>
          <w:rFonts w:hint="eastAsia" w:asciiTheme="minorEastAsia" w:hAnsiTheme="minorEastAsia" w:eastAsiaTheme="minorEastAsia"/>
          <w:color w:val="auto"/>
          <w:highlight w:val="none"/>
          <w:u w:val="single"/>
        </w:rPr>
        <w:t>见投标人须知前附表；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6）其他主要人员要求：见投标人须知前附表。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7）试验检测仪器设备要求：见投标人须知前附表。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8）其他要求：见投标人须知前附表。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需要提交的相关证明材料见本章第</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3.5款的规定。</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1.4.2 </w:t>
      </w:r>
      <w:r>
        <w:rPr>
          <w:rFonts w:hint="eastAsia" w:asciiTheme="minorEastAsia" w:hAnsiTheme="minorEastAsia" w:eastAsiaTheme="minorEastAsia"/>
          <w:color w:val="auto"/>
          <w:highlight w:val="none"/>
        </w:rPr>
        <w:t>投标人须知前附表规定接受联合体投标的，联合体除应符合本章第</w:t>
      </w:r>
      <w:r>
        <w:rPr>
          <w:rFonts w:asciiTheme="minorEastAsia" w:hAnsiTheme="minorEastAsia" w:eastAsiaTheme="minorEastAsia"/>
          <w:color w:val="auto"/>
          <w:highlight w:val="none"/>
        </w:rPr>
        <w:t xml:space="preserve"> 1.4.1 </w:t>
      </w:r>
      <w:r>
        <w:rPr>
          <w:rFonts w:hint="eastAsia" w:asciiTheme="minorEastAsia" w:hAnsiTheme="minorEastAsia" w:eastAsiaTheme="minorEastAsia"/>
          <w:color w:val="auto"/>
          <w:highlight w:val="none"/>
        </w:rPr>
        <w:t>项和投标人须知前附表的要求外，还应遵守以下规定：</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（1）联合体各方应按招标文件提供的格式签订联合体协议书，明确联合体牵头人和各方权利义务，并承诺就中标项目向招标人承担连带责任；</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（2）由同一专业的单位组成的联合体，按照资质等级较低的单位确定资质等级；</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（3）联合体各方不得再以自己名义单独或参加其他联合体在本招标项目中投标，否则各相关投标均无效。</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1.4.3 </w:t>
      </w:r>
      <w:r>
        <w:rPr>
          <w:rFonts w:hint="eastAsia" w:asciiTheme="minorEastAsia" w:hAnsiTheme="minorEastAsia" w:eastAsiaTheme="minorEastAsia"/>
          <w:color w:val="auto"/>
          <w:highlight w:val="none"/>
        </w:rPr>
        <w:t>投标人不得存在下列情形之一：</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（1）为招标人不具有独立法人资格的附属机构（单位）；</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（2）与招标人存在利害关系且可能影响招标公正性；</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（3）与本招标项目的其他投标人为同一个单位负责人；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（4）与本招标项目的其他投标人存在控股、管理关系；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（5）为本招标项目的代建人；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（6）为本招标项目的招标代理机构；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（7）与本招标项目的代建人或招标代理机构同为一个法定代表人；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（8）与本招标项目的代建人或招标代理机构存在控股或参股关系；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（9）与本招标项目的施工承包人以及建筑材料、建筑构配件和设备供应商有隶属关系或者其他利害关系；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（10）被依法暂停或者取消投标资格；</w:t>
      </w:r>
      <w:r>
        <w:rPr>
          <w:rFonts w:hint="eastAsia" w:ascii="宋体" w:hAnsi="宋体" w:eastAsia="宋体" w:cs="宋体"/>
          <w:color w:val="auto"/>
          <w:sz w:val="21"/>
          <w:szCs w:val="21"/>
          <w:highlight w:val="none"/>
          <w:u w:val="single"/>
        </w:rPr>
        <w:t>（本项事实应当以根据《中华人民共和国行政处罚法》依法作出并已经生效的行政处罚决定为认定依据。行政处罚决定中已经明确的暂停或取消投标资格的区域范围不包含本标段建设地点的，不受该项规定限制）</w:t>
      </w:r>
    </w:p>
    <w:p>
      <w:pPr>
        <w:spacing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（11）被责令停产停业、暂扣或者吊销许可证、暂扣或者吊销执照；</w:t>
      </w:r>
      <w:r>
        <w:rPr>
          <w:rFonts w:hint="eastAsia" w:ascii="宋体" w:hAnsi="宋体" w:eastAsia="宋体" w:cs="宋体"/>
          <w:color w:val="auto"/>
          <w:sz w:val="21"/>
          <w:szCs w:val="21"/>
          <w:highlight w:val="none"/>
          <w:u w:val="single"/>
        </w:rPr>
        <w:t>（本项事实应当以根据《中华人民共和国行政处罚法》依法作出并已经生效的行政处罚决定为认定依据。）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（12）进入清算程序，或被宣告破产，或其他丧失履约能力的情形；</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（13）在最近三年内发生重大</w:t>
      </w:r>
      <w:r>
        <w:rPr>
          <w:rFonts w:hint="eastAsia" w:ascii="宋体" w:hAnsi="宋体" w:eastAsia="宋体" w:cs="宋体"/>
          <w:color w:val="auto"/>
          <w:sz w:val="21"/>
          <w:szCs w:val="21"/>
          <w:highlight w:val="none"/>
          <w:lang w:eastAsia="zh"/>
        </w:rPr>
        <w:t>检测</w:t>
      </w:r>
      <w:r>
        <w:rPr>
          <w:rFonts w:hint="eastAsia" w:ascii="宋体" w:hAnsi="宋体" w:eastAsia="宋体" w:cs="宋体"/>
          <w:color w:val="auto"/>
          <w:sz w:val="21"/>
          <w:szCs w:val="21"/>
          <w:highlight w:val="none"/>
        </w:rPr>
        <w:t>质量问题（以相关行业主管部门的行政处罚决定或司法机关出具的有关法律文书为准；</w:t>
      </w:r>
      <w:r>
        <w:rPr>
          <w:rFonts w:hint="eastAsia" w:ascii="宋体" w:hAnsi="宋体" w:eastAsia="宋体" w:cs="宋体"/>
          <w:color w:val="auto"/>
          <w:sz w:val="21"/>
          <w:szCs w:val="21"/>
          <w:highlight w:val="none"/>
          <w:u w:val="single"/>
        </w:rPr>
        <w:t>“最近三年”是指从投标截止时间之日起逆推三年，以相关行业主管部门、司法机关出具的生效文件的落款时间起计算）；</w:t>
      </w:r>
    </w:p>
    <w:p>
      <w:pPr>
        <w:spacing w:line="360" w:lineRule="auto"/>
        <w:ind w:firstLine="420" w:firstLineChars="200"/>
        <w:rPr>
          <w:rFonts w:asciiTheme="minorEastAsia" w:hAnsiTheme="minorEastAsia" w:eastAsiaTheme="minorEastAsia"/>
          <w:color w:val="auto"/>
          <w:highlight w:val="none"/>
        </w:rPr>
      </w:pPr>
      <w:r>
        <w:rPr>
          <w:rFonts w:hint="eastAsia" w:ascii="宋体" w:hAnsi="宋体" w:eastAsia="宋体" w:cs="宋体"/>
          <w:color w:val="auto"/>
          <w:sz w:val="21"/>
          <w:szCs w:val="21"/>
          <w:highlight w:val="none"/>
        </w:rPr>
        <w:t>（14）法律法规或投标人须知前附表规定的其他情形。</w:t>
      </w:r>
    </w:p>
    <w:p>
      <w:pPr>
        <w:pStyle w:val="6"/>
        <w:spacing w:before="48" w:beforeLines="20" w:after="48" w:afterLines="20"/>
        <w:jc w:val="left"/>
        <w:rPr>
          <w:rFonts w:asciiTheme="minorEastAsia" w:hAnsiTheme="minorEastAsia" w:eastAsiaTheme="minorEastAsia"/>
          <w:color w:val="auto"/>
          <w:highlight w:val="none"/>
        </w:rPr>
      </w:pPr>
      <w:bookmarkStart w:id="12" w:name="_Toc532744087"/>
      <w:r>
        <w:rPr>
          <w:rFonts w:asciiTheme="minorEastAsia" w:hAnsiTheme="minorEastAsia" w:eastAsiaTheme="minorEastAsia"/>
          <w:color w:val="auto"/>
          <w:highlight w:val="none"/>
        </w:rPr>
        <w:t xml:space="preserve">1.5 </w:t>
      </w:r>
      <w:r>
        <w:rPr>
          <w:rFonts w:hint="eastAsia" w:asciiTheme="minorEastAsia" w:hAnsiTheme="minorEastAsia" w:eastAsiaTheme="minorEastAsia"/>
          <w:color w:val="auto"/>
          <w:highlight w:val="none"/>
        </w:rPr>
        <w:t>费用承担</w:t>
      </w:r>
      <w:bookmarkEnd w:id="12"/>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投标人准备和参加投标活动发生的费用自理。</w:t>
      </w:r>
    </w:p>
    <w:p>
      <w:pPr>
        <w:pStyle w:val="6"/>
        <w:spacing w:before="48" w:beforeLines="20" w:after="48" w:afterLines="20"/>
        <w:jc w:val="left"/>
        <w:rPr>
          <w:rFonts w:asciiTheme="minorEastAsia" w:hAnsiTheme="minorEastAsia" w:eastAsiaTheme="minorEastAsia"/>
          <w:color w:val="auto"/>
          <w:highlight w:val="none"/>
        </w:rPr>
      </w:pPr>
      <w:bookmarkStart w:id="13" w:name="_Toc532744088"/>
      <w:r>
        <w:rPr>
          <w:rFonts w:asciiTheme="minorEastAsia" w:hAnsiTheme="minorEastAsia" w:eastAsiaTheme="minorEastAsia"/>
          <w:color w:val="auto"/>
          <w:highlight w:val="none"/>
        </w:rPr>
        <w:t xml:space="preserve">1.6 </w:t>
      </w:r>
      <w:r>
        <w:rPr>
          <w:rFonts w:hint="eastAsia" w:asciiTheme="minorEastAsia" w:hAnsiTheme="minorEastAsia" w:eastAsiaTheme="minorEastAsia"/>
          <w:color w:val="auto"/>
          <w:highlight w:val="none"/>
        </w:rPr>
        <w:t>保密</w:t>
      </w:r>
      <w:bookmarkEnd w:id="13"/>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参与招标投标活动的各方应对招标文件和投标文件中的商业和技术等秘密保密，否则应承担相应的法律责任。</w:t>
      </w:r>
    </w:p>
    <w:p>
      <w:pPr>
        <w:pStyle w:val="6"/>
        <w:spacing w:before="48" w:beforeLines="20" w:after="48" w:afterLines="20"/>
        <w:jc w:val="left"/>
        <w:rPr>
          <w:rFonts w:asciiTheme="minorEastAsia" w:hAnsiTheme="minorEastAsia" w:eastAsiaTheme="minorEastAsia"/>
          <w:color w:val="auto"/>
          <w:highlight w:val="none"/>
        </w:rPr>
      </w:pPr>
      <w:bookmarkStart w:id="14" w:name="_Toc532744089"/>
      <w:r>
        <w:rPr>
          <w:rFonts w:asciiTheme="minorEastAsia" w:hAnsiTheme="minorEastAsia" w:eastAsiaTheme="minorEastAsia"/>
          <w:color w:val="auto"/>
          <w:highlight w:val="none"/>
        </w:rPr>
        <w:t xml:space="preserve">1.7 </w:t>
      </w:r>
      <w:r>
        <w:rPr>
          <w:rFonts w:hint="eastAsia" w:asciiTheme="minorEastAsia" w:hAnsiTheme="minorEastAsia" w:eastAsiaTheme="minorEastAsia"/>
          <w:color w:val="auto"/>
          <w:highlight w:val="none"/>
        </w:rPr>
        <w:t>语言文字</w:t>
      </w:r>
      <w:bookmarkEnd w:id="14"/>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招标投标文件使用的语言文字为中文。专用术语使用外文的，应附有中文注释。</w:t>
      </w:r>
    </w:p>
    <w:p>
      <w:pPr>
        <w:pStyle w:val="6"/>
        <w:spacing w:before="48" w:beforeLines="20" w:after="48" w:afterLines="20"/>
        <w:jc w:val="left"/>
        <w:rPr>
          <w:rFonts w:asciiTheme="minorEastAsia" w:hAnsiTheme="minorEastAsia" w:eastAsiaTheme="minorEastAsia"/>
          <w:color w:val="auto"/>
          <w:highlight w:val="none"/>
        </w:rPr>
      </w:pPr>
      <w:bookmarkStart w:id="15" w:name="_Toc532744090"/>
      <w:r>
        <w:rPr>
          <w:rFonts w:asciiTheme="minorEastAsia" w:hAnsiTheme="minorEastAsia" w:eastAsiaTheme="minorEastAsia"/>
          <w:color w:val="auto"/>
          <w:highlight w:val="none"/>
        </w:rPr>
        <w:t xml:space="preserve">1.8 </w:t>
      </w:r>
      <w:r>
        <w:rPr>
          <w:rFonts w:hint="eastAsia" w:asciiTheme="minorEastAsia" w:hAnsiTheme="minorEastAsia" w:eastAsiaTheme="minorEastAsia"/>
          <w:color w:val="auto"/>
          <w:highlight w:val="none"/>
        </w:rPr>
        <w:t>计量单位</w:t>
      </w:r>
      <w:bookmarkEnd w:id="15"/>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所有计量均采用中华人民共和国法定计量单位。</w:t>
      </w:r>
    </w:p>
    <w:p>
      <w:pPr>
        <w:pStyle w:val="6"/>
        <w:spacing w:before="48" w:beforeLines="20" w:after="48" w:afterLines="20"/>
        <w:jc w:val="left"/>
        <w:rPr>
          <w:rFonts w:asciiTheme="minorEastAsia" w:hAnsiTheme="minorEastAsia" w:eastAsiaTheme="minorEastAsia"/>
          <w:color w:val="auto"/>
          <w:highlight w:val="none"/>
        </w:rPr>
      </w:pPr>
      <w:bookmarkStart w:id="16" w:name="_Toc532744091"/>
      <w:r>
        <w:rPr>
          <w:rFonts w:asciiTheme="minorEastAsia" w:hAnsiTheme="minorEastAsia" w:eastAsiaTheme="minorEastAsia"/>
          <w:color w:val="auto"/>
          <w:highlight w:val="none"/>
        </w:rPr>
        <w:t xml:space="preserve">1.9 </w:t>
      </w:r>
      <w:r>
        <w:rPr>
          <w:rFonts w:hint="eastAsia" w:asciiTheme="minorEastAsia" w:hAnsiTheme="minorEastAsia" w:eastAsiaTheme="minorEastAsia"/>
          <w:color w:val="auto"/>
          <w:highlight w:val="none"/>
        </w:rPr>
        <w:t>踏勘现场</w:t>
      </w:r>
      <w:bookmarkEnd w:id="16"/>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1.9.1 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1.9.2 投标人踏勘现场发生的费用自理。</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1.9.3 除招标人的原因外，投标人自行负责在踏勘现场中所发生的人员伤亡和财产损失。</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1.9.4 招标人在踏勘现场中介绍的工程场地和相关的周边环境情况，供投标人在编制投标文件时参考，招标人不对投标人据此作出的判断和决策负责。</w:t>
      </w:r>
    </w:p>
    <w:p>
      <w:pPr>
        <w:pStyle w:val="6"/>
        <w:spacing w:before="48" w:beforeLines="20" w:after="48" w:afterLines="20"/>
        <w:jc w:val="left"/>
        <w:rPr>
          <w:rFonts w:asciiTheme="minorEastAsia" w:hAnsiTheme="minorEastAsia" w:eastAsiaTheme="minorEastAsia"/>
          <w:color w:val="auto"/>
          <w:highlight w:val="none"/>
        </w:rPr>
      </w:pPr>
      <w:bookmarkStart w:id="17" w:name="_Toc532744092"/>
      <w:r>
        <w:rPr>
          <w:rFonts w:asciiTheme="minorEastAsia" w:hAnsiTheme="minorEastAsia" w:eastAsiaTheme="minorEastAsia"/>
          <w:color w:val="auto"/>
          <w:highlight w:val="none"/>
        </w:rPr>
        <w:t xml:space="preserve">1.10 </w:t>
      </w:r>
      <w:r>
        <w:rPr>
          <w:rFonts w:hint="eastAsia" w:asciiTheme="minorEastAsia" w:hAnsiTheme="minorEastAsia" w:eastAsiaTheme="minorEastAsia"/>
          <w:color w:val="auto"/>
          <w:highlight w:val="none"/>
        </w:rPr>
        <w:t>投标预备会</w:t>
      </w:r>
      <w:bookmarkEnd w:id="17"/>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1.10.1 投标人须知前附表规定召开投标预备会的，招标人按投标人须知前附表规定的时间和地点召开投标预备会，澄清投标人提出的问题。</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1.10.2 投标人应按投标人须知前附表规定的时间和形式将提出的问题送达招标人，以便招标人在会议期间澄清。</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1.10.3 投标预备会后，招标人将对投标人所提问题的澄清，以投标人须知前附表规定的形式通知所有购买招标文件的投标人。该澄清内容为招标文件的组成部分。</w:t>
      </w:r>
    </w:p>
    <w:p>
      <w:pPr>
        <w:pStyle w:val="6"/>
        <w:spacing w:before="48" w:beforeLines="20" w:after="48" w:afterLines="20"/>
        <w:jc w:val="left"/>
        <w:rPr>
          <w:rFonts w:asciiTheme="minorEastAsia" w:hAnsiTheme="minorEastAsia" w:eastAsiaTheme="minorEastAsia"/>
          <w:color w:val="auto"/>
          <w:highlight w:val="none"/>
        </w:rPr>
      </w:pPr>
      <w:bookmarkStart w:id="18" w:name="_Toc532744093"/>
      <w:r>
        <w:rPr>
          <w:rFonts w:asciiTheme="minorEastAsia" w:hAnsiTheme="minorEastAsia" w:eastAsiaTheme="minorEastAsia"/>
          <w:color w:val="auto"/>
          <w:highlight w:val="none"/>
        </w:rPr>
        <w:t xml:space="preserve">1.11 </w:t>
      </w:r>
      <w:r>
        <w:rPr>
          <w:rFonts w:hint="eastAsia" w:asciiTheme="minorEastAsia" w:hAnsiTheme="minorEastAsia" w:eastAsiaTheme="minorEastAsia"/>
          <w:color w:val="auto"/>
          <w:highlight w:val="none"/>
        </w:rPr>
        <w:t>分包</w:t>
      </w:r>
      <w:bookmarkEnd w:id="18"/>
    </w:p>
    <w:p>
      <w:pPr>
        <w:spacing w:line="360" w:lineRule="auto"/>
        <w:ind w:firstLine="412" w:firstLineChars="200"/>
        <w:rPr>
          <w:rFonts w:hint="eastAsia" w:ascii="宋体" w:hAnsi="宋体" w:eastAsia="宋体" w:cs="宋体"/>
          <w:color w:val="auto"/>
          <w:spacing w:val="-2"/>
          <w:sz w:val="21"/>
          <w:szCs w:val="21"/>
          <w:highlight w:val="none"/>
          <w:u w:val="none"/>
        </w:rPr>
      </w:pPr>
      <w:r>
        <w:rPr>
          <w:rFonts w:hint="eastAsia" w:ascii="宋体" w:hAnsi="宋体" w:eastAsia="宋体" w:cs="宋体"/>
          <w:color w:val="auto"/>
          <w:spacing w:val="-2"/>
          <w:sz w:val="21"/>
          <w:szCs w:val="21"/>
          <w:highlight w:val="none"/>
          <w:u w:val="none"/>
        </w:rPr>
        <w:t>1.11.1</w:t>
      </w:r>
      <w:r>
        <w:rPr>
          <w:rFonts w:hint="eastAsia" w:asciiTheme="minorEastAsia" w:hAnsiTheme="minorEastAsia" w:eastAsiaTheme="minorEastAsia"/>
          <w:color w:val="auto"/>
          <w:sz w:val="21"/>
          <w:szCs w:val="21"/>
          <w:highlight w:val="none"/>
          <w:lang w:val="en-US" w:eastAsia="zh-CN"/>
        </w:rPr>
        <w:t>按合同约定</w:t>
      </w:r>
      <w:r>
        <w:rPr>
          <w:rFonts w:hint="eastAsia" w:ascii="宋体" w:hAnsi="宋体" w:eastAsia="宋体" w:cs="宋体"/>
          <w:color w:val="auto"/>
          <w:spacing w:val="-2"/>
          <w:sz w:val="21"/>
          <w:szCs w:val="21"/>
          <w:highlight w:val="none"/>
          <w:u w:val="none"/>
        </w:rPr>
        <w:t>。</w:t>
      </w:r>
    </w:p>
    <w:p>
      <w:pPr>
        <w:pStyle w:val="6"/>
        <w:spacing w:before="48" w:beforeLines="20" w:after="48" w:afterLines="20"/>
        <w:jc w:val="left"/>
        <w:rPr>
          <w:rFonts w:asciiTheme="minorEastAsia" w:hAnsiTheme="minorEastAsia" w:eastAsiaTheme="minorEastAsia"/>
          <w:color w:val="auto"/>
          <w:highlight w:val="none"/>
        </w:rPr>
      </w:pPr>
      <w:bookmarkStart w:id="19" w:name="_Toc532744094"/>
      <w:r>
        <w:rPr>
          <w:rFonts w:asciiTheme="minorEastAsia" w:hAnsiTheme="minorEastAsia" w:eastAsiaTheme="minorEastAsia"/>
          <w:color w:val="auto"/>
          <w:highlight w:val="none"/>
        </w:rPr>
        <w:t xml:space="preserve">1.12 </w:t>
      </w:r>
      <w:r>
        <w:rPr>
          <w:rFonts w:hint="eastAsia" w:asciiTheme="minorEastAsia" w:hAnsiTheme="minorEastAsia" w:eastAsiaTheme="minorEastAsia"/>
          <w:color w:val="auto"/>
          <w:highlight w:val="none"/>
        </w:rPr>
        <w:t>响应和偏差</w:t>
      </w:r>
      <w:bookmarkEnd w:id="19"/>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1.12.1 投标文件应当对招标文件的实质性要求和条件作出满足性或更有利于招标人的响应，否则，投标人的投标将被否决。实质性要求和条件见投标人须知前附表。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1.12.2 投标人应根据招标文件的要求提供投标服务技术方案等内容以对招标文件作出响应。</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1.12.3 投标人须知前附表允许投标文件偏离招标文件某些要求的，偏差应当符合招标文件规定的偏差范围和幅度。</w:t>
      </w:r>
    </w:p>
    <w:p>
      <w:pPr>
        <w:pStyle w:val="5"/>
        <w:rPr>
          <w:rFonts w:asciiTheme="minorEastAsia" w:hAnsiTheme="minorEastAsia" w:eastAsiaTheme="minorEastAsia"/>
          <w:color w:val="auto"/>
          <w:highlight w:val="none"/>
        </w:rPr>
      </w:pPr>
      <w:bookmarkStart w:id="20" w:name="_Toc532744095"/>
      <w:r>
        <w:rPr>
          <w:rFonts w:asciiTheme="minorEastAsia" w:hAnsiTheme="minorEastAsia" w:eastAsiaTheme="minorEastAsia"/>
          <w:color w:val="auto"/>
          <w:highlight w:val="none"/>
        </w:rPr>
        <w:t xml:space="preserve">2. </w:t>
      </w:r>
      <w:r>
        <w:rPr>
          <w:rFonts w:hint="eastAsia" w:asciiTheme="minorEastAsia" w:hAnsiTheme="minorEastAsia" w:eastAsiaTheme="minorEastAsia"/>
          <w:color w:val="auto"/>
          <w:highlight w:val="none"/>
        </w:rPr>
        <w:t>招标文件</w:t>
      </w:r>
      <w:bookmarkEnd w:id="20"/>
    </w:p>
    <w:p>
      <w:pPr>
        <w:pStyle w:val="6"/>
        <w:spacing w:before="48" w:beforeLines="20" w:after="48" w:afterLines="20"/>
        <w:jc w:val="left"/>
        <w:rPr>
          <w:rFonts w:asciiTheme="minorEastAsia" w:hAnsiTheme="minorEastAsia" w:eastAsiaTheme="minorEastAsia"/>
          <w:color w:val="auto"/>
          <w:highlight w:val="none"/>
        </w:rPr>
      </w:pPr>
      <w:bookmarkStart w:id="21" w:name="_Toc532744096"/>
      <w:r>
        <w:rPr>
          <w:rFonts w:asciiTheme="minorEastAsia" w:hAnsiTheme="minorEastAsia" w:eastAsiaTheme="minorEastAsia"/>
          <w:color w:val="auto"/>
          <w:highlight w:val="none"/>
        </w:rPr>
        <w:t xml:space="preserve">2.1 </w:t>
      </w:r>
      <w:r>
        <w:rPr>
          <w:rFonts w:hint="eastAsia" w:asciiTheme="minorEastAsia" w:hAnsiTheme="minorEastAsia" w:eastAsiaTheme="minorEastAsia"/>
          <w:color w:val="auto"/>
          <w:highlight w:val="none"/>
        </w:rPr>
        <w:t>招标文件的组成</w:t>
      </w:r>
      <w:bookmarkEnd w:id="21"/>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本招标文件包括：</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第一章 招标公告；</w:t>
      </w:r>
    </w:p>
    <w:p>
      <w:pPr>
        <w:spacing w:line="360" w:lineRule="auto"/>
        <w:ind w:firstLine="420" w:firstLineChars="200"/>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第二章 投标人须知；</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第三章 评标办法；</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第四章</w:t>
      </w:r>
      <w:r>
        <w:rPr>
          <w:rFonts w:hint="eastAsia" w:asciiTheme="minorEastAsia" w:hAnsiTheme="minorEastAsia" w:eastAsiaTheme="minorEastAsia"/>
          <w:color w:val="auto"/>
          <w:highlight w:val="none"/>
          <w:lang w:eastAsia="zh"/>
        </w:rPr>
        <w:t xml:space="preserve"> </w:t>
      </w:r>
      <w:r>
        <w:rPr>
          <w:rFonts w:hint="eastAsia" w:asciiTheme="minorEastAsia" w:hAnsiTheme="minorEastAsia" w:eastAsiaTheme="minorEastAsia"/>
          <w:color w:val="auto"/>
          <w:highlight w:val="none"/>
        </w:rPr>
        <w:t>合同条款及格式；</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第五章</w:t>
      </w:r>
      <w:r>
        <w:rPr>
          <w:rFonts w:hint="eastAsia" w:asciiTheme="minorEastAsia" w:hAnsiTheme="minorEastAsia" w:eastAsiaTheme="minorEastAsia"/>
          <w:b/>
          <w:bCs/>
          <w:color w:val="auto"/>
          <w:highlight w:val="none"/>
        </w:rPr>
        <w:t xml:space="preserve"> </w:t>
      </w:r>
      <w:r>
        <w:rPr>
          <w:rFonts w:hint="eastAsia" w:asciiTheme="minorEastAsia" w:hAnsiTheme="minorEastAsia" w:eastAsiaTheme="minorEastAsia"/>
          <w:color w:val="auto"/>
          <w:highlight w:val="none"/>
        </w:rPr>
        <w:t>委托人要求；</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第六章 投标文件格式；</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根据本章第</w:t>
      </w:r>
      <w:r>
        <w:rPr>
          <w:rFonts w:asciiTheme="minorEastAsia" w:hAnsiTheme="minorEastAsia" w:eastAsiaTheme="minorEastAsia"/>
          <w:color w:val="auto"/>
          <w:highlight w:val="none"/>
        </w:rPr>
        <w:t xml:space="preserve"> 1.10 </w:t>
      </w:r>
      <w:r>
        <w:rPr>
          <w:rFonts w:hint="eastAsia" w:asciiTheme="minorEastAsia" w:hAnsiTheme="minorEastAsia" w:eastAsiaTheme="minorEastAsia"/>
          <w:color w:val="auto"/>
          <w:highlight w:val="none"/>
        </w:rPr>
        <w:t>款、第</w:t>
      </w:r>
      <w:r>
        <w:rPr>
          <w:rFonts w:asciiTheme="minorEastAsia" w:hAnsiTheme="minorEastAsia" w:eastAsiaTheme="minorEastAsia"/>
          <w:color w:val="auto"/>
          <w:highlight w:val="none"/>
        </w:rPr>
        <w:t xml:space="preserve"> 2.2 </w:t>
      </w:r>
      <w:r>
        <w:rPr>
          <w:rFonts w:hint="eastAsia" w:asciiTheme="minorEastAsia" w:hAnsiTheme="minorEastAsia" w:eastAsiaTheme="minorEastAsia"/>
          <w:color w:val="auto"/>
          <w:highlight w:val="none"/>
        </w:rPr>
        <w:t>款和第</w:t>
      </w:r>
      <w:r>
        <w:rPr>
          <w:rFonts w:asciiTheme="minorEastAsia" w:hAnsiTheme="minorEastAsia" w:eastAsiaTheme="minorEastAsia"/>
          <w:color w:val="auto"/>
          <w:highlight w:val="none"/>
        </w:rPr>
        <w:t xml:space="preserve"> 2.3 </w:t>
      </w:r>
      <w:r>
        <w:rPr>
          <w:rFonts w:hint="eastAsia" w:asciiTheme="minorEastAsia" w:hAnsiTheme="minorEastAsia" w:eastAsiaTheme="minorEastAsia"/>
          <w:color w:val="auto"/>
          <w:highlight w:val="none"/>
        </w:rPr>
        <w:t>款对招标文件所作的澄清、修改，构成招标文件的组成部分。</w:t>
      </w:r>
    </w:p>
    <w:p>
      <w:pPr>
        <w:pStyle w:val="6"/>
        <w:spacing w:before="48" w:beforeLines="20" w:after="48" w:afterLines="20"/>
        <w:jc w:val="left"/>
        <w:rPr>
          <w:rFonts w:asciiTheme="minorEastAsia" w:hAnsiTheme="minorEastAsia" w:eastAsiaTheme="minorEastAsia"/>
          <w:color w:val="auto"/>
          <w:highlight w:val="none"/>
        </w:rPr>
      </w:pPr>
      <w:bookmarkStart w:id="22" w:name="_Toc532744097"/>
      <w:r>
        <w:rPr>
          <w:rFonts w:asciiTheme="minorEastAsia" w:hAnsiTheme="minorEastAsia" w:eastAsiaTheme="minorEastAsia"/>
          <w:color w:val="auto"/>
          <w:highlight w:val="none"/>
        </w:rPr>
        <w:t xml:space="preserve">2.2 </w:t>
      </w:r>
      <w:r>
        <w:rPr>
          <w:rFonts w:hint="eastAsia" w:asciiTheme="minorEastAsia" w:hAnsiTheme="minorEastAsia" w:eastAsiaTheme="minorEastAsia"/>
          <w:color w:val="auto"/>
          <w:highlight w:val="none"/>
        </w:rPr>
        <w:t>招标文件的澄清</w:t>
      </w:r>
      <w:bookmarkEnd w:id="22"/>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2.2.1 </w:t>
      </w:r>
      <w:r>
        <w:rPr>
          <w:rFonts w:hint="eastAsia" w:asciiTheme="minorEastAsia" w:hAnsiTheme="minorEastAsia" w:eastAsiaTheme="minorEastAsia"/>
          <w:color w:val="auto"/>
          <w:highlight w:val="none"/>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2.2.2 </w:t>
      </w:r>
      <w:r>
        <w:rPr>
          <w:rFonts w:hint="eastAsia" w:asciiTheme="minorEastAsia" w:hAnsiTheme="minorEastAsia" w:eastAsiaTheme="minorEastAsia"/>
          <w:color w:val="auto"/>
          <w:highlight w:val="none"/>
        </w:rPr>
        <w:t>招标文件的澄清以投标人须知前附表规定的形式发给所有购买招标文件的投标人，但不指明澄清问题的来源。澄清发出的时间距本章第</w:t>
      </w:r>
      <w:r>
        <w:rPr>
          <w:rFonts w:asciiTheme="minorEastAsia" w:hAnsiTheme="minorEastAsia" w:eastAsiaTheme="minorEastAsia"/>
          <w:color w:val="auto"/>
          <w:highlight w:val="none"/>
        </w:rPr>
        <w:t xml:space="preserve"> 4.2.1 </w:t>
      </w:r>
      <w:r>
        <w:rPr>
          <w:rFonts w:hint="eastAsia" w:asciiTheme="minorEastAsia" w:hAnsiTheme="minorEastAsia" w:eastAsiaTheme="minorEastAsia"/>
          <w:color w:val="auto"/>
          <w:highlight w:val="none"/>
        </w:rPr>
        <w:t>项规定的投标截止时间不足</w:t>
      </w:r>
      <w:r>
        <w:rPr>
          <w:rFonts w:asciiTheme="minorEastAsia" w:hAnsiTheme="minorEastAsia" w:eastAsiaTheme="minorEastAsia"/>
          <w:color w:val="auto"/>
          <w:highlight w:val="none"/>
        </w:rPr>
        <w:t xml:space="preserve"> 15 </w:t>
      </w:r>
      <w:r>
        <w:rPr>
          <w:rFonts w:hint="eastAsia" w:asciiTheme="minorEastAsia" w:hAnsiTheme="minorEastAsia" w:eastAsiaTheme="minorEastAsia"/>
          <w:color w:val="auto"/>
          <w:highlight w:val="none"/>
        </w:rPr>
        <w:t>日的，并且澄清内容可能影响投标文件编制的，将相应延长投标截止时间。</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2.2.3 </w:t>
      </w:r>
      <w:r>
        <w:rPr>
          <w:rFonts w:hint="eastAsia" w:asciiTheme="minorEastAsia" w:hAnsiTheme="minorEastAsia" w:eastAsiaTheme="minorEastAsia"/>
          <w:color w:val="auto"/>
          <w:highlight w:val="none"/>
        </w:rPr>
        <w:t>投标人在收到澄清后，应按投标人须知前附表规定的时间和形式通知招标人，确认已收到该澄清。</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2.2.4 </w:t>
      </w:r>
      <w:r>
        <w:rPr>
          <w:rFonts w:hint="eastAsia" w:asciiTheme="minorEastAsia" w:hAnsiTheme="minorEastAsia" w:eastAsiaTheme="minorEastAsia"/>
          <w:color w:val="auto"/>
          <w:highlight w:val="none"/>
        </w:rPr>
        <w:t>除非招标人认为确有必要答复，否则，招标人有权拒绝回复投标人在本章第</w:t>
      </w:r>
      <w:r>
        <w:rPr>
          <w:rFonts w:asciiTheme="minorEastAsia" w:hAnsiTheme="minorEastAsia" w:eastAsiaTheme="minorEastAsia"/>
          <w:color w:val="auto"/>
          <w:highlight w:val="none"/>
        </w:rPr>
        <w:t xml:space="preserve"> 2.2.1 </w:t>
      </w:r>
      <w:r>
        <w:rPr>
          <w:rFonts w:hint="eastAsia" w:asciiTheme="minorEastAsia" w:hAnsiTheme="minorEastAsia" w:eastAsiaTheme="minorEastAsia"/>
          <w:color w:val="auto"/>
          <w:highlight w:val="none"/>
        </w:rPr>
        <w:t>项规定的时间后的任何澄清要求。</w:t>
      </w:r>
    </w:p>
    <w:p>
      <w:pPr>
        <w:pStyle w:val="6"/>
        <w:spacing w:before="48" w:beforeLines="20" w:after="48" w:afterLines="20"/>
        <w:jc w:val="left"/>
        <w:rPr>
          <w:rFonts w:asciiTheme="minorEastAsia" w:hAnsiTheme="minorEastAsia" w:eastAsiaTheme="minorEastAsia"/>
          <w:color w:val="auto"/>
          <w:highlight w:val="none"/>
        </w:rPr>
      </w:pPr>
      <w:bookmarkStart w:id="23" w:name="_Toc532744098"/>
      <w:r>
        <w:rPr>
          <w:rFonts w:asciiTheme="minorEastAsia" w:hAnsiTheme="minorEastAsia" w:eastAsiaTheme="minorEastAsia"/>
          <w:color w:val="auto"/>
          <w:highlight w:val="none"/>
        </w:rPr>
        <w:t xml:space="preserve">2.3 </w:t>
      </w:r>
      <w:r>
        <w:rPr>
          <w:rFonts w:hint="eastAsia" w:asciiTheme="minorEastAsia" w:hAnsiTheme="minorEastAsia" w:eastAsiaTheme="minorEastAsia"/>
          <w:color w:val="auto"/>
          <w:highlight w:val="none"/>
        </w:rPr>
        <w:t>招标文件的修改</w:t>
      </w:r>
      <w:bookmarkEnd w:id="23"/>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2.3.1 </w:t>
      </w:r>
      <w:r>
        <w:rPr>
          <w:rFonts w:hint="eastAsia" w:asciiTheme="minorEastAsia" w:hAnsiTheme="minorEastAsia" w:eastAsiaTheme="minorEastAsia"/>
          <w:color w:val="auto"/>
          <w:highlight w:val="none"/>
        </w:rPr>
        <w:t>招标人以投标人须知前附表规定的形式修改招标文件，并通知所有已购买招标文件的投标人。修改招标文件的时间距本章第</w:t>
      </w:r>
      <w:r>
        <w:rPr>
          <w:rFonts w:asciiTheme="minorEastAsia" w:hAnsiTheme="minorEastAsia" w:eastAsiaTheme="minorEastAsia"/>
          <w:color w:val="auto"/>
          <w:highlight w:val="none"/>
        </w:rPr>
        <w:t xml:space="preserve"> 4.2.1 </w:t>
      </w:r>
      <w:r>
        <w:rPr>
          <w:rFonts w:hint="eastAsia" w:asciiTheme="minorEastAsia" w:hAnsiTheme="minorEastAsia" w:eastAsiaTheme="minorEastAsia"/>
          <w:color w:val="auto"/>
          <w:highlight w:val="none"/>
        </w:rPr>
        <w:t>项规定的投标截止时间不足</w:t>
      </w:r>
      <w:r>
        <w:rPr>
          <w:rFonts w:asciiTheme="minorEastAsia" w:hAnsiTheme="minorEastAsia" w:eastAsiaTheme="minorEastAsia"/>
          <w:color w:val="auto"/>
          <w:highlight w:val="none"/>
        </w:rPr>
        <w:t xml:space="preserve"> 15 </w:t>
      </w:r>
      <w:r>
        <w:rPr>
          <w:rFonts w:hint="eastAsia" w:asciiTheme="minorEastAsia" w:hAnsiTheme="minorEastAsia" w:eastAsiaTheme="minorEastAsia"/>
          <w:color w:val="auto"/>
          <w:highlight w:val="none"/>
        </w:rPr>
        <w:t>日的，并且修改内容可能影响投标文件编制的，将相应延长投标截止时间。</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2.3.2 </w:t>
      </w:r>
      <w:r>
        <w:rPr>
          <w:rFonts w:hint="eastAsia" w:asciiTheme="minorEastAsia" w:hAnsiTheme="minorEastAsia" w:eastAsiaTheme="minorEastAsia"/>
          <w:color w:val="auto"/>
          <w:highlight w:val="none"/>
        </w:rPr>
        <w:t>投标人收到修改内容后，应按投标人须知前附表规定的时间和形式通知招标人，确认已收到该修改。</w:t>
      </w:r>
    </w:p>
    <w:p>
      <w:pPr>
        <w:pStyle w:val="6"/>
        <w:spacing w:before="48" w:beforeLines="20" w:after="48" w:afterLines="20"/>
        <w:jc w:val="left"/>
        <w:rPr>
          <w:rFonts w:asciiTheme="minorEastAsia" w:hAnsiTheme="minorEastAsia" w:eastAsiaTheme="minorEastAsia"/>
          <w:color w:val="auto"/>
          <w:highlight w:val="none"/>
        </w:rPr>
      </w:pPr>
      <w:bookmarkStart w:id="24" w:name="_Toc532744099"/>
      <w:r>
        <w:rPr>
          <w:rFonts w:asciiTheme="minorEastAsia" w:hAnsiTheme="minorEastAsia" w:eastAsiaTheme="minorEastAsia"/>
          <w:color w:val="auto"/>
          <w:highlight w:val="none"/>
        </w:rPr>
        <w:t xml:space="preserve">2.4 </w:t>
      </w:r>
      <w:r>
        <w:rPr>
          <w:rFonts w:hint="eastAsia" w:asciiTheme="minorEastAsia" w:hAnsiTheme="minorEastAsia" w:eastAsiaTheme="minorEastAsia"/>
          <w:color w:val="auto"/>
          <w:highlight w:val="none"/>
        </w:rPr>
        <w:t>招标文件的异议</w:t>
      </w:r>
      <w:bookmarkEnd w:id="24"/>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投标人或者其他利害关系人对招标文件有异议的，应当在投标截止时间18日前以书面形式提出。招标人将在收到异议之日起3日内作出答复；作出答复前，将暂停招标投标活动。</w:t>
      </w:r>
    </w:p>
    <w:p>
      <w:pPr>
        <w:pStyle w:val="5"/>
        <w:rPr>
          <w:rFonts w:asciiTheme="minorEastAsia" w:hAnsiTheme="minorEastAsia" w:eastAsiaTheme="minorEastAsia"/>
          <w:color w:val="auto"/>
          <w:highlight w:val="none"/>
        </w:rPr>
      </w:pPr>
      <w:bookmarkStart w:id="25" w:name="_Toc532744100"/>
      <w:r>
        <w:rPr>
          <w:rFonts w:asciiTheme="minorEastAsia" w:hAnsiTheme="minorEastAsia" w:eastAsiaTheme="minorEastAsia"/>
          <w:color w:val="auto"/>
          <w:highlight w:val="none"/>
        </w:rPr>
        <w:t xml:space="preserve">3. </w:t>
      </w:r>
      <w:r>
        <w:rPr>
          <w:rFonts w:hint="eastAsia" w:asciiTheme="minorEastAsia" w:hAnsiTheme="minorEastAsia" w:eastAsiaTheme="minorEastAsia"/>
          <w:color w:val="auto"/>
          <w:highlight w:val="none"/>
        </w:rPr>
        <w:t>投标文件</w:t>
      </w:r>
      <w:bookmarkEnd w:id="25"/>
    </w:p>
    <w:p>
      <w:pPr>
        <w:pStyle w:val="6"/>
        <w:spacing w:before="48" w:beforeLines="20" w:after="48" w:afterLines="20"/>
        <w:jc w:val="left"/>
        <w:rPr>
          <w:rFonts w:asciiTheme="minorEastAsia" w:hAnsiTheme="minorEastAsia" w:eastAsiaTheme="minorEastAsia"/>
          <w:color w:val="auto"/>
          <w:highlight w:val="none"/>
        </w:rPr>
      </w:pPr>
      <w:bookmarkStart w:id="26" w:name="_Toc532744101"/>
      <w:r>
        <w:rPr>
          <w:rFonts w:asciiTheme="minorEastAsia" w:hAnsiTheme="minorEastAsia" w:eastAsiaTheme="minorEastAsia"/>
          <w:color w:val="auto"/>
          <w:highlight w:val="none"/>
        </w:rPr>
        <w:t xml:space="preserve">3.1 </w:t>
      </w:r>
      <w:r>
        <w:rPr>
          <w:rFonts w:hint="eastAsia" w:asciiTheme="minorEastAsia" w:hAnsiTheme="minorEastAsia" w:eastAsiaTheme="minorEastAsia"/>
          <w:color w:val="auto"/>
          <w:highlight w:val="none"/>
        </w:rPr>
        <w:t>投标文件的组成</w:t>
      </w:r>
      <w:bookmarkEnd w:id="26"/>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3.1.1 投标文件应包括下列内容：</w:t>
      </w:r>
    </w:p>
    <w:p>
      <w:pPr>
        <w:spacing w:line="360" w:lineRule="auto"/>
        <w:ind w:firstLine="420" w:firstLineChars="20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u w:val="single"/>
        </w:rPr>
        <w:t>（</w:t>
      </w:r>
      <w:r>
        <w:rPr>
          <w:rFonts w:asciiTheme="minorEastAsia" w:hAnsiTheme="minorEastAsia" w:eastAsiaTheme="minorEastAsia" w:cstheme="minorEastAsia"/>
          <w:color w:val="auto"/>
          <w:highlight w:val="none"/>
          <w:u w:val="single"/>
        </w:rPr>
        <w:t>1）投标文件目录；</w:t>
      </w:r>
    </w:p>
    <w:p>
      <w:pPr>
        <w:spacing w:line="360" w:lineRule="auto"/>
        <w:ind w:firstLine="420" w:firstLineChars="20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u w:val="single"/>
        </w:rPr>
        <w:t>（</w:t>
      </w:r>
      <w:r>
        <w:rPr>
          <w:rFonts w:asciiTheme="minorEastAsia" w:hAnsiTheme="minorEastAsia" w:eastAsiaTheme="minorEastAsia" w:cstheme="minorEastAsia"/>
          <w:color w:val="auto"/>
          <w:highlight w:val="none"/>
          <w:u w:val="single"/>
        </w:rPr>
        <w:t>2）投标函；</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（3）法</w:t>
      </w:r>
      <w:r>
        <w:rPr>
          <w:rFonts w:hint="eastAsia" w:asciiTheme="minorEastAsia" w:hAnsiTheme="minorEastAsia" w:eastAsiaTheme="minorEastAsia" w:cstheme="minorEastAsia"/>
          <w:color w:val="auto"/>
          <w:spacing w:val="-3"/>
          <w:highlight w:val="none"/>
        </w:rPr>
        <w:t>定</w:t>
      </w:r>
      <w:r>
        <w:rPr>
          <w:rFonts w:hint="eastAsia" w:asciiTheme="minorEastAsia" w:hAnsiTheme="minorEastAsia" w:eastAsiaTheme="minorEastAsia" w:cstheme="minorEastAsia"/>
          <w:color w:val="auto"/>
          <w:highlight w:val="none"/>
        </w:rPr>
        <w:t>代</w:t>
      </w:r>
      <w:r>
        <w:rPr>
          <w:rFonts w:hint="eastAsia" w:asciiTheme="minorEastAsia" w:hAnsiTheme="minorEastAsia" w:eastAsiaTheme="minorEastAsia" w:cstheme="minorEastAsia"/>
          <w:color w:val="auto"/>
          <w:spacing w:val="-3"/>
          <w:highlight w:val="none"/>
        </w:rPr>
        <w:t>表</w:t>
      </w:r>
      <w:r>
        <w:rPr>
          <w:rFonts w:hint="eastAsia" w:asciiTheme="minorEastAsia" w:hAnsiTheme="minorEastAsia" w:eastAsiaTheme="minorEastAsia" w:cstheme="minorEastAsia"/>
          <w:color w:val="auto"/>
          <w:highlight w:val="none"/>
        </w:rPr>
        <w:t>人</w:t>
      </w:r>
      <w:r>
        <w:rPr>
          <w:rFonts w:hint="eastAsia" w:asciiTheme="minorEastAsia" w:hAnsiTheme="minorEastAsia" w:eastAsiaTheme="minorEastAsia" w:cstheme="minorEastAsia"/>
          <w:color w:val="auto"/>
          <w:spacing w:val="-3"/>
          <w:highlight w:val="none"/>
        </w:rPr>
        <w:t>身</w:t>
      </w:r>
      <w:r>
        <w:rPr>
          <w:rFonts w:hint="eastAsia" w:asciiTheme="minorEastAsia" w:hAnsiTheme="minorEastAsia" w:eastAsiaTheme="minorEastAsia" w:cstheme="minorEastAsia"/>
          <w:color w:val="auto"/>
          <w:highlight w:val="none"/>
        </w:rPr>
        <w:t>份</w:t>
      </w:r>
      <w:r>
        <w:rPr>
          <w:rFonts w:hint="eastAsia" w:asciiTheme="minorEastAsia" w:hAnsiTheme="minorEastAsia" w:eastAsiaTheme="minorEastAsia" w:cstheme="minorEastAsia"/>
          <w:color w:val="auto"/>
          <w:spacing w:val="-3"/>
          <w:highlight w:val="none"/>
        </w:rPr>
        <w:t>证明</w:t>
      </w:r>
      <w:r>
        <w:rPr>
          <w:rFonts w:hint="eastAsia" w:asciiTheme="minorEastAsia" w:hAnsiTheme="minorEastAsia" w:eastAsiaTheme="minorEastAsia" w:cstheme="minorEastAsia"/>
          <w:color w:val="auto"/>
          <w:highlight w:val="none"/>
        </w:rPr>
        <w:t>或授</w:t>
      </w:r>
      <w:r>
        <w:rPr>
          <w:rFonts w:hint="eastAsia" w:asciiTheme="minorEastAsia" w:hAnsiTheme="minorEastAsia" w:eastAsiaTheme="minorEastAsia" w:cstheme="minorEastAsia"/>
          <w:color w:val="auto"/>
          <w:spacing w:val="-3"/>
          <w:highlight w:val="none"/>
        </w:rPr>
        <w:t>权</w:t>
      </w:r>
      <w:r>
        <w:rPr>
          <w:rFonts w:hint="eastAsia" w:asciiTheme="minorEastAsia" w:hAnsiTheme="minorEastAsia" w:eastAsiaTheme="minorEastAsia" w:cstheme="minorEastAsia"/>
          <w:color w:val="auto"/>
          <w:highlight w:val="none"/>
        </w:rPr>
        <w:t>委</w:t>
      </w:r>
      <w:r>
        <w:rPr>
          <w:rFonts w:hint="eastAsia" w:asciiTheme="minorEastAsia" w:hAnsiTheme="minorEastAsia" w:eastAsiaTheme="minorEastAsia" w:cstheme="minorEastAsia"/>
          <w:color w:val="auto"/>
          <w:spacing w:val="-3"/>
          <w:highlight w:val="none"/>
        </w:rPr>
        <w:t>托</w:t>
      </w:r>
      <w:r>
        <w:rPr>
          <w:rFonts w:hint="eastAsia" w:asciiTheme="minorEastAsia" w:hAnsiTheme="minorEastAsia" w:eastAsiaTheme="minorEastAsia" w:cstheme="minorEastAsia"/>
          <w:color w:val="auto"/>
          <w:highlight w:val="none"/>
        </w:rPr>
        <w:t>书；</w:t>
      </w:r>
    </w:p>
    <w:p>
      <w:pPr>
        <w:spacing w:line="360" w:lineRule="auto"/>
        <w:ind w:firstLine="420" w:firstLineChars="20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u w:val="single"/>
        </w:rPr>
        <w:t>（</w:t>
      </w:r>
      <w:r>
        <w:rPr>
          <w:rFonts w:hint="eastAsia" w:asciiTheme="minorEastAsia" w:hAnsiTheme="minorEastAsia" w:eastAsiaTheme="minorEastAsia" w:cstheme="minorEastAsia"/>
          <w:color w:val="auto"/>
          <w:highlight w:val="none"/>
          <w:u w:val="single"/>
          <w:lang w:eastAsia="zh"/>
        </w:rPr>
        <w:t>4</w:t>
      </w:r>
      <w:r>
        <w:rPr>
          <w:rFonts w:asciiTheme="minorEastAsia" w:hAnsiTheme="minorEastAsia" w:eastAsiaTheme="minorEastAsia" w:cstheme="minorEastAsia"/>
          <w:color w:val="auto"/>
          <w:highlight w:val="none"/>
          <w:u w:val="single"/>
        </w:rPr>
        <w:t>）投标报价表；</w:t>
      </w:r>
    </w:p>
    <w:p>
      <w:pPr>
        <w:spacing w:line="360" w:lineRule="auto"/>
        <w:ind w:firstLine="420" w:firstLineChars="200"/>
        <w:rPr>
          <w:rFonts w:hint="eastAsia" w:asciiTheme="minorEastAsia" w:hAnsiTheme="minorEastAsia" w:eastAsiaTheme="minorEastAsia" w:cstheme="minorEastAsia"/>
          <w:color w:val="auto"/>
          <w:highlight w:val="none"/>
          <w:u w:val="single"/>
          <w:lang w:eastAsia="zh-CN"/>
        </w:rPr>
      </w:pPr>
      <w:r>
        <w:rPr>
          <w:rFonts w:hint="eastAsia" w:asciiTheme="minorEastAsia" w:hAnsiTheme="minorEastAsia" w:eastAsiaTheme="minorEastAsia" w:cstheme="minorEastAsia"/>
          <w:color w:val="auto"/>
          <w:szCs w:val="21"/>
          <w:highlight w:val="none"/>
          <w:u w:val="single"/>
        </w:rPr>
        <w:t>（</w:t>
      </w:r>
      <w:r>
        <w:rPr>
          <w:rFonts w:hint="default" w:asciiTheme="minorEastAsia" w:hAnsiTheme="minorEastAsia" w:eastAsiaTheme="minorEastAsia" w:cstheme="minorEastAsia"/>
          <w:color w:val="auto"/>
          <w:szCs w:val="21"/>
          <w:highlight w:val="none"/>
          <w:u w:val="single"/>
          <w:lang w:val="en-US" w:eastAsia="zh"/>
        </w:rPr>
        <w:t>5</w:t>
      </w:r>
      <w:r>
        <w:rPr>
          <w:rFonts w:asciiTheme="minorEastAsia" w:hAnsiTheme="minorEastAsia" w:eastAsiaTheme="minorEastAsia" w:cstheme="minorEastAsia"/>
          <w:color w:val="auto"/>
          <w:szCs w:val="21"/>
          <w:highlight w:val="none"/>
          <w:u w:val="single"/>
        </w:rPr>
        <w:t>）资格审查</w:t>
      </w:r>
      <w:r>
        <w:rPr>
          <w:rFonts w:hint="eastAsia" w:asciiTheme="minorEastAsia" w:hAnsiTheme="minorEastAsia" w:eastAsiaTheme="minorEastAsia" w:cstheme="minorEastAsia"/>
          <w:color w:val="auto"/>
          <w:szCs w:val="21"/>
          <w:highlight w:val="none"/>
          <w:u w:val="single"/>
        </w:rPr>
        <w:t>资料（按招标公告要求）</w:t>
      </w:r>
      <w:r>
        <w:rPr>
          <w:rFonts w:hint="eastAsia" w:asciiTheme="minorEastAsia" w:hAnsiTheme="minorEastAsia" w:eastAsiaTheme="minorEastAsia" w:cstheme="minorEastAsia"/>
          <w:color w:val="auto"/>
          <w:szCs w:val="21"/>
          <w:highlight w:val="none"/>
          <w:u w:val="single"/>
          <w:lang w:eastAsia="zh-CN"/>
        </w:rPr>
        <w:t>；</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r>
        <w:rPr>
          <w:rFonts w:hint="default" w:asciiTheme="minorEastAsia" w:hAnsiTheme="minorEastAsia" w:eastAsiaTheme="minorEastAsia" w:cstheme="minorEastAsia"/>
          <w:color w:val="auto"/>
          <w:highlight w:val="none"/>
          <w:lang w:val="en-US" w:eastAsia="zh"/>
        </w:rPr>
        <w:t>6</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kern w:val="0"/>
          <w:szCs w:val="21"/>
          <w:highlight w:val="none"/>
        </w:rPr>
        <w:t>资信业绩部分</w:t>
      </w:r>
      <w:r>
        <w:rPr>
          <w:rFonts w:hint="eastAsia" w:asciiTheme="minorEastAsia" w:hAnsiTheme="minorEastAsia" w:eastAsiaTheme="minorEastAsia" w:cstheme="minorEastAsia"/>
          <w:color w:val="auto"/>
          <w:highlight w:val="none"/>
        </w:rPr>
        <w:t>；</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r>
        <w:rPr>
          <w:rFonts w:hint="default" w:asciiTheme="minorEastAsia" w:hAnsiTheme="minorEastAsia" w:eastAsiaTheme="minorEastAsia" w:cstheme="minorEastAsia"/>
          <w:color w:val="auto"/>
          <w:highlight w:val="none"/>
          <w:lang w:val="en-US" w:eastAsia="zh"/>
        </w:rPr>
        <w:t>7</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szCs w:val="21"/>
          <w:highlight w:val="none"/>
          <w:lang w:eastAsia="zh-CN"/>
        </w:rPr>
        <w:t>服务</w:t>
      </w:r>
      <w:r>
        <w:rPr>
          <w:rFonts w:hint="eastAsia" w:asciiTheme="minorEastAsia" w:hAnsiTheme="minorEastAsia" w:eastAsiaTheme="minorEastAsia" w:cstheme="minorEastAsia"/>
          <w:color w:val="auto"/>
          <w:szCs w:val="21"/>
          <w:highlight w:val="none"/>
        </w:rPr>
        <w:t>方案</w:t>
      </w:r>
      <w:r>
        <w:rPr>
          <w:rFonts w:hint="eastAsia" w:asciiTheme="minorEastAsia" w:hAnsiTheme="minorEastAsia" w:eastAsiaTheme="minorEastAsia" w:cstheme="minorEastAsia"/>
          <w:color w:val="auto"/>
          <w:szCs w:val="21"/>
          <w:highlight w:val="none"/>
          <w:lang w:eastAsia="zh-CN"/>
        </w:rPr>
        <w:t>；</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r>
        <w:rPr>
          <w:rFonts w:hint="default" w:asciiTheme="minorEastAsia" w:hAnsiTheme="minorEastAsia" w:eastAsiaTheme="minorEastAsia" w:cstheme="minorEastAsia"/>
          <w:color w:val="auto"/>
          <w:highlight w:val="none"/>
          <w:lang w:val="en-US" w:eastAsia="zh"/>
        </w:rPr>
        <w:t>8</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spacing w:val="-3"/>
          <w:highlight w:val="none"/>
        </w:rPr>
        <w:t>其</w:t>
      </w:r>
      <w:r>
        <w:rPr>
          <w:rFonts w:hint="eastAsia" w:asciiTheme="minorEastAsia" w:hAnsiTheme="minorEastAsia" w:eastAsiaTheme="minorEastAsia" w:cstheme="minorEastAsia"/>
          <w:color w:val="auto"/>
          <w:highlight w:val="none"/>
        </w:rPr>
        <w:t>他</w:t>
      </w:r>
      <w:r>
        <w:rPr>
          <w:rFonts w:hint="eastAsia" w:asciiTheme="minorEastAsia" w:hAnsiTheme="minorEastAsia" w:eastAsiaTheme="minorEastAsia" w:cstheme="minorEastAsia"/>
          <w:color w:val="auto"/>
          <w:spacing w:val="-3"/>
          <w:highlight w:val="none"/>
        </w:rPr>
        <w:t>资</w:t>
      </w:r>
      <w:r>
        <w:rPr>
          <w:rFonts w:hint="eastAsia" w:asciiTheme="minorEastAsia" w:hAnsiTheme="minorEastAsia" w:eastAsiaTheme="minorEastAsia" w:cstheme="minorEastAsia"/>
          <w:color w:val="auto"/>
          <w:highlight w:val="none"/>
        </w:rPr>
        <w:t>料。</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投标人在评标过程中作出的符合法律法规和招标文件规定的澄清确认，构成投标文件的组成部分。</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stheme="minorEastAsia"/>
          <w:color w:val="auto"/>
          <w:highlight w:val="none"/>
        </w:rPr>
        <w:t>3.1.2 若招标文件中有提供格式的，投标文件相应内容按格式填报；没有格式提供的资料，格</w:t>
      </w:r>
      <w:r>
        <w:rPr>
          <w:rFonts w:asciiTheme="minorEastAsia" w:hAnsiTheme="minorEastAsia" w:eastAsiaTheme="minorEastAsia"/>
          <w:color w:val="auto"/>
          <w:highlight w:val="none"/>
        </w:rPr>
        <w:t>式自拟。</w:t>
      </w:r>
    </w:p>
    <w:p>
      <w:pPr>
        <w:pStyle w:val="6"/>
        <w:spacing w:before="48" w:beforeLines="20" w:after="48" w:afterLines="20"/>
        <w:jc w:val="left"/>
        <w:rPr>
          <w:rFonts w:asciiTheme="minorEastAsia" w:hAnsiTheme="minorEastAsia" w:eastAsiaTheme="minorEastAsia"/>
          <w:color w:val="auto"/>
          <w:highlight w:val="none"/>
        </w:rPr>
      </w:pPr>
      <w:bookmarkStart w:id="27" w:name="_Toc532744102"/>
      <w:r>
        <w:rPr>
          <w:rFonts w:asciiTheme="minorEastAsia" w:hAnsiTheme="minorEastAsia" w:eastAsiaTheme="minorEastAsia"/>
          <w:color w:val="auto"/>
          <w:highlight w:val="none"/>
        </w:rPr>
        <w:t xml:space="preserve">3.2 </w:t>
      </w:r>
      <w:r>
        <w:rPr>
          <w:rFonts w:hint="eastAsia" w:asciiTheme="minorEastAsia" w:hAnsiTheme="minorEastAsia" w:eastAsiaTheme="minorEastAsia"/>
          <w:color w:val="auto"/>
          <w:highlight w:val="none"/>
        </w:rPr>
        <w:t>投标报价</w:t>
      </w:r>
      <w:bookmarkEnd w:id="27"/>
    </w:p>
    <w:p>
      <w:pPr>
        <w:spacing w:line="360" w:lineRule="auto"/>
        <w:ind w:firstLine="420" w:firstLineChars="200"/>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rPr>
        <w:t xml:space="preserve">3.2.1 </w:t>
      </w:r>
      <w:r>
        <w:rPr>
          <w:rFonts w:hint="eastAsia" w:asciiTheme="minorEastAsia" w:hAnsiTheme="minorEastAsia" w:eastAsiaTheme="minorEastAsia"/>
          <w:color w:val="auto"/>
          <w:highlight w:val="none"/>
        </w:rPr>
        <w:t>投标报价应包括国家规定的增值税税金，除投标人须知前附表另有规定外，增值税税金按一般计税方法计算。投标人应按第六章“投标文件格式”的要求在投标函中进行报价。</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3.2.2 </w:t>
      </w:r>
      <w:r>
        <w:rPr>
          <w:rFonts w:hint="eastAsia" w:asciiTheme="minorEastAsia" w:hAnsiTheme="minorEastAsia" w:eastAsiaTheme="minorEastAsia"/>
          <w:color w:val="auto"/>
          <w:highlight w:val="none"/>
        </w:rPr>
        <w:t>投标人应充分了解该项目的总体情况以及影响投标报价的其他要素。</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3.2.3 </w:t>
      </w:r>
      <w:r>
        <w:rPr>
          <w:rFonts w:hint="eastAsia" w:asciiTheme="minorEastAsia" w:hAnsiTheme="minorEastAsia" w:eastAsiaTheme="minorEastAsia"/>
          <w:color w:val="auto"/>
          <w:highlight w:val="none"/>
        </w:rPr>
        <w:t>本项目的报价方式见投标人须知前附表。投标人在投标截止时间前修改投标函中的投标报价总额的，此修改须符合本章第</w:t>
      </w:r>
      <w:r>
        <w:rPr>
          <w:rFonts w:asciiTheme="minorEastAsia" w:hAnsiTheme="minorEastAsia" w:eastAsiaTheme="minorEastAsia"/>
          <w:color w:val="auto"/>
          <w:highlight w:val="none"/>
        </w:rPr>
        <w:t xml:space="preserve"> 4.3 </w:t>
      </w:r>
      <w:r>
        <w:rPr>
          <w:rFonts w:hint="eastAsia" w:asciiTheme="minorEastAsia" w:hAnsiTheme="minorEastAsia" w:eastAsiaTheme="minorEastAsia"/>
          <w:color w:val="auto"/>
          <w:highlight w:val="none"/>
        </w:rPr>
        <w:t>款的有关要求。</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3.2.4 </w:t>
      </w:r>
      <w:r>
        <w:rPr>
          <w:rFonts w:hint="eastAsia" w:asciiTheme="minorEastAsia" w:hAnsiTheme="minorEastAsia" w:eastAsiaTheme="minorEastAsia"/>
          <w:color w:val="auto"/>
          <w:highlight w:val="none"/>
        </w:rPr>
        <w:t>招标人设有最高投标限价的，投标人的投标报价不得超过最高投标限价，最高投标限价在投标人须知前附表中载明。</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3.2.5 </w:t>
      </w:r>
      <w:r>
        <w:rPr>
          <w:rFonts w:hint="eastAsia" w:asciiTheme="minorEastAsia" w:hAnsiTheme="minorEastAsia" w:eastAsiaTheme="minorEastAsia"/>
          <w:color w:val="auto"/>
          <w:highlight w:val="none"/>
        </w:rPr>
        <w:t>投标报价的其他要求见投标人须知前附表。</w:t>
      </w:r>
    </w:p>
    <w:p>
      <w:pPr>
        <w:pStyle w:val="6"/>
        <w:spacing w:before="48" w:beforeLines="20" w:after="48" w:afterLines="20"/>
        <w:jc w:val="left"/>
        <w:rPr>
          <w:rFonts w:asciiTheme="minorEastAsia" w:hAnsiTheme="minorEastAsia" w:eastAsiaTheme="minorEastAsia"/>
          <w:color w:val="auto"/>
          <w:highlight w:val="none"/>
        </w:rPr>
      </w:pPr>
      <w:bookmarkStart w:id="28" w:name="_Toc532744103"/>
      <w:r>
        <w:rPr>
          <w:rFonts w:asciiTheme="minorEastAsia" w:hAnsiTheme="minorEastAsia" w:eastAsiaTheme="minorEastAsia"/>
          <w:color w:val="auto"/>
          <w:highlight w:val="none"/>
        </w:rPr>
        <w:t xml:space="preserve">3.3 </w:t>
      </w:r>
      <w:r>
        <w:rPr>
          <w:rFonts w:hint="eastAsia" w:asciiTheme="minorEastAsia" w:hAnsiTheme="minorEastAsia" w:eastAsiaTheme="minorEastAsia"/>
          <w:color w:val="auto"/>
          <w:highlight w:val="none"/>
        </w:rPr>
        <w:t>投标有效期</w:t>
      </w:r>
      <w:bookmarkEnd w:id="28"/>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3.3.1 </w:t>
      </w:r>
      <w:r>
        <w:rPr>
          <w:rFonts w:hint="eastAsia" w:asciiTheme="minorEastAsia" w:hAnsiTheme="minorEastAsia" w:eastAsiaTheme="minorEastAsia"/>
          <w:color w:val="auto"/>
          <w:highlight w:val="none"/>
        </w:rPr>
        <w:t>除投标人须知前附表另有规定外，投标有效期为</w:t>
      </w:r>
      <w:r>
        <w:rPr>
          <w:rFonts w:asciiTheme="minorEastAsia" w:hAnsiTheme="minorEastAsia" w:eastAsiaTheme="minorEastAsia"/>
          <w:color w:val="auto"/>
          <w:highlight w:val="none"/>
          <w:u w:val="single"/>
        </w:rPr>
        <w:t>90</w:t>
      </w:r>
      <w:r>
        <w:rPr>
          <w:rFonts w:hint="eastAsia" w:asciiTheme="minorEastAsia" w:hAnsiTheme="minorEastAsia" w:eastAsiaTheme="minorEastAsia"/>
          <w:color w:val="auto"/>
          <w:highlight w:val="none"/>
        </w:rPr>
        <w:t>天。</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3.3.2 </w:t>
      </w:r>
      <w:r>
        <w:rPr>
          <w:rFonts w:hint="eastAsia" w:asciiTheme="minorEastAsia" w:hAnsiTheme="minorEastAsia" w:eastAsiaTheme="minorEastAsia"/>
          <w:color w:val="auto"/>
          <w:highlight w:val="none"/>
        </w:rPr>
        <w:t>在投标有效期内，投标人撤销投标文件的，应承担招标文件和法律规定的责任。</w:t>
      </w:r>
    </w:p>
    <w:p>
      <w:pPr>
        <w:spacing w:line="360" w:lineRule="auto"/>
        <w:ind w:firstLine="420" w:firstLineChars="200"/>
        <w:rPr>
          <w:rFonts w:asciiTheme="minorEastAsia" w:hAnsiTheme="minorEastAsia" w:eastAsiaTheme="minorEastAsia" w:cstheme="minorEastAsia"/>
          <w:color w:val="auto"/>
          <w:highlight w:val="none"/>
        </w:rPr>
      </w:pPr>
      <w:r>
        <w:rPr>
          <w:rFonts w:asciiTheme="minorEastAsia" w:hAnsiTheme="minorEastAsia" w:eastAsiaTheme="minorEastAsia"/>
          <w:color w:val="auto"/>
          <w:highlight w:val="none"/>
        </w:rPr>
        <w:t xml:space="preserve">3.3.3 </w:t>
      </w:r>
      <w:r>
        <w:rPr>
          <w:rFonts w:hint="eastAsia" w:asciiTheme="minorEastAsia" w:hAnsiTheme="minorEastAsia" w:eastAsiaTheme="minorEastAsia"/>
          <w:color w:val="auto"/>
          <w:highlight w:val="none"/>
        </w:rPr>
        <w:t>出现特殊情况需要延长投标有效期的，招标人以书面形式通知所有投标人延长投标有效期。投标人应予以书面答复，同意延长的，不得要求或被允许修改其投标文件；投标人拒绝延长的，其投标失效</w:t>
      </w:r>
      <w:r>
        <w:rPr>
          <w:rFonts w:hint="eastAsia" w:asciiTheme="minorEastAsia" w:hAnsiTheme="minorEastAsia" w:eastAsiaTheme="minorEastAsia" w:cstheme="minorEastAsia"/>
          <w:color w:val="auto"/>
          <w:highlight w:val="none"/>
        </w:rPr>
        <w:t>。</w:t>
      </w:r>
    </w:p>
    <w:p>
      <w:pPr>
        <w:pStyle w:val="6"/>
        <w:spacing w:before="48" w:beforeLines="20" w:after="48" w:afterLines="20"/>
        <w:jc w:val="left"/>
        <w:rPr>
          <w:rFonts w:hint="eastAsia" w:asciiTheme="minorEastAsia" w:hAnsiTheme="minorEastAsia" w:eastAsiaTheme="minorEastAsia"/>
          <w:color w:val="auto"/>
          <w:highlight w:val="none"/>
          <w:lang w:eastAsia="zh"/>
        </w:rPr>
      </w:pPr>
      <w:bookmarkStart w:id="29" w:name="_Toc532744104"/>
      <w:r>
        <w:rPr>
          <w:rFonts w:asciiTheme="minorEastAsia" w:hAnsiTheme="minorEastAsia" w:eastAsiaTheme="minorEastAsia"/>
          <w:color w:val="auto"/>
          <w:highlight w:val="none"/>
        </w:rPr>
        <w:t xml:space="preserve">3.4 </w:t>
      </w:r>
      <w:r>
        <w:rPr>
          <w:rFonts w:hint="eastAsia" w:asciiTheme="minorEastAsia" w:hAnsiTheme="minorEastAsia" w:eastAsiaTheme="minorEastAsia"/>
          <w:color w:val="auto"/>
          <w:highlight w:val="none"/>
        </w:rPr>
        <w:t>投标保证金</w:t>
      </w:r>
      <w:bookmarkEnd w:id="29"/>
      <w:r>
        <w:rPr>
          <w:rFonts w:hint="eastAsia" w:asciiTheme="minorEastAsia" w:hAnsiTheme="minorEastAsia" w:eastAsiaTheme="minorEastAsia"/>
          <w:color w:val="auto"/>
          <w:highlight w:val="none"/>
          <w:lang w:eastAsia="zh"/>
        </w:rPr>
        <w:t>（本项目不要求递交投保保证金，本条不适用）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3.4.1 </w:t>
      </w:r>
      <w:r>
        <w:rPr>
          <w:rFonts w:hint="eastAsia" w:asciiTheme="minorEastAsia" w:hAnsiTheme="minorEastAsia" w:eastAsiaTheme="minorEastAsia"/>
          <w:color w:val="auto"/>
          <w:highlight w:val="none"/>
        </w:rPr>
        <w:t>投标人在递交投标文件的同时，应按投标人须知前附表规定的金额、形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3.4.2 </w:t>
      </w:r>
      <w:r>
        <w:rPr>
          <w:rFonts w:hint="eastAsia" w:asciiTheme="minorEastAsia" w:hAnsiTheme="minorEastAsia" w:eastAsiaTheme="minorEastAsia"/>
          <w:color w:val="auto"/>
          <w:highlight w:val="none"/>
        </w:rPr>
        <w:t>投标人不按本章第</w:t>
      </w:r>
      <w:r>
        <w:rPr>
          <w:rFonts w:asciiTheme="minorEastAsia" w:hAnsiTheme="minorEastAsia" w:eastAsiaTheme="minorEastAsia"/>
          <w:color w:val="auto"/>
          <w:highlight w:val="none"/>
        </w:rPr>
        <w:t xml:space="preserve"> 3.4.1 </w:t>
      </w:r>
      <w:r>
        <w:rPr>
          <w:rFonts w:hint="eastAsia" w:asciiTheme="minorEastAsia" w:hAnsiTheme="minorEastAsia" w:eastAsiaTheme="minorEastAsia"/>
          <w:color w:val="auto"/>
          <w:highlight w:val="none"/>
        </w:rPr>
        <w:t>项要求提交投标保证金的，评标委员会将否决其投标。</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3.4.3 </w:t>
      </w:r>
      <w:r>
        <w:rPr>
          <w:rFonts w:hint="eastAsia" w:asciiTheme="minorEastAsia" w:hAnsiTheme="minorEastAsia" w:eastAsiaTheme="minorEastAsia"/>
          <w:color w:val="auto"/>
          <w:highlight w:val="none"/>
        </w:rPr>
        <w:t>招标人最迟将在与中标人签订合同后</w:t>
      </w:r>
      <w:r>
        <w:rPr>
          <w:rFonts w:asciiTheme="minorEastAsia" w:hAnsiTheme="minorEastAsia" w:eastAsiaTheme="minorEastAsia"/>
          <w:color w:val="auto"/>
          <w:highlight w:val="none"/>
        </w:rPr>
        <w:t xml:space="preserve"> 5 </w:t>
      </w:r>
      <w:r>
        <w:rPr>
          <w:rFonts w:hint="eastAsia" w:asciiTheme="minorEastAsia" w:hAnsiTheme="minorEastAsia" w:eastAsiaTheme="minorEastAsia"/>
          <w:color w:val="auto"/>
          <w:highlight w:val="none"/>
        </w:rPr>
        <w:t>日内，向未中标的投标人和中标人退还投标保证金。</w:t>
      </w:r>
    </w:p>
    <w:p>
      <w:pPr>
        <w:spacing w:line="360" w:lineRule="auto"/>
        <w:ind w:firstLine="420" w:firstLineChars="200"/>
        <w:rPr>
          <w:rFonts w:asciiTheme="minorEastAsia" w:hAnsiTheme="minorEastAsia" w:eastAsiaTheme="minorEastAsia"/>
          <w:strike/>
          <w:color w:val="auto"/>
          <w:highlight w:val="none"/>
        </w:rPr>
      </w:pPr>
      <w:r>
        <w:rPr>
          <w:rFonts w:asciiTheme="minorEastAsia" w:hAnsiTheme="minorEastAsia" w:eastAsiaTheme="minorEastAsia"/>
          <w:color w:val="auto"/>
          <w:highlight w:val="none"/>
        </w:rPr>
        <w:t xml:space="preserve">3.4.4 </w:t>
      </w:r>
      <w:r>
        <w:rPr>
          <w:rFonts w:hint="eastAsia" w:asciiTheme="minorEastAsia" w:hAnsiTheme="minorEastAsia" w:eastAsiaTheme="minorEastAsia"/>
          <w:color w:val="auto"/>
          <w:highlight w:val="none"/>
        </w:rPr>
        <w:t>有下列情形之一的，投标保证金将不予退还：</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（1）投标人在投标有效期内撤销投标文件；</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2）中标人在收到中标通知书后，无正当理由不与招标人订立合同，在签订合同时向招标人提出附加条件，或者不按照招标文件要求提交履约保证金；</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3）发生投标人须知前附表规定的其他可以不予退还投标保证金的情形。</w:t>
      </w:r>
    </w:p>
    <w:p>
      <w:pPr>
        <w:pStyle w:val="6"/>
        <w:spacing w:before="48" w:beforeLines="20" w:after="48" w:afterLines="20"/>
        <w:jc w:val="left"/>
        <w:rPr>
          <w:rFonts w:asciiTheme="minorEastAsia" w:hAnsiTheme="minorEastAsia" w:eastAsiaTheme="minorEastAsia"/>
          <w:color w:val="auto"/>
          <w:highlight w:val="none"/>
        </w:rPr>
      </w:pPr>
      <w:bookmarkStart w:id="30" w:name="_Toc2901"/>
      <w:r>
        <w:rPr>
          <w:rFonts w:asciiTheme="minorEastAsia" w:hAnsiTheme="minorEastAsia" w:eastAsiaTheme="minorEastAsia"/>
          <w:color w:val="auto"/>
          <w:highlight w:val="none"/>
        </w:rPr>
        <w:t>3.5 资格审查资料（适用于未进行资格预审的）</w:t>
      </w:r>
      <w:bookmarkEnd w:id="30"/>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投标人须知前附表另有规定外，投标人应按下列规定提供资格审查资料，以证明其满足 本章第 1.4 款规定的资质、财务、业绩、信誉等要求。</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3.5.1 “投标人基本情况表”应附投标人营业执照或事业单位法人证书和组织机构代码证的复印件（按照“三证合一” 或“五证合一”登记制度进行登记的，可仅提供营业执照复印件或事业单位法人证书复印件）。</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3.5.2 本招标项目不要求提供“近年财务状况表”，投标人财务状况不作为资格审查内容。</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3.5.3 “近年承接的类似项目情况”应按评审要求提供证明资料；投标人业绩不作为资格审查内容。</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3.5.4 本招标项目不要求提供“近年发生的诉讼及仲裁情况”，诉讼及仲裁情况不作为资格审查内容。</w:t>
      </w:r>
    </w:p>
    <w:p>
      <w:pPr>
        <w:pStyle w:val="6"/>
        <w:spacing w:before="48" w:beforeLines="20" w:after="48" w:afterLines="20"/>
        <w:jc w:val="left"/>
        <w:rPr>
          <w:rFonts w:asciiTheme="minorEastAsia" w:hAnsiTheme="minorEastAsia" w:eastAsiaTheme="minorEastAsia"/>
          <w:color w:val="auto"/>
          <w:highlight w:val="none"/>
        </w:rPr>
      </w:pPr>
      <w:bookmarkStart w:id="31" w:name="_Toc532744105"/>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6</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备选投标方案</w:t>
      </w:r>
      <w:bookmarkEnd w:id="31"/>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6</w:t>
      </w:r>
      <w:r>
        <w:rPr>
          <w:rFonts w:asciiTheme="minorEastAsia" w:hAnsiTheme="minorEastAsia" w:eastAsiaTheme="minorEastAsia"/>
          <w:color w:val="auto"/>
          <w:highlight w:val="none"/>
        </w:rPr>
        <w:t xml:space="preserve">.1 </w:t>
      </w:r>
      <w:r>
        <w:rPr>
          <w:rFonts w:hint="eastAsia" w:asciiTheme="minorEastAsia" w:hAnsiTheme="minorEastAsia" w:eastAsiaTheme="minorEastAsia"/>
          <w:color w:val="auto"/>
          <w:highlight w:val="none"/>
        </w:rPr>
        <w:t>除投标人须知前附表规定允许外，投标人不得递交备选投标方案，否则其投标将被否决。</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6</w:t>
      </w:r>
      <w:r>
        <w:rPr>
          <w:rFonts w:asciiTheme="minorEastAsia" w:hAnsiTheme="minorEastAsia" w:eastAsiaTheme="minorEastAsia"/>
          <w:color w:val="auto"/>
          <w:highlight w:val="none"/>
        </w:rPr>
        <w:t xml:space="preserve">.2 </w:t>
      </w:r>
      <w:r>
        <w:rPr>
          <w:rFonts w:hint="eastAsia" w:asciiTheme="minorEastAsia" w:hAnsiTheme="minorEastAsia" w:eastAsiaTheme="minorEastAsia"/>
          <w:color w:val="auto"/>
          <w:highlight w:val="none"/>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6</w:t>
      </w:r>
      <w:r>
        <w:rPr>
          <w:rFonts w:asciiTheme="minorEastAsia" w:hAnsiTheme="minorEastAsia" w:eastAsiaTheme="minorEastAsia"/>
          <w:color w:val="auto"/>
          <w:highlight w:val="none"/>
        </w:rPr>
        <w:t xml:space="preserve">.3 </w:t>
      </w:r>
      <w:r>
        <w:rPr>
          <w:rFonts w:hint="eastAsia" w:asciiTheme="minorEastAsia" w:hAnsiTheme="minorEastAsia" w:eastAsiaTheme="minorEastAsia"/>
          <w:color w:val="auto"/>
          <w:highlight w:val="none"/>
        </w:rPr>
        <w:t>投标人提供两个或两个以上投标报价，或者在投标文件中提供一个报价，但同时提供两个或两个以上</w:t>
      </w:r>
      <w:r>
        <w:rPr>
          <w:rFonts w:hint="eastAsia" w:asciiTheme="minorEastAsia" w:hAnsiTheme="minorEastAsia" w:eastAsiaTheme="minorEastAsia"/>
          <w:color w:val="auto"/>
          <w:highlight w:val="none"/>
          <w:u w:val="single"/>
        </w:rPr>
        <w:t>投标</w:t>
      </w:r>
      <w:r>
        <w:rPr>
          <w:rFonts w:hint="eastAsia" w:asciiTheme="minorEastAsia" w:hAnsiTheme="minorEastAsia" w:eastAsiaTheme="minorEastAsia"/>
          <w:color w:val="auto"/>
          <w:highlight w:val="none"/>
        </w:rPr>
        <w:t>方案的，视为提供备选方案。</w:t>
      </w:r>
    </w:p>
    <w:p>
      <w:pPr>
        <w:pStyle w:val="6"/>
        <w:spacing w:before="48" w:beforeLines="20" w:after="48" w:afterLines="20"/>
        <w:jc w:val="left"/>
        <w:rPr>
          <w:rFonts w:asciiTheme="minorEastAsia" w:hAnsiTheme="minorEastAsia" w:eastAsiaTheme="minorEastAsia"/>
          <w:color w:val="auto"/>
          <w:highlight w:val="none"/>
        </w:rPr>
      </w:pPr>
      <w:bookmarkStart w:id="32" w:name="_Toc532744106"/>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7</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投标文件的编制</w:t>
      </w:r>
      <w:bookmarkEnd w:id="32"/>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7</w:t>
      </w:r>
      <w:r>
        <w:rPr>
          <w:rFonts w:asciiTheme="minorEastAsia" w:hAnsiTheme="minorEastAsia" w:eastAsiaTheme="minorEastAsia"/>
          <w:color w:val="auto"/>
          <w:highlight w:val="none"/>
        </w:rPr>
        <w:t xml:space="preserve">.1 </w:t>
      </w:r>
      <w:r>
        <w:rPr>
          <w:rFonts w:hint="eastAsia" w:asciiTheme="minorEastAsia" w:hAnsiTheme="minorEastAsia" w:eastAsiaTheme="minorEastAsia"/>
          <w:color w:val="auto"/>
          <w:highlight w:val="none"/>
        </w:rPr>
        <w:t>投标文件应按第六章“投标文件格式”进行编写，如有必要，可以增加附页，作为投标文件的组成部分。其中，投标函在满足招标文件实质性要求的基础上，可以提出比招标文件要求更有利于招标人的承诺。</w:t>
      </w:r>
    </w:p>
    <w:p>
      <w:pPr>
        <w:spacing w:line="360" w:lineRule="auto"/>
        <w:ind w:firstLine="420" w:firstLineChars="200"/>
        <w:rPr>
          <w:rFonts w:asciiTheme="minorEastAsia" w:hAnsiTheme="minorEastAsia" w:eastAsiaTheme="minorEastAsia"/>
          <w:strike/>
          <w:color w:val="auto"/>
          <w:szCs w:val="21"/>
          <w:highlight w:val="none"/>
        </w:rPr>
      </w:pP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7</w:t>
      </w:r>
      <w:r>
        <w:rPr>
          <w:rFonts w:asciiTheme="minorEastAsia" w:hAnsiTheme="minorEastAsia" w:eastAsiaTheme="minorEastAsia"/>
          <w:color w:val="auto"/>
          <w:highlight w:val="none"/>
        </w:rPr>
        <w:t xml:space="preserve">.2 </w:t>
      </w:r>
      <w:r>
        <w:rPr>
          <w:rFonts w:hint="eastAsia" w:asciiTheme="minorEastAsia" w:hAnsiTheme="minorEastAsia" w:eastAsiaTheme="minorEastAsia"/>
          <w:color w:val="auto"/>
          <w:highlight w:val="none"/>
        </w:rPr>
        <w:t>投标文件应当对招标文件有关服务期限、投标有效期、招标范围等实质性内容作出响应。</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7</w:t>
      </w: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B</w:t>
      </w:r>
      <w:r>
        <w:rPr>
          <w:rFonts w:hint="eastAsia" w:asciiTheme="minorEastAsia" w:hAnsiTheme="minorEastAsia" w:eastAsiaTheme="minorEastAsia"/>
          <w:color w:val="auto"/>
          <w:highlight w:val="none"/>
        </w:rPr>
        <w:t xml:space="preserve">） </w:t>
      </w:r>
      <w:r>
        <w:rPr>
          <w:rFonts w:asciiTheme="minorEastAsia" w:hAnsiTheme="minorEastAsia" w:eastAsiaTheme="minorEastAsia"/>
          <w:color w:val="auto"/>
          <w:highlight w:val="none"/>
        </w:rPr>
        <w:t>投标文件全部采用电子文档，除投标人须知前附表另有规定外，投标文件所附证书证件均为原件</w:t>
      </w:r>
      <w:r>
        <w:rPr>
          <w:rFonts w:hint="eastAsia" w:asciiTheme="minorEastAsia" w:hAnsiTheme="minorEastAsia" w:eastAsiaTheme="minorEastAsia"/>
          <w:color w:val="auto"/>
          <w:highlight w:val="none"/>
        </w:rPr>
        <w:t>复印件</w:t>
      </w:r>
      <w:r>
        <w:rPr>
          <w:rFonts w:asciiTheme="minorEastAsia" w:hAnsiTheme="minorEastAsia" w:eastAsiaTheme="minorEastAsia"/>
          <w:color w:val="auto"/>
          <w:highlight w:val="none"/>
        </w:rPr>
        <w:t>，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5"/>
        <w:rPr>
          <w:rFonts w:asciiTheme="minorEastAsia" w:hAnsiTheme="minorEastAsia" w:eastAsiaTheme="minorEastAsia"/>
          <w:color w:val="auto"/>
          <w:highlight w:val="none"/>
        </w:rPr>
      </w:pPr>
      <w:bookmarkStart w:id="33" w:name="_Toc532744107"/>
      <w:r>
        <w:rPr>
          <w:rFonts w:asciiTheme="minorEastAsia" w:hAnsiTheme="minorEastAsia" w:eastAsiaTheme="minorEastAsia"/>
          <w:color w:val="auto"/>
          <w:highlight w:val="none"/>
        </w:rPr>
        <w:t xml:space="preserve">4. </w:t>
      </w:r>
      <w:r>
        <w:rPr>
          <w:rFonts w:hint="eastAsia" w:asciiTheme="minorEastAsia" w:hAnsiTheme="minorEastAsia" w:eastAsiaTheme="minorEastAsia"/>
          <w:color w:val="auto"/>
          <w:highlight w:val="none"/>
        </w:rPr>
        <w:t>投标</w:t>
      </w:r>
      <w:bookmarkEnd w:id="33"/>
    </w:p>
    <w:p>
      <w:pPr>
        <w:pStyle w:val="6"/>
        <w:spacing w:before="48" w:beforeLines="20" w:after="48" w:afterLines="20"/>
        <w:jc w:val="left"/>
        <w:rPr>
          <w:rFonts w:asciiTheme="minorEastAsia" w:hAnsiTheme="minorEastAsia" w:eastAsiaTheme="minorEastAsia"/>
          <w:color w:val="auto"/>
          <w:highlight w:val="none"/>
        </w:rPr>
      </w:pPr>
      <w:bookmarkStart w:id="34" w:name="_Toc532744108"/>
      <w:r>
        <w:rPr>
          <w:rFonts w:asciiTheme="minorEastAsia" w:hAnsiTheme="minorEastAsia" w:eastAsiaTheme="minorEastAsia"/>
          <w:color w:val="auto"/>
          <w:highlight w:val="none"/>
        </w:rPr>
        <w:t xml:space="preserve">4.1 </w:t>
      </w:r>
      <w:r>
        <w:rPr>
          <w:rFonts w:hint="eastAsia" w:asciiTheme="minorEastAsia" w:hAnsiTheme="minorEastAsia" w:eastAsiaTheme="minorEastAsia"/>
          <w:color w:val="auto"/>
          <w:highlight w:val="none"/>
        </w:rPr>
        <w:t>投标文件的密封和标记</w:t>
      </w:r>
      <w:bookmarkEnd w:id="34"/>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4.1.1</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B</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投标人应当按照招标文件和电子招标投标交易平台的要求加密投标文件，具体要求见投标人须知前附表。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4.1.2 </w:t>
      </w:r>
      <w:r>
        <w:rPr>
          <w:rFonts w:hint="eastAsia" w:asciiTheme="minorEastAsia" w:hAnsiTheme="minorEastAsia" w:eastAsiaTheme="minorEastAsia"/>
          <w:color w:val="auto"/>
          <w:highlight w:val="none"/>
        </w:rPr>
        <w:t>投标文件封套上应写明的内容见投标人须知前附表。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4.1.3 </w:t>
      </w:r>
      <w:r>
        <w:rPr>
          <w:rFonts w:hint="eastAsia" w:asciiTheme="minorEastAsia" w:hAnsiTheme="minorEastAsia" w:eastAsiaTheme="minorEastAsia"/>
          <w:color w:val="auto"/>
          <w:highlight w:val="none"/>
        </w:rPr>
        <w:t>未按本章第</w:t>
      </w:r>
      <w:r>
        <w:rPr>
          <w:rFonts w:asciiTheme="minorEastAsia" w:hAnsiTheme="minorEastAsia" w:eastAsiaTheme="minorEastAsia"/>
          <w:color w:val="auto"/>
          <w:highlight w:val="none"/>
        </w:rPr>
        <w:t xml:space="preserve"> 4.1.1 </w:t>
      </w:r>
      <w:r>
        <w:rPr>
          <w:rFonts w:hint="eastAsia" w:asciiTheme="minorEastAsia" w:hAnsiTheme="minorEastAsia" w:eastAsiaTheme="minorEastAsia"/>
          <w:color w:val="auto"/>
          <w:highlight w:val="none"/>
        </w:rPr>
        <w:t>项要求密封的投标文件，招标人将予以拒收。</w:t>
      </w:r>
    </w:p>
    <w:p>
      <w:pPr>
        <w:pStyle w:val="6"/>
        <w:spacing w:before="48" w:beforeLines="20" w:after="48" w:afterLines="20"/>
        <w:jc w:val="left"/>
        <w:rPr>
          <w:rFonts w:asciiTheme="minorEastAsia" w:hAnsiTheme="minorEastAsia" w:eastAsiaTheme="minorEastAsia"/>
          <w:color w:val="auto"/>
          <w:highlight w:val="none"/>
        </w:rPr>
      </w:pPr>
      <w:bookmarkStart w:id="35" w:name="_Toc532744109"/>
      <w:r>
        <w:rPr>
          <w:rFonts w:asciiTheme="minorEastAsia" w:hAnsiTheme="minorEastAsia" w:eastAsiaTheme="minorEastAsia"/>
          <w:color w:val="auto"/>
          <w:highlight w:val="none"/>
        </w:rPr>
        <w:t xml:space="preserve">4.2 </w:t>
      </w:r>
      <w:r>
        <w:rPr>
          <w:rFonts w:hint="eastAsia" w:asciiTheme="minorEastAsia" w:hAnsiTheme="minorEastAsia" w:eastAsiaTheme="minorEastAsia"/>
          <w:color w:val="auto"/>
          <w:highlight w:val="none"/>
        </w:rPr>
        <w:t>投标文件的递交</w:t>
      </w:r>
      <w:bookmarkEnd w:id="35"/>
    </w:p>
    <w:p>
      <w:pPr>
        <w:spacing w:line="360" w:lineRule="auto"/>
        <w:ind w:firstLine="420" w:firstLineChars="200"/>
        <w:rPr>
          <w:rFonts w:asciiTheme="minorEastAsia" w:hAnsiTheme="minorEastAsia" w:eastAsiaTheme="minorEastAsia"/>
          <w:strike/>
          <w:color w:val="auto"/>
          <w:szCs w:val="21"/>
          <w:highlight w:val="none"/>
        </w:rPr>
      </w:pPr>
      <w:r>
        <w:rPr>
          <w:rFonts w:asciiTheme="minorEastAsia" w:hAnsiTheme="minorEastAsia" w:eastAsiaTheme="minorEastAsia"/>
          <w:color w:val="auto"/>
          <w:highlight w:val="none"/>
        </w:rPr>
        <w:t xml:space="preserve">4.2.1 </w:t>
      </w:r>
      <w:r>
        <w:rPr>
          <w:rFonts w:hint="eastAsia" w:asciiTheme="minorEastAsia" w:hAnsiTheme="minorEastAsia" w:eastAsiaTheme="minorEastAsia"/>
          <w:color w:val="auto"/>
          <w:highlight w:val="none"/>
        </w:rPr>
        <w:t>投标人应在投标人须知前附表规定的投标截止时间前递交投标文件。</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4.2.2</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B</w:t>
      </w:r>
      <w:r>
        <w:rPr>
          <w:rFonts w:hint="eastAsia" w:asciiTheme="minorEastAsia" w:hAnsiTheme="minorEastAsia" w:eastAsiaTheme="minorEastAsia" w:cstheme="minorEastAsia"/>
          <w:color w:val="auto"/>
          <w:szCs w:val="21"/>
          <w:highlight w:val="none"/>
        </w:rPr>
        <w:t>）</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投标人通过下载招标文件的电子招标投标交易平台递交电子投标文件。</w:t>
      </w:r>
    </w:p>
    <w:p>
      <w:pPr>
        <w:spacing w:line="360" w:lineRule="auto"/>
        <w:ind w:firstLine="420" w:firstLineChars="200"/>
        <w:rPr>
          <w:rFonts w:asciiTheme="minorEastAsia" w:hAnsiTheme="minorEastAsia" w:eastAsiaTheme="minorEastAsia"/>
          <w:strike/>
          <w:color w:val="auto"/>
          <w:szCs w:val="21"/>
          <w:highlight w:val="none"/>
        </w:rPr>
      </w:pPr>
      <w:r>
        <w:rPr>
          <w:rFonts w:asciiTheme="minorEastAsia" w:hAnsiTheme="minorEastAsia" w:eastAsiaTheme="minorEastAsia"/>
          <w:color w:val="auto"/>
          <w:highlight w:val="none"/>
        </w:rPr>
        <w:t xml:space="preserve">4.2.3 </w:t>
      </w:r>
      <w:r>
        <w:rPr>
          <w:rFonts w:hint="eastAsia" w:asciiTheme="minorEastAsia" w:hAnsiTheme="minorEastAsia" w:eastAsiaTheme="minorEastAsia"/>
          <w:color w:val="auto"/>
          <w:highlight w:val="none"/>
        </w:rPr>
        <w:t>除投标人须知前附表另有规定外，投标人所递交的投标文件不予退还。</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4.2.4</w:t>
      </w:r>
      <w:r>
        <w:rPr>
          <w:rFonts w:hint="eastAsia" w:asciiTheme="minorEastAsia" w:hAnsiTheme="minorEastAsia" w:eastAsiaTheme="minorEastAsia"/>
          <w:color w:val="auto"/>
          <w:highlight w:val="none"/>
        </w:rPr>
        <w:t xml:space="preserve"> </w:t>
      </w:r>
      <w:r>
        <w:rPr>
          <w:rFonts w:asciiTheme="minorEastAsia" w:hAnsiTheme="minorEastAsia" w:eastAsiaTheme="minorEastAsia"/>
          <w:color w:val="auto"/>
          <w:highlight w:val="none"/>
        </w:rPr>
        <w:t>投标人完成电子投标文件上传后，电子招标投标交易平台即时向投标人发出递交回执通知。递交时间以递交回执通知载明的传输完成时间为准。</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4.2.5 </w:t>
      </w:r>
      <w:r>
        <w:rPr>
          <w:rFonts w:hint="eastAsia" w:asciiTheme="minorEastAsia" w:hAnsiTheme="minorEastAsia" w:eastAsiaTheme="minorEastAsia"/>
          <w:color w:val="auto"/>
          <w:highlight w:val="none"/>
        </w:rPr>
        <w:t>逾期送达的投标文件，电子招标投标交易平台将予以拒收。</w:t>
      </w:r>
    </w:p>
    <w:p>
      <w:pPr>
        <w:pStyle w:val="6"/>
        <w:spacing w:before="48" w:beforeLines="20" w:after="48" w:afterLines="20"/>
        <w:jc w:val="left"/>
        <w:rPr>
          <w:rFonts w:asciiTheme="minorEastAsia" w:hAnsiTheme="minorEastAsia" w:eastAsiaTheme="minorEastAsia"/>
          <w:color w:val="auto"/>
          <w:highlight w:val="none"/>
        </w:rPr>
      </w:pPr>
      <w:bookmarkStart w:id="36" w:name="_Toc532744110"/>
      <w:r>
        <w:rPr>
          <w:rFonts w:asciiTheme="minorEastAsia" w:hAnsiTheme="minorEastAsia" w:eastAsiaTheme="minorEastAsia"/>
          <w:color w:val="auto"/>
          <w:highlight w:val="none"/>
        </w:rPr>
        <w:t xml:space="preserve">4.3 </w:t>
      </w:r>
      <w:r>
        <w:rPr>
          <w:rFonts w:hint="eastAsia" w:asciiTheme="minorEastAsia" w:hAnsiTheme="minorEastAsia" w:eastAsiaTheme="minorEastAsia"/>
          <w:color w:val="auto"/>
          <w:highlight w:val="none"/>
        </w:rPr>
        <w:t>投标文件的修改与撤回</w:t>
      </w:r>
      <w:bookmarkEnd w:id="36"/>
    </w:p>
    <w:p>
      <w:pPr>
        <w:spacing w:line="360" w:lineRule="auto"/>
        <w:ind w:firstLine="420" w:firstLineChars="200"/>
        <w:rPr>
          <w:rFonts w:asciiTheme="minorEastAsia" w:hAnsiTheme="minorEastAsia" w:eastAsiaTheme="minorEastAsia"/>
          <w:strike/>
          <w:color w:val="auto"/>
          <w:szCs w:val="21"/>
          <w:highlight w:val="none"/>
        </w:rPr>
      </w:pPr>
      <w:r>
        <w:rPr>
          <w:rFonts w:asciiTheme="minorEastAsia" w:hAnsiTheme="minorEastAsia" w:eastAsiaTheme="minorEastAsia"/>
          <w:color w:val="auto"/>
          <w:highlight w:val="none"/>
        </w:rPr>
        <w:t xml:space="preserve">4.3.1 </w:t>
      </w:r>
      <w:r>
        <w:rPr>
          <w:rFonts w:hint="eastAsia" w:asciiTheme="minorEastAsia" w:hAnsiTheme="minorEastAsia" w:eastAsiaTheme="minorEastAsia"/>
          <w:color w:val="auto"/>
          <w:highlight w:val="none"/>
        </w:rPr>
        <w:t>在本章第</w:t>
      </w:r>
      <w:r>
        <w:rPr>
          <w:rFonts w:asciiTheme="minorEastAsia" w:hAnsiTheme="minorEastAsia" w:eastAsiaTheme="minorEastAsia"/>
          <w:color w:val="auto"/>
          <w:highlight w:val="none"/>
        </w:rPr>
        <w:t xml:space="preserve"> 4.2.1 </w:t>
      </w:r>
      <w:r>
        <w:rPr>
          <w:rFonts w:hint="eastAsia" w:asciiTheme="minorEastAsia" w:hAnsiTheme="minorEastAsia" w:eastAsiaTheme="minorEastAsia"/>
          <w:color w:val="auto"/>
          <w:highlight w:val="none"/>
        </w:rPr>
        <w:t>项规定的投标截止时间前，投标人可以修改或撤回已递交的投标文件，但应以书面形式通知招标人。</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4.3.2 </w:t>
      </w:r>
      <w:r>
        <w:rPr>
          <w:rFonts w:hint="eastAsia" w:asciiTheme="minorEastAsia" w:hAnsiTheme="minorEastAsia" w:eastAsiaTheme="minorEastAsia"/>
          <w:color w:val="auto"/>
          <w:highlight w:val="none"/>
        </w:rPr>
        <w:t>投标人修改或撤回已递交投标文件的通知，应按照本章第</w:t>
      </w:r>
      <w:r>
        <w:rPr>
          <w:rFonts w:asciiTheme="minorEastAsia" w:hAnsiTheme="minorEastAsia" w:eastAsiaTheme="minorEastAsia"/>
          <w:color w:val="auto"/>
          <w:highlight w:val="none"/>
        </w:rPr>
        <w:t xml:space="preserve"> 3.</w:t>
      </w:r>
      <w:r>
        <w:rPr>
          <w:rFonts w:hint="eastAsia" w:asciiTheme="minorEastAsia" w:hAnsiTheme="minorEastAsia" w:eastAsiaTheme="minorEastAsia"/>
          <w:color w:val="auto"/>
          <w:highlight w:val="none"/>
        </w:rPr>
        <w:t>7</w:t>
      </w:r>
      <w:r>
        <w:rPr>
          <w:rFonts w:asciiTheme="minorEastAsia" w:hAnsiTheme="minorEastAsia" w:eastAsiaTheme="minorEastAsia"/>
          <w:color w:val="auto"/>
          <w:highlight w:val="none"/>
        </w:rPr>
        <w:t>.3项的要求加盖电子印章。电子招标投标交易平台收到通知后，即时向投标人发出确认回执通知。</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4.3.</w:t>
      </w:r>
      <w:r>
        <w:rPr>
          <w:rFonts w:hint="eastAsia" w:asciiTheme="minorEastAsia" w:hAnsiTheme="minorEastAsia" w:eastAsiaTheme="minorEastAsia"/>
          <w:color w:val="auto"/>
          <w:highlight w:val="none"/>
          <w:lang w:eastAsia="zh"/>
        </w:rPr>
        <w:t>3</w:t>
      </w:r>
      <w:r>
        <w:rPr>
          <w:rFonts w:hint="eastAsia" w:asciiTheme="minorEastAsia" w:hAnsiTheme="minorEastAsia" w:eastAsiaTheme="minorEastAsia"/>
          <w:color w:val="auto"/>
          <w:highlight w:val="none"/>
        </w:rPr>
        <w:t>修改的内容为投标文件的组成部分。修改的投标文件应按照本章第</w:t>
      </w:r>
      <w:r>
        <w:rPr>
          <w:rFonts w:asciiTheme="minorEastAsia" w:hAnsiTheme="minorEastAsia" w:eastAsiaTheme="minorEastAsia"/>
          <w:color w:val="auto"/>
          <w:highlight w:val="none"/>
        </w:rPr>
        <w:t xml:space="preserve"> 3 </w:t>
      </w:r>
      <w:r>
        <w:rPr>
          <w:rFonts w:hint="eastAsia" w:asciiTheme="minorEastAsia" w:hAnsiTheme="minorEastAsia" w:eastAsiaTheme="minorEastAsia"/>
          <w:color w:val="auto"/>
          <w:highlight w:val="none"/>
        </w:rPr>
        <w:t>条、第</w:t>
      </w:r>
      <w:r>
        <w:rPr>
          <w:rFonts w:asciiTheme="minorEastAsia" w:hAnsiTheme="minorEastAsia" w:eastAsiaTheme="minorEastAsia"/>
          <w:color w:val="auto"/>
          <w:highlight w:val="none"/>
        </w:rPr>
        <w:t xml:space="preserve"> 4 </w:t>
      </w:r>
      <w:r>
        <w:rPr>
          <w:rFonts w:hint="eastAsia" w:asciiTheme="minorEastAsia" w:hAnsiTheme="minorEastAsia" w:eastAsiaTheme="minorEastAsia"/>
          <w:color w:val="auto"/>
          <w:highlight w:val="none"/>
        </w:rPr>
        <w:t>条的规定进行编制、密封、标记和递交，并标明“修改”字样。</w:t>
      </w:r>
    </w:p>
    <w:p>
      <w:pPr>
        <w:pStyle w:val="5"/>
        <w:rPr>
          <w:rFonts w:asciiTheme="minorEastAsia" w:hAnsiTheme="minorEastAsia" w:eastAsiaTheme="minorEastAsia"/>
          <w:color w:val="auto"/>
          <w:highlight w:val="none"/>
        </w:rPr>
      </w:pPr>
      <w:bookmarkStart w:id="37" w:name="_Toc532744111"/>
      <w:r>
        <w:rPr>
          <w:rFonts w:asciiTheme="minorEastAsia" w:hAnsiTheme="minorEastAsia" w:eastAsiaTheme="minorEastAsia"/>
          <w:color w:val="auto"/>
          <w:highlight w:val="none"/>
        </w:rPr>
        <w:t xml:space="preserve">5. </w:t>
      </w:r>
      <w:r>
        <w:rPr>
          <w:rFonts w:hint="eastAsia" w:asciiTheme="minorEastAsia" w:hAnsiTheme="minorEastAsia" w:eastAsiaTheme="minorEastAsia"/>
          <w:color w:val="auto"/>
          <w:highlight w:val="none"/>
        </w:rPr>
        <w:t>开标</w:t>
      </w:r>
      <w:bookmarkEnd w:id="37"/>
    </w:p>
    <w:p>
      <w:pPr>
        <w:pStyle w:val="6"/>
        <w:spacing w:before="48" w:beforeLines="20" w:after="48" w:afterLines="20"/>
        <w:jc w:val="left"/>
        <w:rPr>
          <w:rFonts w:asciiTheme="minorEastAsia" w:hAnsiTheme="minorEastAsia" w:eastAsiaTheme="minorEastAsia"/>
          <w:color w:val="auto"/>
          <w:highlight w:val="none"/>
        </w:rPr>
      </w:pPr>
      <w:bookmarkStart w:id="38" w:name="_Toc532744112"/>
      <w:r>
        <w:rPr>
          <w:rFonts w:asciiTheme="minorEastAsia" w:hAnsiTheme="minorEastAsia" w:eastAsiaTheme="minorEastAsia"/>
          <w:color w:val="auto"/>
          <w:highlight w:val="none"/>
        </w:rPr>
        <w:t xml:space="preserve">5.1 </w:t>
      </w:r>
      <w:r>
        <w:rPr>
          <w:rFonts w:hint="eastAsia" w:asciiTheme="minorEastAsia" w:hAnsiTheme="minorEastAsia" w:eastAsiaTheme="minorEastAsia"/>
          <w:color w:val="auto"/>
          <w:highlight w:val="none"/>
        </w:rPr>
        <w:t>（B）开标时间和地点</w:t>
      </w:r>
      <w:bookmarkEnd w:id="38"/>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招标人在本章第</w:t>
      </w:r>
      <w:r>
        <w:rPr>
          <w:rFonts w:asciiTheme="minorEastAsia" w:hAnsiTheme="minorEastAsia" w:eastAsiaTheme="minorEastAsia"/>
          <w:color w:val="auto"/>
          <w:highlight w:val="none"/>
        </w:rPr>
        <w:t>4.2.1</w:t>
      </w:r>
      <w:r>
        <w:rPr>
          <w:rFonts w:hint="eastAsia" w:asciiTheme="minorEastAsia" w:hAnsiTheme="minorEastAsia" w:eastAsiaTheme="minorEastAsia"/>
          <w:color w:val="auto"/>
          <w:highlight w:val="none"/>
        </w:rPr>
        <w:t>项规定的投标截止时间（开标时间）</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通过电子招标投标交易平台公开开标。开标时，投标人代表有权出席开标会，也可以自主决定不参加开标会，若投标人代表对开标过程提出异议，该投标人代表须同时出示本人身份证原件。</w:t>
      </w:r>
    </w:p>
    <w:p>
      <w:pPr>
        <w:pStyle w:val="6"/>
        <w:spacing w:before="48" w:beforeLines="20" w:after="48" w:afterLines="20"/>
        <w:jc w:val="left"/>
        <w:rPr>
          <w:rFonts w:asciiTheme="minorEastAsia" w:hAnsiTheme="minorEastAsia" w:eastAsiaTheme="minorEastAsia"/>
          <w:color w:val="auto"/>
          <w:highlight w:val="none"/>
        </w:rPr>
      </w:pPr>
      <w:bookmarkStart w:id="39" w:name="_Toc532744113"/>
      <w:r>
        <w:rPr>
          <w:rFonts w:asciiTheme="minorEastAsia" w:hAnsiTheme="minorEastAsia" w:eastAsiaTheme="minorEastAsia"/>
          <w:color w:val="auto"/>
          <w:highlight w:val="none"/>
        </w:rPr>
        <w:t xml:space="preserve">5.2 </w:t>
      </w:r>
      <w:r>
        <w:rPr>
          <w:rFonts w:hint="eastAsia" w:asciiTheme="minorEastAsia" w:hAnsiTheme="minorEastAsia" w:eastAsiaTheme="minorEastAsia"/>
          <w:color w:val="auto"/>
          <w:highlight w:val="none"/>
        </w:rPr>
        <w:t>（B）开标程序</w:t>
      </w:r>
      <w:bookmarkEnd w:id="39"/>
    </w:p>
    <w:p>
      <w:pPr>
        <w:spacing w:line="360" w:lineRule="auto"/>
        <w:ind w:firstLine="420" w:firstLineChars="200"/>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u w:val="single"/>
        </w:rPr>
        <w:t>5.2.1</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主持人按下列程序进行开标：</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u w:val="single"/>
        </w:rPr>
        <w:t>（</w:t>
      </w:r>
      <w:r>
        <w:rPr>
          <w:rFonts w:asciiTheme="minorEastAsia" w:hAnsiTheme="minorEastAsia" w:eastAsiaTheme="minorEastAsia"/>
          <w:color w:val="auto"/>
          <w:highlight w:val="none"/>
          <w:u w:val="single"/>
        </w:rPr>
        <w:t>1）宣布开标纪律；</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u w:val="single"/>
        </w:rPr>
        <w:t>（</w:t>
      </w:r>
      <w:r>
        <w:rPr>
          <w:rFonts w:asciiTheme="minorEastAsia" w:hAnsiTheme="minorEastAsia" w:eastAsiaTheme="minorEastAsia"/>
          <w:color w:val="auto"/>
          <w:highlight w:val="none"/>
          <w:u w:val="single"/>
        </w:rPr>
        <w:t>2）公布在投标截止时间前递交投标文件的投标人名称；</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u w:val="single"/>
        </w:rPr>
        <w:t>（</w:t>
      </w:r>
      <w:r>
        <w:rPr>
          <w:rFonts w:asciiTheme="minorEastAsia" w:hAnsiTheme="minorEastAsia" w:eastAsiaTheme="minorEastAsia"/>
          <w:color w:val="auto"/>
          <w:highlight w:val="none"/>
          <w:u w:val="single"/>
        </w:rPr>
        <w:t>3）宣布开标人、唱标人、记录人、监标人等有关人员姓名；</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u w:val="single"/>
        </w:rPr>
        <w:t>（</w:t>
      </w:r>
      <w:r>
        <w:rPr>
          <w:rFonts w:asciiTheme="minorEastAsia" w:hAnsiTheme="minorEastAsia" w:eastAsiaTheme="minorEastAsia"/>
          <w:color w:val="auto"/>
          <w:highlight w:val="none"/>
          <w:u w:val="single"/>
        </w:rPr>
        <w:t>4）投标人通过电子招标投标交易平台对已递交的电子投标文件进行解密，公布招标项目名称、投标人名称、投标报价、服务期限及其他内容，并记录在案；</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u w:val="single"/>
        </w:rPr>
        <w:t>（</w:t>
      </w:r>
      <w:r>
        <w:rPr>
          <w:rFonts w:asciiTheme="minorEastAsia" w:hAnsiTheme="minorEastAsia" w:eastAsiaTheme="minorEastAsia"/>
          <w:color w:val="auto"/>
          <w:highlight w:val="none"/>
          <w:u w:val="single"/>
        </w:rPr>
        <w:t>5）投标人代表、招标人代表、监标人、记录人等有关人员在开标记录上签字确认；若有关人员不签字的，不影响开标程序；</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u w:val="single"/>
        </w:rPr>
        <w:t>（</w:t>
      </w:r>
      <w:r>
        <w:rPr>
          <w:rFonts w:asciiTheme="minorEastAsia" w:hAnsiTheme="minorEastAsia" w:eastAsiaTheme="minorEastAsia"/>
          <w:color w:val="auto"/>
          <w:highlight w:val="none"/>
          <w:u w:val="single"/>
        </w:rPr>
        <w:t>6）开标结束。</w:t>
      </w:r>
    </w:p>
    <w:p>
      <w:pPr>
        <w:spacing w:line="360" w:lineRule="auto"/>
        <w:ind w:firstLine="420" w:firstLineChars="200"/>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u w:val="single"/>
        </w:rPr>
        <w:t>5.2.2</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投标截止时间前未完成投标文件传输的或因投标人之外的原因造成投标文件未解密的，视为投标人其撤回投标文件。因投标人原因造成投标文件未解密的或未在投标截止时间后半小时解密的，视为撤销其投标文件。</w:t>
      </w:r>
    </w:p>
    <w:p>
      <w:pPr>
        <w:spacing w:line="360" w:lineRule="auto"/>
        <w:ind w:firstLine="420" w:firstLineChars="200"/>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u w:val="single"/>
        </w:rPr>
        <w:t>5.2.3</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开标时，两个（含两个）以上的投标人加密打包投标文件电脑机器特征码一致的，不参与下一程序，并由评标委员会否决其投标。</w:t>
      </w:r>
    </w:p>
    <w:p>
      <w:pPr>
        <w:pStyle w:val="6"/>
        <w:spacing w:before="48" w:beforeLines="20" w:after="48" w:afterLines="20"/>
        <w:jc w:val="left"/>
        <w:rPr>
          <w:rFonts w:asciiTheme="minorEastAsia" w:hAnsiTheme="minorEastAsia" w:eastAsiaTheme="minorEastAsia"/>
          <w:color w:val="auto"/>
          <w:highlight w:val="none"/>
          <w:u w:val="single"/>
        </w:rPr>
      </w:pPr>
      <w:bookmarkStart w:id="40" w:name="_Toc532744114"/>
      <w:r>
        <w:rPr>
          <w:rFonts w:asciiTheme="minorEastAsia" w:hAnsiTheme="minorEastAsia" w:eastAsiaTheme="minorEastAsia"/>
          <w:color w:val="auto"/>
          <w:highlight w:val="none"/>
          <w:u w:val="single"/>
        </w:rPr>
        <w:t xml:space="preserve">5.3 </w:t>
      </w:r>
      <w:r>
        <w:rPr>
          <w:rFonts w:hint="eastAsia" w:asciiTheme="minorEastAsia" w:hAnsiTheme="minorEastAsia" w:eastAsiaTheme="minorEastAsia"/>
          <w:color w:val="auto"/>
          <w:highlight w:val="none"/>
          <w:u w:val="single"/>
        </w:rPr>
        <w:t>开标异议</w:t>
      </w:r>
      <w:bookmarkEnd w:id="40"/>
    </w:p>
    <w:p>
      <w:pPr>
        <w:keepNext w:val="0"/>
        <w:keepLines w:val="0"/>
        <w:widowControl w:val="0"/>
        <w:suppressLineNumbers w:val="0"/>
        <w:spacing w:before="0" w:beforeAutospacing="0" w:after="0" w:afterAutospacing="0" w:line="360" w:lineRule="auto"/>
        <w:ind w:left="0" w:right="0" w:firstLine="422" w:firstLineChars="200"/>
        <w:jc w:val="both"/>
        <w:rPr>
          <w:rFonts w:asciiTheme="minorEastAsia" w:hAnsiTheme="minorEastAsia" w:eastAsiaTheme="minorEastAsia"/>
          <w:b/>
          <w:bCs/>
          <w:color w:val="auto"/>
          <w:highlight w:val="none"/>
          <w:u w:val="single"/>
        </w:rPr>
      </w:pPr>
      <w:r>
        <w:rPr>
          <w:rFonts w:hint="eastAsia" w:asciiTheme="minorEastAsia" w:hAnsiTheme="minorEastAsia" w:eastAsiaTheme="minorEastAsia"/>
          <w:b/>
          <w:bCs/>
          <w:color w:val="auto"/>
          <w:highlight w:val="none"/>
          <w:u w:val="single"/>
          <w:lang w:val="en-US" w:eastAsia="zh-CN"/>
        </w:rPr>
        <w:t>投标人对开标有异议的，应当在开标时通过电子交易系统提出，招标人应当对投标人提出的异议当场作出答复，并在电子交易系统中如实记录。参加现场开标会的投标人，对开标有异议的，应当在开标现场提出，招标人应当当场作出答复，并制作记录。</w:t>
      </w:r>
    </w:p>
    <w:p>
      <w:pPr>
        <w:pStyle w:val="5"/>
        <w:rPr>
          <w:rFonts w:asciiTheme="minorEastAsia" w:hAnsiTheme="minorEastAsia" w:eastAsiaTheme="minorEastAsia"/>
          <w:color w:val="auto"/>
          <w:highlight w:val="none"/>
        </w:rPr>
      </w:pPr>
      <w:bookmarkStart w:id="41" w:name="_Toc532744115"/>
      <w:r>
        <w:rPr>
          <w:rFonts w:asciiTheme="minorEastAsia" w:hAnsiTheme="minorEastAsia" w:eastAsiaTheme="minorEastAsia"/>
          <w:color w:val="auto"/>
          <w:highlight w:val="none"/>
        </w:rPr>
        <w:t xml:space="preserve">6. </w:t>
      </w:r>
      <w:r>
        <w:rPr>
          <w:rFonts w:hint="eastAsia" w:asciiTheme="minorEastAsia" w:hAnsiTheme="minorEastAsia" w:eastAsiaTheme="minorEastAsia"/>
          <w:color w:val="auto"/>
          <w:highlight w:val="none"/>
        </w:rPr>
        <w:t>评标</w:t>
      </w:r>
      <w:bookmarkEnd w:id="41"/>
    </w:p>
    <w:p>
      <w:pPr>
        <w:pStyle w:val="6"/>
        <w:spacing w:before="48" w:beforeLines="20" w:after="48" w:afterLines="20"/>
        <w:jc w:val="left"/>
        <w:rPr>
          <w:rFonts w:asciiTheme="minorEastAsia" w:hAnsiTheme="minorEastAsia" w:eastAsiaTheme="minorEastAsia"/>
          <w:color w:val="auto"/>
          <w:highlight w:val="none"/>
        </w:rPr>
      </w:pPr>
      <w:bookmarkStart w:id="42" w:name="_Toc532744116"/>
      <w:r>
        <w:rPr>
          <w:rFonts w:asciiTheme="minorEastAsia" w:hAnsiTheme="minorEastAsia" w:eastAsiaTheme="minorEastAsia"/>
          <w:color w:val="auto"/>
          <w:highlight w:val="none"/>
        </w:rPr>
        <w:t xml:space="preserve">6.1 </w:t>
      </w:r>
      <w:r>
        <w:rPr>
          <w:rFonts w:hint="eastAsia" w:asciiTheme="minorEastAsia" w:hAnsiTheme="minorEastAsia" w:eastAsiaTheme="minorEastAsia"/>
          <w:color w:val="auto"/>
          <w:highlight w:val="none"/>
        </w:rPr>
        <w:t>评标委员会</w:t>
      </w:r>
      <w:bookmarkEnd w:id="42"/>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6.1.1 </w:t>
      </w:r>
      <w:r>
        <w:rPr>
          <w:rFonts w:hint="eastAsia" w:asciiTheme="minorEastAsia" w:hAnsiTheme="minorEastAsia" w:eastAsiaTheme="minorEastAsia"/>
          <w:color w:val="auto"/>
          <w:highlight w:val="none"/>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6.1.2 </w:t>
      </w:r>
      <w:r>
        <w:rPr>
          <w:rFonts w:hint="eastAsia" w:asciiTheme="minorEastAsia" w:hAnsiTheme="minorEastAsia" w:eastAsiaTheme="minorEastAsia"/>
          <w:color w:val="auto"/>
          <w:highlight w:val="none"/>
        </w:rPr>
        <w:t>评标委员会成员有下列情形之一的，应当回避：</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1）投标人或投标人主要负责人的近亲属；</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2）项目主管部门或者行政监督部门的人员；</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3）与投标人有经济利益关系，可能影响对投标公正评审的；</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4）曾因在招标、评标以及其他与招标投标有关活动中从事违法行为而受过行政处罚或刑事处罚的；</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5）与投标人有其他利害关系。</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6.1.3 </w:t>
      </w:r>
      <w:r>
        <w:rPr>
          <w:rFonts w:hint="eastAsia" w:asciiTheme="minorEastAsia" w:hAnsiTheme="minorEastAsia" w:eastAsiaTheme="minorEastAsia"/>
          <w:color w:val="auto"/>
          <w:highlight w:val="none"/>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6"/>
        <w:spacing w:before="48" w:beforeLines="20" w:after="48" w:afterLines="20"/>
        <w:jc w:val="left"/>
        <w:rPr>
          <w:rFonts w:asciiTheme="minorEastAsia" w:hAnsiTheme="minorEastAsia" w:eastAsiaTheme="minorEastAsia"/>
          <w:color w:val="auto"/>
          <w:highlight w:val="none"/>
        </w:rPr>
      </w:pPr>
      <w:bookmarkStart w:id="43" w:name="_Toc532744117"/>
      <w:r>
        <w:rPr>
          <w:rFonts w:asciiTheme="minorEastAsia" w:hAnsiTheme="minorEastAsia" w:eastAsiaTheme="minorEastAsia"/>
          <w:color w:val="auto"/>
          <w:highlight w:val="none"/>
        </w:rPr>
        <w:t xml:space="preserve">6.2 </w:t>
      </w:r>
      <w:r>
        <w:rPr>
          <w:rFonts w:hint="eastAsia" w:asciiTheme="minorEastAsia" w:hAnsiTheme="minorEastAsia" w:eastAsiaTheme="minorEastAsia"/>
          <w:color w:val="auto"/>
          <w:highlight w:val="none"/>
        </w:rPr>
        <w:t>评标原则</w:t>
      </w:r>
      <w:bookmarkEnd w:id="43"/>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评标活动遵循公平、公正、科学和择优的原则。</w:t>
      </w:r>
    </w:p>
    <w:p>
      <w:pPr>
        <w:pStyle w:val="6"/>
        <w:spacing w:before="48" w:beforeLines="20" w:after="48" w:afterLines="20"/>
        <w:jc w:val="left"/>
        <w:rPr>
          <w:rFonts w:asciiTheme="minorEastAsia" w:hAnsiTheme="minorEastAsia" w:eastAsiaTheme="minorEastAsia"/>
          <w:color w:val="auto"/>
          <w:highlight w:val="none"/>
        </w:rPr>
      </w:pPr>
      <w:bookmarkStart w:id="44" w:name="_Toc532744118"/>
      <w:r>
        <w:rPr>
          <w:rFonts w:asciiTheme="minorEastAsia" w:hAnsiTheme="minorEastAsia" w:eastAsiaTheme="minorEastAsia"/>
          <w:color w:val="auto"/>
          <w:highlight w:val="none"/>
        </w:rPr>
        <w:t xml:space="preserve">6.3 </w:t>
      </w:r>
      <w:r>
        <w:rPr>
          <w:rFonts w:hint="eastAsia" w:asciiTheme="minorEastAsia" w:hAnsiTheme="minorEastAsia" w:eastAsiaTheme="minorEastAsia"/>
          <w:color w:val="auto"/>
          <w:highlight w:val="none"/>
        </w:rPr>
        <w:t>评标</w:t>
      </w:r>
      <w:bookmarkEnd w:id="44"/>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6.3.1 </w:t>
      </w:r>
      <w:r>
        <w:rPr>
          <w:rFonts w:hint="eastAsia" w:asciiTheme="minorEastAsia" w:hAnsiTheme="minorEastAsia" w:eastAsiaTheme="minorEastAsia"/>
          <w:color w:val="auto"/>
          <w:highlight w:val="none"/>
        </w:rPr>
        <w:t>评标委员会按照第三章“评标办法”规定的方法、评审因素、标准和程序对投标文件进行评审。第三章“评标办法”没有规定的方法、评审因素和标准，不作为评标依据。</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6.3.2 </w:t>
      </w:r>
      <w:r>
        <w:rPr>
          <w:rFonts w:hint="eastAsia" w:asciiTheme="minorEastAsia" w:hAnsiTheme="minorEastAsia" w:eastAsiaTheme="minorEastAsia"/>
          <w:color w:val="auto"/>
          <w:highlight w:val="none"/>
        </w:rPr>
        <w:t>评标完成后，评标委员会应当向招标人提交书面评标报告和中标候选人名单。评标委员会推荐中标候选人的人数见投标人须知前附表。</w:t>
      </w:r>
    </w:p>
    <w:p>
      <w:pPr>
        <w:pStyle w:val="5"/>
        <w:rPr>
          <w:rFonts w:asciiTheme="minorEastAsia" w:hAnsiTheme="minorEastAsia" w:eastAsiaTheme="minorEastAsia"/>
          <w:color w:val="auto"/>
          <w:highlight w:val="none"/>
        </w:rPr>
      </w:pPr>
      <w:bookmarkStart w:id="45" w:name="_Toc532744119"/>
      <w:r>
        <w:rPr>
          <w:rFonts w:asciiTheme="minorEastAsia" w:hAnsiTheme="minorEastAsia" w:eastAsiaTheme="minorEastAsia"/>
          <w:color w:val="auto"/>
          <w:highlight w:val="none"/>
        </w:rPr>
        <w:t xml:space="preserve">7. </w:t>
      </w:r>
      <w:r>
        <w:rPr>
          <w:rFonts w:hint="eastAsia" w:asciiTheme="minorEastAsia" w:hAnsiTheme="minorEastAsia" w:eastAsiaTheme="minorEastAsia"/>
          <w:color w:val="auto"/>
          <w:highlight w:val="none"/>
        </w:rPr>
        <w:t>合同授予</w:t>
      </w:r>
      <w:bookmarkEnd w:id="45"/>
    </w:p>
    <w:p>
      <w:pPr>
        <w:pStyle w:val="6"/>
        <w:spacing w:before="48" w:beforeLines="20" w:after="48" w:afterLines="20"/>
        <w:jc w:val="left"/>
        <w:rPr>
          <w:rFonts w:asciiTheme="minorEastAsia" w:hAnsiTheme="minorEastAsia" w:eastAsiaTheme="minorEastAsia"/>
          <w:color w:val="auto"/>
          <w:highlight w:val="none"/>
        </w:rPr>
      </w:pPr>
      <w:bookmarkStart w:id="46" w:name="_Toc532744120"/>
      <w:r>
        <w:rPr>
          <w:rFonts w:asciiTheme="minorEastAsia" w:hAnsiTheme="minorEastAsia" w:eastAsiaTheme="minorEastAsia"/>
          <w:color w:val="auto"/>
          <w:highlight w:val="none"/>
        </w:rPr>
        <w:t xml:space="preserve">7.1 </w:t>
      </w:r>
      <w:r>
        <w:rPr>
          <w:rFonts w:hint="eastAsia" w:asciiTheme="minorEastAsia" w:hAnsiTheme="minorEastAsia" w:eastAsiaTheme="minorEastAsia"/>
          <w:color w:val="auto"/>
          <w:highlight w:val="none"/>
        </w:rPr>
        <w:t>中标候选人公示</w:t>
      </w:r>
      <w:bookmarkEnd w:id="46"/>
    </w:p>
    <w:p>
      <w:pPr>
        <w:keepNext w:val="0"/>
        <w:keepLines w:val="0"/>
        <w:widowControl w:val="0"/>
        <w:suppressLineNumbers w:val="0"/>
        <w:spacing w:before="0" w:beforeAutospacing="0" w:after="0" w:afterAutospacing="0" w:line="360" w:lineRule="auto"/>
        <w:ind w:left="0" w:right="0" w:firstLine="420" w:firstLineChars="200"/>
        <w:jc w:val="both"/>
        <w:rPr>
          <w:rFonts w:asciiTheme="minorEastAsia" w:hAnsiTheme="minorEastAsia" w:eastAsiaTheme="minorEastAsia"/>
          <w:b/>
          <w:bCs/>
          <w:color w:val="auto"/>
          <w:highlight w:val="none"/>
        </w:rPr>
      </w:pPr>
      <w:r>
        <w:rPr>
          <w:rFonts w:hint="eastAsia" w:asciiTheme="minorEastAsia" w:hAnsiTheme="minorEastAsia" w:eastAsiaTheme="minorEastAsia"/>
          <w:color w:val="auto"/>
          <w:highlight w:val="none"/>
        </w:rPr>
        <w:t>招标人在收到评标报告之日起</w:t>
      </w:r>
      <w:r>
        <w:rPr>
          <w:rFonts w:asciiTheme="minorEastAsia" w:hAnsiTheme="minorEastAsia" w:eastAsiaTheme="minorEastAsia"/>
          <w:color w:val="auto"/>
          <w:highlight w:val="none"/>
        </w:rPr>
        <w:t xml:space="preserve"> 3 </w:t>
      </w:r>
      <w:r>
        <w:rPr>
          <w:rFonts w:hint="eastAsia" w:asciiTheme="minorEastAsia" w:hAnsiTheme="minorEastAsia" w:eastAsiaTheme="minorEastAsia"/>
          <w:color w:val="auto"/>
          <w:highlight w:val="none"/>
        </w:rPr>
        <w:t>日内，按照投标人须知前附表规定的公示媒介和期限公示中标候选人，公示期不得少于</w:t>
      </w:r>
      <w:r>
        <w:rPr>
          <w:rFonts w:asciiTheme="minorEastAsia" w:hAnsiTheme="minorEastAsia" w:eastAsiaTheme="minorEastAsia"/>
          <w:color w:val="auto"/>
          <w:highlight w:val="none"/>
        </w:rPr>
        <w:t xml:space="preserve"> 3 </w:t>
      </w:r>
      <w:r>
        <w:rPr>
          <w:rFonts w:hint="eastAsia" w:asciiTheme="minorEastAsia" w:hAnsiTheme="minorEastAsia" w:eastAsiaTheme="minorEastAsia"/>
          <w:color w:val="auto"/>
          <w:highlight w:val="none"/>
        </w:rPr>
        <w:t>天。</w:t>
      </w:r>
    </w:p>
    <w:p>
      <w:pPr>
        <w:pStyle w:val="6"/>
        <w:spacing w:before="48" w:beforeLines="20" w:after="48" w:afterLines="20"/>
        <w:jc w:val="left"/>
        <w:rPr>
          <w:rFonts w:asciiTheme="minorEastAsia" w:hAnsiTheme="minorEastAsia" w:eastAsiaTheme="minorEastAsia"/>
          <w:color w:val="auto"/>
          <w:highlight w:val="none"/>
        </w:rPr>
      </w:pPr>
      <w:bookmarkStart w:id="47" w:name="_Toc532744121"/>
      <w:r>
        <w:rPr>
          <w:rFonts w:asciiTheme="minorEastAsia" w:hAnsiTheme="minorEastAsia" w:eastAsiaTheme="minorEastAsia"/>
          <w:color w:val="auto"/>
          <w:highlight w:val="none"/>
        </w:rPr>
        <w:t xml:space="preserve">7.2 </w:t>
      </w:r>
      <w:r>
        <w:rPr>
          <w:rFonts w:hint="eastAsia" w:asciiTheme="minorEastAsia" w:hAnsiTheme="minorEastAsia" w:eastAsiaTheme="minorEastAsia"/>
          <w:color w:val="auto"/>
          <w:highlight w:val="none"/>
        </w:rPr>
        <w:t>评标结果异议</w:t>
      </w:r>
      <w:bookmarkEnd w:id="47"/>
    </w:p>
    <w:p>
      <w:pPr>
        <w:keepNext w:val="0"/>
        <w:keepLines w:val="0"/>
        <w:widowControl w:val="0"/>
        <w:suppressLineNumbers w:val="0"/>
        <w:spacing w:before="0" w:beforeAutospacing="0" w:after="0" w:afterAutospacing="0" w:line="360" w:lineRule="auto"/>
        <w:ind w:left="0" w:right="0" w:firstLine="420" w:firstLineChars="200"/>
        <w:jc w:val="both"/>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投标人或者其他利害关系人对评标结果有异议的，应当在中标候选人公示期间</w:t>
      </w:r>
      <w:r>
        <w:rPr>
          <w:rFonts w:hint="eastAsia" w:asciiTheme="minorEastAsia" w:hAnsiTheme="minorEastAsia" w:eastAsiaTheme="minorEastAsia"/>
          <w:b/>
          <w:bCs/>
          <w:color w:val="auto"/>
          <w:highlight w:val="none"/>
          <w:u w:val="single"/>
          <w:lang w:val="en-US" w:eastAsia="zh-CN"/>
        </w:rPr>
        <w:t>通过电子交易系统</w:t>
      </w:r>
      <w:r>
        <w:rPr>
          <w:rFonts w:hint="eastAsia" w:asciiTheme="minorEastAsia" w:hAnsiTheme="minorEastAsia" w:eastAsiaTheme="minorEastAsia"/>
          <w:color w:val="auto"/>
          <w:highlight w:val="none"/>
        </w:rPr>
        <w:t>提出</w:t>
      </w:r>
      <w:r>
        <w:rPr>
          <w:rFonts w:hint="eastAsia" w:ascii="宋体" w:hAnsi="宋体" w:eastAsia="宋体" w:cs="宋体"/>
          <w:color w:val="auto"/>
          <w:kern w:val="2"/>
          <w:sz w:val="21"/>
          <w:szCs w:val="21"/>
          <w:highlight w:val="none"/>
          <w:u w:val="single"/>
          <w:lang w:val="en-US" w:eastAsia="zh-CN" w:bidi="ar"/>
        </w:rPr>
        <w:t>，</w:t>
      </w:r>
      <w:r>
        <w:rPr>
          <w:rFonts w:hint="eastAsia" w:asciiTheme="minorEastAsia" w:hAnsiTheme="minorEastAsia" w:eastAsiaTheme="minorEastAsia"/>
          <w:color w:val="auto"/>
          <w:highlight w:val="none"/>
        </w:rPr>
        <w:t>招标人将在收到异议之日起</w:t>
      </w:r>
      <w:r>
        <w:rPr>
          <w:rFonts w:asciiTheme="minorEastAsia" w:hAnsiTheme="minorEastAsia" w:eastAsiaTheme="minorEastAsia"/>
          <w:color w:val="auto"/>
          <w:highlight w:val="none"/>
        </w:rPr>
        <w:t xml:space="preserve"> 3 </w:t>
      </w:r>
      <w:r>
        <w:rPr>
          <w:rFonts w:hint="eastAsia" w:asciiTheme="minorEastAsia" w:hAnsiTheme="minorEastAsia" w:eastAsiaTheme="minorEastAsia"/>
          <w:color w:val="auto"/>
          <w:highlight w:val="none"/>
        </w:rPr>
        <w:t>日内作出答复；作出答复前，将暂停招标投标活动。</w:t>
      </w:r>
    </w:p>
    <w:p>
      <w:pPr>
        <w:pStyle w:val="6"/>
        <w:spacing w:before="48" w:beforeLines="20" w:after="48" w:afterLines="20"/>
        <w:jc w:val="left"/>
        <w:rPr>
          <w:rFonts w:asciiTheme="minorEastAsia" w:hAnsiTheme="minorEastAsia" w:eastAsiaTheme="minorEastAsia"/>
          <w:color w:val="auto"/>
          <w:highlight w:val="none"/>
        </w:rPr>
      </w:pPr>
      <w:bookmarkStart w:id="48" w:name="_Toc532744122"/>
      <w:r>
        <w:rPr>
          <w:rFonts w:asciiTheme="minorEastAsia" w:hAnsiTheme="minorEastAsia" w:eastAsiaTheme="minorEastAsia"/>
          <w:color w:val="auto"/>
          <w:highlight w:val="none"/>
        </w:rPr>
        <w:t xml:space="preserve">7.3 </w:t>
      </w:r>
      <w:r>
        <w:rPr>
          <w:rFonts w:hint="eastAsia" w:asciiTheme="minorEastAsia" w:hAnsiTheme="minorEastAsia" w:eastAsiaTheme="minorEastAsia"/>
          <w:color w:val="auto"/>
          <w:highlight w:val="none"/>
        </w:rPr>
        <w:t>中标候选人履约能力审查</w:t>
      </w:r>
      <w:bookmarkEnd w:id="48"/>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6"/>
        <w:spacing w:before="48" w:beforeLines="20" w:after="48" w:afterLines="20"/>
        <w:jc w:val="left"/>
        <w:rPr>
          <w:rFonts w:asciiTheme="minorEastAsia" w:hAnsiTheme="minorEastAsia" w:eastAsiaTheme="minorEastAsia"/>
          <w:color w:val="auto"/>
          <w:highlight w:val="none"/>
        </w:rPr>
      </w:pPr>
      <w:bookmarkStart w:id="49" w:name="_Toc532744123"/>
      <w:r>
        <w:rPr>
          <w:rFonts w:asciiTheme="minorEastAsia" w:hAnsiTheme="minorEastAsia" w:eastAsiaTheme="minorEastAsia"/>
          <w:color w:val="auto"/>
          <w:highlight w:val="none"/>
        </w:rPr>
        <w:t xml:space="preserve">7.4 </w:t>
      </w:r>
      <w:r>
        <w:rPr>
          <w:rFonts w:hint="eastAsia" w:asciiTheme="minorEastAsia" w:hAnsiTheme="minorEastAsia" w:eastAsiaTheme="minorEastAsia"/>
          <w:color w:val="auto"/>
          <w:highlight w:val="none"/>
        </w:rPr>
        <w:t>定标</w:t>
      </w:r>
      <w:bookmarkEnd w:id="49"/>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按照投标人须知前附表的规定，招标人或招标人授权的评标委员会依法确定中标人。</w:t>
      </w:r>
    </w:p>
    <w:p>
      <w:pPr>
        <w:pStyle w:val="6"/>
        <w:spacing w:before="48" w:beforeLines="20" w:after="48" w:afterLines="20"/>
        <w:jc w:val="left"/>
        <w:rPr>
          <w:rFonts w:asciiTheme="minorEastAsia" w:hAnsiTheme="minorEastAsia" w:eastAsiaTheme="minorEastAsia"/>
          <w:color w:val="auto"/>
          <w:highlight w:val="none"/>
        </w:rPr>
      </w:pPr>
      <w:bookmarkStart w:id="50" w:name="_Toc532744124"/>
      <w:r>
        <w:rPr>
          <w:rFonts w:asciiTheme="minorEastAsia" w:hAnsiTheme="minorEastAsia" w:eastAsiaTheme="minorEastAsia"/>
          <w:color w:val="auto"/>
          <w:highlight w:val="none"/>
        </w:rPr>
        <w:t xml:space="preserve">7.5 </w:t>
      </w:r>
      <w:r>
        <w:rPr>
          <w:rFonts w:hint="eastAsia" w:asciiTheme="minorEastAsia" w:hAnsiTheme="minorEastAsia" w:eastAsiaTheme="minorEastAsia"/>
          <w:color w:val="auto"/>
          <w:highlight w:val="none"/>
        </w:rPr>
        <w:t>中标通知</w:t>
      </w:r>
      <w:bookmarkEnd w:id="50"/>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在本章第</w:t>
      </w:r>
      <w:r>
        <w:rPr>
          <w:rFonts w:asciiTheme="minorEastAsia" w:hAnsiTheme="minorEastAsia" w:eastAsiaTheme="minorEastAsia"/>
          <w:color w:val="auto"/>
          <w:highlight w:val="none"/>
        </w:rPr>
        <w:t xml:space="preserve"> 3.3 </w:t>
      </w:r>
      <w:r>
        <w:rPr>
          <w:rFonts w:hint="eastAsia" w:asciiTheme="minorEastAsia" w:hAnsiTheme="minorEastAsia" w:eastAsiaTheme="minorEastAsia"/>
          <w:color w:val="auto"/>
          <w:highlight w:val="none"/>
        </w:rPr>
        <w:t>款规定的投标有效期内，招标人以书面形式向中标人发出中标通知书，同时将中标结果通知未中标的投标人。</w:t>
      </w:r>
    </w:p>
    <w:p>
      <w:pPr>
        <w:pStyle w:val="6"/>
        <w:spacing w:before="48" w:beforeLines="20" w:after="48" w:afterLines="20"/>
        <w:jc w:val="left"/>
        <w:rPr>
          <w:rFonts w:asciiTheme="minorEastAsia" w:hAnsiTheme="minorEastAsia" w:eastAsiaTheme="minorEastAsia"/>
          <w:color w:val="auto"/>
          <w:highlight w:val="none"/>
        </w:rPr>
      </w:pPr>
      <w:bookmarkStart w:id="51" w:name="_Toc532744125"/>
      <w:r>
        <w:rPr>
          <w:rFonts w:asciiTheme="minorEastAsia" w:hAnsiTheme="minorEastAsia" w:eastAsiaTheme="minorEastAsia"/>
          <w:color w:val="auto"/>
          <w:highlight w:val="none"/>
        </w:rPr>
        <w:t xml:space="preserve">7.6 </w:t>
      </w:r>
      <w:r>
        <w:rPr>
          <w:rFonts w:hint="eastAsia" w:asciiTheme="minorEastAsia" w:hAnsiTheme="minorEastAsia" w:eastAsiaTheme="minorEastAsia"/>
          <w:color w:val="auto"/>
          <w:highlight w:val="none"/>
        </w:rPr>
        <w:t>履约保证金</w:t>
      </w:r>
      <w:bookmarkEnd w:id="51"/>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7.6.1 </w:t>
      </w:r>
      <w:r>
        <w:rPr>
          <w:rFonts w:hint="eastAsia" w:asciiTheme="minorEastAsia" w:hAnsiTheme="minorEastAsia" w:eastAsiaTheme="minorEastAsia"/>
          <w:strike/>
          <w:dstrike w:val="0"/>
          <w:color w:val="auto"/>
          <w:highlight w:val="none"/>
        </w:rPr>
        <w:t>在签订合同前，</w:t>
      </w:r>
      <w:r>
        <w:rPr>
          <w:rFonts w:hint="eastAsia" w:asciiTheme="minorEastAsia" w:hAnsiTheme="minorEastAsia" w:eastAsiaTheme="minorEastAsia"/>
          <w:color w:val="auto"/>
          <w:highlight w:val="none"/>
        </w:rPr>
        <w:t>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w:t>
      </w:r>
      <w:r>
        <w:rPr>
          <w:rFonts w:asciiTheme="minorEastAsia" w:hAnsiTheme="minorEastAsia" w:eastAsiaTheme="minorEastAsia"/>
          <w:color w:val="auto"/>
          <w:highlight w:val="none"/>
        </w:rPr>
        <w:t xml:space="preserve"> 10%。联合体中标的，其履约保证金以联合体各方或者联合体中牵头人的名义提交。</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7.6.2 </w:t>
      </w:r>
      <w:r>
        <w:rPr>
          <w:rFonts w:hint="eastAsia" w:asciiTheme="minorEastAsia" w:hAnsiTheme="minorEastAsia" w:eastAsiaTheme="minorEastAsia"/>
          <w:color w:val="auto"/>
          <w:highlight w:val="none"/>
        </w:rPr>
        <w:t>中标人不能按本章第</w:t>
      </w:r>
      <w:r>
        <w:rPr>
          <w:rFonts w:asciiTheme="minorEastAsia" w:hAnsiTheme="minorEastAsia" w:eastAsiaTheme="minorEastAsia"/>
          <w:color w:val="auto"/>
          <w:highlight w:val="none"/>
        </w:rPr>
        <w:t xml:space="preserve"> 7.6.1 </w:t>
      </w:r>
      <w:r>
        <w:rPr>
          <w:rFonts w:hint="eastAsia" w:asciiTheme="minorEastAsia" w:hAnsiTheme="minorEastAsia" w:eastAsiaTheme="minorEastAsia"/>
          <w:color w:val="auto"/>
          <w:highlight w:val="none"/>
        </w:rPr>
        <w:t>项要求提交履约保证金的，视为放弃中标，其投标保证金不予退还，给招标人造成的损失超过投标保证金数额的，中标人还应当对超过部分予以赔偿。</w:t>
      </w:r>
    </w:p>
    <w:p>
      <w:pPr>
        <w:pStyle w:val="6"/>
        <w:spacing w:before="48" w:beforeLines="20" w:after="48" w:afterLines="20"/>
        <w:jc w:val="left"/>
        <w:rPr>
          <w:rFonts w:asciiTheme="minorEastAsia" w:hAnsiTheme="minorEastAsia" w:eastAsiaTheme="minorEastAsia"/>
          <w:color w:val="auto"/>
          <w:highlight w:val="none"/>
        </w:rPr>
      </w:pPr>
      <w:bookmarkStart w:id="52" w:name="_Toc532744126"/>
      <w:r>
        <w:rPr>
          <w:rFonts w:asciiTheme="minorEastAsia" w:hAnsiTheme="minorEastAsia" w:eastAsiaTheme="minorEastAsia"/>
          <w:color w:val="auto"/>
          <w:highlight w:val="none"/>
        </w:rPr>
        <w:t xml:space="preserve">7.7 </w:t>
      </w:r>
      <w:r>
        <w:rPr>
          <w:rFonts w:hint="eastAsia" w:asciiTheme="minorEastAsia" w:hAnsiTheme="minorEastAsia" w:eastAsiaTheme="minorEastAsia"/>
          <w:color w:val="auto"/>
          <w:highlight w:val="none"/>
        </w:rPr>
        <w:t>签订合同</w:t>
      </w:r>
      <w:bookmarkEnd w:id="52"/>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7.7.1 </w:t>
      </w:r>
      <w:r>
        <w:rPr>
          <w:rFonts w:hint="eastAsia" w:asciiTheme="minorEastAsia" w:hAnsiTheme="minorEastAsia" w:eastAsiaTheme="minorEastAsia"/>
          <w:color w:val="auto"/>
          <w:highlight w:val="none"/>
        </w:rPr>
        <w:t>招标人和中标人应当在中标通知书发出之日起</w:t>
      </w:r>
      <w:r>
        <w:rPr>
          <w:rFonts w:asciiTheme="minorEastAsia" w:hAnsiTheme="minorEastAsia" w:eastAsiaTheme="minorEastAsia"/>
          <w:color w:val="auto"/>
          <w:highlight w:val="none"/>
        </w:rPr>
        <w:t xml:space="preserve"> 30 </w:t>
      </w:r>
      <w:r>
        <w:rPr>
          <w:rFonts w:hint="eastAsia" w:asciiTheme="minorEastAsia" w:hAnsiTheme="minorEastAsia" w:eastAsiaTheme="minorEastAsia"/>
          <w:color w:val="auto"/>
          <w:highlight w:val="none"/>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7.7.2 </w:t>
      </w:r>
      <w:r>
        <w:rPr>
          <w:rFonts w:hint="eastAsia" w:asciiTheme="minorEastAsia" w:hAnsiTheme="minorEastAsia" w:eastAsiaTheme="minorEastAsia"/>
          <w:color w:val="auto"/>
          <w:highlight w:val="none"/>
        </w:rPr>
        <w:t>发出中标通知书后，招标人无正当理由拒签合同，或者在签订合同时向中标人提出附加条件的，招标人向中标人退还投标保证金；给中标人造成损失的，还应当赔偿损失。</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7.7.3 </w:t>
      </w:r>
      <w:r>
        <w:rPr>
          <w:rFonts w:hint="eastAsia" w:asciiTheme="minorEastAsia" w:hAnsiTheme="minorEastAsia" w:eastAsiaTheme="minorEastAsia"/>
          <w:color w:val="auto"/>
          <w:highlight w:val="none"/>
        </w:rPr>
        <w:t>联合体中标的，联合体各方应当共同与招标人签订合同，就中标项目向招标人承担连带责任。</w:t>
      </w:r>
    </w:p>
    <w:p>
      <w:pPr>
        <w:pStyle w:val="5"/>
        <w:rPr>
          <w:rFonts w:asciiTheme="minorEastAsia" w:hAnsiTheme="minorEastAsia" w:eastAsiaTheme="minorEastAsia"/>
          <w:color w:val="auto"/>
          <w:highlight w:val="none"/>
        </w:rPr>
      </w:pPr>
      <w:bookmarkStart w:id="53" w:name="_Toc532744127"/>
      <w:r>
        <w:rPr>
          <w:rFonts w:asciiTheme="minorEastAsia" w:hAnsiTheme="minorEastAsia" w:eastAsiaTheme="minorEastAsia"/>
          <w:color w:val="auto"/>
          <w:highlight w:val="none"/>
        </w:rPr>
        <w:t xml:space="preserve">8. </w:t>
      </w:r>
      <w:r>
        <w:rPr>
          <w:rFonts w:hint="eastAsia" w:asciiTheme="minorEastAsia" w:hAnsiTheme="minorEastAsia" w:eastAsiaTheme="minorEastAsia"/>
          <w:color w:val="auto"/>
          <w:highlight w:val="none"/>
        </w:rPr>
        <w:t>纪律和监督</w:t>
      </w:r>
      <w:bookmarkEnd w:id="53"/>
    </w:p>
    <w:p>
      <w:pPr>
        <w:pStyle w:val="6"/>
        <w:spacing w:before="48" w:beforeLines="20" w:after="48" w:afterLines="20"/>
        <w:jc w:val="left"/>
        <w:rPr>
          <w:rFonts w:asciiTheme="minorEastAsia" w:hAnsiTheme="minorEastAsia" w:eastAsiaTheme="minorEastAsia"/>
          <w:color w:val="auto"/>
          <w:highlight w:val="none"/>
        </w:rPr>
      </w:pPr>
      <w:bookmarkStart w:id="54" w:name="_Toc532744128"/>
      <w:r>
        <w:rPr>
          <w:rFonts w:asciiTheme="minorEastAsia" w:hAnsiTheme="minorEastAsia" w:eastAsiaTheme="minorEastAsia"/>
          <w:color w:val="auto"/>
          <w:highlight w:val="none"/>
        </w:rPr>
        <w:t xml:space="preserve">8.1 </w:t>
      </w:r>
      <w:r>
        <w:rPr>
          <w:rFonts w:hint="eastAsia" w:asciiTheme="minorEastAsia" w:hAnsiTheme="minorEastAsia" w:eastAsiaTheme="minorEastAsia"/>
          <w:color w:val="auto"/>
          <w:highlight w:val="none"/>
        </w:rPr>
        <w:t>对招标人的纪律要求</w:t>
      </w:r>
      <w:bookmarkEnd w:id="54"/>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招标人不得泄露招标投标活动中应当保密的情况和资料，不得与投标人串通损害国家利益、社会公共利益或者他人合法权益。</w:t>
      </w:r>
    </w:p>
    <w:p>
      <w:pPr>
        <w:pStyle w:val="6"/>
        <w:spacing w:before="48" w:beforeLines="20" w:after="48" w:afterLines="20"/>
        <w:jc w:val="left"/>
        <w:rPr>
          <w:rFonts w:asciiTheme="minorEastAsia" w:hAnsiTheme="minorEastAsia" w:eastAsiaTheme="minorEastAsia"/>
          <w:color w:val="auto"/>
          <w:highlight w:val="none"/>
        </w:rPr>
      </w:pPr>
      <w:bookmarkStart w:id="55" w:name="_Toc532744129"/>
      <w:r>
        <w:rPr>
          <w:rFonts w:asciiTheme="minorEastAsia" w:hAnsiTheme="minorEastAsia" w:eastAsiaTheme="minorEastAsia"/>
          <w:color w:val="auto"/>
          <w:highlight w:val="none"/>
        </w:rPr>
        <w:t xml:space="preserve">8.2 </w:t>
      </w:r>
      <w:r>
        <w:rPr>
          <w:rFonts w:hint="eastAsia" w:asciiTheme="minorEastAsia" w:hAnsiTheme="minorEastAsia" w:eastAsiaTheme="minorEastAsia"/>
          <w:color w:val="auto"/>
          <w:highlight w:val="none"/>
        </w:rPr>
        <w:t>对投标人的纪律要求</w:t>
      </w:r>
      <w:bookmarkEnd w:id="55"/>
    </w:p>
    <w:p>
      <w:pPr>
        <w:spacing w:line="360" w:lineRule="auto"/>
        <w:ind w:firstLine="420" w:firstLineChars="200"/>
        <w:jc w:val="lef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spacing w:before="48" w:beforeLines="20" w:after="48" w:afterLines="20"/>
        <w:jc w:val="left"/>
        <w:rPr>
          <w:rFonts w:asciiTheme="minorEastAsia" w:hAnsiTheme="minorEastAsia" w:eastAsiaTheme="minorEastAsia"/>
          <w:color w:val="auto"/>
          <w:highlight w:val="none"/>
        </w:rPr>
      </w:pPr>
      <w:bookmarkStart w:id="56" w:name="_Toc532744130"/>
      <w:r>
        <w:rPr>
          <w:rFonts w:asciiTheme="minorEastAsia" w:hAnsiTheme="minorEastAsia" w:eastAsiaTheme="minorEastAsia"/>
          <w:color w:val="auto"/>
          <w:highlight w:val="none"/>
        </w:rPr>
        <w:t xml:space="preserve">8.3 </w:t>
      </w:r>
      <w:r>
        <w:rPr>
          <w:rFonts w:hint="eastAsia" w:asciiTheme="minorEastAsia" w:hAnsiTheme="minorEastAsia" w:eastAsiaTheme="minorEastAsia"/>
          <w:color w:val="auto"/>
          <w:highlight w:val="none"/>
        </w:rPr>
        <w:t>对评标委员会成员的纪律要求</w:t>
      </w:r>
      <w:bookmarkEnd w:id="56"/>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spacing w:before="48" w:beforeLines="20" w:after="48" w:afterLines="20"/>
        <w:jc w:val="left"/>
        <w:rPr>
          <w:rFonts w:asciiTheme="minorEastAsia" w:hAnsiTheme="minorEastAsia" w:eastAsiaTheme="minorEastAsia"/>
          <w:color w:val="auto"/>
          <w:highlight w:val="none"/>
        </w:rPr>
      </w:pPr>
      <w:bookmarkStart w:id="57" w:name="_Toc532744131"/>
      <w:r>
        <w:rPr>
          <w:rFonts w:asciiTheme="minorEastAsia" w:hAnsiTheme="minorEastAsia" w:eastAsiaTheme="minorEastAsia"/>
          <w:color w:val="auto"/>
          <w:highlight w:val="none"/>
        </w:rPr>
        <w:t xml:space="preserve">8.4 </w:t>
      </w:r>
      <w:r>
        <w:rPr>
          <w:rFonts w:hint="eastAsia" w:asciiTheme="minorEastAsia" w:hAnsiTheme="minorEastAsia" w:eastAsiaTheme="minorEastAsia"/>
          <w:color w:val="auto"/>
          <w:highlight w:val="none"/>
        </w:rPr>
        <w:t>对与评标活动有关的工作人员的纪律要求</w:t>
      </w:r>
      <w:bookmarkEnd w:id="57"/>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6"/>
        <w:spacing w:before="48" w:beforeLines="20" w:after="48" w:afterLines="20"/>
        <w:jc w:val="left"/>
        <w:rPr>
          <w:rFonts w:asciiTheme="minorEastAsia" w:hAnsiTheme="minorEastAsia" w:eastAsiaTheme="minorEastAsia"/>
          <w:color w:val="auto"/>
          <w:highlight w:val="none"/>
        </w:rPr>
      </w:pPr>
      <w:bookmarkStart w:id="58" w:name="_Toc532744132"/>
      <w:r>
        <w:rPr>
          <w:rFonts w:asciiTheme="minorEastAsia" w:hAnsiTheme="minorEastAsia" w:eastAsiaTheme="minorEastAsia"/>
          <w:color w:val="auto"/>
          <w:highlight w:val="none"/>
        </w:rPr>
        <w:t xml:space="preserve">8.5 </w:t>
      </w:r>
      <w:r>
        <w:rPr>
          <w:rFonts w:hint="eastAsia" w:asciiTheme="minorEastAsia" w:hAnsiTheme="minorEastAsia" w:eastAsiaTheme="minorEastAsia"/>
          <w:color w:val="auto"/>
          <w:highlight w:val="none"/>
        </w:rPr>
        <w:t>投诉</w:t>
      </w:r>
      <w:bookmarkEnd w:id="58"/>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8.5.1</w:t>
      </w:r>
      <w:r>
        <w:rPr>
          <w:rFonts w:hint="eastAsia" w:asciiTheme="minorEastAsia" w:hAnsiTheme="minorEastAsia" w:eastAsiaTheme="minorEastAsia"/>
          <w:color w:val="auto"/>
          <w:highlight w:val="none"/>
        </w:rPr>
        <w:t xml:space="preserve"> 投标人或者其他利害关系人认为招标投标活动不符合法律、行政法规规定的，可以自知道或者应当知道之日起</w:t>
      </w:r>
      <w:r>
        <w:rPr>
          <w:rFonts w:asciiTheme="minorEastAsia" w:hAnsiTheme="minorEastAsia" w:eastAsiaTheme="minorEastAsia"/>
          <w:color w:val="auto"/>
          <w:highlight w:val="none"/>
        </w:rPr>
        <w:t>10</w:t>
      </w:r>
      <w:r>
        <w:rPr>
          <w:rFonts w:hint="eastAsia" w:asciiTheme="minorEastAsia" w:hAnsiTheme="minorEastAsia" w:eastAsiaTheme="minorEastAsia"/>
          <w:color w:val="auto"/>
          <w:highlight w:val="none"/>
        </w:rPr>
        <w:t>日内向有关行政监督部门投诉。投诉应当有明确的请求和必要的证明材料。</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8.5.2</w:t>
      </w:r>
      <w:r>
        <w:rPr>
          <w:rFonts w:hint="eastAsia" w:asciiTheme="minorEastAsia" w:hAnsiTheme="minorEastAsia" w:eastAsiaTheme="minorEastAsia"/>
          <w:color w:val="auto"/>
          <w:highlight w:val="none"/>
        </w:rPr>
        <w:t xml:space="preserve"> 投标人或者其他利害关系人对招标文件、开标和评标结果提出投诉的，应当按照投标人须知第</w:t>
      </w:r>
      <w:r>
        <w:rPr>
          <w:rFonts w:asciiTheme="minorEastAsia" w:hAnsiTheme="minorEastAsia" w:eastAsiaTheme="minorEastAsia"/>
          <w:color w:val="auto"/>
          <w:highlight w:val="none"/>
        </w:rPr>
        <w:t>2.4</w:t>
      </w:r>
      <w:r>
        <w:rPr>
          <w:rFonts w:hint="eastAsia" w:asciiTheme="minorEastAsia" w:hAnsiTheme="minorEastAsia" w:eastAsiaTheme="minorEastAsia"/>
          <w:color w:val="auto"/>
          <w:highlight w:val="none"/>
        </w:rPr>
        <w:t>款、第</w:t>
      </w:r>
      <w:r>
        <w:rPr>
          <w:rFonts w:asciiTheme="minorEastAsia" w:hAnsiTheme="minorEastAsia" w:eastAsiaTheme="minorEastAsia"/>
          <w:color w:val="auto"/>
          <w:highlight w:val="none"/>
        </w:rPr>
        <w:t>5.3</w:t>
      </w:r>
      <w:r>
        <w:rPr>
          <w:rFonts w:hint="eastAsia" w:asciiTheme="minorEastAsia" w:hAnsiTheme="minorEastAsia" w:eastAsiaTheme="minorEastAsia"/>
          <w:color w:val="auto"/>
          <w:highlight w:val="none"/>
        </w:rPr>
        <w:t>款和第</w:t>
      </w:r>
      <w:r>
        <w:rPr>
          <w:rFonts w:asciiTheme="minorEastAsia" w:hAnsiTheme="minorEastAsia" w:eastAsiaTheme="minorEastAsia"/>
          <w:color w:val="auto"/>
          <w:highlight w:val="none"/>
        </w:rPr>
        <w:t>7.2</w:t>
      </w:r>
      <w:r>
        <w:rPr>
          <w:rFonts w:hint="eastAsia" w:asciiTheme="minorEastAsia" w:hAnsiTheme="minorEastAsia" w:eastAsiaTheme="minorEastAsia"/>
          <w:color w:val="auto"/>
          <w:highlight w:val="none"/>
        </w:rPr>
        <w:t>款的规定先向招标人提出异议。异议答复期间不计算在第</w:t>
      </w:r>
      <w:r>
        <w:rPr>
          <w:rFonts w:asciiTheme="minorEastAsia" w:hAnsiTheme="minorEastAsia" w:eastAsiaTheme="minorEastAsia"/>
          <w:color w:val="auto"/>
          <w:highlight w:val="none"/>
        </w:rPr>
        <w:t>8.5.1</w:t>
      </w:r>
      <w:r>
        <w:rPr>
          <w:rFonts w:hint="eastAsia" w:asciiTheme="minorEastAsia" w:hAnsiTheme="minorEastAsia" w:eastAsiaTheme="minorEastAsia"/>
          <w:color w:val="auto"/>
          <w:highlight w:val="none"/>
        </w:rPr>
        <w:t>项规定的期限内。</w:t>
      </w:r>
    </w:p>
    <w:p>
      <w:pPr>
        <w:pStyle w:val="5"/>
        <w:rPr>
          <w:rFonts w:asciiTheme="minorEastAsia" w:hAnsiTheme="minorEastAsia" w:eastAsiaTheme="minorEastAsia"/>
          <w:color w:val="auto"/>
          <w:highlight w:val="none"/>
        </w:rPr>
      </w:pPr>
      <w:bookmarkStart w:id="59" w:name="_Toc532744133"/>
      <w:r>
        <w:rPr>
          <w:rFonts w:asciiTheme="minorEastAsia" w:hAnsiTheme="minorEastAsia" w:eastAsiaTheme="minorEastAsia"/>
          <w:color w:val="auto"/>
          <w:highlight w:val="none"/>
        </w:rPr>
        <w:t xml:space="preserve">9. </w:t>
      </w:r>
      <w:r>
        <w:rPr>
          <w:rFonts w:hint="eastAsia" w:asciiTheme="minorEastAsia" w:hAnsiTheme="minorEastAsia" w:eastAsiaTheme="minorEastAsia"/>
          <w:color w:val="auto"/>
          <w:highlight w:val="none"/>
        </w:rPr>
        <w:t>是否采用电子招标投标</w:t>
      </w:r>
      <w:bookmarkEnd w:id="59"/>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u w:val="single"/>
        </w:rPr>
        <w:t>本招标项目采用电子招标投标方式</w:t>
      </w:r>
      <w:r>
        <w:rPr>
          <w:rFonts w:hint="eastAsia" w:asciiTheme="minorEastAsia" w:hAnsiTheme="minorEastAsia" w:eastAsiaTheme="minorEastAsia"/>
          <w:color w:val="auto"/>
          <w:highlight w:val="none"/>
        </w:rPr>
        <w:t>，见投标人须知前附表。</w:t>
      </w:r>
    </w:p>
    <w:p>
      <w:pPr>
        <w:pStyle w:val="5"/>
        <w:rPr>
          <w:rFonts w:asciiTheme="minorEastAsia" w:hAnsiTheme="minorEastAsia" w:eastAsiaTheme="minorEastAsia"/>
          <w:color w:val="auto"/>
          <w:highlight w:val="none"/>
        </w:rPr>
      </w:pPr>
      <w:bookmarkStart w:id="60" w:name="_Toc532744134"/>
      <w:r>
        <w:rPr>
          <w:rFonts w:asciiTheme="minorEastAsia" w:hAnsiTheme="minorEastAsia" w:eastAsiaTheme="minorEastAsia"/>
          <w:color w:val="auto"/>
          <w:highlight w:val="none"/>
        </w:rPr>
        <w:t xml:space="preserve">10. </w:t>
      </w:r>
      <w:r>
        <w:rPr>
          <w:rFonts w:hint="eastAsia" w:asciiTheme="minorEastAsia" w:hAnsiTheme="minorEastAsia" w:eastAsiaTheme="minorEastAsia"/>
          <w:color w:val="auto"/>
          <w:highlight w:val="none"/>
        </w:rPr>
        <w:t>需要补充的其他内容</w:t>
      </w:r>
      <w:bookmarkEnd w:id="60"/>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需要补充的其他内容：见投标人须知前附表。</w:t>
      </w:r>
    </w:p>
    <w:p>
      <w:pPr>
        <w:spacing w:line="361" w:lineRule="exact"/>
        <w:rPr>
          <w:rFonts w:asciiTheme="minorEastAsia" w:hAnsiTheme="minorEastAsia" w:eastAsiaTheme="minorEastAsia"/>
          <w:color w:val="auto"/>
          <w:sz w:val="24"/>
          <w:szCs w:val="24"/>
          <w:highlight w:val="none"/>
        </w:rPr>
      </w:pPr>
    </w:p>
    <w:p>
      <w:pPr>
        <w:spacing w:line="361" w:lineRule="exact"/>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br w:type="page"/>
      </w:r>
    </w:p>
    <w:p>
      <w:pPr>
        <w:pStyle w:val="6"/>
        <w:spacing w:line="413" w:lineRule="auto"/>
        <w:ind w:firstLine="137"/>
        <w:rPr>
          <w:rFonts w:asciiTheme="minorEastAsia" w:hAnsiTheme="minorEastAsia" w:eastAsiaTheme="minorEastAsia"/>
          <w:color w:val="auto"/>
          <w:highlight w:val="none"/>
        </w:rPr>
      </w:pPr>
      <w:bookmarkStart w:id="61" w:name="_Toc525063247"/>
      <w:r>
        <w:rPr>
          <w:rFonts w:hint="eastAsia" w:asciiTheme="minorEastAsia" w:hAnsiTheme="minorEastAsia" w:eastAsiaTheme="minorEastAsia"/>
          <w:color w:val="auto"/>
          <w:highlight w:val="none"/>
        </w:rPr>
        <w:t>附件一：开标记录表</w:t>
      </w:r>
      <w:bookmarkEnd w:id="61"/>
    </w:p>
    <w:p>
      <w:pPr>
        <w:spacing w:line="440" w:lineRule="exact"/>
        <w:jc w:val="center"/>
        <w:rPr>
          <w:rFonts w:asciiTheme="minorEastAsia" w:hAnsiTheme="minorEastAsia" w:eastAsiaTheme="minorEastAsia"/>
          <w:color w:val="auto"/>
          <w:sz w:val="28"/>
          <w:highlight w:val="none"/>
        </w:rPr>
      </w:pPr>
      <w:r>
        <w:rPr>
          <w:rFonts w:hint="eastAsia" w:asciiTheme="minorEastAsia" w:hAnsiTheme="minorEastAsia" w:eastAsiaTheme="minorEastAsia"/>
          <w:color w:val="auto"/>
          <w:sz w:val="28"/>
          <w:highlight w:val="none"/>
        </w:rPr>
        <w:t>开标记录表</w:t>
      </w:r>
    </w:p>
    <w:p>
      <w:pPr>
        <w:spacing w:before="120" w:beforeLines="50" w:after="120" w:afterLines="50" w:line="400" w:lineRule="exact"/>
        <w:ind w:right="420"/>
        <w:jc w:val="lef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开标时间：    年   月   日   时   分</w:t>
      </w:r>
    </w:p>
    <w:tbl>
      <w:tblPr>
        <w:tblStyle w:val="17"/>
        <w:tblW w:w="9008" w:type="dxa"/>
        <w:jc w:val="center"/>
        <w:tblLayout w:type="fixed"/>
        <w:tblCellMar>
          <w:top w:w="0" w:type="dxa"/>
          <w:left w:w="108" w:type="dxa"/>
          <w:bottom w:w="0" w:type="dxa"/>
          <w:right w:w="108" w:type="dxa"/>
        </w:tblCellMar>
      </w:tblPr>
      <w:tblGrid>
        <w:gridCol w:w="312"/>
        <w:gridCol w:w="851"/>
        <w:gridCol w:w="992"/>
        <w:gridCol w:w="993"/>
        <w:gridCol w:w="1134"/>
        <w:gridCol w:w="992"/>
        <w:gridCol w:w="992"/>
        <w:gridCol w:w="992"/>
        <w:gridCol w:w="778"/>
        <w:gridCol w:w="972"/>
      </w:tblGrid>
      <w:tr>
        <w:tblPrEx>
          <w:tblCellMar>
            <w:top w:w="0" w:type="dxa"/>
            <w:left w:w="108" w:type="dxa"/>
            <w:bottom w:w="0" w:type="dxa"/>
            <w:right w:w="108" w:type="dxa"/>
          </w:tblCellMar>
        </w:tblPrEx>
        <w:trPr>
          <w:trHeight w:val="694" w:hRule="atLeast"/>
          <w:jc w:val="center"/>
        </w:trPr>
        <w:tc>
          <w:tcPr>
            <w:tcW w:w="3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序号</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投标人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密封情况</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投标报价</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（元）</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项目负责人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服务期限</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投标文件递交情况</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投标文件解密情况</w:t>
            </w:r>
          </w:p>
        </w:tc>
        <w:tc>
          <w:tcPr>
            <w:tcW w:w="77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备注</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投标人代表签名</w:t>
            </w:r>
          </w:p>
        </w:tc>
      </w:tr>
      <w:tr>
        <w:tblPrEx>
          <w:tblCellMar>
            <w:top w:w="0" w:type="dxa"/>
            <w:left w:w="108" w:type="dxa"/>
            <w:bottom w:w="0" w:type="dxa"/>
            <w:right w:w="108" w:type="dxa"/>
          </w:tblCellMar>
        </w:tblPrEx>
        <w:trPr>
          <w:trHeight w:val="340" w:hRule="atLeast"/>
          <w:jc w:val="center"/>
        </w:trPr>
        <w:tc>
          <w:tcPr>
            <w:tcW w:w="31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340" w:hRule="atLeast"/>
          <w:jc w:val="center"/>
        </w:trPr>
        <w:tc>
          <w:tcPr>
            <w:tcW w:w="31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340" w:hRule="atLeast"/>
          <w:jc w:val="center"/>
        </w:trPr>
        <w:tc>
          <w:tcPr>
            <w:tcW w:w="31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340" w:hRule="atLeast"/>
          <w:jc w:val="center"/>
        </w:trPr>
        <w:tc>
          <w:tcPr>
            <w:tcW w:w="31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340" w:hRule="atLeast"/>
          <w:jc w:val="center"/>
        </w:trPr>
        <w:tc>
          <w:tcPr>
            <w:tcW w:w="31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340" w:hRule="atLeast"/>
          <w:jc w:val="center"/>
        </w:trPr>
        <w:tc>
          <w:tcPr>
            <w:tcW w:w="31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340" w:hRule="atLeast"/>
          <w:jc w:val="center"/>
        </w:trPr>
        <w:tc>
          <w:tcPr>
            <w:tcW w:w="31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340" w:hRule="atLeast"/>
          <w:jc w:val="center"/>
        </w:trPr>
        <w:tc>
          <w:tcPr>
            <w:tcW w:w="31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340" w:hRule="atLeast"/>
          <w:jc w:val="center"/>
        </w:trPr>
        <w:tc>
          <w:tcPr>
            <w:tcW w:w="31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340" w:hRule="atLeast"/>
          <w:jc w:val="center"/>
        </w:trPr>
        <w:tc>
          <w:tcPr>
            <w:tcW w:w="31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r>
      <w:tr>
        <w:tblPrEx>
          <w:tblCellMar>
            <w:top w:w="0" w:type="dxa"/>
            <w:left w:w="108" w:type="dxa"/>
            <w:bottom w:w="0" w:type="dxa"/>
            <w:right w:w="108" w:type="dxa"/>
          </w:tblCellMar>
        </w:tblPrEx>
        <w:trPr>
          <w:trHeight w:val="340" w:hRule="atLeast"/>
          <w:jc w:val="center"/>
        </w:trPr>
        <w:tc>
          <w:tcPr>
            <w:tcW w:w="31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bookmarkStart w:id="62" w:name="_Toc17638"/>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r>
      <w:bookmarkEnd w:id="62"/>
      <w:tr>
        <w:tblPrEx>
          <w:tblCellMar>
            <w:top w:w="0" w:type="dxa"/>
            <w:left w:w="108" w:type="dxa"/>
            <w:bottom w:w="0" w:type="dxa"/>
            <w:right w:w="108" w:type="dxa"/>
          </w:tblCellMar>
        </w:tblPrEx>
        <w:trPr>
          <w:trHeight w:val="340" w:hRule="atLeast"/>
          <w:jc w:val="center"/>
        </w:trPr>
        <w:tc>
          <w:tcPr>
            <w:tcW w:w="21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r>
              <w:rPr>
                <w:rFonts w:hint="eastAsia" w:asciiTheme="minorEastAsia" w:hAnsiTheme="minorEastAsia" w:eastAsiaTheme="minorEastAsia"/>
                <w:color w:val="auto"/>
                <w:highlight w:val="none"/>
              </w:rPr>
              <w:t>最高投标限价：</w:t>
            </w:r>
          </w:p>
        </w:tc>
        <w:tc>
          <w:tcPr>
            <w:tcW w:w="6853" w:type="dxa"/>
            <w:gridSpan w:val="7"/>
            <w:tcBorders>
              <w:top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0" w:afterAutospacing="0"/>
              <w:ind w:left="0" w:right="0"/>
              <w:jc w:val="left"/>
              <w:rPr>
                <w:rFonts w:hint="default"/>
                <w:color w:val="auto"/>
                <w:highlight w:val="none"/>
              </w:rPr>
            </w:pPr>
          </w:p>
        </w:tc>
      </w:tr>
    </w:tbl>
    <w:p>
      <w:pPr>
        <w:spacing w:line="440" w:lineRule="exac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w:t>
      </w:r>
    </w:p>
    <w:p>
      <w:pPr>
        <w:spacing w:line="620" w:lineRule="exac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招标人代表：            记录人：                  监标人：</w:t>
      </w:r>
    </w:p>
    <w:p>
      <w:pPr>
        <w:spacing w:line="620" w:lineRule="exact"/>
        <w:jc w:val="right"/>
        <w:rPr>
          <w:rFonts w:asciiTheme="minorEastAsia" w:hAnsiTheme="minorEastAsia" w:eastAsiaTheme="minorEastAsia"/>
          <w:color w:val="auto"/>
          <w:sz w:val="20"/>
          <w:highlight w:val="none"/>
        </w:rPr>
      </w:pPr>
      <w:r>
        <w:rPr>
          <w:rFonts w:hint="eastAsia" w:asciiTheme="minorEastAsia" w:hAnsiTheme="minorEastAsia" w:eastAsiaTheme="minorEastAsia"/>
          <w:color w:val="auto"/>
          <w:highlight w:val="none"/>
        </w:rPr>
        <w:t>年   月   日</w:t>
      </w:r>
    </w:p>
    <w:p>
      <w:pPr>
        <w:spacing w:line="440" w:lineRule="exact"/>
        <w:rPr>
          <w:rFonts w:asciiTheme="minorEastAsia" w:hAnsiTheme="minorEastAsia" w:eastAsiaTheme="minorEastAsia"/>
          <w:color w:val="auto"/>
          <w:highlight w:val="none"/>
        </w:rPr>
      </w:pPr>
    </w:p>
    <w:p>
      <w:pPr>
        <w:spacing w:line="440" w:lineRule="exact"/>
        <w:rPr>
          <w:rFonts w:asciiTheme="minorEastAsia" w:hAnsiTheme="minorEastAsia" w:eastAsiaTheme="minorEastAsia"/>
          <w:color w:val="auto"/>
          <w:highlight w:val="none"/>
        </w:rPr>
      </w:pPr>
    </w:p>
    <w:p>
      <w:pPr>
        <w:pStyle w:val="6"/>
        <w:ind w:firstLine="137"/>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bookmarkStart w:id="63" w:name="_Toc525063248"/>
      <w:r>
        <w:rPr>
          <w:rFonts w:hint="eastAsia" w:asciiTheme="minorEastAsia" w:hAnsiTheme="minorEastAsia" w:eastAsiaTheme="minorEastAsia"/>
          <w:color w:val="auto"/>
          <w:highlight w:val="none"/>
        </w:rPr>
        <w:t>附件二：问题澄清通知</w:t>
      </w:r>
      <w:bookmarkEnd w:id="63"/>
    </w:p>
    <w:p>
      <w:pPr>
        <w:spacing w:line="440" w:lineRule="exact"/>
        <w:jc w:val="center"/>
        <w:rPr>
          <w:rFonts w:asciiTheme="minorEastAsia" w:hAnsiTheme="minorEastAsia" w:eastAsiaTheme="minorEastAsia"/>
          <w:color w:val="auto"/>
          <w:highlight w:val="none"/>
        </w:rPr>
      </w:pPr>
    </w:p>
    <w:p>
      <w:pPr>
        <w:spacing w:line="440" w:lineRule="exact"/>
        <w:jc w:val="center"/>
        <w:rPr>
          <w:rFonts w:asciiTheme="minorEastAsia" w:hAnsiTheme="minorEastAsia" w:eastAsiaTheme="minorEastAsia"/>
          <w:color w:val="auto"/>
          <w:sz w:val="28"/>
          <w:highlight w:val="none"/>
        </w:rPr>
      </w:pPr>
      <w:r>
        <w:rPr>
          <w:rFonts w:hint="eastAsia" w:asciiTheme="minorEastAsia" w:hAnsiTheme="minorEastAsia" w:eastAsiaTheme="minorEastAsia"/>
          <w:color w:val="auto"/>
          <w:sz w:val="28"/>
          <w:highlight w:val="none"/>
        </w:rPr>
        <w:t>问题澄清通知</w:t>
      </w:r>
    </w:p>
    <w:p>
      <w:pPr>
        <w:spacing w:line="44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（编号：）</w:t>
      </w:r>
    </w:p>
    <w:p>
      <w:pPr>
        <w:spacing w:line="440" w:lineRule="exact"/>
        <w:rPr>
          <w:rFonts w:asciiTheme="minorEastAsia" w:hAnsiTheme="minorEastAsia" w:eastAsiaTheme="minorEastAsia"/>
          <w:color w:val="auto"/>
          <w:highlight w:val="none"/>
        </w:rPr>
      </w:pPr>
    </w:p>
    <w:p>
      <w:pPr>
        <w:spacing w:line="400" w:lineRule="exact"/>
        <w:rPr>
          <w:rFonts w:asciiTheme="minorEastAsia" w:hAnsiTheme="minorEastAsia" w:eastAsiaTheme="minorEastAsia"/>
          <w:color w:val="auto"/>
          <w:highlight w:val="none"/>
        </w:rPr>
      </w:pPr>
      <w:bookmarkStart w:id="64" w:name="_Toc152042355"/>
      <w:bookmarkStart w:id="65" w:name="_Toc144974546"/>
      <w:r>
        <w:rPr>
          <w:rFonts w:hint="eastAsia" w:asciiTheme="minorEastAsia" w:hAnsiTheme="minorEastAsia" w:eastAsiaTheme="minorEastAsia"/>
          <w:color w:val="auto"/>
          <w:highlight w:val="none"/>
        </w:rPr>
        <w:t>（按</w:t>
      </w:r>
      <w:r>
        <w:rPr>
          <w:rFonts w:hint="eastAsia" w:asciiTheme="minorEastAsia" w:hAnsiTheme="minorEastAsia" w:eastAsiaTheme="minorEastAsia"/>
          <w:color w:val="auto"/>
          <w:highlight w:val="none"/>
          <w:lang w:eastAsia="zh-CN"/>
        </w:rPr>
        <w:t>广州交易集团有限公司（广州公共资源交易中心）</w:t>
      </w:r>
      <w:r>
        <w:rPr>
          <w:rFonts w:hint="eastAsia" w:asciiTheme="minorEastAsia" w:hAnsiTheme="minorEastAsia" w:eastAsiaTheme="minorEastAsia"/>
          <w:color w:val="auto"/>
          <w:highlight w:val="none"/>
        </w:rPr>
        <w:t>规定格式）</w:t>
      </w:r>
    </w:p>
    <w:p>
      <w:pPr>
        <w:spacing w:line="400" w:lineRule="exact"/>
        <w:rPr>
          <w:rFonts w:asciiTheme="minorEastAsia" w:hAnsiTheme="minorEastAsia" w:eastAsiaTheme="minorEastAsia"/>
          <w:color w:val="auto"/>
          <w:highlight w:val="none"/>
        </w:rPr>
      </w:pPr>
    </w:p>
    <w:p>
      <w:pPr>
        <w:spacing w:line="400" w:lineRule="exact"/>
        <w:rPr>
          <w:rFonts w:asciiTheme="minorEastAsia" w:hAnsiTheme="minorEastAsia" w:eastAsiaTheme="minorEastAsia"/>
          <w:color w:val="auto"/>
          <w:highlight w:val="none"/>
        </w:rPr>
      </w:pPr>
    </w:p>
    <w:p>
      <w:pPr>
        <w:spacing w:line="400" w:lineRule="exact"/>
        <w:rPr>
          <w:rFonts w:asciiTheme="minorEastAsia" w:hAnsiTheme="minorEastAsia" w:eastAsiaTheme="minorEastAsia"/>
          <w:color w:val="auto"/>
          <w:highlight w:val="none"/>
        </w:rPr>
      </w:pPr>
    </w:p>
    <w:p>
      <w:pPr>
        <w:spacing w:line="400" w:lineRule="exact"/>
        <w:rPr>
          <w:rFonts w:asciiTheme="minorEastAsia" w:hAnsiTheme="minorEastAsia" w:eastAsiaTheme="minorEastAsia"/>
          <w:color w:val="auto"/>
          <w:highlight w:val="none"/>
        </w:rPr>
      </w:pPr>
    </w:p>
    <w:p>
      <w:pPr>
        <w:pStyle w:val="6"/>
        <w:ind w:firstLine="137"/>
        <w:rPr>
          <w:rFonts w:asciiTheme="minorEastAsia" w:hAnsiTheme="minorEastAsia" w:eastAsiaTheme="minorEastAsia"/>
          <w:color w:val="auto"/>
          <w:highlight w:val="none"/>
        </w:rPr>
        <w:sectPr>
          <w:footerReference r:id="rId4" w:type="default"/>
          <w:type w:val="continuous"/>
          <w:pgSz w:w="12240" w:h="15840"/>
          <w:pgMar w:top="1440" w:right="1425" w:bottom="1440" w:left="1800" w:header="720" w:footer="720" w:gutter="0"/>
          <w:pgNumType w:start="1"/>
          <w:cols w:space="720" w:num="1"/>
          <w:docGrid w:linePitch="285" w:charSpace="0"/>
        </w:sectPr>
      </w:pPr>
    </w:p>
    <w:p>
      <w:pPr>
        <w:pStyle w:val="6"/>
        <w:ind w:firstLine="137"/>
        <w:rPr>
          <w:rFonts w:asciiTheme="minorEastAsia" w:hAnsiTheme="minorEastAsia" w:eastAsiaTheme="minorEastAsia"/>
          <w:color w:val="auto"/>
          <w:highlight w:val="none"/>
        </w:rPr>
      </w:pPr>
      <w:bookmarkStart w:id="66" w:name="_Toc525063249"/>
      <w:r>
        <w:rPr>
          <w:rFonts w:hint="eastAsia" w:asciiTheme="minorEastAsia" w:hAnsiTheme="minorEastAsia" w:eastAsiaTheme="minorEastAsia"/>
          <w:color w:val="auto"/>
          <w:highlight w:val="none"/>
        </w:rPr>
        <w:t>附件三：问题的澄清</w:t>
      </w:r>
      <w:bookmarkEnd w:id="66"/>
    </w:p>
    <w:p>
      <w:pPr>
        <w:spacing w:line="400" w:lineRule="exact"/>
        <w:jc w:val="center"/>
        <w:rPr>
          <w:rFonts w:asciiTheme="minorEastAsia" w:hAnsiTheme="minorEastAsia" w:eastAsiaTheme="minorEastAsia"/>
          <w:color w:val="auto"/>
          <w:sz w:val="28"/>
          <w:highlight w:val="none"/>
        </w:rPr>
      </w:pPr>
    </w:p>
    <w:p>
      <w:pPr>
        <w:spacing w:line="400" w:lineRule="exact"/>
        <w:jc w:val="center"/>
        <w:rPr>
          <w:rFonts w:asciiTheme="minorEastAsia" w:hAnsiTheme="minorEastAsia" w:eastAsiaTheme="minorEastAsia"/>
          <w:color w:val="auto"/>
          <w:sz w:val="28"/>
          <w:highlight w:val="none"/>
        </w:rPr>
      </w:pPr>
      <w:r>
        <w:rPr>
          <w:rFonts w:hint="eastAsia" w:asciiTheme="minorEastAsia" w:hAnsiTheme="minorEastAsia" w:eastAsiaTheme="minorEastAsia"/>
          <w:color w:val="auto"/>
          <w:sz w:val="28"/>
          <w:highlight w:val="none"/>
        </w:rPr>
        <w:t>问</w:t>
      </w:r>
      <w:bookmarkEnd w:id="64"/>
      <w:r>
        <w:rPr>
          <w:rFonts w:hint="eastAsia" w:asciiTheme="minorEastAsia" w:hAnsiTheme="minorEastAsia" w:eastAsiaTheme="minorEastAsia"/>
          <w:color w:val="auto"/>
          <w:sz w:val="28"/>
          <w:highlight w:val="none"/>
        </w:rPr>
        <w:t>题</w:t>
      </w:r>
      <w:bookmarkStart w:id="67" w:name="_Toc352691524"/>
      <w:bookmarkStart w:id="68" w:name="_Toc361508637"/>
      <w:bookmarkStart w:id="69" w:name="_Toc152042356"/>
      <w:bookmarkStart w:id="70" w:name="_Toc384308263"/>
      <w:bookmarkStart w:id="71" w:name="_Toc152045579"/>
      <w:bookmarkStart w:id="72" w:name="_Toc247527604"/>
      <w:bookmarkStart w:id="73" w:name="_Toc247514003"/>
      <w:bookmarkStart w:id="74" w:name="_Toc300834999"/>
      <w:bookmarkStart w:id="75" w:name="_Toc3622"/>
      <w:bookmarkStart w:id="76" w:name="_Toc369531568"/>
      <w:r>
        <w:rPr>
          <w:rFonts w:hint="eastAsia" w:asciiTheme="minorEastAsia" w:hAnsiTheme="minorEastAsia" w:eastAsiaTheme="minorEastAsia"/>
          <w:color w:val="auto"/>
          <w:sz w:val="28"/>
          <w:highlight w:val="none"/>
        </w:rPr>
        <w:t>的澄清</w:t>
      </w:r>
    </w:p>
    <w:p>
      <w:pPr>
        <w:spacing w:line="400" w:lineRule="exact"/>
        <w:ind w:firstLine="3465" w:firstLineChars="165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（编号</w:t>
      </w:r>
      <w:bookmarkEnd w:id="65"/>
      <w:bookmarkEnd w:id="67"/>
      <w:bookmarkEnd w:id="68"/>
      <w:bookmarkEnd w:id="69"/>
      <w:bookmarkEnd w:id="70"/>
      <w:bookmarkEnd w:id="71"/>
      <w:bookmarkEnd w:id="72"/>
      <w:bookmarkEnd w:id="73"/>
      <w:bookmarkEnd w:id="74"/>
      <w:bookmarkEnd w:id="75"/>
      <w:bookmarkEnd w:id="76"/>
      <w:r>
        <w:rPr>
          <w:rFonts w:hint="eastAsia" w:asciiTheme="minorEastAsia" w:hAnsiTheme="minorEastAsia" w:eastAsiaTheme="minorEastAsia"/>
          <w:color w:val="auto"/>
          <w:highlight w:val="none"/>
        </w:rPr>
        <w:t>：）</w:t>
      </w:r>
    </w:p>
    <w:p>
      <w:pPr>
        <w:spacing w:line="400" w:lineRule="exact"/>
        <w:rPr>
          <w:rFonts w:asciiTheme="minorEastAsia" w:hAnsiTheme="minorEastAsia" w:eastAsiaTheme="minorEastAsia"/>
          <w:color w:val="auto"/>
          <w:highlight w:val="none"/>
        </w:rPr>
      </w:pPr>
    </w:p>
    <w:p>
      <w:pPr>
        <w:spacing w:line="440" w:lineRule="exac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（按</w:t>
      </w:r>
      <w:r>
        <w:rPr>
          <w:rFonts w:hint="eastAsia" w:asciiTheme="minorEastAsia" w:hAnsiTheme="minorEastAsia" w:eastAsiaTheme="minorEastAsia"/>
          <w:color w:val="auto"/>
          <w:highlight w:val="none"/>
          <w:lang w:eastAsia="zh-CN"/>
        </w:rPr>
        <w:t>广州交易集团有限公司（广州公共资源交易中心）</w:t>
      </w:r>
      <w:r>
        <w:rPr>
          <w:rFonts w:hint="eastAsia" w:asciiTheme="minorEastAsia" w:hAnsiTheme="minorEastAsia" w:eastAsiaTheme="minorEastAsia"/>
          <w:color w:val="auto"/>
          <w:highlight w:val="none"/>
        </w:rPr>
        <w:t>规定格式）</w:t>
      </w:r>
    </w:p>
    <w:p>
      <w:pPr>
        <w:spacing w:line="48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w:t>
      </w:r>
    </w:p>
    <w:p>
      <w:pPr>
        <w:spacing w:line="400" w:lineRule="exact"/>
        <w:rPr>
          <w:rFonts w:asciiTheme="minorEastAsia" w:hAnsiTheme="minorEastAsia" w:eastAsiaTheme="minorEastAsia"/>
          <w:color w:val="auto"/>
          <w:highlight w:val="none"/>
        </w:rPr>
      </w:pPr>
    </w:p>
    <w:p>
      <w:pPr>
        <w:pStyle w:val="6"/>
        <w:ind w:firstLine="137"/>
        <w:rPr>
          <w:rFonts w:asciiTheme="minorEastAsia" w:hAnsiTheme="minorEastAsia" w:eastAsiaTheme="minorEastAsia"/>
          <w:color w:val="auto"/>
          <w:highlight w:val="none"/>
        </w:rPr>
        <w:sectPr>
          <w:pgSz w:w="12240" w:h="15840"/>
          <w:pgMar w:top="1440" w:right="1425" w:bottom="1440" w:left="1800" w:header="720" w:footer="720" w:gutter="0"/>
          <w:cols w:space="720" w:num="1"/>
          <w:docGrid w:linePitch="285" w:charSpace="0"/>
        </w:sectPr>
      </w:pPr>
      <w:bookmarkStart w:id="77" w:name="_Toc520363149"/>
      <w:bookmarkStart w:id="78" w:name="_Toc492300623"/>
    </w:p>
    <w:bookmarkEnd w:id="77"/>
    <w:bookmarkEnd w:id="78"/>
    <w:p>
      <w:pPr>
        <w:pStyle w:val="6"/>
        <w:ind w:firstLine="137"/>
        <w:rPr>
          <w:rFonts w:asciiTheme="minorEastAsia" w:hAnsiTheme="minorEastAsia" w:eastAsiaTheme="minorEastAsia"/>
          <w:color w:val="auto"/>
          <w:highlight w:val="none"/>
        </w:rPr>
      </w:pPr>
      <w:bookmarkStart w:id="79" w:name="_Toc27885_WPSOffice_Level1"/>
      <w:bookmarkStart w:id="80" w:name="_Toc22637082"/>
      <w:r>
        <w:rPr>
          <w:rFonts w:hint="eastAsia" w:asciiTheme="minorEastAsia" w:hAnsiTheme="minorEastAsia" w:eastAsiaTheme="minorEastAsia"/>
          <w:color w:val="auto"/>
          <w:highlight w:val="none"/>
        </w:rPr>
        <w:t>附件四：中标通知书</w:t>
      </w:r>
    </w:p>
    <w:p>
      <w:pPr>
        <w:spacing w:line="400" w:lineRule="exac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（按</w:t>
      </w:r>
      <w:r>
        <w:rPr>
          <w:rFonts w:hint="eastAsia" w:asciiTheme="minorEastAsia" w:hAnsiTheme="minorEastAsia" w:eastAsiaTheme="minorEastAsia"/>
          <w:color w:val="auto"/>
          <w:highlight w:val="none"/>
          <w:lang w:eastAsia="zh-CN"/>
        </w:rPr>
        <w:t>广州交易集团有限公司（广州公共资源交易中心）</w:t>
      </w:r>
      <w:r>
        <w:rPr>
          <w:rFonts w:hint="eastAsia" w:asciiTheme="minorEastAsia" w:hAnsiTheme="minorEastAsia" w:eastAsiaTheme="minorEastAsia"/>
          <w:color w:val="auto"/>
          <w:highlight w:val="none"/>
        </w:rPr>
        <w:t>中标通知书格式）</w:t>
      </w:r>
    </w:p>
    <w:p>
      <w:pPr>
        <w:spacing w:line="400" w:lineRule="exact"/>
        <w:rPr>
          <w:rFonts w:asciiTheme="minorEastAsia" w:hAnsiTheme="minorEastAsia" w:eastAsiaTheme="minorEastAsia"/>
          <w:color w:val="auto"/>
          <w:highlight w:val="none"/>
        </w:rPr>
      </w:pPr>
    </w:p>
    <w:p>
      <w:pPr>
        <w:spacing w:line="400" w:lineRule="exact"/>
        <w:rPr>
          <w:rFonts w:asciiTheme="minorEastAsia" w:hAnsiTheme="minorEastAsia" w:eastAsiaTheme="minorEastAsia"/>
          <w:color w:val="auto"/>
          <w:highlight w:val="none"/>
        </w:rPr>
      </w:pPr>
    </w:p>
    <w:p>
      <w:pPr>
        <w:spacing w:line="400" w:lineRule="exact"/>
        <w:rPr>
          <w:rFonts w:asciiTheme="minorEastAsia" w:hAnsiTheme="minorEastAsia" w:eastAsiaTheme="minorEastAsia"/>
          <w:color w:val="auto"/>
          <w:highlight w:val="none"/>
        </w:rPr>
      </w:pPr>
    </w:p>
    <w:p>
      <w:pPr>
        <w:pStyle w:val="6"/>
        <w:ind w:firstLine="137"/>
        <w:rPr>
          <w:rFonts w:asciiTheme="minorEastAsia" w:hAnsiTheme="minorEastAsia" w:eastAsiaTheme="minorEastAsia"/>
          <w:color w:val="auto"/>
          <w:highlight w:val="none"/>
        </w:rPr>
        <w:sectPr>
          <w:type w:val="continuous"/>
          <w:pgSz w:w="12240" w:h="15840"/>
          <w:pgMar w:top="1440" w:right="1425" w:bottom="1440" w:left="1800" w:header="720" w:footer="720" w:gutter="0"/>
          <w:cols w:space="720" w:num="1"/>
          <w:docGrid w:linePitch="285" w:charSpace="0"/>
        </w:sectPr>
      </w:pPr>
    </w:p>
    <w:p>
      <w:pPr>
        <w:pStyle w:val="4"/>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第三章 评标办法 (综合评估法)</w:t>
      </w:r>
      <w:bookmarkEnd w:id="79"/>
      <w:bookmarkEnd w:id="80"/>
    </w:p>
    <w:p>
      <w:pPr>
        <w:pStyle w:val="5"/>
        <w:spacing w:line="360" w:lineRule="auto"/>
        <w:rPr>
          <w:rFonts w:asciiTheme="minorEastAsia" w:hAnsiTheme="minorEastAsia" w:eastAsiaTheme="minorEastAsia"/>
          <w:color w:val="auto"/>
          <w:highlight w:val="none"/>
        </w:rPr>
      </w:pPr>
      <w:bookmarkStart w:id="81" w:name="_Toc511140226"/>
      <w:r>
        <w:rPr>
          <w:rFonts w:hint="eastAsia" w:asciiTheme="minorEastAsia" w:hAnsiTheme="minorEastAsia" w:eastAsiaTheme="minorEastAsia"/>
          <w:color w:val="auto"/>
          <w:highlight w:val="none"/>
        </w:rPr>
        <w:t>评标办法前附表</w:t>
      </w:r>
      <w:bookmarkEnd w:id="81"/>
    </w:p>
    <w:tbl>
      <w:tblPr>
        <w:tblStyle w:val="17"/>
        <w:tblW w:w="900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1"/>
        <w:gridCol w:w="986"/>
        <w:gridCol w:w="1630"/>
        <w:gridCol w:w="54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1927"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941"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评标方法</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中标候选人排序方法</w:t>
            </w:r>
          </w:p>
        </w:tc>
        <w:tc>
          <w:tcPr>
            <w:tcW w:w="5449" w:type="dxa"/>
            <w:tcBorders>
              <w:top w:val="single" w:color="auto" w:sz="4" w:space="0"/>
              <w:left w:val="single" w:color="auto" w:sz="4" w:space="0"/>
              <w:bottom w:val="single" w:color="auto" w:sz="4" w:space="0"/>
            </w:tcBorders>
          </w:tcPr>
          <w:p>
            <w:pPr>
              <w:keepNext w:val="0"/>
              <w:keepLines w:val="0"/>
              <w:suppressLineNumbers w:val="0"/>
              <w:wordWrap w:val="0"/>
              <w:spacing w:before="0" w:beforeAutospacing="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本次评标采用综合评估法。评标委员会对满足招标文件实质性要求的投标文件，按照本章第2.2款规定的评分标准进行打分，并</w:t>
            </w:r>
            <w:r>
              <w:rPr>
                <w:rFonts w:hint="eastAsia" w:ascii="宋体" w:hAnsi="宋体" w:eastAsia="宋体" w:cs="宋体"/>
                <w:color w:val="auto"/>
                <w:sz w:val="21"/>
                <w:szCs w:val="21"/>
                <w:highlight w:val="none"/>
              </w:rPr>
              <w:t>按综合评分从高到低进行先后排名，如果综合评分相同的，以报价较低的排前；报价也相同的，以</w:t>
            </w:r>
            <w:r>
              <w:rPr>
                <w:rFonts w:hint="eastAsia" w:ascii="宋体" w:hAnsi="宋体" w:eastAsia="宋体" w:cs="宋体"/>
                <w:color w:val="auto"/>
                <w:sz w:val="21"/>
                <w:szCs w:val="21"/>
                <w:highlight w:val="none"/>
                <w:lang w:eastAsia="zh-CN"/>
              </w:rPr>
              <w:t>服务</w:t>
            </w:r>
            <w:r>
              <w:rPr>
                <w:rFonts w:hint="eastAsia" w:ascii="宋体" w:hAnsi="宋体" w:eastAsia="宋体" w:cs="宋体"/>
                <w:color w:val="auto"/>
                <w:sz w:val="21"/>
                <w:szCs w:val="21"/>
                <w:highlight w:val="none"/>
              </w:rPr>
              <w:t>方案得分高的排前；如仍存在相同情况，由评标委员会采用记名投票方式，以得票多的优先。最终得到投标人排名。推荐</w:t>
            </w:r>
            <w:r>
              <w:rPr>
                <w:rFonts w:hint="eastAsia" w:ascii="宋体" w:hAnsi="宋体" w:eastAsia="宋体" w:cs="宋体"/>
                <w:color w:val="auto"/>
                <w:sz w:val="21"/>
                <w:szCs w:val="21"/>
                <w:highlight w:val="none"/>
                <w:u w:val="single"/>
              </w:rPr>
              <w:t>排名的前一～</w:t>
            </w:r>
            <w:r>
              <w:rPr>
                <w:rFonts w:hint="eastAsia" w:ascii="宋体" w:hAnsi="宋体" w:eastAsia="宋体" w:cs="宋体"/>
                <w:color w:val="auto"/>
                <w:sz w:val="21"/>
                <w:szCs w:val="21"/>
                <w:highlight w:val="none"/>
                <w:u w:val="single"/>
                <w:lang w:val="en-US" w:eastAsia="zh-CN"/>
              </w:rPr>
              <w:t>二</w:t>
            </w:r>
            <w:r>
              <w:rPr>
                <w:rFonts w:hint="eastAsia" w:ascii="宋体" w:hAnsi="宋体" w:eastAsia="宋体" w:cs="宋体"/>
                <w:color w:val="auto"/>
                <w:sz w:val="21"/>
                <w:szCs w:val="21"/>
                <w:highlight w:val="none"/>
                <w:u w:val="single"/>
              </w:rPr>
              <w:t>名为第一中标候选人</w:t>
            </w:r>
            <w:r>
              <w:rPr>
                <w:rFonts w:hint="eastAsia" w:ascii="宋体" w:hAnsi="宋体" w:eastAsia="宋体" w:cs="宋体"/>
                <w:color w:val="auto"/>
                <w:sz w:val="21"/>
                <w:szCs w:val="21"/>
                <w:highlight w:val="none"/>
                <w:u w:val="single"/>
                <w:lang w:val="en-US" w:eastAsia="zh-CN"/>
              </w:rPr>
              <w:t>和</w:t>
            </w:r>
            <w:r>
              <w:rPr>
                <w:rFonts w:hint="eastAsia" w:ascii="宋体" w:hAnsi="宋体" w:eastAsia="宋体" w:cs="宋体"/>
                <w:color w:val="auto"/>
                <w:sz w:val="21"/>
                <w:szCs w:val="21"/>
                <w:highlight w:val="none"/>
                <w:u w:val="single"/>
              </w:rPr>
              <w:t>第</w:t>
            </w:r>
            <w:r>
              <w:rPr>
                <w:rFonts w:hint="eastAsia" w:ascii="宋体" w:hAnsi="宋体" w:eastAsia="宋体" w:cs="宋体"/>
                <w:color w:val="auto"/>
                <w:sz w:val="21"/>
                <w:szCs w:val="21"/>
                <w:highlight w:val="none"/>
                <w:u w:val="single"/>
                <w:lang w:val="en-US" w:eastAsia="zh-CN"/>
              </w:rPr>
              <w:t>二</w:t>
            </w:r>
            <w:r>
              <w:rPr>
                <w:rFonts w:hint="eastAsia" w:ascii="宋体" w:hAnsi="宋体" w:eastAsia="宋体" w:cs="宋体"/>
                <w:color w:val="auto"/>
                <w:sz w:val="21"/>
                <w:szCs w:val="21"/>
                <w:highlight w:val="none"/>
                <w:u w:val="single"/>
              </w:rPr>
              <w:t>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restart"/>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w:t>
            </w:r>
          </w:p>
        </w:tc>
        <w:tc>
          <w:tcPr>
            <w:tcW w:w="986"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形式评审标准</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与营业执照或事业单位法人证书、资质证书一致</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top w:val="nil"/>
              <w:bottom w:val="single" w:color="auto" w:sz="4" w:space="0"/>
              <w:right w:val="single" w:color="auto" w:sz="4" w:space="0"/>
            </w:tcBorders>
            <w:vAlign w:val="center"/>
          </w:tcPr>
          <w:p>
            <w:pPr>
              <w:keepNext/>
              <w:keepLines/>
              <w:suppressLineNumbers w:val="0"/>
              <w:spacing w:before="0" w:beforeAutospacing="0" w:after="0" w:afterAutospacing="0" w:line="400" w:lineRule="exact"/>
              <w:ind w:left="0" w:right="0"/>
              <w:jc w:val="center"/>
              <w:outlineLvl w:val="2"/>
              <w:rPr>
                <w:rFonts w:hint="eastAsia" w:ascii="宋体" w:hAnsi="宋体" w:eastAsia="宋体" w:cs="宋体"/>
                <w:color w:val="auto"/>
                <w:sz w:val="21"/>
                <w:szCs w:val="21"/>
                <w:highlight w:val="none"/>
              </w:rPr>
            </w:pPr>
          </w:p>
        </w:tc>
        <w:tc>
          <w:tcPr>
            <w:tcW w:w="986" w:type="dxa"/>
            <w:vMerge w:val="continue"/>
            <w:tcBorders>
              <w:right w:val="single" w:color="auto" w:sz="4" w:space="0"/>
            </w:tcBorders>
            <w:vAlign w:val="center"/>
          </w:tcPr>
          <w:p>
            <w:pPr>
              <w:keepNext/>
              <w:keepLines/>
              <w:suppressLineNumbers w:val="0"/>
              <w:spacing w:before="0" w:beforeAutospacing="0" w:after="0" w:afterAutospacing="0" w:line="400" w:lineRule="exact"/>
              <w:ind w:left="0" w:right="0"/>
              <w:jc w:val="center"/>
              <w:outlineLvl w:val="2"/>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投标函及投标函附录签字盖章</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由法定代表人或其委托代理人签字并加盖单位公章。由法定代表人签字的，应附法定代表人身份证明，由代理人签字的，应附授权委托书。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top w:val="nil"/>
              <w:bottom w:val="single" w:color="auto" w:sz="4" w:space="0"/>
              <w:right w:val="single" w:color="auto" w:sz="4" w:space="0"/>
            </w:tcBorders>
            <w:vAlign w:val="center"/>
          </w:tcPr>
          <w:p>
            <w:pPr>
              <w:keepNext/>
              <w:keepLines/>
              <w:suppressLineNumbers w:val="0"/>
              <w:spacing w:before="0" w:beforeAutospacing="0" w:after="0" w:afterAutospacing="0" w:line="400" w:lineRule="exact"/>
              <w:ind w:left="0" w:right="0"/>
              <w:jc w:val="center"/>
              <w:outlineLvl w:val="2"/>
              <w:rPr>
                <w:rFonts w:hint="eastAsia" w:ascii="宋体" w:hAnsi="宋体" w:eastAsia="宋体" w:cs="宋体"/>
                <w:color w:val="auto"/>
                <w:sz w:val="21"/>
                <w:szCs w:val="21"/>
                <w:highlight w:val="none"/>
              </w:rPr>
            </w:pPr>
          </w:p>
        </w:tc>
        <w:tc>
          <w:tcPr>
            <w:tcW w:w="986" w:type="dxa"/>
            <w:vMerge w:val="continue"/>
            <w:tcBorders>
              <w:right w:val="single" w:color="auto" w:sz="4" w:space="0"/>
            </w:tcBorders>
            <w:vAlign w:val="center"/>
          </w:tcPr>
          <w:p>
            <w:pPr>
              <w:keepNext/>
              <w:keepLines/>
              <w:suppressLineNumbers w:val="0"/>
              <w:spacing w:before="0" w:beforeAutospacing="0" w:after="0" w:afterAutospacing="0" w:line="400" w:lineRule="exact"/>
              <w:ind w:left="0" w:right="0"/>
              <w:jc w:val="center"/>
              <w:outlineLvl w:val="2"/>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投标文件格式</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符合第六章“投标文件格式”</w:t>
            </w:r>
            <w:r>
              <w:rPr>
                <w:rFonts w:hint="eastAsia" w:ascii="宋体" w:hAnsi="宋体" w:eastAsia="宋体" w:cs="宋体"/>
                <w:b/>
                <w:bCs/>
                <w:color w:val="auto"/>
                <w:sz w:val="21"/>
                <w:szCs w:val="21"/>
                <w:highlight w:val="none"/>
              </w:rPr>
              <w:t>投标函</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投标函附录</w:t>
            </w:r>
            <w:r>
              <w:rPr>
                <w:rFonts w:hint="eastAsia" w:ascii="宋体" w:hAnsi="宋体" w:eastAsia="宋体" w:cs="宋体"/>
                <w:b/>
                <w:bCs/>
                <w:color w:val="auto"/>
                <w:sz w:val="21"/>
                <w:szCs w:val="21"/>
                <w:highlight w:val="none"/>
                <w:lang w:val="en-US" w:eastAsia="zh-CN"/>
              </w:rPr>
              <w:t>及投标报价表</w:t>
            </w:r>
            <w:r>
              <w:rPr>
                <w:rFonts w:hint="eastAsia" w:ascii="宋体" w:hAnsi="宋体" w:eastAsia="宋体" w:cs="宋体"/>
                <w:color w:val="auto"/>
                <w:sz w:val="21"/>
                <w:szCs w:val="21"/>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top w:val="nil"/>
              <w:bottom w:val="single" w:color="auto" w:sz="4" w:space="0"/>
              <w:right w:val="single" w:color="auto" w:sz="4" w:space="0"/>
            </w:tcBorders>
            <w:vAlign w:val="center"/>
          </w:tcPr>
          <w:p>
            <w:pPr>
              <w:keepNext/>
              <w:keepLines/>
              <w:suppressLineNumbers w:val="0"/>
              <w:spacing w:before="0" w:beforeAutospacing="0" w:after="0" w:afterAutospacing="0" w:line="400" w:lineRule="exact"/>
              <w:ind w:left="0" w:right="0"/>
              <w:jc w:val="center"/>
              <w:outlineLvl w:val="2"/>
              <w:rPr>
                <w:rFonts w:hint="eastAsia" w:ascii="宋体" w:hAnsi="宋体" w:eastAsia="宋体" w:cs="宋体"/>
                <w:color w:val="auto"/>
                <w:sz w:val="21"/>
                <w:szCs w:val="21"/>
                <w:highlight w:val="none"/>
              </w:rPr>
            </w:pPr>
          </w:p>
        </w:tc>
        <w:tc>
          <w:tcPr>
            <w:tcW w:w="986" w:type="dxa"/>
            <w:vMerge w:val="continue"/>
            <w:tcBorders>
              <w:right w:val="single" w:color="auto" w:sz="4" w:space="0"/>
            </w:tcBorders>
            <w:vAlign w:val="center"/>
          </w:tcPr>
          <w:p>
            <w:pPr>
              <w:keepNext/>
              <w:keepLines/>
              <w:suppressLineNumbers w:val="0"/>
              <w:spacing w:before="0" w:beforeAutospacing="0" w:after="0" w:afterAutospacing="0" w:line="400" w:lineRule="exact"/>
              <w:ind w:left="0" w:right="0"/>
              <w:jc w:val="center"/>
              <w:outlineLvl w:val="2"/>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备选投标方案</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投标人不得提交备选投标方案。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top w:val="nil"/>
              <w:bottom w:val="single" w:color="auto" w:sz="4" w:space="0"/>
              <w:right w:val="single" w:color="auto" w:sz="4" w:space="0"/>
            </w:tcBorders>
            <w:vAlign w:val="center"/>
          </w:tcPr>
          <w:p>
            <w:pPr>
              <w:keepNext/>
              <w:keepLines/>
              <w:suppressLineNumbers w:val="0"/>
              <w:spacing w:before="0" w:beforeAutospacing="0" w:after="0" w:afterAutospacing="0" w:line="400" w:lineRule="exact"/>
              <w:ind w:left="0" w:right="0"/>
              <w:jc w:val="center"/>
              <w:outlineLvl w:val="2"/>
              <w:rPr>
                <w:rFonts w:hint="eastAsia" w:ascii="宋体" w:hAnsi="宋体" w:eastAsia="宋体" w:cs="宋体"/>
                <w:color w:val="auto"/>
                <w:sz w:val="21"/>
                <w:szCs w:val="21"/>
                <w:highlight w:val="none"/>
              </w:rPr>
            </w:pPr>
          </w:p>
        </w:tc>
        <w:tc>
          <w:tcPr>
            <w:tcW w:w="986" w:type="dxa"/>
            <w:vMerge w:val="continue"/>
            <w:tcBorders>
              <w:right w:val="single" w:color="auto" w:sz="4" w:space="0"/>
            </w:tcBorders>
            <w:vAlign w:val="center"/>
          </w:tcPr>
          <w:p>
            <w:pPr>
              <w:keepNext/>
              <w:keepLines/>
              <w:suppressLineNumbers w:val="0"/>
              <w:spacing w:before="0" w:beforeAutospacing="0" w:after="0" w:afterAutospacing="0" w:line="400" w:lineRule="exact"/>
              <w:ind w:left="0" w:right="0"/>
              <w:jc w:val="center"/>
              <w:outlineLvl w:val="2"/>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投标人加密打包投标文件电脑机器特征码</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投标人与其他投标人加密打包投标文件电脑机器特征码一致的（以</w:t>
            </w:r>
            <w:r>
              <w:rPr>
                <w:rFonts w:hint="eastAsia" w:ascii="宋体" w:hAnsi="宋体" w:eastAsia="宋体" w:cs="宋体"/>
                <w:color w:val="auto"/>
                <w:sz w:val="21"/>
                <w:szCs w:val="21"/>
                <w:highlight w:val="none"/>
                <w:lang w:eastAsia="zh-CN"/>
              </w:rPr>
              <w:t>广州交易集团有限公司（广州公共资源交易中心）</w:t>
            </w:r>
            <w:r>
              <w:rPr>
                <w:rFonts w:hint="eastAsia" w:ascii="宋体" w:hAnsi="宋体" w:eastAsia="宋体" w:cs="宋体"/>
                <w:color w:val="auto"/>
                <w:sz w:val="21"/>
                <w:szCs w:val="21"/>
                <w:highlight w:val="none"/>
              </w:rPr>
              <w:t>评标系统的检索信息为准）将被否决。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941" w:type="dxa"/>
            <w:vMerge w:val="restart"/>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资格评审标准</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营业执照或事业单位法人证书和组织机构代码证</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符合第二章“投标人须知”第3.5.1项规定，具备有效的营业执照或事业单位法人证书和组织机构代码证。按照“三证合一”或“五证合一”登记制度进行登记的投标人，可仅提供营业执照</w:t>
            </w:r>
            <w:r>
              <w:rPr>
                <w:rFonts w:hint="eastAsia" w:ascii="宋体" w:hAnsi="宋体" w:eastAsia="宋体" w:cs="宋体"/>
                <w:color w:val="auto"/>
                <w:sz w:val="21"/>
                <w:szCs w:val="21"/>
                <w:highlight w:val="none"/>
                <w:lang w:val="en-US" w:eastAsia="zh-CN"/>
              </w:rPr>
              <w:t>扫描件</w:t>
            </w:r>
            <w:r>
              <w:rPr>
                <w:rFonts w:hint="eastAsia" w:ascii="宋体" w:hAnsi="宋体" w:eastAsia="宋体" w:cs="宋体"/>
                <w:color w:val="auto"/>
                <w:sz w:val="21"/>
                <w:szCs w:val="21"/>
                <w:highlight w:val="none"/>
              </w:rPr>
              <w:t>或事业单位法人证书</w:t>
            </w:r>
            <w:r>
              <w:rPr>
                <w:rFonts w:hint="eastAsia" w:ascii="宋体" w:hAnsi="宋体" w:eastAsia="宋体" w:cs="宋体"/>
                <w:color w:val="auto"/>
                <w:sz w:val="21"/>
                <w:szCs w:val="21"/>
                <w:highlight w:val="none"/>
                <w:lang w:val="en-US" w:eastAsia="zh-CN"/>
              </w:rPr>
              <w:t>扫描件</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98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资质要求</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98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98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其他要求</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98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联合体投标人</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允许联合体投标。提供联合体共同投标协议。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98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不存在禁止投标的情形</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不存在第二章“投标人须知”第1.4.3项规定的任何一种情形（以投标函中的声明为评审依据）</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98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未被列入拖欠农民工工资失信联合惩戒对象名单</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投标人无需提供资料，按交易系统比对的结果进行评审</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00" w:hRule="atLeast"/>
        </w:trPr>
        <w:tc>
          <w:tcPr>
            <w:tcW w:w="941"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2.1.3</w:t>
            </w:r>
          </w:p>
        </w:tc>
        <w:tc>
          <w:tcPr>
            <w:tcW w:w="986"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响应性评审标准</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符合第二章“投标人须知”第3.2款规定进行投标报价的；对同一招标项目没有出现两个或以上的投标报价，且修正无依据；投标人以低于成本报价竞标的。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keepNext/>
              <w:keepLines/>
              <w:suppressLineNumbers w:val="0"/>
              <w:spacing w:before="0" w:beforeAutospacing="0" w:after="0" w:afterAutospacing="0" w:line="400" w:lineRule="exact"/>
              <w:ind w:left="0" w:right="0"/>
              <w:jc w:val="center"/>
              <w:outlineLvl w:val="2"/>
              <w:rPr>
                <w:rFonts w:hint="eastAsia" w:ascii="宋体" w:hAnsi="宋体" w:eastAsia="宋体" w:cs="宋体"/>
                <w:color w:val="auto"/>
                <w:sz w:val="21"/>
                <w:szCs w:val="21"/>
                <w:highlight w:val="none"/>
              </w:rPr>
            </w:pPr>
          </w:p>
        </w:tc>
        <w:tc>
          <w:tcPr>
            <w:tcW w:w="986" w:type="dxa"/>
            <w:vMerge w:val="continue"/>
            <w:tcBorders>
              <w:left w:val="single" w:color="auto" w:sz="4" w:space="0"/>
              <w:right w:val="single" w:color="auto" w:sz="4" w:space="0"/>
            </w:tcBorders>
            <w:vAlign w:val="center"/>
          </w:tcPr>
          <w:p>
            <w:pPr>
              <w:keepNext/>
              <w:keepLines/>
              <w:suppressLineNumbers w:val="0"/>
              <w:spacing w:before="0" w:beforeAutospacing="0" w:after="0" w:afterAutospacing="0" w:line="400" w:lineRule="exact"/>
              <w:ind w:left="0" w:right="0"/>
              <w:jc w:val="center"/>
              <w:outlineLvl w:val="2"/>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投标内容</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投标文件格式规定（格式规定详见第六章投标文件格式中投标函、投标报价表）的格式填写，内容齐全或关键字迹清晰、容易辩认；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98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服务期限</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6" w:hRule="atLeast"/>
        </w:trPr>
        <w:tc>
          <w:tcPr>
            <w:tcW w:w="941"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98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质量标准</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w:t>
            </w:r>
            <w:r>
              <w:rPr>
                <w:rFonts w:hint="eastAsia" w:ascii="宋体" w:hAnsi="宋体" w:eastAsia="宋体" w:cs="宋体"/>
                <w:color w:val="auto"/>
                <w:sz w:val="21"/>
                <w:szCs w:val="21"/>
                <w:highlight w:val="none"/>
                <w:lang w:val="en-US" w:eastAsia="zh-CN"/>
              </w:rPr>
              <w:t>1.3.3</w:t>
            </w:r>
            <w:r>
              <w:rPr>
                <w:rFonts w:hint="eastAsia" w:ascii="宋体" w:hAnsi="宋体" w:eastAsia="宋体" w:cs="宋体"/>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trPr>
        <w:tc>
          <w:tcPr>
            <w:tcW w:w="941"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rPr>
            </w:pPr>
          </w:p>
        </w:tc>
        <w:tc>
          <w:tcPr>
            <w:tcW w:w="98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5449" w:type="dxa"/>
            <w:tcBorders>
              <w:top w:val="single" w:color="auto" w:sz="4" w:space="0"/>
              <w:left w:val="single" w:color="auto" w:sz="4" w:space="0"/>
              <w:bottom w:val="single" w:color="auto" w:sz="4" w:space="0"/>
            </w:tcBorders>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w:t>
            </w:r>
            <w:r>
              <w:rPr>
                <w:rFonts w:hint="eastAsia" w:ascii="宋体" w:hAnsi="宋体" w:eastAsia="宋体" w:cs="宋体"/>
                <w:color w:val="auto"/>
                <w:sz w:val="21"/>
                <w:szCs w:val="21"/>
                <w:highlight w:val="none"/>
                <w:lang w:val="en-US" w:eastAsia="zh-CN"/>
              </w:rPr>
              <w:t>3.3.1</w:t>
            </w:r>
            <w:r>
              <w:rPr>
                <w:rFonts w:hint="eastAsia" w:ascii="宋体" w:hAnsi="宋体" w:eastAsia="宋体" w:cs="宋体"/>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5" w:hRule="atLeast"/>
        </w:trPr>
        <w:tc>
          <w:tcPr>
            <w:tcW w:w="941" w:type="dxa"/>
            <w:vMerge w:val="continue"/>
            <w:tcBorders>
              <w:right w:val="single" w:color="auto" w:sz="4" w:space="0"/>
            </w:tcBorders>
            <w:vAlign w:val="center"/>
          </w:tcPr>
          <w:p>
            <w:pPr>
              <w:keepNext/>
              <w:keepLines/>
              <w:suppressLineNumbers w:val="0"/>
              <w:spacing w:before="0" w:beforeAutospacing="0" w:after="0" w:afterAutospacing="0" w:line="400" w:lineRule="exact"/>
              <w:ind w:left="0" w:right="0"/>
              <w:jc w:val="center"/>
              <w:outlineLvl w:val="2"/>
              <w:rPr>
                <w:rFonts w:hint="eastAsia" w:ascii="宋体" w:hAnsi="宋体" w:eastAsia="宋体" w:cs="宋体"/>
                <w:color w:val="auto"/>
                <w:sz w:val="21"/>
                <w:szCs w:val="21"/>
                <w:highlight w:val="none"/>
              </w:rPr>
            </w:pPr>
          </w:p>
        </w:tc>
        <w:tc>
          <w:tcPr>
            <w:tcW w:w="986" w:type="dxa"/>
            <w:vMerge w:val="continue"/>
            <w:tcBorders>
              <w:left w:val="single" w:color="auto" w:sz="4" w:space="0"/>
              <w:right w:val="single" w:color="auto" w:sz="4" w:space="0"/>
            </w:tcBorders>
            <w:vAlign w:val="center"/>
          </w:tcPr>
          <w:p>
            <w:pPr>
              <w:keepNext/>
              <w:keepLines/>
              <w:suppressLineNumbers w:val="0"/>
              <w:spacing w:before="0" w:beforeAutospacing="0" w:after="0" w:afterAutospacing="0" w:line="400" w:lineRule="exact"/>
              <w:ind w:left="0" w:right="0"/>
              <w:jc w:val="center"/>
              <w:outlineLvl w:val="2"/>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right w:val="single" w:color="auto" w:sz="4" w:space="0"/>
            </w:tcBorders>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串通投标情形</w:t>
            </w:r>
          </w:p>
        </w:tc>
        <w:tc>
          <w:tcPr>
            <w:tcW w:w="5449" w:type="dxa"/>
            <w:tcBorders>
              <w:top w:val="single" w:color="auto" w:sz="4" w:space="0"/>
              <w:left w:val="single" w:color="auto" w:sz="4" w:space="0"/>
            </w:tcBorders>
          </w:tcPr>
          <w:p>
            <w:pPr>
              <w:keepNext w:val="0"/>
              <w:keepLines w:val="0"/>
              <w:suppressLineNumbers w:val="0"/>
              <w:spacing w:before="0" w:beforeAutospacing="0" w:after="0" w:afterAutospacing="0" w:line="400" w:lineRule="exact"/>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不存在串通投标情形（串通投标情形以《中华人民共和国招标投标法实施条例》的规定为准）。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5" w:hRule="atLeast"/>
        </w:trPr>
        <w:tc>
          <w:tcPr>
            <w:tcW w:w="941" w:type="dxa"/>
            <w:vMerge w:val="continue"/>
            <w:tcBorders>
              <w:bottom w:val="single" w:color="auto" w:sz="4" w:space="0"/>
              <w:right w:val="single" w:color="auto" w:sz="4" w:space="0"/>
            </w:tcBorders>
            <w:vAlign w:val="center"/>
          </w:tcPr>
          <w:p>
            <w:pPr>
              <w:keepNext/>
              <w:keepLines/>
              <w:suppressLineNumbers w:val="0"/>
              <w:spacing w:before="0" w:beforeAutospacing="0" w:after="0" w:afterAutospacing="0" w:line="400" w:lineRule="exact"/>
              <w:ind w:left="0" w:right="0"/>
              <w:jc w:val="center"/>
              <w:outlineLvl w:val="2"/>
              <w:rPr>
                <w:rFonts w:hint="eastAsia" w:ascii="宋体" w:hAnsi="宋体" w:eastAsia="宋体" w:cs="宋体"/>
                <w:color w:val="auto"/>
                <w:sz w:val="21"/>
                <w:szCs w:val="21"/>
                <w:highlight w:val="none"/>
              </w:rPr>
            </w:pPr>
          </w:p>
        </w:tc>
        <w:tc>
          <w:tcPr>
            <w:tcW w:w="986" w:type="dxa"/>
            <w:vMerge w:val="continue"/>
            <w:tcBorders>
              <w:left w:val="single" w:color="auto" w:sz="4" w:space="0"/>
              <w:bottom w:val="single" w:color="auto" w:sz="4" w:space="0"/>
              <w:right w:val="single" w:color="auto" w:sz="4" w:space="0"/>
            </w:tcBorders>
            <w:vAlign w:val="center"/>
          </w:tcPr>
          <w:p>
            <w:pPr>
              <w:keepNext/>
              <w:keepLines/>
              <w:suppressLineNumbers w:val="0"/>
              <w:spacing w:before="0" w:beforeAutospacing="0" w:after="0" w:afterAutospacing="0" w:line="400" w:lineRule="exact"/>
              <w:ind w:left="0" w:right="0"/>
              <w:jc w:val="center"/>
              <w:outlineLvl w:val="2"/>
              <w:rPr>
                <w:rFonts w:hint="eastAsia" w:ascii="宋体" w:hAnsi="宋体" w:eastAsia="宋体" w:cs="宋体"/>
                <w:color w:val="auto"/>
                <w:sz w:val="21"/>
                <w:szCs w:val="21"/>
                <w:highlight w:val="none"/>
              </w:rPr>
            </w:pPr>
          </w:p>
        </w:tc>
        <w:tc>
          <w:tcPr>
            <w:tcW w:w="1630" w:type="dxa"/>
            <w:tcBorders>
              <w:top w:val="single" w:color="auto" w:sz="4" w:space="0"/>
              <w:left w:val="single" w:color="auto" w:sz="4" w:space="0"/>
              <w:right w:val="single" w:color="auto" w:sz="4" w:space="0"/>
            </w:tcBorders>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其他要求</w:t>
            </w:r>
          </w:p>
        </w:tc>
        <w:tc>
          <w:tcPr>
            <w:tcW w:w="5449" w:type="dxa"/>
            <w:tcBorders>
              <w:top w:val="single" w:color="auto" w:sz="4" w:space="0"/>
              <w:left w:val="single" w:color="auto" w:sz="4" w:space="0"/>
            </w:tcBorders>
          </w:tcPr>
          <w:p>
            <w:pPr>
              <w:keepNext w:val="0"/>
              <w:keepLines w:val="0"/>
              <w:suppressLineNumbers w:val="0"/>
              <w:spacing w:before="0" w:beforeAutospacing="0" w:after="0" w:afterAutospacing="0" w:line="400" w:lineRule="exact"/>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符合第三章“评标方法”第3.1.2项规定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927"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firstLine="211" w:firstLineChars="10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firstLine="211" w:firstLineChars="10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条款内容</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firstLine="211" w:firstLineChars="10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1" w:hRule="atLeast"/>
        </w:trPr>
        <w:tc>
          <w:tcPr>
            <w:tcW w:w="1927" w:type="dxa"/>
            <w:gridSpan w:val="2"/>
            <w:tcBorders>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分值构成</w:t>
            </w:r>
          </w:p>
          <w:p>
            <w:pPr>
              <w:keepNext w:val="0"/>
              <w:keepLines w:val="0"/>
              <w:suppressLineNumbers w:val="0"/>
              <w:spacing w:before="0" w:beforeAutospacing="0" w:after="0" w:afterAutospacing="0" w:line="40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(总分100分)</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1.资信业绩部分</w:t>
            </w:r>
            <w:r>
              <w:rPr>
                <w:rFonts w:hint="eastAsia" w:ascii="宋体" w:hAnsi="宋体" w:eastAsia="宋体" w:cs="宋体"/>
                <w:color w:val="auto"/>
                <w:sz w:val="21"/>
                <w:szCs w:val="21"/>
                <w:highlight w:val="none"/>
                <w:u w:val="single"/>
                <w:lang w:val="en-US" w:eastAsia="zh-CN"/>
              </w:rPr>
              <w:t>50</w:t>
            </w:r>
            <w:r>
              <w:rPr>
                <w:rFonts w:hint="eastAsia" w:ascii="宋体" w:hAnsi="宋体" w:eastAsia="宋体" w:cs="宋体"/>
                <w:color w:val="auto"/>
                <w:sz w:val="21"/>
                <w:szCs w:val="21"/>
                <w:highlight w:val="none"/>
              </w:rPr>
              <w:t>分</w:t>
            </w:r>
          </w:p>
          <w:p>
            <w:pPr>
              <w:keepNext w:val="0"/>
              <w:keepLines w:val="0"/>
              <w:suppressLineNumbers w:val="0"/>
              <w:spacing w:before="0" w:beforeAutospacing="0" w:after="0" w:afterAutospacing="0" w:line="40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服务</w:t>
            </w:r>
            <w:r>
              <w:rPr>
                <w:rFonts w:hint="eastAsia" w:ascii="宋体" w:hAnsi="宋体" w:eastAsia="宋体" w:cs="宋体"/>
                <w:color w:val="auto"/>
                <w:sz w:val="21"/>
                <w:szCs w:val="21"/>
                <w:highlight w:val="none"/>
              </w:rPr>
              <w:t>方案部分：</w:t>
            </w:r>
            <w:r>
              <w:rPr>
                <w:rFonts w:hint="eastAsia" w:ascii="宋体" w:hAnsi="宋体" w:eastAsia="宋体" w:cs="宋体"/>
                <w:color w:val="auto"/>
                <w:sz w:val="21"/>
                <w:szCs w:val="21"/>
                <w:highlight w:val="none"/>
                <w:u w:val="single"/>
                <w:lang w:val="en-US" w:eastAsia="zh-CN"/>
              </w:rPr>
              <w:t>30</w:t>
            </w:r>
            <w:r>
              <w:rPr>
                <w:rFonts w:hint="eastAsia" w:ascii="宋体" w:hAnsi="宋体" w:eastAsia="宋体" w:cs="宋体"/>
                <w:color w:val="auto"/>
                <w:sz w:val="21"/>
                <w:szCs w:val="21"/>
                <w:highlight w:val="none"/>
              </w:rPr>
              <w:t>分</w:t>
            </w:r>
          </w:p>
          <w:p>
            <w:pPr>
              <w:keepNext w:val="0"/>
              <w:keepLines w:val="0"/>
              <w:suppressLineNumbers w:val="0"/>
              <w:spacing w:before="0" w:beforeAutospacing="0" w:after="0" w:afterAutospacing="0" w:line="40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3.投标报价：</w:t>
            </w:r>
            <w:r>
              <w:rPr>
                <w:rFonts w:hint="eastAsia" w:ascii="宋体" w:hAnsi="宋体" w:eastAsia="宋体" w:cs="宋体"/>
                <w:color w:val="auto"/>
                <w:sz w:val="21"/>
                <w:szCs w:val="21"/>
                <w:highlight w:val="none"/>
                <w:u w:val="single"/>
                <w:lang w:val="en-US" w:eastAsia="zh-CN"/>
              </w:rPr>
              <w:t>20</w:t>
            </w:r>
            <w:r>
              <w:rPr>
                <w:rFonts w:hint="eastAsia" w:ascii="宋体" w:hAnsi="宋体" w:eastAsia="宋体" w:cs="宋体"/>
                <w:color w:val="auto"/>
                <w:sz w:val="21"/>
                <w:szCs w:val="21"/>
                <w:highlight w:val="none"/>
              </w:rPr>
              <w:t>分</w:t>
            </w:r>
          </w:p>
          <w:p>
            <w:pPr>
              <w:keepNext w:val="0"/>
              <w:keepLines w:val="0"/>
              <w:suppressLineNumbers w:val="0"/>
              <w:spacing w:before="0" w:beforeAutospacing="0" w:after="0" w:afterAutospacing="0" w:line="400" w:lineRule="exact"/>
              <w:ind w:left="0" w:right="0" w:firstLine="210" w:firstLineChars="1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4.其他评分因素：</w:t>
            </w:r>
            <w:r>
              <w:rPr>
                <w:rFonts w:hint="eastAsia" w:ascii="宋体" w:hAnsi="宋体" w:eastAsia="宋体" w:cs="宋体"/>
                <w:color w:val="auto"/>
                <w:sz w:val="21"/>
                <w:szCs w:val="21"/>
                <w:highlight w:val="none"/>
                <w:u w:val="single"/>
                <w:lang w:val="en-US" w:eastAsia="zh-CN"/>
              </w:rPr>
              <w:t>0</w:t>
            </w:r>
            <w:r>
              <w:rPr>
                <w:rFonts w:hint="eastAsia" w:ascii="宋体" w:hAnsi="宋体" w:eastAsia="宋体" w:cs="宋体"/>
                <w:color w:val="auto"/>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8" w:hRule="atLeast"/>
        </w:trPr>
        <w:tc>
          <w:tcPr>
            <w:tcW w:w="1927"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评标基准价计算方法</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过形式、资格、响应性评审且报价小于等于最高投标限价的投标报价为有效投标价。当在最高投标限价的[80%,100%]范围内的有效投保报价大于5个时，则在上述区间内的投标报价中去掉一个最高报价和一个最低报价，取余下的有效投标报价计算算术平均值作为评标基准价。当在最高投标限价的[80%,100%]范围内的有效投标价少于或等于5个时，则上述区间内全部有效投标报价计算算术平均值作为评标基准价。若当在最高投标限价的[80%,100%]范围内的有效投标价为0个时，最高投标限价×80%为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6" w:hRule="atLeast"/>
        </w:trPr>
        <w:tc>
          <w:tcPr>
            <w:tcW w:w="1927"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2.2.3</w:t>
            </w:r>
          </w:p>
        </w:tc>
        <w:tc>
          <w:tcPr>
            <w:tcW w:w="1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投标报价的偏差率</w:t>
            </w:r>
          </w:p>
          <w:p>
            <w:pPr>
              <w:keepNext w:val="0"/>
              <w:keepLines w:val="0"/>
              <w:suppressLineNumbers w:val="0"/>
              <w:spacing w:before="0" w:beforeAutospacing="0" w:after="0" w:afterAutospacing="0" w:line="400" w:lineRule="exact"/>
              <w:ind w:left="0" w:right="0" w:firstLine="210" w:firstLine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计算公式</w:t>
            </w:r>
          </w:p>
        </w:tc>
        <w:tc>
          <w:tcPr>
            <w:tcW w:w="544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偏差率=∣投标报价—评标基准价∣ / 评标基准价*100%</w:t>
            </w:r>
          </w:p>
          <w:p>
            <w:pPr>
              <w:keepNext w:val="0"/>
              <w:keepLines w:val="0"/>
              <w:suppressLineNumbers w:val="0"/>
              <w:spacing w:before="0" w:beforeAutospacing="0" w:after="0" w:afterAutospacing="0" w:line="400" w:lineRule="exact"/>
              <w:ind w:left="0" w:right="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（偏差率四舍五入保留2位小数，报价偏差率不足1%的，按直线内插法计算投标报价得分）</w:t>
            </w:r>
          </w:p>
        </w:tc>
      </w:tr>
    </w:tbl>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tbl>
      <w:tblPr>
        <w:tblStyle w:val="17"/>
        <w:tblW w:w="902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5"/>
        <w:gridCol w:w="2381"/>
        <w:gridCol w:w="2410"/>
        <w:gridCol w:w="29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86" w:type="dxa"/>
            <w:gridSpan w:val="2"/>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条款号</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评分因素（偏差率）</w:t>
            </w:r>
          </w:p>
        </w:tc>
        <w:tc>
          <w:tcPr>
            <w:tcW w:w="2925"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7" w:hRule="atLeast"/>
        </w:trPr>
        <w:tc>
          <w:tcPr>
            <w:tcW w:w="1305" w:type="dxa"/>
            <w:tcBorders>
              <w:top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1"/>
                <w:szCs w:val="21"/>
                <w:highlight w:val="none"/>
              </w:rPr>
            </w:pPr>
            <w:r>
              <w:rPr>
                <w:rFonts w:hint="default" w:asciiTheme="minorEastAsia" w:hAnsiTheme="minorEastAsia" w:eastAsiaTheme="minorEastAsia"/>
                <w:color w:val="auto"/>
                <w:sz w:val="21"/>
                <w:szCs w:val="21"/>
                <w:highlight w:val="none"/>
              </w:rPr>
              <w:t>2.2.4</w:t>
            </w:r>
            <w:r>
              <w:rPr>
                <w:rFonts w:hint="eastAsia" w:asciiTheme="minorEastAsia" w:hAnsiTheme="minorEastAsia" w:eastAsiaTheme="minorEastAsia"/>
                <w:color w:val="auto"/>
                <w:sz w:val="21"/>
                <w:szCs w:val="21"/>
                <w:highlight w:val="none"/>
              </w:rPr>
              <w:t>（</w:t>
            </w:r>
            <w:r>
              <w:rPr>
                <w:rFonts w:hint="default"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w:t>
            </w:r>
          </w:p>
        </w:tc>
        <w:tc>
          <w:tcPr>
            <w:tcW w:w="2381" w:type="dxa"/>
            <w:tcBorders>
              <w:top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资信业绩评分标准</w:t>
            </w:r>
          </w:p>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en-US" w:eastAsia="zh-CN"/>
              </w:rPr>
              <w:t>50</w:t>
            </w:r>
            <w:r>
              <w:rPr>
                <w:rFonts w:hint="eastAsia" w:asciiTheme="minorEastAsia" w:hAnsiTheme="minorEastAsia" w:eastAsiaTheme="minorEastAsia"/>
                <w:color w:val="auto"/>
                <w:sz w:val="21"/>
                <w:szCs w:val="21"/>
                <w:highlight w:val="none"/>
              </w:rPr>
              <w:t>分）</w:t>
            </w:r>
          </w:p>
        </w:tc>
        <w:tc>
          <w:tcPr>
            <w:tcW w:w="5335" w:type="dxa"/>
            <w:gridSpan w:val="2"/>
            <w:tcBorders>
              <w:top w:val="single" w:color="auto" w:sz="4" w:space="0"/>
              <w:left w:val="single" w:color="auto" w:sz="4" w:space="0"/>
            </w:tcBorders>
            <w:vAlign w:val="center"/>
          </w:tcPr>
          <w:p>
            <w:pPr>
              <w:keepNext w:val="0"/>
              <w:keepLines w:val="0"/>
              <w:suppressLineNumbers w:val="0"/>
              <w:spacing w:before="0" w:beforeAutospacing="0" w:after="0" w:afterAutospacing="0" w:line="440" w:lineRule="exact"/>
              <w:ind w:left="0" w:right="0"/>
              <w:jc w:val="left"/>
              <w:rPr>
                <w:rFonts w:hint="default" w:asciiTheme="minorEastAsia" w:hAnsiTheme="minorEastAsia" w:eastAsiaTheme="minorEastAsia"/>
                <w:color w:val="auto"/>
                <w:sz w:val="21"/>
                <w:szCs w:val="21"/>
                <w:highlight w:val="none"/>
              </w:rPr>
            </w:pPr>
            <w:bookmarkStart w:id="82" w:name="_Toc247514010"/>
            <w:bookmarkStart w:id="83" w:name="_Toc361508645"/>
            <w:bookmarkStart w:id="84" w:name="_Toc384308271"/>
            <w:bookmarkStart w:id="85" w:name="_Toc369531576"/>
            <w:bookmarkStart w:id="86" w:name="_Toc144974553"/>
            <w:bookmarkStart w:id="87" w:name="_Toc300835007"/>
            <w:bookmarkStart w:id="88" w:name="_Toc152042363"/>
            <w:bookmarkStart w:id="89" w:name="_Toc12369"/>
            <w:bookmarkStart w:id="90" w:name="_Toc352691532"/>
            <w:bookmarkStart w:id="91" w:name="_Toc247527611"/>
            <w:bookmarkStart w:id="92" w:name="_Toc152045586"/>
            <w:r>
              <w:rPr>
                <w:rFonts w:hint="eastAsia" w:cs="宋体" w:asciiTheme="minorEastAsia" w:hAnsiTheme="minorEastAsia" w:eastAsiaTheme="minorEastAsia"/>
                <w:color w:val="auto"/>
                <w:sz w:val="21"/>
                <w:szCs w:val="21"/>
                <w:highlight w:val="none"/>
              </w:rPr>
              <w:t>见后附件</w:t>
            </w:r>
          </w:p>
        </w:tc>
      </w:tr>
      <w:bookmarkEnd w:id="82"/>
      <w:bookmarkEnd w:id="83"/>
      <w:bookmarkEnd w:id="84"/>
      <w:bookmarkEnd w:id="85"/>
      <w:bookmarkEnd w:id="86"/>
      <w:bookmarkEnd w:id="87"/>
      <w:bookmarkEnd w:id="88"/>
      <w:bookmarkEnd w:id="89"/>
      <w:bookmarkEnd w:id="90"/>
      <w:bookmarkEnd w:id="91"/>
      <w:bookmarkEnd w:id="92"/>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7" w:hRule="atLeast"/>
        </w:trPr>
        <w:tc>
          <w:tcPr>
            <w:tcW w:w="1305" w:type="dxa"/>
            <w:tcBorders>
              <w:top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1"/>
                <w:szCs w:val="21"/>
                <w:highlight w:val="none"/>
              </w:rPr>
            </w:pPr>
            <w:r>
              <w:rPr>
                <w:rFonts w:hint="default" w:asciiTheme="minorEastAsia" w:hAnsiTheme="minorEastAsia" w:eastAsiaTheme="minorEastAsia"/>
                <w:color w:val="auto"/>
                <w:sz w:val="21"/>
                <w:szCs w:val="21"/>
                <w:highlight w:val="none"/>
              </w:rPr>
              <w:t>2.2.4</w:t>
            </w:r>
            <w:r>
              <w:rPr>
                <w:rFonts w:hint="eastAsia" w:asciiTheme="minorEastAsia" w:hAnsiTheme="minorEastAsia" w:eastAsiaTheme="minorEastAsia"/>
                <w:color w:val="auto"/>
                <w:sz w:val="21"/>
                <w:szCs w:val="21"/>
                <w:highlight w:val="none"/>
              </w:rPr>
              <w:t>（</w:t>
            </w:r>
            <w:r>
              <w:rPr>
                <w:rFonts w:hint="default"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w:t>
            </w:r>
          </w:p>
        </w:tc>
        <w:tc>
          <w:tcPr>
            <w:tcW w:w="2381" w:type="dxa"/>
            <w:tcBorders>
              <w:top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eastAsia="zh-CN"/>
              </w:rPr>
              <w:t>服务</w:t>
            </w:r>
            <w:r>
              <w:rPr>
                <w:rFonts w:hint="eastAsia" w:asciiTheme="minorEastAsia" w:hAnsiTheme="minorEastAsia" w:eastAsiaTheme="minorEastAsia"/>
                <w:color w:val="auto"/>
                <w:sz w:val="21"/>
                <w:szCs w:val="21"/>
                <w:highlight w:val="none"/>
              </w:rPr>
              <w:t>方案评分标准</w:t>
            </w:r>
          </w:p>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en-US" w:eastAsia="zh-CN"/>
              </w:rPr>
              <w:t>30</w:t>
            </w:r>
            <w:r>
              <w:rPr>
                <w:rFonts w:hint="eastAsia" w:asciiTheme="minorEastAsia" w:hAnsiTheme="minorEastAsia" w:eastAsiaTheme="minorEastAsia"/>
                <w:color w:val="auto"/>
                <w:sz w:val="21"/>
                <w:szCs w:val="21"/>
                <w:highlight w:val="none"/>
              </w:rPr>
              <w:t>分）</w:t>
            </w:r>
          </w:p>
        </w:tc>
        <w:tc>
          <w:tcPr>
            <w:tcW w:w="5335" w:type="dxa"/>
            <w:gridSpan w:val="2"/>
            <w:tcBorders>
              <w:top w:val="single" w:color="auto" w:sz="4" w:space="0"/>
              <w:left w:val="single" w:color="auto" w:sz="4" w:space="0"/>
            </w:tcBorders>
            <w:vAlign w:val="center"/>
          </w:tcPr>
          <w:p>
            <w:pPr>
              <w:keepNext w:val="0"/>
              <w:keepLines w:val="0"/>
              <w:suppressLineNumbers w:val="0"/>
              <w:spacing w:before="0" w:beforeAutospacing="0" w:after="0" w:afterAutospacing="0" w:line="440" w:lineRule="exact"/>
              <w:ind w:left="0" w:right="0"/>
              <w:jc w:val="left"/>
              <w:rPr>
                <w:rFonts w:hint="default"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见后附件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7" w:hRule="atLeast"/>
        </w:trPr>
        <w:tc>
          <w:tcPr>
            <w:tcW w:w="1305"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1"/>
                <w:szCs w:val="21"/>
                <w:highlight w:val="none"/>
              </w:rPr>
            </w:pPr>
            <w:r>
              <w:rPr>
                <w:rFonts w:hint="default" w:asciiTheme="minorEastAsia" w:hAnsiTheme="minorEastAsia" w:eastAsiaTheme="minorEastAsia"/>
                <w:color w:val="auto"/>
                <w:sz w:val="21"/>
                <w:szCs w:val="21"/>
                <w:highlight w:val="none"/>
              </w:rPr>
              <w:t>2.2.4</w:t>
            </w:r>
            <w:r>
              <w:rPr>
                <w:rFonts w:hint="eastAsia" w:asciiTheme="minorEastAsia" w:hAnsiTheme="minorEastAsia" w:eastAsiaTheme="minorEastAsia"/>
                <w:color w:val="auto"/>
                <w:sz w:val="21"/>
                <w:szCs w:val="21"/>
                <w:highlight w:val="none"/>
              </w:rPr>
              <w:t>（</w:t>
            </w:r>
            <w:r>
              <w:rPr>
                <w:rFonts w:hint="default"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w:t>
            </w:r>
          </w:p>
        </w:tc>
        <w:tc>
          <w:tcPr>
            <w:tcW w:w="23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投标报价评分标准</w:t>
            </w:r>
          </w:p>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en-US" w:eastAsia="zh-CN"/>
              </w:rPr>
              <w:t>20</w:t>
            </w:r>
            <w:r>
              <w:rPr>
                <w:rFonts w:hint="eastAsia" w:asciiTheme="minorEastAsia" w:hAnsiTheme="minorEastAsia" w:eastAsiaTheme="minorEastAsia"/>
                <w:color w:val="auto"/>
                <w:sz w:val="21"/>
                <w:szCs w:val="21"/>
                <w:highlight w:val="none"/>
              </w:rPr>
              <w:t>分）</w:t>
            </w:r>
          </w:p>
        </w:tc>
        <w:tc>
          <w:tcPr>
            <w:tcW w:w="5335"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40" w:lineRule="exact"/>
              <w:ind w:left="0" w:right="0"/>
              <w:jc w:val="left"/>
              <w:rPr>
                <w:rFonts w:hint="default"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见后附件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7" w:hRule="atLeast"/>
        </w:trPr>
        <w:tc>
          <w:tcPr>
            <w:tcW w:w="1305"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1"/>
                <w:szCs w:val="21"/>
                <w:highlight w:val="none"/>
              </w:rPr>
            </w:pPr>
            <w:bookmarkStart w:id="93" w:name="_Toc492300637"/>
            <w:r>
              <w:rPr>
                <w:rFonts w:hint="eastAsia" w:asciiTheme="minorEastAsia" w:hAnsiTheme="minorEastAsia" w:eastAsiaTheme="minorEastAsia"/>
                <w:color w:val="auto"/>
                <w:sz w:val="21"/>
                <w:szCs w:val="21"/>
                <w:highlight w:val="none"/>
              </w:rPr>
              <w:t>2.2.4（4）</w:t>
            </w:r>
          </w:p>
        </w:tc>
        <w:tc>
          <w:tcPr>
            <w:tcW w:w="23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其他评分因素：（</w:t>
            </w:r>
            <w:r>
              <w:rPr>
                <w:rFonts w:hint="eastAsia" w:asciiTheme="minorEastAsia" w:hAnsiTheme="minorEastAsia" w:eastAsiaTheme="minorEastAsia"/>
                <w:color w:val="auto"/>
                <w:sz w:val="21"/>
                <w:szCs w:val="21"/>
                <w:highlight w:val="none"/>
                <w:lang w:val="en-US" w:eastAsia="zh-CN"/>
              </w:rPr>
              <w:t>0</w:t>
            </w:r>
            <w:r>
              <w:rPr>
                <w:rFonts w:hint="eastAsia" w:asciiTheme="minorEastAsia" w:hAnsiTheme="minorEastAsia" w:eastAsiaTheme="minorEastAsia"/>
                <w:color w:val="auto"/>
                <w:sz w:val="21"/>
                <w:szCs w:val="21"/>
                <w:highlight w:val="none"/>
              </w:rPr>
              <w:t>分）</w:t>
            </w:r>
          </w:p>
        </w:tc>
        <w:tc>
          <w:tcPr>
            <w:tcW w:w="5335"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40" w:lineRule="exact"/>
              <w:ind w:left="0" w:right="0"/>
              <w:jc w:val="left"/>
              <w:rPr>
                <w:rFonts w:hint="default" w:cs="宋体" w:asciiTheme="minorEastAsia" w:hAnsiTheme="minorEastAsia" w:eastAsiaTheme="minorEastAsia"/>
                <w:color w:val="auto"/>
                <w:sz w:val="21"/>
                <w:szCs w:val="21"/>
                <w:highlight w:val="none"/>
                <w:lang w:val="en-US" w:eastAsia="zh-CN"/>
              </w:rPr>
            </w:pPr>
            <w:r>
              <w:rPr>
                <w:rFonts w:hint="eastAsia" w:cs="宋体" w:asciiTheme="minorEastAsia" w:hAnsiTheme="minorEastAsia" w:eastAsiaTheme="minorEastAsia"/>
                <w:color w:val="auto"/>
                <w:sz w:val="21"/>
                <w:szCs w:val="21"/>
                <w:highlight w:val="none"/>
                <w:lang w:val="en-US" w:eastAsia="zh-CN"/>
              </w:rPr>
              <w:t>无。</w:t>
            </w:r>
          </w:p>
        </w:tc>
      </w:tr>
    </w:tbl>
    <w:p>
      <w:pPr>
        <w:rPr>
          <w:color w:val="auto"/>
          <w:highlight w:val="none"/>
        </w:rPr>
      </w:pPr>
      <w:r>
        <w:rPr>
          <w:color w:val="auto"/>
          <w:highlight w:val="none"/>
        </w:rPr>
        <w:br w:type="page"/>
      </w:r>
    </w:p>
    <w:p>
      <w:pPr>
        <w:pStyle w:val="6"/>
        <w:rPr>
          <w:rFonts w:asciiTheme="minorEastAsia" w:hAnsiTheme="minorEastAsia" w:eastAsiaTheme="minorEastAsia"/>
          <w:color w:val="auto"/>
          <w:highlight w:val="none"/>
        </w:rPr>
      </w:pPr>
      <w:bookmarkStart w:id="94" w:name="_Hlk12786622"/>
      <w:r>
        <w:rPr>
          <w:rFonts w:hint="eastAsia" w:asciiTheme="minorEastAsia" w:hAnsiTheme="minorEastAsia" w:eastAsiaTheme="minorEastAsia"/>
          <w:color w:val="auto"/>
          <w:highlight w:val="none"/>
        </w:rPr>
        <w:t>附件一：评分标准</w:t>
      </w:r>
    </w:p>
    <w:tbl>
      <w:tblPr>
        <w:tblStyle w:val="17"/>
        <w:tblW w:w="94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8"/>
        <w:gridCol w:w="1063"/>
        <w:gridCol w:w="1623"/>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428" w:type="dxa"/>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686" w:type="dxa"/>
            <w:gridSpan w:val="2"/>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评审项目及权重</w:t>
            </w:r>
          </w:p>
        </w:tc>
        <w:tc>
          <w:tcPr>
            <w:tcW w:w="6379" w:type="dxa"/>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428" w:type="dxa"/>
            <w:vMerge w:val="restart"/>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一</w:t>
            </w:r>
          </w:p>
        </w:tc>
        <w:tc>
          <w:tcPr>
            <w:tcW w:w="1063" w:type="dxa"/>
            <w:vMerge w:val="restart"/>
            <w:tcBorders>
              <w:right w:val="single" w:color="auto" w:sz="4" w:space="0"/>
            </w:tcBorders>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资信业绩部分</w:t>
            </w:r>
          </w:p>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w:t>
            </w:r>
            <w:r>
              <w:rPr>
                <w:rFonts w:hint="eastAsia" w:ascii="宋体" w:hAnsi="宋体" w:eastAsia="宋体" w:cs="宋体"/>
                <w:b/>
                <w:bCs/>
                <w:color w:val="auto"/>
                <w:kern w:val="0"/>
                <w:sz w:val="21"/>
                <w:szCs w:val="21"/>
                <w:highlight w:val="none"/>
                <w:lang w:val="en-US" w:eastAsia="zh-CN"/>
              </w:rPr>
              <w:t>50</w:t>
            </w:r>
            <w:r>
              <w:rPr>
                <w:rFonts w:hint="eastAsia" w:ascii="宋体" w:hAnsi="宋体" w:eastAsia="宋体" w:cs="宋体"/>
                <w:b/>
                <w:bCs/>
                <w:color w:val="auto"/>
                <w:kern w:val="0"/>
                <w:sz w:val="21"/>
                <w:szCs w:val="21"/>
                <w:highlight w:val="none"/>
              </w:rPr>
              <w:t>分)</w:t>
            </w:r>
          </w:p>
        </w:tc>
        <w:tc>
          <w:tcPr>
            <w:tcW w:w="1623" w:type="dxa"/>
            <w:vMerge w:val="restart"/>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类似项目业绩</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val="en-US" w:eastAsia="zh-CN"/>
              </w:rPr>
              <w:t>5</w:t>
            </w:r>
            <w:r>
              <w:rPr>
                <w:rFonts w:hint="eastAsia" w:ascii="宋体" w:hAnsi="宋体" w:eastAsia="宋体" w:cs="宋体"/>
                <w:b w:val="0"/>
                <w:bCs w:val="0"/>
                <w:color w:val="auto"/>
                <w:kern w:val="0"/>
                <w:sz w:val="21"/>
                <w:szCs w:val="21"/>
                <w:highlight w:val="none"/>
              </w:rPr>
              <w:t>分）</w:t>
            </w:r>
          </w:p>
        </w:tc>
        <w:tc>
          <w:tcPr>
            <w:tcW w:w="6379" w:type="dxa"/>
            <w:vAlign w:val="center"/>
          </w:tcPr>
          <w:p>
            <w:pPr>
              <w:keepNext w:val="0"/>
              <w:keepLines w:val="0"/>
              <w:suppressLineNumbers w:val="0"/>
              <w:tabs>
                <w:tab w:val="left" w:pos="720"/>
              </w:tabs>
              <w:snapToGrid w:val="0"/>
              <w:spacing w:before="0" w:beforeAutospacing="0" w:after="0" w:afterAutospacing="0" w:line="360" w:lineRule="auto"/>
              <w:ind w:left="0" w:right="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检测业绩：</w:t>
            </w:r>
          </w:p>
          <w:p>
            <w:pPr>
              <w:keepNext w:val="0"/>
              <w:keepLines w:val="0"/>
              <w:suppressLineNumbers w:val="0"/>
              <w:tabs>
                <w:tab w:val="left" w:pos="720"/>
              </w:tabs>
              <w:snapToGrid w:val="0"/>
              <w:spacing w:before="0" w:beforeAutospacing="0" w:after="0" w:afterAutospacing="0" w:line="36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投标人20</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年1月1日</w:t>
            </w:r>
            <w:r>
              <w:rPr>
                <w:rFonts w:hint="eastAsia" w:ascii="宋体" w:hAnsi="宋体" w:eastAsia="宋体" w:cs="宋体"/>
                <w:b w:val="0"/>
                <w:bCs w:val="0"/>
                <w:color w:val="auto"/>
                <w:sz w:val="21"/>
                <w:szCs w:val="21"/>
                <w:highlight w:val="none"/>
              </w:rPr>
              <w:t>至递交投标文件截止之日止</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承担过</w:t>
            </w:r>
            <w:r>
              <w:rPr>
                <w:rFonts w:hint="eastAsia" w:ascii="宋体" w:hAnsi="宋体" w:eastAsia="宋体" w:cs="宋体"/>
                <w:color w:val="auto"/>
                <w:sz w:val="21"/>
                <w:szCs w:val="21"/>
                <w:highlight w:val="none"/>
              </w:rPr>
              <w:t>类似</w:t>
            </w:r>
            <w:r>
              <w:rPr>
                <w:rFonts w:hint="eastAsia" w:ascii="宋体" w:hAnsi="宋体" w:eastAsia="宋体" w:cs="宋体"/>
                <w:b w:val="0"/>
                <w:bCs w:val="0"/>
                <w:color w:val="auto"/>
                <w:sz w:val="21"/>
                <w:szCs w:val="21"/>
                <w:highlight w:val="none"/>
              </w:rPr>
              <w:t>市政工程</w:t>
            </w:r>
            <w:r>
              <w:rPr>
                <w:rFonts w:hint="eastAsia" w:ascii="宋体" w:hAnsi="宋体" w:eastAsia="宋体" w:cs="宋体"/>
                <w:color w:val="auto"/>
                <w:sz w:val="21"/>
                <w:szCs w:val="21"/>
                <w:highlight w:val="none"/>
                <w:lang w:eastAsia="zh-CN"/>
              </w:rPr>
              <w:t>检测</w:t>
            </w:r>
            <w:r>
              <w:rPr>
                <w:rFonts w:hint="eastAsia" w:ascii="宋体" w:hAnsi="宋体" w:eastAsia="宋体" w:cs="宋体"/>
                <w:color w:val="auto"/>
                <w:sz w:val="21"/>
                <w:szCs w:val="21"/>
                <w:highlight w:val="none"/>
              </w:rPr>
              <w:t>业绩合同金额</w:t>
            </w:r>
            <w:r>
              <w:rPr>
                <w:rFonts w:hint="eastAsia" w:ascii="宋体" w:hAnsi="宋体" w:eastAsia="宋体" w:cs="宋体"/>
                <w:color w:val="auto"/>
                <w:sz w:val="21"/>
                <w:szCs w:val="21"/>
                <w:highlight w:val="none"/>
                <w:lang w:val="en-US" w:eastAsia="zh-CN"/>
              </w:rPr>
              <w:t>450</w:t>
            </w:r>
            <w:r>
              <w:rPr>
                <w:rFonts w:hint="eastAsia" w:ascii="宋体" w:hAnsi="宋体" w:eastAsia="宋体" w:cs="宋体"/>
                <w:color w:val="auto"/>
                <w:sz w:val="21"/>
                <w:szCs w:val="21"/>
                <w:highlight w:val="none"/>
              </w:rPr>
              <w:t>万以上（含</w:t>
            </w:r>
            <w:r>
              <w:rPr>
                <w:rFonts w:hint="eastAsia" w:ascii="宋体" w:hAnsi="宋体" w:eastAsia="宋体" w:cs="宋体"/>
                <w:color w:val="auto"/>
                <w:sz w:val="21"/>
                <w:szCs w:val="21"/>
                <w:highlight w:val="none"/>
                <w:lang w:val="en-US" w:eastAsia="zh-CN"/>
              </w:rPr>
              <w:t>450</w:t>
            </w:r>
            <w:r>
              <w:rPr>
                <w:rFonts w:hint="eastAsia" w:ascii="宋体" w:hAnsi="宋体" w:eastAsia="宋体" w:cs="宋体"/>
                <w:color w:val="auto"/>
                <w:sz w:val="21"/>
                <w:szCs w:val="21"/>
                <w:highlight w:val="none"/>
              </w:rPr>
              <w:t>万）的，每项得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本项最多得</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p>
            <w:pPr>
              <w:keepNext w:val="0"/>
              <w:keepLines w:val="0"/>
              <w:suppressLineNumbers w:val="0"/>
              <w:tabs>
                <w:tab w:val="left" w:pos="720"/>
              </w:tabs>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注：</w:t>
            </w:r>
          </w:p>
          <w:p>
            <w:pPr>
              <w:keepNext w:val="0"/>
              <w:keepLines w:val="0"/>
              <w:numPr>
                <w:ilvl w:val="0"/>
                <w:numId w:val="0"/>
              </w:numPr>
              <w:suppressLineNumbers w:val="0"/>
              <w:tabs>
                <w:tab w:val="left" w:pos="720"/>
              </w:tabs>
              <w:snapToGrid w:val="0"/>
              <w:spacing w:before="0" w:beforeAutospacing="0" w:after="0" w:afterAutospacing="0" w:line="360" w:lineRule="auto"/>
              <w:ind w:left="0" w:leftChars="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类似市政工程</w:t>
            </w:r>
            <w:r>
              <w:rPr>
                <w:rFonts w:hint="eastAsia" w:ascii="宋体" w:hAnsi="宋体" w:eastAsia="宋体" w:cs="宋体"/>
                <w:b w:val="0"/>
                <w:bCs w:val="0"/>
                <w:color w:val="auto"/>
                <w:sz w:val="21"/>
                <w:szCs w:val="21"/>
                <w:highlight w:val="none"/>
                <w:lang w:eastAsia="zh-CN"/>
              </w:rPr>
              <w:t>检测</w:t>
            </w:r>
            <w:r>
              <w:rPr>
                <w:rFonts w:hint="eastAsia" w:ascii="宋体" w:hAnsi="宋体" w:eastAsia="宋体" w:cs="宋体"/>
                <w:b w:val="0"/>
                <w:bCs w:val="0"/>
                <w:color w:val="auto"/>
                <w:sz w:val="21"/>
                <w:szCs w:val="21"/>
                <w:highlight w:val="none"/>
              </w:rPr>
              <w:t>业绩是指包含本</w:t>
            </w:r>
            <w:r>
              <w:rPr>
                <w:rFonts w:hint="eastAsia" w:ascii="宋体" w:hAnsi="宋体" w:eastAsia="宋体" w:cs="宋体"/>
                <w:b w:val="0"/>
                <w:bCs w:val="0"/>
                <w:color w:val="auto"/>
                <w:sz w:val="21"/>
                <w:szCs w:val="21"/>
                <w:highlight w:val="none"/>
                <w:lang w:val="en-US" w:eastAsia="zh-CN"/>
              </w:rPr>
              <w:t>项目</w:t>
            </w:r>
            <w:r>
              <w:rPr>
                <w:rFonts w:hint="eastAsia" w:ascii="宋体" w:hAnsi="宋体" w:eastAsia="宋体" w:cs="宋体"/>
                <w:b w:val="0"/>
                <w:bCs w:val="0"/>
                <w:color w:val="auto"/>
                <w:sz w:val="21"/>
                <w:szCs w:val="21"/>
                <w:highlight w:val="none"/>
              </w:rPr>
              <w:t>招标内容中一项或多项检测内容的市政工程</w:t>
            </w:r>
            <w:r>
              <w:rPr>
                <w:rFonts w:hint="eastAsia" w:ascii="宋体" w:hAnsi="宋体" w:eastAsia="宋体" w:cs="宋体"/>
                <w:b w:val="0"/>
                <w:bCs w:val="0"/>
                <w:color w:val="auto"/>
                <w:sz w:val="21"/>
                <w:szCs w:val="21"/>
                <w:highlight w:val="none"/>
                <w:lang w:eastAsia="zh-CN"/>
              </w:rPr>
              <w:t>检测</w:t>
            </w:r>
            <w:r>
              <w:rPr>
                <w:rFonts w:hint="eastAsia" w:ascii="宋体" w:hAnsi="宋体" w:eastAsia="宋体" w:cs="宋体"/>
                <w:b w:val="0"/>
                <w:bCs w:val="0"/>
                <w:color w:val="auto"/>
                <w:sz w:val="21"/>
                <w:szCs w:val="21"/>
                <w:highlight w:val="none"/>
              </w:rPr>
              <w:t>业绩，如果提供的业绩资料中未包含</w:t>
            </w:r>
            <w:r>
              <w:rPr>
                <w:rFonts w:hint="eastAsia" w:ascii="宋体" w:hAnsi="宋体" w:eastAsia="宋体" w:cs="宋体"/>
                <w:b w:val="0"/>
                <w:bCs w:val="0"/>
                <w:color w:val="auto"/>
                <w:sz w:val="21"/>
                <w:szCs w:val="21"/>
                <w:highlight w:val="none"/>
                <w:lang w:eastAsia="zh-CN"/>
              </w:rPr>
              <w:t>相关检测</w:t>
            </w:r>
            <w:r>
              <w:rPr>
                <w:rFonts w:hint="eastAsia" w:ascii="宋体" w:hAnsi="宋体" w:eastAsia="宋体" w:cs="宋体"/>
                <w:b w:val="0"/>
                <w:bCs w:val="0"/>
                <w:color w:val="auto"/>
                <w:sz w:val="21"/>
                <w:szCs w:val="21"/>
                <w:highlight w:val="none"/>
              </w:rPr>
              <w:t>内容，则本项不得分。</w:t>
            </w:r>
          </w:p>
          <w:p>
            <w:pPr>
              <w:keepNext w:val="0"/>
              <w:keepLines w:val="0"/>
              <w:suppressLineNumbers w:val="0"/>
              <w:tabs>
                <w:tab w:val="left" w:pos="720"/>
              </w:tabs>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业绩资料须同时提供合同、中标通知书（或免招标证明）等证明文件</w:t>
            </w:r>
            <w:r>
              <w:rPr>
                <w:rFonts w:hint="eastAsia" w:ascii="宋体" w:hAnsi="宋体" w:eastAsia="宋体" w:cs="宋体"/>
                <w:b w:val="0"/>
                <w:bCs w:val="0"/>
                <w:color w:val="auto"/>
                <w:sz w:val="21"/>
                <w:szCs w:val="21"/>
                <w:highlight w:val="none"/>
                <w:lang w:eastAsia="zh-CN"/>
              </w:rPr>
              <w:t>扫描件</w:t>
            </w:r>
            <w:r>
              <w:rPr>
                <w:rFonts w:hint="eastAsia" w:ascii="宋体" w:hAnsi="宋体" w:eastAsia="宋体" w:cs="宋体"/>
                <w:b w:val="0"/>
                <w:bCs w:val="0"/>
                <w:color w:val="auto"/>
                <w:sz w:val="21"/>
                <w:szCs w:val="21"/>
                <w:highlight w:val="none"/>
              </w:rPr>
              <w:t>。</w:t>
            </w:r>
          </w:p>
          <w:p>
            <w:pPr>
              <w:pStyle w:val="23"/>
              <w:keepNext w:val="0"/>
              <w:keepLines w:val="0"/>
              <w:numPr>
                <w:ilvl w:val="-1"/>
                <w:numId w:val="0"/>
              </w:numPr>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业绩</w:t>
            </w:r>
            <w:r>
              <w:rPr>
                <w:rFonts w:hint="eastAsia" w:ascii="宋体" w:hAnsi="宋体" w:eastAsia="宋体" w:cs="宋体"/>
                <w:b w:val="0"/>
                <w:bCs w:val="0"/>
                <w:color w:val="auto"/>
                <w:sz w:val="21"/>
                <w:szCs w:val="21"/>
                <w:highlight w:val="none"/>
                <w:lang w:val="en-US" w:eastAsia="zh-CN"/>
              </w:rPr>
              <w:t>时间、</w:t>
            </w:r>
            <w:r>
              <w:rPr>
                <w:rFonts w:hint="eastAsia" w:ascii="宋体" w:hAnsi="宋体" w:eastAsia="宋体" w:cs="宋体"/>
                <w:b w:val="0"/>
                <w:bCs w:val="0"/>
                <w:color w:val="auto"/>
                <w:sz w:val="21"/>
                <w:szCs w:val="21"/>
                <w:highlight w:val="none"/>
              </w:rPr>
              <w:t>金额</w:t>
            </w:r>
            <w:r>
              <w:rPr>
                <w:rFonts w:hint="eastAsia" w:ascii="宋体" w:hAnsi="宋体" w:cs="宋体"/>
                <w:color w:val="auto"/>
                <w:szCs w:val="21"/>
                <w:highlight w:val="none"/>
              </w:rPr>
              <w:t>以中标通知书为准，中标通知书上没有金额</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时间</w:t>
            </w:r>
            <w:r>
              <w:rPr>
                <w:rFonts w:hint="eastAsia" w:ascii="宋体" w:hAnsi="宋体" w:cs="宋体"/>
                <w:color w:val="auto"/>
                <w:szCs w:val="21"/>
                <w:highlight w:val="none"/>
              </w:rPr>
              <w:t>或免招标的，以</w:t>
            </w:r>
            <w:r>
              <w:rPr>
                <w:rFonts w:hint="eastAsia" w:ascii="宋体" w:hAnsi="宋体" w:cs="宋体"/>
                <w:color w:val="auto"/>
                <w:szCs w:val="21"/>
                <w:highlight w:val="none"/>
                <w:lang w:val="en-US" w:eastAsia="zh-CN"/>
              </w:rPr>
              <w:t>合</w:t>
            </w:r>
            <w:r>
              <w:rPr>
                <w:rFonts w:hint="eastAsia" w:ascii="宋体" w:hAnsi="宋体" w:cs="宋体"/>
                <w:color w:val="auto"/>
                <w:szCs w:val="21"/>
                <w:highlight w:val="none"/>
              </w:rPr>
              <w:t>同（不含补充合同）为准。</w:t>
            </w:r>
          </w:p>
          <w:p>
            <w:pPr>
              <w:keepNext w:val="0"/>
              <w:keepLines w:val="0"/>
              <w:suppressLineNumbers w:val="0"/>
              <w:tabs>
                <w:tab w:val="left" w:pos="720"/>
              </w:tabs>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，未按要求提供或不符合以上要求的不得分。</w:t>
            </w:r>
          </w:p>
          <w:p>
            <w:pPr>
              <w:keepNext w:val="0"/>
              <w:keepLines w:val="0"/>
              <w:suppressLineNumbers w:val="0"/>
              <w:tabs>
                <w:tab w:val="left" w:pos="720"/>
              </w:tabs>
              <w:snapToGrid w:val="0"/>
              <w:spacing w:before="0" w:beforeAutospacing="0" w:after="0" w:afterAutospacing="0" w:line="360" w:lineRule="auto"/>
              <w:ind w:left="0" w:right="0"/>
              <w:jc w:val="left"/>
              <w:rPr>
                <w:rFonts w:hint="eastAsia" w:ascii="宋体" w:hAnsi="宋体" w:eastAsia="宋体" w:cs="宋体"/>
                <w:b/>
                <w:bCs/>
                <w:color w:val="auto"/>
                <w:kern w:val="0"/>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color w:val="auto"/>
                <w:sz w:val="21"/>
                <w:szCs w:val="21"/>
                <w:highlight w:val="none"/>
              </w:rPr>
              <w:t>如联合体投标的，类似项目业绩以联合体各方资料累计评审。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4" w:hRule="atLeast"/>
          <w:jc w:val="center"/>
        </w:trPr>
        <w:tc>
          <w:tcPr>
            <w:tcW w:w="428" w:type="dxa"/>
            <w:vMerge w:val="continue"/>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1063" w:type="dxa"/>
            <w:vMerge w:val="continue"/>
            <w:tcBorders>
              <w:right w:val="single" w:color="auto" w:sz="4" w:space="0"/>
            </w:tcBorders>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bCs/>
                <w:color w:val="auto"/>
                <w:kern w:val="0"/>
                <w:sz w:val="21"/>
                <w:szCs w:val="21"/>
                <w:highlight w:val="none"/>
              </w:rPr>
            </w:pPr>
          </w:p>
        </w:tc>
        <w:tc>
          <w:tcPr>
            <w:tcW w:w="1623" w:type="dxa"/>
            <w:vMerge w:val="restart"/>
            <w:tcBorders>
              <w:lef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投标人信誉情况（</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tc>
        <w:tc>
          <w:tcPr>
            <w:tcW w:w="6379" w:type="dxa"/>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投标人具有有效的质量管理体系认证证书、环境管理体系认证证书、职业健康安全管理体系认证，每具有1个得2分。本项最多得6分。</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（1）须提供管理体系认证证书的扫描件，未按要求提供或不符合以上要求的不得分。</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如联合体投标的，投标人信誉情况以联合体</w:t>
            </w:r>
            <w:r>
              <w:rPr>
                <w:rFonts w:hint="eastAsia" w:ascii="宋体" w:hAnsi="宋体" w:eastAsia="宋体" w:cs="宋体"/>
                <w:color w:val="auto"/>
                <w:sz w:val="21"/>
                <w:szCs w:val="21"/>
                <w:highlight w:val="none"/>
                <w:lang w:val="en-US" w:eastAsia="zh-CN"/>
              </w:rPr>
              <w:t>牵头人资料</w:t>
            </w:r>
            <w:r>
              <w:rPr>
                <w:rFonts w:hint="eastAsia" w:ascii="宋体" w:hAnsi="宋体" w:eastAsia="宋体" w:cs="宋体"/>
                <w:color w:val="auto"/>
                <w:sz w:val="21"/>
                <w:szCs w:val="21"/>
                <w:highlight w:val="none"/>
              </w:rPr>
              <w:t>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28" w:type="dxa"/>
            <w:vMerge w:val="continue"/>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1063" w:type="dxa"/>
            <w:vMerge w:val="continue"/>
            <w:tcBorders>
              <w:right w:val="single" w:color="auto" w:sz="4" w:space="0"/>
            </w:tcBorders>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bCs/>
                <w:color w:val="auto"/>
                <w:kern w:val="0"/>
                <w:sz w:val="21"/>
                <w:szCs w:val="21"/>
                <w:highlight w:val="none"/>
              </w:rPr>
            </w:pPr>
          </w:p>
        </w:tc>
        <w:tc>
          <w:tcPr>
            <w:tcW w:w="1623" w:type="dxa"/>
            <w:vMerge w:val="restart"/>
            <w:tcBorders>
              <w:left w:val="single" w:color="auto"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拟投入人员综合水平（</w:t>
            </w:r>
            <w:r>
              <w:rPr>
                <w:rFonts w:hint="eastAsia" w:ascii="宋体" w:hAnsi="宋体" w:eastAsia="宋体" w:cs="宋体"/>
                <w:bCs/>
                <w:color w:val="auto"/>
                <w:kern w:val="0"/>
                <w:sz w:val="21"/>
                <w:szCs w:val="21"/>
                <w:highlight w:val="none"/>
                <w:lang w:val="en-US" w:eastAsia="zh-CN"/>
              </w:rPr>
              <w:t>22</w:t>
            </w:r>
            <w:r>
              <w:rPr>
                <w:rFonts w:hint="eastAsia" w:ascii="宋体" w:hAnsi="宋体" w:eastAsia="宋体" w:cs="宋体"/>
                <w:bCs/>
                <w:color w:val="auto"/>
                <w:kern w:val="0"/>
                <w:sz w:val="21"/>
                <w:szCs w:val="21"/>
                <w:highlight w:val="none"/>
              </w:rPr>
              <w:t>分）</w:t>
            </w:r>
          </w:p>
        </w:tc>
        <w:tc>
          <w:tcPr>
            <w:tcW w:w="6379" w:type="dxa"/>
            <w:tcBorders>
              <w:top w:val="single" w:color="auto" w:sz="4" w:space="0"/>
            </w:tcBorders>
            <w:vAlign w:val="center"/>
          </w:tcPr>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项目负责人：</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具有工程类高级或以上技术职称的，得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分。本小项最多得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2、具有建设行政主管部门或其委托的机构、行业协会颁发的检测员证或检测鉴定培训合格证的，得</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分。本小项最多得</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3、自2019年1月1日至今参与过</w:t>
            </w:r>
            <w:r>
              <w:rPr>
                <w:rFonts w:hint="eastAsia" w:ascii="宋体" w:hAnsi="宋体" w:eastAsia="宋体" w:cs="宋体"/>
                <w:b w:val="0"/>
                <w:bCs w:val="0"/>
                <w:color w:val="auto"/>
                <w:sz w:val="21"/>
                <w:szCs w:val="21"/>
                <w:highlight w:val="none"/>
              </w:rPr>
              <w:t>类似市政工程</w:t>
            </w:r>
            <w:r>
              <w:rPr>
                <w:rFonts w:hint="eastAsia" w:ascii="宋体" w:hAnsi="宋体" w:eastAsia="宋体" w:cs="宋体"/>
                <w:b w:val="0"/>
                <w:bCs w:val="0"/>
                <w:color w:val="auto"/>
                <w:sz w:val="21"/>
                <w:szCs w:val="21"/>
                <w:highlight w:val="none"/>
                <w:lang w:eastAsia="zh-CN"/>
              </w:rPr>
              <w:t>检测</w:t>
            </w:r>
            <w:r>
              <w:rPr>
                <w:rFonts w:hint="eastAsia" w:ascii="宋体" w:hAnsi="宋体" w:eastAsia="宋体" w:cs="宋体"/>
                <w:b w:val="0"/>
                <w:bCs w:val="0"/>
                <w:color w:val="auto"/>
                <w:sz w:val="21"/>
                <w:szCs w:val="21"/>
                <w:highlight w:val="none"/>
              </w:rPr>
              <w:t>业绩</w:t>
            </w:r>
            <w:r>
              <w:rPr>
                <w:rFonts w:hint="eastAsia" w:ascii="宋体" w:hAnsi="宋体" w:eastAsia="宋体" w:cs="宋体"/>
                <w:b w:val="0"/>
                <w:bCs w:val="0"/>
                <w:color w:val="auto"/>
                <w:sz w:val="21"/>
                <w:szCs w:val="21"/>
                <w:highlight w:val="none"/>
                <w:lang w:val="en-US" w:eastAsia="zh-CN"/>
              </w:rPr>
              <w:t>的，得3分。</w:t>
            </w:r>
            <w:r>
              <w:rPr>
                <w:rFonts w:hint="eastAsia" w:ascii="宋体" w:hAnsi="宋体" w:eastAsia="宋体" w:cs="宋体"/>
                <w:b w:val="0"/>
                <w:bCs w:val="0"/>
                <w:color w:val="auto"/>
                <w:sz w:val="21"/>
                <w:szCs w:val="21"/>
                <w:highlight w:val="none"/>
              </w:rPr>
              <w:t>本小项最多得</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本项最多得</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分，没有不得分。</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注：</w:t>
            </w:r>
          </w:p>
          <w:p>
            <w:pPr>
              <w:pStyle w:val="23"/>
              <w:keepNext w:val="0"/>
              <w:keepLines w:val="0"/>
              <w:numPr>
                <w:ilvl w:val="0"/>
                <w:numId w:val="1"/>
              </w:numPr>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须提供身份证、职称证、检测员证或检测鉴定培训合格证</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业绩资料</w:t>
            </w:r>
            <w:r>
              <w:rPr>
                <w:rFonts w:hint="eastAsia" w:ascii="宋体" w:hAnsi="宋体" w:eastAsia="宋体" w:cs="宋体"/>
                <w:b w:val="0"/>
                <w:bCs w:val="0"/>
                <w:color w:val="auto"/>
                <w:sz w:val="21"/>
                <w:szCs w:val="21"/>
                <w:highlight w:val="none"/>
                <w:lang w:val="en-US" w:eastAsia="zh-CN"/>
              </w:rPr>
              <w:t>和</w:t>
            </w:r>
            <w:r>
              <w:rPr>
                <w:rFonts w:hint="eastAsia" w:ascii="宋体" w:hAnsi="宋体" w:eastAsia="宋体" w:cs="宋体"/>
                <w:b w:val="0"/>
                <w:bCs w:val="0"/>
                <w:color w:val="auto"/>
                <w:sz w:val="21"/>
                <w:szCs w:val="21"/>
                <w:highlight w:val="none"/>
              </w:rPr>
              <w:t>202</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年</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月社保等证明材料</w:t>
            </w:r>
            <w:r>
              <w:rPr>
                <w:rFonts w:hint="eastAsia" w:ascii="宋体" w:hAnsi="宋体" w:eastAsia="宋体" w:cs="宋体"/>
                <w:b w:val="0"/>
                <w:bCs w:val="0"/>
                <w:color w:val="auto"/>
                <w:sz w:val="21"/>
                <w:szCs w:val="21"/>
                <w:highlight w:val="none"/>
                <w:lang w:eastAsia="zh-CN"/>
              </w:rPr>
              <w:t>扫描件</w:t>
            </w:r>
            <w:r>
              <w:rPr>
                <w:rFonts w:hint="eastAsia" w:ascii="宋体" w:hAnsi="宋体" w:eastAsia="宋体" w:cs="宋体"/>
                <w:b w:val="0"/>
                <w:bCs w:val="0"/>
                <w:color w:val="auto"/>
                <w:sz w:val="21"/>
                <w:szCs w:val="21"/>
                <w:highlight w:val="none"/>
              </w:rPr>
              <w:t>。未按要求提供或不符合以上要求的不得分。</w:t>
            </w:r>
          </w:p>
          <w:p>
            <w:pPr>
              <w:pStyle w:val="23"/>
              <w:keepNext w:val="0"/>
              <w:keepLines w:val="0"/>
              <w:numPr>
                <w:ilvl w:val="0"/>
                <w:numId w:val="1"/>
              </w:numPr>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类似市政工程</w:t>
            </w:r>
            <w:r>
              <w:rPr>
                <w:rFonts w:hint="eastAsia" w:ascii="宋体" w:hAnsi="宋体" w:eastAsia="宋体" w:cs="宋体"/>
                <w:b w:val="0"/>
                <w:bCs w:val="0"/>
                <w:color w:val="auto"/>
                <w:sz w:val="21"/>
                <w:szCs w:val="21"/>
                <w:highlight w:val="none"/>
                <w:lang w:eastAsia="zh-CN"/>
              </w:rPr>
              <w:t>检测</w:t>
            </w:r>
            <w:r>
              <w:rPr>
                <w:rFonts w:hint="eastAsia" w:ascii="宋体" w:hAnsi="宋体" w:eastAsia="宋体" w:cs="宋体"/>
                <w:b w:val="0"/>
                <w:bCs w:val="0"/>
                <w:color w:val="auto"/>
                <w:sz w:val="21"/>
                <w:szCs w:val="21"/>
                <w:highlight w:val="none"/>
              </w:rPr>
              <w:t>业绩是指包含本</w:t>
            </w:r>
            <w:r>
              <w:rPr>
                <w:rFonts w:hint="eastAsia" w:ascii="宋体" w:hAnsi="宋体" w:eastAsia="宋体" w:cs="宋体"/>
                <w:b w:val="0"/>
                <w:bCs w:val="0"/>
                <w:color w:val="auto"/>
                <w:sz w:val="21"/>
                <w:szCs w:val="21"/>
                <w:highlight w:val="none"/>
                <w:lang w:val="en-US" w:eastAsia="zh-CN"/>
              </w:rPr>
              <w:t>项目</w:t>
            </w:r>
            <w:r>
              <w:rPr>
                <w:rFonts w:hint="eastAsia" w:ascii="宋体" w:hAnsi="宋体" w:eastAsia="宋体" w:cs="宋体"/>
                <w:b w:val="0"/>
                <w:bCs w:val="0"/>
                <w:color w:val="auto"/>
                <w:sz w:val="21"/>
                <w:szCs w:val="21"/>
                <w:highlight w:val="none"/>
              </w:rPr>
              <w:t>招标内容中一项或多项检测内容的市政工程</w:t>
            </w:r>
            <w:r>
              <w:rPr>
                <w:rFonts w:hint="eastAsia" w:ascii="宋体" w:hAnsi="宋体" w:eastAsia="宋体" w:cs="宋体"/>
                <w:b w:val="0"/>
                <w:bCs w:val="0"/>
                <w:color w:val="auto"/>
                <w:sz w:val="21"/>
                <w:szCs w:val="21"/>
                <w:highlight w:val="none"/>
                <w:lang w:eastAsia="zh-CN"/>
              </w:rPr>
              <w:t>检测</w:t>
            </w:r>
            <w:r>
              <w:rPr>
                <w:rFonts w:hint="eastAsia" w:ascii="宋体" w:hAnsi="宋体" w:eastAsia="宋体" w:cs="宋体"/>
                <w:b w:val="0"/>
                <w:bCs w:val="0"/>
                <w:color w:val="auto"/>
                <w:sz w:val="21"/>
                <w:szCs w:val="21"/>
                <w:highlight w:val="none"/>
              </w:rPr>
              <w:t>业绩，如果提供的业绩资料中未包含</w:t>
            </w:r>
            <w:r>
              <w:rPr>
                <w:rFonts w:hint="eastAsia" w:ascii="宋体" w:hAnsi="宋体" w:eastAsia="宋体" w:cs="宋体"/>
                <w:b w:val="0"/>
                <w:bCs w:val="0"/>
                <w:color w:val="auto"/>
                <w:sz w:val="21"/>
                <w:szCs w:val="21"/>
                <w:highlight w:val="none"/>
                <w:lang w:eastAsia="zh-CN"/>
              </w:rPr>
              <w:t>相关检测</w:t>
            </w:r>
            <w:r>
              <w:rPr>
                <w:rFonts w:hint="eastAsia" w:ascii="宋体" w:hAnsi="宋体" w:eastAsia="宋体" w:cs="宋体"/>
                <w:b w:val="0"/>
                <w:bCs w:val="0"/>
                <w:color w:val="auto"/>
                <w:sz w:val="21"/>
                <w:szCs w:val="21"/>
                <w:highlight w:val="none"/>
              </w:rPr>
              <w:t>内容，则本项不得分。</w:t>
            </w:r>
          </w:p>
          <w:p>
            <w:pPr>
              <w:pStyle w:val="23"/>
              <w:keepNext w:val="0"/>
              <w:keepLines w:val="0"/>
              <w:numPr>
                <w:ilvl w:val="0"/>
                <w:numId w:val="1"/>
              </w:numPr>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业绩资料须提供合同</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如合同中未体现该人员的，须提供</w:t>
            </w:r>
            <w:r>
              <w:rPr>
                <w:rFonts w:hint="eastAsia" w:ascii="宋体" w:hAnsi="宋体" w:eastAsia="宋体" w:cs="宋体"/>
                <w:b w:val="0"/>
                <w:bCs w:val="0"/>
                <w:color w:val="auto"/>
                <w:sz w:val="21"/>
                <w:szCs w:val="21"/>
                <w:highlight w:val="none"/>
              </w:rPr>
              <w:t>中标通知书</w:t>
            </w:r>
            <w:r>
              <w:rPr>
                <w:rFonts w:hint="eastAsia" w:ascii="宋体" w:hAnsi="宋体" w:eastAsia="宋体" w:cs="宋体"/>
                <w:b w:val="0"/>
                <w:bCs w:val="0"/>
                <w:color w:val="auto"/>
                <w:sz w:val="21"/>
                <w:szCs w:val="21"/>
                <w:highlight w:val="none"/>
                <w:lang w:val="en-US" w:eastAsia="zh-CN"/>
              </w:rPr>
              <w:t>或业主证明</w:t>
            </w:r>
            <w:r>
              <w:rPr>
                <w:rFonts w:hint="eastAsia" w:ascii="宋体" w:hAnsi="宋体" w:eastAsia="宋体" w:cs="宋体"/>
                <w:b w:val="0"/>
                <w:bCs w:val="0"/>
                <w:color w:val="auto"/>
                <w:sz w:val="21"/>
                <w:szCs w:val="21"/>
                <w:highlight w:val="none"/>
              </w:rPr>
              <w:t>等</w:t>
            </w:r>
            <w:r>
              <w:rPr>
                <w:rFonts w:hint="eastAsia" w:ascii="宋体" w:hAnsi="宋体" w:eastAsia="宋体" w:cs="宋体"/>
                <w:b w:val="0"/>
                <w:bCs w:val="0"/>
                <w:color w:val="auto"/>
                <w:sz w:val="21"/>
                <w:szCs w:val="21"/>
                <w:highlight w:val="none"/>
                <w:lang w:val="en-US" w:eastAsia="zh-CN"/>
              </w:rPr>
              <w:t>其他证明</w:t>
            </w:r>
            <w:r>
              <w:rPr>
                <w:rFonts w:hint="eastAsia" w:ascii="宋体" w:hAnsi="宋体" w:eastAsia="宋体" w:cs="宋体"/>
                <w:b w:val="0"/>
                <w:bCs w:val="0"/>
                <w:color w:val="auto"/>
                <w:sz w:val="21"/>
                <w:szCs w:val="21"/>
                <w:highlight w:val="none"/>
              </w:rPr>
              <w:t>文件</w:t>
            </w:r>
            <w:r>
              <w:rPr>
                <w:rFonts w:hint="eastAsia" w:ascii="宋体" w:hAnsi="宋体" w:eastAsia="宋体" w:cs="宋体"/>
                <w:b w:val="0"/>
                <w:bCs w:val="0"/>
                <w:color w:val="auto"/>
                <w:sz w:val="21"/>
                <w:szCs w:val="21"/>
                <w:highlight w:val="none"/>
                <w:lang w:eastAsia="zh-CN"/>
              </w:rPr>
              <w:t>扫描件</w:t>
            </w: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业绩时间以</w:t>
            </w:r>
            <w:r>
              <w:rPr>
                <w:rFonts w:hint="eastAsia" w:ascii="宋体" w:hAnsi="宋体" w:eastAsia="宋体" w:cs="宋体"/>
                <w:b w:val="0"/>
                <w:bCs w:val="0"/>
                <w:color w:val="auto"/>
                <w:sz w:val="21"/>
                <w:szCs w:val="21"/>
                <w:highlight w:val="none"/>
              </w:rPr>
              <w:t>合同</w:t>
            </w:r>
            <w:r>
              <w:rPr>
                <w:rFonts w:hint="eastAsia" w:ascii="宋体" w:hAnsi="宋体" w:cs="宋体"/>
                <w:b w:val="0"/>
                <w:bCs w:val="0"/>
                <w:color w:val="auto"/>
                <w:sz w:val="21"/>
                <w:szCs w:val="21"/>
                <w:highlight w:val="none"/>
                <w:lang w:val="en-US" w:eastAsia="zh-CN"/>
              </w:rPr>
              <w:t>或</w:t>
            </w:r>
            <w:r>
              <w:rPr>
                <w:rFonts w:hint="eastAsia" w:ascii="宋体" w:hAnsi="宋体" w:eastAsia="宋体" w:cs="宋体"/>
                <w:b w:val="0"/>
                <w:bCs w:val="0"/>
                <w:color w:val="auto"/>
                <w:sz w:val="21"/>
                <w:szCs w:val="21"/>
                <w:highlight w:val="none"/>
              </w:rPr>
              <w:t>中标通知书</w:t>
            </w:r>
            <w:r>
              <w:rPr>
                <w:rFonts w:hint="eastAsia" w:ascii="宋体" w:hAnsi="宋体" w:eastAsia="宋体" w:cs="宋体"/>
                <w:b w:val="0"/>
                <w:bCs w:val="0"/>
                <w:color w:val="auto"/>
                <w:sz w:val="21"/>
                <w:szCs w:val="21"/>
                <w:highlight w:val="none"/>
                <w:lang w:val="en-US" w:eastAsia="zh-CN"/>
              </w:rPr>
              <w:t>或业主证明</w:t>
            </w:r>
            <w:r>
              <w:rPr>
                <w:rFonts w:hint="eastAsia" w:ascii="宋体" w:hAnsi="宋体" w:eastAsia="宋体" w:cs="宋体"/>
                <w:b w:val="0"/>
                <w:bCs w:val="0"/>
                <w:color w:val="auto"/>
                <w:sz w:val="21"/>
                <w:szCs w:val="21"/>
                <w:highlight w:val="none"/>
              </w:rPr>
              <w:t>等</w:t>
            </w:r>
            <w:r>
              <w:rPr>
                <w:rFonts w:hint="eastAsia" w:ascii="宋体" w:hAnsi="宋体" w:eastAsia="宋体" w:cs="宋体"/>
                <w:b w:val="0"/>
                <w:bCs w:val="0"/>
                <w:color w:val="auto"/>
                <w:sz w:val="21"/>
                <w:szCs w:val="21"/>
                <w:highlight w:val="none"/>
                <w:lang w:val="en-US" w:eastAsia="zh-CN"/>
              </w:rPr>
              <w:t>其他证明</w:t>
            </w:r>
            <w:r>
              <w:rPr>
                <w:rFonts w:hint="eastAsia" w:ascii="宋体" w:hAnsi="宋体" w:eastAsia="宋体" w:cs="宋体"/>
                <w:b w:val="0"/>
                <w:bCs w:val="0"/>
                <w:color w:val="auto"/>
                <w:sz w:val="21"/>
                <w:szCs w:val="21"/>
                <w:highlight w:val="none"/>
              </w:rPr>
              <w:t>文件</w:t>
            </w:r>
            <w:r>
              <w:rPr>
                <w:rFonts w:hint="eastAsia" w:ascii="宋体" w:hAnsi="宋体" w:cs="宋体"/>
                <w:b w:val="0"/>
                <w:bCs w:val="0"/>
                <w:color w:val="auto"/>
                <w:sz w:val="21"/>
                <w:szCs w:val="21"/>
                <w:highlight w:val="none"/>
                <w:lang w:val="en-US" w:eastAsia="zh-CN"/>
              </w:rPr>
              <w:t>上的时间为准。</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项目负责人不得同时兼任技术负责人，否则不得分。</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color w:val="auto"/>
                <w:sz w:val="21"/>
                <w:szCs w:val="21"/>
                <w:highlight w:val="none"/>
              </w:rPr>
              <w:t>如联合体投标的，</w:t>
            </w:r>
            <w:r>
              <w:rPr>
                <w:rFonts w:hint="eastAsia" w:ascii="宋体" w:hAnsi="宋体" w:eastAsia="宋体" w:cs="宋体"/>
                <w:b w:val="0"/>
                <w:bCs w:val="0"/>
                <w:color w:val="auto"/>
                <w:sz w:val="21"/>
                <w:szCs w:val="21"/>
                <w:highlight w:val="none"/>
              </w:rPr>
              <w:t>项目负责人</w:t>
            </w:r>
            <w:r>
              <w:rPr>
                <w:rFonts w:hint="eastAsia" w:ascii="宋体" w:hAnsi="宋体" w:eastAsia="宋体" w:cs="宋体"/>
                <w:color w:val="auto"/>
                <w:sz w:val="21"/>
                <w:szCs w:val="21"/>
                <w:highlight w:val="none"/>
              </w:rPr>
              <w:t>以联合体</w:t>
            </w:r>
            <w:r>
              <w:rPr>
                <w:rFonts w:hint="eastAsia" w:ascii="宋体" w:hAnsi="宋体" w:eastAsia="宋体" w:cs="宋体"/>
                <w:color w:val="auto"/>
                <w:sz w:val="21"/>
                <w:szCs w:val="21"/>
                <w:highlight w:val="none"/>
                <w:lang w:val="en-US" w:eastAsia="zh-CN"/>
              </w:rPr>
              <w:t>牵头人资料</w:t>
            </w:r>
            <w:r>
              <w:rPr>
                <w:rFonts w:hint="eastAsia" w:ascii="宋体" w:hAnsi="宋体" w:eastAsia="宋体" w:cs="宋体"/>
                <w:color w:val="auto"/>
                <w:sz w:val="21"/>
                <w:szCs w:val="21"/>
                <w:highlight w:val="none"/>
              </w:rPr>
              <w:t>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2" w:hRule="atLeast"/>
          <w:jc w:val="center"/>
        </w:trPr>
        <w:tc>
          <w:tcPr>
            <w:tcW w:w="428" w:type="dxa"/>
            <w:vMerge w:val="continue"/>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1063" w:type="dxa"/>
            <w:vMerge w:val="continue"/>
            <w:tcBorders>
              <w:right w:val="single" w:color="auto" w:sz="4" w:space="0"/>
            </w:tcBorders>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bCs/>
                <w:color w:val="auto"/>
                <w:kern w:val="0"/>
                <w:sz w:val="21"/>
                <w:szCs w:val="21"/>
                <w:highlight w:val="none"/>
              </w:rPr>
            </w:pPr>
          </w:p>
        </w:tc>
        <w:tc>
          <w:tcPr>
            <w:tcW w:w="1623" w:type="dxa"/>
            <w:vMerge w:val="continue"/>
            <w:tcBorders>
              <w:left w:val="single" w:color="auto"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bCs/>
                <w:color w:val="auto"/>
                <w:kern w:val="0"/>
                <w:sz w:val="21"/>
                <w:szCs w:val="21"/>
                <w:highlight w:val="none"/>
              </w:rPr>
            </w:pPr>
          </w:p>
        </w:tc>
        <w:tc>
          <w:tcPr>
            <w:tcW w:w="6379" w:type="dxa"/>
            <w:tcBorders>
              <w:top w:val="single" w:color="auto" w:sz="4" w:space="0"/>
            </w:tcBorders>
            <w:vAlign w:val="center"/>
          </w:tcPr>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技术负责人：</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1、具有工程类高级或以上技术职称的，得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分。本小项最多得</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2、具有建设行政主管部门或其委托的机构、行业协会颁发的检测员证或检测鉴定培训合格证的，得</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分。本小项最多得</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自2019年1月1日至今参与过</w:t>
            </w:r>
            <w:r>
              <w:rPr>
                <w:rFonts w:hint="eastAsia" w:ascii="宋体" w:hAnsi="宋体" w:eastAsia="宋体" w:cs="宋体"/>
                <w:b w:val="0"/>
                <w:bCs w:val="0"/>
                <w:color w:val="auto"/>
                <w:sz w:val="21"/>
                <w:szCs w:val="21"/>
                <w:highlight w:val="none"/>
              </w:rPr>
              <w:t>类似市政工程</w:t>
            </w:r>
            <w:r>
              <w:rPr>
                <w:rFonts w:hint="eastAsia" w:ascii="宋体" w:hAnsi="宋体" w:eastAsia="宋体" w:cs="宋体"/>
                <w:b w:val="0"/>
                <w:bCs w:val="0"/>
                <w:color w:val="auto"/>
                <w:sz w:val="21"/>
                <w:szCs w:val="21"/>
                <w:highlight w:val="none"/>
                <w:lang w:eastAsia="zh-CN"/>
              </w:rPr>
              <w:t>检测</w:t>
            </w:r>
            <w:r>
              <w:rPr>
                <w:rFonts w:hint="eastAsia" w:ascii="宋体" w:hAnsi="宋体" w:eastAsia="宋体" w:cs="宋体"/>
                <w:b w:val="0"/>
                <w:bCs w:val="0"/>
                <w:color w:val="auto"/>
                <w:sz w:val="21"/>
                <w:szCs w:val="21"/>
                <w:highlight w:val="none"/>
              </w:rPr>
              <w:t>业绩</w:t>
            </w:r>
            <w:r>
              <w:rPr>
                <w:rFonts w:hint="eastAsia" w:ascii="宋体" w:hAnsi="宋体" w:eastAsia="宋体" w:cs="宋体"/>
                <w:b w:val="0"/>
                <w:bCs w:val="0"/>
                <w:color w:val="auto"/>
                <w:sz w:val="21"/>
                <w:szCs w:val="21"/>
                <w:highlight w:val="none"/>
                <w:lang w:val="en-US" w:eastAsia="zh-CN"/>
              </w:rPr>
              <w:t>的，得3分。</w:t>
            </w:r>
            <w:r>
              <w:rPr>
                <w:rFonts w:hint="eastAsia" w:ascii="宋体" w:hAnsi="宋体" w:eastAsia="宋体" w:cs="宋体"/>
                <w:b w:val="0"/>
                <w:bCs w:val="0"/>
                <w:color w:val="auto"/>
                <w:sz w:val="21"/>
                <w:szCs w:val="21"/>
                <w:highlight w:val="none"/>
              </w:rPr>
              <w:t>本小项最多得</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本项最多得</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分，没有不得分。</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注：</w:t>
            </w:r>
          </w:p>
          <w:p>
            <w:pPr>
              <w:pStyle w:val="23"/>
              <w:keepNext w:val="0"/>
              <w:keepLines w:val="0"/>
              <w:numPr>
                <w:ilvl w:val="0"/>
                <w:numId w:val="2"/>
              </w:numPr>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须提供身份证、职称证、检测员证或检测鉴定培训合格证</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业绩资料</w:t>
            </w:r>
            <w:r>
              <w:rPr>
                <w:rFonts w:hint="eastAsia" w:ascii="宋体" w:hAnsi="宋体" w:eastAsia="宋体" w:cs="宋体"/>
                <w:b w:val="0"/>
                <w:bCs w:val="0"/>
                <w:color w:val="auto"/>
                <w:sz w:val="21"/>
                <w:szCs w:val="21"/>
                <w:highlight w:val="none"/>
                <w:lang w:val="en-US" w:eastAsia="zh-CN"/>
              </w:rPr>
              <w:t>和</w:t>
            </w:r>
            <w:r>
              <w:rPr>
                <w:rFonts w:hint="eastAsia" w:ascii="宋体" w:hAnsi="宋体" w:eastAsia="宋体" w:cs="宋体"/>
                <w:b w:val="0"/>
                <w:bCs w:val="0"/>
                <w:color w:val="auto"/>
                <w:sz w:val="21"/>
                <w:szCs w:val="21"/>
                <w:highlight w:val="none"/>
              </w:rPr>
              <w:t>202</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年</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月社保等证明材料</w:t>
            </w:r>
            <w:r>
              <w:rPr>
                <w:rFonts w:hint="eastAsia" w:ascii="宋体" w:hAnsi="宋体" w:eastAsia="宋体" w:cs="宋体"/>
                <w:b w:val="0"/>
                <w:bCs w:val="0"/>
                <w:color w:val="auto"/>
                <w:sz w:val="21"/>
                <w:szCs w:val="21"/>
                <w:highlight w:val="none"/>
                <w:lang w:eastAsia="zh-CN"/>
              </w:rPr>
              <w:t>扫描件</w:t>
            </w:r>
            <w:r>
              <w:rPr>
                <w:rFonts w:hint="eastAsia" w:ascii="宋体" w:hAnsi="宋体" w:eastAsia="宋体" w:cs="宋体"/>
                <w:b w:val="0"/>
                <w:bCs w:val="0"/>
                <w:color w:val="auto"/>
                <w:sz w:val="21"/>
                <w:szCs w:val="21"/>
                <w:highlight w:val="none"/>
              </w:rPr>
              <w:t>。未按要求提供或不符合以上要求的不得分。</w:t>
            </w:r>
          </w:p>
          <w:p>
            <w:pPr>
              <w:pStyle w:val="23"/>
              <w:keepNext w:val="0"/>
              <w:keepLines w:val="0"/>
              <w:numPr>
                <w:ilvl w:val="0"/>
                <w:numId w:val="2"/>
              </w:numPr>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类似市政工程</w:t>
            </w:r>
            <w:r>
              <w:rPr>
                <w:rFonts w:hint="eastAsia" w:ascii="宋体" w:hAnsi="宋体" w:eastAsia="宋体" w:cs="宋体"/>
                <w:b w:val="0"/>
                <w:bCs w:val="0"/>
                <w:color w:val="auto"/>
                <w:sz w:val="21"/>
                <w:szCs w:val="21"/>
                <w:highlight w:val="none"/>
                <w:lang w:eastAsia="zh-CN"/>
              </w:rPr>
              <w:t>检测</w:t>
            </w:r>
            <w:r>
              <w:rPr>
                <w:rFonts w:hint="eastAsia" w:ascii="宋体" w:hAnsi="宋体" w:eastAsia="宋体" w:cs="宋体"/>
                <w:b w:val="0"/>
                <w:bCs w:val="0"/>
                <w:color w:val="auto"/>
                <w:sz w:val="21"/>
                <w:szCs w:val="21"/>
                <w:highlight w:val="none"/>
              </w:rPr>
              <w:t>业绩是指包含本</w:t>
            </w:r>
            <w:r>
              <w:rPr>
                <w:rFonts w:hint="eastAsia" w:ascii="宋体" w:hAnsi="宋体" w:eastAsia="宋体" w:cs="宋体"/>
                <w:b w:val="0"/>
                <w:bCs w:val="0"/>
                <w:color w:val="auto"/>
                <w:sz w:val="21"/>
                <w:szCs w:val="21"/>
                <w:highlight w:val="none"/>
                <w:lang w:val="en-US" w:eastAsia="zh-CN"/>
              </w:rPr>
              <w:t>项目</w:t>
            </w:r>
            <w:r>
              <w:rPr>
                <w:rFonts w:hint="eastAsia" w:ascii="宋体" w:hAnsi="宋体" w:eastAsia="宋体" w:cs="宋体"/>
                <w:b w:val="0"/>
                <w:bCs w:val="0"/>
                <w:color w:val="auto"/>
                <w:sz w:val="21"/>
                <w:szCs w:val="21"/>
                <w:highlight w:val="none"/>
              </w:rPr>
              <w:t>招标内容中一项或多项检测内容的市政工程</w:t>
            </w:r>
            <w:r>
              <w:rPr>
                <w:rFonts w:hint="eastAsia" w:ascii="宋体" w:hAnsi="宋体" w:eastAsia="宋体" w:cs="宋体"/>
                <w:b w:val="0"/>
                <w:bCs w:val="0"/>
                <w:color w:val="auto"/>
                <w:sz w:val="21"/>
                <w:szCs w:val="21"/>
                <w:highlight w:val="none"/>
                <w:lang w:eastAsia="zh-CN"/>
              </w:rPr>
              <w:t>检测</w:t>
            </w:r>
            <w:r>
              <w:rPr>
                <w:rFonts w:hint="eastAsia" w:ascii="宋体" w:hAnsi="宋体" w:eastAsia="宋体" w:cs="宋体"/>
                <w:b w:val="0"/>
                <w:bCs w:val="0"/>
                <w:color w:val="auto"/>
                <w:sz w:val="21"/>
                <w:szCs w:val="21"/>
                <w:highlight w:val="none"/>
              </w:rPr>
              <w:t>业绩，如果提供的业绩资料中未包含</w:t>
            </w:r>
            <w:r>
              <w:rPr>
                <w:rFonts w:hint="eastAsia" w:ascii="宋体" w:hAnsi="宋体" w:eastAsia="宋体" w:cs="宋体"/>
                <w:b w:val="0"/>
                <w:bCs w:val="0"/>
                <w:color w:val="auto"/>
                <w:sz w:val="21"/>
                <w:szCs w:val="21"/>
                <w:highlight w:val="none"/>
                <w:lang w:eastAsia="zh-CN"/>
              </w:rPr>
              <w:t>相关检测</w:t>
            </w:r>
            <w:r>
              <w:rPr>
                <w:rFonts w:hint="eastAsia" w:ascii="宋体" w:hAnsi="宋体" w:eastAsia="宋体" w:cs="宋体"/>
                <w:b w:val="0"/>
                <w:bCs w:val="0"/>
                <w:color w:val="auto"/>
                <w:sz w:val="21"/>
                <w:szCs w:val="21"/>
                <w:highlight w:val="none"/>
              </w:rPr>
              <w:t>内容，则本项不得分。</w:t>
            </w:r>
          </w:p>
          <w:p>
            <w:pPr>
              <w:pStyle w:val="23"/>
              <w:keepNext w:val="0"/>
              <w:keepLines w:val="0"/>
              <w:numPr>
                <w:ilvl w:val="0"/>
                <w:numId w:val="2"/>
              </w:numPr>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业绩资料须提供合同</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如合同中未体现该人员的，须提供</w:t>
            </w:r>
            <w:r>
              <w:rPr>
                <w:rFonts w:hint="eastAsia" w:ascii="宋体" w:hAnsi="宋体" w:eastAsia="宋体" w:cs="宋体"/>
                <w:b w:val="0"/>
                <w:bCs w:val="0"/>
                <w:color w:val="auto"/>
                <w:sz w:val="21"/>
                <w:szCs w:val="21"/>
                <w:highlight w:val="none"/>
              </w:rPr>
              <w:t>中标通知书</w:t>
            </w:r>
            <w:r>
              <w:rPr>
                <w:rFonts w:hint="eastAsia" w:ascii="宋体" w:hAnsi="宋体" w:eastAsia="宋体" w:cs="宋体"/>
                <w:b w:val="0"/>
                <w:bCs w:val="0"/>
                <w:color w:val="auto"/>
                <w:sz w:val="21"/>
                <w:szCs w:val="21"/>
                <w:highlight w:val="none"/>
                <w:lang w:val="en-US" w:eastAsia="zh-CN"/>
              </w:rPr>
              <w:t>或业主证明</w:t>
            </w:r>
            <w:r>
              <w:rPr>
                <w:rFonts w:hint="eastAsia" w:ascii="宋体" w:hAnsi="宋体" w:eastAsia="宋体" w:cs="宋体"/>
                <w:b w:val="0"/>
                <w:bCs w:val="0"/>
                <w:color w:val="auto"/>
                <w:sz w:val="21"/>
                <w:szCs w:val="21"/>
                <w:highlight w:val="none"/>
              </w:rPr>
              <w:t>等</w:t>
            </w:r>
            <w:r>
              <w:rPr>
                <w:rFonts w:hint="eastAsia" w:ascii="宋体" w:hAnsi="宋体" w:eastAsia="宋体" w:cs="宋体"/>
                <w:b w:val="0"/>
                <w:bCs w:val="0"/>
                <w:color w:val="auto"/>
                <w:sz w:val="21"/>
                <w:szCs w:val="21"/>
                <w:highlight w:val="none"/>
                <w:lang w:val="en-US" w:eastAsia="zh-CN"/>
              </w:rPr>
              <w:t>其他证明</w:t>
            </w:r>
            <w:r>
              <w:rPr>
                <w:rFonts w:hint="eastAsia" w:ascii="宋体" w:hAnsi="宋体" w:eastAsia="宋体" w:cs="宋体"/>
                <w:b w:val="0"/>
                <w:bCs w:val="0"/>
                <w:color w:val="auto"/>
                <w:sz w:val="21"/>
                <w:szCs w:val="21"/>
                <w:highlight w:val="none"/>
              </w:rPr>
              <w:t>文件</w:t>
            </w:r>
            <w:r>
              <w:rPr>
                <w:rFonts w:hint="eastAsia" w:ascii="宋体" w:hAnsi="宋体" w:eastAsia="宋体" w:cs="宋体"/>
                <w:b w:val="0"/>
                <w:bCs w:val="0"/>
                <w:color w:val="auto"/>
                <w:sz w:val="21"/>
                <w:szCs w:val="21"/>
                <w:highlight w:val="none"/>
                <w:lang w:eastAsia="zh-CN"/>
              </w:rPr>
              <w:t>扫描件</w:t>
            </w:r>
            <w:r>
              <w:rPr>
                <w:rFonts w:hint="eastAsia" w:ascii="宋体" w:hAnsi="宋体" w:eastAsia="宋体" w:cs="宋体"/>
                <w:b w:val="0"/>
                <w:bCs w:val="0"/>
                <w:color w:val="auto"/>
                <w:sz w:val="21"/>
                <w:szCs w:val="21"/>
                <w:highlight w:val="none"/>
              </w:rPr>
              <w:t>。</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技术负责人不得同时兼任项目负责人，否则不得分。</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color w:val="auto"/>
                <w:sz w:val="21"/>
                <w:szCs w:val="21"/>
                <w:highlight w:val="none"/>
              </w:rPr>
              <w:t>如联合体投标的，</w:t>
            </w:r>
            <w:r>
              <w:rPr>
                <w:rFonts w:hint="eastAsia" w:ascii="宋体" w:hAnsi="宋体" w:eastAsia="宋体" w:cs="宋体"/>
                <w:b w:val="0"/>
                <w:bCs w:val="0"/>
                <w:color w:val="auto"/>
                <w:sz w:val="21"/>
                <w:szCs w:val="21"/>
                <w:highlight w:val="none"/>
                <w:lang w:val="en-US" w:eastAsia="zh-CN"/>
              </w:rPr>
              <w:t>技术</w:t>
            </w:r>
            <w:r>
              <w:rPr>
                <w:rFonts w:hint="eastAsia" w:ascii="宋体" w:hAnsi="宋体" w:eastAsia="宋体" w:cs="宋体"/>
                <w:b w:val="0"/>
                <w:bCs w:val="0"/>
                <w:color w:val="auto"/>
                <w:sz w:val="21"/>
                <w:szCs w:val="21"/>
                <w:highlight w:val="none"/>
              </w:rPr>
              <w:t>负责人</w:t>
            </w:r>
            <w:r>
              <w:rPr>
                <w:rFonts w:hint="eastAsia" w:ascii="宋体" w:hAnsi="宋体" w:eastAsia="宋体" w:cs="宋体"/>
                <w:color w:val="auto"/>
                <w:sz w:val="21"/>
                <w:szCs w:val="21"/>
                <w:highlight w:val="none"/>
              </w:rPr>
              <w:t>以联合体</w:t>
            </w:r>
            <w:r>
              <w:rPr>
                <w:rFonts w:hint="eastAsia" w:ascii="宋体" w:hAnsi="宋体" w:eastAsia="宋体" w:cs="宋体"/>
                <w:color w:val="auto"/>
                <w:sz w:val="21"/>
                <w:szCs w:val="21"/>
                <w:highlight w:val="none"/>
                <w:lang w:val="en-US" w:eastAsia="zh-CN"/>
              </w:rPr>
              <w:t>牵头人资料</w:t>
            </w:r>
            <w:r>
              <w:rPr>
                <w:rFonts w:hint="eastAsia" w:ascii="宋体" w:hAnsi="宋体" w:eastAsia="宋体" w:cs="宋体"/>
                <w:color w:val="auto"/>
                <w:sz w:val="21"/>
                <w:szCs w:val="21"/>
                <w:highlight w:val="none"/>
              </w:rPr>
              <w:t>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28" w:type="dxa"/>
            <w:vMerge w:val="continue"/>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1063" w:type="dxa"/>
            <w:vMerge w:val="continue"/>
            <w:tcBorders>
              <w:right w:val="single" w:color="auto" w:sz="4" w:space="0"/>
            </w:tcBorders>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bCs/>
                <w:color w:val="auto"/>
                <w:kern w:val="0"/>
                <w:sz w:val="21"/>
                <w:szCs w:val="21"/>
                <w:highlight w:val="none"/>
              </w:rPr>
            </w:pPr>
          </w:p>
        </w:tc>
        <w:tc>
          <w:tcPr>
            <w:tcW w:w="1623" w:type="dxa"/>
            <w:vMerge w:val="continue"/>
            <w:tcBorders>
              <w:left w:val="single" w:color="auto"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bCs/>
                <w:color w:val="auto"/>
                <w:kern w:val="0"/>
                <w:sz w:val="21"/>
                <w:szCs w:val="21"/>
                <w:highlight w:val="none"/>
              </w:rPr>
            </w:pPr>
          </w:p>
        </w:tc>
        <w:tc>
          <w:tcPr>
            <w:tcW w:w="6379" w:type="dxa"/>
            <w:tcBorders>
              <w:top w:val="single" w:color="auto" w:sz="4" w:space="0"/>
            </w:tcBorders>
            <w:vAlign w:val="center"/>
          </w:tcPr>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其余</w:t>
            </w:r>
            <w:r>
              <w:rPr>
                <w:rFonts w:hint="eastAsia" w:ascii="宋体" w:hAnsi="宋体" w:eastAsia="宋体" w:cs="宋体"/>
                <w:b w:val="0"/>
                <w:bCs w:val="0"/>
                <w:color w:val="auto"/>
                <w:sz w:val="21"/>
                <w:szCs w:val="21"/>
                <w:highlight w:val="none"/>
                <w:lang w:val="en-US" w:eastAsia="zh-CN"/>
              </w:rPr>
              <w:t>拟</w:t>
            </w:r>
            <w:r>
              <w:rPr>
                <w:rFonts w:hint="eastAsia" w:ascii="宋体" w:hAnsi="宋体" w:eastAsia="宋体" w:cs="宋体"/>
                <w:b w:val="0"/>
                <w:bCs w:val="0"/>
                <w:color w:val="auto"/>
                <w:sz w:val="21"/>
                <w:szCs w:val="21"/>
                <w:highlight w:val="none"/>
              </w:rPr>
              <w:t>投入的主要</w:t>
            </w:r>
            <w:r>
              <w:rPr>
                <w:rFonts w:hint="eastAsia" w:ascii="宋体" w:hAnsi="宋体" w:eastAsia="宋体" w:cs="宋体"/>
                <w:b w:val="0"/>
                <w:bCs w:val="0"/>
                <w:color w:val="auto"/>
                <w:sz w:val="21"/>
                <w:szCs w:val="21"/>
                <w:highlight w:val="none"/>
                <w:lang w:eastAsia="zh-CN"/>
              </w:rPr>
              <w:t>检测</w:t>
            </w:r>
            <w:r>
              <w:rPr>
                <w:rFonts w:hint="eastAsia" w:ascii="宋体" w:hAnsi="宋体" w:eastAsia="宋体" w:cs="宋体"/>
                <w:b w:val="0"/>
                <w:bCs w:val="0"/>
                <w:color w:val="auto"/>
                <w:sz w:val="21"/>
                <w:szCs w:val="21"/>
                <w:highlight w:val="none"/>
              </w:rPr>
              <w:t>人员（不含项目负责人、技术负责人）：</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配备的技术人员具有工程类</w:t>
            </w:r>
            <w:r>
              <w:rPr>
                <w:rFonts w:hint="eastAsia" w:ascii="宋体" w:hAnsi="宋体" w:eastAsia="宋体" w:cs="宋体"/>
                <w:color w:val="auto"/>
                <w:kern w:val="0"/>
                <w:sz w:val="21"/>
                <w:szCs w:val="21"/>
                <w:highlight w:val="none"/>
                <w:lang w:eastAsia="zh-CN" w:bidi="ar"/>
              </w:rPr>
              <w:t>中级（或以上）技术职称</w:t>
            </w:r>
            <w:r>
              <w:rPr>
                <w:rFonts w:hint="eastAsia" w:ascii="宋体" w:hAnsi="宋体" w:eastAsia="宋体" w:cs="宋体"/>
                <w:color w:val="auto"/>
                <w:kern w:val="0"/>
                <w:sz w:val="21"/>
                <w:szCs w:val="21"/>
                <w:highlight w:val="none"/>
                <w:lang w:bidi="ar"/>
              </w:rPr>
              <w:t>，且</w:t>
            </w:r>
            <w:r>
              <w:rPr>
                <w:rFonts w:hint="eastAsia" w:ascii="宋体" w:hAnsi="宋体" w:eastAsia="宋体" w:cs="宋体"/>
                <w:b w:val="0"/>
                <w:bCs w:val="0"/>
                <w:color w:val="auto"/>
                <w:sz w:val="21"/>
                <w:szCs w:val="21"/>
                <w:highlight w:val="none"/>
              </w:rPr>
              <w:t>具有建设行政主管部门或其委托的机构、行业协会颁发的检测员证或检测鉴定培训合格证</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color w:val="auto"/>
                <w:kern w:val="0"/>
                <w:sz w:val="21"/>
                <w:szCs w:val="21"/>
                <w:highlight w:val="none"/>
                <w:lang w:bidi="ar"/>
              </w:rPr>
              <w:t>，每人得</w:t>
            </w:r>
            <w:r>
              <w:rPr>
                <w:rFonts w:hint="eastAsia" w:ascii="宋体" w:hAnsi="宋体" w:eastAsia="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bidi="ar"/>
              </w:rPr>
              <w:t>分</w:t>
            </w:r>
            <w:r>
              <w:rPr>
                <w:rFonts w:hint="eastAsia" w:ascii="宋体" w:hAnsi="宋体" w:eastAsia="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本项最多得</w:t>
            </w:r>
            <w:r>
              <w:rPr>
                <w:rFonts w:hint="eastAsia" w:ascii="宋体" w:hAnsi="宋体" w:eastAsia="宋体" w:cs="宋体"/>
                <w:color w:val="auto"/>
                <w:kern w:val="0"/>
                <w:sz w:val="21"/>
                <w:szCs w:val="21"/>
                <w:highlight w:val="none"/>
                <w:lang w:val="en-US" w:eastAsia="zh-CN" w:bidi="ar"/>
              </w:rPr>
              <w:t>10</w:t>
            </w:r>
            <w:r>
              <w:rPr>
                <w:rFonts w:hint="eastAsia" w:ascii="宋体" w:hAnsi="宋体" w:eastAsia="宋体" w:cs="宋体"/>
                <w:color w:val="auto"/>
                <w:kern w:val="0"/>
                <w:sz w:val="21"/>
                <w:szCs w:val="21"/>
                <w:highlight w:val="none"/>
                <w:lang w:bidi="ar"/>
              </w:rPr>
              <w:t>分。</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注：</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须提供身份证、职称证</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检测员证或检测培训合格证、20</w:t>
            </w:r>
            <w:r>
              <w:rPr>
                <w:rFonts w:hint="eastAsia" w:ascii="宋体" w:hAnsi="宋体" w:eastAsia="宋体" w:cs="宋体"/>
                <w:b w:val="0"/>
                <w:bCs w:val="0"/>
                <w:color w:val="auto"/>
                <w:sz w:val="21"/>
                <w:szCs w:val="21"/>
                <w:highlight w:val="none"/>
                <w:lang w:val="en-US" w:eastAsia="zh-CN"/>
              </w:rPr>
              <w:t>24</w:t>
            </w:r>
            <w:r>
              <w:rPr>
                <w:rFonts w:hint="eastAsia" w:ascii="宋体" w:hAnsi="宋体" w:eastAsia="宋体" w:cs="宋体"/>
                <w:b w:val="0"/>
                <w:bCs w:val="0"/>
                <w:color w:val="auto"/>
                <w:sz w:val="21"/>
                <w:szCs w:val="21"/>
                <w:highlight w:val="none"/>
              </w:rPr>
              <w:t>年</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月社保等证明材料</w:t>
            </w:r>
            <w:r>
              <w:rPr>
                <w:rFonts w:hint="eastAsia" w:ascii="宋体" w:hAnsi="宋体" w:eastAsia="宋体" w:cs="宋体"/>
                <w:b w:val="0"/>
                <w:bCs w:val="0"/>
                <w:color w:val="auto"/>
                <w:sz w:val="21"/>
                <w:szCs w:val="21"/>
                <w:highlight w:val="none"/>
                <w:lang w:eastAsia="zh-CN"/>
              </w:rPr>
              <w:t>扫描件</w:t>
            </w:r>
            <w:r>
              <w:rPr>
                <w:rFonts w:hint="eastAsia" w:ascii="宋体" w:hAnsi="宋体" w:eastAsia="宋体" w:cs="宋体"/>
                <w:b w:val="0"/>
                <w:bCs w:val="0"/>
                <w:color w:val="auto"/>
                <w:sz w:val="21"/>
                <w:szCs w:val="21"/>
                <w:highlight w:val="none"/>
              </w:rPr>
              <w:t>。未按要求提供或不符合以上要求的不得分。</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color w:val="auto"/>
                <w:sz w:val="21"/>
                <w:szCs w:val="21"/>
                <w:highlight w:val="none"/>
              </w:rPr>
              <w:t>如联合体投标的，</w:t>
            </w:r>
            <w:r>
              <w:rPr>
                <w:rFonts w:hint="eastAsia" w:ascii="宋体" w:hAnsi="宋体" w:eastAsia="宋体" w:cs="宋体"/>
                <w:b w:val="0"/>
                <w:bCs w:val="0"/>
                <w:color w:val="auto"/>
                <w:sz w:val="21"/>
                <w:szCs w:val="21"/>
                <w:highlight w:val="none"/>
              </w:rPr>
              <w:t>其余</w:t>
            </w:r>
            <w:r>
              <w:rPr>
                <w:rFonts w:hint="eastAsia" w:ascii="宋体" w:hAnsi="宋体" w:eastAsia="宋体" w:cs="宋体"/>
                <w:b w:val="0"/>
                <w:bCs w:val="0"/>
                <w:color w:val="auto"/>
                <w:sz w:val="21"/>
                <w:szCs w:val="21"/>
                <w:highlight w:val="none"/>
                <w:lang w:val="en-US" w:eastAsia="zh-CN"/>
              </w:rPr>
              <w:t>拟</w:t>
            </w:r>
            <w:r>
              <w:rPr>
                <w:rFonts w:hint="eastAsia" w:ascii="宋体" w:hAnsi="宋体" w:eastAsia="宋体" w:cs="宋体"/>
                <w:b w:val="0"/>
                <w:bCs w:val="0"/>
                <w:color w:val="auto"/>
                <w:sz w:val="21"/>
                <w:szCs w:val="21"/>
                <w:highlight w:val="none"/>
              </w:rPr>
              <w:t>投入的主要</w:t>
            </w:r>
            <w:r>
              <w:rPr>
                <w:rFonts w:hint="eastAsia" w:ascii="宋体" w:hAnsi="宋体" w:eastAsia="宋体" w:cs="宋体"/>
                <w:b w:val="0"/>
                <w:bCs w:val="0"/>
                <w:color w:val="auto"/>
                <w:sz w:val="21"/>
                <w:szCs w:val="21"/>
                <w:highlight w:val="none"/>
                <w:lang w:eastAsia="zh-CN"/>
              </w:rPr>
              <w:t>检测</w:t>
            </w:r>
            <w:r>
              <w:rPr>
                <w:rFonts w:hint="eastAsia" w:ascii="宋体" w:hAnsi="宋体" w:eastAsia="宋体" w:cs="宋体"/>
                <w:b w:val="0"/>
                <w:bCs w:val="0"/>
                <w:color w:val="auto"/>
                <w:sz w:val="21"/>
                <w:szCs w:val="21"/>
                <w:highlight w:val="none"/>
              </w:rPr>
              <w:t>人员（不含项目负责人、技术负责人）</w:t>
            </w:r>
            <w:r>
              <w:rPr>
                <w:rFonts w:hint="eastAsia" w:ascii="宋体" w:hAnsi="宋体" w:eastAsia="宋体" w:cs="宋体"/>
                <w:color w:val="auto"/>
                <w:sz w:val="21"/>
                <w:szCs w:val="21"/>
                <w:highlight w:val="none"/>
              </w:rPr>
              <w:t>以联合体各方资料累计评审。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428" w:type="dxa"/>
            <w:vMerge w:val="continue"/>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1063" w:type="dxa"/>
            <w:vMerge w:val="continue"/>
            <w:tcBorders>
              <w:right w:val="single" w:color="auto" w:sz="4" w:space="0"/>
            </w:tcBorders>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bCs/>
                <w:color w:val="auto"/>
                <w:kern w:val="0"/>
                <w:sz w:val="21"/>
                <w:szCs w:val="21"/>
                <w:highlight w:val="none"/>
              </w:rPr>
            </w:pPr>
          </w:p>
        </w:tc>
        <w:tc>
          <w:tcPr>
            <w:tcW w:w="1623" w:type="dxa"/>
            <w:tcBorders>
              <w:left w:val="single" w:color="auto"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rPr>
              <w:t>拟投入仪器设备计划（</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tc>
        <w:tc>
          <w:tcPr>
            <w:tcW w:w="6379" w:type="dxa"/>
            <w:tcBorders>
              <w:top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拟投入的设备符合《最低设备要求表》中的要求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根据设备情况进行评分：</w:t>
            </w:r>
          </w:p>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优：设备齐全、年检合格，并且全部设备属于自有，得</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良：设备齐全，年检合格，80％（含80％）以上设备属于自有，得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中：设备齐全，年检合格，60％（含</w:t>
            </w:r>
            <w:r>
              <w:rPr>
                <w:rFonts w:hint="eastAsia" w:ascii="宋体" w:hAnsi="宋体" w:eastAsia="宋体" w:cs="宋体"/>
                <w:color w:val="auto"/>
                <w:sz w:val="21"/>
                <w:szCs w:val="21"/>
                <w:highlight w:val="none"/>
                <w:lang w:val="en-US" w:eastAsia="zh-CN"/>
              </w:rPr>
              <w:t>60</w:t>
            </w:r>
            <w:r>
              <w:rPr>
                <w:rFonts w:hint="eastAsia" w:ascii="宋体" w:hAnsi="宋体" w:eastAsia="宋体" w:cs="宋体"/>
                <w:color w:val="auto"/>
                <w:sz w:val="21"/>
                <w:szCs w:val="21"/>
                <w:highlight w:val="none"/>
              </w:rPr>
              <w:t>％）～80％（不含80％）设备属于自有，得1分；</w:t>
            </w:r>
          </w:p>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差：设备齐全，年检合格，60％（不含60％）以下设备属于自有，不得分。</w:t>
            </w:r>
          </w:p>
          <w:p>
            <w:pPr>
              <w:keepNext w:val="0"/>
              <w:keepLines w:val="0"/>
              <w:suppressLineNumbers w:val="0"/>
              <w:snapToGrid/>
              <w:spacing w:before="0" w:beforeAutospacing="0" w:after="0" w:afterAutospacing="0" w:line="240" w:lineRule="auto"/>
              <w:ind w:left="0" w:right="0"/>
              <w:jc w:val="lef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val="en-US" w:eastAsia="zh-CN"/>
              </w:rPr>
              <w:t>不满足上述情况不得分。</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注：</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投标人须同时提供</w:t>
            </w:r>
            <w:r>
              <w:rPr>
                <w:rFonts w:hint="eastAsia" w:ascii="宋体" w:hAnsi="宋体" w:eastAsia="宋体" w:cs="宋体"/>
                <w:b w:val="0"/>
                <w:bCs w:val="0"/>
                <w:color w:val="auto"/>
                <w:sz w:val="21"/>
                <w:szCs w:val="21"/>
                <w:highlight w:val="none"/>
                <w:lang w:val="en-US" w:eastAsia="zh-CN"/>
              </w:rPr>
              <w:t>①</w:t>
            </w:r>
            <w:r>
              <w:rPr>
                <w:rFonts w:hint="eastAsia" w:ascii="宋体" w:hAnsi="宋体" w:eastAsia="宋体" w:cs="宋体"/>
                <w:b w:val="0"/>
                <w:bCs w:val="0"/>
                <w:color w:val="auto"/>
                <w:sz w:val="21"/>
                <w:szCs w:val="21"/>
                <w:highlight w:val="none"/>
              </w:rPr>
              <w:t>自有设备提供购置发票（或租赁设备</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rPr>
              <w:t>租赁合同）和</w:t>
            </w:r>
            <w:r>
              <w:rPr>
                <w:rFonts w:hint="eastAsia" w:ascii="宋体" w:hAnsi="宋体" w:eastAsia="宋体" w:cs="宋体"/>
                <w:b w:val="0"/>
                <w:bCs w:val="0"/>
                <w:color w:val="auto"/>
                <w:sz w:val="21"/>
                <w:szCs w:val="21"/>
                <w:highlight w:val="none"/>
                <w:lang w:val="en-US" w:eastAsia="zh-CN"/>
              </w:rPr>
              <w:t>②</w:t>
            </w:r>
            <w:r>
              <w:rPr>
                <w:rFonts w:hint="eastAsia" w:ascii="宋体" w:hAnsi="宋体" w:eastAsia="宋体" w:cs="宋体"/>
                <w:b w:val="0"/>
                <w:bCs w:val="0"/>
                <w:color w:val="auto"/>
                <w:sz w:val="21"/>
                <w:szCs w:val="21"/>
                <w:highlight w:val="none"/>
              </w:rPr>
              <w:t>仪器设备检定或标定证书</w:t>
            </w:r>
            <w:r>
              <w:rPr>
                <w:rFonts w:hint="eastAsia" w:ascii="宋体" w:hAnsi="宋体" w:cs="宋体"/>
                <w:b w:val="0"/>
                <w:bCs w:val="0"/>
                <w:color w:val="auto"/>
                <w:sz w:val="21"/>
                <w:szCs w:val="21"/>
                <w:highlight w:val="none"/>
                <w:lang w:val="en-US" w:eastAsia="zh-CN"/>
              </w:rPr>
              <w:t>或校准证书</w:t>
            </w:r>
            <w:r>
              <w:rPr>
                <w:rFonts w:hint="eastAsia" w:ascii="宋体" w:hAnsi="宋体" w:eastAsia="宋体" w:cs="宋体"/>
                <w:b w:val="0"/>
                <w:bCs w:val="0"/>
                <w:color w:val="auto"/>
                <w:sz w:val="21"/>
                <w:szCs w:val="21"/>
                <w:highlight w:val="none"/>
              </w:rPr>
              <w:t>相关证明材料。《最低设备要求表》</w:t>
            </w:r>
            <w:r>
              <w:rPr>
                <w:rFonts w:hint="eastAsia" w:ascii="宋体" w:hAnsi="宋体" w:eastAsia="宋体" w:cs="宋体"/>
                <w:b w:val="0"/>
                <w:bCs w:val="0"/>
                <w:color w:val="auto"/>
                <w:sz w:val="21"/>
                <w:szCs w:val="21"/>
                <w:highlight w:val="none"/>
                <w:lang w:val="en-US" w:eastAsia="zh-CN"/>
              </w:rPr>
              <w:t>详见附表。</w:t>
            </w:r>
          </w:p>
          <w:p>
            <w:pPr>
              <w:pStyle w:val="23"/>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color w:val="auto"/>
                <w:sz w:val="21"/>
                <w:szCs w:val="21"/>
                <w:highlight w:val="none"/>
              </w:rPr>
              <w:t>如联合体投标的，拟投入仪器设备以联合体各方资料累计评审。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428" w:type="dxa"/>
            <w:vMerge w:val="restart"/>
            <w:tcBorders>
              <w:right w:val="single" w:color="auto" w:sz="4" w:space="0"/>
            </w:tcBorders>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w:t>
            </w:r>
          </w:p>
        </w:tc>
        <w:tc>
          <w:tcPr>
            <w:tcW w:w="1063" w:type="dxa"/>
            <w:vMerge w:val="restart"/>
            <w:tcBorders>
              <w:left w:val="single" w:color="auto" w:sz="4" w:space="0"/>
            </w:tcBorders>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服务</w:t>
            </w:r>
            <w:r>
              <w:rPr>
                <w:rFonts w:hint="eastAsia" w:ascii="宋体" w:hAnsi="宋体" w:eastAsia="宋体" w:cs="宋体"/>
                <w:b/>
                <w:color w:val="auto"/>
                <w:sz w:val="21"/>
                <w:szCs w:val="21"/>
                <w:highlight w:val="none"/>
              </w:rPr>
              <w:t>方案</w:t>
            </w:r>
          </w:p>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30</w:t>
            </w:r>
            <w:r>
              <w:rPr>
                <w:rFonts w:hint="eastAsia" w:ascii="宋体" w:hAnsi="宋体" w:eastAsia="宋体" w:cs="宋体"/>
                <w:b/>
                <w:color w:val="auto"/>
                <w:sz w:val="21"/>
                <w:szCs w:val="21"/>
                <w:highlight w:val="none"/>
              </w:rPr>
              <w:t>分)</w:t>
            </w:r>
          </w:p>
        </w:tc>
        <w:tc>
          <w:tcPr>
            <w:tcW w:w="1623" w:type="dxa"/>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rPr>
              <w:t>检测方案（1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c>
          <w:tcPr>
            <w:tcW w:w="6379" w:type="dxa"/>
            <w:vAlign w:val="center"/>
          </w:tcPr>
          <w:p>
            <w:pPr>
              <w:pStyle w:val="26"/>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优：（1）检测方案详细、具体，内容齐全，能满足本工程提出的所有项目；（2）检测数据能实时上传政府的监管系统；（3）有合理可行的保证通过相关验收、满足工程进度确保措施，得（</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pStyle w:val="26"/>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良：（1）检测方案较详细、较具体，内容较齐全；（2）检测数据能实时上传政府的监管系统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）有比较可行的保证通过相关验收、满足工程进度确保措施，得，得（</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w:t>
            </w:r>
          </w:p>
          <w:p>
            <w:pPr>
              <w:pStyle w:val="26"/>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中：（1）检测方案基本内容满足要求，方法基本符合规范要求；（2）检测数据能实时上传政府的监管系统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）有能通过相关验收、满足工程进度的确保措施，得[</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差：检测方法不能满足检测要求或未提供检测方案，不得分。</w:t>
            </w:r>
          </w:p>
          <w:p>
            <w:pPr>
              <w:pStyle w:val="15"/>
              <w:keepNext w:val="0"/>
              <w:keepLines w:val="0"/>
              <w:suppressLineNumbers w:val="0"/>
              <w:spacing w:before="0" w:beforeAutospacing="0" w:afterAutospacing="0" w:line="360" w:lineRule="auto"/>
              <w:ind w:left="0" w:right="0" w:firstLine="210"/>
              <w:jc w:val="lef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（方案中关于“检测数据能上传至主管部门监管系统”，需提供系统截图或其他能作为证明材料的资料。）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428" w:type="dxa"/>
            <w:vMerge w:val="continue"/>
            <w:tcBorders>
              <w:right w:val="single" w:color="auto" w:sz="4" w:space="0"/>
            </w:tcBorders>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p>
        </w:tc>
        <w:tc>
          <w:tcPr>
            <w:tcW w:w="1063" w:type="dxa"/>
            <w:vMerge w:val="continue"/>
            <w:tcBorders>
              <w:left w:val="single" w:color="auto" w:sz="4" w:space="0"/>
            </w:tcBorders>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p>
        </w:tc>
        <w:tc>
          <w:tcPr>
            <w:tcW w:w="1623" w:type="dxa"/>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对项目的调查与结构重点分析（</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tc>
        <w:tc>
          <w:tcPr>
            <w:tcW w:w="6379" w:type="dxa"/>
            <w:vAlign w:val="center"/>
          </w:tcPr>
          <w:p>
            <w:pPr>
              <w:pStyle w:val="15"/>
              <w:keepNext w:val="0"/>
              <w:keepLines w:val="0"/>
              <w:suppressLineNumbers w:val="0"/>
              <w:spacing w:before="0" w:beforeAutospacing="0" w:afterAutospacing="0" w:line="360" w:lineRule="auto"/>
              <w:ind w:left="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优：能正确认识检测工作的特点，着重分析本工程检测工作的重点和难点，提出切实可行的解决方案，得（</w:t>
            </w:r>
            <w:r>
              <w:rPr>
                <w:rFonts w:hint="eastAsia" w:ascii="宋体" w:hAnsi="宋体" w:eastAsia="宋体" w:cs="宋体"/>
                <w:color w:val="auto"/>
                <w:sz w:val="21"/>
                <w:szCs w:val="21"/>
                <w:highlight w:val="none"/>
                <w:lang w:val="en-US" w:eastAsia="zh-CN"/>
              </w:rPr>
              <w:t>12-15</w:t>
            </w:r>
            <w:r>
              <w:rPr>
                <w:rFonts w:hint="eastAsia" w:ascii="宋体" w:hAnsi="宋体" w:eastAsia="宋体" w:cs="宋体"/>
                <w:color w:val="auto"/>
                <w:sz w:val="21"/>
                <w:szCs w:val="21"/>
                <w:highlight w:val="none"/>
              </w:rPr>
              <w:t>]分；</w:t>
            </w:r>
          </w:p>
          <w:p>
            <w:pPr>
              <w:pStyle w:val="15"/>
              <w:keepNext w:val="0"/>
              <w:keepLines w:val="0"/>
              <w:suppressLineNumbers w:val="0"/>
              <w:spacing w:before="0" w:beforeAutospacing="0" w:afterAutospacing="0" w:line="360" w:lineRule="auto"/>
              <w:ind w:left="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良：能正确认识检测工作的特点，有分析本工程检测工作的重点和难点，提出比较可行的解决方案，得（</w:t>
            </w:r>
            <w:r>
              <w:rPr>
                <w:rFonts w:hint="eastAsia" w:ascii="宋体" w:hAnsi="宋体" w:eastAsia="宋体" w:cs="宋体"/>
                <w:color w:val="auto"/>
                <w:sz w:val="21"/>
                <w:szCs w:val="21"/>
                <w:highlight w:val="none"/>
                <w:lang w:val="en-US" w:eastAsia="zh-CN"/>
              </w:rPr>
              <w:t>9-12</w:t>
            </w:r>
            <w:r>
              <w:rPr>
                <w:rFonts w:hint="eastAsia" w:ascii="宋体" w:hAnsi="宋体" w:eastAsia="宋体" w:cs="宋体"/>
                <w:color w:val="auto"/>
                <w:sz w:val="21"/>
                <w:szCs w:val="21"/>
                <w:highlight w:val="none"/>
              </w:rPr>
              <w:t>]分；</w:t>
            </w:r>
          </w:p>
          <w:p>
            <w:pPr>
              <w:pStyle w:val="15"/>
              <w:keepNext w:val="0"/>
              <w:keepLines w:val="0"/>
              <w:suppressLineNumbers w:val="0"/>
              <w:spacing w:before="0" w:beforeAutospacing="0" w:afterAutospacing="0" w:line="360" w:lineRule="auto"/>
              <w:ind w:left="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中：认识检测工作的特点，有分析本工程检测工作的重点和难点，解决方案基本可行，得[</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p>
            <w:pPr>
              <w:pStyle w:val="15"/>
              <w:keepNext w:val="0"/>
              <w:keepLines w:val="0"/>
              <w:suppressLineNumbers w:val="0"/>
              <w:spacing w:before="0" w:beforeAutospacing="0" w:afterAutospacing="0" w:line="360" w:lineRule="auto"/>
              <w:ind w:left="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差：不能满足上述要求或未提供的，不得分。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8" w:type="dxa"/>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w:t>
            </w:r>
          </w:p>
        </w:tc>
        <w:tc>
          <w:tcPr>
            <w:tcW w:w="2686" w:type="dxa"/>
            <w:gridSpan w:val="2"/>
            <w:vAlign w:val="center"/>
          </w:tcPr>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投标报价得分</w:t>
            </w:r>
          </w:p>
          <w:p>
            <w:pPr>
              <w:keepNext w:val="0"/>
              <w:keepLines w:val="0"/>
              <w:suppressLineNumbers w:val="0"/>
              <w:tabs>
                <w:tab w:val="left" w:pos="720"/>
              </w:tabs>
              <w:snapToGrid w:val="0"/>
              <w:spacing w:before="0" w:beforeAutospacing="0" w:after="0" w:afterAutospacing="0" w:line="360" w:lineRule="auto"/>
              <w:ind w:left="0" w:right="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w:t>
            </w:r>
            <w:r>
              <w:rPr>
                <w:rFonts w:hint="eastAsia" w:ascii="宋体" w:hAnsi="宋体" w:eastAsia="宋体" w:cs="宋体"/>
                <w:b/>
                <w:bCs/>
                <w:color w:val="auto"/>
                <w:kern w:val="0"/>
                <w:sz w:val="21"/>
                <w:szCs w:val="21"/>
                <w:highlight w:val="none"/>
                <w:lang w:val="en-US" w:eastAsia="zh-CN"/>
              </w:rPr>
              <w:t>20</w:t>
            </w:r>
            <w:r>
              <w:rPr>
                <w:rFonts w:hint="eastAsia" w:ascii="宋体" w:hAnsi="宋体" w:eastAsia="宋体" w:cs="宋体"/>
                <w:b/>
                <w:bCs/>
                <w:color w:val="auto"/>
                <w:kern w:val="0"/>
                <w:sz w:val="21"/>
                <w:szCs w:val="21"/>
                <w:highlight w:val="none"/>
              </w:rPr>
              <w:t>分）</w:t>
            </w:r>
          </w:p>
        </w:tc>
        <w:tc>
          <w:tcPr>
            <w:tcW w:w="6379" w:type="dxa"/>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以评标基准价作为计算各有效报价得分的基础，当有效投标报价等于评标基准价时得满分</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分；有效投标报价与评标</w:t>
            </w:r>
            <w:r>
              <w:rPr>
                <w:rFonts w:hint="eastAsia" w:ascii="宋体" w:hAnsi="宋体" w:eastAsia="宋体" w:cs="宋体"/>
                <w:color w:val="auto"/>
                <w:sz w:val="21"/>
                <w:szCs w:val="21"/>
                <w:highlight w:val="none"/>
                <w:lang w:eastAsia="zh-CN"/>
              </w:rPr>
              <w:t>基准</w:t>
            </w:r>
            <w:r>
              <w:rPr>
                <w:rFonts w:hint="eastAsia" w:ascii="宋体" w:hAnsi="宋体" w:eastAsia="宋体" w:cs="宋体"/>
                <w:color w:val="auto"/>
                <w:sz w:val="21"/>
                <w:szCs w:val="21"/>
                <w:highlight w:val="none"/>
              </w:rPr>
              <w:t>价相比，每上偏 1 %扣</w:t>
            </w:r>
            <w:r>
              <w:rPr>
                <w:rFonts w:hint="eastAsia" w:ascii="宋体" w:hAnsi="宋体" w:eastAsia="宋体" w:cs="宋体"/>
                <w:color w:val="auto"/>
                <w:sz w:val="21"/>
                <w:szCs w:val="21"/>
                <w:highlight w:val="none"/>
                <w:u w:val="single"/>
              </w:rPr>
              <w:t xml:space="preserve"> 1.0 </w:t>
            </w:r>
            <w:r>
              <w:rPr>
                <w:rFonts w:hint="eastAsia" w:ascii="宋体" w:hAnsi="宋体" w:eastAsia="宋体" w:cs="宋体"/>
                <w:color w:val="auto"/>
                <w:sz w:val="21"/>
                <w:szCs w:val="21"/>
                <w:highlight w:val="none"/>
              </w:rPr>
              <w:t>分，每下偏 1 %扣</w:t>
            </w:r>
            <w:r>
              <w:rPr>
                <w:rFonts w:hint="eastAsia" w:ascii="宋体" w:hAnsi="宋体" w:eastAsia="宋体" w:cs="宋体"/>
                <w:color w:val="auto"/>
                <w:sz w:val="21"/>
                <w:szCs w:val="21"/>
                <w:highlight w:val="none"/>
                <w:u w:val="single"/>
              </w:rPr>
              <w:t xml:space="preserve"> 0.5</w:t>
            </w:r>
            <w:r>
              <w:rPr>
                <w:rFonts w:hint="eastAsia" w:ascii="宋体" w:hAnsi="宋体" w:eastAsia="宋体" w:cs="宋体"/>
                <w:color w:val="auto"/>
                <w:sz w:val="21"/>
                <w:szCs w:val="21"/>
                <w:highlight w:val="none"/>
              </w:rPr>
              <w:t>分。扣至0分为止。</w:t>
            </w:r>
          </w:p>
        </w:tc>
      </w:tr>
    </w:tbl>
    <w:p>
      <w:pPr>
        <w:spacing w:before="120" w:beforeLines="50" w:line="288" w:lineRule="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备注：</w:t>
      </w:r>
    </w:p>
    <w:p>
      <w:pPr>
        <w:spacing w:line="360" w:lineRule="auto"/>
        <w:ind w:firstLine="420" w:firstLineChars="200"/>
        <w:rPr>
          <w:rFonts w:hint="eastAsia" w:asciiTheme="minorEastAsia" w:hAnsiTheme="minorEastAsia" w:eastAsiaTheme="minorEastAsia" w:cstheme="minorEastAsia"/>
          <w:color w:val="auto"/>
          <w:kern w:val="0"/>
          <w:szCs w:val="21"/>
          <w:highlight w:val="none"/>
          <w:lang w:eastAsia="zh-CN"/>
        </w:rPr>
      </w:pPr>
      <w:bookmarkStart w:id="95" w:name="_Hlk34384895"/>
      <w:r>
        <w:rPr>
          <w:rFonts w:hint="eastAsia" w:asciiTheme="minorEastAsia" w:hAnsiTheme="minorEastAsia" w:eastAsiaTheme="minorEastAsia" w:cstheme="minorEastAsia"/>
          <w:color w:val="auto"/>
          <w:kern w:val="0"/>
          <w:szCs w:val="21"/>
          <w:highlight w:val="none"/>
          <w:lang w:val="en-US" w:eastAsia="zh-CN"/>
        </w:rPr>
        <w:t>1.</w:t>
      </w:r>
      <w:r>
        <w:rPr>
          <w:rFonts w:hint="eastAsia" w:asciiTheme="minorEastAsia" w:hAnsiTheme="minorEastAsia" w:eastAsiaTheme="minorEastAsia" w:cstheme="minorEastAsia"/>
          <w:color w:val="auto"/>
          <w:kern w:val="0"/>
          <w:szCs w:val="21"/>
          <w:highlight w:val="none"/>
          <w:lang w:eastAsia="zh-CN"/>
        </w:rPr>
        <w:t>不符合上述条件或未提供上述资料的不计分。</w:t>
      </w:r>
    </w:p>
    <w:p>
      <w:pPr>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lang w:val="en-US" w:eastAsia="zh-CN"/>
        </w:rPr>
        <w:t>2</w:t>
      </w:r>
      <w:r>
        <w:rPr>
          <w:rFonts w:hint="eastAsia" w:asciiTheme="minorEastAsia" w:hAnsiTheme="minorEastAsia" w:eastAsiaTheme="minorEastAsia" w:cstheme="minorEastAsia"/>
          <w:color w:val="auto"/>
          <w:kern w:val="0"/>
          <w:szCs w:val="21"/>
          <w:highlight w:val="none"/>
        </w:rPr>
        <w:t>.</w:t>
      </w:r>
      <w:r>
        <w:rPr>
          <w:rFonts w:hint="eastAsia" w:asciiTheme="minorEastAsia" w:hAnsiTheme="minorEastAsia" w:eastAsiaTheme="minorEastAsia" w:cstheme="minorEastAsia"/>
          <w:color w:val="auto"/>
          <w:kern w:val="0"/>
          <w:szCs w:val="21"/>
          <w:highlight w:val="none"/>
          <w:lang w:val="en-US" w:eastAsia="zh-CN"/>
        </w:rPr>
        <w:t>资信业绩部分、服务方案部分、投标报价部分：</w:t>
      </w:r>
      <w:r>
        <w:rPr>
          <w:rFonts w:hint="eastAsia" w:asciiTheme="minorEastAsia" w:hAnsiTheme="minorEastAsia" w:eastAsiaTheme="minorEastAsia" w:cstheme="minorEastAsia"/>
          <w:color w:val="auto"/>
          <w:kern w:val="0"/>
          <w:szCs w:val="21"/>
          <w:highlight w:val="none"/>
        </w:rPr>
        <w:t>评分如出现小数点，则四舍五入后保留小数点后二位。</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lang w:val="en-US" w:eastAsia="zh-CN"/>
        </w:rPr>
        <w:t>3.汇总得分：</w:t>
      </w:r>
      <w:r>
        <w:rPr>
          <w:rFonts w:hint="eastAsia" w:asciiTheme="minorEastAsia" w:hAnsiTheme="minorEastAsia" w:eastAsiaTheme="minorEastAsia" w:cstheme="minorEastAsia"/>
          <w:color w:val="auto"/>
          <w:szCs w:val="21"/>
          <w:highlight w:val="none"/>
        </w:rPr>
        <w:t>所有评委每个分项分数汇总后的算术平均值为投标人的最终得分。分数出现小数点，保留小数点后二位小数，第三位小数四舍五入。</w:t>
      </w:r>
    </w:p>
    <w:p>
      <w:pPr>
        <w:spacing w:line="360" w:lineRule="auto"/>
        <w:ind w:firstLine="420" w:firstLineChars="200"/>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kern w:val="0"/>
          <w:szCs w:val="21"/>
          <w:highlight w:val="none"/>
          <w:lang w:val="en-US" w:eastAsia="zh-CN"/>
        </w:rPr>
        <w:t>4</w:t>
      </w:r>
      <w:r>
        <w:rPr>
          <w:rFonts w:hint="eastAsia" w:asciiTheme="minorEastAsia" w:hAnsiTheme="minorEastAsia" w:eastAsiaTheme="minorEastAsia" w:cstheme="minorEastAsia"/>
          <w:color w:val="auto"/>
          <w:kern w:val="0"/>
          <w:szCs w:val="21"/>
          <w:highlight w:val="none"/>
        </w:rPr>
        <w:t>.</w:t>
      </w:r>
      <w:r>
        <w:rPr>
          <w:rFonts w:hint="eastAsia" w:asciiTheme="minorEastAsia" w:hAnsiTheme="minorEastAsia" w:eastAsiaTheme="minorEastAsia" w:cstheme="minorEastAsia"/>
          <w:b/>
          <w:color w:val="auto"/>
          <w:highlight w:val="none"/>
        </w:rPr>
        <w:t>评分范围“[ ]”表示包含区间边界数值，“（）”表示不包含区间边界数值。</w:t>
      </w:r>
      <w:bookmarkEnd w:id="95"/>
    </w:p>
    <w:bookmarkEnd w:id="94"/>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tabs>
          <w:tab w:val="left" w:pos="0"/>
          <w:tab w:val="left" w:pos="360"/>
          <w:tab w:val="left" w:pos="1260"/>
          <w:tab w:val="left" w:pos="1440"/>
        </w:tabs>
        <w:adjustRightInd w:val="0"/>
        <w:snapToGrid w:val="0"/>
        <w:spacing w:line="360" w:lineRule="auto"/>
        <w:ind w:firstLine="480" w:firstLineChars="200"/>
        <w:jc w:val="center"/>
        <w:rPr>
          <w:highlight w:val="none"/>
        </w:rPr>
      </w:pPr>
      <w:r>
        <w:rPr>
          <w:rFonts w:hint="eastAsia" w:ascii="宋体" w:hAnsi="宋体" w:eastAsia="宋体" w:cs="宋体"/>
          <w:snapToGrid w:val="0"/>
          <w:color w:val="auto"/>
          <w:kern w:val="28"/>
          <w:sz w:val="24"/>
          <w:szCs w:val="24"/>
          <w:highlight w:val="none"/>
          <w:lang w:bidi="ar"/>
        </w:rPr>
        <w:t>最低设备要求表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3047"/>
        <w:gridCol w:w="253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snapToGrid w:val="0"/>
                <w:color w:val="auto"/>
                <w:kern w:val="28"/>
                <w:sz w:val="24"/>
                <w:szCs w:val="24"/>
                <w:highlight w:val="none"/>
                <w:lang w:bidi="ar"/>
              </w:rPr>
            </w:pPr>
            <w:r>
              <w:rPr>
                <w:rFonts w:hint="eastAsia" w:ascii="宋体" w:hAnsi="宋体" w:eastAsia="宋体" w:cs="宋体"/>
                <w:snapToGrid w:val="0"/>
                <w:color w:val="auto"/>
                <w:kern w:val="28"/>
                <w:sz w:val="24"/>
                <w:szCs w:val="24"/>
                <w:highlight w:val="none"/>
                <w:lang w:bidi="ar"/>
              </w:rPr>
              <w:t>序号</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snapToGrid w:val="0"/>
                <w:color w:val="auto"/>
                <w:kern w:val="28"/>
                <w:sz w:val="24"/>
                <w:szCs w:val="24"/>
                <w:highlight w:val="none"/>
                <w:lang w:bidi="ar"/>
              </w:rPr>
            </w:pPr>
            <w:r>
              <w:rPr>
                <w:rFonts w:hint="eastAsia" w:ascii="宋体" w:hAnsi="宋体" w:eastAsia="宋体" w:cs="宋体"/>
                <w:snapToGrid w:val="0"/>
                <w:color w:val="auto"/>
                <w:kern w:val="28"/>
                <w:sz w:val="24"/>
                <w:szCs w:val="24"/>
                <w:highlight w:val="none"/>
                <w:lang w:bidi="ar"/>
              </w:rPr>
              <w:t>设备名称</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snapToGrid w:val="0"/>
                <w:color w:val="auto"/>
                <w:kern w:val="28"/>
                <w:sz w:val="24"/>
                <w:szCs w:val="24"/>
                <w:highlight w:val="none"/>
                <w:lang w:bidi="ar"/>
              </w:rPr>
            </w:pPr>
            <w:r>
              <w:rPr>
                <w:rFonts w:hint="eastAsia" w:ascii="宋体" w:hAnsi="宋体" w:eastAsia="宋体" w:cs="宋体"/>
                <w:snapToGrid w:val="0"/>
                <w:color w:val="auto"/>
                <w:kern w:val="28"/>
                <w:sz w:val="24"/>
                <w:szCs w:val="24"/>
                <w:highlight w:val="none"/>
                <w:lang w:bidi="ar"/>
              </w:rPr>
              <w:t>单位</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snapToGrid w:val="0"/>
                <w:color w:val="auto"/>
                <w:kern w:val="28"/>
                <w:sz w:val="24"/>
                <w:szCs w:val="24"/>
                <w:highlight w:val="none"/>
                <w:lang w:bidi="ar"/>
              </w:rPr>
            </w:pPr>
            <w:r>
              <w:rPr>
                <w:rFonts w:hint="eastAsia" w:ascii="宋体" w:hAnsi="宋体" w:eastAsia="宋体" w:cs="宋体"/>
                <w:snapToGrid w:val="0"/>
                <w:color w:val="auto"/>
                <w:kern w:val="28"/>
                <w:sz w:val="24"/>
                <w:szCs w:val="24"/>
                <w:highlight w:val="none"/>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1</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default" w:ascii="宋体" w:hAnsi="宋体" w:eastAsia="宋体" w:cs="宋体"/>
                <w:color w:val="auto"/>
                <w:kern w:val="0"/>
                <w:sz w:val="24"/>
                <w:szCs w:val="24"/>
                <w:highlight w:val="none"/>
              </w:rPr>
              <w:t>桥梁挠度检测仪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default" w:ascii="宋体" w:hAnsi="宋体" w:eastAsia="宋体" w:cs="宋体"/>
                <w:color w:val="auto"/>
                <w:kern w:val="0"/>
                <w:sz w:val="24"/>
                <w:szCs w:val="24"/>
                <w:highlight w:val="none"/>
              </w:rPr>
              <w:t>数据采集和信号分析仪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3</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超声基桩检测仪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4</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基桩动测仪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5</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标线逆反射系数测定仪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微机控制万能试验机</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回弹仪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钢筋扫描仪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9</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非金属超声波检测仪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10</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激光测距仪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r>
    </w:tbl>
    <w:p>
      <w:pPr>
        <w:rPr>
          <w:rFonts w:hint="eastAsia" w:asciiTheme="majorEastAsia" w:hAnsiTheme="majorEastAsia" w:eastAsiaTheme="majorEastAsia" w:cstheme="majorEastAsia"/>
          <w:color w:val="auto"/>
          <w:sz w:val="24"/>
          <w:szCs w:val="24"/>
          <w:highlight w:val="none"/>
        </w:rPr>
      </w:pPr>
    </w:p>
    <w:p>
      <w:pPr>
        <w:spacing w:line="360" w:lineRule="auto"/>
        <w:rPr>
          <w:rFonts w:hint="eastAsia" w:asciiTheme="majorEastAsia" w:hAnsiTheme="majorEastAsia" w:eastAsiaTheme="majorEastAsia" w:cstheme="majorEastAsia"/>
          <w:color w:val="auto"/>
          <w:sz w:val="20"/>
          <w:szCs w:val="20"/>
          <w:highlight w:val="none"/>
        </w:rPr>
      </w:pPr>
      <w:r>
        <w:rPr>
          <w:rFonts w:hint="eastAsia" w:asciiTheme="majorEastAsia" w:hAnsiTheme="majorEastAsia" w:eastAsiaTheme="majorEastAsia" w:cstheme="majorEastAsia"/>
          <w:color w:val="auto"/>
          <w:sz w:val="20"/>
          <w:szCs w:val="20"/>
          <w:highlight w:val="none"/>
        </w:rPr>
        <w:t>注：</w:t>
      </w:r>
      <w:r>
        <w:rPr>
          <w:rFonts w:hint="eastAsia" w:asciiTheme="majorEastAsia" w:hAnsiTheme="majorEastAsia" w:eastAsiaTheme="majorEastAsia" w:cstheme="majorEastAsia"/>
          <w:color w:val="auto"/>
          <w:sz w:val="20"/>
          <w:szCs w:val="20"/>
          <w:highlight w:val="none"/>
          <w:lang w:val="en-US" w:eastAsia="zh-CN"/>
        </w:rPr>
        <w:t>1.</w:t>
      </w:r>
      <w:r>
        <w:rPr>
          <w:rFonts w:hint="eastAsia" w:asciiTheme="majorEastAsia" w:hAnsiTheme="majorEastAsia" w:eastAsiaTheme="majorEastAsia" w:cstheme="majorEastAsia"/>
          <w:color w:val="auto"/>
          <w:sz w:val="20"/>
          <w:szCs w:val="20"/>
          <w:highlight w:val="none"/>
        </w:rPr>
        <w:t>如设备名称不同但与该设备功能一致的视为满足要求。</w:t>
      </w:r>
    </w:p>
    <w:p>
      <w:pPr>
        <w:spacing w:line="360" w:lineRule="auto"/>
        <w:ind w:firstLine="400" w:firstLineChars="200"/>
        <w:rPr>
          <w:rFonts w:hint="default" w:asciiTheme="majorEastAsia" w:hAnsiTheme="majorEastAsia" w:eastAsiaTheme="majorEastAsia" w:cstheme="majorEastAsia"/>
          <w:color w:val="auto"/>
          <w:sz w:val="20"/>
          <w:szCs w:val="20"/>
          <w:highlight w:val="none"/>
          <w:lang w:val="en-US" w:eastAsia="zh-CN"/>
        </w:rPr>
      </w:pPr>
      <w:r>
        <w:rPr>
          <w:rFonts w:hint="eastAsia" w:asciiTheme="majorEastAsia" w:hAnsiTheme="majorEastAsia" w:eastAsiaTheme="majorEastAsia" w:cstheme="majorEastAsia"/>
          <w:color w:val="auto"/>
          <w:sz w:val="20"/>
          <w:szCs w:val="20"/>
          <w:highlight w:val="none"/>
          <w:lang w:val="en-US" w:eastAsia="zh-CN"/>
        </w:rPr>
        <w:t>2.上述设备清单为最低要求。</w:t>
      </w:r>
    </w:p>
    <w:p>
      <w:pPr>
        <w:spacing w:line="360" w:lineRule="auto"/>
        <w:ind w:firstLine="40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0"/>
          <w:szCs w:val="20"/>
          <w:highlight w:val="none"/>
          <w:lang w:val="en-US" w:eastAsia="zh-CN"/>
        </w:rPr>
        <w:t>3.</w:t>
      </w:r>
      <w:r>
        <w:rPr>
          <w:rFonts w:hint="eastAsia" w:asciiTheme="majorEastAsia" w:hAnsiTheme="majorEastAsia" w:eastAsiaTheme="majorEastAsia" w:cstheme="majorEastAsia"/>
          <w:color w:val="auto"/>
          <w:sz w:val="20"/>
          <w:szCs w:val="20"/>
          <w:highlight w:val="none"/>
        </w:rPr>
        <w:t>如投标人中标，招标人将</w:t>
      </w:r>
      <w:r>
        <w:rPr>
          <w:rFonts w:hint="eastAsia" w:asciiTheme="majorEastAsia" w:hAnsiTheme="majorEastAsia" w:eastAsiaTheme="majorEastAsia" w:cstheme="majorEastAsia"/>
          <w:color w:val="auto"/>
          <w:sz w:val="20"/>
          <w:szCs w:val="20"/>
          <w:highlight w:val="none"/>
          <w:lang w:val="en-US" w:eastAsia="zh-CN"/>
        </w:rPr>
        <w:t>根据</w:t>
      </w:r>
      <w:r>
        <w:rPr>
          <w:rFonts w:hint="eastAsia" w:asciiTheme="majorEastAsia" w:hAnsiTheme="majorEastAsia" w:eastAsiaTheme="majorEastAsia" w:cstheme="majorEastAsia"/>
          <w:color w:val="auto"/>
          <w:sz w:val="20"/>
          <w:szCs w:val="20"/>
          <w:highlight w:val="none"/>
        </w:rPr>
        <w:t>投标文件载明的拟投入本项目的主要检测仪器设备核查进场的仪器设备（部分特殊试验检测项目报发包人同意后，可委托有相应资质的单位实施，这部分检测项目所需设备经发包人同意后可不予进场），仪器设备必须有效标定。发包人有权要求中标人根据实际检测需要增加检测设备的投入，中标人不得因此向发包人索赔。</w:t>
      </w:r>
      <w:r>
        <w:rPr>
          <w:rFonts w:hint="eastAsia" w:asciiTheme="majorEastAsia" w:hAnsiTheme="majorEastAsia" w:eastAsiaTheme="majorEastAsia" w:cstheme="majorEastAsia"/>
          <w:color w:val="auto"/>
          <w:highlight w:val="none"/>
        </w:rPr>
        <w:br w:type="page"/>
      </w:r>
    </w:p>
    <w:p>
      <w:pPr>
        <w:pStyle w:val="5"/>
        <w:jc w:val="left"/>
        <w:rPr>
          <w:rFonts w:asciiTheme="minorEastAsia" w:hAnsiTheme="minorEastAsia" w:eastAsiaTheme="minorEastAsia"/>
          <w:color w:val="auto"/>
          <w:highlight w:val="none"/>
        </w:rPr>
      </w:pPr>
      <w:bookmarkStart w:id="96" w:name="_Toc532744141"/>
      <w:r>
        <w:rPr>
          <w:rFonts w:asciiTheme="minorEastAsia" w:hAnsiTheme="minorEastAsia" w:eastAsiaTheme="minorEastAsia"/>
          <w:color w:val="auto"/>
          <w:highlight w:val="none"/>
        </w:rPr>
        <w:t xml:space="preserve">1. </w:t>
      </w:r>
      <w:r>
        <w:rPr>
          <w:rFonts w:hint="eastAsia" w:asciiTheme="minorEastAsia" w:hAnsiTheme="minorEastAsia" w:eastAsiaTheme="minorEastAsia"/>
          <w:color w:val="auto"/>
          <w:highlight w:val="none"/>
        </w:rPr>
        <w:t>评标方法</w:t>
      </w:r>
      <w:bookmarkEnd w:id="96"/>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u w:val="single"/>
        </w:rPr>
        <w:t>本次评标采用综合评估法。评标委员会对满足招标文件实质性要求的投标文件，按照本章第2.2款规定的评分标准进行打分，并</w:t>
      </w:r>
      <w:r>
        <w:rPr>
          <w:rFonts w:hint="eastAsia" w:asciiTheme="minorEastAsia" w:hAnsiTheme="minorEastAsia" w:eastAsiaTheme="minorEastAsia"/>
          <w:color w:val="auto"/>
          <w:highlight w:val="none"/>
        </w:rPr>
        <w:t>按综合评分从高到低进行先后排名，如果综合评分相同的，以报价较低的排前；报价也相同的，以</w:t>
      </w:r>
      <w:r>
        <w:rPr>
          <w:rFonts w:hint="eastAsia" w:asciiTheme="minorEastAsia" w:hAnsiTheme="minorEastAsia" w:eastAsiaTheme="minorEastAsia"/>
          <w:color w:val="auto"/>
          <w:highlight w:val="none"/>
          <w:lang w:eastAsia="zh-CN"/>
        </w:rPr>
        <w:t>服务</w:t>
      </w:r>
      <w:r>
        <w:rPr>
          <w:rFonts w:hint="eastAsia" w:asciiTheme="minorEastAsia" w:hAnsiTheme="minorEastAsia" w:eastAsiaTheme="minorEastAsia"/>
          <w:color w:val="auto"/>
          <w:highlight w:val="none"/>
        </w:rPr>
        <w:t>方案得分高的排前；如仍存在相同情况，由评标委员会采用记名投票方式，以得票多的优先。最终得到投标人排名。推荐</w:t>
      </w:r>
      <w:r>
        <w:rPr>
          <w:rFonts w:hint="eastAsia" w:asciiTheme="minorEastAsia" w:hAnsiTheme="minorEastAsia" w:eastAsiaTheme="minorEastAsia"/>
          <w:color w:val="auto"/>
          <w:highlight w:val="none"/>
          <w:u w:val="single"/>
        </w:rPr>
        <w:t>排名的前一～</w:t>
      </w:r>
      <w:r>
        <w:rPr>
          <w:rFonts w:hint="eastAsia" w:asciiTheme="minorEastAsia" w:hAnsiTheme="minorEastAsia" w:eastAsiaTheme="minorEastAsia"/>
          <w:color w:val="auto"/>
          <w:highlight w:val="none"/>
          <w:u w:val="single"/>
          <w:lang w:val="en-US" w:eastAsia="zh-CN"/>
        </w:rPr>
        <w:t>二</w:t>
      </w:r>
      <w:r>
        <w:rPr>
          <w:rFonts w:hint="eastAsia" w:asciiTheme="minorEastAsia" w:hAnsiTheme="minorEastAsia" w:eastAsiaTheme="minorEastAsia"/>
          <w:color w:val="auto"/>
          <w:highlight w:val="none"/>
          <w:u w:val="single"/>
        </w:rPr>
        <w:t>名为第一中标候选人</w:t>
      </w:r>
      <w:r>
        <w:rPr>
          <w:rFonts w:hint="eastAsia" w:asciiTheme="minorEastAsia" w:hAnsiTheme="minorEastAsia" w:eastAsiaTheme="minorEastAsia"/>
          <w:color w:val="auto"/>
          <w:highlight w:val="none"/>
          <w:u w:val="single"/>
          <w:lang w:val="en-US" w:eastAsia="zh-CN"/>
        </w:rPr>
        <w:t>和</w:t>
      </w:r>
      <w:r>
        <w:rPr>
          <w:rFonts w:hint="eastAsia" w:asciiTheme="minorEastAsia" w:hAnsiTheme="minorEastAsia" w:eastAsiaTheme="minorEastAsia"/>
          <w:color w:val="auto"/>
          <w:highlight w:val="none"/>
          <w:u w:val="single"/>
        </w:rPr>
        <w:t>第</w:t>
      </w:r>
      <w:r>
        <w:rPr>
          <w:rFonts w:hint="eastAsia" w:asciiTheme="minorEastAsia" w:hAnsiTheme="minorEastAsia" w:eastAsiaTheme="minorEastAsia"/>
          <w:color w:val="auto"/>
          <w:highlight w:val="none"/>
          <w:u w:val="single"/>
          <w:lang w:val="en-US" w:eastAsia="zh-CN"/>
        </w:rPr>
        <w:t>二</w:t>
      </w:r>
      <w:r>
        <w:rPr>
          <w:rFonts w:hint="eastAsia" w:asciiTheme="minorEastAsia" w:hAnsiTheme="minorEastAsia" w:eastAsiaTheme="minorEastAsia"/>
          <w:color w:val="auto"/>
          <w:highlight w:val="none"/>
          <w:u w:val="single"/>
        </w:rPr>
        <w:t>中标候选人。</w:t>
      </w:r>
    </w:p>
    <w:p>
      <w:pPr>
        <w:pStyle w:val="5"/>
        <w:rPr>
          <w:rFonts w:asciiTheme="minorEastAsia" w:hAnsiTheme="minorEastAsia" w:eastAsiaTheme="minorEastAsia"/>
          <w:color w:val="auto"/>
          <w:highlight w:val="none"/>
        </w:rPr>
      </w:pPr>
      <w:bookmarkStart w:id="97" w:name="_Toc532744142"/>
      <w:r>
        <w:rPr>
          <w:rFonts w:asciiTheme="minorEastAsia" w:hAnsiTheme="minorEastAsia" w:eastAsiaTheme="minorEastAsia"/>
          <w:color w:val="auto"/>
          <w:highlight w:val="none"/>
        </w:rPr>
        <w:t xml:space="preserve">2. </w:t>
      </w:r>
      <w:r>
        <w:rPr>
          <w:rFonts w:hint="eastAsia" w:asciiTheme="minorEastAsia" w:hAnsiTheme="minorEastAsia" w:eastAsiaTheme="minorEastAsia"/>
          <w:color w:val="auto"/>
          <w:highlight w:val="none"/>
        </w:rPr>
        <w:t>评审标准</w:t>
      </w:r>
      <w:bookmarkEnd w:id="97"/>
    </w:p>
    <w:p>
      <w:pPr>
        <w:pStyle w:val="6"/>
        <w:spacing w:before="48" w:beforeLines="20" w:after="48" w:afterLines="20"/>
        <w:jc w:val="left"/>
        <w:rPr>
          <w:rFonts w:asciiTheme="minorEastAsia" w:hAnsiTheme="minorEastAsia" w:eastAsiaTheme="minorEastAsia"/>
          <w:color w:val="auto"/>
          <w:highlight w:val="none"/>
        </w:rPr>
      </w:pPr>
      <w:bookmarkStart w:id="98" w:name="_Toc532744143"/>
      <w:r>
        <w:rPr>
          <w:rFonts w:asciiTheme="minorEastAsia" w:hAnsiTheme="minorEastAsia" w:eastAsiaTheme="minorEastAsia"/>
          <w:color w:val="auto"/>
          <w:highlight w:val="none"/>
        </w:rPr>
        <w:t xml:space="preserve">2.1 </w:t>
      </w:r>
      <w:r>
        <w:rPr>
          <w:rFonts w:hint="eastAsia" w:asciiTheme="minorEastAsia" w:hAnsiTheme="minorEastAsia" w:eastAsiaTheme="minorEastAsia"/>
          <w:color w:val="auto"/>
          <w:highlight w:val="none"/>
        </w:rPr>
        <w:t>初步评审标准</w:t>
      </w:r>
      <w:bookmarkEnd w:id="98"/>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2.1.1 </w:t>
      </w:r>
      <w:r>
        <w:rPr>
          <w:rFonts w:hint="eastAsia" w:asciiTheme="minorEastAsia" w:hAnsiTheme="minorEastAsia" w:eastAsiaTheme="minorEastAsia"/>
          <w:color w:val="auto"/>
          <w:highlight w:val="none"/>
        </w:rPr>
        <w:t>形式评审标准：见评标办法前附表。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2.1.2 </w:t>
      </w:r>
      <w:r>
        <w:rPr>
          <w:rFonts w:hint="eastAsia" w:asciiTheme="minorEastAsia" w:hAnsiTheme="minorEastAsia" w:eastAsiaTheme="minorEastAsia"/>
          <w:color w:val="auto"/>
          <w:highlight w:val="none"/>
        </w:rPr>
        <w:t>资格评审标准：见评标办法前附表。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2.1.3 </w:t>
      </w:r>
      <w:r>
        <w:rPr>
          <w:rFonts w:hint="eastAsia" w:asciiTheme="minorEastAsia" w:hAnsiTheme="minorEastAsia" w:eastAsiaTheme="minorEastAsia"/>
          <w:color w:val="auto"/>
          <w:highlight w:val="none"/>
        </w:rPr>
        <w:t>响应性评审标准：见评标办法前附表。</w:t>
      </w:r>
    </w:p>
    <w:p>
      <w:pPr>
        <w:pStyle w:val="6"/>
        <w:spacing w:before="48" w:beforeLines="20" w:after="48" w:afterLines="20"/>
        <w:jc w:val="left"/>
        <w:rPr>
          <w:rFonts w:asciiTheme="minorEastAsia" w:hAnsiTheme="minorEastAsia" w:eastAsiaTheme="minorEastAsia"/>
          <w:color w:val="auto"/>
          <w:highlight w:val="none"/>
        </w:rPr>
      </w:pPr>
      <w:bookmarkStart w:id="99" w:name="_Toc532744144"/>
      <w:r>
        <w:rPr>
          <w:rFonts w:asciiTheme="minorEastAsia" w:hAnsiTheme="minorEastAsia" w:eastAsiaTheme="minorEastAsia"/>
          <w:color w:val="auto"/>
          <w:highlight w:val="none"/>
        </w:rPr>
        <w:t xml:space="preserve">2.2 </w:t>
      </w:r>
      <w:r>
        <w:rPr>
          <w:rFonts w:hint="eastAsia" w:asciiTheme="minorEastAsia" w:hAnsiTheme="minorEastAsia" w:eastAsiaTheme="minorEastAsia"/>
          <w:color w:val="auto"/>
          <w:highlight w:val="none"/>
        </w:rPr>
        <w:t>分值构成与评分标准</w:t>
      </w:r>
      <w:bookmarkEnd w:id="99"/>
    </w:p>
    <w:p>
      <w:pPr>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2.2.1</w:t>
      </w:r>
      <w:r>
        <w:rPr>
          <w:rFonts w:hint="eastAsia" w:asciiTheme="minorEastAsia" w:hAnsiTheme="minorEastAsia" w:eastAsiaTheme="minorEastAsia"/>
          <w:color w:val="auto"/>
          <w:szCs w:val="21"/>
          <w:highlight w:val="none"/>
        </w:rPr>
        <w:t>分值构成</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）资信业绩部分：见评标办法前附表；</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eastAsia="zh-CN"/>
        </w:rPr>
        <w:t>服务</w:t>
      </w:r>
      <w:r>
        <w:rPr>
          <w:rFonts w:asciiTheme="minorEastAsia" w:hAnsiTheme="minorEastAsia" w:eastAsiaTheme="minorEastAsia"/>
          <w:color w:val="auto"/>
          <w:szCs w:val="21"/>
          <w:highlight w:val="none"/>
        </w:rPr>
        <w:t>方案</w:t>
      </w:r>
      <w:r>
        <w:rPr>
          <w:rFonts w:hint="eastAsia" w:asciiTheme="minorEastAsia" w:hAnsiTheme="minorEastAsia" w:eastAsiaTheme="minorEastAsia"/>
          <w:color w:val="auto"/>
          <w:szCs w:val="21"/>
          <w:highlight w:val="none"/>
        </w:rPr>
        <w:t>部分：见评标办法前附表；</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）投标报价：见评标办法前附表；</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rPr>
        <w:t>）其他评分因素：见评标办法前附表。</w:t>
      </w:r>
    </w:p>
    <w:p>
      <w:pPr>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2.2.2</w:t>
      </w:r>
      <w:r>
        <w:rPr>
          <w:rFonts w:hint="eastAsia" w:asciiTheme="minorEastAsia" w:hAnsiTheme="minorEastAsia" w:eastAsiaTheme="minorEastAsia"/>
          <w:color w:val="auto"/>
          <w:szCs w:val="21"/>
          <w:highlight w:val="none"/>
        </w:rPr>
        <w:t>评标基准价计算</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评标基准价计算方法：见评标办法前附表。</w:t>
      </w:r>
    </w:p>
    <w:p>
      <w:pPr>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2.2.3</w:t>
      </w:r>
      <w:r>
        <w:rPr>
          <w:rFonts w:hint="eastAsia" w:asciiTheme="minorEastAsia" w:hAnsiTheme="minorEastAsia" w:eastAsiaTheme="minorEastAsia"/>
          <w:color w:val="auto"/>
          <w:szCs w:val="21"/>
          <w:highlight w:val="none"/>
        </w:rPr>
        <w:t>投标报价的计算</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投标报价的偏差率计算公式：见评标办法前附表。</w:t>
      </w:r>
    </w:p>
    <w:p>
      <w:pPr>
        <w:spacing w:line="360" w:lineRule="auto"/>
        <w:ind w:firstLine="420" w:firstLineChars="200"/>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2.2.4</w:t>
      </w:r>
      <w:r>
        <w:rPr>
          <w:rFonts w:hint="eastAsia" w:asciiTheme="minorEastAsia" w:hAnsiTheme="minorEastAsia" w:eastAsiaTheme="minorEastAsia"/>
          <w:color w:val="auto"/>
          <w:szCs w:val="21"/>
          <w:highlight w:val="none"/>
        </w:rPr>
        <w:t>评分标准</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）资信业绩评分标准：见评标办法前附表；</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eastAsia="zh-CN"/>
        </w:rPr>
        <w:t>服务</w:t>
      </w:r>
      <w:r>
        <w:rPr>
          <w:rFonts w:asciiTheme="minorEastAsia" w:hAnsiTheme="minorEastAsia" w:eastAsiaTheme="minorEastAsia"/>
          <w:color w:val="auto"/>
          <w:szCs w:val="21"/>
          <w:highlight w:val="none"/>
        </w:rPr>
        <w:t>方案</w:t>
      </w:r>
      <w:r>
        <w:rPr>
          <w:rFonts w:hint="eastAsia" w:asciiTheme="minorEastAsia" w:hAnsiTheme="minorEastAsia" w:eastAsiaTheme="minorEastAsia"/>
          <w:color w:val="auto"/>
          <w:szCs w:val="21"/>
          <w:highlight w:val="none"/>
        </w:rPr>
        <w:t>评分标准：见评标办法前附表；</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）投标报价评分标准：见评标办法前附表；</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rPr>
        <w:t>）其他因素评分标准：见评标办法前附表。</w:t>
      </w:r>
    </w:p>
    <w:p>
      <w:pPr>
        <w:pStyle w:val="5"/>
        <w:rPr>
          <w:rFonts w:asciiTheme="minorEastAsia" w:hAnsiTheme="minorEastAsia" w:eastAsiaTheme="minorEastAsia"/>
          <w:color w:val="auto"/>
          <w:highlight w:val="none"/>
        </w:rPr>
      </w:pPr>
      <w:bookmarkStart w:id="100" w:name="_Toc532744145"/>
      <w:r>
        <w:rPr>
          <w:rFonts w:asciiTheme="minorEastAsia" w:hAnsiTheme="minorEastAsia" w:eastAsiaTheme="minorEastAsia"/>
          <w:color w:val="auto"/>
          <w:highlight w:val="none"/>
        </w:rPr>
        <w:t xml:space="preserve">3. </w:t>
      </w:r>
      <w:r>
        <w:rPr>
          <w:rFonts w:hint="eastAsia" w:asciiTheme="minorEastAsia" w:hAnsiTheme="minorEastAsia" w:eastAsiaTheme="minorEastAsia"/>
          <w:color w:val="auto"/>
          <w:highlight w:val="none"/>
        </w:rPr>
        <w:t>评标程序</w:t>
      </w:r>
      <w:bookmarkEnd w:id="100"/>
    </w:p>
    <w:p>
      <w:pPr>
        <w:pStyle w:val="6"/>
        <w:spacing w:before="48" w:beforeLines="20" w:after="48" w:afterLines="20"/>
        <w:jc w:val="left"/>
        <w:rPr>
          <w:rFonts w:asciiTheme="minorEastAsia" w:hAnsiTheme="minorEastAsia" w:eastAsiaTheme="minorEastAsia"/>
          <w:color w:val="auto"/>
          <w:highlight w:val="none"/>
        </w:rPr>
      </w:pPr>
      <w:bookmarkStart w:id="101" w:name="_Toc532744146"/>
      <w:r>
        <w:rPr>
          <w:rFonts w:asciiTheme="minorEastAsia" w:hAnsiTheme="minorEastAsia" w:eastAsiaTheme="minorEastAsia"/>
          <w:color w:val="auto"/>
          <w:highlight w:val="none"/>
        </w:rPr>
        <w:t xml:space="preserve">3.1 </w:t>
      </w:r>
      <w:r>
        <w:rPr>
          <w:rFonts w:hint="eastAsia" w:asciiTheme="minorEastAsia" w:hAnsiTheme="minorEastAsia" w:eastAsiaTheme="minorEastAsia"/>
          <w:color w:val="auto"/>
          <w:highlight w:val="none"/>
        </w:rPr>
        <w:t>初步评审</w:t>
      </w:r>
      <w:bookmarkEnd w:id="101"/>
    </w:p>
    <w:p>
      <w:pPr>
        <w:spacing w:line="360" w:lineRule="auto"/>
        <w:ind w:firstLine="420" w:firstLineChars="200"/>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rPr>
        <w:t xml:space="preserve">3.1.1 </w:t>
      </w:r>
      <w:r>
        <w:rPr>
          <w:rFonts w:hint="eastAsia" w:asciiTheme="minorEastAsia" w:hAnsiTheme="minorEastAsia" w:eastAsiaTheme="minorEastAsia"/>
          <w:color w:val="auto"/>
          <w:highlight w:val="none"/>
        </w:rPr>
        <w:t>评标委员会可以要求投标人提交第二章“投标人须知”规定的有关证明和证件的原件，以便核验。评标委员会依据本章第</w:t>
      </w:r>
      <w:r>
        <w:rPr>
          <w:rFonts w:asciiTheme="minorEastAsia" w:hAnsiTheme="minorEastAsia" w:eastAsiaTheme="minorEastAsia"/>
          <w:color w:val="auto"/>
          <w:highlight w:val="none"/>
        </w:rPr>
        <w:t xml:space="preserve"> 2.1 </w:t>
      </w:r>
      <w:r>
        <w:rPr>
          <w:rFonts w:hint="eastAsia" w:asciiTheme="minorEastAsia" w:hAnsiTheme="minorEastAsia" w:eastAsiaTheme="minorEastAsia"/>
          <w:color w:val="auto"/>
          <w:highlight w:val="none"/>
        </w:rPr>
        <w:t>款规定的标准对投标文件进行初步评审。有一项不符合评审标准的，评标委员会应当否决其投标。</w:t>
      </w:r>
      <w:r>
        <w:rPr>
          <w:rFonts w:hint="eastAsia" w:ascii="宋体" w:hAnsi="宋体" w:eastAsia="宋体" w:cs="宋体"/>
          <w:color w:val="auto"/>
          <w:szCs w:val="21"/>
          <w:highlight w:val="none"/>
          <w:u w:val="single"/>
        </w:rPr>
        <w:t>若评委意见不一致时，则按少数服从多数的原则，作出评审结论。</w:t>
      </w:r>
    </w:p>
    <w:p>
      <w:pPr>
        <w:tabs>
          <w:tab w:val="left" w:pos="1260"/>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3.1.2 </w:t>
      </w:r>
      <w:r>
        <w:rPr>
          <w:rFonts w:hint="eastAsia" w:asciiTheme="minorEastAsia" w:hAnsiTheme="minorEastAsia" w:eastAsiaTheme="minorEastAsia"/>
          <w:color w:val="auto"/>
          <w:highlight w:val="none"/>
        </w:rPr>
        <w:t>投标人有以下情形之一的，评标委员会应当否决其投标：</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1）投标文件没有对招标文件的实质性要求和条件作出响应，或者对招标文件的偏差超出招标文件规定的偏差范围或最高项数；</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2）有串通投标、弄虚作假、行贿等违法行为。</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3.1.3 </w:t>
      </w:r>
      <w:r>
        <w:rPr>
          <w:rFonts w:hint="eastAsia" w:asciiTheme="minorEastAsia" w:hAnsiTheme="minorEastAsia" w:eastAsiaTheme="minorEastAsia"/>
          <w:color w:val="auto"/>
          <w:highlight w:val="none"/>
        </w:rPr>
        <w:t>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1）投标文件中的大写金额与小写金额不一致的，以大写金额为准；</w:t>
      </w:r>
    </w:p>
    <w:p>
      <w:pPr>
        <w:spacing w:line="360" w:lineRule="auto"/>
        <w:ind w:firstLine="420" w:firstLineChars="200"/>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lang w:val="en-US" w:eastAsia="zh-CN"/>
        </w:rPr>
        <w:t>总价金额与单价金额之和不一致的，以单价金额为准，但单价金额小数点有明显错误的除外；</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（3）如果投标人的暂列金额未按招标文件规定的金额填写的，由评标委员会按照招标文件规定的金额进行修正。</w:t>
      </w:r>
    </w:p>
    <w:p>
      <w:pPr>
        <w:pStyle w:val="6"/>
        <w:spacing w:before="48" w:beforeLines="20" w:after="48" w:afterLines="20"/>
        <w:jc w:val="left"/>
        <w:rPr>
          <w:rFonts w:asciiTheme="minorEastAsia" w:hAnsiTheme="minorEastAsia" w:eastAsiaTheme="minorEastAsia"/>
          <w:color w:val="auto"/>
          <w:highlight w:val="none"/>
        </w:rPr>
      </w:pPr>
      <w:bookmarkStart w:id="102" w:name="_Toc532744147"/>
      <w:r>
        <w:rPr>
          <w:rFonts w:asciiTheme="minorEastAsia" w:hAnsiTheme="minorEastAsia" w:eastAsiaTheme="minorEastAsia"/>
          <w:color w:val="auto"/>
          <w:highlight w:val="none"/>
        </w:rPr>
        <w:t xml:space="preserve">3.2 </w:t>
      </w:r>
      <w:r>
        <w:rPr>
          <w:rFonts w:hint="eastAsia" w:asciiTheme="minorEastAsia" w:hAnsiTheme="minorEastAsia" w:eastAsiaTheme="minorEastAsia"/>
          <w:color w:val="auto"/>
          <w:highlight w:val="none"/>
        </w:rPr>
        <w:t>详细评审</w:t>
      </w:r>
      <w:bookmarkEnd w:id="102"/>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3.2.1</w:t>
      </w:r>
      <w:r>
        <w:rPr>
          <w:rFonts w:hint="eastAsia" w:asciiTheme="minorEastAsia" w:hAnsiTheme="minorEastAsia" w:eastAsiaTheme="minorEastAsia"/>
          <w:color w:val="auto"/>
          <w:highlight w:val="none"/>
        </w:rPr>
        <w:t>评标委员会按本章第</w:t>
      </w:r>
      <w:r>
        <w:rPr>
          <w:rFonts w:asciiTheme="minorEastAsia" w:hAnsiTheme="minorEastAsia" w:eastAsiaTheme="minorEastAsia"/>
          <w:color w:val="auto"/>
          <w:highlight w:val="none"/>
        </w:rPr>
        <w:t>2.2</w:t>
      </w:r>
      <w:r>
        <w:rPr>
          <w:rFonts w:hint="eastAsia" w:asciiTheme="minorEastAsia" w:hAnsiTheme="minorEastAsia" w:eastAsiaTheme="minorEastAsia"/>
          <w:color w:val="auto"/>
          <w:highlight w:val="none"/>
        </w:rPr>
        <w:t>款规定的量化因素和分值进行打分，并计算出综合评估得分。</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）按本章第</w:t>
      </w:r>
      <w:r>
        <w:rPr>
          <w:rFonts w:asciiTheme="minorEastAsia" w:hAnsiTheme="minorEastAsia" w:eastAsiaTheme="minorEastAsia"/>
          <w:color w:val="auto"/>
          <w:highlight w:val="none"/>
        </w:rPr>
        <w:t>2.2.4</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）目规定的评审因素和分值对资信业绩部分计算出得分</w:t>
      </w:r>
      <w:r>
        <w:rPr>
          <w:rFonts w:asciiTheme="minorEastAsia" w:hAnsiTheme="minorEastAsia" w:eastAsiaTheme="minorEastAsia"/>
          <w:color w:val="auto"/>
          <w:highlight w:val="none"/>
        </w:rPr>
        <w:t>A</w:t>
      </w:r>
      <w:r>
        <w:rPr>
          <w:rFonts w:hint="eastAsia" w:asciiTheme="minorEastAsia" w:hAnsiTheme="minorEastAsia" w:eastAsiaTheme="minorEastAsia"/>
          <w:color w:val="auto"/>
          <w:highlight w:val="none"/>
        </w:rPr>
        <w:t>；A为各评委的评分计取的算术平均分；</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）按本章第</w:t>
      </w:r>
      <w:r>
        <w:rPr>
          <w:rFonts w:asciiTheme="minorEastAsia" w:hAnsiTheme="minorEastAsia" w:eastAsiaTheme="minorEastAsia"/>
          <w:color w:val="auto"/>
          <w:highlight w:val="none"/>
        </w:rPr>
        <w:t>2.2.4</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）目规定的评审因素和分值对</w:t>
      </w:r>
      <w:r>
        <w:rPr>
          <w:rFonts w:hint="eastAsia" w:asciiTheme="minorEastAsia" w:hAnsiTheme="minorEastAsia" w:eastAsiaTheme="minorEastAsia"/>
          <w:color w:val="auto"/>
          <w:highlight w:val="none"/>
          <w:lang w:eastAsia="zh-CN"/>
        </w:rPr>
        <w:t>服务</w:t>
      </w:r>
      <w:r>
        <w:rPr>
          <w:rFonts w:hint="eastAsia" w:asciiTheme="minorEastAsia" w:hAnsiTheme="minorEastAsia" w:eastAsiaTheme="minorEastAsia"/>
          <w:color w:val="auto"/>
          <w:highlight w:val="none"/>
        </w:rPr>
        <w:t>方案部分计算出得分</w:t>
      </w:r>
      <w:r>
        <w:rPr>
          <w:rFonts w:asciiTheme="minorEastAsia" w:hAnsiTheme="minorEastAsia" w:eastAsiaTheme="minorEastAsia"/>
          <w:color w:val="auto"/>
          <w:highlight w:val="none"/>
        </w:rPr>
        <w:t>B</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B</w:t>
      </w:r>
      <w:r>
        <w:rPr>
          <w:rFonts w:hint="eastAsia" w:asciiTheme="minorEastAsia" w:hAnsiTheme="minorEastAsia" w:eastAsiaTheme="minorEastAsia"/>
          <w:color w:val="auto"/>
          <w:highlight w:val="none"/>
        </w:rPr>
        <w:t>为各评委的评分计取的算术平均分；</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）按本章第</w:t>
      </w:r>
      <w:r>
        <w:rPr>
          <w:rFonts w:asciiTheme="minorEastAsia" w:hAnsiTheme="minorEastAsia" w:eastAsiaTheme="minorEastAsia"/>
          <w:color w:val="auto"/>
          <w:highlight w:val="none"/>
        </w:rPr>
        <w:t>2.2.4</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）目规定的评审因素和分值对投标报价计算出得分</w:t>
      </w:r>
      <w:r>
        <w:rPr>
          <w:rFonts w:asciiTheme="minorEastAsia" w:hAnsiTheme="minorEastAsia" w:eastAsiaTheme="minorEastAsia"/>
          <w:color w:val="auto"/>
          <w:highlight w:val="none"/>
        </w:rPr>
        <w:t>C</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C</w:t>
      </w:r>
      <w:r>
        <w:rPr>
          <w:rFonts w:hint="eastAsia" w:asciiTheme="minorEastAsia" w:hAnsiTheme="minorEastAsia" w:eastAsiaTheme="minorEastAsia"/>
          <w:color w:val="auto"/>
          <w:highlight w:val="none"/>
        </w:rPr>
        <w:t>为各评委的评分计取的算术平均分；</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）按本章第</w:t>
      </w:r>
      <w:r>
        <w:rPr>
          <w:rFonts w:asciiTheme="minorEastAsia" w:hAnsiTheme="minorEastAsia" w:eastAsiaTheme="minorEastAsia"/>
          <w:color w:val="auto"/>
          <w:highlight w:val="none"/>
        </w:rPr>
        <w:t>2.2.4</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）目规定的评审因素和分值对其他部分计算出得分</w:t>
      </w:r>
      <w:r>
        <w:rPr>
          <w:rFonts w:asciiTheme="minorEastAsia" w:hAnsiTheme="minorEastAsia" w:eastAsiaTheme="minorEastAsia"/>
          <w:color w:val="auto"/>
          <w:highlight w:val="none"/>
        </w:rPr>
        <w:t>D</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u w:val="single"/>
        </w:rPr>
        <w:t>本项目无其他因素，所以D为0，不参与详细评审和得分。</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3.2.2</w:t>
      </w:r>
      <w:r>
        <w:rPr>
          <w:rFonts w:hint="eastAsia" w:asciiTheme="minorEastAsia" w:hAnsiTheme="minorEastAsia" w:eastAsiaTheme="minorEastAsia"/>
          <w:color w:val="auto"/>
          <w:highlight w:val="none"/>
        </w:rPr>
        <w:t>评分分值计算保留小数点后两位，小数点后第三位</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四舍五入</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3.2.3</w:t>
      </w:r>
      <w:r>
        <w:rPr>
          <w:rFonts w:hint="eastAsia" w:asciiTheme="minorEastAsia" w:hAnsiTheme="minorEastAsia" w:eastAsiaTheme="minorEastAsia"/>
          <w:color w:val="auto"/>
          <w:highlight w:val="none"/>
        </w:rPr>
        <w:t>投标人总得分=A+B+C。</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3.2.4</w:t>
      </w:r>
      <w:r>
        <w:rPr>
          <w:rFonts w:hint="eastAsia" w:asciiTheme="minorEastAsia" w:hAnsiTheme="minorEastAsia" w:eastAsiaTheme="minorEastAsia"/>
          <w:color w:val="auto"/>
          <w:highlight w:val="none"/>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6"/>
        <w:spacing w:before="48" w:beforeLines="20" w:after="48" w:afterLines="20"/>
        <w:jc w:val="left"/>
        <w:rPr>
          <w:rFonts w:asciiTheme="minorEastAsia" w:hAnsiTheme="minorEastAsia" w:eastAsiaTheme="minorEastAsia"/>
          <w:color w:val="auto"/>
          <w:highlight w:val="none"/>
        </w:rPr>
      </w:pPr>
      <w:bookmarkStart w:id="103" w:name="_Toc532744148"/>
      <w:r>
        <w:rPr>
          <w:rFonts w:asciiTheme="minorEastAsia" w:hAnsiTheme="minorEastAsia" w:eastAsiaTheme="minorEastAsia"/>
          <w:color w:val="auto"/>
          <w:highlight w:val="none"/>
        </w:rPr>
        <w:t xml:space="preserve">3.3 </w:t>
      </w:r>
      <w:r>
        <w:rPr>
          <w:rFonts w:hint="eastAsia" w:asciiTheme="minorEastAsia" w:hAnsiTheme="minorEastAsia" w:eastAsiaTheme="minorEastAsia"/>
          <w:color w:val="auto"/>
          <w:highlight w:val="none"/>
        </w:rPr>
        <w:t>投标文件的澄清</w:t>
      </w:r>
      <w:bookmarkEnd w:id="103"/>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3.3.1 </w:t>
      </w:r>
      <w:r>
        <w:rPr>
          <w:rFonts w:hint="eastAsia" w:asciiTheme="minorEastAsia" w:hAnsiTheme="minorEastAsia" w:eastAsiaTheme="minorEastAsia"/>
          <w:color w:val="auto"/>
          <w:highlight w:val="none"/>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3.3.2 </w:t>
      </w:r>
      <w:r>
        <w:rPr>
          <w:rFonts w:hint="eastAsia" w:asciiTheme="minorEastAsia" w:hAnsiTheme="minorEastAsia" w:eastAsiaTheme="minorEastAsia"/>
          <w:color w:val="auto"/>
          <w:highlight w:val="none"/>
        </w:rPr>
        <w:t>澄清、说明或补正不得超出投标文件的范围且不得改变投标文件的实质性内容，并构成投标文件的组成部分。</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3.3.3 </w:t>
      </w:r>
      <w:r>
        <w:rPr>
          <w:rFonts w:hint="eastAsia" w:asciiTheme="minorEastAsia" w:hAnsiTheme="minorEastAsia" w:eastAsiaTheme="minorEastAsia"/>
          <w:color w:val="auto"/>
          <w:highlight w:val="none"/>
        </w:rPr>
        <w:t>评标委员会对投标人提交的澄清、说明或补正有疑问的，可以要求投标人进一步澄清、说明或补正，直至满足评标委员会的要求。</w:t>
      </w:r>
    </w:p>
    <w:p>
      <w:pPr>
        <w:pStyle w:val="6"/>
        <w:spacing w:before="48" w:beforeLines="20" w:after="48" w:afterLines="20"/>
        <w:jc w:val="left"/>
        <w:rPr>
          <w:rFonts w:asciiTheme="minorEastAsia" w:hAnsiTheme="minorEastAsia" w:eastAsiaTheme="minorEastAsia"/>
          <w:color w:val="auto"/>
          <w:highlight w:val="none"/>
        </w:rPr>
      </w:pPr>
      <w:bookmarkStart w:id="104" w:name="_Toc532744149"/>
      <w:r>
        <w:rPr>
          <w:rFonts w:asciiTheme="minorEastAsia" w:hAnsiTheme="minorEastAsia" w:eastAsiaTheme="minorEastAsia"/>
          <w:color w:val="auto"/>
          <w:highlight w:val="none"/>
        </w:rPr>
        <w:t xml:space="preserve">3.4 </w:t>
      </w:r>
      <w:r>
        <w:rPr>
          <w:rFonts w:hint="eastAsia" w:asciiTheme="minorEastAsia" w:hAnsiTheme="minorEastAsia" w:eastAsiaTheme="minorEastAsia"/>
          <w:color w:val="auto"/>
          <w:highlight w:val="none"/>
        </w:rPr>
        <w:t>评标结果</w:t>
      </w:r>
      <w:bookmarkEnd w:id="104"/>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3.4.1 </w:t>
      </w:r>
      <w:r>
        <w:rPr>
          <w:rFonts w:hint="eastAsia" w:asciiTheme="minorEastAsia" w:hAnsiTheme="minorEastAsia" w:eastAsiaTheme="minorEastAsia"/>
          <w:color w:val="auto"/>
          <w:highlight w:val="none"/>
        </w:rPr>
        <w:t>除第二章“投标人须知”前附表授权直接确定中标人外，评标委员会按照得分由高到低的顺序推荐中标候选人，并标明排序。</w:t>
      </w:r>
    </w:p>
    <w:p>
      <w:pPr>
        <w:spacing w:line="276" w:lineRule="auto"/>
        <w:ind w:left="-2" w:firstLine="367" w:firstLineChars="175"/>
        <w:rPr>
          <w:rFonts w:asciiTheme="minorEastAsia" w:hAnsiTheme="minorEastAsia" w:eastAsiaTheme="minorEastAsia"/>
          <w:color w:val="auto"/>
          <w:kern w:val="0"/>
          <w:sz w:val="24"/>
          <w:szCs w:val="24"/>
          <w:highlight w:val="none"/>
        </w:rPr>
      </w:pPr>
      <w:r>
        <w:rPr>
          <w:rFonts w:asciiTheme="minorEastAsia" w:hAnsiTheme="minorEastAsia" w:eastAsiaTheme="minorEastAsia"/>
          <w:color w:val="auto"/>
          <w:highlight w:val="none"/>
        </w:rPr>
        <w:t xml:space="preserve">3.4.2 </w:t>
      </w:r>
      <w:r>
        <w:rPr>
          <w:rFonts w:hint="eastAsia" w:asciiTheme="minorEastAsia" w:hAnsiTheme="minorEastAsia" w:eastAsiaTheme="minorEastAsia"/>
          <w:color w:val="auto"/>
          <w:highlight w:val="none"/>
        </w:rPr>
        <w:t>评标委员会完成评标后，应当向招标人提交书面评标报告和中标候选人名单。</w:t>
      </w:r>
    </w:p>
    <w:p>
      <w:pPr>
        <w:spacing w:line="276" w:lineRule="auto"/>
        <w:ind w:left="-2" w:firstLine="420" w:firstLineChars="175"/>
        <w:rPr>
          <w:rFonts w:asciiTheme="minorEastAsia" w:hAnsiTheme="minorEastAsia" w:eastAsiaTheme="minorEastAsia"/>
          <w:color w:val="auto"/>
          <w:kern w:val="0"/>
          <w:sz w:val="24"/>
          <w:szCs w:val="24"/>
          <w:highlight w:val="none"/>
        </w:rPr>
      </w:pPr>
      <w:r>
        <w:rPr>
          <w:rFonts w:asciiTheme="minorEastAsia" w:hAnsiTheme="minorEastAsia" w:eastAsiaTheme="minorEastAsia"/>
          <w:color w:val="auto"/>
          <w:kern w:val="0"/>
          <w:sz w:val="24"/>
          <w:szCs w:val="24"/>
          <w:highlight w:val="none"/>
        </w:rPr>
        <w:br w:type="page"/>
      </w:r>
    </w:p>
    <w:p>
      <w:pPr>
        <w:rPr>
          <w:color w:val="auto"/>
          <w:highlight w:val="none"/>
        </w:rPr>
      </w:pPr>
      <w:bookmarkStart w:id="105" w:name="_Toc28029_WPSOffice_Level1"/>
      <w:bookmarkStart w:id="106" w:name="_Toc22637083"/>
      <w:bookmarkStart w:id="107" w:name="_Toc525063257"/>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line="24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第四章 合同条款及格式</w:t>
      </w:r>
      <w:bookmarkEnd w:id="105"/>
      <w:bookmarkEnd w:id="106"/>
    </w:p>
    <w:p>
      <w:pPr>
        <w:rPr>
          <w:color w:val="auto"/>
          <w:highlight w:val="none"/>
        </w:rPr>
      </w:pPr>
    </w:p>
    <w:p>
      <w:pPr>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（另册）</w:t>
      </w:r>
    </w:p>
    <w:bookmarkEnd w:id="107"/>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line="240" w:lineRule="auto"/>
        <w:jc w:val="center"/>
        <w:rPr>
          <w:rFonts w:asciiTheme="minorEastAsia" w:hAnsiTheme="minorEastAsia" w:eastAsiaTheme="minorEastAsia"/>
          <w:color w:val="auto"/>
          <w:highlight w:val="none"/>
        </w:rPr>
      </w:pPr>
      <w:bookmarkStart w:id="108" w:name="_Toc8100_WPSOffice_Level1"/>
      <w:bookmarkStart w:id="109" w:name="_Toc22637084"/>
      <w:r>
        <w:rPr>
          <w:rFonts w:hint="eastAsia" w:asciiTheme="minorEastAsia" w:hAnsiTheme="minorEastAsia" w:eastAsiaTheme="minorEastAsia"/>
          <w:color w:val="auto"/>
          <w:highlight w:val="none"/>
        </w:rPr>
        <w:t>第五章 委托人要求</w:t>
      </w:r>
      <w:bookmarkEnd w:id="108"/>
      <w:bookmarkEnd w:id="109"/>
    </w:p>
    <w:p>
      <w:pPr>
        <w:rPr>
          <w:color w:val="auto"/>
          <w:highlight w:val="none"/>
        </w:rPr>
      </w:pPr>
    </w:p>
    <w:p>
      <w:pPr>
        <w:jc w:val="center"/>
        <w:rPr>
          <w:rFonts w:ascii="宋体" w:hAnsi="宋体" w:eastAsia="宋体" w:cs="宋体"/>
          <w:color w:val="auto"/>
          <w:sz w:val="32"/>
          <w:szCs w:val="32"/>
          <w:highlight w:val="none"/>
        </w:rPr>
      </w:pPr>
    </w:p>
    <w:p>
      <w:pPr>
        <w:autoSpaceDE w:val="0"/>
        <w:autoSpaceDN w:val="0"/>
        <w:adjustRightInd w:val="0"/>
        <w:snapToGrid w:val="0"/>
        <w:spacing w:line="360" w:lineRule="auto"/>
        <w:jc w:val="left"/>
        <w:outlineLvl w:val="1"/>
        <w:rPr>
          <w:rFonts w:ascii="宋体" w:hAnsi="宋体" w:eastAsia="宋体" w:cs="宋体"/>
          <w:b/>
          <w:color w:val="auto"/>
          <w:sz w:val="24"/>
          <w:szCs w:val="24"/>
          <w:highlight w:val="none"/>
          <w:lang w:bidi="ar"/>
        </w:rPr>
      </w:pPr>
      <w:r>
        <w:rPr>
          <w:rFonts w:asciiTheme="minorEastAsia" w:hAnsiTheme="minorEastAsia" w:eastAsiaTheme="minorEastAsia"/>
          <w:color w:val="auto"/>
          <w:highlight w:val="none"/>
        </w:rPr>
        <w:br w:type="page"/>
      </w:r>
      <w:r>
        <w:rPr>
          <w:rFonts w:hint="eastAsia" w:ascii="宋体" w:hAnsi="宋体" w:eastAsia="宋体" w:cs="宋体"/>
          <w:b/>
          <w:color w:val="auto"/>
          <w:sz w:val="24"/>
          <w:szCs w:val="24"/>
          <w:highlight w:val="none"/>
          <w:lang w:bidi="ar"/>
        </w:rPr>
        <w:t>一、检测服务范围：</w:t>
      </w:r>
    </w:p>
    <w:p>
      <w:pPr>
        <w:pStyle w:val="29"/>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）检测工作内容：</w:t>
      </w:r>
      <w:r>
        <w:rPr>
          <w:rFonts w:hint="eastAsia" w:ascii="宋体" w:hAnsi="宋体" w:eastAsia="宋体" w:cs="宋体"/>
          <w:color w:val="auto"/>
          <w:sz w:val="24"/>
          <w:szCs w:val="24"/>
          <w:highlight w:val="none"/>
          <w:lang w:eastAsia="zh-CN"/>
        </w:rPr>
        <w:t>东南西环三滘立交市政化改造工程（二期）工程</w:t>
      </w:r>
      <w:r>
        <w:rPr>
          <w:rFonts w:hint="eastAsia" w:ascii="宋体" w:hAnsi="宋体" w:eastAsia="宋体" w:cs="宋体"/>
          <w:color w:val="auto"/>
          <w:sz w:val="24"/>
          <w:szCs w:val="24"/>
          <w:highlight w:val="none"/>
        </w:rPr>
        <w:t>第三方检测服务，主要包括施工过程中的地基基础工程检测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见证取样检测、绿化检测、市政道路检测、桥梁工程检测、钢结构检测、电气照明检测</w:t>
      </w:r>
      <w:r>
        <w:rPr>
          <w:rFonts w:hint="eastAsia" w:ascii="宋体" w:hAnsi="宋体" w:eastAsia="宋体" w:cs="宋体"/>
          <w:color w:val="auto"/>
          <w:sz w:val="24"/>
          <w:szCs w:val="24"/>
          <w:highlight w:val="none"/>
        </w:rPr>
        <w:t>等检测内容，具体内容以</w:t>
      </w:r>
      <w:r>
        <w:rPr>
          <w:rFonts w:hint="eastAsia" w:ascii="宋体" w:hAnsi="宋体" w:eastAsia="宋体" w:cs="宋体"/>
          <w:color w:val="auto"/>
          <w:sz w:val="24"/>
          <w:szCs w:val="24"/>
          <w:highlight w:val="none"/>
          <w:lang w:val="en-US" w:eastAsia="zh-CN"/>
        </w:rPr>
        <w:t>检测</w:t>
      </w:r>
      <w:r>
        <w:rPr>
          <w:rFonts w:hint="eastAsia" w:ascii="宋体" w:hAnsi="宋体" w:eastAsia="宋体" w:cs="宋体"/>
          <w:color w:val="auto"/>
          <w:sz w:val="24"/>
          <w:szCs w:val="24"/>
          <w:highlight w:val="none"/>
        </w:rPr>
        <w:t>清单及有关规范要求为准。</w:t>
      </w:r>
    </w:p>
    <w:p>
      <w:pPr>
        <w:pStyle w:val="29"/>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应根据本工程实际情况制订详细的检测方案提交</w:t>
      </w:r>
      <w:r>
        <w:rPr>
          <w:rFonts w:hint="eastAsia" w:ascii="宋体" w:hAnsi="宋体" w:eastAsia="宋体" w:cs="宋体"/>
          <w:color w:val="auto"/>
          <w:sz w:val="24"/>
          <w:szCs w:val="24"/>
          <w:highlight w:val="none"/>
          <w:lang w:val="en-US" w:eastAsia="zh-CN"/>
        </w:rPr>
        <w:t>委托人</w:t>
      </w:r>
      <w:r>
        <w:rPr>
          <w:rFonts w:hint="eastAsia" w:ascii="宋体" w:hAnsi="宋体" w:eastAsia="宋体" w:cs="宋体"/>
          <w:color w:val="auto"/>
          <w:sz w:val="24"/>
          <w:szCs w:val="24"/>
          <w:highlight w:val="none"/>
        </w:rPr>
        <w:t>审查后方可开展工作，并确保检测方案符合有关规范要求及通过工程所在行政区域的相关建设行政主管部门和监督部门的审批，同时负责与相关建设行政主管部门和监督部门进行检测工作的协调，申报检测技术成果的审批。保证技术成果能够通过相关部门认可，确保不因检测工作影响本工程项目的建设进度和竣工验收。</w:t>
      </w:r>
    </w:p>
    <w:p>
      <w:pPr>
        <w:pStyle w:val="29"/>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）在进行检测任务的过程中与该工程相关的施工单位、监理单位、设计单位、咨询单位、建设主管部门等的协调工作。</w:t>
      </w:r>
    </w:p>
    <w:p>
      <w:pPr>
        <w:pStyle w:val="29"/>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）检测数据上传至</w:t>
      </w:r>
      <w:r>
        <w:rPr>
          <w:rFonts w:hint="eastAsia" w:ascii="宋体" w:hAnsi="宋体" w:eastAsia="宋体" w:cs="宋体"/>
          <w:color w:val="auto"/>
          <w:sz w:val="24"/>
          <w:szCs w:val="24"/>
          <w:highlight w:val="none"/>
          <w:lang w:val="en-US" w:eastAsia="zh-CN"/>
        </w:rPr>
        <w:t>建设单位相关管理平台、</w:t>
      </w:r>
      <w:r>
        <w:rPr>
          <w:rFonts w:hint="eastAsia" w:ascii="宋体" w:hAnsi="宋体" w:eastAsia="宋体" w:cs="宋体"/>
          <w:color w:val="auto"/>
          <w:sz w:val="24"/>
          <w:szCs w:val="24"/>
          <w:highlight w:val="none"/>
        </w:rPr>
        <w:t>主管部门监管系统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如有要求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pStyle w:val="29"/>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）如</w:t>
      </w:r>
      <w:r>
        <w:rPr>
          <w:rFonts w:hint="eastAsia" w:ascii="宋体" w:hAnsi="宋体" w:eastAsia="宋体" w:cs="宋体"/>
          <w:color w:val="auto"/>
          <w:sz w:val="24"/>
          <w:szCs w:val="24"/>
          <w:highlight w:val="none"/>
          <w:lang w:val="en-US" w:eastAsia="zh-CN"/>
        </w:rPr>
        <w:t>委托人</w:t>
      </w:r>
      <w:r>
        <w:rPr>
          <w:rFonts w:hint="eastAsia" w:ascii="宋体" w:hAnsi="宋体" w:eastAsia="宋体" w:cs="宋体"/>
          <w:color w:val="auto"/>
          <w:sz w:val="24"/>
          <w:szCs w:val="24"/>
          <w:highlight w:val="none"/>
        </w:rPr>
        <w:t>基于本项目开展的科研工作需</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协助的，</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应予以配合。</w:t>
      </w:r>
    </w:p>
    <w:p>
      <w:pPr>
        <w:autoSpaceDE w:val="0"/>
        <w:autoSpaceDN w:val="0"/>
        <w:adjustRightInd w:val="0"/>
        <w:snapToGrid w:val="0"/>
        <w:spacing w:line="360" w:lineRule="auto"/>
        <w:jc w:val="left"/>
        <w:outlineLvl w:val="1"/>
        <w:rPr>
          <w:rFonts w:ascii="宋体" w:hAnsi="宋体" w:eastAsia="宋体" w:cs="宋体"/>
          <w:b/>
          <w:color w:val="auto"/>
          <w:sz w:val="24"/>
          <w:szCs w:val="24"/>
          <w:highlight w:val="none"/>
          <w:lang w:bidi="ar"/>
        </w:rPr>
      </w:pPr>
      <w:r>
        <w:rPr>
          <w:rFonts w:hint="eastAsia" w:ascii="宋体" w:hAnsi="宋体" w:eastAsia="宋体" w:cs="宋体"/>
          <w:b/>
          <w:color w:val="auto"/>
          <w:sz w:val="24"/>
          <w:szCs w:val="24"/>
          <w:highlight w:val="none"/>
          <w:lang w:bidi="ar"/>
        </w:rPr>
        <w:t>二、工作依据：</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(1)《广州市住房和城乡建设局关于规范建筑工程地基基础检测工作的通知》穗建规字〔2020〕30号；</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(2)《广州市市政基础设施工程实体检测管理办法》穗建质〔2010〕1489号；</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(3)《建设工程质量管理条例文件汇编》（广州地区建设工程质量安全监督站，广州市市政工程安全质量监督站编制）；</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(4)《广州市房屋建筑和市政基础设施工程质量管理办法》（2015年8月17日广州市人民政府令第129号公布，根据2019年10月17日广州市人民政府令第167号《广州市人民政府关于修改〈广州市房屋建筑和市政基础设施工程质量管理办法〉等5件政府规章的决定》修改）；</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(5)《广州市住房和城乡建设局关于印发广州市建设工程质量检测管理办法的通知》（穗建规字〔2020〕41号）；</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(6)《建筑地基基础检测规范》（DBJ</w:t>
      </w:r>
      <w:r>
        <w:rPr>
          <w:rFonts w:hint="eastAsia" w:ascii="宋体" w:hAnsi="宋体" w:eastAsia="宋体" w:cs="宋体"/>
          <w:bCs/>
          <w:color w:val="auto"/>
          <w:sz w:val="24"/>
          <w:szCs w:val="24"/>
          <w:highlight w:val="none"/>
          <w:lang w:val="en-US" w:eastAsia="zh-CN" w:bidi="ar"/>
        </w:rPr>
        <w:t xml:space="preserve">/T </w:t>
      </w:r>
      <w:r>
        <w:rPr>
          <w:rFonts w:hint="eastAsia" w:ascii="宋体" w:hAnsi="宋体" w:eastAsia="宋体" w:cs="宋体"/>
          <w:bCs/>
          <w:color w:val="auto"/>
          <w:sz w:val="24"/>
          <w:szCs w:val="24"/>
          <w:highlight w:val="none"/>
          <w:lang w:bidi="ar"/>
        </w:rPr>
        <w:t>15-60-2019）；</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(7)《公路土工试验规程》</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JTG 3430-2020</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(8)《公路工程沥青及沥青混合料试验规程》</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JTG E20-2011</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 xml:space="preserve">(9)《公路沥青路面施工技术规范》 </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JTG F40-2004</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(10)《金属材料 拉伸试验第1部分：室温试验方法》</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GB/T 228.1-2021</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(11)《混凝土物理力学性能试验方法标准》</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GB/T 50081-2019</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(12)《公路工程水泥及水泥混凝土试验规程》</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JTG 3420-2020</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(13)《水泥化学分析方法》</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GB/T 176-2017</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(14)《钻芯法检测混凝土强度技术规程》</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JGJ/T 384-2016</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(15)《公路工程质量检验评定标准》</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JTG F80/1-2017</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(16)《公路工程集料试验规程》</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JTG E42-2005</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(17)《路面标线涂料》</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JT/T280-2022</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(18)《道路交通标线质量要求和检测方法》</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GB/T 16311-2009</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(19)《道路交通标志和标线 第2部分：道路交通标志》</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GB 5768.2-2022</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(20)《道路交通标志和标线 第3部分：道路交通标线》</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GB 5768.3-2009</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(21)《道路交通标志板及支撑件》</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GB/T 23827-2021</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(22)《路面标线用玻璃珠》</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GB/T 24722-2020</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(23)《波形梁钢护栏 第1部分：两波形梁钢护栏》</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GB/T 31439.1-2015</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(24)《波形梁钢护栏 第2部分：三波形梁钢护栏》</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GB/T 31439.2-2015</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(25)《公路工程质量检验评定标准 第一册 土建工程》</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JTG F80/1-2017</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(26)《公路护栏安全性能评价标准》</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JTG B05-01-2013</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(27)《防眩板》</w:t>
      </w:r>
      <w:r>
        <w:rPr>
          <w:rFonts w:hint="eastAsia" w:ascii="宋体" w:hAnsi="宋体" w:eastAsia="宋体" w:cs="宋体"/>
          <w:bCs/>
          <w:color w:val="auto"/>
          <w:sz w:val="24"/>
          <w:szCs w:val="24"/>
          <w:highlight w:val="none"/>
          <w:lang w:val="en-US" w:eastAsia="zh-CN" w:bidi="ar"/>
        </w:rPr>
        <w:t>(</w:t>
      </w:r>
      <w:r>
        <w:rPr>
          <w:rFonts w:hint="eastAsia" w:ascii="宋体" w:hAnsi="宋体" w:eastAsia="宋体" w:cs="宋体"/>
          <w:bCs/>
          <w:color w:val="auto"/>
          <w:sz w:val="24"/>
          <w:szCs w:val="24"/>
          <w:highlight w:val="none"/>
          <w:lang w:bidi="ar"/>
        </w:rPr>
        <w:t>GB/T 24718-</w:t>
      </w:r>
      <w:r>
        <w:rPr>
          <w:rFonts w:hint="eastAsia" w:ascii="宋体" w:hAnsi="宋体" w:eastAsia="宋体" w:cs="宋体"/>
          <w:bCs/>
          <w:color w:val="auto"/>
          <w:sz w:val="24"/>
          <w:szCs w:val="24"/>
          <w:highlight w:val="none"/>
          <w:lang w:val="en-US" w:eastAsia="zh-CN" w:bidi="ar"/>
        </w:rPr>
        <w:t>2023)</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(28)《突起路标》</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GB/T 24725-2009</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(29)《太阳能突起路标》</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GB/T 19813-2005</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(30)《公路桥涵施工技术规范》</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JTG/T 3650-2020</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(31)《公路工程质量检验评定标准 第一册 土建工程》（JTG F80/1－2017)；</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(32)《混凝土结构现场检测技术标准》（GB/T 50784-2013）；</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(33)《回弹法检测混凝土抗压强度技术规程》（JGJ/T 23-2011）；</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(34)《混凝土结构工程施工质量验收规范》（GB 50204-2015）；</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(35)《混凝土强度检验评定标准》（GB/T 50107-2010）；</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(36)《公路路基路面现场测试规程》</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JTG 3450-2019</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(37)《混凝土中钢筋检测技术标准》</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JGJ/T 152-2019</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(38)《城市桥梁工程施工与质量验收规范》</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CJJ 2-2008</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(39)《公路桥梁荷载试验规程》</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JTG/T J21-01-2015</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(40)《公路桥梁承载能力检测评定规程》</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JTG/T J21-2011</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(41)《城市桥梁检测与评定技术规范》</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CJJ/T 233-2015</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(42)《工程测量标准》</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GB 50026-2020</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(43)《城市桥梁检测技术标准》</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DBJ/T 15-87-2022</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(44)《城市桥梁养护技术标准》</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CJJ 99-2017</w:t>
      </w:r>
      <w:r>
        <w:rPr>
          <w:rFonts w:hint="eastAsia" w:ascii="宋体" w:hAnsi="宋体" w:eastAsia="宋体" w:cs="宋体"/>
          <w:bCs/>
          <w:color w:val="auto"/>
          <w:sz w:val="24"/>
          <w:szCs w:val="24"/>
          <w:highlight w:val="none"/>
          <w:lang w:eastAsia="zh-CN" w:bidi="ar"/>
        </w:rPr>
        <w:t>）</w:t>
      </w:r>
      <w:r>
        <w:rPr>
          <w:rFonts w:hint="eastAsia" w:ascii="宋体" w:hAnsi="宋体" w:eastAsia="宋体" w:cs="宋体"/>
          <w:bCs/>
          <w:color w:val="auto"/>
          <w:sz w:val="24"/>
          <w:szCs w:val="24"/>
          <w:highlight w:val="none"/>
          <w:lang w:bidi="ar"/>
        </w:rPr>
        <w:t>；</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(45)《桥梁混凝土结构无损检测技术规程》（T/CECS G:J50-01-2019）;</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(46)《城镇道路工程施工与质量验收规范》（CJJ 1-2008）；</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(47)《给水排水管道工程施工及验收规范》（GB50268-2008）；</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(48)《给排水构筑物工程施工及验收规范》（GB50141-2008）；</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(49)《城镇排水管道检测与评估技术规程》（CJJ181-2012）；</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(50)《城市道路照明工程施工及验收规程》（CJJ 89-2012）；</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val="en-US" w:eastAsia="zh-CN" w:bidi="ar"/>
        </w:rPr>
        <w:t>(51)</w:t>
      </w:r>
      <w:r>
        <w:rPr>
          <w:rFonts w:hint="eastAsia" w:ascii="宋体" w:hAnsi="宋体" w:eastAsia="宋体" w:cs="宋体"/>
          <w:bCs/>
          <w:color w:val="auto"/>
          <w:sz w:val="24"/>
          <w:szCs w:val="24"/>
          <w:highlight w:val="none"/>
          <w:lang w:bidi="ar"/>
        </w:rPr>
        <w:t>《混凝土结构工程施工质量验收规范》（GB50204-2015）。</w:t>
      </w:r>
    </w:p>
    <w:p>
      <w:pPr>
        <w:numPr>
          <w:ilvl w:val="255"/>
          <w:numId w:val="0"/>
        </w:numPr>
        <w:autoSpaceDE w:val="0"/>
        <w:autoSpaceDN w:val="0"/>
        <w:adjustRightInd w:val="0"/>
        <w:snapToGrid w:val="0"/>
        <w:spacing w:line="360" w:lineRule="auto"/>
        <w:jc w:val="left"/>
        <w:outlineLvl w:val="1"/>
        <w:rPr>
          <w:rFonts w:ascii="宋体" w:hAnsi="宋体" w:eastAsia="宋体" w:cs="宋体"/>
          <w:b/>
          <w:color w:val="auto"/>
          <w:sz w:val="24"/>
          <w:szCs w:val="24"/>
          <w:highlight w:val="none"/>
          <w:lang w:bidi="ar"/>
        </w:rPr>
      </w:pPr>
      <w:r>
        <w:rPr>
          <w:rFonts w:hint="eastAsia" w:ascii="宋体" w:hAnsi="宋体" w:eastAsia="宋体" w:cs="宋体"/>
          <w:b/>
          <w:color w:val="auto"/>
          <w:sz w:val="24"/>
          <w:szCs w:val="24"/>
          <w:highlight w:val="none"/>
          <w:lang w:bidi="ar"/>
        </w:rPr>
        <w:t>三、检测</w:t>
      </w:r>
      <w:r>
        <w:rPr>
          <w:rFonts w:hint="eastAsia" w:ascii="宋体" w:hAnsi="宋体" w:eastAsia="宋体" w:cs="宋体"/>
          <w:b/>
          <w:color w:val="auto"/>
          <w:sz w:val="24"/>
          <w:szCs w:val="24"/>
          <w:highlight w:val="none"/>
          <w:lang w:val="en-US" w:eastAsia="zh-CN" w:bidi="ar"/>
        </w:rPr>
        <w:t>基本</w:t>
      </w:r>
      <w:r>
        <w:rPr>
          <w:rFonts w:hint="eastAsia" w:ascii="宋体" w:hAnsi="宋体" w:eastAsia="宋体" w:cs="宋体"/>
          <w:b/>
          <w:color w:val="auto"/>
          <w:sz w:val="24"/>
          <w:szCs w:val="24"/>
          <w:highlight w:val="none"/>
          <w:lang w:bidi="ar"/>
        </w:rPr>
        <w:t>要求：</w:t>
      </w:r>
    </w:p>
    <w:p>
      <w:pPr>
        <w:pStyle w:val="29"/>
        <w:spacing w:line="360" w:lineRule="auto"/>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1.检测技术方案必须符合国家及地方现行有关技术规范或规定以及设计单位的要求，同时满足项目属地质量安全监督机构备案的要求。</w:t>
      </w:r>
    </w:p>
    <w:p>
      <w:pPr>
        <w:pStyle w:val="29"/>
        <w:spacing w:line="360" w:lineRule="auto"/>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2.中标人应按照委托人指定的时间内依据相应检测标准或规程应完成检测工作，并保证检测工作的客观、独立、公正，对所提供资料的真实性、准确性、合法性负责。</w:t>
      </w:r>
    </w:p>
    <w:p>
      <w:pPr>
        <w:pStyle w:val="29"/>
        <w:spacing w:line="360" w:lineRule="auto"/>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3.中标人应对现场检测人员的人身安全承担责任，按照相关规定做好安全管理工作。</w:t>
      </w:r>
    </w:p>
    <w:p>
      <w:pPr>
        <w:pStyle w:val="29"/>
        <w:spacing w:line="360" w:lineRule="auto"/>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4.检测过程中，如因场地条件、设计方案的变更，需增减检测工程量或改变检测手段的，中标人应配合委托方提供相应材料和技术意见及建议。</w:t>
      </w:r>
    </w:p>
    <w:p>
      <w:pPr>
        <w:autoSpaceDE w:val="0"/>
        <w:autoSpaceDN w:val="0"/>
        <w:adjustRightInd w:val="0"/>
        <w:snapToGrid w:val="0"/>
        <w:spacing w:line="360" w:lineRule="auto"/>
        <w:jc w:val="left"/>
        <w:outlineLvl w:val="1"/>
        <w:rPr>
          <w:rFonts w:ascii="宋体" w:hAnsi="宋体" w:eastAsia="宋体" w:cs="宋体"/>
          <w:b/>
          <w:color w:val="auto"/>
          <w:sz w:val="24"/>
          <w:szCs w:val="24"/>
          <w:highlight w:val="none"/>
          <w:lang w:bidi="ar"/>
        </w:rPr>
      </w:pPr>
      <w:r>
        <w:rPr>
          <w:rFonts w:hint="eastAsia" w:ascii="宋体" w:hAnsi="宋体" w:eastAsia="宋体" w:cs="宋体"/>
          <w:b/>
          <w:color w:val="auto"/>
          <w:sz w:val="24"/>
          <w:szCs w:val="24"/>
          <w:highlight w:val="none"/>
          <w:lang w:bidi="ar"/>
        </w:rPr>
        <w:t>四、成果要求：</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本次检测任务的标准将采用相关国家的建设工程质量规范和标准规定。检测结果将根据这些标准进行评估和判断。任务委托方要求：</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1.出具符合监管单位要求的检测实施方案；</w:t>
      </w:r>
    </w:p>
    <w:p>
      <w:pPr>
        <w:autoSpaceDE w:val="0"/>
        <w:autoSpaceDN w:val="0"/>
        <w:adjustRightInd w:val="0"/>
        <w:snapToGrid w:val="0"/>
        <w:spacing w:line="360" w:lineRule="auto"/>
        <w:ind w:firstLine="480" w:firstLineChars="200"/>
        <w:jc w:val="left"/>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2.检测任务完成后，出具详细的检测报告，包括各项检测指标的测试结果和评价。</w:t>
      </w:r>
    </w:p>
    <w:p>
      <w:pPr>
        <w:widowControl/>
        <w:adjustRightInd w:val="0"/>
        <w:snapToGrid w:val="0"/>
        <w:spacing w:line="360" w:lineRule="auto"/>
        <w:jc w:val="left"/>
        <w:outlineLvl w:val="1"/>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bidi="ar"/>
        </w:rPr>
        <w:t>五、检测设备要求</w:t>
      </w:r>
    </w:p>
    <w:p>
      <w:pPr>
        <w:tabs>
          <w:tab w:val="left" w:pos="0"/>
          <w:tab w:val="left" w:pos="360"/>
          <w:tab w:val="left" w:pos="1260"/>
          <w:tab w:val="left" w:pos="1440"/>
        </w:tabs>
        <w:adjustRightInd w:val="0"/>
        <w:snapToGrid w:val="0"/>
        <w:spacing w:line="360" w:lineRule="auto"/>
        <w:ind w:firstLine="480" w:firstLineChars="200"/>
        <w:rPr>
          <w:rFonts w:ascii="宋体" w:hAnsi="宋体" w:eastAsia="宋体" w:cs="宋体"/>
          <w:snapToGrid w:val="0"/>
          <w:color w:val="auto"/>
          <w:kern w:val="28"/>
          <w:sz w:val="24"/>
          <w:szCs w:val="24"/>
          <w:highlight w:val="none"/>
          <w:lang w:bidi="ar"/>
        </w:rPr>
      </w:pPr>
      <w:r>
        <w:rPr>
          <w:rFonts w:hint="eastAsia" w:ascii="宋体" w:hAnsi="宋体" w:eastAsia="宋体" w:cs="宋体"/>
          <w:snapToGrid w:val="0"/>
          <w:color w:val="auto"/>
          <w:kern w:val="28"/>
          <w:sz w:val="24"/>
          <w:szCs w:val="24"/>
          <w:highlight w:val="none"/>
          <w:lang w:bidi="ar"/>
        </w:rPr>
        <w:t>用于完成本项目检测的仪器、设备和材料由承包人自行运输，存管。仪器、设备和材料应有产品出厂合格证，检定或标定证书或校准证书，同时符合相关技术标准和检定要求。本项目应遵守相关</w:t>
      </w:r>
      <w:r>
        <w:rPr>
          <w:rFonts w:hint="eastAsia" w:ascii="宋体" w:hAnsi="宋体" w:eastAsia="宋体" w:cs="宋体"/>
          <w:snapToGrid w:val="0"/>
          <w:color w:val="auto"/>
          <w:kern w:val="28"/>
          <w:sz w:val="24"/>
          <w:szCs w:val="24"/>
          <w:highlight w:val="none"/>
          <w:lang w:val="en-US" w:eastAsia="zh-CN" w:bidi="ar"/>
        </w:rPr>
        <w:t>主管</w:t>
      </w:r>
      <w:r>
        <w:rPr>
          <w:rFonts w:hint="eastAsia" w:ascii="宋体" w:hAnsi="宋体" w:eastAsia="宋体" w:cs="宋体"/>
          <w:snapToGrid w:val="0"/>
          <w:color w:val="auto"/>
          <w:kern w:val="28"/>
          <w:sz w:val="24"/>
          <w:szCs w:val="24"/>
          <w:highlight w:val="none"/>
          <w:lang w:bidi="ar"/>
        </w:rPr>
        <w:t>部门对本工程的相关批示及指导意见执行。最低设备要求详见下表：</w:t>
      </w:r>
    </w:p>
    <w:p>
      <w:pPr>
        <w:tabs>
          <w:tab w:val="left" w:pos="0"/>
          <w:tab w:val="left" w:pos="360"/>
          <w:tab w:val="left" w:pos="1260"/>
          <w:tab w:val="left" w:pos="1440"/>
        </w:tabs>
        <w:adjustRightInd w:val="0"/>
        <w:snapToGrid w:val="0"/>
        <w:spacing w:line="360" w:lineRule="auto"/>
        <w:ind w:firstLine="480" w:firstLineChars="200"/>
        <w:jc w:val="center"/>
        <w:rPr>
          <w:rFonts w:ascii="宋体" w:hAnsi="宋体" w:eastAsia="宋体" w:cs="宋体"/>
          <w:snapToGrid w:val="0"/>
          <w:color w:val="auto"/>
          <w:kern w:val="28"/>
          <w:sz w:val="24"/>
          <w:szCs w:val="24"/>
          <w:highlight w:val="none"/>
          <w:lang w:bidi="ar"/>
        </w:rPr>
      </w:pPr>
      <w:r>
        <w:rPr>
          <w:rFonts w:hint="eastAsia" w:ascii="宋体" w:hAnsi="宋体" w:eastAsia="宋体" w:cs="宋体"/>
          <w:snapToGrid w:val="0"/>
          <w:color w:val="auto"/>
          <w:kern w:val="28"/>
          <w:sz w:val="24"/>
          <w:szCs w:val="24"/>
          <w:highlight w:val="none"/>
          <w:lang w:bidi="ar"/>
        </w:rPr>
        <w:t>最低设备要求表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3047"/>
        <w:gridCol w:w="253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snapToGrid w:val="0"/>
                <w:color w:val="auto"/>
                <w:kern w:val="28"/>
                <w:sz w:val="24"/>
                <w:szCs w:val="24"/>
                <w:highlight w:val="none"/>
                <w:lang w:bidi="ar"/>
              </w:rPr>
            </w:pPr>
            <w:r>
              <w:rPr>
                <w:rFonts w:hint="eastAsia" w:ascii="宋体" w:hAnsi="宋体" w:eastAsia="宋体" w:cs="宋体"/>
                <w:snapToGrid w:val="0"/>
                <w:color w:val="auto"/>
                <w:kern w:val="28"/>
                <w:sz w:val="24"/>
                <w:szCs w:val="24"/>
                <w:highlight w:val="none"/>
                <w:lang w:bidi="ar"/>
              </w:rPr>
              <w:t>序号</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snapToGrid w:val="0"/>
                <w:color w:val="auto"/>
                <w:kern w:val="28"/>
                <w:sz w:val="24"/>
                <w:szCs w:val="24"/>
                <w:highlight w:val="none"/>
                <w:lang w:bidi="ar"/>
              </w:rPr>
            </w:pPr>
            <w:r>
              <w:rPr>
                <w:rFonts w:hint="eastAsia" w:ascii="宋体" w:hAnsi="宋体" w:eastAsia="宋体" w:cs="宋体"/>
                <w:snapToGrid w:val="0"/>
                <w:color w:val="auto"/>
                <w:kern w:val="28"/>
                <w:sz w:val="24"/>
                <w:szCs w:val="24"/>
                <w:highlight w:val="none"/>
                <w:lang w:bidi="ar"/>
              </w:rPr>
              <w:t>设备名称</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snapToGrid w:val="0"/>
                <w:color w:val="auto"/>
                <w:kern w:val="28"/>
                <w:sz w:val="24"/>
                <w:szCs w:val="24"/>
                <w:highlight w:val="none"/>
                <w:lang w:bidi="ar"/>
              </w:rPr>
            </w:pPr>
            <w:r>
              <w:rPr>
                <w:rFonts w:hint="eastAsia" w:ascii="宋体" w:hAnsi="宋体" w:eastAsia="宋体" w:cs="宋体"/>
                <w:snapToGrid w:val="0"/>
                <w:color w:val="auto"/>
                <w:kern w:val="28"/>
                <w:sz w:val="24"/>
                <w:szCs w:val="24"/>
                <w:highlight w:val="none"/>
                <w:lang w:bidi="ar"/>
              </w:rPr>
              <w:t>单位</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snapToGrid w:val="0"/>
                <w:color w:val="auto"/>
                <w:kern w:val="28"/>
                <w:sz w:val="24"/>
                <w:szCs w:val="24"/>
                <w:highlight w:val="none"/>
                <w:lang w:bidi="ar"/>
              </w:rPr>
            </w:pPr>
            <w:r>
              <w:rPr>
                <w:rFonts w:hint="eastAsia" w:ascii="宋体" w:hAnsi="宋体" w:eastAsia="宋体" w:cs="宋体"/>
                <w:snapToGrid w:val="0"/>
                <w:color w:val="auto"/>
                <w:kern w:val="28"/>
                <w:sz w:val="24"/>
                <w:szCs w:val="24"/>
                <w:highlight w:val="none"/>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1</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default" w:ascii="宋体" w:hAnsi="宋体" w:eastAsia="宋体" w:cs="宋体"/>
                <w:color w:val="auto"/>
                <w:kern w:val="0"/>
                <w:sz w:val="24"/>
                <w:szCs w:val="24"/>
                <w:highlight w:val="none"/>
              </w:rPr>
              <w:t>桥梁挠度检测仪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default" w:ascii="宋体" w:hAnsi="宋体" w:eastAsia="宋体" w:cs="宋体"/>
                <w:color w:val="auto"/>
                <w:kern w:val="0"/>
                <w:sz w:val="24"/>
                <w:szCs w:val="24"/>
                <w:highlight w:val="none"/>
              </w:rPr>
              <w:t>数据采集和信号分析仪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3</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超声基桩检测仪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4</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基桩动测仪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5</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标线逆反射系数测定仪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微机控制万能试验机</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回弹仪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钢筋扫描仪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9</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非金属超声波检测仪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0"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10</w:t>
            </w:r>
          </w:p>
        </w:tc>
        <w:tc>
          <w:tcPr>
            <w:tcW w:w="304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激光测距仪</w:t>
            </w:r>
          </w:p>
        </w:tc>
        <w:tc>
          <w:tcPr>
            <w:tcW w:w="2534"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台</w:t>
            </w:r>
          </w:p>
        </w:tc>
        <w:tc>
          <w:tcPr>
            <w:tcW w:w="1277" w:type="dxa"/>
            <w:vAlign w:val="center"/>
          </w:tcPr>
          <w:p>
            <w:pPr>
              <w:keepNext w:val="0"/>
              <w:keepLines w:val="0"/>
              <w:suppressLineNumbers w:val="0"/>
              <w:tabs>
                <w:tab w:val="left" w:pos="0"/>
                <w:tab w:val="left" w:pos="360"/>
                <w:tab w:val="left" w:pos="1260"/>
                <w:tab w:val="left" w:pos="1440"/>
              </w:tabs>
              <w:adjustRightInd w:val="0"/>
              <w:snapToGrid w:val="0"/>
              <w:spacing w:before="0" w:beforeAutospacing="0" w:after="0" w:afterAutospacing="0"/>
              <w:ind w:left="0" w:right="0" w:firstLine="24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r>
    </w:tbl>
    <w:p>
      <w:pPr>
        <w:ind w:firstLine="420" w:firstLineChars="175"/>
        <w:rPr>
          <w:rFonts w:hint="eastAsia" w:ascii="宋体" w:hAnsi="宋体" w:eastAsia="宋体" w:cs="宋体"/>
          <w:b w:val="0"/>
          <w:bCs w:val="0"/>
          <w:snapToGrid w:val="0"/>
          <w:color w:val="auto"/>
          <w:kern w:val="28"/>
          <w:sz w:val="24"/>
          <w:szCs w:val="24"/>
          <w:highlight w:val="none"/>
          <w:lang w:bidi="ar"/>
        </w:rPr>
      </w:pPr>
      <w:r>
        <w:rPr>
          <w:rFonts w:hint="eastAsia" w:ascii="宋体" w:hAnsi="宋体" w:eastAsia="宋体" w:cs="宋体"/>
          <w:b w:val="0"/>
          <w:bCs w:val="0"/>
          <w:snapToGrid w:val="0"/>
          <w:color w:val="auto"/>
          <w:kern w:val="28"/>
          <w:sz w:val="24"/>
          <w:szCs w:val="24"/>
          <w:highlight w:val="none"/>
          <w:lang w:bidi="ar"/>
        </w:rPr>
        <w:t>注：1.如设备名称不同但与该设备功能一致的视为满足要求。</w:t>
      </w:r>
    </w:p>
    <w:p>
      <w:pPr>
        <w:ind w:firstLine="420" w:firstLineChars="175"/>
        <w:rPr>
          <w:rFonts w:hint="eastAsia" w:ascii="宋体" w:hAnsi="宋体" w:eastAsia="宋体" w:cs="宋体"/>
          <w:b w:val="0"/>
          <w:bCs w:val="0"/>
          <w:snapToGrid w:val="0"/>
          <w:color w:val="auto"/>
          <w:kern w:val="28"/>
          <w:sz w:val="24"/>
          <w:szCs w:val="24"/>
          <w:highlight w:val="none"/>
          <w:lang w:bidi="ar"/>
        </w:rPr>
      </w:pPr>
      <w:r>
        <w:rPr>
          <w:rFonts w:hint="eastAsia" w:ascii="宋体" w:hAnsi="宋体" w:eastAsia="宋体" w:cs="宋体"/>
          <w:b w:val="0"/>
          <w:bCs w:val="0"/>
          <w:snapToGrid w:val="0"/>
          <w:color w:val="auto"/>
          <w:kern w:val="28"/>
          <w:sz w:val="24"/>
          <w:szCs w:val="24"/>
          <w:highlight w:val="none"/>
          <w:lang w:bidi="ar"/>
        </w:rPr>
        <w:t>2.上述设备清单为最低要求。</w:t>
      </w:r>
    </w:p>
    <w:p>
      <w:pPr>
        <w:ind w:firstLine="420" w:firstLineChars="175"/>
        <w:rPr>
          <w:rFonts w:ascii="宋体" w:hAnsi="宋体" w:eastAsia="宋体" w:cs="宋体"/>
          <w:b w:val="0"/>
          <w:bCs w:val="0"/>
          <w:snapToGrid w:val="0"/>
          <w:color w:val="auto"/>
          <w:kern w:val="28"/>
          <w:sz w:val="24"/>
          <w:szCs w:val="24"/>
          <w:highlight w:val="none"/>
          <w:lang w:bidi="ar"/>
        </w:rPr>
      </w:pPr>
      <w:r>
        <w:rPr>
          <w:rFonts w:hint="eastAsia" w:ascii="宋体" w:hAnsi="宋体" w:eastAsia="宋体" w:cs="宋体"/>
          <w:b w:val="0"/>
          <w:bCs w:val="0"/>
          <w:snapToGrid w:val="0"/>
          <w:color w:val="auto"/>
          <w:kern w:val="28"/>
          <w:sz w:val="24"/>
          <w:szCs w:val="24"/>
          <w:highlight w:val="none"/>
          <w:lang w:bidi="ar"/>
        </w:rPr>
        <w:t>3.如投标人中标，招标人将根据投标文件载明的拟投入本项目的主要检测仪器设备核查进场的仪器设备（部分特殊试验检测项目报发包人同意后，可委托有相应资质的单位实施，这部分检测项目所需设备经发包人同意后可不予进场），仪器设备必须有效标定。发包人有权要求中标人根据实际检测需要增加检测设备的投入，中标人不得因此向发包人索赔。</w:t>
      </w:r>
      <w:r>
        <w:rPr>
          <w:rFonts w:hint="eastAsia" w:ascii="宋体" w:hAnsi="宋体" w:eastAsia="宋体" w:cs="宋体"/>
          <w:b w:val="0"/>
          <w:bCs w:val="0"/>
          <w:snapToGrid w:val="0"/>
          <w:color w:val="auto"/>
          <w:kern w:val="28"/>
          <w:sz w:val="24"/>
          <w:szCs w:val="24"/>
          <w:highlight w:val="none"/>
          <w:lang w:bidi="ar"/>
        </w:rPr>
        <w:br w:type="page"/>
      </w:r>
    </w:p>
    <w:p>
      <w:pPr>
        <w:tabs>
          <w:tab w:val="left" w:pos="0"/>
          <w:tab w:val="left" w:pos="360"/>
          <w:tab w:val="left" w:pos="1260"/>
          <w:tab w:val="left" w:pos="1440"/>
        </w:tabs>
        <w:adjustRightInd w:val="0"/>
        <w:snapToGrid w:val="0"/>
        <w:spacing w:line="360" w:lineRule="auto"/>
        <w:outlineLvl w:val="1"/>
        <w:rPr>
          <w:rFonts w:ascii="宋体" w:hAnsi="宋体" w:eastAsia="宋体" w:cs="宋体"/>
          <w:b/>
          <w:bCs/>
          <w:snapToGrid w:val="0"/>
          <w:color w:val="auto"/>
          <w:kern w:val="28"/>
          <w:sz w:val="24"/>
          <w:szCs w:val="24"/>
          <w:highlight w:val="none"/>
          <w:lang w:bidi="ar"/>
        </w:rPr>
      </w:pPr>
      <w:r>
        <w:rPr>
          <w:rFonts w:hint="eastAsia" w:ascii="宋体" w:hAnsi="宋体" w:eastAsia="宋体" w:cs="宋体"/>
          <w:b/>
          <w:bCs/>
          <w:snapToGrid w:val="0"/>
          <w:color w:val="auto"/>
          <w:kern w:val="28"/>
          <w:sz w:val="24"/>
          <w:szCs w:val="24"/>
          <w:highlight w:val="none"/>
          <w:lang w:val="en-US" w:eastAsia="zh-CN" w:bidi="ar"/>
        </w:rPr>
        <w:t>六</w:t>
      </w:r>
      <w:r>
        <w:rPr>
          <w:rFonts w:hint="eastAsia" w:ascii="宋体" w:hAnsi="宋体" w:eastAsia="宋体" w:cs="宋体"/>
          <w:b/>
          <w:bCs/>
          <w:snapToGrid w:val="0"/>
          <w:color w:val="auto"/>
          <w:kern w:val="28"/>
          <w:sz w:val="24"/>
          <w:szCs w:val="24"/>
          <w:highlight w:val="none"/>
          <w:lang w:bidi="ar"/>
        </w:rPr>
        <w:t>、检测实施要点</w:t>
      </w:r>
    </w:p>
    <w:p>
      <w:pPr>
        <w:tabs>
          <w:tab w:val="left" w:pos="0"/>
          <w:tab w:val="left" w:pos="360"/>
          <w:tab w:val="left" w:pos="1260"/>
          <w:tab w:val="left" w:pos="1440"/>
        </w:tabs>
        <w:adjustRightInd w:val="0"/>
        <w:snapToGrid w:val="0"/>
        <w:spacing w:line="360" w:lineRule="auto"/>
        <w:ind w:firstLine="480" w:firstLineChars="200"/>
        <w:rPr>
          <w:rFonts w:ascii="宋体" w:hAnsi="宋体" w:eastAsia="宋体" w:cs="宋体"/>
          <w:snapToGrid w:val="0"/>
          <w:color w:val="auto"/>
          <w:kern w:val="28"/>
          <w:sz w:val="24"/>
          <w:szCs w:val="24"/>
          <w:highlight w:val="none"/>
          <w:lang w:bidi="ar"/>
        </w:rPr>
      </w:pPr>
      <w:r>
        <w:rPr>
          <w:rFonts w:hint="eastAsia" w:ascii="宋体" w:hAnsi="宋体" w:eastAsia="宋体" w:cs="宋体"/>
          <w:snapToGrid w:val="0"/>
          <w:color w:val="auto"/>
          <w:kern w:val="28"/>
          <w:sz w:val="24"/>
          <w:szCs w:val="24"/>
          <w:highlight w:val="none"/>
          <w:lang w:bidi="ar"/>
        </w:rPr>
        <w:t>中标人在进场检测前，需根据施工图纸及现场实际情况编制检测方案，并报监理工程师、</w:t>
      </w:r>
      <w:r>
        <w:rPr>
          <w:rFonts w:hint="eastAsia" w:ascii="宋体" w:hAnsi="宋体" w:eastAsia="宋体" w:cs="宋体"/>
          <w:snapToGrid w:val="0"/>
          <w:color w:val="auto"/>
          <w:kern w:val="28"/>
          <w:sz w:val="24"/>
          <w:szCs w:val="24"/>
          <w:highlight w:val="none"/>
          <w:lang w:val="en-US" w:eastAsia="zh-CN" w:bidi="ar"/>
        </w:rPr>
        <w:t>委托</w:t>
      </w:r>
      <w:r>
        <w:rPr>
          <w:rFonts w:hint="eastAsia" w:ascii="宋体" w:hAnsi="宋体" w:eastAsia="宋体" w:cs="宋体"/>
          <w:snapToGrid w:val="0"/>
          <w:color w:val="auto"/>
          <w:kern w:val="28"/>
          <w:sz w:val="24"/>
          <w:szCs w:val="24"/>
          <w:highlight w:val="none"/>
          <w:lang w:bidi="ar"/>
        </w:rPr>
        <w:t>人、项目所在行政区域的相关建设行政主管部门和监督部门</w:t>
      </w:r>
      <w:r>
        <w:rPr>
          <w:rFonts w:hint="eastAsia" w:ascii="宋体" w:hAnsi="宋体" w:eastAsia="宋体" w:cs="宋体"/>
          <w:snapToGrid w:val="0"/>
          <w:color w:val="auto"/>
          <w:kern w:val="28"/>
          <w:sz w:val="24"/>
          <w:szCs w:val="24"/>
          <w:highlight w:val="none"/>
          <w:lang w:eastAsia="zh-CN" w:bidi="ar"/>
        </w:rPr>
        <w:t>（</w:t>
      </w:r>
      <w:r>
        <w:rPr>
          <w:rFonts w:hint="eastAsia" w:ascii="宋体" w:hAnsi="宋体" w:eastAsia="宋体" w:cs="宋体"/>
          <w:snapToGrid w:val="0"/>
          <w:color w:val="auto"/>
          <w:kern w:val="28"/>
          <w:sz w:val="24"/>
          <w:szCs w:val="24"/>
          <w:highlight w:val="none"/>
          <w:lang w:val="en-US" w:eastAsia="zh-CN" w:bidi="ar"/>
        </w:rPr>
        <w:t>如有必要</w:t>
      </w:r>
      <w:r>
        <w:rPr>
          <w:rFonts w:hint="eastAsia" w:ascii="宋体" w:hAnsi="宋体" w:eastAsia="宋体" w:cs="宋体"/>
          <w:snapToGrid w:val="0"/>
          <w:color w:val="auto"/>
          <w:kern w:val="28"/>
          <w:sz w:val="24"/>
          <w:szCs w:val="24"/>
          <w:highlight w:val="none"/>
          <w:lang w:eastAsia="zh-CN" w:bidi="ar"/>
        </w:rPr>
        <w:t>）</w:t>
      </w:r>
      <w:r>
        <w:rPr>
          <w:rFonts w:hint="eastAsia" w:ascii="宋体" w:hAnsi="宋体" w:eastAsia="宋体" w:cs="宋体"/>
          <w:snapToGrid w:val="0"/>
          <w:color w:val="auto"/>
          <w:kern w:val="28"/>
          <w:sz w:val="24"/>
          <w:szCs w:val="24"/>
          <w:highlight w:val="none"/>
          <w:lang w:bidi="ar"/>
        </w:rPr>
        <w:t>等审批同意后实施。检测方案必须满足设计文件以及国家、广东省及广州市监督部门现行技术规范的要求。</w:t>
      </w:r>
    </w:p>
    <w:p>
      <w:pPr>
        <w:adjustRightInd w:val="0"/>
        <w:snapToGrid w:val="0"/>
        <w:spacing w:line="360" w:lineRule="auto"/>
        <w:outlineLvl w:val="1"/>
        <w:rPr>
          <w:rFonts w:ascii="宋体" w:hAnsi="宋体" w:eastAsia="宋体" w:cs="宋体"/>
          <w:b/>
          <w:color w:val="auto"/>
          <w:sz w:val="24"/>
          <w:szCs w:val="24"/>
          <w:highlight w:val="none"/>
        </w:rPr>
      </w:pPr>
      <w:r>
        <w:rPr>
          <w:rFonts w:hint="eastAsia" w:ascii="宋体" w:hAnsi="宋体" w:eastAsia="宋体" w:cs="宋体"/>
          <w:snapToGrid w:val="0"/>
          <w:color w:val="auto"/>
          <w:kern w:val="28"/>
          <w:sz w:val="24"/>
          <w:szCs w:val="24"/>
          <w:highlight w:val="none"/>
          <w:lang w:val="en-US" w:eastAsia="zh-CN" w:bidi="ar"/>
        </w:rPr>
        <w:t>七</w:t>
      </w:r>
      <w:r>
        <w:rPr>
          <w:rFonts w:hint="eastAsia" w:ascii="宋体" w:hAnsi="宋体" w:eastAsia="宋体" w:cs="宋体"/>
          <w:b/>
          <w:color w:val="auto"/>
          <w:sz w:val="24"/>
          <w:szCs w:val="24"/>
          <w:highlight w:val="none"/>
          <w:lang w:bidi="ar"/>
        </w:rPr>
        <w:t>、其它要求</w:t>
      </w:r>
    </w:p>
    <w:p>
      <w:pPr>
        <w:tabs>
          <w:tab w:val="left" w:pos="0"/>
          <w:tab w:val="left" w:pos="360"/>
          <w:tab w:val="left" w:pos="1260"/>
          <w:tab w:val="left" w:pos="1440"/>
        </w:tabs>
        <w:adjustRightInd w:val="0"/>
        <w:snapToGrid w:val="0"/>
        <w:spacing w:line="360" w:lineRule="auto"/>
        <w:ind w:firstLine="480" w:firstLineChars="200"/>
        <w:rPr>
          <w:highlight w:val="none"/>
        </w:rPr>
      </w:pPr>
      <w:r>
        <w:rPr>
          <w:rFonts w:hint="eastAsia" w:ascii="宋体" w:hAnsi="宋体" w:eastAsia="宋体" w:cs="宋体"/>
          <w:color w:val="auto"/>
          <w:kern w:val="0"/>
          <w:sz w:val="24"/>
          <w:szCs w:val="24"/>
          <w:highlight w:val="none"/>
          <w:lang w:val="en-US" w:eastAsia="zh-CN" w:bidi="ar"/>
        </w:rPr>
        <w:t>检测方式方法应符合相关规范要求，检测</w:t>
      </w:r>
      <w:r>
        <w:rPr>
          <w:rFonts w:hint="eastAsia" w:ascii="宋体" w:hAnsi="宋体" w:eastAsia="宋体" w:cs="宋体"/>
          <w:snapToGrid w:val="0"/>
          <w:color w:val="auto"/>
          <w:kern w:val="28"/>
          <w:sz w:val="24"/>
          <w:szCs w:val="24"/>
          <w:highlight w:val="none"/>
          <w:lang w:bidi="ar"/>
        </w:rPr>
        <w:t>结果异常或不合格的，在24小时内以书面形式向招标人进行报告。</w:t>
      </w:r>
      <w:r>
        <w:rPr>
          <w:rFonts w:hint="eastAsia" w:ascii="宋体" w:hAnsi="宋体" w:eastAsia="宋体" w:cs="宋体"/>
          <w:color w:val="auto"/>
          <w:kern w:val="0"/>
          <w:sz w:val="24"/>
          <w:szCs w:val="24"/>
          <w:highlight w:val="none"/>
          <w:lang w:bidi="ar"/>
        </w:rPr>
        <w:t>工程量清单的具体检测范围及频率以相关主管部门规定及</w:t>
      </w:r>
      <w:r>
        <w:rPr>
          <w:rFonts w:hint="eastAsia" w:ascii="宋体" w:hAnsi="宋体" w:eastAsia="宋体" w:cs="宋体"/>
          <w:color w:val="auto"/>
          <w:kern w:val="0"/>
          <w:sz w:val="24"/>
          <w:szCs w:val="24"/>
          <w:highlight w:val="none"/>
          <w:lang w:val="en-US" w:eastAsia="zh-CN" w:bidi="ar"/>
        </w:rPr>
        <w:t>委托</w:t>
      </w:r>
      <w:r>
        <w:rPr>
          <w:rFonts w:hint="eastAsia" w:ascii="宋体" w:hAnsi="宋体" w:eastAsia="宋体" w:cs="宋体"/>
          <w:color w:val="auto"/>
          <w:kern w:val="0"/>
          <w:sz w:val="24"/>
          <w:szCs w:val="24"/>
          <w:highlight w:val="none"/>
          <w:lang w:bidi="ar"/>
        </w:rPr>
        <w:t>人要求为准。</w:t>
      </w:r>
    </w:p>
    <w:p>
      <w:pPr>
        <w:rPr>
          <w:rFonts w:asciiTheme="minorEastAsia" w:hAnsiTheme="minorEastAsia" w:eastAsiaTheme="minorEastAsia"/>
          <w:color w:val="auto"/>
          <w:highlight w:val="none"/>
        </w:rPr>
      </w:pPr>
    </w:p>
    <w:p>
      <w:pPr>
        <w:rPr>
          <w:color w:val="auto"/>
          <w:highlight w:val="none"/>
        </w:rPr>
      </w:pPr>
      <w:bookmarkStart w:id="110" w:name="_Toc16479_WPSOffice_Level1"/>
      <w:bookmarkStart w:id="111" w:name="_Toc22637085"/>
    </w:p>
    <w:p>
      <w:pPr>
        <w:rPr>
          <w:color w:val="auto"/>
          <w:highlight w:val="none"/>
        </w:rPr>
      </w:pPr>
    </w:p>
    <w:p>
      <w:pPr>
        <w:rPr>
          <w:color w:val="auto"/>
          <w:highlight w:val="none"/>
        </w:rPr>
      </w:pPr>
    </w:p>
    <w:p>
      <w:pPr>
        <w:rPr>
          <w:color w:val="auto"/>
          <w:highlight w:val="none"/>
        </w:rPr>
      </w:pPr>
      <w:r>
        <w:rPr>
          <w:color w:val="auto"/>
          <w:highlight w:val="none"/>
        </w:rPr>
        <w:br w:type="page"/>
      </w:r>
    </w:p>
    <w:p>
      <w:pPr>
        <w:pStyle w:val="11"/>
        <w:rPr>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line="24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第六章 投标文件格式</w:t>
      </w:r>
      <w:bookmarkEnd w:id="110"/>
      <w:bookmarkEnd w:id="111"/>
    </w:p>
    <w:p>
      <w:pPr>
        <w:rPr>
          <w:color w:val="auto"/>
          <w:highlight w:val="none"/>
        </w:rPr>
      </w:pPr>
    </w:p>
    <w:p>
      <w:pPr>
        <w:jc w:val="center"/>
        <w:rPr>
          <w:rFonts w:ascii="宋体" w:hAnsi="宋体" w:eastAsia="宋体" w:cs="宋体"/>
          <w:color w:val="auto"/>
          <w:sz w:val="32"/>
          <w:szCs w:val="32"/>
          <w:highlight w:val="none"/>
        </w:rPr>
      </w:pP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spacing w:before="240" w:after="240"/>
        <w:ind w:left="420"/>
        <w:jc w:val="center"/>
        <w:rPr>
          <w:rFonts w:asciiTheme="minorEastAsia" w:hAnsiTheme="minorEastAsia" w:eastAsiaTheme="minorEastAsia"/>
          <w:color w:val="auto"/>
          <w:sz w:val="30"/>
          <w:szCs w:val="30"/>
          <w:highlight w:val="none"/>
        </w:rPr>
      </w:pPr>
    </w:p>
    <w:p>
      <w:pPr>
        <w:spacing w:before="240" w:after="240"/>
        <w:ind w:left="420"/>
        <w:jc w:val="center"/>
        <w:rPr>
          <w:rFonts w:asciiTheme="minorEastAsia" w:hAnsiTheme="minorEastAsia" w:eastAsiaTheme="minorEastAsia"/>
          <w:color w:val="auto"/>
          <w:sz w:val="30"/>
          <w:szCs w:val="30"/>
          <w:highlight w:val="none"/>
        </w:rPr>
      </w:pPr>
    </w:p>
    <w:p>
      <w:pPr>
        <w:spacing w:before="240" w:after="240" w:line="360" w:lineRule="auto"/>
        <w:ind w:left="420"/>
        <w:jc w:val="center"/>
        <w:rPr>
          <w:rFonts w:hint="eastAsia" w:asciiTheme="minorEastAsia" w:hAnsiTheme="minorEastAsia" w:eastAsiaTheme="minorEastAsia"/>
          <w:color w:val="auto"/>
          <w:sz w:val="30"/>
          <w:szCs w:val="30"/>
          <w:highlight w:val="none"/>
          <w:lang w:eastAsia="zh-CN"/>
        </w:rPr>
      </w:pPr>
      <w:r>
        <w:rPr>
          <w:rFonts w:hint="eastAsia" w:asciiTheme="minorEastAsia" w:hAnsiTheme="minorEastAsia" w:eastAsiaTheme="minorEastAsia"/>
          <w:color w:val="auto"/>
          <w:sz w:val="30"/>
          <w:szCs w:val="30"/>
          <w:highlight w:val="none"/>
          <w:lang w:eastAsia="zh-CN"/>
        </w:rPr>
        <w:t>东南西环三滘立交市政化改造工程（二期）第三方检测</w:t>
      </w:r>
    </w:p>
    <w:p>
      <w:pPr>
        <w:rPr>
          <w:rFonts w:asciiTheme="minorEastAsia" w:hAnsiTheme="minorEastAsia" w:eastAsiaTheme="minorEastAsia"/>
          <w:color w:val="auto"/>
          <w:sz w:val="20"/>
          <w:highlight w:val="none"/>
        </w:rPr>
      </w:pPr>
    </w:p>
    <w:p>
      <w:pPr>
        <w:rPr>
          <w:rFonts w:asciiTheme="minorEastAsia" w:hAnsiTheme="minorEastAsia" w:eastAsiaTheme="minorEastAsia"/>
          <w:color w:val="auto"/>
          <w:sz w:val="20"/>
          <w:highlight w:val="none"/>
        </w:rPr>
      </w:pPr>
    </w:p>
    <w:p>
      <w:pPr>
        <w:rPr>
          <w:rFonts w:asciiTheme="minorEastAsia" w:hAnsiTheme="minorEastAsia" w:eastAsiaTheme="minorEastAsia"/>
          <w:color w:val="auto"/>
          <w:sz w:val="20"/>
          <w:highlight w:val="none"/>
        </w:rPr>
      </w:pPr>
    </w:p>
    <w:p>
      <w:pPr>
        <w:rPr>
          <w:rFonts w:asciiTheme="minorEastAsia" w:hAnsiTheme="minorEastAsia" w:eastAsiaTheme="minorEastAsia"/>
          <w:color w:val="auto"/>
          <w:sz w:val="20"/>
          <w:highlight w:val="none"/>
        </w:rPr>
      </w:pPr>
    </w:p>
    <w:p>
      <w:pPr>
        <w:rPr>
          <w:rFonts w:asciiTheme="minorEastAsia" w:hAnsiTheme="minorEastAsia" w:eastAsiaTheme="minorEastAsia"/>
          <w:color w:val="auto"/>
          <w:sz w:val="20"/>
          <w:highlight w:val="none"/>
        </w:rPr>
      </w:pPr>
    </w:p>
    <w:p>
      <w:pPr>
        <w:rPr>
          <w:rFonts w:asciiTheme="minorEastAsia" w:hAnsiTheme="minorEastAsia" w:eastAsiaTheme="minorEastAsia"/>
          <w:color w:val="auto"/>
          <w:sz w:val="20"/>
          <w:highlight w:val="none"/>
        </w:rPr>
      </w:pPr>
    </w:p>
    <w:p>
      <w:pPr>
        <w:rPr>
          <w:rFonts w:asciiTheme="minorEastAsia" w:hAnsiTheme="minorEastAsia" w:eastAsiaTheme="minorEastAsia"/>
          <w:color w:val="auto"/>
          <w:sz w:val="20"/>
          <w:highlight w:val="none"/>
        </w:rPr>
      </w:pPr>
    </w:p>
    <w:p>
      <w:pPr>
        <w:rPr>
          <w:rFonts w:asciiTheme="minorEastAsia" w:hAnsiTheme="minorEastAsia" w:eastAsiaTheme="minorEastAsia"/>
          <w:color w:val="auto"/>
          <w:sz w:val="20"/>
          <w:highlight w:val="none"/>
        </w:rPr>
      </w:pPr>
    </w:p>
    <w:p>
      <w:pPr>
        <w:rPr>
          <w:rFonts w:asciiTheme="minorEastAsia" w:hAnsiTheme="minorEastAsia" w:eastAsiaTheme="minorEastAsia"/>
          <w:color w:val="auto"/>
          <w:sz w:val="20"/>
          <w:highlight w:val="none"/>
        </w:rPr>
      </w:pPr>
    </w:p>
    <w:p>
      <w:pPr>
        <w:rPr>
          <w:rFonts w:asciiTheme="minorEastAsia" w:hAnsiTheme="minorEastAsia" w:eastAsiaTheme="minorEastAsia"/>
          <w:color w:val="auto"/>
          <w:sz w:val="20"/>
          <w:highlight w:val="none"/>
        </w:rPr>
      </w:pPr>
    </w:p>
    <w:p>
      <w:pPr>
        <w:rPr>
          <w:rFonts w:asciiTheme="minorEastAsia" w:hAnsiTheme="minorEastAsia" w:eastAsiaTheme="minorEastAsia"/>
          <w:color w:val="auto"/>
          <w:sz w:val="20"/>
          <w:highlight w:val="none"/>
        </w:rPr>
      </w:pPr>
    </w:p>
    <w:p>
      <w:pPr>
        <w:jc w:val="center"/>
        <w:rPr>
          <w:rFonts w:asciiTheme="minorEastAsia" w:hAnsiTheme="minorEastAsia" w:eastAsiaTheme="minorEastAsia"/>
          <w:color w:val="auto"/>
          <w:sz w:val="44"/>
          <w:highlight w:val="none"/>
        </w:rPr>
      </w:pPr>
      <w:bookmarkStart w:id="112" w:name="_Toc16678_WPSOffice_Level1"/>
      <w:r>
        <w:rPr>
          <w:rFonts w:hint="eastAsia" w:asciiTheme="minorEastAsia" w:hAnsiTheme="minorEastAsia" w:eastAsiaTheme="minorEastAsia"/>
          <w:color w:val="auto"/>
          <w:sz w:val="44"/>
          <w:highlight w:val="none"/>
        </w:rPr>
        <w:t>投标文件</w:t>
      </w:r>
      <w:bookmarkEnd w:id="112"/>
    </w:p>
    <w:p>
      <w:pPr>
        <w:jc w:val="center"/>
        <w:rPr>
          <w:rFonts w:asciiTheme="minorEastAsia" w:hAnsiTheme="minorEastAsia" w:eastAsiaTheme="minorEastAsia"/>
          <w:color w:val="auto"/>
          <w:sz w:val="44"/>
          <w:highlight w:val="none"/>
        </w:rPr>
      </w:pPr>
    </w:p>
    <w:p>
      <w:pPr>
        <w:rPr>
          <w:rFonts w:asciiTheme="minorEastAsia" w:hAnsiTheme="minorEastAsia" w:eastAsiaTheme="minorEastAsia"/>
          <w:color w:val="auto"/>
          <w:sz w:val="28"/>
          <w:highlight w:val="none"/>
        </w:rPr>
      </w:pPr>
    </w:p>
    <w:p>
      <w:pPr>
        <w:rPr>
          <w:rFonts w:asciiTheme="minorEastAsia" w:hAnsiTheme="minorEastAsia" w:eastAsiaTheme="minorEastAsia"/>
          <w:color w:val="auto"/>
          <w:sz w:val="28"/>
          <w:highlight w:val="none"/>
        </w:rPr>
      </w:pPr>
    </w:p>
    <w:p>
      <w:pPr>
        <w:rPr>
          <w:rFonts w:asciiTheme="minorEastAsia" w:hAnsiTheme="minorEastAsia" w:eastAsiaTheme="minorEastAsia"/>
          <w:color w:val="auto"/>
          <w:sz w:val="28"/>
          <w:highlight w:val="none"/>
        </w:rPr>
      </w:pPr>
    </w:p>
    <w:p>
      <w:pPr>
        <w:rPr>
          <w:rFonts w:asciiTheme="minorEastAsia" w:hAnsiTheme="minorEastAsia" w:eastAsiaTheme="minorEastAsia"/>
          <w:color w:val="auto"/>
          <w:sz w:val="28"/>
          <w:highlight w:val="none"/>
        </w:rPr>
      </w:pPr>
    </w:p>
    <w:p>
      <w:pPr>
        <w:rPr>
          <w:rFonts w:asciiTheme="minorEastAsia" w:hAnsiTheme="minorEastAsia" w:eastAsiaTheme="minorEastAsia"/>
          <w:color w:val="auto"/>
          <w:sz w:val="28"/>
          <w:highlight w:val="none"/>
        </w:rPr>
      </w:pPr>
    </w:p>
    <w:p>
      <w:pPr>
        <w:rPr>
          <w:rFonts w:asciiTheme="minorEastAsia" w:hAnsiTheme="minorEastAsia" w:eastAsiaTheme="minorEastAsia"/>
          <w:color w:val="auto"/>
          <w:sz w:val="28"/>
          <w:highlight w:val="none"/>
        </w:rPr>
      </w:pPr>
    </w:p>
    <w:p>
      <w:pPr>
        <w:rPr>
          <w:rFonts w:asciiTheme="minorEastAsia" w:hAnsiTheme="minorEastAsia" w:eastAsiaTheme="minorEastAsia"/>
          <w:color w:val="auto"/>
          <w:sz w:val="28"/>
          <w:highlight w:val="none"/>
        </w:rPr>
      </w:pPr>
    </w:p>
    <w:p>
      <w:pPr>
        <w:rPr>
          <w:rFonts w:asciiTheme="minorEastAsia" w:hAnsiTheme="minorEastAsia" w:eastAsiaTheme="minorEastAsia"/>
          <w:color w:val="auto"/>
          <w:sz w:val="28"/>
          <w:highlight w:val="none"/>
        </w:rPr>
      </w:pPr>
    </w:p>
    <w:p>
      <w:pPr>
        <w:rPr>
          <w:rFonts w:asciiTheme="minorEastAsia" w:hAnsiTheme="minorEastAsia" w:eastAsiaTheme="minorEastAsia"/>
          <w:color w:val="auto"/>
          <w:sz w:val="28"/>
          <w:highlight w:val="none"/>
        </w:rPr>
      </w:pPr>
    </w:p>
    <w:p>
      <w:pPr>
        <w:rPr>
          <w:rFonts w:asciiTheme="minorEastAsia" w:hAnsiTheme="minorEastAsia" w:eastAsiaTheme="minorEastAsia"/>
          <w:color w:val="auto"/>
          <w:sz w:val="28"/>
          <w:highlight w:val="none"/>
        </w:rPr>
      </w:pPr>
    </w:p>
    <w:p>
      <w:pPr>
        <w:rPr>
          <w:rFonts w:asciiTheme="minorEastAsia" w:hAnsiTheme="minorEastAsia" w:eastAsiaTheme="minorEastAsia"/>
          <w:color w:val="auto"/>
          <w:sz w:val="28"/>
          <w:highlight w:val="none"/>
        </w:rPr>
      </w:pPr>
    </w:p>
    <w:p>
      <w:pPr>
        <w:spacing w:line="360" w:lineRule="auto"/>
        <w:rPr>
          <w:rFonts w:asciiTheme="minorEastAsia" w:hAnsiTheme="minorEastAsia" w:eastAsiaTheme="minorEastAsia"/>
          <w:color w:val="auto"/>
          <w:sz w:val="28"/>
          <w:highlight w:val="none"/>
        </w:rPr>
      </w:pPr>
    </w:p>
    <w:p>
      <w:pPr>
        <w:spacing w:line="360" w:lineRule="auto"/>
        <w:ind w:firstLine="1120" w:firstLineChars="400"/>
        <w:rPr>
          <w:rFonts w:asciiTheme="minorEastAsia" w:hAnsiTheme="minorEastAsia" w:eastAsiaTheme="minorEastAsia"/>
          <w:color w:val="auto"/>
          <w:sz w:val="28"/>
          <w:highlight w:val="none"/>
          <w:u w:val="single"/>
        </w:rPr>
      </w:pPr>
      <w:bookmarkStart w:id="113" w:name="_Toc877_WPSOffice_Level1"/>
      <w:r>
        <w:rPr>
          <w:rFonts w:hint="eastAsia" w:asciiTheme="minorEastAsia" w:hAnsiTheme="minorEastAsia" w:eastAsiaTheme="minorEastAsia"/>
          <w:color w:val="auto"/>
          <w:sz w:val="28"/>
          <w:highlight w:val="none"/>
        </w:rPr>
        <w:t>投标人：</w:t>
      </w:r>
      <w:r>
        <w:rPr>
          <w:rFonts w:asciiTheme="minorEastAsia" w:hAnsiTheme="minorEastAsia" w:eastAsiaTheme="minorEastAsia"/>
          <w:color w:val="auto"/>
          <w:sz w:val="28"/>
          <w:highlight w:val="none"/>
          <w:u w:val="single"/>
        </w:rPr>
        <w:t xml:space="preserve">                           </w:t>
      </w:r>
      <w:r>
        <w:rPr>
          <w:rFonts w:hint="eastAsia" w:asciiTheme="minorEastAsia" w:hAnsiTheme="minorEastAsia" w:eastAsiaTheme="minorEastAsia"/>
          <w:color w:val="auto"/>
          <w:sz w:val="28"/>
          <w:highlight w:val="none"/>
        </w:rPr>
        <w:t>（盖单位章）</w:t>
      </w:r>
      <w:bookmarkEnd w:id="113"/>
    </w:p>
    <w:p>
      <w:pPr>
        <w:spacing w:line="360" w:lineRule="auto"/>
        <w:ind w:firstLine="1120" w:firstLineChars="400"/>
        <w:jc w:val="left"/>
        <w:rPr>
          <w:rFonts w:asciiTheme="minorEastAsia" w:hAnsiTheme="minorEastAsia" w:eastAsiaTheme="minorEastAsia"/>
          <w:color w:val="auto"/>
          <w:sz w:val="28"/>
          <w:highlight w:val="none"/>
        </w:rPr>
      </w:pPr>
      <w:bookmarkStart w:id="114" w:name="_Toc23021_WPSOffice_Level1"/>
      <w:r>
        <w:rPr>
          <w:rFonts w:hint="eastAsia" w:asciiTheme="minorEastAsia" w:hAnsiTheme="minorEastAsia" w:eastAsiaTheme="minorEastAsia"/>
          <w:color w:val="auto"/>
          <w:sz w:val="28"/>
          <w:highlight w:val="none"/>
        </w:rPr>
        <w:t>法定代表人或其委托代理人：</w:t>
      </w:r>
      <w:r>
        <w:rPr>
          <w:rFonts w:asciiTheme="minorEastAsia" w:hAnsiTheme="minorEastAsia" w:eastAsiaTheme="minorEastAsia"/>
          <w:color w:val="auto"/>
          <w:sz w:val="28"/>
          <w:highlight w:val="none"/>
          <w:u w:val="single"/>
        </w:rPr>
        <w:t xml:space="preserve">         </w:t>
      </w:r>
      <w:r>
        <w:rPr>
          <w:rFonts w:hint="eastAsia" w:asciiTheme="minorEastAsia" w:hAnsiTheme="minorEastAsia" w:eastAsiaTheme="minorEastAsia"/>
          <w:color w:val="auto"/>
          <w:sz w:val="28"/>
          <w:highlight w:val="none"/>
        </w:rPr>
        <w:t>（</w:t>
      </w:r>
      <w:bookmarkStart w:id="115" w:name="_Hlk13044278"/>
      <w:r>
        <w:rPr>
          <w:rFonts w:hint="eastAsia" w:asciiTheme="minorEastAsia" w:hAnsiTheme="minorEastAsia" w:eastAsiaTheme="minorEastAsia"/>
          <w:color w:val="auto"/>
          <w:sz w:val="28"/>
          <w:highlight w:val="none"/>
        </w:rPr>
        <w:t>签字</w:t>
      </w:r>
      <w:bookmarkEnd w:id="115"/>
      <w:r>
        <w:rPr>
          <w:rFonts w:hint="eastAsia" w:asciiTheme="minorEastAsia" w:hAnsiTheme="minorEastAsia" w:eastAsiaTheme="minorEastAsia"/>
          <w:color w:val="auto"/>
          <w:sz w:val="28"/>
          <w:highlight w:val="none"/>
        </w:rPr>
        <w:t>或盖章）</w:t>
      </w:r>
      <w:bookmarkEnd w:id="114"/>
    </w:p>
    <w:p>
      <w:pPr>
        <w:jc w:val="center"/>
        <w:rPr>
          <w:rFonts w:asciiTheme="minorEastAsia" w:hAnsiTheme="minorEastAsia" w:eastAsiaTheme="minorEastAsia"/>
          <w:color w:val="auto"/>
          <w:sz w:val="28"/>
          <w:highlight w:val="none"/>
        </w:rPr>
      </w:pPr>
    </w:p>
    <w:p>
      <w:pPr>
        <w:spacing w:line="400" w:lineRule="exact"/>
        <w:jc w:val="center"/>
        <w:rPr>
          <w:rFonts w:asciiTheme="minorEastAsia" w:hAnsiTheme="minorEastAsia" w:eastAsiaTheme="minorEastAsia"/>
          <w:color w:val="auto"/>
          <w:highlight w:val="none"/>
        </w:rPr>
      </w:pPr>
      <w:bookmarkStart w:id="116" w:name="_Toc16739_WPSOffice_Level1"/>
      <w:r>
        <w:rPr>
          <w:rFonts w:hint="eastAsia" w:asciiTheme="minorEastAsia" w:hAnsiTheme="minorEastAsia" w:eastAsiaTheme="minorEastAsia"/>
          <w:color w:val="auto"/>
          <w:sz w:val="28"/>
          <w:highlight w:val="none"/>
        </w:rPr>
        <w:t xml:space="preserve">年    月   </w:t>
      </w:r>
      <w:r>
        <w:rPr>
          <w:rFonts w:asciiTheme="minorEastAsia" w:hAnsiTheme="minorEastAsia" w:eastAsiaTheme="minorEastAsia"/>
          <w:color w:val="auto"/>
          <w:sz w:val="28"/>
          <w:highlight w:val="none"/>
        </w:rPr>
        <w:t xml:space="preserve"> </w:t>
      </w:r>
      <w:r>
        <w:rPr>
          <w:rFonts w:hint="eastAsia" w:asciiTheme="minorEastAsia" w:hAnsiTheme="minorEastAsia" w:eastAsiaTheme="minorEastAsia"/>
          <w:color w:val="auto"/>
          <w:sz w:val="28"/>
          <w:highlight w:val="none"/>
        </w:rPr>
        <w:t>日</w:t>
      </w:r>
      <w:bookmarkEnd w:id="116"/>
    </w:p>
    <w:p>
      <w:pPr>
        <w:pStyle w:val="5"/>
        <w:jc w:val="center"/>
        <w:rPr>
          <w:rFonts w:asciiTheme="minorEastAsia" w:hAnsiTheme="minorEastAsia" w:eastAsiaTheme="minorEastAsia"/>
          <w:color w:val="auto"/>
          <w:highlight w:val="none"/>
        </w:rPr>
      </w:pPr>
      <w:bookmarkStart w:id="117" w:name="_Toc531360695"/>
      <w:r>
        <w:rPr>
          <w:rFonts w:asciiTheme="minorEastAsia" w:hAnsiTheme="minorEastAsia" w:eastAsiaTheme="minorEastAsia"/>
          <w:color w:val="auto"/>
          <w:highlight w:val="none"/>
        </w:rPr>
        <w:br w:type="page"/>
      </w:r>
      <w:bookmarkStart w:id="118" w:name="_Toc16724_WPSOffice_Level1"/>
      <w:r>
        <w:rPr>
          <w:rFonts w:hint="eastAsia" w:asciiTheme="minorEastAsia" w:hAnsiTheme="minorEastAsia" w:eastAsiaTheme="minorEastAsia"/>
          <w:color w:val="auto"/>
          <w:highlight w:val="none"/>
        </w:rPr>
        <w:t>目录</w:t>
      </w:r>
      <w:bookmarkEnd w:id="117"/>
      <w:bookmarkEnd w:id="118"/>
    </w:p>
    <w:p>
      <w:pPr>
        <w:spacing w:line="540" w:lineRule="exact"/>
        <w:rPr>
          <w:rFonts w:hint="eastAsia" w:asciiTheme="minorEastAsia" w:hAnsiTheme="minorEastAsia" w:eastAsiaTheme="minorEastAsia"/>
          <w:color w:val="auto"/>
          <w:highlight w:val="none"/>
          <w:lang w:val="en-US" w:eastAsia="zh-CN"/>
        </w:rPr>
      </w:pPr>
      <w:bookmarkStart w:id="119" w:name="_Toc30966_WPSOffice_Level1"/>
      <w:r>
        <w:rPr>
          <w:rFonts w:hint="eastAsia" w:asciiTheme="minorEastAsia" w:hAnsiTheme="minorEastAsia" w:eastAsiaTheme="minorEastAsia"/>
          <w:color w:val="auto"/>
          <w:highlight w:val="none"/>
        </w:rPr>
        <w:t>一、投标函</w:t>
      </w:r>
      <w:bookmarkEnd w:id="119"/>
      <w:r>
        <w:rPr>
          <w:rFonts w:hint="eastAsia" w:asciiTheme="minorEastAsia" w:hAnsiTheme="minorEastAsia" w:eastAsiaTheme="minorEastAsia"/>
          <w:color w:val="auto"/>
          <w:highlight w:val="none"/>
          <w:lang w:val="en-US" w:eastAsia="zh-CN"/>
        </w:rPr>
        <w:t>及投标函附录</w:t>
      </w:r>
    </w:p>
    <w:p>
      <w:pPr>
        <w:spacing w:line="540" w:lineRule="exact"/>
        <w:rPr>
          <w:rFonts w:asciiTheme="minorEastAsia" w:hAnsiTheme="minorEastAsia" w:eastAsiaTheme="minorEastAsia"/>
          <w:color w:val="auto"/>
          <w:highlight w:val="none"/>
        </w:rPr>
      </w:pPr>
      <w:bookmarkStart w:id="120" w:name="_Toc23649_WPSOffice_Level1"/>
      <w:r>
        <w:rPr>
          <w:rFonts w:hint="eastAsia" w:asciiTheme="minorEastAsia" w:hAnsiTheme="minorEastAsia" w:eastAsiaTheme="minorEastAsia"/>
          <w:color w:val="auto"/>
          <w:highlight w:val="none"/>
        </w:rPr>
        <w:t>二、法定代表人身份证明</w:t>
      </w:r>
      <w:bookmarkEnd w:id="120"/>
      <w:r>
        <w:rPr>
          <w:rFonts w:hint="eastAsia" w:asciiTheme="minorEastAsia" w:hAnsiTheme="minorEastAsia" w:eastAsiaTheme="minorEastAsia"/>
          <w:color w:val="auto"/>
          <w:highlight w:val="none"/>
        </w:rPr>
        <w:t>及</w:t>
      </w:r>
      <w:bookmarkStart w:id="121" w:name="_Toc16664_WPSOffice_Level1"/>
      <w:r>
        <w:rPr>
          <w:rFonts w:hint="eastAsia" w:asciiTheme="minorEastAsia" w:hAnsiTheme="minorEastAsia" w:eastAsiaTheme="minorEastAsia"/>
          <w:color w:val="auto"/>
          <w:highlight w:val="none"/>
        </w:rPr>
        <w:t>授权委托书（适用于有委托代理人的情况）</w:t>
      </w:r>
      <w:bookmarkEnd w:id="121"/>
    </w:p>
    <w:p>
      <w:pPr>
        <w:spacing w:line="540" w:lineRule="exact"/>
        <w:rPr>
          <w:rFonts w:asciiTheme="minorEastAsia" w:hAnsiTheme="minorEastAsia" w:eastAsiaTheme="minorEastAsia"/>
          <w:color w:val="auto"/>
          <w:highlight w:val="none"/>
        </w:rPr>
      </w:pPr>
      <w:bookmarkStart w:id="122" w:name="_Toc3176_WPSOffice_Level1"/>
      <w:r>
        <w:rPr>
          <w:rFonts w:hint="eastAsia" w:asciiTheme="minorEastAsia" w:hAnsiTheme="minorEastAsia" w:eastAsiaTheme="minorEastAsia"/>
          <w:color w:val="auto"/>
          <w:highlight w:val="none"/>
          <w:lang w:val="en-US" w:eastAsia="zh"/>
        </w:rPr>
        <w:t>三</w:t>
      </w:r>
      <w:r>
        <w:rPr>
          <w:rFonts w:hint="eastAsia" w:asciiTheme="minorEastAsia" w:hAnsiTheme="minorEastAsia" w:eastAsiaTheme="minorEastAsia"/>
          <w:color w:val="auto"/>
          <w:highlight w:val="none"/>
        </w:rPr>
        <w:t>、投标报价表</w:t>
      </w:r>
      <w:bookmarkEnd w:id="122"/>
    </w:p>
    <w:p>
      <w:pPr>
        <w:spacing w:line="540" w:lineRule="exact"/>
        <w:rPr>
          <w:rFonts w:asciiTheme="minorEastAsia" w:hAnsiTheme="minorEastAsia" w:eastAsiaTheme="minorEastAsia"/>
          <w:color w:val="auto"/>
          <w:highlight w:val="none"/>
        </w:rPr>
      </w:pPr>
      <w:bookmarkStart w:id="123" w:name="_Toc7888_WPSOffice_Level1"/>
      <w:r>
        <w:rPr>
          <w:rFonts w:hint="eastAsia" w:asciiTheme="minorEastAsia" w:hAnsiTheme="minorEastAsia" w:eastAsiaTheme="minorEastAsia"/>
          <w:color w:val="auto"/>
          <w:highlight w:val="none"/>
          <w:lang w:val="en-US" w:eastAsia="zh"/>
        </w:rPr>
        <w:t>四</w:t>
      </w:r>
      <w:r>
        <w:rPr>
          <w:rFonts w:hint="eastAsia" w:asciiTheme="minorEastAsia" w:hAnsiTheme="minorEastAsia" w:eastAsiaTheme="minorEastAsia"/>
          <w:color w:val="auto"/>
          <w:highlight w:val="none"/>
        </w:rPr>
        <w:t>、资格审查资料</w:t>
      </w:r>
      <w:bookmarkEnd w:id="123"/>
    </w:p>
    <w:p>
      <w:pPr>
        <w:spacing w:line="540" w:lineRule="exact"/>
        <w:rPr>
          <w:rFonts w:asciiTheme="minorEastAsia" w:hAnsiTheme="minorEastAsia" w:eastAsiaTheme="minorEastAsia"/>
          <w:color w:val="auto"/>
          <w:highlight w:val="none"/>
        </w:rPr>
      </w:pPr>
      <w:bookmarkStart w:id="124" w:name="_Toc18368_WPSOffice_Level1"/>
      <w:r>
        <w:rPr>
          <w:rFonts w:hint="eastAsia" w:asciiTheme="minorEastAsia" w:hAnsiTheme="minorEastAsia" w:eastAsiaTheme="minorEastAsia"/>
          <w:color w:val="auto"/>
          <w:highlight w:val="none"/>
          <w:lang w:val="en-US" w:eastAsia="zh"/>
        </w:rPr>
        <w:t>五</w:t>
      </w:r>
      <w:r>
        <w:rPr>
          <w:rFonts w:hint="eastAsia" w:asciiTheme="minorEastAsia" w:hAnsiTheme="minorEastAsia" w:eastAsiaTheme="minorEastAsia"/>
          <w:color w:val="auto"/>
          <w:highlight w:val="none"/>
        </w:rPr>
        <w:t>、资信业绩资料</w:t>
      </w:r>
      <w:bookmarkEnd w:id="124"/>
    </w:p>
    <w:p>
      <w:pPr>
        <w:spacing w:line="540" w:lineRule="exact"/>
        <w:rPr>
          <w:rFonts w:asciiTheme="minorEastAsia" w:hAnsiTheme="minorEastAsia" w:eastAsiaTheme="minorEastAsia"/>
          <w:color w:val="auto"/>
          <w:highlight w:val="none"/>
        </w:rPr>
      </w:pPr>
      <w:bookmarkStart w:id="125" w:name="_Toc20906_WPSOffice_Level1"/>
      <w:r>
        <w:rPr>
          <w:rFonts w:hint="eastAsia" w:asciiTheme="minorEastAsia" w:hAnsiTheme="minorEastAsia" w:eastAsiaTheme="minorEastAsia"/>
          <w:color w:val="auto"/>
          <w:highlight w:val="none"/>
          <w:lang w:val="en-US" w:eastAsia="zh"/>
        </w:rPr>
        <w:t>六</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eastAsia="zh-CN"/>
        </w:rPr>
        <w:t>服务</w:t>
      </w:r>
      <w:r>
        <w:rPr>
          <w:rFonts w:hint="eastAsia" w:asciiTheme="minorEastAsia" w:hAnsiTheme="minorEastAsia" w:eastAsiaTheme="minorEastAsia"/>
          <w:color w:val="auto"/>
          <w:highlight w:val="none"/>
        </w:rPr>
        <w:t>方案</w:t>
      </w:r>
      <w:bookmarkEnd w:id="125"/>
    </w:p>
    <w:p>
      <w:pPr>
        <w:spacing w:line="540" w:lineRule="exact"/>
        <w:rPr>
          <w:rFonts w:asciiTheme="minorEastAsia" w:hAnsiTheme="minorEastAsia" w:eastAsiaTheme="minorEastAsia"/>
          <w:color w:val="auto"/>
          <w:highlight w:val="none"/>
        </w:rPr>
      </w:pPr>
      <w:bookmarkStart w:id="126" w:name="_Toc30256_WPSOffice_Level1"/>
      <w:bookmarkStart w:id="127" w:name="_Toc352691655"/>
      <w:bookmarkStart w:id="128" w:name="_Toc369531691"/>
      <w:bookmarkStart w:id="129" w:name="_Toc7039"/>
      <w:r>
        <w:rPr>
          <w:rFonts w:hint="eastAsia" w:asciiTheme="minorEastAsia" w:hAnsiTheme="minorEastAsia" w:eastAsiaTheme="minorEastAsia"/>
          <w:color w:val="auto"/>
          <w:highlight w:val="none"/>
          <w:lang w:val="en-US" w:eastAsia="zh"/>
        </w:rPr>
        <w:t>七</w:t>
      </w:r>
      <w:r>
        <w:rPr>
          <w:rFonts w:hint="eastAsia" w:asciiTheme="minorEastAsia" w:hAnsiTheme="minorEastAsia" w:eastAsiaTheme="minorEastAsia"/>
          <w:color w:val="auto"/>
          <w:highlight w:val="none"/>
        </w:rPr>
        <w:t>、其他资料</w:t>
      </w:r>
      <w:bookmarkEnd w:id="126"/>
    </w:p>
    <w:p>
      <w:pPr>
        <w:spacing w:line="540" w:lineRule="exact"/>
        <w:rPr>
          <w:rFonts w:asciiTheme="minorEastAsia" w:hAnsiTheme="minorEastAsia" w:eastAsiaTheme="minorEastAsia"/>
          <w:color w:val="auto"/>
          <w:sz w:val="20"/>
          <w:highlight w:val="none"/>
        </w:rPr>
      </w:pPr>
    </w:p>
    <w:p>
      <w:pPr>
        <w:spacing w:line="540" w:lineRule="exact"/>
        <w:rPr>
          <w:rFonts w:asciiTheme="minorEastAsia" w:hAnsiTheme="minorEastAsia" w:eastAsiaTheme="minorEastAsia"/>
          <w:color w:val="auto"/>
          <w:sz w:val="20"/>
          <w:highlight w:val="none"/>
        </w:rPr>
      </w:pPr>
    </w:p>
    <w:p>
      <w:pPr>
        <w:spacing w:line="540" w:lineRule="exact"/>
        <w:rPr>
          <w:rFonts w:asciiTheme="minorEastAsia" w:hAnsiTheme="minorEastAsia" w:eastAsiaTheme="minorEastAsia"/>
          <w:color w:val="auto"/>
          <w:sz w:val="20"/>
          <w:highlight w:val="none"/>
        </w:rPr>
      </w:pPr>
    </w:p>
    <w:bookmarkEnd w:id="127"/>
    <w:bookmarkEnd w:id="128"/>
    <w:bookmarkEnd w:id="129"/>
    <w:p>
      <w:pPr>
        <w:rPr>
          <w:rFonts w:asciiTheme="minorEastAsia" w:hAnsiTheme="minorEastAsia" w:eastAsiaTheme="minorEastAsia"/>
          <w:color w:val="auto"/>
          <w:highlight w:val="none"/>
        </w:rPr>
      </w:pPr>
      <w:bookmarkStart w:id="130" w:name="_Toc531360696"/>
    </w:p>
    <w:p>
      <w:pPr>
        <w:rPr>
          <w:color w:val="auto"/>
          <w:highlight w:val="none"/>
        </w:rPr>
      </w:pPr>
      <w:r>
        <w:rPr>
          <w:color w:val="auto"/>
          <w:highlight w:val="none"/>
        </w:rPr>
        <w:br w:type="page"/>
      </w:r>
    </w:p>
    <w:p>
      <w:pPr>
        <w:pStyle w:val="5"/>
        <w:spacing w:before="0" w:after="0" w:line="240" w:lineRule="auto"/>
        <w:rPr>
          <w:rFonts w:asciiTheme="minorEastAsia" w:hAnsiTheme="minorEastAsia" w:eastAsiaTheme="minorEastAsia"/>
          <w:color w:val="auto"/>
          <w:highlight w:val="none"/>
        </w:rPr>
      </w:pPr>
      <w:bookmarkStart w:id="131" w:name="_Toc4226_WPSOffice_Level1"/>
      <w:r>
        <w:rPr>
          <w:rFonts w:hint="eastAsia" w:asciiTheme="minorEastAsia" w:hAnsiTheme="minorEastAsia" w:eastAsiaTheme="minorEastAsia"/>
          <w:color w:val="auto"/>
          <w:highlight w:val="none"/>
        </w:rPr>
        <w:t>一、投标</w:t>
      </w:r>
      <w:bookmarkStart w:id="132" w:name="_Toc352691656"/>
      <w:bookmarkStart w:id="133" w:name="_Toc369531692"/>
      <w:bookmarkStart w:id="134" w:name="_Toc6931"/>
      <w:r>
        <w:rPr>
          <w:rFonts w:hint="eastAsia" w:asciiTheme="minorEastAsia" w:hAnsiTheme="minorEastAsia" w:eastAsiaTheme="minorEastAsia"/>
          <w:color w:val="auto"/>
          <w:highlight w:val="none"/>
        </w:rPr>
        <w:t>函</w:t>
      </w:r>
      <w:bookmarkEnd w:id="130"/>
      <w:bookmarkEnd w:id="131"/>
      <w:r>
        <w:rPr>
          <w:rFonts w:hint="eastAsia" w:asciiTheme="minorEastAsia" w:hAnsiTheme="minorEastAsia" w:eastAsiaTheme="minorEastAsia"/>
          <w:color w:val="auto"/>
          <w:highlight w:val="none"/>
        </w:rPr>
        <w:t>投标函附录</w:t>
      </w:r>
    </w:p>
    <w:bookmarkEnd w:id="132"/>
    <w:bookmarkEnd w:id="133"/>
    <w:bookmarkEnd w:id="134"/>
    <w:p>
      <w:pPr>
        <w:keepNext/>
        <w:keepLines/>
        <w:jc w:val="center"/>
        <w:outlineLvl w:val="2"/>
        <w:rPr>
          <w:rFonts w:asciiTheme="minorEastAsia" w:hAnsiTheme="minorEastAsia" w:eastAsiaTheme="minorEastAsia"/>
          <w:b/>
          <w:bCs/>
          <w:color w:val="auto"/>
          <w:kern w:val="0"/>
          <w:sz w:val="32"/>
          <w:szCs w:val="32"/>
          <w:highlight w:val="none"/>
        </w:rPr>
      </w:pPr>
      <w:bookmarkStart w:id="135" w:name="_Toc32205_WPSOffice_Level1"/>
      <w:r>
        <w:rPr>
          <w:rFonts w:hint="eastAsia" w:asciiTheme="minorEastAsia" w:hAnsiTheme="minorEastAsia" w:eastAsiaTheme="minorEastAsia"/>
          <w:b/>
          <w:bCs/>
          <w:color w:val="auto"/>
          <w:kern w:val="0"/>
          <w:sz w:val="32"/>
          <w:szCs w:val="32"/>
          <w:highlight w:val="none"/>
        </w:rPr>
        <w:t>1</w:t>
      </w:r>
      <w:r>
        <w:rPr>
          <w:rFonts w:asciiTheme="minorEastAsia" w:hAnsiTheme="minorEastAsia" w:eastAsiaTheme="minorEastAsia"/>
          <w:b/>
          <w:bCs/>
          <w:color w:val="auto"/>
          <w:kern w:val="0"/>
          <w:sz w:val="32"/>
          <w:szCs w:val="32"/>
          <w:highlight w:val="none"/>
        </w:rPr>
        <w:t xml:space="preserve">.1 </w:t>
      </w:r>
      <w:r>
        <w:rPr>
          <w:rFonts w:hint="eastAsia" w:asciiTheme="minorEastAsia" w:hAnsiTheme="minorEastAsia" w:eastAsiaTheme="minorEastAsia"/>
          <w:b/>
          <w:bCs/>
          <w:color w:val="auto"/>
          <w:kern w:val="0"/>
          <w:sz w:val="32"/>
          <w:szCs w:val="32"/>
          <w:highlight w:val="none"/>
        </w:rPr>
        <w:t>投标函</w:t>
      </w:r>
      <w:bookmarkEnd w:id="135"/>
    </w:p>
    <w:p>
      <w:pPr>
        <w:spacing w:line="360" w:lineRule="exact"/>
        <w:rPr>
          <w:rFonts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b/>
          <w:color w:val="auto"/>
          <w:szCs w:val="21"/>
          <w:highlight w:val="none"/>
          <w:u w:val="single"/>
          <w:lang w:eastAsia="zh-CN"/>
        </w:rPr>
        <w:t>广州交投城市道路建设有限公司</w:t>
      </w:r>
      <w:r>
        <w:rPr>
          <w:rFonts w:ascii="宋体" w:hAnsi="宋体" w:eastAsia="宋体" w:cs="宋体"/>
          <w:color w:val="auto"/>
          <w:szCs w:val="21"/>
          <w:highlight w:val="none"/>
          <w:u w:val="single"/>
        </w:rPr>
        <w:t xml:space="preserve"> </w:t>
      </w:r>
      <w:r>
        <w:rPr>
          <w:rFonts w:ascii="宋体" w:hAnsi="宋体" w:eastAsia="宋体" w:cs="宋体"/>
          <w:color w:val="auto"/>
          <w:szCs w:val="21"/>
          <w:highlight w:val="none"/>
        </w:rPr>
        <w:t xml:space="preserve"> </w:t>
      </w:r>
      <w:r>
        <w:rPr>
          <w:rFonts w:hint="eastAsia" w:ascii="宋体" w:hAnsi="宋体" w:eastAsia="宋体" w:cs="宋体"/>
          <w:color w:val="auto"/>
          <w:szCs w:val="21"/>
          <w:highlight w:val="none"/>
        </w:rPr>
        <w:t>：</w:t>
      </w:r>
    </w:p>
    <w:p>
      <w:pPr>
        <w:spacing w:line="360" w:lineRule="exact"/>
        <w:ind w:firstLine="405"/>
        <w:rPr>
          <w:rFonts w:ascii="宋体" w:hAnsi="宋体" w:eastAsia="宋体" w:cs="宋体"/>
          <w:color w:val="auto"/>
          <w:szCs w:val="21"/>
          <w:highlight w:val="none"/>
        </w:rPr>
      </w:pPr>
      <w:r>
        <w:rPr>
          <w:rFonts w:ascii="宋体" w:hAnsi="宋体" w:eastAsia="宋体" w:cs="宋体"/>
          <w:color w:val="auto"/>
          <w:szCs w:val="21"/>
          <w:highlight w:val="none"/>
        </w:rPr>
        <w:t>1</w:t>
      </w:r>
      <w:r>
        <w:rPr>
          <w:rFonts w:hint="eastAsia" w:ascii="宋体" w:hAnsi="宋体" w:eastAsia="宋体" w:cs="宋体"/>
          <w:color w:val="auto"/>
          <w:szCs w:val="21"/>
          <w:highlight w:val="none"/>
        </w:rPr>
        <w:t>．我方已仔细研究了</w:t>
      </w:r>
      <w:r>
        <w:rPr>
          <w:rFonts w:ascii="宋体" w:hAnsi="宋体" w:eastAsia="宋体" w:cs="宋体"/>
          <w:color w:val="auto"/>
          <w:szCs w:val="21"/>
          <w:highlight w:val="none"/>
          <w:u w:val="single"/>
        </w:rPr>
        <w:t xml:space="preserve"> </w:t>
      </w:r>
      <w:r>
        <w:rPr>
          <w:rFonts w:hint="eastAsia" w:ascii="宋体" w:hAnsi="宋体" w:eastAsia="宋体"/>
          <w:color w:val="auto"/>
          <w:szCs w:val="21"/>
          <w:highlight w:val="none"/>
          <w:u w:val="single"/>
          <w:lang w:eastAsia="zh-CN"/>
        </w:rPr>
        <w:t>东南西环三滘立交市政化改造工程（二期）第三方检测</w:t>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招标项目招标文件的全部内容，愿意以人民币（大写）</w:t>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ascii="宋体" w:hAnsi="宋体" w:eastAsia="宋体" w:cs="宋体"/>
          <w:color w:val="auto"/>
          <w:szCs w:val="21"/>
          <w:highlight w:val="none"/>
        </w:rPr>
        <w:t>¥</w:t>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）的投标总报价（其中，增值税税率为</w:t>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），服务期限：</w:t>
      </w:r>
      <w:r>
        <w:rPr>
          <w:rFonts w:hint="eastAsia" w:ascii="宋体" w:hAnsi="宋体" w:eastAsia="宋体" w:cs="宋体"/>
          <w:color w:val="auto"/>
          <w:szCs w:val="21"/>
          <w:highlight w:val="none"/>
          <w:u w:val="single"/>
        </w:rPr>
        <w:t>按招标文件要求</w:t>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，按合同约定完成工作。</w:t>
      </w:r>
    </w:p>
    <w:p>
      <w:pPr>
        <w:spacing w:line="360" w:lineRule="exact"/>
        <w:ind w:firstLine="420" w:firstLineChars="200"/>
        <w:rPr>
          <w:rFonts w:ascii="宋体" w:hAnsi="宋体" w:eastAsia="宋体" w:cs="宋体"/>
          <w:color w:val="auto"/>
          <w:szCs w:val="21"/>
          <w:highlight w:val="none"/>
        </w:rPr>
      </w:pPr>
      <w:r>
        <w:rPr>
          <w:rFonts w:ascii="宋体" w:hAnsi="宋体" w:eastAsia="宋体" w:cs="宋体"/>
          <w:color w:val="auto"/>
          <w:szCs w:val="21"/>
          <w:highlight w:val="none"/>
        </w:rPr>
        <w:t xml:space="preserve">2. </w:t>
      </w:r>
      <w:r>
        <w:rPr>
          <w:rFonts w:hint="eastAsia" w:ascii="宋体" w:hAnsi="宋体" w:eastAsia="宋体" w:cs="宋体"/>
          <w:color w:val="auto"/>
          <w:szCs w:val="21"/>
          <w:highlight w:val="none"/>
        </w:rPr>
        <w:t>我方的投标文件包括下列内容：</w:t>
      </w:r>
    </w:p>
    <w:p>
      <w:pPr>
        <w:spacing w:line="360" w:lineRule="exact"/>
        <w:ind w:firstLine="405"/>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1</w:t>
      </w:r>
      <w:r>
        <w:rPr>
          <w:rFonts w:hint="eastAsia" w:ascii="宋体" w:hAnsi="宋体" w:eastAsia="宋体" w:cs="宋体"/>
          <w:color w:val="auto"/>
          <w:szCs w:val="21"/>
          <w:highlight w:val="none"/>
        </w:rPr>
        <w:t>）投标函；</w:t>
      </w:r>
    </w:p>
    <w:p>
      <w:pPr>
        <w:spacing w:line="360" w:lineRule="exact"/>
        <w:ind w:firstLine="405"/>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2</w:t>
      </w:r>
      <w:r>
        <w:rPr>
          <w:rFonts w:hint="eastAsia" w:ascii="宋体" w:hAnsi="宋体" w:eastAsia="宋体" w:cs="宋体"/>
          <w:color w:val="auto"/>
          <w:szCs w:val="21"/>
          <w:highlight w:val="none"/>
        </w:rPr>
        <w:t>）法定代表人身份证明或授权委托书；</w:t>
      </w:r>
    </w:p>
    <w:p>
      <w:pPr>
        <w:spacing w:line="360" w:lineRule="exact"/>
        <w:ind w:firstLine="405"/>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
        </w:rPr>
        <w:t>3</w:t>
      </w:r>
      <w:r>
        <w:rPr>
          <w:rFonts w:hint="eastAsia" w:ascii="宋体" w:hAnsi="宋体" w:eastAsia="宋体" w:cs="宋体"/>
          <w:color w:val="auto"/>
          <w:szCs w:val="21"/>
          <w:highlight w:val="none"/>
        </w:rPr>
        <w:t>）投标报价表；</w:t>
      </w:r>
    </w:p>
    <w:p>
      <w:pPr>
        <w:spacing w:line="360" w:lineRule="exact"/>
        <w:ind w:firstLine="405"/>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
        </w:rPr>
        <w:t>4</w:t>
      </w:r>
      <w:r>
        <w:rPr>
          <w:rFonts w:hint="eastAsia" w:ascii="宋体" w:hAnsi="宋体" w:eastAsia="宋体" w:cs="宋体"/>
          <w:color w:val="auto"/>
          <w:szCs w:val="21"/>
          <w:highlight w:val="none"/>
        </w:rPr>
        <w:t>）资格审查资料；</w:t>
      </w:r>
    </w:p>
    <w:p>
      <w:pPr>
        <w:spacing w:line="360" w:lineRule="exact"/>
        <w:ind w:firstLine="405"/>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
        </w:rPr>
        <w:t>5</w:t>
      </w:r>
      <w:r>
        <w:rPr>
          <w:rFonts w:hint="eastAsia" w:ascii="宋体" w:hAnsi="宋体" w:eastAsia="宋体" w:cs="宋体"/>
          <w:color w:val="auto"/>
          <w:szCs w:val="21"/>
          <w:highlight w:val="none"/>
        </w:rPr>
        <w:t>）资信业绩资料；</w:t>
      </w:r>
    </w:p>
    <w:p>
      <w:pPr>
        <w:spacing w:line="36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
        </w:rPr>
        <w:t>6</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服务</w:t>
      </w:r>
      <w:r>
        <w:rPr>
          <w:rFonts w:hint="eastAsia" w:ascii="宋体" w:hAnsi="宋体" w:eastAsia="宋体" w:cs="宋体"/>
          <w:color w:val="auto"/>
          <w:szCs w:val="21"/>
          <w:highlight w:val="none"/>
        </w:rPr>
        <w:t>方案</w:t>
      </w:r>
    </w:p>
    <w:p>
      <w:pPr>
        <w:spacing w:line="36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
        </w:rPr>
        <w:t>7</w:t>
      </w:r>
      <w:r>
        <w:rPr>
          <w:rFonts w:hint="eastAsia" w:ascii="宋体" w:hAnsi="宋体" w:eastAsia="宋体" w:cs="宋体"/>
          <w:color w:val="auto"/>
          <w:szCs w:val="21"/>
          <w:highlight w:val="none"/>
        </w:rPr>
        <w:t>）其他资料。</w:t>
      </w:r>
    </w:p>
    <w:p>
      <w:pPr>
        <w:spacing w:line="36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投标文件的上述组成部分如存在内容不一致的，以投标函为准。</w:t>
      </w:r>
    </w:p>
    <w:p>
      <w:pPr>
        <w:spacing w:line="360" w:lineRule="exact"/>
        <w:ind w:firstLine="420" w:firstLineChars="200"/>
        <w:rPr>
          <w:rFonts w:ascii="宋体" w:hAnsi="宋体" w:eastAsia="宋体" w:cs="宋体"/>
          <w:color w:val="auto"/>
          <w:szCs w:val="21"/>
          <w:highlight w:val="none"/>
        </w:rPr>
      </w:pPr>
      <w:r>
        <w:rPr>
          <w:rFonts w:ascii="宋体" w:hAnsi="宋体" w:eastAsia="宋体" w:cs="宋体"/>
          <w:color w:val="auto"/>
          <w:szCs w:val="21"/>
          <w:highlight w:val="none"/>
        </w:rPr>
        <w:t>3</w:t>
      </w:r>
      <w:r>
        <w:rPr>
          <w:rFonts w:hint="eastAsia" w:ascii="宋体" w:hAnsi="宋体" w:eastAsia="宋体" w:cs="宋体"/>
          <w:color w:val="auto"/>
          <w:szCs w:val="21"/>
          <w:highlight w:val="none"/>
        </w:rPr>
        <w:t>．我方承诺在招标文件规定的投标有效期内不撤销投标文件。</w:t>
      </w:r>
    </w:p>
    <w:p>
      <w:pPr>
        <w:spacing w:line="360" w:lineRule="exact"/>
        <w:ind w:firstLine="420" w:firstLineChars="200"/>
        <w:rPr>
          <w:rFonts w:ascii="宋体" w:hAnsi="宋体" w:eastAsia="宋体" w:cs="宋体"/>
          <w:color w:val="auto"/>
          <w:szCs w:val="21"/>
          <w:highlight w:val="none"/>
        </w:rPr>
      </w:pPr>
      <w:r>
        <w:rPr>
          <w:rFonts w:ascii="宋体" w:hAnsi="宋体" w:eastAsia="宋体" w:cs="宋体"/>
          <w:color w:val="auto"/>
          <w:szCs w:val="21"/>
          <w:highlight w:val="none"/>
        </w:rPr>
        <w:t>4</w:t>
      </w:r>
      <w:r>
        <w:rPr>
          <w:rFonts w:hint="eastAsia" w:ascii="宋体" w:hAnsi="宋体" w:eastAsia="宋体" w:cs="宋体"/>
          <w:color w:val="auto"/>
          <w:szCs w:val="21"/>
          <w:highlight w:val="none"/>
        </w:rPr>
        <w:t>．如我方中标，我方承诺：</w:t>
      </w:r>
    </w:p>
    <w:p>
      <w:pPr>
        <w:spacing w:line="360" w:lineRule="exact"/>
        <w:ind w:left="945" w:leftChars="400" w:hanging="105" w:hangingChars="50"/>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1</w:t>
      </w:r>
      <w:r>
        <w:rPr>
          <w:rFonts w:hint="eastAsia" w:ascii="宋体" w:hAnsi="宋体" w:eastAsia="宋体" w:cs="宋体"/>
          <w:color w:val="auto"/>
          <w:szCs w:val="21"/>
          <w:highlight w:val="none"/>
        </w:rPr>
        <w:t>）在收到中标通知书后</w:t>
      </w:r>
      <w:r>
        <w:rPr>
          <w:rFonts w:ascii="宋体" w:hAnsi="宋体" w:eastAsia="宋体" w:cs="宋体"/>
          <w:color w:val="auto"/>
          <w:szCs w:val="21"/>
          <w:highlight w:val="none"/>
        </w:rPr>
        <w:t>30</w:t>
      </w:r>
      <w:r>
        <w:rPr>
          <w:rFonts w:hint="eastAsia" w:ascii="宋体" w:hAnsi="宋体" w:eastAsia="宋体" w:cs="宋体"/>
          <w:color w:val="auto"/>
          <w:szCs w:val="21"/>
          <w:highlight w:val="none"/>
        </w:rPr>
        <w:t>日内与你方签订合同；</w:t>
      </w:r>
    </w:p>
    <w:p>
      <w:pPr>
        <w:spacing w:line="360" w:lineRule="exact"/>
        <w:ind w:left="945" w:leftChars="400" w:hanging="105" w:hangingChars="50"/>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2</w:t>
      </w:r>
      <w:r>
        <w:rPr>
          <w:rFonts w:hint="eastAsia" w:ascii="宋体" w:hAnsi="宋体" w:eastAsia="宋体" w:cs="宋体"/>
          <w:color w:val="auto"/>
          <w:szCs w:val="21"/>
          <w:highlight w:val="none"/>
        </w:rPr>
        <w:t>）在签订合同时不向你方提出附加条件；</w:t>
      </w:r>
    </w:p>
    <w:p>
      <w:pPr>
        <w:spacing w:line="360" w:lineRule="exact"/>
        <w:ind w:left="945" w:leftChars="400" w:hanging="105" w:hangingChars="50"/>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3</w:t>
      </w:r>
      <w:r>
        <w:rPr>
          <w:rFonts w:hint="eastAsia" w:ascii="宋体" w:hAnsi="宋体" w:eastAsia="宋体" w:cs="宋体"/>
          <w:color w:val="auto"/>
          <w:szCs w:val="21"/>
          <w:highlight w:val="none"/>
        </w:rPr>
        <w:t>）按照招标文件要求提交履约保证金；</w:t>
      </w:r>
      <w:bookmarkStart w:id="136" w:name="_Toc1187"/>
      <w:bookmarkStart w:id="137" w:name="_Toc369531694"/>
      <w:bookmarkStart w:id="138" w:name="_Toc352691658"/>
    </w:p>
    <w:p>
      <w:pPr>
        <w:spacing w:line="360" w:lineRule="exact"/>
        <w:ind w:left="945" w:leftChars="400" w:hanging="105" w:hangingChars="50"/>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
        </w:rPr>
        <w:t>4</w:t>
      </w:r>
      <w:r>
        <w:rPr>
          <w:rFonts w:hint="eastAsia" w:ascii="宋体" w:hAnsi="宋体" w:eastAsia="宋体" w:cs="宋体"/>
          <w:color w:val="auto"/>
          <w:szCs w:val="21"/>
          <w:highlight w:val="none"/>
        </w:rPr>
        <w:t>）在合</w:t>
      </w:r>
      <w:bookmarkEnd w:id="136"/>
      <w:bookmarkEnd w:id="137"/>
      <w:bookmarkEnd w:id="138"/>
      <w:r>
        <w:rPr>
          <w:rFonts w:hint="eastAsia" w:ascii="宋体" w:hAnsi="宋体" w:eastAsia="宋体" w:cs="宋体"/>
          <w:color w:val="auto"/>
          <w:szCs w:val="21"/>
          <w:highlight w:val="none"/>
        </w:rPr>
        <w:t>同约定的期限内完成合同规定的全部义务。</w:t>
      </w:r>
    </w:p>
    <w:p>
      <w:pPr>
        <w:spacing w:line="360" w:lineRule="exact"/>
        <w:ind w:firstLine="420" w:firstLineChars="200"/>
        <w:rPr>
          <w:rFonts w:ascii="宋体" w:hAnsi="宋体" w:eastAsia="宋体" w:cs="宋体"/>
          <w:color w:val="auto"/>
          <w:szCs w:val="21"/>
          <w:highlight w:val="none"/>
        </w:rPr>
      </w:pPr>
      <w:r>
        <w:rPr>
          <w:rFonts w:ascii="宋体" w:hAnsi="宋体" w:eastAsia="宋体" w:cs="宋体"/>
          <w:color w:val="auto"/>
          <w:szCs w:val="21"/>
          <w:highlight w:val="none"/>
        </w:rPr>
        <w:t>5</w:t>
      </w:r>
      <w:r>
        <w:rPr>
          <w:rFonts w:hint="eastAsia" w:ascii="宋体" w:hAnsi="宋体" w:eastAsia="宋体" w:cs="宋体"/>
          <w:color w:val="auto"/>
          <w:szCs w:val="21"/>
          <w:highlight w:val="none"/>
        </w:rPr>
        <w:t>．我方在此声明，所递交的投标文件及有关资料内容完整、真实和准确，且不存在第二章“投标人须知”</w:t>
      </w:r>
      <w:r>
        <w:rPr>
          <w:rFonts w:hint="eastAsia" w:ascii="宋体" w:hAnsi="宋体" w:eastAsia="宋体" w:cs="宋体"/>
          <w:b/>
          <w:bCs/>
          <w:color w:val="auto"/>
          <w:szCs w:val="21"/>
          <w:highlight w:val="none"/>
        </w:rPr>
        <w:t>第</w:t>
      </w:r>
      <w:r>
        <w:rPr>
          <w:rFonts w:ascii="宋体" w:hAnsi="宋体" w:eastAsia="宋体" w:cs="宋体"/>
          <w:b/>
          <w:bCs/>
          <w:color w:val="auto"/>
          <w:szCs w:val="21"/>
          <w:highlight w:val="none"/>
        </w:rPr>
        <w:t>1.4.3</w:t>
      </w:r>
      <w:r>
        <w:rPr>
          <w:rFonts w:hint="eastAsia" w:ascii="宋体" w:hAnsi="宋体" w:eastAsia="宋体" w:cs="宋体"/>
          <w:b/>
          <w:bCs/>
          <w:color w:val="auto"/>
          <w:szCs w:val="21"/>
          <w:highlight w:val="none"/>
        </w:rPr>
        <w:t>项</w:t>
      </w:r>
      <w:r>
        <w:rPr>
          <w:rFonts w:hint="eastAsia" w:ascii="宋体" w:hAnsi="宋体" w:eastAsia="宋体" w:cs="宋体"/>
          <w:color w:val="auto"/>
          <w:szCs w:val="21"/>
          <w:highlight w:val="none"/>
        </w:rPr>
        <w:t>规定的任何一种情形。</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 如我方中标，我方承诺，满足第五章“委托人要求”中的所有内容。</w:t>
      </w:r>
    </w:p>
    <w:p>
      <w:pPr>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如我方中标，我方承诺：我司提交的所有投标资料真实可靠。如投标资料弄虚作假的，我方将承担与此有关的一切责任，包括但不限于取消投标资格或中标资格（如果已取得中标）、接受行政监督部门的行政处罚等。</w:t>
      </w:r>
    </w:p>
    <w:p>
      <w:pPr>
        <w:spacing w:line="36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8.我方在此承诺：无条件地配合政府相关管理部门、招标人及招标人上级管理单位等各级纪检机构对招标业务开展的监督和检查工作。。</w:t>
      </w:r>
    </w:p>
    <w:p>
      <w:pPr>
        <w:spacing w:line="360" w:lineRule="exact"/>
        <w:ind w:firstLine="2520" w:firstLineChars="1200"/>
        <w:rPr>
          <w:rFonts w:ascii="宋体" w:hAnsi="宋体" w:eastAsia="宋体" w:cs="宋体"/>
          <w:color w:val="auto"/>
          <w:szCs w:val="21"/>
          <w:highlight w:val="none"/>
        </w:rPr>
      </w:pPr>
      <w:bookmarkStart w:id="139" w:name="_Toc369531695"/>
      <w:bookmarkEnd w:id="139"/>
      <w:bookmarkStart w:id="140" w:name="_Toc16824"/>
      <w:bookmarkEnd w:id="140"/>
      <w:bookmarkStart w:id="141" w:name="_Toc352691660"/>
      <w:bookmarkEnd w:id="141"/>
      <w:bookmarkStart w:id="142" w:name="_Toc16568"/>
      <w:bookmarkEnd w:id="142"/>
      <w:bookmarkStart w:id="143" w:name="_Toc352691659"/>
      <w:bookmarkEnd w:id="143"/>
      <w:bookmarkStart w:id="144" w:name="_Toc369531696"/>
      <w:bookmarkEnd w:id="144"/>
      <w:r>
        <w:rPr>
          <w:rFonts w:hint="eastAsia" w:ascii="宋体" w:hAnsi="宋体" w:eastAsia="宋体" w:cs="宋体"/>
          <w:color w:val="auto"/>
          <w:szCs w:val="21"/>
          <w:highlight w:val="none"/>
        </w:rPr>
        <w:t>投</w:t>
      </w:r>
      <w:r>
        <w:rPr>
          <w:rFonts w:ascii="宋体" w:hAnsi="宋体" w:eastAsia="宋体" w:cs="宋体"/>
          <w:color w:val="auto"/>
          <w:szCs w:val="21"/>
          <w:highlight w:val="none"/>
        </w:rPr>
        <w:t xml:space="preserve"> </w:t>
      </w:r>
      <w:r>
        <w:rPr>
          <w:rFonts w:hint="eastAsia" w:ascii="宋体" w:hAnsi="宋体" w:eastAsia="宋体" w:cs="宋体"/>
          <w:color w:val="auto"/>
          <w:szCs w:val="21"/>
          <w:highlight w:val="none"/>
        </w:rPr>
        <w:t>标</w:t>
      </w:r>
      <w:r>
        <w:rPr>
          <w:rFonts w:ascii="宋体" w:hAnsi="宋体" w:eastAsia="宋体" w:cs="宋体"/>
          <w:color w:val="auto"/>
          <w:szCs w:val="21"/>
          <w:highlight w:val="none"/>
        </w:rPr>
        <w:t xml:space="preserve"> </w:t>
      </w:r>
      <w:r>
        <w:rPr>
          <w:rFonts w:hint="eastAsia" w:ascii="宋体" w:hAnsi="宋体" w:eastAsia="宋体" w:cs="宋体"/>
          <w:color w:val="auto"/>
          <w:szCs w:val="21"/>
          <w:highlight w:val="none"/>
        </w:rPr>
        <w:t>人：</w:t>
      </w:r>
      <w:r>
        <w:rPr>
          <w:rFonts w:ascii="宋体" w:hAnsi="宋体" w:eastAsia="宋体" w:cs="宋体"/>
          <w:color w:val="auto"/>
          <w:szCs w:val="21"/>
          <w:highlight w:val="none"/>
          <w:u w:val="single"/>
        </w:rPr>
        <w:tab/>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spacing w:line="360" w:lineRule="exact"/>
        <w:rPr>
          <w:rFonts w:ascii="宋体" w:hAnsi="宋体" w:eastAsia="宋体" w:cs="宋体"/>
          <w:color w:val="auto"/>
          <w:szCs w:val="21"/>
          <w:highlight w:val="none"/>
        </w:rPr>
      </w:pPr>
      <w:r>
        <w:rPr>
          <w:rFonts w:ascii="宋体" w:hAnsi="宋体" w:eastAsia="宋体" w:cs="宋体"/>
          <w:color w:val="auto"/>
          <w:szCs w:val="21"/>
          <w:highlight w:val="none"/>
        </w:rPr>
        <w:t xml:space="preserve">                        </w:t>
      </w:r>
      <w:r>
        <w:rPr>
          <w:rFonts w:hint="eastAsia" w:ascii="宋体" w:hAnsi="宋体" w:eastAsia="宋体" w:cs="宋体"/>
          <w:color w:val="auto"/>
          <w:szCs w:val="21"/>
          <w:highlight w:val="none"/>
        </w:rPr>
        <w:t>法定代表人或其委托代理人：</w:t>
      </w:r>
      <w:r>
        <w:rPr>
          <w:rFonts w:ascii="宋体" w:hAnsi="宋体" w:eastAsia="宋体" w:cs="宋体"/>
          <w:color w:val="auto"/>
          <w:szCs w:val="21"/>
          <w:highlight w:val="none"/>
          <w:u w:val="single"/>
        </w:rPr>
        <w:tab/>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spacing w:line="360" w:lineRule="exact"/>
        <w:ind w:firstLine="2520" w:firstLineChars="1200"/>
        <w:rPr>
          <w:rFonts w:ascii="宋体" w:hAnsi="宋体" w:eastAsia="宋体" w:cs="宋体"/>
          <w:color w:val="auto"/>
          <w:szCs w:val="21"/>
          <w:highlight w:val="none"/>
        </w:rPr>
      </w:pPr>
      <w:r>
        <w:rPr>
          <w:rFonts w:hint="eastAsia" w:ascii="宋体" w:hAnsi="宋体" w:eastAsia="宋体" w:cs="宋体"/>
          <w:color w:val="auto"/>
          <w:szCs w:val="21"/>
          <w:highlight w:val="none"/>
        </w:rPr>
        <w:t>地</w:t>
      </w:r>
      <w:r>
        <w:rPr>
          <w:rFonts w:ascii="宋体" w:hAnsi="宋体" w:eastAsia="宋体" w:cs="宋体"/>
          <w:color w:val="auto"/>
          <w:szCs w:val="21"/>
          <w:highlight w:val="none"/>
        </w:rPr>
        <w:t xml:space="preserve">    </w:t>
      </w:r>
      <w:r>
        <w:rPr>
          <w:rFonts w:hint="eastAsia" w:ascii="宋体" w:hAnsi="宋体" w:eastAsia="宋体" w:cs="宋体"/>
          <w:color w:val="auto"/>
          <w:szCs w:val="21"/>
          <w:highlight w:val="none"/>
        </w:rPr>
        <w:t>址：</w:t>
      </w:r>
      <w:r>
        <w:rPr>
          <w:rFonts w:ascii="宋体" w:hAnsi="宋体" w:eastAsia="宋体" w:cs="宋体"/>
          <w:color w:val="auto"/>
          <w:szCs w:val="21"/>
          <w:highlight w:val="none"/>
          <w:u w:val="single"/>
        </w:rPr>
        <w:tab/>
      </w:r>
      <w:r>
        <w:rPr>
          <w:rFonts w:ascii="宋体" w:hAnsi="宋体" w:eastAsia="宋体" w:cs="宋体"/>
          <w:color w:val="auto"/>
          <w:szCs w:val="21"/>
          <w:highlight w:val="none"/>
          <w:u w:val="single"/>
        </w:rPr>
        <w:tab/>
      </w:r>
      <w:r>
        <w:rPr>
          <w:rFonts w:ascii="宋体" w:hAnsi="宋体" w:eastAsia="宋体" w:cs="宋体"/>
          <w:color w:val="auto"/>
          <w:szCs w:val="21"/>
          <w:highlight w:val="none"/>
          <w:u w:val="single"/>
        </w:rPr>
        <w:t xml:space="preserve">                       </w:t>
      </w:r>
    </w:p>
    <w:p>
      <w:pPr>
        <w:spacing w:line="360" w:lineRule="exact"/>
        <w:ind w:firstLine="2520" w:firstLineChars="1200"/>
        <w:rPr>
          <w:rFonts w:ascii="宋体" w:hAnsi="宋体" w:eastAsia="宋体" w:cs="宋体"/>
          <w:color w:val="auto"/>
          <w:szCs w:val="21"/>
          <w:highlight w:val="none"/>
        </w:rPr>
      </w:pPr>
      <w:r>
        <w:rPr>
          <w:rFonts w:hint="eastAsia" w:ascii="宋体" w:hAnsi="宋体" w:eastAsia="宋体" w:cs="宋体"/>
          <w:color w:val="auto"/>
          <w:szCs w:val="21"/>
          <w:highlight w:val="none"/>
        </w:rPr>
        <w:t>网</w:t>
      </w:r>
      <w:r>
        <w:rPr>
          <w:rFonts w:ascii="宋体" w:hAnsi="宋体" w:eastAsia="宋体" w:cs="宋体"/>
          <w:color w:val="auto"/>
          <w:szCs w:val="21"/>
          <w:highlight w:val="none"/>
        </w:rPr>
        <w:t xml:space="preserve">    </w:t>
      </w:r>
      <w:r>
        <w:rPr>
          <w:rFonts w:hint="eastAsia" w:ascii="宋体" w:hAnsi="宋体" w:eastAsia="宋体" w:cs="宋体"/>
          <w:color w:val="auto"/>
          <w:szCs w:val="21"/>
          <w:highlight w:val="none"/>
        </w:rPr>
        <w:t>址：</w:t>
      </w:r>
      <w:r>
        <w:rPr>
          <w:rFonts w:ascii="宋体" w:hAnsi="宋体" w:eastAsia="宋体" w:cs="宋体"/>
          <w:color w:val="auto"/>
          <w:szCs w:val="21"/>
          <w:highlight w:val="none"/>
          <w:u w:val="single"/>
        </w:rPr>
        <w:tab/>
      </w:r>
      <w:r>
        <w:rPr>
          <w:rFonts w:ascii="宋体" w:hAnsi="宋体" w:eastAsia="宋体" w:cs="宋体"/>
          <w:color w:val="auto"/>
          <w:szCs w:val="21"/>
          <w:highlight w:val="none"/>
          <w:u w:val="single"/>
        </w:rPr>
        <w:t xml:space="preserve">                           </w:t>
      </w:r>
    </w:p>
    <w:p>
      <w:pPr>
        <w:spacing w:line="360" w:lineRule="exact"/>
        <w:ind w:firstLine="2520" w:firstLineChars="1200"/>
        <w:rPr>
          <w:rFonts w:ascii="宋体" w:hAnsi="宋体" w:eastAsia="宋体" w:cs="宋体"/>
          <w:color w:val="auto"/>
          <w:szCs w:val="21"/>
          <w:highlight w:val="none"/>
        </w:rPr>
      </w:pPr>
      <w:r>
        <w:rPr>
          <w:rFonts w:hint="eastAsia" w:ascii="宋体" w:hAnsi="宋体" w:eastAsia="宋体" w:cs="宋体"/>
          <w:color w:val="auto"/>
          <w:szCs w:val="21"/>
          <w:highlight w:val="none"/>
        </w:rPr>
        <w:t>电</w:t>
      </w:r>
      <w:r>
        <w:rPr>
          <w:rFonts w:ascii="宋体" w:hAnsi="宋体" w:eastAsia="宋体" w:cs="宋体"/>
          <w:color w:val="auto"/>
          <w:szCs w:val="21"/>
          <w:highlight w:val="none"/>
        </w:rPr>
        <w:t xml:space="preserve">    </w:t>
      </w:r>
      <w:r>
        <w:rPr>
          <w:rFonts w:hint="eastAsia" w:ascii="宋体" w:hAnsi="宋体" w:eastAsia="宋体" w:cs="宋体"/>
          <w:color w:val="auto"/>
          <w:szCs w:val="21"/>
          <w:highlight w:val="none"/>
        </w:rPr>
        <w:t>话：</w:t>
      </w:r>
      <w:r>
        <w:rPr>
          <w:rFonts w:ascii="宋体" w:hAnsi="宋体" w:eastAsia="宋体" w:cs="宋体"/>
          <w:color w:val="auto"/>
          <w:szCs w:val="21"/>
          <w:highlight w:val="none"/>
          <w:u w:val="single"/>
        </w:rPr>
        <w:tab/>
      </w:r>
      <w:r>
        <w:rPr>
          <w:rFonts w:ascii="宋体" w:hAnsi="宋体" w:eastAsia="宋体" w:cs="宋体"/>
          <w:color w:val="auto"/>
          <w:szCs w:val="21"/>
          <w:highlight w:val="none"/>
          <w:u w:val="single"/>
        </w:rPr>
        <w:tab/>
      </w:r>
      <w:r>
        <w:rPr>
          <w:rFonts w:ascii="宋体" w:hAnsi="宋体" w:eastAsia="宋体" w:cs="宋体"/>
          <w:color w:val="auto"/>
          <w:szCs w:val="21"/>
          <w:highlight w:val="none"/>
          <w:u w:val="single"/>
        </w:rPr>
        <w:t xml:space="preserve">                       </w:t>
      </w:r>
    </w:p>
    <w:p>
      <w:pPr>
        <w:spacing w:line="360" w:lineRule="exact"/>
        <w:ind w:firstLine="2520" w:firstLineChars="1200"/>
        <w:rPr>
          <w:rFonts w:ascii="宋体" w:hAnsi="宋体" w:eastAsia="宋体" w:cs="宋体"/>
          <w:color w:val="auto"/>
          <w:szCs w:val="21"/>
          <w:highlight w:val="none"/>
        </w:rPr>
      </w:pPr>
      <w:r>
        <w:rPr>
          <w:rFonts w:hint="eastAsia" w:ascii="宋体" w:hAnsi="宋体" w:eastAsia="宋体" w:cs="宋体"/>
          <w:color w:val="auto"/>
          <w:szCs w:val="21"/>
          <w:highlight w:val="none"/>
        </w:rPr>
        <w:t>传</w:t>
      </w:r>
      <w:r>
        <w:rPr>
          <w:rFonts w:ascii="宋体" w:hAnsi="宋体" w:eastAsia="宋体" w:cs="宋体"/>
          <w:color w:val="auto"/>
          <w:szCs w:val="21"/>
          <w:highlight w:val="none"/>
        </w:rPr>
        <w:t xml:space="preserve">    </w:t>
      </w:r>
      <w:r>
        <w:rPr>
          <w:rFonts w:hint="eastAsia" w:ascii="宋体" w:hAnsi="宋体" w:eastAsia="宋体" w:cs="宋体"/>
          <w:color w:val="auto"/>
          <w:szCs w:val="21"/>
          <w:highlight w:val="none"/>
        </w:rPr>
        <w:t>真：</w:t>
      </w:r>
      <w:r>
        <w:rPr>
          <w:rFonts w:ascii="宋体" w:hAnsi="宋体" w:eastAsia="宋体" w:cs="宋体"/>
          <w:color w:val="auto"/>
          <w:szCs w:val="21"/>
          <w:highlight w:val="none"/>
          <w:u w:val="single"/>
        </w:rPr>
        <w:tab/>
      </w:r>
      <w:r>
        <w:rPr>
          <w:rFonts w:ascii="宋体" w:hAnsi="宋体" w:eastAsia="宋体" w:cs="宋体"/>
          <w:color w:val="auto"/>
          <w:szCs w:val="21"/>
          <w:highlight w:val="none"/>
          <w:u w:val="single"/>
        </w:rPr>
        <w:t xml:space="preserve">                           </w:t>
      </w:r>
    </w:p>
    <w:p>
      <w:pPr>
        <w:spacing w:line="360" w:lineRule="exact"/>
        <w:ind w:firstLine="2520" w:firstLineChars="1200"/>
        <w:rPr>
          <w:rFonts w:ascii="宋体" w:hAnsi="宋体" w:eastAsia="宋体" w:cs="宋体"/>
          <w:color w:val="auto"/>
          <w:szCs w:val="21"/>
          <w:highlight w:val="none"/>
        </w:rPr>
      </w:pPr>
      <w:r>
        <w:rPr>
          <w:rFonts w:hint="eastAsia" w:ascii="宋体" w:hAnsi="宋体" w:eastAsia="宋体" w:cs="宋体"/>
          <w:color w:val="auto"/>
          <w:szCs w:val="21"/>
          <w:highlight w:val="none"/>
        </w:rPr>
        <w:t>邮政编码：</w:t>
      </w:r>
      <w:r>
        <w:rPr>
          <w:rFonts w:ascii="宋体" w:hAnsi="宋体" w:eastAsia="宋体" w:cs="宋体"/>
          <w:color w:val="auto"/>
          <w:szCs w:val="21"/>
          <w:highlight w:val="none"/>
          <w:u w:val="single"/>
        </w:rPr>
        <w:tab/>
      </w:r>
      <w:r>
        <w:rPr>
          <w:rFonts w:ascii="宋体" w:hAnsi="宋体" w:eastAsia="宋体" w:cs="宋体"/>
          <w:color w:val="auto"/>
          <w:szCs w:val="21"/>
          <w:highlight w:val="none"/>
          <w:u w:val="single"/>
        </w:rPr>
        <w:t xml:space="preserve">                           </w:t>
      </w:r>
    </w:p>
    <w:p>
      <w:pPr>
        <w:spacing w:line="360" w:lineRule="exact"/>
        <w:ind w:firstLine="4725" w:firstLineChars="2250"/>
        <w:jc w:val="righ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rPr>
          <w:rFonts w:asciiTheme="minorEastAsia" w:hAnsiTheme="minorEastAsia" w:eastAsiaTheme="minorEastAsia"/>
          <w:b/>
          <w:bCs/>
          <w:color w:val="auto"/>
          <w:kern w:val="0"/>
          <w:sz w:val="32"/>
          <w:szCs w:val="32"/>
          <w:highlight w:val="none"/>
        </w:rPr>
      </w:pPr>
      <w:bookmarkStart w:id="145" w:name="_Toc300835209"/>
      <w:bookmarkStart w:id="146" w:name="_Toc247514246"/>
      <w:bookmarkStart w:id="147" w:name="_Toc247527827"/>
      <w:bookmarkStart w:id="148" w:name="_Toc152045787"/>
      <w:bookmarkStart w:id="149" w:name="_Toc144974856"/>
      <w:bookmarkStart w:id="150" w:name="_Toc17960"/>
      <w:bookmarkStart w:id="151" w:name="_Toc369531697"/>
      <w:bookmarkStart w:id="152" w:name="_Toc384308375"/>
      <w:bookmarkStart w:id="153" w:name="_Toc361508752"/>
      <w:bookmarkStart w:id="154" w:name="_Toc152042576"/>
      <w:bookmarkStart w:id="155" w:name="_Toc352691661"/>
      <w:bookmarkStart w:id="156" w:name="_Toc8670_WPSOffice_Level1"/>
      <w:bookmarkStart w:id="157" w:name="_Toc531360699"/>
      <w:r>
        <w:rPr>
          <w:rFonts w:asciiTheme="minorEastAsia" w:hAnsiTheme="minorEastAsia" w:eastAsiaTheme="minorEastAsia"/>
          <w:b/>
          <w:bCs/>
          <w:color w:val="auto"/>
          <w:kern w:val="0"/>
          <w:sz w:val="32"/>
          <w:szCs w:val="32"/>
          <w:highlight w:val="none"/>
        </w:rPr>
        <w:br w:type="page"/>
      </w:r>
    </w:p>
    <w:p>
      <w:pPr>
        <w:keepNext/>
        <w:keepLines/>
        <w:spacing w:after="260"/>
        <w:jc w:val="center"/>
        <w:outlineLvl w:val="2"/>
        <w:rPr>
          <w:rFonts w:asciiTheme="minorEastAsia" w:hAnsiTheme="minorEastAsia" w:eastAsiaTheme="minorEastAsia"/>
          <w:b/>
          <w:bCs/>
          <w:color w:val="auto"/>
          <w:kern w:val="0"/>
          <w:sz w:val="32"/>
          <w:szCs w:val="32"/>
          <w:highlight w:val="none"/>
        </w:rPr>
      </w:pPr>
      <w:r>
        <w:rPr>
          <w:rFonts w:asciiTheme="minorEastAsia" w:hAnsiTheme="minorEastAsia" w:eastAsiaTheme="minorEastAsia"/>
          <w:b/>
          <w:bCs/>
          <w:color w:val="auto"/>
          <w:kern w:val="0"/>
          <w:sz w:val="32"/>
          <w:szCs w:val="32"/>
          <w:highlight w:val="none"/>
        </w:rPr>
        <w:t xml:space="preserve">1.2 </w:t>
      </w:r>
      <w:r>
        <w:rPr>
          <w:rFonts w:hint="eastAsia" w:asciiTheme="minorEastAsia" w:hAnsiTheme="minorEastAsia" w:eastAsiaTheme="minorEastAsia"/>
          <w:b/>
          <w:bCs/>
          <w:color w:val="auto"/>
          <w:kern w:val="0"/>
          <w:sz w:val="32"/>
          <w:szCs w:val="32"/>
          <w:highlight w:val="none"/>
        </w:rPr>
        <w:t>投标函附录：</w:t>
      </w:r>
    </w:p>
    <w:tbl>
      <w:tblPr>
        <w:tblStyle w:val="17"/>
        <w:tblW w:w="832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261"/>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r>
              <w:rPr>
                <w:rFonts w:hint="eastAsia" w:ascii="宋体" w:hAnsi="宋体" w:eastAsia="宋体"/>
                <w:color w:val="auto"/>
                <w:szCs w:val="21"/>
                <w:highlight w:val="none"/>
              </w:rPr>
              <w:t>序号</w:t>
            </w:r>
          </w:p>
        </w:tc>
        <w:tc>
          <w:tcPr>
            <w:tcW w:w="3261"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r>
              <w:rPr>
                <w:rFonts w:hint="eastAsia" w:ascii="宋体" w:hAnsi="宋体" w:eastAsia="宋体"/>
                <w:color w:val="auto"/>
                <w:szCs w:val="21"/>
                <w:highlight w:val="none"/>
              </w:rPr>
              <w:t>项    目</w:t>
            </w:r>
          </w:p>
        </w:tc>
        <w:tc>
          <w:tcPr>
            <w:tcW w:w="41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r>
              <w:rPr>
                <w:rFonts w:hint="eastAsia" w:ascii="宋体" w:hAnsi="宋体" w:eastAsia="宋体"/>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r>
              <w:rPr>
                <w:rFonts w:hint="eastAsia" w:ascii="宋体" w:hAnsi="宋体" w:eastAsia="宋体"/>
                <w:color w:val="auto"/>
                <w:szCs w:val="21"/>
                <w:highlight w:val="none"/>
              </w:rPr>
              <w:t>1</w:t>
            </w:r>
          </w:p>
        </w:tc>
        <w:tc>
          <w:tcPr>
            <w:tcW w:w="3261"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r>
              <w:rPr>
                <w:rFonts w:hint="eastAsia" w:ascii="宋体" w:hAnsi="宋体" w:eastAsia="宋体"/>
                <w:color w:val="auto"/>
                <w:szCs w:val="21"/>
                <w:highlight w:val="none"/>
              </w:rPr>
              <w:t>服务期限</w:t>
            </w:r>
          </w:p>
        </w:tc>
        <w:tc>
          <w:tcPr>
            <w:tcW w:w="41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r>
              <w:rPr>
                <w:rFonts w:hint="eastAsia" w:ascii="宋体" w:hAnsi="宋体" w:eastAsia="宋体"/>
                <w:color w:val="auto"/>
                <w:szCs w:val="21"/>
                <w:highlight w:val="none"/>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r>
              <w:rPr>
                <w:rFonts w:hint="eastAsia" w:ascii="宋体" w:hAnsi="宋体" w:eastAsia="宋体"/>
                <w:color w:val="auto"/>
                <w:szCs w:val="21"/>
                <w:highlight w:val="none"/>
              </w:rPr>
              <w:t>2</w:t>
            </w:r>
          </w:p>
        </w:tc>
        <w:tc>
          <w:tcPr>
            <w:tcW w:w="3261"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r>
              <w:rPr>
                <w:rFonts w:hint="eastAsia" w:ascii="宋体" w:hAnsi="宋体" w:eastAsia="宋体"/>
                <w:color w:val="auto"/>
                <w:szCs w:val="21"/>
                <w:highlight w:val="none"/>
              </w:rPr>
              <w:t>质量标准</w:t>
            </w:r>
          </w:p>
        </w:tc>
        <w:tc>
          <w:tcPr>
            <w:tcW w:w="41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r>
              <w:rPr>
                <w:rFonts w:hint="eastAsia" w:ascii="宋体" w:hAnsi="宋体" w:eastAsia="宋体"/>
                <w:color w:val="auto"/>
                <w:szCs w:val="21"/>
                <w:highlight w:val="none"/>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r>
              <w:rPr>
                <w:rFonts w:hint="eastAsia" w:ascii="宋体" w:hAnsi="宋体" w:eastAsia="宋体"/>
                <w:color w:val="auto"/>
                <w:szCs w:val="21"/>
                <w:highlight w:val="none"/>
              </w:rPr>
              <w:t>3</w:t>
            </w:r>
          </w:p>
        </w:tc>
        <w:tc>
          <w:tcPr>
            <w:tcW w:w="3261"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r>
              <w:rPr>
                <w:rFonts w:hint="eastAsia" w:ascii="宋体" w:hAnsi="宋体" w:eastAsia="宋体"/>
                <w:color w:val="auto"/>
                <w:szCs w:val="21"/>
                <w:highlight w:val="none"/>
              </w:rPr>
              <w:t>投标有效期</w:t>
            </w:r>
          </w:p>
        </w:tc>
        <w:tc>
          <w:tcPr>
            <w:tcW w:w="41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r>
              <w:rPr>
                <w:rFonts w:hint="eastAsia" w:ascii="宋体" w:hAnsi="宋体" w:eastAsia="宋体"/>
                <w:color w:val="auto"/>
                <w:szCs w:val="21"/>
                <w:highlight w:val="none"/>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4" w:type="dxa"/>
            <w:vMerge w:val="restart"/>
            <w:tcBorders>
              <w:top w:val="single" w:color="auto" w:sz="4" w:space="0"/>
              <w:left w:val="single" w:color="auto" w:sz="4" w:space="0"/>
              <w:right w:val="single" w:color="auto" w:sz="4" w:space="0"/>
            </w:tcBorders>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r>
              <w:rPr>
                <w:rFonts w:hint="eastAsia" w:ascii="宋体" w:hAnsi="宋体" w:eastAsia="宋体"/>
                <w:color w:val="auto"/>
                <w:szCs w:val="21"/>
                <w:highlight w:val="none"/>
              </w:rPr>
              <w:t>4</w:t>
            </w:r>
          </w:p>
        </w:tc>
        <w:tc>
          <w:tcPr>
            <w:tcW w:w="3261"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r>
              <w:rPr>
                <w:rFonts w:hint="eastAsia" w:ascii="宋体" w:hAnsi="宋体" w:eastAsia="宋体"/>
                <w:color w:val="auto"/>
                <w:szCs w:val="21"/>
                <w:highlight w:val="none"/>
              </w:rPr>
              <w:t>项目负责人</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eastAsia="宋体"/>
                <w:color w:val="auto"/>
                <w:szCs w:val="21"/>
                <w:highlight w:val="none"/>
              </w:rPr>
            </w:pPr>
            <w:r>
              <w:rPr>
                <w:rFonts w:hint="eastAsia" w:ascii="宋体" w:hAnsi="宋体" w:eastAsia="宋体"/>
                <w:color w:val="auto"/>
                <w:szCs w:val="21"/>
                <w:highlight w:val="none"/>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4" w:type="dxa"/>
            <w:vMerge w:val="continue"/>
            <w:tcBorders>
              <w:left w:val="single" w:color="auto" w:sz="4" w:space="0"/>
              <w:right w:val="single" w:color="auto" w:sz="4" w:space="0"/>
            </w:tcBorders>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p>
        </w:tc>
        <w:tc>
          <w:tcPr>
            <w:tcW w:w="3261"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olor w:val="auto"/>
                <w:szCs w:val="21"/>
                <w:highlight w:val="none"/>
              </w:rPr>
            </w:pP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eastAsia="宋体"/>
                <w:color w:val="auto"/>
                <w:szCs w:val="21"/>
                <w:highlight w:val="none"/>
              </w:rPr>
            </w:pPr>
            <w:r>
              <w:rPr>
                <w:rFonts w:hint="eastAsia" w:ascii="宋体" w:hAnsi="宋体" w:eastAsia="宋体"/>
                <w:color w:val="auto"/>
                <w:szCs w:val="21"/>
                <w:highlight w:val="none"/>
              </w:rPr>
              <w:t>技术职称：</w:t>
            </w:r>
          </w:p>
        </w:tc>
      </w:tr>
    </w:tbl>
    <w:p>
      <w:pPr>
        <w:spacing w:line="400" w:lineRule="exact"/>
        <w:rPr>
          <w:rFonts w:ascii="宋体" w:hAnsi="宋体"/>
          <w:color w:val="auto"/>
          <w:sz w:val="24"/>
          <w:highlight w:val="none"/>
        </w:rPr>
      </w:pPr>
    </w:p>
    <w:p>
      <w:pPr>
        <w:jc w:val="center"/>
        <w:rPr>
          <w:rFonts w:asciiTheme="minorEastAsia" w:hAnsiTheme="minorEastAsia" w:eastAsiaTheme="minorEastAsia"/>
          <w:color w:val="auto"/>
          <w:highlight w:val="none"/>
        </w:rPr>
      </w:pPr>
    </w:p>
    <w:p>
      <w:pPr>
        <w:pStyle w:val="23"/>
        <w:rPr>
          <w:rFonts w:asciiTheme="minorEastAsia" w:hAnsiTheme="minorEastAsia" w:eastAsiaTheme="minorEastAsia"/>
          <w:color w:val="auto"/>
          <w:highlight w:val="none"/>
        </w:rPr>
      </w:pPr>
    </w:p>
    <w:p>
      <w:pPr>
        <w:pStyle w:val="23"/>
        <w:rPr>
          <w:rFonts w:asciiTheme="minorEastAsia" w:hAnsiTheme="minorEastAsia" w:eastAsiaTheme="minorEastAsia"/>
          <w:color w:val="auto"/>
          <w:highlight w:val="none"/>
        </w:rPr>
      </w:pPr>
    </w:p>
    <w:p>
      <w:pPr>
        <w:pStyle w:val="23"/>
        <w:rPr>
          <w:rFonts w:asciiTheme="minorEastAsia" w:hAnsiTheme="minorEastAsia" w:eastAsiaTheme="minorEastAsia"/>
          <w:color w:val="auto"/>
          <w:highlight w:val="none"/>
        </w:rPr>
      </w:pPr>
    </w:p>
    <w:p>
      <w:pPr>
        <w:pStyle w:val="23"/>
        <w:rPr>
          <w:rFonts w:asciiTheme="minorEastAsia" w:hAnsiTheme="minorEastAsia" w:eastAsiaTheme="minorEastAsia"/>
          <w:color w:val="auto"/>
          <w:highlight w:val="none"/>
        </w:rPr>
      </w:pPr>
    </w:p>
    <w:p>
      <w:pPr>
        <w:pStyle w:val="23"/>
        <w:rPr>
          <w:rFonts w:asciiTheme="minorEastAsia" w:hAnsiTheme="minorEastAsia" w:eastAsiaTheme="minorEastAsia"/>
          <w:color w:val="auto"/>
          <w:highlight w:val="none"/>
        </w:rPr>
      </w:pPr>
    </w:p>
    <w:p>
      <w:pPr>
        <w:pStyle w:val="23"/>
        <w:rPr>
          <w:rFonts w:asciiTheme="minorEastAsia" w:hAnsiTheme="minorEastAsia" w:eastAsiaTheme="minorEastAsia"/>
          <w:color w:val="auto"/>
          <w:highlight w:val="none"/>
        </w:rPr>
      </w:pPr>
    </w:p>
    <w:p>
      <w:pPr>
        <w:pStyle w:val="23"/>
        <w:rPr>
          <w:rFonts w:asciiTheme="minorEastAsia" w:hAnsiTheme="minorEastAsia" w:eastAsiaTheme="minorEastAsia"/>
          <w:color w:val="auto"/>
          <w:highlight w:val="none"/>
        </w:rPr>
      </w:pPr>
    </w:p>
    <w:p>
      <w:pPr>
        <w:pStyle w:val="23"/>
        <w:rPr>
          <w:rFonts w:asciiTheme="minorEastAsia" w:hAnsiTheme="minorEastAsia" w:eastAsiaTheme="minorEastAsia"/>
          <w:color w:val="auto"/>
          <w:highlight w:val="none"/>
        </w:rPr>
      </w:pPr>
    </w:p>
    <w:p>
      <w:pPr>
        <w:widowControl/>
        <w:jc w:val="left"/>
        <w:rPr>
          <w:rFonts w:asciiTheme="minorEastAsia" w:hAnsiTheme="minorEastAsia" w:eastAsiaTheme="minorEastAsia"/>
          <w:b/>
          <w:color w:val="auto"/>
          <w:sz w:val="32"/>
          <w:szCs w:val="20"/>
          <w:highlight w:val="none"/>
        </w:rPr>
      </w:pPr>
      <w:r>
        <w:rPr>
          <w:rFonts w:asciiTheme="minorEastAsia" w:hAnsiTheme="minorEastAsia" w:eastAsiaTheme="minorEastAsia"/>
          <w:color w:val="auto"/>
          <w:highlight w:val="none"/>
        </w:rPr>
        <w:br w:type="page"/>
      </w:r>
    </w:p>
    <w:p>
      <w:pPr>
        <w:pStyle w:val="5"/>
        <w:jc w:val="lef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w:t>
      </w:r>
      <w:bookmarkEnd w:id="145"/>
      <w:bookmarkEnd w:id="146"/>
      <w:bookmarkEnd w:id="147"/>
      <w:bookmarkEnd w:id="148"/>
      <w:bookmarkEnd w:id="149"/>
      <w:bookmarkEnd w:id="150"/>
      <w:bookmarkEnd w:id="151"/>
      <w:bookmarkEnd w:id="152"/>
      <w:bookmarkEnd w:id="153"/>
      <w:bookmarkEnd w:id="154"/>
      <w:bookmarkEnd w:id="155"/>
      <w:r>
        <w:rPr>
          <w:rFonts w:hint="eastAsia" w:asciiTheme="minorEastAsia" w:hAnsiTheme="minorEastAsia" w:eastAsiaTheme="minorEastAsia"/>
          <w:color w:val="auto"/>
          <w:highlight w:val="none"/>
        </w:rPr>
        <w:t>、法定代表人身份证明</w:t>
      </w:r>
      <w:bookmarkEnd w:id="156"/>
      <w:bookmarkEnd w:id="157"/>
      <w:r>
        <w:rPr>
          <w:rFonts w:hint="eastAsia" w:asciiTheme="minorEastAsia" w:hAnsiTheme="minorEastAsia" w:eastAsiaTheme="minorEastAsia"/>
          <w:color w:val="auto"/>
          <w:highlight w:val="none"/>
        </w:rPr>
        <w:t>及授权委托书</w:t>
      </w:r>
    </w:p>
    <w:p>
      <w:pPr>
        <w:keepNext/>
        <w:keepLines/>
        <w:spacing w:after="260"/>
        <w:jc w:val="center"/>
        <w:outlineLvl w:val="2"/>
        <w:rPr>
          <w:rFonts w:asciiTheme="minorEastAsia" w:hAnsiTheme="minorEastAsia" w:eastAsiaTheme="minorEastAsia"/>
          <w:b/>
          <w:bCs/>
          <w:color w:val="auto"/>
          <w:kern w:val="0"/>
          <w:sz w:val="32"/>
          <w:szCs w:val="32"/>
          <w:highlight w:val="none"/>
        </w:rPr>
      </w:pPr>
      <w:r>
        <w:rPr>
          <w:rFonts w:asciiTheme="minorEastAsia" w:hAnsiTheme="minorEastAsia" w:eastAsiaTheme="minorEastAsia"/>
          <w:b/>
          <w:bCs/>
          <w:color w:val="auto"/>
          <w:kern w:val="0"/>
          <w:sz w:val="32"/>
          <w:szCs w:val="32"/>
          <w:highlight w:val="none"/>
        </w:rPr>
        <w:t>2.1</w:t>
      </w:r>
      <w:r>
        <w:rPr>
          <w:rFonts w:hint="eastAsia" w:asciiTheme="minorEastAsia" w:hAnsiTheme="minorEastAsia" w:eastAsiaTheme="minorEastAsia"/>
          <w:b/>
          <w:bCs/>
          <w:color w:val="auto"/>
          <w:kern w:val="0"/>
          <w:sz w:val="32"/>
          <w:szCs w:val="32"/>
          <w:highlight w:val="none"/>
        </w:rPr>
        <w:t xml:space="preserve"> 法定代表人身份证明</w:t>
      </w:r>
    </w:p>
    <w:p>
      <w:pPr>
        <w:spacing w:line="440" w:lineRule="exact"/>
        <w:rPr>
          <w:rFonts w:asciiTheme="minorEastAsia" w:hAnsiTheme="minorEastAsia" w:eastAsiaTheme="minorEastAsia"/>
          <w:color w:val="auto"/>
          <w:highlight w:val="none"/>
        </w:rPr>
      </w:pPr>
    </w:p>
    <w:p>
      <w:pPr>
        <w:spacing w:line="440" w:lineRule="exact"/>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color w:val="auto"/>
          <w:highlight w:val="none"/>
          <w:u w:val="single"/>
        </w:rPr>
        <w:t xml:space="preserve">                          </w:t>
      </w:r>
    </w:p>
    <w:p>
      <w:pPr>
        <w:spacing w:line="440" w:lineRule="exact"/>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姓名：</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性别：</w:t>
      </w:r>
      <w:bookmarkStart w:id="158" w:name="_Toc369531698"/>
      <w:bookmarkStart w:id="159" w:name="_Toc352691662"/>
      <w:bookmarkStart w:id="160" w:name="_Toc27897"/>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年</w:t>
      </w:r>
      <w:bookmarkEnd w:id="158"/>
      <w:bookmarkEnd w:id="159"/>
      <w:bookmarkEnd w:id="160"/>
      <w:r>
        <w:rPr>
          <w:rFonts w:hint="eastAsia" w:asciiTheme="minorEastAsia" w:hAnsiTheme="minorEastAsia" w:eastAsiaTheme="minorEastAsia"/>
          <w:color w:val="auto"/>
          <w:highlight w:val="none"/>
        </w:rPr>
        <w:t>龄</w:t>
      </w:r>
      <w:bookmarkStart w:id="161" w:name="_Toc152042578"/>
      <w:bookmarkStart w:id="162" w:name="_Toc300835211"/>
      <w:bookmarkStart w:id="163" w:name="_Toc361508754"/>
      <w:bookmarkStart w:id="164" w:name="_Toc15573"/>
      <w:bookmarkStart w:id="165" w:name="_Toc369531699"/>
      <w:bookmarkStart w:id="166" w:name="_Toc352691663"/>
      <w:bookmarkStart w:id="167" w:name="_Toc384308377"/>
      <w:bookmarkStart w:id="168" w:name="_Toc247527829"/>
      <w:bookmarkStart w:id="169" w:name="_Toc247514248"/>
      <w:bookmarkStart w:id="170" w:name="_Toc152045789"/>
      <w:bookmarkStart w:id="171" w:name="_Toc144974858"/>
      <w:r>
        <w:rPr>
          <w:rFonts w:hint="eastAsia" w:asciiTheme="minorEastAsia" w:hAnsiTheme="minorEastAsia" w:eastAsiaTheme="minorEastAsia"/>
          <w:color w:val="auto"/>
          <w:highlight w:val="none"/>
        </w:rPr>
        <w:t>：</w:t>
      </w:r>
      <w:bookmarkEnd w:id="161"/>
      <w:bookmarkEnd w:id="162"/>
      <w:bookmarkEnd w:id="163"/>
      <w:bookmarkEnd w:id="164"/>
      <w:bookmarkEnd w:id="165"/>
      <w:bookmarkEnd w:id="166"/>
      <w:bookmarkEnd w:id="167"/>
      <w:bookmarkEnd w:id="168"/>
      <w:bookmarkEnd w:id="169"/>
      <w:bookmarkEnd w:id="170"/>
      <w:bookmarkEnd w:id="171"/>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职务：</w:t>
      </w:r>
      <w:r>
        <w:rPr>
          <w:rFonts w:hint="eastAsia" w:asciiTheme="minorEastAsia" w:hAnsiTheme="minorEastAsia" w:eastAsiaTheme="minorEastAsia"/>
          <w:color w:val="auto"/>
          <w:highlight w:val="none"/>
          <w:u w:val="single"/>
        </w:rPr>
        <w:t xml:space="preserve">       </w:t>
      </w:r>
    </w:p>
    <w:p>
      <w:pPr>
        <w:spacing w:line="440" w:lineRule="exac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系</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rPr>
        <w:t>（投标人名称）</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的法定代表人。</w:t>
      </w:r>
    </w:p>
    <w:p>
      <w:pPr>
        <w:spacing w:line="44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特此证明。</w:t>
      </w:r>
    </w:p>
    <w:p>
      <w:pPr>
        <w:spacing w:line="440" w:lineRule="exact"/>
        <w:rPr>
          <w:rFonts w:asciiTheme="minorEastAsia" w:hAnsiTheme="minorEastAsia" w:eastAsiaTheme="minorEastAsia"/>
          <w:color w:val="auto"/>
          <w:highlight w:val="none"/>
        </w:rPr>
      </w:pPr>
    </w:p>
    <w:p>
      <w:pPr>
        <w:spacing w:line="440" w:lineRule="exac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附：法定代表人身份证复印件。</w:t>
      </w:r>
    </w:p>
    <w:p>
      <w:pPr>
        <w:spacing w:line="440" w:lineRule="exact"/>
        <w:rPr>
          <w:rFonts w:asciiTheme="minorEastAsia" w:hAnsiTheme="minorEastAsia" w:eastAsiaTheme="minorEastAsia"/>
          <w:color w:val="auto"/>
          <w:highlight w:val="none"/>
        </w:rPr>
      </w:pPr>
    </w:p>
    <w:p>
      <w:pPr>
        <w:spacing w:line="440" w:lineRule="exact"/>
        <w:rPr>
          <w:rFonts w:asciiTheme="minorEastAsia" w:hAnsiTheme="minorEastAsia" w:eastAsiaTheme="minorEastAsia"/>
          <w:color w:val="auto"/>
          <w:highlight w:val="none"/>
        </w:rPr>
      </w:pPr>
    </w:p>
    <w:p>
      <w:pPr>
        <w:spacing w:line="440" w:lineRule="exact"/>
        <w:rPr>
          <w:rFonts w:asciiTheme="minorEastAsia" w:hAnsiTheme="minorEastAsia" w:eastAsiaTheme="minorEastAsia"/>
          <w:color w:val="auto"/>
          <w:highlight w:val="none"/>
        </w:rPr>
      </w:pPr>
    </w:p>
    <w:p>
      <w:pPr>
        <w:spacing w:line="44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投标人：</w:t>
      </w:r>
      <w:r>
        <w:rPr>
          <w:rFonts w:asciiTheme="minorEastAsia" w:hAnsiTheme="minorEastAsia" w:eastAsiaTheme="minorEastAsia"/>
          <w:color w:val="auto"/>
          <w:highlight w:val="none"/>
          <w:u w:val="single"/>
        </w:rPr>
        <w:t xml:space="preserve">           </w:t>
      </w:r>
      <w:r>
        <w:rPr>
          <w:rFonts w:asciiTheme="minorEastAsia" w:hAnsiTheme="minorEastAsia" w:eastAsiaTheme="minorEastAsia"/>
          <w:color w:val="auto"/>
          <w:szCs w:val="21"/>
          <w:highlight w:val="none"/>
          <w:u w:val="single"/>
        </w:rPr>
        <w:tab/>
      </w:r>
      <w:r>
        <w:rPr>
          <w:rFonts w:hint="eastAsia" w:asciiTheme="minorEastAsia" w:hAnsiTheme="minorEastAsia" w:eastAsiaTheme="minorEastAsia"/>
          <w:color w:val="auto"/>
          <w:highlight w:val="none"/>
        </w:rPr>
        <w:t>（盖单位章）</w:t>
      </w:r>
    </w:p>
    <w:p>
      <w:pPr>
        <w:spacing w:line="440" w:lineRule="exact"/>
        <w:rPr>
          <w:rFonts w:asciiTheme="minorEastAsia" w:hAnsiTheme="minorEastAsia" w:eastAsiaTheme="minorEastAsia"/>
          <w:color w:val="auto"/>
          <w:highlight w:val="none"/>
        </w:rPr>
      </w:pPr>
    </w:p>
    <w:p>
      <w:pPr>
        <w:spacing w:line="440" w:lineRule="exact"/>
        <w:ind w:firstLine="5775" w:firstLineChars="275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年  月  日</w:t>
      </w:r>
    </w:p>
    <w:p>
      <w:pPr>
        <w:spacing w:line="440" w:lineRule="exact"/>
        <w:rPr>
          <w:rFonts w:asciiTheme="minorEastAsia" w:hAnsiTheme="minorEastAsia" w:eastAsiaTheme="minorEastAsia"/>
          <w:color w:val="auto"/>
          <w:sz w:val="20"/>
          <w:highlight w:val="none"/>
        </w:rPr>
      </w:pPr>
    </w:p>
    <w:p>
      <w:pPr>
        <w:spacing w:line="440" w:lineRule="exact"/>
        <w:rPr>
          <w:rFonts w:asciiTheme="minorEastAsia" w:hAnsiTheme="minorEastAsia" w:eastAsiaTheme="minorEastAsia"/>
          <w:color w:val="auto"/>
          <w:sz w:val="20"/>
          <w:highlight w:val="none"/>
        </w:rPr>
      </w:pPr>
    </w:p>
    <w:p>
      <w:pPr>
        <w:spacing w:line="440" w:lineRule="exact"/>
        <w:rPr>
          <w:rFonts w:asciiTheme="minorEastAsia" w:hAnsiTheme="minorEastAsia" w:eastAsiaTheme="minorEastAsia"/>
          <w:color w:val="auto"/>
          <w:sz w:val="20"/>
          <w:highlight w:val="none"/>
        </w:rPr>
      </w:pPr>
    </w:p>
    <w:p>
      <w:pPr>
        <w:spacing w:line="440" w:lineRule="exact"/>
        <w:rPr>
          <w:rFonts w:asciiTheme="minorEastAsia" w:hAnsiTheme="minorEastAsia" w:eastAsiaTheme="minorEastAsia"/>
          <w:color w:val="auto"/>
          <w:sz w:val="20"/>
          <w:highlight w:val="none"/>
        </w:rPr>
      </w:pPr>
    </w:p>
    <w:p>
      <w:pPr>
        <w:spacing w:line="440" w:lineRule="exact"/>
        <w:rPr>
          <w:rFonts w:asciiTheme="minorEastAsia" w:hAnsiTheme="minorEastAsia" w:eastAsiaTheme="minorEastAsia"/>
          <w:color w:val="auto"/>
          <w:sz w:val="20"/>
          <w:highlight w:val="none"/>
        </w:rPr>
      </w:pPr>
    </w:p>
    <w:p>
      <w:pPr>
        <w:spacing w:line="440" w:lineRule="exact"/>
        <w:rPr>
          <w:rFonts w:asciiTheme="minorEastAsia" w:hAnsiTheme="minorEastAsia" w:eastAsiaTheme="minorEastAsia"/>
          <w:color w:val="auto"/>
          <w:sz w:val="20"/>
          <w:highlight w:val="none"/>
        </w:rPr>
      </w:pPr>
    </w:p>
    <w:p>
      <w:pPr>
        <w:spacing w:line="440" w:lineRule="exact"/>
        <w:rPr>
          <w:rFonts w:asciiTheme="minorEastAsia" w:hAnsiTheme="minorEastAsia" w:eastAsiaTheme="minorEastAsia"/>
          <w:color w:val="auto"/>
          <w:sz w:val="20"/>
          <w:highlight w:val="none"/>
        </w:rPr>
      </w:pPr>
      <w:r>
        <w:rPr>
          <w:rFonts w:asciiTheme="minorEastAsia" w:hAnsiTheme="minorEastAsia" w:eastAsiaTheme="minorEastAsia"/>
          <w:color w:val="auto"/>
          <w:sz w:val="20"/>
          <w:highlight w:val="none"/>
        </w:rPr>
        <w:br w:type="page"/>
      </w:r>
    </w:p>
    <w:p>
      <w:pPr>
        <w:keepNext/>
        <w:keepLines/>
        <w:spacing w:after="260"/>
        <w:jc w:val="center"/>
        <w:outlineLvl w:val="2"/>
        <w:rPr>
          <w:rFonts w:asciiTheme="minorEastAsia" w:hAnsiTheme="minorEastAsia" w:eastAsiaTheme="minorEastAsia"/>
          <w:b/>
          <w:bCs/>
          <w:color w:val="auto"/>
          <w:kern w:val="0"/>
          <w:sz w:val="32"/>
          <w:szCs w:val="32"/>
          <w:highlight w:val="none"/>
        </w:rPr>
      </w:pPr>
      <w:bookmarkStart w:id="172" w:name="_Toc531360700"/>
      <w:bookmarkStart w:id="173" w:name="_Toc7638_WPSOffice_Level1"/>
      <w:r>
        <w:rPr>
          <w:rFonts w:hint="eastAsia" w:asciiTheme="minorEastAsia" w:hAnsiTheme="minorEastAsia" w:eastAsiaTheme="minorEastAsia"/>
          <w:b/>
          <w:bCs/>
          <w:color w:val="auto"/>
          <w:kern w:val="0"/>
          <w:sz w:val="32"/>
          <w:szCs w:val="32"/>
          <w:highlight w:val="none"/>
        </w:rPr>
        <w:t>2.2 授权委托书</w:t>
      </w:r>
      <w:bookmarkEnd w:id="172"/>
      <w:bookmarkEnd w:id="173"/>
    </w:p>
    <w:p>
      <w:pPr>
        <w:spacing w:line="440" w:lineRule="exact"/>
        <w:rPr>
          <w:rFonts w:asciiTheme="minorEastAsia" w:hAnsiTheme="minorEastAsia" w:eastAsiaTheme="minorEastAsia"/>
          <w:color w:val="auto"/>
          <w:highlight w:val="none"/>
        </w:rPr>
      </w:pPr>
    </w:p>
    <w:p>
      <w:pPr>
        <w:topLinePunct/>
        <w:spacing w:line="44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本人</w:t>
      </w:r>
      <w:r>
        <w:rPr>
          <w:rFonts w:hint="eastAsia" w:asciiTheme="minorEastAsia" w:hAnsiTheme="minorEastAsia" w:eastAsiaTheme="minorEastAsia"/>
          <w:color w:val="auto"/>
          <w:highlight w:val="none"/>
          <w:u w:val="single"/>
        </w:rPr>
        <w:t>（姓名）</w:t>
      </w:r>
      <w:r>
        <w:rPr>
          <w:rFonts w:hint="eastAsia" w:asciiTheme="minorEastAsia" w:hAnsiTheme="minorEastAsia" w:eastAsiaTheme="minorEastAsia"/>
          <w:color w:val="auto"/>
          <w:highlight w:val="none"/>
        </w:rPr>
        <w:t>系</w:t>
      </w:r>
      <w:r>
        <w:rPr>
          <w:rFonts w:hint="eastAsia" w:asciiTheme="minorEastAsia" w:hAnsiTheme="minorEastAsia" w:eastAsiaTheme="minorEastAsia"/>
          <w:color w:val="auto"/>
          <w:highlight w:val="none"/>
          <w:u w:val="single"/>
        </w:rPr>
        <w:t>（投标人名称）</w:t>
      </w:r>
      <w:r>
        <w:rPr>
          <w:rFonts w:hint="eastAsia" w:asciiTheme="minorEastAsia" w:hAnsiTheme="minorEastAsia" w:eastAsiaTheme="minorEastAsia"/>
          <w:color w:val="auto"/>
          <w:highlight w:val="none"/>
        </w:rPr>
        <w:t>的法定代表人，现委托</w:t>
      </w:r>
      <w:r>
        <w:rPr>
          <w:rFonts w:hint="eastAsia" w:asciiTheme="minorEastAsia" w:hAnsiTheme="minorEastAsia" w:eastAsiaTheme="minorEastAsia"/>
          <w:color w:val="auto"/>
          <w:highlight w:val="none"/>
          <w:u w:val="single"/>
        </w:rPr>
        <w:t>（姓名）</w:t>
      </w:r>
      <w:r>
        <w:rPr>
          <w:rFonts w:hint="eastAsia" w:asciiTheme="minorEastAsia" w:hAnsiTheme="minorEastAsia" w:eastAsiaTheme="minorEastAsia"/>
          <w:color w:val="auto"/>
          <w:highlight w:val="none"/>
        </w:rPr>
        <w:t>为我方代理人。代理人根据授权，以我方名义签署、澄清确认、递交、撤回、修改</w:t>
      </w:r>
      <w:r>
        <w:rPr>
          <w:rFonts w:hint="eastAsia" w:asciiTheme="minorEastAsia" w:hAnsiTheme="minorEastAsia" w:eastAsiaTheme="minorEastAsia"/>
          <w:color w:val="auto"/>
          <w:highlight w:val="none"/>
          <w:u w:val="single"/>
          <w:lang w:eastAsia="zh-CN"/>
        </w:rPr>
        <w:t>东南西环三滘立交市政化改造工程（二期）第三方检测</w:t>
      </w:r>
      <w:r>
        <w:rPr>
          <w:rFonts w:hint="eastAsia" w:asciiTheme="minorEastAsia" w:hAnsiTheme="minorEastAsia" w:eastAsiaTheme="minorEastAsia"/>
          <w:color w:val="auto"/>
          <w:highlight w:val="none"/>
        </w:rPr>
        <w:t>招标项目投标文件、签订合同和处理有关事宜，其法律后果由我方承担。</w:t>
      </w:r>
    </w:p>
    <w:p>
      <w:pPr>
        <w:spacing w:line="440" w:lineRule="exac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委托期限：</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w:t>
      </w:r>
    </w:p>
    <w:p>
      <w:pPr>
        <w:spacing w:line="44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代理人无转委托权。</w:t>
      </w:r>
    </w:p>
    <w:p>
      <w:pPr>
        <w:spacing w:line="440" w:lineRule="exact"/>
        <w:ind w:firstLine="420" w:firstLineChars="200"/>
        <w:rPr>
          <w:rFonts w:asciiTheme="minorEastAsia" w:hAnsiTheme="minorEastAsia" w:eastAsiaTheme="minorEastAsia"/>
          <w:color w:val="auto"/>
          <w:highlight w:val="none"/>
        </w:rPr>
      </w:pPr>
    </w:p>
    <w:p>
      <w:pPr>
        <w:spacing w:line="440" w:lineRule="exac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附：委托代理人身份证复印件</w:t>
      </w:r>
    </w:p>
    <w:p>
      <w:pPr>
        <w:spacing w:line="440" w:lineRule="exact"/>
        <w:rPr>
          <w:rFonts w:asciiTheme="minorEastAsia" w:hAnsiTheme="minorEastAsia" w:eastAsiaTheme="minorEastAsia"/>
          <w:color w:val="auto"/>
          <w:highlight w:val="none"/>
        </w:rPr>
      </w:pPr>
    </w:p>
    <w:p>
      <w:pPr>
        <w:spacing w:line="440" w:lineRule="exact"/>
        <w:rPr>
          <w:rFonts w:asciiTheme="minorEastAsia" w:hAnsiTheme="minorEastAsia" w:eastAsiaTheme="minorEastAsia"/>
          <w:color w:val="auto"/>
          <w:highlight w:val="none"/>
        </w:rPr>
      </w:pPr>
    </w:p>
    <w:p>
      <w:pPr>
        <w:spacing w:line="440" w:lineRule="exact"/>
        <w:ind w:firstLine="2692" w:firstLineChars="12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w:t>
      </w:r>
      <w:r>
        <w:rPr>
          <w:rFonts w:asciiTheme="minorEastAsia" w:hAnsiTheme="minorEastAsia" w:eastAsiaTheme="minorEastAsia"/>
          <w:color w:val="auto"/>
          <w:szCs w:val="21"/>
          <w:highlight w:val="none"/>
          <w:u w:val="single"/>
        </w:rPr>
        <w:tab/>
      </w:r>
      <w:r>
        <w:rPr>
          <w:rFonts w:asciiTheme="minorEastAsia" w:hAnsiTheme="minorEastAsia" w:eastAsiaTheme="minorEastAsia"/>
          <w:color w:val="auto"/>
          <w:szCs w:val="21"/>
          <w:highlight w:val="none"/>
          <w:u w:val="single"/>
        </w:rPr>
        <w:tab/>
      </w:r>
      <w:r>
        <w:rPr>
          <w:rFonts w:asciiTheme="minorEastAsia" w:hAnsiTheme="minorEastAsia" w:eastAsiaTheme="minorEastAsia"/>
          <w:color w:val="auto"/>
          <w:szCs w:val="21"/>
          <w:highlight w:val="none"/>
          <w:u w:val="single"/>
        </w:rPr>
        <w:tab/>
      </w:r>
      <w:r>
        <w:rPr>
          <w:rFonts w:asciiTheme="minorEastAsia" w:hAnsiTheme="minorEastAsia" w:eastAsiaTheme="minorEastAsia"/>
          <w:color w:val="auto"/>
          <w:szCs w:val="21"/>
          <w:highlight w:val="none"/>
          <w:u w:val="single"/>
        </w:rPr>
        <w:tab/>
      </w:r>
      <w:r>
        <w:rPr>
          <w:rFonts w:hint="eastAsia" w:asciiTheme="minorEastAsia" w:hAnsiTheme="minorEastAsia" w:eastAsiaTheme="minorEastAsia"/>
          <w:color w:val="auto"/>
          <w:highlight w:val="none"/>
        </w:rPr>
        <w:t>（盖单位章）</w:t>
      </w:r>
    </w:p>
    <w:p>
      <w:pPr>
        <w:spacing w:line="440" w:lineRule="exact"/>
        <w:ind w:firstLine="2692" w:firstLineChars="1282"/>
        <w:rPr>
          <w:rFonts w:asciiTheme="minorEastAsia" w:hAnsiTheme="minorEastAsia" w:eastAsiaTheme="minorEastAsia"/>
          <w:color w:val="auto"/>
          <w:highlight w:val="none"/>
        </w:rPr>
      </w:pPr>
    </w:p>
    <w:p>
      <w:pPr>
        <w:spacing w:line="440" w:lineRule="exact"/>
        <w:ind w:firstLine="2690" w:firstLineChars="1281"/>
        <w:jc w:val="lef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w:t>
      </w:r>
      <w:r>
        <w:rPr>
          <w:rFonts w:asciiTheme="minorEastAsia" w:hAnsiTheme="minorEastAsia" w:eastAsiaTheme="minorEastAsia"/>
          <w:color w:val="auto"/>
          <w:szCs w:val="21"/>
          <w:highlight w:val="none"/>
          <w:u w:val="single"/>
        </w:rPr>
        <w:tab/>
      </w:r>
      <w:r>
        <w:rPr>
          <w:rFonts w:asciiTheme="minorEastAsia" w:hAnsiTheme="minorEastAsia" w:eastAsiaTheme="minorEastAsia"/>
          <w:color w:val="auto"/>
          <w:szCs w:val="21"/>
          <w:highlight w:val="none"/>
          <w:u w:val="single"/>
        </w:rPr>
        <w:tab/>
      </w:r>
      <w:r>
        <w:rPr>
          <w:rFonts w:asciiTheme="minorEastAsia" w:hAnsiTheme="minorEastAsia" w:eastAsiaTheme="minorEastAsia"/>
          <w:color w:val="auto"/>
          <w:szCs w:val="21"/>
          <w:highlight w:val="none"/>
          <w:u w:val="single"/>
        </w:rPr>
        <w:tab/>
      </w:r>
      <w:r>
        <w:rPr>
          <w:rFonts w:asciiTheme="minorEastAsia" w:hAnsiTheme="minorEastAsia" w:eastAsiaTheme="minorEastAsia"/>
          <w:color w:val="auto"/>
          <w:szCs w:val="21"/>
          <w:highlight w:val="none"/>
          <w:u w:val="single"/>
        </w:rPr>
        <w:tab/>
      </w:r>
      <w:r>
        <w:rPr>
          <w:rFonts w:hint="eastAsia" w:asciiTheme="minorEastAsia" w:hAnsiTheme="minorEastAsia" w:eastAsiaTheme="minorEastAsia"/>
          <w:color w:val="auto"/>
          <w:highlight w:val="none"/>
        </w:rPr>
        <w:t>（签字或盖章）</w:t>
      </w:r>
    </w:p>
    <w:p>
      <w:pPr>
        <w:spacing w:line="440" w:lineRule="exact"/>
        <w:ind w:firstLine="2692" w:firstLineChars="1282"/>
        <w:rPr>
          <w:rFonts w:asciiTheme="minorEastAsia" w:hAnsiTheme="minorEastAsia" w:eastAsiaTheme="minorEastAsia"/>
          <w:color w:val="auto"/>
          <w:highlight w:val="none"/>
        </w:rPr>
      </w:pPr>
    </w:p>
    <w:p>
      <w:pPr>
        <w:spacing w:line="440" w:lineRule="exact"/>
        <w:ind w:firstLine="2692" w:firstLineChars="12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身份证号码：</w:t>
      </w:r>
      <w:r>
        <w:rPr>
          <w:rFonts w:asciiTheme="minorEastAsia" w:hAnsiTheme="minorEastAsia" w:eastAsiaTheme="minorEastAsia"/>
          <w:color w:val="auto"/>
          <w:szCs w:val="21"/>
          <w:highlight w:val="none"/>
          <w:u w:val="single"/>
        </w:rPr>
        <w:tab/>
      </w:r>
      <w:r>
        <w:rPr>
          <w:rFonts w:asciiTheme="minorEastAsia" w:hAnsiTheme="minorEastAsia" w:eastAsiaTheme="minorEastAsia"/>
          <w:color w:val="auto"/>
          <w:szCs w:val="21"/>
          <w:highlight w:val="none"/>
          <w:u w:val="single"/>
        </w:rPr>
        <w:tab/>
      </w:r>
      <w:r>
        <w:rPr>
          <w:rFonts w:asciiTheme="minorEastAsia" w:hAnsiTheme="minorEastAsia" w:eastAsiaTheme="minorEastAsia"/>
          <w:color w:val="auto"/>
          <w:szCs w:val="21"/>
          <w:highlight w:val="none"/>
          <w:u w:val="single"/>
        </w:rPr>
        <w:tab/>
      </w:r>
    </w:p>
    <w:p>
      <w:pPr>
        <w:spacing w:line="440" w:lineRule="exact"/>
        <w:ind w:firstLine="2692" w:firstLineChars="1282"/>
        <w:rPr>
          <w:rFonts w:asciiTheme="minorEastAsia" w:hAnsiTheme="minorEastAsia" w:eastAsiaTheme="minorEastAsia"/>
          <w:color w:val="auto"/>
          <w:highlight w:val="none"/>
        </w:rPr>
      </w:pPr>
    </w:p>
    <w:p>
      <w:pPr>
        <w:spacing w:line="440" w:lineRule="exact"/>
        <w:ind w:firstLine="2692" w:firstLineChars="12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委托代理人：</w:t>
      </w:r>
      <w:r>
        <w:rPr>
          <w:rFonts w:asciiTheme="minorEastAsia" w:hAnsiTheme="minorEastAsia" w:eastAsiaTheme="minorEastAsia"/>
          <w:color w:val="auto"/>
          <w:szCs w:val="21"/>
          <w:highlight w:val="none"/>
          <w:u w:val="single"/>
        </w:rPr>
        <w:tab/>
      </w:r>
      <w:r>
        <w:rPr>
          <w:rFonts w:asciiTheme="minorEastAsia" w:hAnsiTheme="minorEastAsia" w:eastAsiaTheme="minorEastAsia"/>
          <w:color w:val="auto"/>
          <w:szCs w:val="21"/>
          <w:highlight w:val="none"/>
          <w:u w:val="single"/>
        </w:rPr>
        <w:tab/>
      </w:r>
      <w:r>
        <w:rPr>
          <w:rFonts w:asciiTheme="minorEastAsia" w:hAnsiTheme="minorEastAsia" w:eastAsiaTheme="minorEastAsia"/>
          <w:color w:val="auto"/>
          <w:szCs w:val="21"/>
          <w:highlight w:val="none"/>
          <w:u w:val="single"/>
        </w:rPr>
        <w:tab/>
      </w:r>
      <w:r>
        <w:rPr>
          <w:rFonts w:asciiTheme="minorEastAsia" w:hAnsiTheme="minorEastAsia" w:eastAsiaTheme="minorEastAsia"/>
          <w:color w:val="auto"/>
          <w:szCs w:val="21"/>
          <w:highlight w:val="none"/>
          <w:u w:val="single"/>
        </w:rPr>
        <w:tab/>
      </w:r>
      <w:r>
        <w:rPr>
          <w:rFonts w:hint="eastAsia" w:asciiTheme="minorEastAsia" w:hAnsiTheme="minorEastAsia" w:eastAsiaTheme="minorEastAsia"/>
          <w:color w:val="auto"/>
          <w:highlight w:val="none"/>
        </w:rPr>
        <w:t>（签字或盖章）</w:t>
      </w:r>
    </w:p>
    <w:p>
      <w:pPr>
        <w:spacing w:line="440" w:lineRule="exact"/>
        <w:ind w:firstLine="2692" w:firstLineChars="1282"/>
        <w:rPr>
          <w:rFonts w:asciiTheme="minorEastAsia" w:hAnsiTheme="minorEastAsia" w:eastAsiaTheme="minorEastAsia"/>
          <w:color w:val="auto"/>
          <w:highlight w:val="none"/>
        </w:rPr>
      </w:pPr>
    </w:p>
    <w:p>
      <w:pPr>
        <w:spacing w:line="440" w:lineRule="exact"/>
        <w:ind w:firstLine="2692" w:firstLineChars="128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身份证号码：</w:t>
      </w:r>
      <w:r>
        <w:rPr>
          <w:rFonts w:asciiTheme="minorEastAsia" w:hAnsiTheme="minorEastAsia" w:eastAsiaTheme="minorEastAsia"/>
          <w:color w:val="auto"/>
          <w:szCs w:val="21"/>
          <w:highlight w:val="none"/>
          <w:u w:val="single"/>
        </w:rPr>
        <w:tab/>
      </w:r>
      <w:r>
        <w:rPr>
          <w:rFonts w:asciiTheme="minorEastAsia" w:hAnsiTheme="minorEastAsia" w:eastAsiaTheme="minorEastAsia"/>
          <w:color w:val="auto"/>
          <w:szCs w:val="21"/>
          <w:highlight w:val="none"/>
          <w:u w:val="single"/>
        </w:rPr>
        <w:tab/>
      </w:r>
      <w:r>
        <w:rPr>
          <w:rFonts w:asciiTheme="minorEastAsia" w:hAnsiTheme="minorEastAsia" w:eastAsiaTheme="minorEastAsia"/>
          <w:color w:val="auto"/>
          <w:szCs w:val="21"/>
          <w:highlight w:val="none"/>
          <w:u w:val="single"/>
        </w:rPr>
        <w:tab/>
      </w:r>
    </w:p>
    <w:p>
      <w:pPr>
        <w:spacing w:line="440" w:lineRule="exact"/>
        <w:ind w:firstLine="2692" w:firstLineChars="1282"/>
        <w:rPr>
          <w:rFonts w:asciiTheme="minorEastAsia" w:hAnsiTheme="minorEastAsia" w:eastAsiaTheme="minorEastAsia"/>
          <w:color w:val="auto"/>
          <w:highlight w:val="none"/>
        </w:rPr>
      </w:pPr>
    </w:p>
    <w:p>
      <w:pPr>
        <w:spacing w:line="440" w:lineRule="exact"/>
        <w:ind w:firstLine="2692" w:firstLineChars="1282"/>
        <w:rPr>
          <w:rFonts w:asciiTheme="minorEastAsia" w:hAnsiTheme="minorEastAsia" w:eastAsiaTheme="minorEastAsia"/>
          <w:color w:val="auto"/>
          <w:highlight w:val="none"/>
        </w:rPr>
      </w:pPr>
    </w:p>
    <w:p>
      <w:pPr>
        <w:wordWrap w:val="0"/>
        <w:spacing w:line="440" w:lineRule="exact"/>
        <w:ind w:right="105" w:firstLine="4057" w:firstLineChars="1932"/>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年  月  日</w:t>
      </w:r>
    </w:p>
    <w:p>
      <w:pPr>
        <w:spacing w:line="440" w:lineRule="exact"/>
        <w:ind w:firstLine="4057" w:firstLineChars="1932"/>
        <w:jc w:val="right"/>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bookmarkStart w:id="174" w:name="_Toc531360701"/>
    </w:p>
    <w:p>
      <w:pPr>
        <w:widowControl/>
        <w:jc w:val="left"/>
        <w:rPr>
          <w:rFonts w:asciiTheme="minorEastAsia" w:hAnsiTheme="minorEastAsia" w:eastAsiaTheme="minorEastAsia"/>
          <w:b/>
          <w:color w:val="auto"/>
          <w:sz w:val="32"/>
          <w:szCs w:val="20"/>
          <w:highlight w:val="none"/>
        </w:rPr>
      </w:pPr>
      <w:r>
        <w:rPr>
          <w:rFonts w:asciiTheme="minorEastAsia" w:hAnsiTheme="minorEastAsia" w:eastAsiaTheme="minorEastAsia"/>
          <w:color w:val="auto"/>
          <w:highlight w:val="none"/>
        </w:rPr>
        <w:br w:type="page"/>
      </w:r>
    </w:p>
    <w:bookmarkEnd w:id="174"/>
    <w:p>
      <w:pPr>
        <w:widowControl/>
        <w:jc w:val="left"/>
        <w:rPr>
          <w:rFonts w:asciiTheme="minorEastAsia" w:hAnsiTheme="minorEastAsia" w:eastAsiaTheme="minorEastAsia"/>
          <w:b/>
          <w:color w:val="auto"/>
          <w:sz w:val="32"/>
          <w:szCs w:val="20"/>
          <w:highlight w:val="none"/>
        </w:rPr>
      </w:pPr>
      <w:bookmarkStart w:id="175" w:name="_Toc531360702"/>
    </w:p>
    <w:bookmarkEnd w:id="175"/>
    <w:p>
      <w:pPr>
        <w:pStyle w:val="5"/>
        <w:numPr>
          <w:ilvl w:val="0"/>
          <w:numId w:val="3"/>
        </w:numPr>
        <w:spacing w:after="0"/>
        <w:rPr>
          <w:rFonts w:hint="eastAsia" w:asciiTheme="minorEastAsia" w:hAnsiTheme="minorEastAsia" w:eastAsiaTheme="minorEastAsia"/>
          <w:color w:val="auto"/>
          <w:highlight w:val="none"/>
          <w:lang w:val="en-US" w:eastAsia="zh"/>
        </w:rPr>
      </w:pPr>
      <w:bookmarkStart w:id="176" w:name="_Toc28623_WPSOffice_Level1"/>
      <w:r>
        <w:rPr>
          <w:rFonts w:hint="eastAsia" w:asciiTheme="minorEastAsia" w:hAnsiTheme="minorEastAsia" w:eastAsiaTheme="minorEastAsia"/>
          <w:color w:val="auto"/>
          <w:highlight w:val="none"/>
          <w:lang w:val="en-US" w:eastAsia="zh-CN"/>
        </w:rPr>
        <w:t>投标</w:t>
      </w:r>
      <w:r>
        <w:rPr>
          <w:rFonts w:hint="eastAsia" w:asciiTheme="minorEastAsia" w:hAnsiTheme="minorEastAsia" w:eastAsiaTheme="minorEastAsia"/>
          <w:color w:val="auto"/>
          <w:highlight w:val="none"/>
          <w:lang w:val="en-US" w:eastAsia="zh"/>
        </w:rPr>
        <w:t>报价表</w:t>
      </w:r>
      <w:bookmarkEnd w:id="176"/>
    </w:p>
    <w:p>
      <w:pPr>
        <w:numPr>
          <w:ilvl w:val="-1"/>
          <w:numId w:val="0"/>
        </w:numPr>
        <w:rPr>
          <w:rFonts w:hint="eastAsia" w:asciiTheme="minorEastAsia" w:hAnsiTheme="minorEastAsia" w:eastAsiaTheme="minorEastAsia"/>
          <w:color w:val="auto"/>
          <w:highlight w:val="none"/>
          <w:lang w:val="en-US" w:eastAsia="zh"/>
        </w:rPr>
      </w:pPr>
    </w:p>
    <w:p>
      <w:pPr>
        <w:jc w:val="center"/>
        <w:outlineLvl w:val="2"/>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lang w:val="en-US" w:eastAsia="zh-CN"/>
        </w:rPr>
        <w:t>3</w:t>
      </w:r>
      <w:r>
        <w:rPr>
          <w:rFonts w:asciiTheme="minorEastAsia" w:hAnsiTheme="minorEastAsia" w:eastAsiaTheme="minorEastAsia"/>
          <w:b/>
          <w:color w:val="auto"/>
          <w:sz w:val="32"/>
          <w:szCs w:val="32"/>
          <w:highlight w:val="none"/>
        </w:rPr>
        <w:t>.1</w:t>
      </w:r>
      <w:r>
        <w:rPr>
          <w:rFonts w:hint="eastAsia" w:asciiTheme="minorEastAsia" w:hAnsiTheme="minorEastAsia" w:eastAsiaTheme="minorEastAsia"/>
          <w:b/>
          <w:color w:val="auto"/>
          <w:sz w:val="32"/>
          <w:szCs w:val="32"/>
          <w:highlight w:val="none"/>
        </w:rPr>
        <w:t xml:space="preserve"> 工程量清单说明</w:t>
      </w:r>
    </w:p>
    <w:p>
      <w:pPr>
        <w:spacing w:line="360" w:lineRule="auto"/>
        <w:ind w:firstLine="480" w:firstLineChars="200"/>
        <w:rPr>
          <w:rFonts w:ascii="宋体" w:hAnsi="宋体"/>
          <w:color w:val="auto"/>
          <w:sz w:val="24"/>
          <w:szCs w:val="24"/>
          <w:highlight w:val="none"/>
        </w:rPr>
      </w:pPr>
    </w:p>
    <w:p>
      <w:pPr>
        <w:spacing w:line="360" w:lineRule="auto"/>
        <w:ind w:firstLine="420" w:firstLineChars="200"/>
        <w:rPr>
          <w:rFonts w:ascii="宋体" w:hAnsi="宋体" w:eastAsia="宋体"/>
          <w:color w:val="auto"/>
          <w:szCs w:val="21"/>
          <w:highlight w:val="none"/>
        </w:rPr>
      </w:pPr>
      <w:r>
        <w:rPr>
          <w:rFonts w:ascii="宋体" w:hAnsi="宋体" w:eastAsia="宋体"/>
          <w:color w:val="auto"/>
          <w:szCs w:val="21"/>
          <w:highlight w:val="none"/>
        </w:rPr>
        <w:t>1</w:t>
      </w:r>
      <w:r>
        <w:rPr>
          <w:rFonts w:hint="eastAsia" w:ascii="宋体" w:hAnsi="宋体" w:eastAsia="宋体"/>
          <w:color w:val="auto"/>
          <w:szCs w:val="21"/>
          <w:highlight w:val="none"/>
        </w:rPr>
        <w:t>．投标单位所报的全费用综合单价为包干性质，已包括了为实施和完成本项目全部服务工作所需的</w:t>
      </w:r>
      <w:r>
        <w:rPr>
          <w:rFonts w:hint="eastAsia" w:ascii="宋体" w:hAnsi="宋体" w:eastAsia="宋体"/>
          <w:color w:val="auto"/>
          <w:szCs w:val="21"/>
          <w:highlight w:val="none"/>
          <w:lang w:eastAsia="zh"/>
        </w:rPr>
        <w:t>人工费、</w:t>
      </w:r>
      <w:r>
        <w:rPr>
          <w:rFonts w:hint="eastAsia" w:ascii="宋体" w:hAnsi="宋体" w:eastAsia="宋体"/>
          <w:color w:val="auto"/>
          <w:szCs w:val="21"/>
          <w:highlight w:val="none"/>
        </w:rPr>
        <w:t>施工设备费（加载车、桥梁检测车等）、设施费、劳务费、检验费</w:t>
      </w:r>
      <w:r>
        <w:rPr>
          <w:rFonts w:ascii="宋体" w:hAnsi="宋体" w:eastAsia="宋体"/>
          <w:color w:val="auto"/>
          <w:szCs w:val="21"/>
          <w:highlight w:val="none"/>
        </w:rPr>
        <w:t>(</w:t>
      </w:r>
      <w:r>
        <w:rPr>
          <w:rFonts w:hint="eastAsia" w:ascii="宋体" w:hAnsi="宋体" w:eastAsia="宋体"/>
          <w:color w:val="auto"/>
          <w:szCs w:val="21"/>
          <w:highlight w:val="none"/>
        </w:rPr>
        <w:t>或试验费、或检测费</w:t>
      </w:r>
      <w:r>
        <w:rPr>
          <w:rFonts w:ascii="宋体" w:hAnsi="宋体" w:eastAsia="宋体"/>
          <w:color w:val="auto"/>
          <w:szCs w:val="21"/>
          <w:highlight w:val="none"/>
        </w:rPr>
        <w:t>)</w:t>
      </w:r>
      <w:r>
        <w:rPr>
          <w:rFonts w:hint="eastAsia" w:ascii="宋体" w:hAnsi="宋体" w:eastAsia="宋体"/>
          <w:color w:val="auto"/>
          <w:szCs w:val="21"/>
          <w:highlight w:val="none"/>
        </w:rPr>
        <w:t>、材料费、安装费、措施费、技术工作费、进退场费、规费、搭拆脚手架和临时工棚等临时工程费、缺陷修复费、管理费、利润、</w:t>
      </w:r>
      <w:r>
        <w:rPr>
          <w:rFonts w:hint="eastAsia" w:ascii="宋体" w:hAnsi="宋体" w:eastAsia="宋体"/>
          <w:color w:val="auto"/>
          <w:szCs w:val="21"/>
          <w:highlight w:val="none"/>
          <w:lang w:eastAsia="zh"/>
        </w:rPr>
        <w:t>办公费、差旅费、保险、</w:t>
      </w:r>
      <w:r>
        <w:rPr>
          <w:rFonts w:hint="eastAsia" w:ascii="宋体" w:hAnsi="宋体" w:eastAsia="宋体"/>
          <w:color w:val="auto"/>
          <w:szCs w:val="21"/>
          <w:highlight w:val="none"/>
        </w:rPr>
        <w:t>堤防维护费及税金、行政事业性收费、办理工程检测相关许可、检测后出具检测报告书、以及购买有关资料费、拆除障碍物、开挖以及修复地下管线费、检测材料以及加工费、检测作业大型机具搬运费、装拆费以及进退场费、过路过桥费、场地清理费等以及合同明示或暗示的所有一般风险、责任等的费用。投标人完成合同全部内容后，如招标人组织专家评审会对检测成果予以评定，相关专家费用包含在投标报价中。</w:t>
      </w:r>
    </w:p>
    <w:p>
      <w:pPr>
        <w:spacing w:line="360" w:lineRule="auto"/>
        <w:ind w:firstLine="420" w:firstLineChars="200"/>
        <w:rPr>
          <w:rFonts w:ascii="宋体" w:hAnsi="宋体" w:eastAsia="宋体"/>
          <w:color w:val="auto"/>
          <w:szCs w:val="21"/>
          <w:highlight w:val="none"/>
        </w:rPr>
      </w:pPr>
      <w:r>
        <w:rPr>
          <w:rFonts w:ascii="宋体" w:hAnsi="宋体" w:eastAsia="宋体"/>
          <w:color w:val="auto"/>
          <w:szCs w:val="21"/>
          <w:highlight w:val="none"/>
        </w:rPr>
        <w:t>2.</w:t>
      </w:r>
      <w:r>
        <w:rPr>
          <w:rFonts w:hint="eastAsia" w:ascii="宋体" w:hAnsi="宋体" w:eastAsia="宋体"/>
          <w:color w:val="auto"/>
          <w:szCs w:val="21"/>
          <w:highlight w:val="none"/>
        </w:rPr>
        <w:t>各投标人应充分考察项目，掌握全面的信息资料，根据自身的条件及市场行情报价。投标单位所报的全费用综合单价在合同实施期间应保持不变，并不因劳务、材料、机械等成本的价格变动以及工程量、时间、工程检测服务范围等的变化而改变。</w:t>
      </w:r>
    </w:p>
    <w:p>
      <w:pPr>
        <w:spacing w:line="360" w:lineRule="auto"/>
        <w:ind w:firstLine="420" w:firstLineChars="200"/>
        <w:rPr>
          <w:rFonts w:ascii="宋体" w:hAnsi="宋体" w:eastAsia="宋体"/>
          <w:color w:val="auto"/>
          <w:szCs w:val="21"/>
          <w:highlight w:val="none"/>
        </w:rPr>
      </w:pPr>
      <w:r>
        <w:rPr>
          <w:rFonts w:ascii="宋体" w:hAnsi="宋体" w:eastAsia="宋体"/>
          <w:color w:val="auto"/>
          <w:szCs w:val="21"/>
          <w:highlight w:val="none"/>
        </w:rPr>
        <w:t>3.</w:t>
      </w:r>
      <w:r>
        <w:rPr>
          <w:rFonts w:hint="eastAsia" w:ascii="宋体" w:hAnsi="宋体" w:eastAsia="宋体"/>
          <w:color w:val="auto"/>
          <w:szCs w:val="21"/>
          <w:highlight w:val="none"/>
        </w:rPr>
        <w:t>投标人应填写工程量清单中标有数量的所有工程细目的全费用综合单价和合价，投标人没有填入全费用综合单价和合价的细目，在实施时，</w:t>
      </w:r>
      <w:r>
        <w:rPr>
          <w:rFonts w:hint="eastAsia" w:ascii="宋体" w:hAnsi="宋体" w:eastAsia="宋体"/>
          <w:color w:val="auto"/>
          <w:szCs w:val="21"/>
          <w:highlight w:val="none"/>
          <w:lang w:eastAsia="zh-CN"/>
        </w:rPr>
        <w:t>招标人</w:t>
      </w:r>
      <w:r>
        <w:rPr>
          <w:rFonts w:hint="eastAsia" w:ascii="宋体" w:hAnsi="宋体" w:eastAsia="宋体"/>
          <w:color w:val="auto"/>
          <w:szCs w:val="21"/>
          <w:highlight w:val="none"/>
        </w:rPr>
        <w:t>将不予支付，并认为此细目的费用已包括在工程量清单的其他细目的单价和费用中。</w:t>
      </w:r>
    </w:p>
    <w:p>
      <w:pPr>
        <w:spacing w:line="360" w:lineRule="auto"/>
        <w:ind w:firstLine="420" w:firstLineChars="200"/>
        <w:rPr>
          <w:rFonts w:hint="eastAsia" w:ascii="宋体" w:hAnsi="宋体" w:eastAsia="宋体"/>
          <w:color w:val="auto"/>
          <w:szCs w:val="21"/>
          <w:highlight w:val="none"/>
        </w:rPr>
      </w:pPr>
      <w:r>
        <w:rPr>
          <w:rFonts w:ascii="宋体" w:hAnsi="宋体" w:eastAsia="宋体"/>
          <w:color w:val="auto"/>
          <w:szCs w:val="21"/>
          <w:highlight w:val="none"/>
        </w:rPr>
        <w:t>4.</w:t>
      </w:r>
      <w:r>
        <w:rPr>
          <w:rFonts w:hint="eastAsia" w:ascii="宋体" w:hAnsi="宋体" w:eastAsia="宋体"/>
          <w:color w:val="auto"/>
          <w:szCs w:val="21"/>
          <w:highlight w:val="none"/>
        </w:rPr>
        <w:t>如投标人所报各项综合单价与广东省收费指导价（关于印发《广东省房屋建筑和市政工程工程质量安全检测收费指导价》和《广东省既有房屋建筑安全性鉴定收费指导价》的通知（穗建检协[2015]8号））相应项目单价差距较大，招标人在签订合同时有权在保证投标总价不变的前提下对差距较大的单价进行调整。</w:t>
      </w:r>
    </w:p>
    <w:p>
      <w:pPr>
        <w:spacing w:line="360" w:lineRule="auto"/>
        <w:ind w:firstLine="420" w:firstLineChars="200"/>
        <w:rPr>
          <w:rFonts w:hint="default" w:ascii="宋体" w:hAnsi="宋体" w:eastAsia="宋体"/>
          <w:color w:val="auto"/>
          <w:szCs w:val="21"/>
          <w:highlight w:val="none"/>
          <w:lang w:val="en-US" w:eastAsia="zh-CN"/>
        </w:rPr>
      </w:pPr>
      <w:r>
        <w:rPr>
          <w:rFonts w:hint="default" w:ascii="宋体" w:hAnsi="宋体" w:eastAsia="宋体"/>
          <w:color w:val="auto"/>
          <w:sz w:val="21"/>
          <w:szCs w:val="21"/>
          <w:highlight w:val="none"/>
          <w:lang w:eastAsia="zh"/>
        </w:rPr>
        <w:t>5.</w:t>
      </w:r>
      <w:r>
        <w:rPr>
          <w:rFonts w:hint="default" w:ascii="宋体" w:hAnsi="宋体" w:eastAsia="宋体"/>
          <w:color w:val="auto"/>
          <w:sz w:val="21"/>
          <w:szCs w:val="21"/>
          <w:highlight w:val="none"/>
          <w:lang w:eastAsia="zh-CN"/>
        </w:rPr>
        <w:t>暂列金按照</w:t>
      </w:r>
      <w:r>
        <w:rPr>
          <w:rFonts w:hint="default" w:ascii="宋体" w:hAnsi="宋体" w:eastAsia="宋体"/>
          <w:b w:val="0"/>
          <w:bCs w:val="0"/>
          <w:color w:val="auto"/>
          <w:sz w:val="21"/>
          <w:szCs w:val="21"/>
          <w:highlight w:val="none"/>
        </w:rPr>
        <w:t>第三方检测服务工程量清单</w:t>
      </w:r>
      <w:r>
        <w:rPr>
          <w:rFonts w:hint="default" w:ascii="宋体" w:hAnsi="宋体" w:eastAsia="宋体"/>
          <w:b w:val="0"/>
          <w:bCs w:val="0"/>
          <w:color w:val="auto"/>
          <w:sz w:val="21"/>
          <w:szCs w:val="21"/>
          <w:highlight w:val="none"/>
          <w:lang w:eastAsia="zh-CN"/>
        </w:rPr>
        <w:t>报价汇总表中的固定金额填报。（未按招标文件规定的金额填写的，由评标委员会按照招标文件规定的金额进行修正）</w:t>
      </w:r>
    </w:p>
    <w:p>
      <w:pPr>
        <w:spacing w:line="360" w:lineRule="auto"/>
        <w:ind w:firstLine="420" w:firstLineChars="200"/>
        <w:rPr>
          <w:rFonts w:hint="default" w:ascii="宋体" w:hAnsi="宋体" w:eastAsia="宋体"/>
          <w:color w:val="auto"/>
          <w:szCs w:val="21"/>
          <w:highlight w:val="none"/>
        </w:rPr>
      </w:pPr>
      <w:r>
        <w:rPr>
          <w:rFonts w:hint="default" w:ascii="宋体" w:hAnsi="宋体" w:eastAsia="宋体"/>
          <w:color w:val="auto"/>
          <w:szCs w:val="21"/>
          <w:highlight w:val="none"/>
          <w:lang w:val="en-US" w:eastAsia="zh"/>
        </w:rPr>
        <w:t>6.</w:t>
      </w:r>
      <w:r>
        <w:rPr>
          <w:rFonts w:hint="default" w:ascii="宋体" w:hAnsi="宋体" w:eastAsia="宋体"/>
          <w:color w:val="auto"/>
          <w:szCs w:val="21"/>
          <w:highlight w:val="none"/>
        </w:rPr>
        <w:t>不平衡报价的处理：中标人如果存在不平衡报价，招标人可以在保证投标总价不变的前提下予以合同调整，中标人应无条件接受。</w:t>
      </w:r>
    </w:p>
    <w:p>
      <w:pPr>
        <w:spacing w:line="360" w:lineRule="auto"/>
        <w:ind w:firstLine="420" w:firstLineChars="200"/>
        <w:rPr>
          <w:rFonts w:hint="default" w:ascii="宋体" w:hAnsi="宋体" w:eastAsia="宋体"/>
          <w:color w:val="auto"/>
          <w:szCs w:val="21"/>
          <w:highlight w:val="none"/>
          <w:lang w:val="en-US" w:eastAsia="zh-CN"/>
        </w:rPr>
      </w:pPr>
      <w:r>
        <w:rPr>
          <w:rFonts w:hint="default" w:ascii="宋体" w:hAnsi="宋体" w:eastAsia="宋体"/>
          <w:color w:val="auto"/>
          <w:sz w:val="21"/>
          <w:szCs w:val="21"/>
          <w:highlight w:val="none"/>
          <w:lang w:val="en-US" w:eastAsia="zh"/>
        </w:rPr>
        <w:t>7</w:t>
      </w:r>
      <w:r>
        <w:rPr>
          <w:rFonts w:hint="default" w:ascii="宋体" w:hAnsi="宋体" w:eastAsia="宋体"/>
          <w:color w:val="auto"/>
          <w:szCs w:val="21"/>
          <w:highlight w:val="none"/>
        </w:rPr>
        <w:t>.本项目投标报价采用的币种为人民币</w:t>
      </w:r>
      <w:r>
        <w:rPr>
          <w:rFonts w:hint="default" w:ascii="宋体" w:hAnsi="宋体" w:eastAsia="宋体"/>
          <w:color w:val="auto"/>
          <w:szCs w:val="21"/>
          <w:highlight w:val="none"/>
          <w:lang w:eastAsia="zh-CN"/>
        </w:rPr>
        <w:t>，保留小数点后两位。</w:t>
      </w:r>
    </w:p>
    <w:p>
      <w:pPr>
        <w:spacing w:line="360" w:lineRule="auto"/>
        <w:ind w:firstLine="420" w:firstLineChars="200"/>
        <w:rPr>
          <w:rFonts w:hint="default" w:ascii="宋体" w:hAnsi="宋体" w:eastAsia="宋体"/>
          <w:color w:val="auto"/>
          <w:szCs w:val="21"/>
          <w:highlight w:val="none"/>
          <w:lang w:val="en-US" w:eastAsia="zh"/>
        </w:rPr>
      </w:pPr>
      <w:r>
        <w:rPr>
          <w:rFonts w:hint="default" w:ascii="宋体" w:hAnsi="宋体" w:eastAsia="宋体"/>
          <w:color w:val="auto"/>
          <w:szCs w:val="21"/>
          <w:highlight w:val="none"/>
          <w:lang w:val="en-US" w:eastAsia="zh"/>
        </w:rPr>
        <w:br w:type="page"/>
      </w:r>
    </w:p>
    <w:p>
      <w:pPr>
        <w:jc w:val="center"/>
        <w:outlineLvl w:val="2"/>
        <w:rPr>
          <w:rFonts w:hint="eastAsia" w:asciiTheme="minorEastAsia" w:hAnsiTheme="minorEastAsia" w:eastAsiaTheme="minorEastAsia"/>
          <w:b/>
          <w:color w:val="auto"/>
          <w:sz w:val="32"/>
          <w:szCs w:val="32"/>
          <w:highlight w:val="none"/>
          <w:lang w:eastAsia="zh-CN"/>
        </w:rPr>
      </w:pPr>
      <w:r>
        <w:rPr>
          <w:rFonts w:hint="eastAsia" w:asciiTheme="minorEastAsia" w:hAnsiTheme="minorEastAsia" w:eastAsiaTheme="minorEastAsia"/>
          <w:b/>
          <w:color w:val="auto"/>
          <w:sz w:val="32"/>
          <w:szCs w:val="32"/>
          <w:highlight w:val="none"/>
          <w:lang w:val="en-US" w:eastAsia="zh-CN"/>
        </w:rPr>
        <w:t>3</w:t>
      </w:r>
      <w:r>
        <w:rPr>
          <w:rFonts w:asciiTheme="minorEastAsia" w:hAnsiTheme="minorEastAsia" w:eastAsiaTheme="minorEastAsia"/>
          <w:b/>
          <w:color w:val="auto"/>
          <w:sz w:val="32"/>
          <w:szCs w:val="32"/>
          <w:highlight w:val="none"/>
        </w:rPr>
        <w:t>.2</w:t>
      </w:r>
      <w:r>
        <w:rPr>
          <w:rFonts w:hint="eastAsia" w:asciiTheme="minorEastAsia" w:hAnsiTheme="minorEastAsia" w:eastAsiaTheme="minorEastAsia"/>
          <w:b/>
          <w:color w:val="auto"/>
          <w:sz w:val="32"/>
          <w:szCs w:val="32"/>
          <w:highlight w:val="none"/>
        </w:rPr>
        <w:t xml:space="preserve"> </w:t>
      </w:r>
      <w:r>
        <w:rPr>
          <w:rFonts w:asciiTheme="minorEastAsia" w:hAnsiTheme="minorEastAsia" w:eastAsiaTheme="minorEastAsia"/>
          <w:b/>
          <w:color w:val="auto"/>
          <w:sz w:val="32"/>
          <w:szCs w:val="32"/>
          <w:highlight w:val="none"/>
        </w:rPr>
        <w:t>第三方检测服务清单</w:t>
      </w:r>
      <w:r>
        <w:rPr>
          <w:rFonts w:hint="eastAsia" w:asciiTheme="minorEastAsia" w:hAnsiTheme="minorEastAsia" w:eastAsiaTheme="minorEastAsia"/>
          <w:b/>
          <w:color w:val="auto"/>
          <w:sz w:val="32"/>
          <w:szCs w:val="32"/>
          <w:highlight w:val="none"/>
          <w:lang w:eastAsia="zh-CN"/>
        </w:rPr>
        <w:t>报价表</w:t>
      </w:r>
    </w:p>
    <w:p>
      <w:pPr>
        <w:numPr>
          <w:ilvl w:val="-1"/>
          <w:numId w:val="0"/>
        </w:numPr>
        <w:rPr>
          <w:rFonts w:hint="eastAsia" w:asciiTheme="minorEastAsia" w:hAnsiTheme="minorEastAsia" w:eastAsiaTheme="minorEastAsia"/>
          <w:color w:val="auto"/>
          <w:highlight w:val="none"/>
          <w:lang w:val="en-US" w:eastAsia="zh"/>
        </w:rPr>
      </w:pPr>
    </w:p>
    <w:tbl>
      <w:tblPr>
        <w:tblStyle w:val="17"/>
        <w:tblpPr w:leftFromText="180" w:rightFromText="180" w:vertAnchor="text" w:horzAnchor="margin" w:tblpY="336"/>
        <w:tblW w:w="46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5"/>
        <w:gridCol w:w="6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6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项目</w:t>
            </w:r>
            <w:r>
              <w:rPr>
                <w:rFonts w:hint="default" w:ascii="宋体" w:hAnsi="宋体" w:eastAsia="宋体" w:cs="宋体"/>
                <w:color w:val="auto"/>
                <w:szCs w:val="21"/>
                <w:highlight w:val="none"/>
                <w:lang w:val="zh-CN"/>
              </w:rPr>
              <w:t>名称</w:t>
            </w:r>
          </w:p>
        </w:tc>
        <w:tc>
          <w:tcPr>
            <w:tcW w:w="3734"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Courier New"/>
                <w:color w:val="auto"/>
                <w:szCs w:val="21"/>
                <w:highlight w:val="none"/>
              </w:rPr>
            </w:pPr>
            <w:r>
              <w:rPr>
                <w:rFonts w:hint="eastAsia" w:ascii="宋体" w:hAnsi="宋体" w:eastAsia="宋体"/>
                <w:color w:val="auto"/>
                <w:szCs w:val="21"/>
                <w:highlight w:val="none"/>
              </w:rPr>
              <w:t>东南西环三滘立交市政化改造工程（二期）第三方检测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26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第三方检测服务费</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最高投标限价（元）</w:t>
            </w:r>
          </w:p>
        </w:tc>
        <w:tc>
          <w:tcPr>
            <w:tcW w:w="3734"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Courier New"/>
                <w:color w:val="auto"/>
                <w:szCs w:val="21"/>
                <w:highlight w:val="none"/>
              </w:rPr>
            </w:pPr>
            <w:r>
              <w:rPr>
                <w:rFonts w:hint="eastAsia" w:ascii="宋体" w:hAnsi="宋体" w:eastAsia="宋体" w:cs="Courier New"/>
                <w:color w:val="auto"/>
                <w:szCs w:val="21"/>
                <w:highlight w:val="none"/>
              </w:rPr>
              <w:t>人民币</w:t>
            </w:r>
            <w:r>
              <w:rPr>
                <w:rFonts w:hint="eastAsia" w:ascii="宋体" w:hAnsi="宋体" w:eastAsiaTheme="minorEastAsia"/>
                <w:color w:val="auto"/>
                <w:highlight w:val="none"/>
                <w:u w:val="single"/>
              </w:rPr>
              <w:t>6818181</w:t>
            </w:r>
            <w:r>
              <w:rPr>
                <w:rFonts w:hint="eastAsia" w:ascii="宋体" w:hAnsi="宋体" w:eastAsiaTheme="minorEastAsia"/>
                <w:color w:val="auto"/>
                <w:highlight w:val="none"/>
                <w:u w:val="single"/>
                <w:lang w:val="en-US" w:eastAsia="zh-CN"/>
              </w:rPr>
              <w:t>.</w:t>
            </w:r>
            <w:r>
              <w:rPr>
                <w:rFonts w:hint="eastAsia" w:ascii="宋体" w:hAnsi="宋体" w:eastAsiaTheme="minorEastAsia"/>
                <w:color w:val="auto"/>
                <w:highlight w:val="none"/>
                <w:u w:val="single"/>
              </w:rPr>
              <w:t>15</w:t>
            </w:r>
            <w:r>
              <w:rPr>
                <w:rFonts w:hint="eastAsia" w:ascii="宋体" w:hAnsi="宋体" w:eastAsiaTheme="minorEastAsia"/>
                <w:color w:val="auto"/>
                <w:highlight w:val="none"/>
                <w:u w:val="singl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5" w:type="pct"/>
            <w:vMerge w:val="restart"/>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投标报价</w:t>
            </w:r>
            <w:r>
              <w:rPr>
                <w:rFonts w:hint="eastAsia" w:ascii="宋体" w:hAnsi="宋体" w:eastAsia="宋体" w:cs="宋体"/>
                <w:color w:val="auto"/>
                <w:szCs w:val="21"/>
                <w:highlight w:val="none"/>
                <w:lang w:val="zh-CN"/>
              </w:rPr>
              <w:t>（元）</w:t>
            </w:r>
          </w:p>
        </w:tc>
        <w:tc>
          <w:tcPr>
            <w:tcW w:w="3734"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265" w:type="pct"/>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auto"/>
                <w:szCs w:val="21"/>
                <w:highlight w:val="none"/>
                <w:lang w:val="zh-CN"/>
              </w:rPr>
            </w:pPr>
          </w:p>
        </w:tc>
        <w:tc>
          <w:tcPr>
            <w:tcW w:w="3734" w:type="pct"/>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小写：</w:t>
            </w:r>
          </w:p>
        </w:tc>
      </w:tr>
    </w:tbl>
    <w:p>
      <w:pPr>
        <w:tabs>
          <w:tab w:val="left" w:pos="8364"/>
        </w:tabs>
        <w:snapToGrid w:val="0"/>
        <w:ind w:right="-58"/>
        <w:jc w:val="center"/>
        <w:rPr>
          <w:rFonts w:asciiTheme="minorEastAsia" w:hAnsiTheme="minorEastAsia" w:eastAsiaTheme="minorEastAsia"/>
          <w:b/>
          <w:color w:val="auto"/>
          <w:sz w:val="30"/>
          <w:szCs w:val="30"/>
          <w:highlight w:val="none"/>
        </w:rPr>
      </w:pPr>
    </w:p>
    <w:p>
      <w:pPr>
        <w:tabs>
          <w:tab w:val="left" w:pos="8364"/>
        </w:tabs>
        <w:snapToGrid w:val="0"/>
        <w:ind w:right="-58"/>
        <w:rPr>
          <w:rFonts w:asciiTheme="minorEastAsia" w:hAnsiTheme="minorEastAsia" w:eastAsiaTheme="minorEastAsia"/>
          <w:b/>
          <w:color w:val="auto"/>
          <w:sz w:val="22"/>
          <w:szCs w:val="21"/>
          <w:highlight w:val="none"/>
        </w:rPr>
      </w:pPr>
    </w:p>
    <w:p>
      <w:pPr>
        <w:tabs>
          <w:tab w:val="left" w:pos="8364"/>
        </w:tabs>
        <w:snapToGrid w:val="0"/>
        <w:ind w:right="-58"/>
        <w:rPr>
          <w:rFonts w:asciiTheme="minorEastAsia" w:hAnsiTheme="minorEastAsia" w:eastAsiaTheme="minorEastAsia"/>
          <w:b/>
          <w:color w:val="auto"/>
          <w:sz w:val="22"/>
          <w:szCs w:val="21"/>
          <w:highlight w:val="none"/>
        </w:rPr>
      </w:pPr>
    </w:p>
    <w:p>
      <w:pPr>
        <w:tabs>
          <w:tab w:val="left" w:pos="8364"/>
        </w:tabs>
        <w:snapToGrid w:val="0"/>
        <w:ind w:right="-58"/>
        <w:rPr>
          <w:rFonts w:asciiTheme="minorEastAsia" w:hAnsiTheme="minorEastAsia" w:eastAsiaTheme="minorEastAsia"/>
          <w:b/>
          <w:color w:val="auto"/>
          <w:sz w:val="22"/>
          <w:szCs w:val="21"/>
          <w:highlight w:val="none"/>
        </w:rPr>
      </w:pPr>
      <w:r>
        <w:rPr>
          <w:rFonts w:hint="eastAsia" w:asciiTheme="minorEastAsia" w:hAnsiTheme="minorEastAsia" w:eastAsiaTheme="minorEastAsia"/>
          <w:b/>
          <w:color w:val="auto"/>
          <w:sz w:val="22"/>
          <w:szCs w:val="21"/>
          <w:highlight w:val="none"/>
        </w:rPr>
        <w:t>投标人名称：</w:t>
      </w:r>
    </w:p>
    <w:p>
      <w:pPr>
        <w:tabs>
          <w:tab w:val="left" w:pos="8364"/>
        </w:tabs>
        <w:snapToGrid w:val="0"/>
        <w:ind w:right="-58"/>
        <w:rPr>
          <w:rFonts w:asciiTheme="minorEastAsia" w:hAnsiTheme="minorEastAsia" w:eastAsiaTheme="minorEastAsia"/>
          <w:b/>
          <w:color w:val="auto"/>
          <w:sz w:val="22"/>
          <w:szCs w:val="21"/>
          <w:highlight w:val="none"/>
        </w:rPr>
      </w:pPr>
      <w:r>
        <w:rPr>
          <w:rFonts w:hint="eastAsia" w:asciiTheme="minorEastAsia" w:hAnsiTheme="minorEastAsia" w:eastAsiaTheme="minorEastAsia"/>
          <w:b/>
          <w:color w:val="auto"/>
          <w:sz w:val="22"/>
          <w:szCs w:val="21"/>
          <w:highlight w:val="none"/>
        </w:rPr>
        <w:t>（法人公章）</w:t>
      </w:r>
    </w:p>
    <w:p>
      <w:pPr>
        <w:tabs>
          <w:tab w:val="left" w:pos="8364"/>
        </w:tabs>
        <w:snapToGrid w:val="0"/>
        <w:ind w:right="-57"/>
        <w:rPr>
          <w:rFonts w:asciiTheme="minorEastAsia" w:hAnsiTheme="minorEastAsia" w:eastAsiaTheme="minorEastAsia"/>
          <w:bCs/>
          <w:color w:val="auto"/>
          <w:sz w:val="22"/>
          <w:highlight w:val="none"/>
        </w:rPr>
      </w:pPr>
    </w:p>
    <w:p>
      <w:pPr>
        <w:tabs>
          <w:tab w:val="left" w:pos="8364"/>
        </w:tabs>
        <w:snapToGrid w:val="0"/>
        <w:ind w:right="-58"/>
        <w:rPr>
          <w:rFonts w:asciiTheme="minorEastAsia" w:hAnsiTheme="minorEastAsia" w:eastAsiaTheme="minorEastAsia"/>
          <w:bCs/>
          <w:color w:val="auto"/>
          <w:sz w:val="22"/>
          <w:highlight w:val="none"/>
        </w:rPr>
      </w:pPr>
      <w:r>
        <w:rPr>
          <w:rFonts w:asciiTheme="minorEastAsia" w:hAnsiTheme="minorEastAsia" w:eastAsiaTheme="minorEastAsia"/>
          <w:b/>
          <w:color w:val="auto"/>
          <w:sz w:val="22"/>
          <w:szCs w:val="21"/>
          <w:highlight w:val="none"/>
        </w:rPr>
        <w:t>法定代表人或</w:t>
      </w:r>
      <w:r>
        <w:rPr>
          <w:rFonts w:hint="eastAsia" w:asciiTheme="minorEastAsia" w:hAnsiTheme="minorEastAsia" w:eastAsiaTheme="minorEastAsia"/>
          <w:b/>
          <w:color w:val="auto"/>
          <w:sz w:val="22"/>
          <w:szCs w:val="21"/>
          <w:highlight w:val="none"/>
        </w:rPr>
        <w:t>其</w:t>
      </w:r>
      <w:r>
        <w:rPr>
          <w:rFonts w:asciiTheme="minorEastAsia" w:hAnsiTheme="minorEastAsia" w:eastAsiaTheme="minorEastAsia"/>
          <w:b/>
          <w:color w:val="auto"/>
          <w:sz w:val="22"/>
          <w:szCs w:val="21"/>
          <w:highlight w:val="none"/>
        </w:rPr>
        <w:t>授权代表(</w:t>
      </w:r>
      <w:r>
        <w:rPr>
          <w:rFonts w:hint="eastAsia" w:asciiTheme="minorEastAsia" w:hAnsiTheme="minorEastAsia" w:eastAsiaTheme="minorEastAsia"/>
          <w:b/>
          <w:color w:val="auto"/>
          <w:sz w:val="22"/>
          <w:szCs w:val="21"/>
          <w:highlight w:val="none"/>
        </w:rPr>
        <w:t>签字或盖章</w:t>
      </w:r>
      <w:r>
        <w:rPr>
          <w:rFonts w:asciiTheme="minorEastAsia" w:hAnsiTheme="minorEastAsia" w:eastAsiaTheme="minorEastAsia"/>
          <w:b/>
          <w:color w:val="auto"/>
          <w:sz w:val="22"/>
          <w:szCs w:val="21"/>
          <w:highlight w:val="none"/>
        </w:rPr>
        <w:t>)</w:t>
      </w:r>
      <w:r>
        <w:rPr>
          <w:rFonts w:hint="eastAsia" w:asciiTheme="minorEastAsia" w:hAnsiTheme="minorEastAsia" w:eastAsiaTheme="minorEastAsia"/>
          <w:bCs/>
          <w:color w:val="auto"/>
          <w:sz w:val="22"/>
          <w:highlight w:val="none"/>
        </w:rPr>
        <w:t>：</w:t>
      </w:r>
    </w:p>
    <w:p>
      <w:pPr>
        <w:tabs>
          <w:tab w:val="left" w:pos="8364"/>
        </w:tabs>
        <w:snapToGrid w:val="0"/>
        <w:ind w:right="-58"/>
        <w:rPr>
          <w:rFonts w:asciiTheme="minorEastAsia" w:hAnsiTheme="minorEastAsia" w:eastAsiaTheme="minorEastAsia"/>
          <w:bCs/>
          <w:color w:val="auto"/>
          <w:sz w:val="22"/>
          <w:highlight w:val="none"/>
        </w:rPr>
      </w:pPr>
    </w:p>
    <w:p>
      <w:pPr>
        <w:tabs>
          <w:tab w:val="left" w:pos="8364"/>
        </w:tabs>
        <w:snapToGrid w:val="0"/>
        <w:ind w:right="-58"/>
        <w:rPr>
          <w:rFonts w:asciiTheme="minorEastAsia" w:hAnsiTheme="minorEastAsia" w:eastAsiaTheme="minorEastAsia"/>
          <w:bCs/>
          <w:color w:val="auto"/>
          <w:sz w:val="22"/>
          <w:highlight w:val="none"/>
        </w:rPr>
      </w:pPr>
      <w:r>
        <w:rPr>
          <w:rFonts w:hint="eastAsia" w:asciiTheme="minorEastAsia" w:hAnsiTheme="minorEastAsia" w:eastAsiaTheme="minorEastAsia"/>
          <w:bCs/>
          <w:color w:val="auto"/>
          <w:sz w:val="22"/>
          <w:highlight w:val="none"/>
        </w:rPr>
        <w:t>日期：  年  月  日</w:t>
      </w:r>
    </w:p>
    <w:p>
      <w:pPr>
        <w:spacing w:line="440" w:lineRule="exact"/>
        <w:ind w:firstLine="420" w:firstLineChars="200"/>
        <w:rPr>
          <w:rFonts w:asciiTheme="minorEastAsia" w:hAnsiTheme="minorEastAsia" w:eastAsiaTheme="minorEastAsia"/>
          <w:color w:val="auto"/>
          <w:szCs w:val="21"/>
          <w:highlight w:val="none"/>
        </w:rPr>
      </w:pPr>
    </w:p>
    <w:p>
      <w:pP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br w:type="page"/>
      </w:r>
    </w:p>
    <w:p>
      <w:pPr>
        <w:widowControl/>
        <w:jc w:val="center"/>
        <w:outlineLvl w:val="2"/>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lang w:val="en-US" w:eastAsia="zh-CN"/>
        </w:rPr>
        <w:t>3</w:t>
      </w:r>
      <w:r>
        <w:rPr>
          <w:rFonts w:asciiTheme="minorEastAsia" w:hAnsiTheme="minorEastAsia" w:eastAsiaTheme="minorEastAsia"/>
          <w:b/>
          <w:bCs/>
          <w:color w:val="auto"/>
          <w:sz w:val="32"/>
          <w:szCs w:val="32"/>
          <w:highlight w:val="none"/>
        </w:rPr>
        <w:t>.3</w:t>
      </w:r>
      <w:r>
        <w:rPr>
          <w:rFonts w:hint="eastAsia" w:asciiTheme="minorEastAsia" w:hAnsiTheme="minorEastAsia" w:eastAsiaTheme="minorEastAsia"/>
          <w:b/>
          <w:bCs/>
          <w:color w:val="auto"/>
          <w:sz w:val="32"/>
          <w:szCs w:val="32"/>
          <w:highlight w:val="none"/>
        </w:rPr>
        <w:t xml:space="preserve"> 第三方检测服务工程量清单（另册）</w:t>
      </w: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pStyle w:val="23"/>
        <w:jc w:val="center"/>
        <w:rPr>
          <w:rFonts w:asciiTheme="minorEastAsia" w:hAnsiTheme="minorEastAsia" w:eastAsiaTheme="minorEastAsia"/>
          <w:b/>
          <w:color w:val="auto"/>
          <w:sz w:val="30"/>
          <w:szCs w:val="30"/>
          <w:highlight w:val="none"/>
        </w:rPr>
      </w:pP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br w:type="page"/>
      </w:r>
    </w:p>
    <w:p>
      <w:pPr>
        <w:pStyle w:val="5"/>
        <w:spacing w:after="0"/>
        <w:rPr>
          <w:rFonts w:asciiTheme="minorEastAsia" w:hAnsiTheme="minorEastAsia" w:eastAsiaTheme="minorEastAsia"/>
          <w:color w:val="auto"/>
          <w:highlight w:val="none"/>
        </w:rPr>
      </w:pPr>
      <w:bookmarkStart w:id="177" w:name="_Toc531360703"/>
      <w:bookmarkStart w:id="178" w:name="_Toc22270_WPSOffice_Level1"/>
      <w:bookmarkStart w:id="179" w:name="_Toc361508760"/>
      <w:r>
        <w:rPr>
          <w:rFonts w:hint="eastAsia" w:asciiTheme="minorEastAsia" w:hAnsiTheme="minorEastAsia" w:eastAsiaTheme="minorEastAsia"/>
          <w:color w:val="auto"/>
          <w:highlight w:val="none"/>
          <w:lang w:val="en-US" w:eastAsia="zh"/>
        </w:rPr>
        <w:t>四</w:t>
      </w:r>
      <w:r>
        <w:rPr>
          <w:rFonts w:hint="eastAsia" w:asciiTheme="minorEastAsia" w:hAnsiTheme="minorEastAsia" w:eastAsiaTheme="minorEastAsia"/>
          <w:color w:val="auto"/>
          <w:highlight w:val="none"/>
        </w:rPr>
        <w:t>、资格审查资料</w:t>
      </w:r>
      <w:bookmarkEnd w:id="177"/>
      <w:bookmarkEnd w:id="178"/>
    </w:p>
    <w:p>
      <w:pPr>
        <w:pStyle w:val="6"/>
        <w:spacing w:before="20"/>
        <w:ind w:firstLine="137"/>
        <w:rPr>
          <w:rFonts w:asciiTheme="minorEastAsia" w:hAnsiTheme="minorEastAsia" w:eastAsiaTheme="minorEastAsia"/>
          <w:color w:val="auto"/>
          <w:sz w:val="32"/>
          <w:highlight w:val="none"/>
        </w:rPr>
      </w:pPr>
      <w:r>
        <w:rPr>
          <w:rFonts w:hint="eastAsia" w:asciiTheme="minorEastAsia" w:hAnsiTheme="minorEastAsia" w:eastAsiaTheme="minorEastAsia"/>
          <w:color w:val="auto"/>
          <w:sz w:val="32"/>
          <w:highlight w:val="none"/>
          <w:lang w:val="en-US" w:eastAsia="zh"/>
        </w:rPr>
        <w:t>4</w:t>
      </w:r>
      <w:r>
        <w:rPr>
          <w:rFonts w:asciiTheme="minorEastAsia" w:hAnsiTheme="minorEastAsia" w:eastAsiaTheme="minorEastAsia"/>
          <w:color w:val="auto"/>
          <w:sz w:val="32"/>
          <w:highlight w:val="none"/>
        </w:rPr>
        <w:t xml:space="preserve">.1 </w:t>
      </w:r>
      <w:r>
        <w:rPr>
          <w:rFonts w:hint="eastAsia" w:asciiTheme="minorEastAsia" w:hAnsiTheme="minorEastAsia" w:eastAsiaTheme="minorEastAsia"/>
          <w:color w:val="auto"/>
          <w:sz w:val="32"/>
          <w:highlight w:val="none"/>
        </w:rPr>
        <w:t>投标人基本情况表</w:t>
      </w:r>
    </w:p>
    <w:tbl>
      <w:tblPr>
        <w:tblStyle w:val="17"/>
        <w:tblW w:w="88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03"/>
        <w:gridCol w:w="1065"/>
        <w:gridCol w:w="990"/>
        <w:gridCol w:w="1137"/>
        <w:gridCol w:w="444"/>
        <w:gridCol w:w="689"/>
        <w:gridCol w:w="817"/>
        <w:gridCol w:w="280"/>
        <w:gridCol w:w="12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投标人名称</w:t>
            </w:r>
          </w:p>
        </w:tc>
        <w:tc>
          <w:tcPr>
            <w:tcW w:w="663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31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c>
          <w:tcPr>
            <w:tcW w:w="11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邮政编码</w:t>
            </w:r>
          </w:p>
        </w:tc>
        <w:tc>
          <w:tcPr>
            <w:tcW w:w="23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20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联系方式</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联系人</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c>
          <w:tcPr>
            <w:tcW w:w="11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电</w:t>
            </w:r>
            <w:r>
              <w:rPr>
                <w:rFonts w:hint="default" w:ascii="宋体" w:hAnsi="宋体" w:eastAsia="宋体" w:cs="宋体"/>
                <w:color w:val="auto"/>
                <w:szCs w:val="21"/>
                <w:highlight w:val="none"/>
              </w:rPr>
              <w:t xml:space="preserve"> </w:t>
            </w:r>
            <w:r>
              <w:rPr>
                <w:rFonts w:hint="eastAsia" w:ascii="宋体" w:hAnsi="宋体" w:eastAsia="宋体" w:cs="宋体"/>
                <w:color w:val="auto"/>
                <w:szCs w:val="21"/>
                <w:highlight w:val="none"/>
              </w:rPr>
              <w:t>话</w:t>
            </w:r>
          </w:p>
        </w:tc>
        <w:tc>
          <w:tcPr>
            <w:tcW w:w="23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22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传</w:t>
            </w:r>
            <w:r>
              <w:rPr>
                <w:rFonts w:hint="default" w:ascii="宋体" w:hAnsi="宋体" w:eastAsia="宋体" w:cs="宋体"/>
                <w:color w:val="auto"/>
                <w:szCs w:val="21"/>
                <w:highlight w:val="none"/>
              </w:rPr>
              <w:t xml:space="preserve">  </w:t>
            </w:r>
            <w:r>
              <w:rPr>
                <w:rFonts w:hint="eastAsia" w:ascii="宋体" w:hAnsi="宋体" w:eastAsia="宋体" w:cs="宋体"/>
                <w:color w:val="auto"/>
                <w:szCs w:val="21"/>
                <w:highlight w:val="none"/>
              </w:rPr>
              <w:t>真</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c>
          <w:tcPr>
            <w:tcW w:w="11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网</w:t>
            </w:r>
            <w:r>
              <w:rPr>
                <w:rFonts w:hint="default" w:ascii="宋体" w:hAnsi="宋体" w:eastAsia="宋体" w:cs="宋体"/>
                <w:color w:val="auto"/>
                <w:szCs w:val="21"/>
                <w:highlight w:val="none"/>
              </w:rPr>
              <w:t xml:space="preserve"> </w:t>
            </w:r>
            <w:r>
              <w:rPr>
                <w:rFonts w:hint="eastAsia" w:ascii="宋体" w:hAnsi="宋体" w:eastAsia="宋体" w:cs="宋体"/>
                <w:color w:val="auto"/>
                <w:szCs w:val="21"/>
                <w:highlight w:val="none"/>
              </w:rPr>
              <w:t>址</w:t>
            </w:r>
          </w:p>
        </w:tc>
        <w:tc>
          <w:tcPr>
            <w:tcW w:w="23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法定代表人</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技术职称</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c>
          <w:tcPr>
            <w:tcW w:w="10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12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技术负责人</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技术职称</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c>
          <w:tcPr>
            <w:tcW w:w="10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12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资质证书</w:t>
            </w:r>
          </w:p>
        </w:tc>
        <w:tc>
          <w:tcPr>
            <w:tcW w:w="663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firstLine="105" w:firstLineChars="5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类型：</w:t>
            </w:r>
            <w:r>
              <w:rPr>
                <w:rFonts w:hint="default" w:ascii="宋体" w:hAnsi="宋体" w:eastAsia="宋体" w:cs="宋体"/>
                <w:color w:val="auto"/>
                <w:szCs w:val="21"/>
                <w:highlight w:val="none"/>
              </w:rPr>
              <w:t xml:space="preserve">                    </w:t>
            </w:r>
            <w:r>
              <w:rPr>
                <w:rFonts w:hint="eastAsia" w:ascii="宋体" w:hAnsi="宋体" w:eastAsia="宋体" w:cs="宋体"/>
                <w:color w:val="auto"/>
                <w:szCs w:val="21"/>
                <w:highlight w:val="none"/>
              </w:rPr>
              <w:t>等级：</w:t>
            </w:r>
            <w:r>
              <w:rPr>
                <w:rFonts w:hint="default" w:ascii="宋体" w:hAnsi="宋体" w:eastAsia="宋体" w:cs="宋体"/>
                <w:color w:val="auto"/>
                <w:szCs w:val="21"/>
                <w:highlight w:val="none"/>
              </w:rPr>
              <w:t xml:space="preserve">      </w:t>
            </w:r>
            <w:r>
              <w:rPr>
                <w:rFonts w:hint="eastAsia" w:ascii="宋体" w:hAnsi="宋体" w:eastAsia="宋体" w:cs="宋体"/>
                <w:color w:val="auto"/>
                <w:szCs w:val="21"/>
                <w:highlight w:val="none"/>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9"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质量管理体系证书（如有）</w:t>
            </w:r>
          </w:p>
        </w:tc>
        <w:tc>
          <w:tcPr>
            <w:tcW w:w="663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firstLine="105" w:firstLineChars="5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类型：</w:t>
            </w:r>
            <w:r>
              <w:rPr>
                <w:rFonts w:hint="default" w:ascii="宋体" w:hAnsi="宋体" w:eastAsia="宋体" w:cs="宋体"/>
                <w:color w:val="auto"/>
                <w:szCs w:val="21"/>
                <w:highlight w:val="none"/>
              </w:rPr>
              <w:t xml:space="preserve">                    </w:t>
            </w:r>
            <w:r>
              <w:rPr>
                <w:rFonts w:hint="eastAsia" w:ascii="宋体" w:hAnsi="宋体" w:eastAsia="宋体" w:cs="宋体"/>
                <w:color w:val="auto"/>
                <w:szCs w:val="21"/>
                <w:highlight w:val="none"/>
              </w:rPr>
              <w:t>等级：</w:t>
            </w:r>
            <w:r>
              <w:rPr>
                <w:rFonts w:hint="default" w:ascii="宋体" w:hAnsi="宋体" w:eastAsia="宋体" w:cs="宋体"/>
                <w:color w:val="auto"/>
                <w:szCs w:val="21"/>
                <w:highlight w:val="none"/>
              </w:rPr>
              <w:t xml:space="preserve">      </w:t>
            </w:r>
            <w:r>
              <w:rPr>
                <w:rFonts w:hint="eastAsia" w:ascii="宋体" w:hAnsi="宋体" w:eastAsia="宋体" w:cs="宋体"/>
                <w:color w:val="auto"/>
                <w:szCs w:val="21"/>
                <w:highlight w:val="none"/>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营业执照号</w:t>
            </w:r>
          </w:p>
        </w:tc>
        <w:tc>
          <w:tcPr>
            <w:tcW w:w="31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c>
          <w:tcPr>
            <w:tcW w:w="344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注册资本</w:t>
            </w:r>
          </w:p>
        </w:tc>
        <w:tc>
          <w:tcPr>
            <w:tcW w:w="31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c>
          <w:tcPr>
            <w:tcW w:w="444" w:type="dxa"/>
            <w:vMerge w:val="restart"/>
            <w:tcBorders>
              <w:top w:val="single" w:color="auto" w:sz="4" w:space="0"/>
              <w:left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其中</w:t>
            </w:r>
          </w:p>
        </w:tc>
        <w:tc>
          <w:tcPr>
            <w:tcW w:w="15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高级职称人员</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成立日期</w:t>
            </w:r>
          </w:p>
        </w:tc>
        <w:tc>
          <w:tcPr>
            <w:tcW w:w="31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c>
          <w:tcPr>
            <w:tcW w:w="444"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15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中级职称人员</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基本账户开户银行</w:t>
            </w:r>
          </w:p>
        </w:tc>
        <w:tc>
          <w:tcPr>
            <w:tcW w:w="31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c>
          <w:tcPr>
            <w:tcW w:w="444"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15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技术人员数量</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基本账户银行账号</w:t>
            </w:r>
          </w:p>
        </w:tc>
        <w:tc>
          <w:tcPr>
            <w:tcW w:w="31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c>
          <w:tcPr>
            <w:tcW w:w="444"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highlight w:val="none"/>
              </w:rPr>
            </w:pPr>
          </w:p>
        </w:tc>
        <w:tc>
          <w:tcPr>
            <w:tcW w:w="15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各类注册人员</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2203" w:type="dxa"/>
            <w:tcBorders>
              <w:top w:val="single" w:color="auto" w:sz="4" w:space="0"/>
              <w:left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firstLine="210" w:firstLineChars="10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经营范围</w:t>
            </w:r>
          </w:p>
        </w:tc>
        <w:tc>
          <w:tcPr>
            <w:tcW w:w="6636" w:type="dxa"/>
            <w:gridSpan w:val="8"/>
            <w:tcBorders>
              <w:top w:val="single" w:color="auto" w:sz="4" w:space="0"/>
              <w:left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9" w:hRule="atLeast"/>
          <w:jc w:val="center"/>
        </w:trPr>
        <w:tc>
          <w:tcPr>
            <w:tcW w:w="2203" w:type="dxa"/>
            <w:tcBorders>
              <w:top w:val="single" w:color="auto" w:sz="4" w:space="0"/>
              <w:left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投标人关联企业情况（包括但不限于与投标人法定代表人为同一人或者存在控股、管理关系的不同单位）</w:t>
            </w:r>
          </w:p>
        </w:tc>
        <w:tc>
          <w:tcPr>
            <w:tcW w:w="6636" w:type="dxa"/>
            <w:gridSpan w:val="8"/>
            <w:tcBorders>
              <w:top w:val="single" w:color="auto" w:sz="4" w:space="0"/>
              <w:left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2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100" w:beforeAutospacing="1" w:after="100" w:afterAutospacing="1"/>
              <w:ind w:left="0" w:right="0"/>
              <w:jc w:val="center"/>
              <w:rPr>
                <w:rFonts w:hint="default" w:ascii="宋体" w:hAnsi="宋体" w:eastAsia="宋体" w:cs="宋体"/>
                <w:color w:val="auto"/>
                <w:szCs w:val="21"/>
                <w:highlight w:val="none"/>
              </w:rPr>
            </w:pPr>
            <w:r>
              <w:rPr>
                <w:rFonts w:hint="eastAsia" w:ascii="宋体" w:hAnsi="宋体" w:eastAsia="宋体" w:cs="宋体"/>
                <w:color w:val="auto"/>
                <w:szCs w:val="21"/>
                <w:highlight w:val="none"/>
              </w:rPr>
              <w:t>备注</w:t>
            </w:r>
          </w:p>
        </w:tc>
        <w:tc>
          <w:tcPr>
            <w:tcW w:w="663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ind w:left="0" w:right="0"/>
              <w:jc w:val="center"/>
              <w:rPr>
                <w:rFonts w:hint="default" w:ascii="宋体" w:hAnsi="宋体" w:eastAsia="宋体" w:cs="宋体"/>
                <w:color w:val="auto"/>
                <w:szCs w:val="21"/>
                <w:highlight w:val="none"/>
              </w:rPr>
            </w:pPr>
          </w:p>
        </w:tc>
      </w:tr>
    </w:tbl>
    <w:p>
      <w:pPr>
        <w:spacing w:line="400" w:lineRule="exact"/>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t>注：投标人应根据招标公告投标人资格要求及投标人须知第3.5.1项的要求在本表后附相关证明材料</w:t>
      </w:r>
      <w:r>
        <w:rPr>
          <w:rFonts w:hint="eastAsia" w:asciiTheme="minorEastAsia" w:hAnsiTheme="minorEastAsia" w:eastAsiaTheme="minorEastAsia"/>
          <w:color w:val="auto"/>
          <w:highlight w:val="none"/>
          <w:lang w:eastAsia="zh-CN"/>
        </w:rPr>
        <w:t>。</w:t>
      </w:r>
    </w:p>
    <w:p>
      <w:pPr>
        <w:rPr>
          <w:color w:val="auto"/>
          <w:highlight w:val="none"/>
        </w:rPr>
      </w:pPr>
      <w:bookmarkStart w:id="180" w:name="_Toc531360705"/>
      <w:r>
        <w:rPr>
          <w:color w:val="auto"/>
          <w:highlight w:val="none"/>
        </w:rPr>
        <w:br w:type="page"/>
      </w:r>
    </w:p>
    <w:p>
      <w:pPr>
        <w:pStyle w:val="7"/>
        <w:spacing w:line="360" w:lineRule="auto"/>
        <w:ind w:left="0"/>
        <w:rPr>
          <w:rFonts w:asciiTheme="minorEastAsia" w:hAnsiTheme="minorEastAsia" w:eastAsiaTheme="minorEastAsia"/>
          <w:b/>
          <w:bCs w:val="0"/>
          <w:color w:val="auto"/>
          <w:sz w:val="32"/>
          <w:szCs w:val="36"/>
          <w:highlight w:val="none"/>
        </w:rPr>
      </w:pPr>
      <w:r>
        <w:rPr>
          <w:rFonts w:hint="eastAsia" w:asciiTheme="minorEastAsia" w:hAnsiTheme="minorEastAsia" w:eastAsiaTheme="minorEastAsia"/>
          <w:b/>
          <w:bCs w:val="0"/>
          <w:color w:val="auto"/>
          <w:sz w:val="32"/>
          <w:szCs w:val="36"/>
          <w:highlight w:val="none"/>
          <w:lang w:val="en-US" w:eastAsia="zh"/>
        </w:rPr>
        <w:t>4</w:t>
      </w:r>
      <w:r>
        <w:rPr>
          <w:rFonts w:hint="eastAsia" w:asciiTheme="minorEastAsia" w:hAnsiTheme="minorEastAsia" w:eastAsiaTheme="minorEastAsia"/>
          <w:b/>
          <w:bCs w:val="0"/>
          <w:color w:val="auto"/>
          <w:sz w:val="32"/>
          <w:szCs w:val="36"/>
          <w:highlight w:val="none"/>
          <w:lang w:val="en-US" w:eastAsia="zh-CN"/>
        </w:rPr>
        <w:t>.2</w:t>
      </w:r>
      <w:r>
        <w:rPr>
          <w:rFonts w:hint="eastAsia" w:asciiTheme="minorEastAsia" w:hAnsiTheme="minorEastAsia" w:eastAsiaTheme="minorEastAsia"/>
          <w:b/>
          <w:bCs w:val="0"/>
          <w:color w:val="auto"/>
          <w:sz w:val="32"/>
          <w:szCs w:val="36"/>
          <w:highlight w:val="none"/>
        </w:rPr>
        <w:t>投标人营业执照或事业单位法人证书和组织机构代码证的复印件（按照“三证合一” 或“五证合一”登记制度进行登记的，可仅提供营业执照复印件或事业单位法人证书复印件）</w:t>
      </w:r>
    </w:p>
    <w:p>
      <w:pPr>
        <w:rPr>
          <w:color w:val="auto"/>
          <w:highlight w:val="none"/>
        </w:rPr>
      </w:pPr>
      <w:r>
        <w:rPr>
          <w:color w:val="auto"/>
          <w:highlight w:val="none"/>
        </w:rPr>
        <w:br w:type="page"/>
      </w:r>
    </w:p>
    <w:p>
      <w:pPr>
        <w:pStyle w:val="7"/>
        <w:adjustRightInd/>
        <w:snapToGrid/>
        <w:spacing w:after="120" w:afterLines="50" w:line="360" w:lineRule="auto"/>
        <w:ind w:left="0"/>
        <w:jc w:val="center"/>
        <w:rPr>
          <w:rFonts w:asciiTheme="minorEastAsia" w:hAnsiTheme="minorEastAsia" w:eastAsiaTheme="minorEastAsia"/>
          <w:b/>
          <w:bCs w:val="0"/>
          <w:color w:val="auto"/>
          <w:sz w:val="32"/>
          <w:szCs w:val="36"/>
          <w:highlight w:val="none"/>
        </w:rPr>
      </w:pPr>
      <w:r>
        <w:rPr>
          <w:rFonts w:hint="eastAsia" w:asciiTheme="minorEastAsia" w:hAnsiTheme="minorEastAsia" w:eastAsiaTheme="minorEastAsia"/>
          <w:b/>
          <w:bCs w:val="0"/>
          <w:color w:val="auto"/>
          <w:sz w:val="32"/>
          <w:szCs w:val="36"/>
          <w:highlight w:val="none"/>
          <w:lang w:val="en-US" w:eastAsia="zh"/>
        </w:rPr>
        <w:t>4</w:t>
      </w:r>
      <w:r>
        <w:rPr>
          <w:rFonts w:hint="eastAsia" w:asciiTheme="minorEastAsia" w:hAnsiTheme="minorEastAsia" w:eastAsiaTheme="minorEastAsia"/>
          <w:b/>
          <w:bCs w:val="0"/>
          <w:color w:val="auto"/>
          <w:sz w:val="32"/>
          <w:szCs w:val="36"/>
          <w:highlight w:val="none"/>
          <w:lang w:val="en-US" w:eastAsia="zh-CN"/>
        </w:rPr>
        <w:t>.3</w:t>
      </w:r>
      <w:r>
        <w:rPr>
          <w:rFonts w:hint="eastAsia" w:asciiTheme="minorEastAsia" w:hAnsiTheme="minorEastAsia" w:eastAsiaTheme="minorEastAsia"/>
          <w:b/>
          <w:bCs w:val="0"/>
          <w:color w:val="auto"/>
          <w:sz w:val="32"/>
          <w:szCs w:val="36"/>
          <w:highlight w:val="none"/>
        </w:rPr>
        <w:t>资质证书复印件</w:t>
      </w:r>
    </w:p>
    <w:p>
      <w:pPr>
        <w:rPr>
          <w:rFonts w:asciiTheme="minorEastAsia" w:hAnsiTheme="minorEastAsia" w:eastAsiaTheme="minorEastAsia"/>
          <w:color w:val="auto"/>
          <w:highlight w:val="none"/>
        </w:rPr>
      </w:pPr>
      <w:r>
        <w:rPr>
          <w:rFonts w:hint="eastAsia" w:asciiTheme="minorEastAsia" w:hAnsiTheme="minorEastAsia" w:eastAsiaTheme="minorEastAsia"/>
          <w:color w:val="auto"/>
          <w:sz w:val="28"/>
          <w:szCs w:val="28"/>
          <w:highlight w:val="none"/>
          <w:lang w:val="en-US" w:eastAsia="zh-CN"/>
        </w:rPr>
        <w:t xml:space="preserve"> </w:t>
      </w:r>
    </w:p>
    <w:p>
      <w:pPr>
        <w:pStyle w:val="23"/>
        <w:rPr>
          <w:rFonts w:eastAsiaTheme="minorEastAsia"/>
          <w:color w:val="auto"/>
          <w:highlight w:val="none"/>
        </w:rPr>
      </w:pPr>
    </w:p>
    <w:p>
      <w:pPr>
        <w:rPr>
          <w:color w:val="auto"/>
          <w:highlight w:val="none"/>
        </w:rPr>
      </w:pPr>
      <w:r>
        <w:rPr>
          <w:color w:val="auto"/>
          <w:highlight w:val="none"/>
        </w:rPr>
        <w:br w:type="page"/>
      </w:r>
    </w:p>
    <w:bookmarkEnd w:id="180"/>
    <w:p>
      <w:pPr>
        <w:pStyle w:val="7"/>
        <w:ind w:left="0"/>
        <w:jc w:val="center"/>
        <w:rPr>
          <w:rFonts w:asciiTheme="minorEastAsia" w:hAnsiTheme="minorEastAsia" w:eastAsiaTheme="minorEastAsia"/>
          <w:b/>
          <w:bCs w:val="0"/>
          <w:color w:val="auto"/>
          <w:sz w:val="32"/>
          <w:szCs w:val="36"/>
          <w:highlight w:val="none"/>
        </w:rPr>
      </w:pPr>
      <w:r>
        <w:rPr>
          <w:rFonts w:hint="eastAsia" w:asciiTheme="minorEastAsia" w:hAnsiTheme="minorEastAsia" w:eastAsiaTheme="minorEastAsia"/>
          <w:b/>
          <w:bCs w:val="0"/>
          <w:color w:val="auto"/>
          <w:sz w:val="32"/>
          <w:szCs w:val="36"/>
          <w:highlight w:val="none"/>
          <w:lang w:val="en-US" w:eastAsia="zh"/>
        </w:rPr>
        <w:t>4</w:t>
      </w:r>
      <w:r>
        <w:rPr>
          <w:rFonts w:hint="eastAsia" w:asciiTheme="minorEastAsia" w:hAnsiTheme="minorEastAsia" w:eastAsiaTheme="minorEastAsia"/>
          <w:b/>
          <w:bCs w:val="0"/>
          <w:color w:val="auto"/>
          <w:sz w:val="32"/>
          <w:szCs w:val="36"/>
          <w:highlight w:val="none"/>
          <w:lang w:val="en-US" w:eastAsia="zh-CN"/>
        </w:rPr>
        <w:t>.4</w:t>
      </w:r>
      <w:r>
        <w:rPr>
          <w:rFonts w:hint="eastAsia" w:asciiTheme="minorEastAsia" w:hAnsiTheme="minorEastAsia" w:eastAsiaTheme="minorEastAsia"/>
          <w:b/>
          <w:bCs w:val="0"/>
          <w:color w:val="auto"/>
          <w:sz w:val="32"/>
          <w:szCs w:val="36"/>
          <w:highlight w:val="none"/>
        </w:rPr>
        <w:t>拟委派的项目负责人证书复印件</w:t>
      </w: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color w:val="auto"/>
          <w:highlight w:val="none"/>
        </w:rPr>
      </w:pPr>
      <w:r>
        <w:rPr>
          <w:color w:val="auto"/>
          <w:highlight w:val="none"/>
        </w:rPr>
        <w:br w:type="page"/>
      </w:r>
    </w:p>
    <w:p>
      <w:pPr>
        <w:pStyle w:val="7"/>
        <w:ind w:left="0"/>
        <w:rPr>
          <w:rFonts w:asciiTheme="minorEastAsia" w:hAnsiTheme="minorEastAsia" w:eastAsiaTheme="minorEastAsia"/>
          <w:b/>
          <w:bCs w:val="0"/>
          <w:color w:val="auto"/>
          <w:sz w:val="32"/>
          <w:szCs w:val="36"/>
          <w:highlight w:val="none"/>
        </w:rPr>
      </w:pPr>
      <w:bookmarkStart w:id="181" w:name="_Toc247514303"/>
      <w:bookmarkStart w:id="182" w:name="_Toc247527851"/>
      <w:bookmarkStart w:id="183" w:name="_Toc144974879"/>
      <w:bookmarkStart w:id="184" w:name="_Toc152042600"/>
      <w:bookmarkStart w:id="185" w:name="_Toc152045811"/>
      <w:r>
        <w:rPr>
          <w:rFonts w:hint="eastAsia" w:asciiTheme="minorEastAsia" w:hAnsiTheme="minorEastAsia" w:eastAsiaTheme="minorEastAsia"/>
          <w:b/>
          <w:bCs w:val="0"/>
          <w:color w:val="auto"/>
          <w:sz w:val="32"/>
          <w:szCs w:val="36"/>
          <w:highlight w:val="none"/>
          <w:lang w:val="en-US" w:eastAsia="zh"/>
        </w:rPr>
        <w:t>4</w:t>
      </w:r>
      <w:r>
        <w:rPr>
          <w:rFonts w:hint="eastAsia" w:asciiTheme="minorEastAsia" w:hAnsiTheme="minorEastAsia" w:eastAsiaTheme="minorEastAsia"/>
          <w:b/>
          <w:bCs w:val="0"/>
          <w:color w:val="auto"/>
          <w:sz w:val="32"/>
          <w:szCs w:val="36"/>
          <w:highlight w:val="none"/>
          <w:lang w:val="en-US" w:eastAsia="zh-CN"/>
        </w:rPr>
        <w:t>.5</w:t>
      </w:r>
      <w:r>
        <w:rPr>
          <w:rFonts w:hint="eastAsia" w:asciiTheme="minorEastAsia" w:hAnsiTheme="minorEastAsia" w:eastAsiaTheme="minorEastAsia"/>
          <w:b/>
          <w:bCs w:val="0"/>
          <w:color w:val="auto"/>
          <w:sz w:val="32"/>
          <w:szCs w:val="36"/>
          <w:highlight w:val="none"/>
        </w:rPr>
        <w:t>投标登记前，</w:t>
      </w:r>
      <w:r>
        <w:rPr>
          <w:rFonts w:hint="eastAsia" w:asciiTheme="minorEastAsia" w:hAnsiTheme="minorEastAsia" w:eastAsiaTheme="minorEastAsia" w:cstheme="minorEastAsia"/>
          <w:b/>
          <w:bCs w:val="0"/>
          <w:color w:val="auto"/>
          <w:sz w:val="32"/>
          <w:szCs w:val="36"/>
          <w:highlight w:val="none"/>
          <w:u w:val="single"/>
        </w:rPr>
        <w:t>投标人须在</w:t>
      </w:r>
      <w:r>
        <w:rPr>
          <w:rFonts w:hint="eastAsia" w:asciiTheme="minorEastAsia" w:hAnsiTheme="minorEastAsia" w:eastAsiaTheme="minorEastAsia" w:cstheme="minorEastAsia"/>
          <w:b/>
          <w:bCs w:val="0"/>
          <w:color w:val="auto"/>
          <w:sz w:val="32"/>
          <w:szCs w:val="36"/>
          <w:highlight w:val="none"/>
          <w:u w:val="single"/>
          <w:lang w:eastAsia="zh-CN"/>
        </w:rPr>
        <w:t>广州交易集团有限公司（广州公共资源交易中心）</w:t>
      </w:r>
      <w:r>
        <w:rPr>
          <w:rFonts w:hint="eastAsia" w:asciiTheme="minorEastAsia" w:hAnsiTheme="minorEastAsia" w:eastAsiaTheme="minorEastAsia" w:cstheme="minorEastAsia"/>
          <w:b/>
          <w:bCs w:val="0"/>
          <w:color w:val="auto"/>
          <w:sz w:val="32"/>
          <w:szCs w:val="36"/>
          <w:highlight w:val="none"/>
          <w:u w:val="single"/>
        </w:rPr>
        <w:t>企业库办理企业信息登记；</w:t>
      </w:r>
    </w:p>
    <w:p>
      <w:pPr>
        <w:rPr>
          <w:rFonts w:asciiTheme="minorEastAsia" w:hAnsiTheme="minorEastAsia" w:eastAsiaTheme="minorEastAsia"/>
          <w:color w:val="auto"/>
          <w:highlight w:val="none"/>
        </w:rPr>
      </w:pPr>
    </w:p>
    <w:bookmarkEnd w:id="181"/>
    <w:bookmarkEnd w:id="182"/>
    <w:bookmarkEnd w:id="183"/>
    <w:bookmarkEnd w:id="184"/>
    <w:bookmarkEnd w:id="185"/>
    <w:p>
      <w:pPr>
        <w:spacing w:line="440" w:lineRule="exact"/>
        <w:rPr>
          <w:rFonts w:asciiTheme="minorEastAsia" w:hAnsiTheme="minorEastAsia" w:eastAsiaTheme="minorEastAsia"/>
          <w:color w:val="auto"/>
          <w:highlight w:val="none"/>
        </w:rPr>
      </w:pPr>
    </w:p>
    <w:bookmarkEnd w:id="179"/>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widowControl/>
        <w:jc w:val="left"/>
        <w:rPr>
          <w:rFonts w:asciiTheme="minorEastAsia" w:hAnsiTheme="minorEastAsia" w:eastAsiaTheme="minorEastAsia"/>
          <w:b/>
          <w:bCs/>
          <w:color w:val="auto"/>
          <w:sz w:val="28"/>
          <w:szCs w:val="32"/>
          <w:highlight w:val="none"/>
        </w:rPr>
      </w:pPr>
      <w:r>
        <w:rPr>
          <w:rFonts w:asciiTheme="minorEastAsia" w:hAnsiTheme="minorEastAsia" w:eastAsiaTheme="minorEastAsia"/>
          <w:color w:val="auto"/>
          <w:highlight w:val="none"/>
        </w:rPr>
        <w:br w:type="page"/>
      </w:r>
    </w:p>
    <w:p>
      <w:pPr>
        <w:pStyle w:val="7"/>
        <w:ind w:left="0"/>
        <w:jc w:val="center"/>
        <w:rPr>
          <w:rFonts w:asciiTheme="minorEastAsia" w:hAnsiTheme="minorEastAsia" w:eastAsiaTheme="minorEastAsia"/>
          <w:b/>
          <w:bCs w:val="0"/>
          <w:color w:val="auto"/>
          <w:sz w:val="32"/>
          <w:szCs w:val="36"/>
          <w:highlight w:val="none"/>
        </w:rPr>
      </w:pPr>
      <w:r>
        <w:rPr>
          <w:rFonts w:hint="eastAsia" w:asciiTheme="minorEastAsia" w:hAnsiTheme="minorEastAsia" w:eastAsiaTheme="minorEastAsia"/>
          <w:b/>
          <w:bCs w:val="0"/>
          <w:color w:val="auto"/>
          <w:sz w:val="32"/>
          <w:szCs w:val="36"/>
          <w:highlight w:val="none"/>
          <w:lang w:val="en-US" w:eastAsia="zh"/>
        </w:rPr>
        <w:t>4</w:t>
      </w:r>
      <w:r>
        <w:rPr>
          <w:rFonts w:hint="eastAsia" w:asciiTheme="minorEastAsia" w:hAnsiTheme="minorEastAsia" w:eastAsiaTheme="minorEastAsia"/>
          <w:b/>
          <w:bCs w:val="0"/>
          <w:color w:val="auto"/>
          <w:sz w:val="32"/>
          <w:szCs w:val="36"/>
          <w:highlight w:val="none"/>
          <w:lang w:val="en-US" w:eastAsia="zh-CN"/>
        </w:rPr>
        <w:t>.6</w:t>
      </w:r>
      <w:r>
        <w:rPr>
          <w:rFonts w:hint="eastAsia" w:asciiTheme="minorEastAsia" w:hAnsiTheme="minorEastAsia" w:eastAsiaTheme="minorEastAsia"/>
          <w:b/>
          <w:bCs w:val="0"/>
          <w:color w:val="auto"/>
          <w:sz w:val="32"/>
          <w:szCs w:val="36"/>
          <w:highlight w:val="none"/>
        </w:rPr>
        <w:t>投标人声明（按招标公告附件一格式）</w:t>
      </w: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widowControl/>
        <w:jc w:val="left"/>
        <w:rPr>
          <w:rFonts w:asciiTheme="minorEastAsia" w:hAnsiTheme="minorEastAsia" w:eastAsiaTheme="minorEastAsia" w:cstheme="minorEastAsia"/>
          <w:b/>
          <w:bCs/>
          <w:color w:val="auto"/>
          <w:sz w:val="28"/>
          <w:szCs w:val="32"/>
          <w:highlight w:val="none"/>
        </w:rPr>
      </w:pPr>
      <w:r>
        <w:rPr>
          <w:rFonts w:asciiTheme="minorEastAsia" w:hAnsiTheme="minorEastAsia" w:eastAsiaTheme="minorEastAsia" w:cstheme="minorEastAsia"/>
          <w:color w:val="auto"/>
          <w:highlight w:val="none"/>
        </w:rPr>
        <w:br w:type="page"/>
      </w:r>
    </w:p>
    <w:p>
      <w:pPr>
        <w:ind w:left="0"/>
        <w:rPr>
          <w:rFonts w:hint="eastAsia" w:asciiTheme="minorEastAsia" w:hAnsiTheme="minorEastAsia" w:eastAsiaTheme="minorEastAsia" w:cstheme="minorEastAsia"/>
          <w:b/>
          <w:bCs w:val="0"/>
          <w:color w:val="auto"/>
          <w:sz w:val="32"/>
          <w:szCs w:val="36"/>
          <w:highlight w:val="none"/>
          <w:u w:val="single"/>
          <w:lang w:val="en-US" w:eastAsia="zh-CN"/>
        </w:rPr>
      </w:pPr>
      <w:r>
        <w:rPr>
          <w:rFonts w:hint="eastAsia" w:asciiTheme="minorEastAsia" w:hAnsiTheme="minorEastAsia" w:eastAsiaTheme="minorEastAsia" w:cstheme="minorEastAsia"/>
          <w:b/>
          <w:bCs w:val="0"/>
          <w:color w:val="auto"/>
          <w:sz w:val="32"/>
          <w:szCs w:val="36"/>
          <w:highlight w:val="none"/>
          <w:u w:val="single"/>
          <w:lang w:val="en-US" w:eastAsia="zh"/>
        </w:rPr>
        <w:t>4</w:t>
      </w:r>
      <w:r>
        <w:rPr>
          <w:rFonts w:hint="eastAsia" w:asciiTheme="minorEastAsia" w:hAnsiTheme="minorEastAsia" w:eastAsiaTheme="minorEastAsia" w:cstheme="minorEastAsia"/>
          <w:b/>
          <w:bCs w:val="0"/>
          <w:color w:val="auto"/>
          <w:sz w:val="32"/>
          <w:szCs w:val="36"/>
          <w:highlight w:val="none"/>
          <w:u w:val="single"/>
          <w:lang w:val="en-US" w:eastAsia="zh-CN"/>
        </w:rPr>
        <w:t>.7联合体共同投标协议（如有）</w:t>
      </w:r>
    </w:p>
    <w:p>
      <w:pPr>
        <w:ind w:left="0"/>
        <w:rPr>
          <w:rFonts w:hint="eastAsia" w:asciiTheme="minorEastAsia" w:hAnsiTheme="minorEastAsia" w:eastAsiaTheme="minorEastAsia" w:cstheme="minorEastAsia"/>
          <w:b/>
          <w:bCs w:val="0"/>
          <w:color w:val="auto"/>
          <w:sz w:val="32"/>
          <w:szCs w:val="36"/>
          <w:highlight w:val="none"/>
          <w:u w:val="single"/>
          <w:lang w:val="en-US" w:eastAsia="zh-CN"/>
        </w:rPr>
      </w:pPr>
      <w:r>
        <w:rPr>
          <w:rFonts w:hint="eastAsia" w:asciiTheme="minorEastAsia" w:hAnsiTheme="minorEastAsia" w:eastAsiaTheme="minorEastAsia" w:cstheme="minorEastAsia"/>
          <w:b/>
          <w:bCs w:val="0"/>
          <w:color w:val="auto"/>
          <w:sz w:val="32"/>
          <w:szCs w:val="36"/>
          <w:highlight w:val="none"/>
          <w:u w:val="single"/>
          <w:lang w:val="en-US" w:eastAsia="zh-CN"/>
        </w:rPr>
        <w:br w:type="page"/>
      </w:r>
    </w:p>
    <w:p>
      <w:pPr>
        <w:ind w:left="0"/>
        <w:rPr>
          <w:rFonts w:asciiTheme="minorEastAsia" w:hAnsiTheme="minorEastAsia" w:eastAsiaTheme="minorEastAsia"/>
          <w:b/>
          <w:bCs w:val="0"/>
          <w:color w:val="auto"/>
          <w:sz w:val="32"/>
          <w:szCs w:val="36"/>
          <w:highlight w:val="none"/>
        </w:rPr>
      </w:pPr>
      <w:r>
        <w:rPr>
          <w:rFonts w:hint="eastAsia" w:asciiTheme="minorEastAsia" w:hAnsiTheme="minorEastAsia" w:eastAsiaTheme="minorEastAsia" w:cstheme="minorEastAsia"/>
          <w:b/>
          <w:bCs w:val="0"/>
          <w:color w:val="auto"/>
          <w:sz w:val="32"/>
          <w:szCs w:val="36"/>
          <w:highlight w:val="none"/>
          <w:u w:val="single"/>
          <w:lang w:val="en-US" w:eastAsia="zh-CN"/>
        </w:rPr>
        <w:t>4.8</w:t>
      </w:r>
      <w:r>
        <w:rPr>
          <w:rFonts w:hint="eastAsia" w:asciiTheme="minorEastAsia" w:hAnsiTheme="minorEastAsia" w:eastAsiaTheme="minorEastAsia" w:cstheme="minorEastAsia"/>
          <w:b/>
          <w:bCs w:val="0"/>
          <w:color w:val="auto"/>
          <w:sz w:val="32"/>
          <w:szCs w:val="36"/>
          <w:highlight w:val="none"/>
          <w:u w:val="single"/>
        </w:rPr>
        <w:t>投标人认为有必要提供的其它材料。</w:t>
      </w:r>
    </w:p>
    <w:p>
      <w:pPr>
        <w:rPr>
          <w:rFonts w:asciiTheme="minorEastAsia" w:hAnsiTheme="minorEastAsia" w:eastAsiaTheme="minorEastAsia" w:cstheme="minorEastAsia"/>
          <w:color w:val="auto"/>
          <w:szCs w:val="21"/>
          <w:highlight w:val="none"/>
          <w:u w:val="singl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pStyle w:val="5"/>
        <w:spacing w:after="0"/>
        <w:rPr>
          <w:rFonts w:asciiTheme="minorEastAsia" w:hAnsiTheme="minorEastAsia" w:eastAsiaTheme="minorEastAsia"/>
          <w:color w:val="auto"/>
          <w:highlight w:val="none"/>
        </w:rPr>
      </w:pPr>
      <w:bookmarkStart w:id="186" w:name="_Toc20751_WPSOffice_Level1"/>
      <w:r>
        <w:rPr>
          <w:rFonts w:hint="eastAsia" w:asciiTheme="minorEastAsia" w:hAnsiTheme="minorEastAsia" w:eastAsiaTheme="minorEastAsia"/>
          <w:color w:val="auto"/>
          <w:highlight w:val="none"/>
          <w:lang w:val="en-US" w:eastAsia="zh"/>
        </w:rPr>
        <w:t>五</w:t>
      </w:r>
      <w:r>
        <w:rPr>
          <w:rFonts w:hint="eastAsia" w:asciiTheme="minorEastAsia" w:hAnsiTheme="minorEastAsia" w:eastAsiaTheme="minorEastAsia"/>
          <w:color w:val="auto"/>
          <w:highlight w:val="none"/>
        </w:rPr>
        <w:t>、资信业绩</w:t>
      </w:r>
      <w:bookmarkEnd w:id="186"/>
      <w:r>
        <w:rPr>
          <w:rFonts w:hint="eastAsia" w:asciiTheme="minorEastAsia" w:hAnsiTheme="minorEastAsia" w:eastAsiaTheme="minorEastAsia"/>
          <w:color w:val="auto"/>
          <w:highlight w:val="none"/>
        </w:rPr>
        <w:t>证明材料</w:t>
      </w:r>
    </w:p>
    <w:p>
      <w:pPr>
        <w:rPr>
          <w:rFonts w:asciiTheme="minorEastAsia" w:hAnsiTheme="minorEastAsia" w:eastAsiaTheme="minorEastAsia"/>
          <w:color w:val="auto"/>
          <w:sz w:val="32"/>
          <w:highlight w:val="none"/>
        </w:rPr>
      </w:pPr>
    </w:p>
    <w:p>
      <w:pPr>
        <w:rPr>
          <w:color w:val="auto"/>
          <w:highlight w:val="none"/>
        </w:rPr>
      </w:pPr>
      <w:r>
        <w:rPr>
          <w:color w:val="auto"/>
          <w:highlight w:val="none"/>
        </w:rPr>
        <w:br w:type="page"/>
      </w:r>
    </w:p>
    <w:p>
      <w:pPr>
        <w:rPr>
          <w:rFonts w:asciiTheme="minorEastAsia" w:hAnsiTheme="minorEastAsia" w:eastAsiaTheme="minorEastAsia"/>
          <w:color w:val="auto"/>
          <w:highlight w:val="none"/>
        </w:rPr>
      </w:pPr>
    </w:p>
    <w:p>
      <w:pPr>
        <w:pStyle w:val="6"/>
        <w:rPr>
          <w:rFonts w:asciiTheme="minorEastAsia" w:hAnsiTheme="minorEastAsia" w:eastAsiaTheme="minorEastAsia"/>
          <w:color w:val="auto"/>
          <w:sz w:val="32"/>
          <w:highlight w:val="none"/>
        </w:rPr>
      </w:pPr>
      <w:r>
        <w:rPr>
          <w:rFonts w:hint="eastAsia" w:asciiTheme="minorEastAsia" w:hAnsiTheme="minorEastAsia" w:eastAsiaTheme="minorEastAsia"/>
          <w:color w:val="auto"/>
          <w:sz w:val="32"/>
          <w:highlight w:val="none"/>
          <w:lang w:val="en-US" w:eastAsia="zh"/>
        </w:rPr>
        <w:t>5</w:t>
      </w:r>
      <w:r>
        <w:rPr>
          <w:rFonts w:asciiTheme="minorEastAsia" w:hAnsiTheme="minorEastAsia" w:eastAsiaTheme="minorEastAsia"/>
          <w:color w:val="auto"/>
          <w:sz w:val="32"/>
          <w:highlight w:val="none"/>
        </w:rPr>
        <w:t>.</w:t>
      </w:r>
      <w:r>
        <w:rPr>
          <w:rFonts w:hint="eastAsia" w:asciiTheme="minorEastAsia" w:hAnsiTheme="minorEastAsia" w:eastAsiaTheme="minorEastAsia"/>
          <w:color w:val="auto"/>
          <w:sz w:val="32"/>
          <w:highlight w:val="none"/>
          <w:lang w:val="en-US" w:eastAsia="zh-CN"/>
        </w:rPr>
        <w:t>1</w:t>
      </w:r>
      <w:r>
        <w:rPr>
          <w:rFonts w:hint="eastAsia" w:asciiTheme="minorEastAsia" w:hAnsiTheme="minorEastAsia" w:eastAsiaTheme="minorEastAsia"/>
          <w:color w:val="auto"/>
          <w:sz w:val="32"/>
          <w:highlight w:val="none"/>
        </w:rPr>
        <w:t xml:space="preserve"> 近年承接的类似项目情况</w:t>
      </w:r>
    </w:p>
    <w:p>
      <w:pPr>
        <w:rPr>
          <w:rFonts w:asciiTheme="minorEastAsia" w:hAnsiTheme="minorEastAsia" w:eastAsiaTheme="minorEastAsia"/>
          <w:color w:val="auto"/>
          <w:highlight w:val="none"/>
        </w:rPr>
      </w:pPr>
    </w:p>
    <w:tbl>
      <w:tblPr>
        <w:tblStyle w:val="17"/>
        <w:tblW w:w="877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537"/>
        <w:gridCol w:w="2279"/>
        <w:gridCol w:w="1134"/>
        <w:gridCol w:w="1275"/>
        <w:gridCol w:w="1168"/>
        <w:gridCol w:w="883"/>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trPr>
        <w:tc>
          <w:tcPr>
            <w:tcW w:w="5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bCs/>
                <w:color w:val="auto"/>
                <w:highlight w:val="none"/>
              </w:rPr>
            </w:pPr>
            <w:r>
              <w:rPr>
                <w:rFonts w:hint="eastAsia" w:asciiTheme="minorEastAsia" w:hAnsiTheme="minorEastAsia" w:eastAsiaTheme="minorEastAsia"/>
                <w:color w:val="auto"/>
                <w:highlight w:val="none"/>
              </w:rPr>
              <w:t>序号</w:t>
            </w:r>
          </w:p>
        </w:tc>
        <w:tc>
          <w:tcPr>
            <w:tcW w:w="227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项目名称</w:t>
            </w:r>
          </w:p>
        </w:tc>
        <w:tc>
          <w:tcPr>
            <w:tcW w:w="1134"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rPr>
              <w:t>合同金额</w:t>
            </w:r>
          </w:p>
        </w:tc>
        <w:tc>
          <w:tcPr>
            <w:tcW w:w="127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合同</w:t>
            </w:r>
            <w:r>
              <w:rPr>
                <w:rFonts w:hint="eastAsia" w:asciiTheme="minorEastAsia" w:hAnsiTheme="minorEastAsia" w:eastAsiaTheme="minorEastAsia"/>
                <w:color w:val="auto"/>
                <w:highlight w:val="none"/>
              </w:rPr>
              <w:t>内容</w:t>
            </w:r>
          </w:p>
        </w:tc>
        <w:tc>
          <w:tcPr>
            <w:tcW w:w="1168"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r>
              <w:rPr>
                <w:rFonts w:hint="eastAsia" w:asciiTheme="minorEastAsia" w:hAnsiTheme="minorEastAsia" w:eastAsiaTheme="minorEastAsia"/>
                <w:color w:val="auto"/>
                <w:highlight w:val="none"/>
              </w:rPr>
              <w:t>合同</w:t>
            </w:r>
            <w:r>
              <w:rPr>
                <w:rFonts w:hint="eastAsia" w:asciiTheme="minorEastAsia" w:hAnsiTheme="minorEastAsia" w:eastAsiaTheme="minorEastAsia"/>
                <w:color w:val="auto"/>
                <w:highlight w:val="none"/>
                <w:lang w:eastAsia="zh"/>
              </w:rPr>
              <w:t>签订</w:t>
            </w:r>
            <w:r>
              <w:rPr>
                <w:rFonts w:hint="eastAsia" w:asciiTheme="minorEastAsia" w:hAnsiTheme="minorEastAsia" w:eastAsiaTheme="minorEastAsia"/>
                <w:color w:val="auto"/>
                <w:highlight w:val="none"/>
              </w:rPr>
              <w:t>时间</w:t>
            </w:r>
          </w:p>
        </w:tc>
        <w:tc>
          <w:tcPr>
            <w:tcW w:w="883" w:type="dxa"/>
            <w:vAlign w:val="center"/>
          </w:tcPr>
          <w:p>
            <w:pPr>
              <w:keepNext w:val="0"/>
              <w:keepLines w:val="0"/>
              <w:suppressLineNumbers w:val="0"/>
              <w:spacing w:before="0" w:beforeAutospacing="0" w:after="0" w:afterAutospacing="0"/>
              <w:ind w:left="80" w:right="0"/>
              <w:jc w:val="center"/>
              <w:rPr>
                <w:rFonts w:hint="default" w:asciiTheme="minorEastAsia" w:hAnsiTheme="minorEastAsia" w:eastAsiaTheme="minorEastAsia"/>
                <w:color w:val="auto"/>
                <w:highlight w:val="none"/>
              </w:rPr>
            </w:pPr>
            <w:r>
              <w:rPr>
                <w:rFonts w:hint="eastAsia" w:asciiTheme="minorEastAsia" w:hAnsiTheme="minorEastAsia" w:eastAsiaTheme="minorEastAsia"/>
                <w:color w:val="auto"/>
                <w:highlight w:val="none"/>
              </w:rPr>
              <w:t>委托人名称</w:t>
            </w:r>
          </w:p>
        </w:tc>
        <w:tc>
          <w:tcPr>
            <w:tcW w:w="1500" w:type="dxa"/>
            <w:vAlign w:val="center"/>
          </w:tcPr>
          <w:p>
            <w:pPr>
              <w:keepNext w:val="0"/>
              <w:keepLines w:val="0"/>
              <w:suppressLineNumbers w:val="0"/>
              <w:spacing w:before="0" w:beforeAutospacing="0" w:after="0" w:afterAutospacing="0"/>
              <w:ind w:left="80" w:right="0"/>
              <w:jc w:val="center"/>
              <w:rPr>
                <w:rFonts w:hint="eastAsia" w:asciiTheme="minorEastAsia" w:hAnsiTheme="minorEastAsia" w:eastAsiaTheme="minorEastAsia"/>
                <w:color w:val="auto"/>
                <w:highlight w:val="none"/>
              </w:rPr>
            </w:pPr>
            <w:r>
              <w:rPr>
                <w:rFonts w:hint="eastAsia" w:ascii="宋体" w:hAnsi="宋体" w:eastAsia="宋体" w:cs="宋体"/>
                <w:color w:val="auto"/>
                <w:kern w:val="0"/>
                <w:sz w:val="21"/>
                <w:szCs w:val="21"/>
                <w:highlight w:val="none"/>
              </w:rPr>
              <w:t>建设总投资估算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19" w:hRule="atLeast"/>
        </w:trPr>
        <w:tc>
          <w:tcPr>
            <w:tcW w:w="5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r>
              <w:rPr>
                <w:rFonts w:hint="default" w:asciiTheme="minorEastAsia" w:hAnsiTheme="minorEastAsia" w:eastAsiaTheme="minorEastAsia"/>
                <w:color w:val="auto"/>
                <w:highlight w:val="none"/>
              </w:rPr>
              <w:t>1</w:t>
            </w:r>
          </w:p>
        </w:tc>
        <w:tc>
          <w:tcPr>
            <w:tcW w:w="2279" w:type="dxa"/>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34" w:type="dxa"/>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275" w:type="dxa"/>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68" w:type="dxa"/>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883" w:type="dxa"/>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500" w:type="dxa"/>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19" w:hRule="atLeast"/>
        </w:trPr>
        <w:tc>
          <w:tcPr>
            <w:tcW w:w="5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r>
              <w:rPr>
                <w:rFonts w:hint="default" w:asciiTheme="minorEastAsia" w:hAnsiTheme="minorEastAsia" w:eastAsiaTheme="minorEastAsia"/>
                <w:color w:val="auto"/>
                <w:highlight w:val="none"/>
              </w:rPr>
              <w:t>2</w:t>
            </w:r>
          </w:p>
        </w:tc>
        <w:tc>
          <w:tcPr>
            <w:tcW w:w="2279" w:type="dxa"/>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34" w:type="dxa"/>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275" w:type="dxa"/>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168" w:type="dxa"/>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883" w:type="dxa"/>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c>
          <w:tcPr>
            <w:tcW w:w="1500" w:type="dxa"/>
            <w:vAlign w:val="center"/>
          </w:tcPr>
          <w:p>
            <w:pPr>
              <w:keepNext/>
              <w:keepLines/>
              <w:suppressLineNumbers w:val="0"/>
              <w:spacing w:before="0" w:beforeAutospacing="0" w:after="0" w:afterAutospacing="0" w:line="576" w:lineRule="auto"/>
              <w:ind w:left="0" w:right="0"/>
              <w:jc w:val="center"/>
              <w:outlineLvl w:val="0"/>
              <w:rPr>
                <w:rFonts w:hint="default"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458" w:hRule="atLeast"/>
        </w:trPr>
        <w:tc>
          <w:tcPr>
            <w:tcW w:w="5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r>
              <w:rPr>
                <w:rFonts w:hint="default" w:asciiTheme="minorEastAsia" w:hAnsiTheme="minorEastAsia" w:eastAsiaTheme="minorEastAsia"/>
                <w:color w:val="auto"/>
                <w:highlight w:val="none"/>
              </w:rPr>
              <w:t>3</w:t>
            </w:r>
          </w:p>
        </w:tc>
        <w:tc>
          <w:tcPr>
            <w:tcW w:w="227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134"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27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168"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8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50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9" w:hRule="atLeast"/>
        </w:trPr>
        <w:tc>
          <w:tcPr>
            <w:tcW w:w="5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r>
              <w:rPr>
                <w:rFonts w:hint="default" w:asciiTheme="minorEastAsia" w:hAnsiTheme="minorEastAsia" w:eastAsiaTheme="minorEastAsia"/>
                <w:color w:val="auto"/>
                <w:highlight w:val="none"/>
              </w:rPr>
              <w:t>4</w:t>
            </w:r>
          </w:p>
        </w:tc>
        <w:tc>
          <w:tcPr>
            <w:tcW w:w="227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134"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27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168"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8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50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9" w:hRule="atLeast"/>
        </w:trPr>
        <w:tc>
          <w:tcPr>
            <w:tcW w:w="5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r>
              <w:rPr>
                <w:rFonts w:hint="default" w:asciiTheme="minorEastAsia" w:hAnsiTheme="minorEastAsia" w:eastAsiaTheme="minorEastAsia"/>
                <w:color w:val="auto"/>
                <w:highlight w:val="none"/>
              </w:rPr>
              <w:t>5</w:t>
            </w:r>
          </w:p>
        </w:tc>
        <w:tc>
          <w:tcPr>
            <w:tcW w:w="227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134"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27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168"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8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50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9" w:hRule="atLeast"/>
        </w:trPr>
        <w:tc>
          <w:tcPr>
            <w:tcW w:w="5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p>
        </w:tc>
        <w:tc>
          <w:tcPr>
            <w:tcW w:w="227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134"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27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168"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8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c>
          <w:tcPr>
            <w:tcW w:w="150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highlight w:val="none"/>
              </w:rPr>
            </w:pPr>
          </w:p>
        </w:tc>
      </w:tr>
    </w:tbl>
    <w:p>
      <w:pPr>
        <w:spacing w:line="360" w:lineRule="auto"/>
        <w:ind w:left="482"/>
        <w:rPr>
          <w:rFonts w:asciiTheme="minorEastAsia" w:hAnsiTheme="minorEastAsia" w:eastAsiaTheme="minorEastAsia"/>
          <w:color w:val="auto"/>
          <w:kern w:val="44"/>
          <w:szCs w:val="21"/>
          <w:highlight w:val="none"/>
        </w:rPr>
      </w:pPr>
    </w:p>
    <w:p>
      <w:pPr>
        <w:spacing w:line="360" w:lineRule="auto"/>
        <w:ind w:left="482"/>
        <w:rPr>
          <w:rFonts w:asciiTheme="minorEastAsia" w:hAnsiTheme="minorEastAsia" w:eastAsiaTheme="minorEastAsia"/>
          <w:color w:val="auto"/>
          <w:kern w:val="44"/>
          <w:szCs w:val="21"/>
          <w:highlight w:val="none"/>
        </w:rPr>
      </w:pPr>
      <w:r>
        <w:rPr>
          <w:rFonts w:hint="eastAsia" w:asciiTheme="minorEastAsia" w:hAnsiTheme="minorEastAsia" w:eastAsiaTheme="minorEastAsia"/>
          <w:color w:val="auto"/>
          <w:kern w:val="44"/>
          <w:szCs w:val="21"/>
          <w:highlight w:val="none"/>
        </w:rPr>
        <w:t>备注：按照评分标准中要求提供证明资料。</w:t>
      </w:r>
    </w:p>
    <w:p>
      <w:pPr>
        <w:spacing w:line="288" w:lineRule="auto"/>
        <w:ind w:firstLine="480" w:firstLineChars="200"/>
        <w:rPr>
          <w:rFonts w:asciiTheme="minorEastAsia" w:hAnsiTheme="minorEastAsia" w:eastAsiaTheme="minorEastAsia"/>
          <w:color w:val="auto"/>
          <w:sz w:val="24"/>
          <w:szCs w:val="24"/>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pStyle w:val="6"/>
        <w:rPr>
          <w:rFonts w:asciiTheme="minorEastAsia" w:hAnsiTheme="minorEastAsia" w:eastAsiaTheme="minorEastAsia"/>
          <w:color w:val="auto"/>
          <w:sz w:val="32"/>
          <w:highlight w:val="none"/>
        </w:rPr>
      </w:pPr>
      <w:r>
        <w:rPr>
          <w:rFonts w:asciiTheme="minorEastAsia" w:hAnsiTheme="minorEastAsia" w:eastAsiaTheme="minorEastAsia"/>
          <w:color w:val="auto"/>
          <w:highlight w:val="none"/>
        </w:rPr>
        <w:br w:type="page"/>
      </w:r>
      <w:r>
        <w:rPr>
          <w:rFonts w:hint="eastAsia" w:asciiTheme="minorEastAsia" w:hAnsiTheme="minorEastAsia" w:eastAsiaTheme="minorEastAsia"/>
          <w:color w:val="auto"/>
          <w:highlight w:val="none"/>
          <w:lang w:eastAsia="zh"/>
        </w:rPr>
        <w:t>5</w:t>
      </w:r>
      <w:r>
        <w:rPr>
          <w:rFonts w:hint="eastAsia" w:asciiTheme="minorEastAsia" w:hAnsiTheme="minorEastAsia" w:eastAsiaTheme="minorEastAsia"/>
          <w:color w:val="auto"/>
          <w:sz w:val="32"/>
          <w:highlight w:val="none"/>
        </w:rPr>
        <w:t>.</w:t>
      </w:r>
      <w:r>
        <w:rPr>
          <w:rFonts w:hint="eastAsia" w:asciiTheme="minorEastAsia" w:hAnsiTheme="minorEastAsia" w:eastAsiaTheme="minorEastAsia"/>
          <w:color w:val="auto"/>
          <w:sz w:val="32"/>
          <w:highlight w:val="none"/>
          <w:lang w:val="en-US" w:eastAsia="zh-CN"/>
        </w:rPr>
        <w:t>2</w:t>
      </w:r>
      <w:r>
        <w:rPr>
          <w:rFonts w:hint="eastAsia" w:asciiTheme="minorEastAsia" w:hAnsiTheme="minorEastAsia" w:eastAsiaTheme="minorEastAsia"/>
          <w:color w:val="auto"/>
          <w:sz w:val="32"/>
          <w:highlight w:val="none"/>
        </w:rPr>
        <w:t xml:space="preserve"> 拟投入本项目人员一览表</w:t>
      </w:r>
    </w:p>
    <w:tbl>
      <w:tblPr>
        <w:tblStyle w:val="17"/>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051"/>
        <w:gridCol w:w="708"/>
        <w:gridCol w:w="851"/>
        <w:gridCol w:w="992"/>
        <w:gridCol w:w="1134"/>
        <w:gridCol w:w="851"/>
        <w:gridCol w:w="152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72"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序号</w:t>
            </w:r>
          </w:p>
        </w:tc>
        <w:tc>
          <w:tcPr>
            <w:tcW w:w="1051"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姓名</w:t>
            </w:r>
          </w:p>
        </w:tc>
        <w:tc>
          <w:tcPr>
            <w:tcW w:w="708"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性别</w:t>
            </w:r>
          </w:p>
        </w:tc>
        <w:tc>
          <w:tcPr>
            <w:tcW w:w="851"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出生年月</w:t>
            </w:r>
          </w:p>
        </w:tc>
        <w:tc>
          <w:tcPr>
            <w:tcW w:w="992"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学历</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职称</w:t>
            </w:r>
          </w:p>
        </w:tc>
        <w:tc>
          <w:tcPr>
            <w:tcW w:w="851"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专业</w:t>
            </w:r>
          </w:p>
        </w:tc>
        <w:tc>
          <w:tcPr>
            <w:tcW w:w="1528" w:type="dxa"/>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执业或职业资格</w:t>
            </w:r>
          </w:p>
        </w:tc>
        <w:tc>
          <w:tcPr>
            <w:tcW w:w="1418"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72" w:type="dxa"/>
            <w:vAlign w:val="center"/>
          </w:tcPr>
          <w:p>
            <w:pPr>
              <w:keepNext w:val="0"/>
              <w:keepLines w:val="0"/>
              <w:suppressLineNumbers w:val="0"/>
              <w:spacing w:before="0" w:beforeAutospacing="0" w:after="0" w:afterAutospacing="0"/>
              <w:ind w:left="0" w:right="0"/>
              <w:jc w:val="center"/>
              <w:rPr>
                <w:rFonts w:hint="default" w:cs="Arial" w:asciiTheme="minorEastAsia" w:hAnsiTheme="minorEastAsia" w:eastAsiaTheme="minorEastAsia"/>
                <w:color w:val="auto"/>
                <w:szCs w:val="21"/>
                <w:highlight w:val="none"/>
              </w:rPr>
            </w:pPr>
            <w:r>
              <w:rPr>
                <w:rFonts w:hint="default" w:cs="Arial" w:asciiTheme="minorEastAsia" w:hAnsiTheme="minorEastAsia" w:eastAsiaTheme="minorEastAsia"/>
                <w:color w:val="auto"/>
                <w:szCs w:val="21"/>
                <w:highlight w:val="none"/>
              </w:rPr>
              <w:t>1</w:t>
            </w:r>
          </w:p>
        </w:tc>
        <w:tc>
          <w:tcPr>
            <w:tcW w:w="10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70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992"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134"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52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418" w:type="dxa"/>
            <w:vAlign w:val="center"/>
          </w:tcPr>
          <w:p>
            <w:pPr>
              <w:keepNext w:val="0"/>
              <w:keepLines w:val="0"/>
              <w:suppressLineNumbers w:val="0"/>
              <w:spacing w:before="0" w:beforeAutospacing="0" w:after="0" w:afterAutospacing="0"/>
              <w:ind w:left="0" w:right="0"/>
              <w:rPr>
                <w:rFonts w:hint="default"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项目</w:t>
            </w:r>
            <w:r>
              <w:rPr>
                <w:rFonts w:hint="default" w:cs="Arial" w:asciiTheme="minorEastAsia" w:hAnsiTheme="minorEastAsia" w:eastAsiaTheme="minorEastAsia"/>
                <w:color w:val="auto"/>
                <w:szCs w:val="21"/>
                <w:highlight w:val="none"/>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72" w:type="dxa"/>
            <w:vAlign w:val="center"/>
          </w:tcPr>
          <w:p>
            <w:pPr>
              <w:keepNext w:val="0"/>
              <w:keepLines w:val="0"/>
              <w:suppressLineNumbers w:val="0"/>
              <w:spacing w:before="0" w:beforeAutospacing="0" w:after="0" w:afterAutospacing="0"/>
              <w:ind w:left="0" w:right="0"/>
              <w:jc w:val="center"/>
              <w:rPr>
                <w:rFonts w:hint="default" w:cs="Arial" w:asciiTheme="minorEastAsia" w:hAnsiTheme="minorEastAsia" w:eastAsiaTheme="minorEastAsia"/>
                <w:color w:val="auto"/>
                <w:szCs w:val="21"/>
                <w:highlight w:val="none"/>
              </w:rPr>
            </w:pPr>
            <w:r>
              <w:rPr>
                <w:rFonts w:hint="default" w:cs="Arial" w:asciiTheme="minorEastAsia" w:hAnsiTheme="minorEastAsia" w:eastAsiaTheme="minorEastAsia"/>
                <w:color w:val="auto"/>
                <w:szCs w:val="21"/>
                <w:highlight w:val="none"/>
              </w:rPr>
              <w:t>2</w:t>
            </w:r>
          </w:p>
        </w:tc>
        <w:tc>
          <w:tcPr>
            <w:tcW w:w="10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70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992"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134"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52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418" w:type="dxa"/>
            <w:vAlign w:val="center"/>
          </w:tcPr>
          <w:p>
            <w:pPr>
              <w:keepNext w:val="0"/>
              <w:keepLines w:val="0"/>
              <w:suppressLineNumbers w:val="0"/>
              <w:spacing w:before="0" w:beforeAutospacing="0" w:after="0" w:afterAutospacing="0"/>
              <w:ind w:left="0" w:right="0"/>
              <w:rPr>
                <w:rFonts w:hint="default"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72" w:type="dxa"/>
            <w:vAlign w:val="center"/>
          </w:tcPr>
          <w:p>
            <w:pPr>
              <w:keepNext w:val="0"/>
              <w:keepLines w:val="0"/>
              <w:suppressLineNumbers w:val="0"/>
              <w:spacing w:before="0" w:beforeAutospacing="0" w:after="0" w:afterAutospacing="0"/>
              <w:ind w:left="0" w:right="0"/>
              <w:jc w:val="center"/>
              <w:rPr>
                <w:rFonts w:hint="default" w:cs="Arial" w:asciiTheme="minorEastAsia" w:hAnsiTheme="minorEastAsia" w:eastAsiaTheme="minorEastAsia"/>
                <w:color w:val="auto"/>
                <w:szCs w:val="21"/>
                <w:highlight w:val="none"/>
              </w:rPr>
            </w:pPr>
            <w:r>
              <w:rPr>
                <w:rFonts w:hint="default" w:cs="Arial" w:asciiTheme="minorEastAsia" w:hAnsiTheme="minorEastAsia" w:eastAsiaTheme="minorEastAsia"/>
                <w:color w:val="auto"/>
                <w:szCs w:val="21"/>
                <w:highlight w:val="none"/>
              </w:rPr>
              <w:t>3</w:t>
            </w:r>
          </w:p>
        </w:tc>
        <w:tc>
          <w:tcPr>
            <w:tcW w:w="10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70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992"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134"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52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418" w:type="dxa"/>
            <w:vAlign w:val="center"/>
          </w:tcPr>
          <w:p>
            <w:pPr>
              <w:keepNext w:val="0"/>
              <w:keepLines w:val="0"/>
              <w:suppressLineNumbers w:val="0"/>
              <w:spacing w:before="0" w:beforeAutospacing="0" w:after="0" w:afterAutospacing="0"/>
              <w:ind w:left="0" w:right="0"/>
              <w:rPr>
                <w:rFonts w:hint="default"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72" w:type="dxa"/>
            <w:vAlign w:val="center"/>
          </w:tcPr>
          <w:p>
            <w:pPr>
              <w:keepNext w:val="0"/>
              <w:keepLines w:val="0"/>
              <w:suppressLineNumbers w:val="0"/>
              <w:spacing w:before="0" w:beforeAutospacing="0" w:after="0" w:afterAutospacing="0"/>
              <w:ind w:left="0" w:right="0"/>
              <w:jc w:val="center"/>
              <w:rPr>
                <w:rFonts w:hint="default"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w:t>
            </w:r>
          </w:p>
        </w:tc>
        <w:tc>
          <w:tcPr>
            <w:tcW w:w="10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70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992"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134"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52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41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72" w:type="dxa"/>
            <w:vAlign w:val="center"/>
          </w:tcPr>
          <w:p>
            <w:pPr>
              <w:keepNext/>
              <w:keepLines/>
              <w:suppressLineNumbers w:val="0"/>
              <w:spacing w:before="0" w:beforeAutospacing="0" w:after="0" w:afterAutospacing="0" w:line="576" w:lineRule="auto"/>
              <w:ind w:left="0" w:right="0"/>
              <w:jc w:val="center"/>
              <w:outlineLvl w:val="0"/>
              <w:rPr>
                <w:rFonts w:hint="default" w:cs="Arial" w:asciiTheme="minorEastAsia" w:hAnsiTheme="minorEastAsia" w:eastAsiaTheme="minorEastAsia"/>
                <w:color w:val="auto"/>
                <w:szCs w:val="21"/>
                <w:highlight w:val="none"/>
              </w:rPr>
            </w:pPr>
          </w:p>
        </w:tc>
        <w:tc>
          <w:tcPr>
            <w:tcW w:w="10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70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992"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134"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52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41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72" w:type="dxa"/>
            <w:vAlign w:val="center"/>
          </w:tcPr>
          <w:p>
            <w:pPr>
              <w:keepNext/>
              <w:keepLines/>
              <w:suppressLineNumbers w:val="0"/>
              <w:spacing w:before="0" w:beforeAutospacing="0" w:after="0" w:afterAutospacing="0" w:line="576" w:lineRule="auto"/>
              <w:ind w:left="0" w:right="0"/>
              <w:jc w:val="center"/>
              <w:outlineLvl w:val="0"/>
              <w:rPr>
                <w:rFonts w:hint="default" w:cs="Arial" w:asciiTheme="minorEastAsia" w:hAnsiTheme="minorEastAsia" w:eastAsiaTheme="minorEastAsia"/>
                <w:color w:val="auto"/>
                <w:szCs w:val="21"/>
                <w:highlight w:val="none"/>
              </w:rPr>
            </w:pPr>
          </w:p>
        </w:tc>
        <w:tc>
          <w:tcPr>
            <w:tcW w:w="10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70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992"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134"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52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41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72" w:type="dxa"/>
            <w:vAlign w:val="center"/>
          </w:tcPr>
          <w:p>
            <w:pPr>
              <w:keepNext/>
              <w:keepLines/>
              <w:suppressLineNumbers w:val="0"/>
              <w:spacing w:before="0" w:beforeAutospacing="0" w:after="0" w:afterAutospacing="0" w:line="576" w:lineRule="auto"/>
              <w:ind w:left="0" w:right="0"/>
              <w:jc w:val="center"/>
              <w:outlineLvl w:val="0"/>
              <w:rPr>
                <w:rFonts w:hint="default" w:cs="Arial" w:asciiTheme="minorEastAsia" w:hAnsiTheme="minorEastAsia" w:eastAsiaTheme="minorEastAsia"/>
                <w:color w:val="auto"/>
                <w:szCs w:val="21"/>
                <w:highlight w:val="none"/>
              </w:rPr>
            </w:pPr>
          </w:p>
        </w:tc>
        <w:tc>
          <w:tcPr>
            <w:tcW w:w="10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70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992"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134"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52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41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72"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0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70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992"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134"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851"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52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c>
          <w:tcPr>
            <w:tcW w:w="1418" w:type="dxa"/>
            <w:vAlign w:val="center"/>
          </w:tcPr>
          <w:p>
            <w:pPr>
              <w:keepNext/>
              <w:keepLines/>
              <w:suppressLineNumbers w:val="0"/>
              <w:spacing w:before="0" w:beforeAutospacing="0" w:after="0" w:afterAutospacing="0" w:line="576" w:lineRule="auto"/>
              <w:ind w:left="0" w:right="0"/>
              <w:outlineLvl w:val="0"/>
              <w:rPr>
                <w:rFonts w:hint="default" w:cs="Arial" w:asciiTheme="minorEastAsia" w:hAnsiTheme="minorEastAsia" w:eastAsiaTheme="minorEastAsia"/>
                <w:color w:val="auto"/>
                <w:szCs w:val="21"/>
                <w:highlight w:val="none"/>
              </w:rPr>
            </w:pPr>
          </w:p>
        </w:tc>
      </w:tr>
    </w:tbl>
    <w:p>
      <w:pPr>
        <w:tabs>
          <w:tab w:val="left" w:pos="1050"/>
          <w:tab w:val="left" w:pos="1838"/>
        </w:tabs>
        <w:spacing w:before="120" w:beforeLines="50"/>
        <w:ind w:left="166" w:leftChars="79"/>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rPr>
        <w:t>注：</w:t>
      </w:r>
      <w:r>
        <w:rPr>
          <w:rFonts w:asciiTheme="minorEastAsia" w:hAnsiTheme="minorEastAsia" w:eastAsiaTheme="minorEastAsia"/>
          <w:color w:val="auto"/>
          <w:szCs w:val="21"/>
          <w:highlight w:val="none"/>
        </w:rPr>
        <w:t xml:space="preserve"> </w:t>
      </w:r>
      <w:r>
        <w:rPr>
          <w:rFonts w:hint="eastAsia" w:asciiTheme="minorEastAsia" w:hAnsiTheme="minorEastAsia" w:eastAsiaTheme="minorEastAsia"/>
          <w:color w:val="auto"/>
          <w:kern w:val="44"/>
          <w:szCs w:val="21"/>
          <w:highlight w:val="none"/>
        </w:rPr>
        <w:t>按照评分标准中要求提供证明资料。</w:t>
      </w:r>
    </w:p>
    <w:p>
      <w:pPr>
        <w:spacing w:line="360" w:lineRule="auto"/>
        <w:ind w:left="210"/>
        <w:rPr>
          <w:rFonts w:asciiTheme="minorEastAsia" w:hAnsiTheme="minorEastAsia" w:eastAsiaTheme="minorEastAsia"/>
          <w:color w:val="auto"/>
          <w:szCs w:val="21"/>
          <w:highlight w:val="none"/>
          <w:lang w:val="zh-CN"/>
        </w:rPr>
      </w:pPr>
    </w:p>
    <w:p>
      <w:pPr>
        <w:spacing w:line="360" w:lineRule="auto"/>
        <w:jc w:val="right"/>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keepNext/>
        <w:keepLines/>
        <w:spacing w:before="260" w:after="260" w:line="416" w:lineRule="auto"/>
        <w:jc w:val="center"/>
        <w:outlineLvl w:val="2"/>
        <w:rPr>
          <w:rFonts w:asciiTheme="minorEastAsia" w:hAnsiTheme="minorEastAsia" w:eastAsiaTheme="minorEastAsia"/>
          <w:b/>
          <w:bCs/>
          <w:color w:val="auto"/>
          <w:kern w:val="0"/>
          <w:sz w:val="32"/>
          <w:szCs w:val="32"/>
          <w:highlight w:val="none"/>
        </w:rPr>
      </w:pPr>
      <w:r>
        <w:rPr>
          <w:rFonts w:hint="eastAsia" w:asciiTheme="minorEastAsia" w:hAnsiTheme="minorEastAsia" w:eastAsiaTheme="minorEastAsia"/>
          <w:b/>
          <w:bCs/>
          <w:color w:val="auto"/>
          <w:kern w:val="0"/>
          <w:sz w:val="32"/>
          <w:szCs w:val="32"/>
          <w:highlight w:val="none"/>
          <w:lang w:val="en-US" w:eastAsia="zh"/>
        </w:rPr>
        <w:t>5</w:t>
      </w:r>
      <w:r>
        <w:rPr>
          <w:rFonts w:hint="eastAsia" w:asciiTheme="minorEastAsia" w:hAnsiTheme="minorEastAsia" w:eastAsiaTheme="minorEastAsia"/>
          <w:b/>
          <w:bCs/>
          <w:color w:val="auto"/>
          <w:kern w:val="0"/>
          <w:sz w:val="32"/>
          <w:szCs w:val="32"/>
          <w:highlight w:val="none"/>
        </w:rPr>
        <w:t>.</w:t>
      </w:r>
      <w:r>
        <w:rPr>
          <w:rFonts w:hint="eastAsia" w:asciiTheme="minorEastAsia" w:hAnsiTheme="minorEastAsia" w:eastAsiaTheme="minorEastAsia"/>
          <w:b/>
          <w:bCs/>
          <w:color w:val="auto"/>
          <w:kern w:val="0"/>
          <w:sz w:val="32"/>
          <w:szCs w:val="32"/>
          <w:highlight w:val="none"/>
          <w:lang w:val="en-US" w:eastAsia="zh-CN"/>
        </w:rPr>
        <w:t>3</w:t>
      </w:r>
      <w:r>
        <w:rPr>
          <w:rFonts w:asciiTheme="minorEastAsia" w:hAnsiTheme="minorEastAsia" w:eastAsiaTheme="minorEastAsia"/>
          <w:b/>
          <w:bCs/>
          <w:color w:val="auto"/>
          <w:kern w:val="0"/>
          <w:sz w:val="32"/>
          <w:szCs w:val="32"/>
          <w:highlight w:val="none"/>
        </w:rPr>
        <w:t xml:space="preserve"> </w:t>
      </w:r>
      <w:r>
        <w:rPr>
          <w:rFonts w:hint="eastAsia" w:asciiTheme="minorEastAsia" w:hAnsiTheme="minorEastAsia" w:eastAsiaTheme="minorEastAsia"/>
          <w:b/>
          <w:bCs/>
          <w:color w:val="auto"/>
          <w:kern w:val="0"/>
          <w:sz w:val="32"/>
          <w:szCs w:val="32"/>
          <w:highlight w:val="none"/>
        </w:rPr>
        <w:t>拟任项目负责人简历</w:t>
      </w:r>
    </w:p>
    <w:tbl>
      <w:tblPr>
        <w:tblStyle w:val="1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4"/>
        <w:gridCol w:w="742"/>
        <w:gridCol w:w="109"/>
        <w:gridCol w:w="746"/>
        <w:gridCol w:w="149"/>
        <w:gridCol w:w="1207"/>
        <w:gridCol w:w="93"/>
        <w:gridCol w:w="1632"/>
        <w:gridCol w:w="204"/>
        <w:gridCol w:w="644"/>
        <w:gridCol w:w="258"/>
        <w:gridCol w:w="169"/>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姓名</w:t>
            </w:r>
          </w:p>
        </w:tc>
        <w:tc>
          <w:tcPr>
            <w:tcW w:w="1980" w:type="dxa"/>
            <w:gridSpan w:val="5"/>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c>
          <w:tcPr>
            <w:tcW w:w="1300" w:type="dxa"/>
            <w:gridSpan w:val="2"/>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性别</w:t>
            </w:r>
          </w:p>
        </w:tc>
        <w:tc>
          <w:tcPr>
            <w:tcW w:w="1836" w:type="dxa"/>
            <w:gridSpan w:val="2"/>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c>
          <w:tcPr>
            <w:tcW w:w="902" w:type="dxa"/>
            <w:gridSpan w:val="2"/>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年龄</w:t>
            </w:r>
          </w:p>
        </w:tc>
        <w:tc>
          <w:tcPr>
            <w:tcW w:w="1722" w:type="dxa"/>
            <w:gridSpan w:val="2"/>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职务</w:t>
            </w:r>
          </w:p>
        </w:tc>
        <w:tc>
          <w:tcPr>
            <w:tcW w:w="1980" w:type="dxa"/>
            <w:gridSpan w:val="5"/>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c>
          <w:tcPr>
            <w:tcW w:w="1300" w:type="dxa"/>
            <w:gridSpan w:val="2"/>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职称</w:t>
            </w:r>
          </w:p>
        </w:tc>
        <w:tc>
          <w:tcPr>
            <w:tcW w:w="1836" w:type="dxa"/>
            <w:gridSpan w:val="2"/>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c>
          <w:tcPr>
            <w:tcW w:w="902" w:type="dxa"/>
            <w:gridSpan w:val="2"/>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学历</w:t>
            </w:r>
          </w:p>
        </w:tc>
        <w:tc>
          <w:tcPr>
            <w:tcW w:w="1722" w:type="dxa"/>
            <w:gridSpan w:val="2"/>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876" w:type="dxa"/>
            <w:gridSpan w:val="3"/>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参加工作时间</w:t>
            </w:r>
          </w:p>
        </w:tc>
        <w:tc>
          <w:tcPr>
            <w:tcW w:w="2304" w:type="dxa"/>
            <w:gridSpan w:val="5"/>
            <w:vAlign w:val="center"/>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c>
          <w:tcPr>
            <w:tcW w:w="2480" w:type="dxa"/>
            <w:gridSpan w:val="3"/>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从事</w:t>
            </w:r>
            <w:r>
              <w:rPr>
                <w:rFonts w:hint="eastAsia" w:asciiTheme="minorEastAsia" w:hAnsiTheme="minorEastAsia" w:eastAsiaTheme="minorEastAsia"/>
                <w:color w:val="auto"/>
                <w:szCs w:val="21"/>
                <w:highlight w:val="none"/>
                <w:lang w:val="en-US" w:eastAsia="zh-CN"/>
              </w:rPr>
              <w:t>类似</w:t>
            </w:r>
            <w:r>
              <w:rPr>
                <w:rFonts w:hint="eastAsia" w:asciiTheme="minorEastAsia" w:hAnsiTheme="minorEastAsia" w:eastAsiaTheme="minorEastAsia"/>
                <w:color w:val="auto"/>
                <w:szCs w:val="21"/>
                <w:highlight w:val="none"/>
              </w:rPr>
              <w:t>工作年限</w:t>
            </w:r>
          </w:p>
        </w:tc>
        <w:tc>
          <w:tcPr>
            <w:tcW w:w="1980" w:type="dxa"/>
            <w:gridSpan w:val="3"/>
            <w:vAlign w:val="center"/>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985" w:type="dxa"/>
            <w:gridSpan w:val="4"/>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执业资格证书编号</w:t>
            </w:r>
          </w:p>
        </w:tc>
        <w:tc>
          <w:tcPr>
            <w:tcW w:w="2195" w:type="dxa"/>
            <w:gridSpan w:val="4"/>
            <w:vAlign w:val="center"/>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c>
          <w:tcPr>
            <w:tcW w:w="2480" w:type="dxa"/>
            <w:gridSpan w:val="3"/>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专业</w:t>
            </w:r>
          </w:p>
        </w:tc>
        <w:tc>
          <w:tcPr>
            <w:tcW w:w="1980" w:type="dxa"/>
            <w:gridSpan w:val="3"/>
            <w:vAlign w:val="center"/>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640" w:type="dxa"/>
            <w:gridSpan w:val="14"/>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34"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建设单位</w:t>
            </w:r>
          </w:p>
        </w:tc>
        <w:tc>
          <w:tcPr>
            <w:tcW w:w="1597" w:type="dxa"/>
            <w:gridSpan w:val="3"/>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eastAsia="zh-CN"/>
              </w:rPr>
              <w:t>合同</w:t>
            </w:r>
            <w:r>
              <w:rPr>
                <w:rFonts w:hint="eastAsia" w:asciiTheme="minorEastAsia" w:hAnsiTheme="minorEastAsia" w:eastAsiaTheme="minorEastAsia"/>
                <w:color w:val="auto"/>
                <w:szCs w:val="21"/>
                <w:highlight w:val="none"/>
              </w:rPr>
              <w:t>名称</w:t>
            </w:r>
          </w:p>
        </w:tc>
        <w:tc>
          <w:tcPr>
            <w:tcW w:w="135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Cs w:val="21"/>
                <w:highlight w:val="none"/>
              </w:rPr>
            </w:pPr>
            <w:r>
              <w:rPr>
                <w:rFonts w:hint="eastAsia" w:ascii="宋体" w:hAnsi="宋体" w:eastAsia="宋体" w:cs="宋体"/>
                <w:color w:val="auto"/>
                <w:kern w:val="0"/>
                <w:sz w:val="21"/>
                <w:szCs w:val="21"/>
                <w:highlight w:val="none"/>
                <w:lang w:eastAsia="zh-CN"/>
              </w:rPr>
              <w:t>合同金额（元）</w:t>
            </w:r>
          </w:p>
        </w:tc>
        <w:tc>
          <w:tcPr>
            <w:tcW w:w="172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项目承接时间</w:t>
            </w:r>
          </w:p>
        </w:tc>
        <w:tc>
          <w:tcPr>
            <w:tcW w:w="1275" w:type="dxa"/>
            <w:gridSpan w:val="4"/>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highlight w:val="none"/>
              </w:rPr>
              <w:t>项目专业类型</w:t>
            </w:r>
          </w:p>
        </w:tc>
        <w:tc>
          <w:tcPr>
            <w:tcW w:w="155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主要负责的工作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val="0"/>
              <w:keepLines w:val="0"/>
              <w:suppressLineNumbers w:val="0"/>
              <w:spacing w:before="0" w:beforeAutospacing="0" w:after="0" w:afterAutospacing="0"/>
              <w:ind w:left="0" w:right="0"/>
              <w:rPr>
                <w:rFonts w:hint="default"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w:t>
            </w:r>
          </w:p>
        </w:tc>
        <w:tc>
          <w:tcPr>
            <w:tcW w:w="1597" w:type="dxa"/>
            <w:gridSpan w:val="3"/>
          </w:tcPr>
          <w:p>
            <w:pPr>
              <w:keepNext w:val="0"/>
              <w:keepLines w:val="0"/>
              <w:suppressLineNumbers w:val="0"/>
              <w:spacing w:before="0" w:beforeAutospacing="0" w:after="0" w:afterAutospacing="0"/>
              <w:ind w:left="0" w:right="0"/>
              <w:rPr>
                <w:rFonts w:hint="default" w:asciiTheme="minorEastAsia" w:hAnsiTheme="minorEastAsia" w:eastAsiaTheme="minorEastAsia"/>
                <w:color w:val="auto"/>
                <w:szCs w:val="21"/>
                <w:highlight w:val="none"/>
              </w:rPr>
            </w:pPr>
          </w:p>
        </w:tc>
        <w:tc>
          <w:tcPr>
            <w:tcW w:w="1356" w:type="dxa"/>
            <w:gridSpan w:val="2"/>
          </w:tcPr>
          <w:p>
            <w:pPr>
              <w:keepNext w:val="0"/>
              <w:keepLines w:val="0"/>
              <w:suppressLineNumbers w:val="0"/>
              <w:spacing w:before="0" w:beforeAutospacing="0" w:after="0" w:afterAutospacing="0"/>
              <w:ind w:left="0" w:right="0"/>
              <w:rPr>
                <w:rFonts w:hint="default" w:asciiTheme="minorEastAsia" w:hAnsiTheme="minorEastAsia" w:eastAsiaTheme="minorEastAsia"/>
                <w:color w:val="auto"/>
                <w:szCs w:val="21"/>
                <w:highlight w:val="none"/>
              </w:rPr>
            </w:pPr>
          </w:p>
        </w:tc>
        <w:tc>
          <w:tcPr>
            <w:tcW w:w="1725" w:type="dxa"/>
            <w:gridSpan w:val="2"/>
          </w:tcPr>
          <w:p>
            <w:pPr>
              <w:keepNext w:val="0"/>
              <w:keepLines w:val="0"/>
              <w:suppressLineNumbers w:val="0"/>
              <w:spacing w:before="0" w:beforeAutospacing="0" w:after="0" w:afterAutospacing="0"/>
              <w:ind w:left="0" w:right="0"/>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val="0"/>
              <w:keepLines w:val="0"/>
              <w:suppressLineNumbers w:val="0"/>
              <w:spacing w:before="0" w:beforeAutospacing="0" w:after="0" w:afterAutospacing="0"/>
              <w:ind w:left="0" w:right="0"/>
              <w:rPr>
                <w:rFonts w:hint="default"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97" w:type="dxa"/>
            <w:gridSpan w:val="3"/>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356"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725"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97" w:type="dxa"/>
            <w:gridSpan w:val="3"/>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356"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725"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97" w:type="dxa"/>
            <w:gridSpan w:val="3"/>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356"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725"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97" w:type="dxa"/>
            <w:gridSpan w:val="3"/>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356"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725"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97" w:type="dxa"/>
            <w:gridSpan w:val="3"/>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356"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725"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97" w:type="dxa"/>
            <w:gridSpan w:val="3"/>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356"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725"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97" w:type="dxa"/>
            <w:gridSpan w:val="3"/>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356"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725"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r>
    </w:tbl>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w:t>
      </w:r>
    </w:p>
    <w:p>
      <w:pPr>
        <w:rPr>
          <w:rFonts w:asciiTheme="minorEastAsia" w:hAnsiTheme="minorEastAsia" w:eastAsiaTheme="minorEastAsia"/>
          <w:color w:val="auto"/>
          <w:kern w:val="44"/>
          <w:szCs w:val="21"/>
          <w:highlight w:val="none"/>
        </w:rPr>
      </w:pPr>
      <w:r>
        <w:rPr>
          <w:rFonts w:hint="eastAsia" w:asciiTheme="minorEastAsia" w:hAnsiTheme="minorEastAsia" w:eastAsiaTheme="minorEastAsia"/>
          <w:color w:val="auto"/>
          <w:kern w:val="44"/>
          <w:szCs w:val="21"/>
          <w:highlight w:val="none"/>
        </w:rPr>
        <w:t>按照评分标准中要求提供证明资料。</w:t>
      </w:r>
    </w:p>
    <w:p>
      <w:pPr>
        <w:rPr>
          <w:rFonts w:asciiTheme="minorEastAsia" w:hAnsiTheme="minorEastAsia" w:eastAsiaTheme="minorEastAsia"/>
          <w:color w:val="auto"/>
          <w:szCs w:val="21"/>
          <w:highlight w:val="none"/>
        </w:rPr>
      </w:pPr>
    </w:p>
    <w:p>
      <w:pPr>
        <w:widowControl/>
        <w:jc w:val="left"/>
        <w:rPr>
          <w:rFonts w:asciiTheme="minorEastAsia" w:hAnsiTheme="minorEastAsia" w:eastAsiaTheme="minorEastAsia"/>
          <w:b/>
          <w:bCs/>
          <w:color w:val="auto"/>
          <w:sz w:val="28"/>
          <w:szCs w:val="32"/>
          <w:highlight w:val="none"/>
        </w:rPr>
      </w:pPr>
      <w:r>
        <w:rPr>
          <w:rFonts w:asciiTheme="minorEastAsia" w:hAnsiTheme="minorEastAsia" w:eastAsiaTheme="minorEastAsia"/>
          <w:color w:val="auto"/>
          <w:highlight w:val="none"/>
        </w:rPr>
        <w:br w:type="page"/>
      </w:r>
    </w:p>
    <w:p>
      <w:pPr>
        <w:keepNext/>
        <w:keepLines/>
        <w:spacing w:before="260" w:after="260" w:line="416" w:lineRule="auto"/>
        <w:jc w:val="center"/>
        <w:outlineLvl w:val="2"/>
        <w:rPr>
          <w:rFonts w:asciiTheme="minorEastAsia" w:hAnsiTheme="minorEastAsia" w:eastAsiaTheme="minorEastAsia"/>
          <w:b/>
          <w:bCs/>
          <w:color w:val="auto"/>
          <w:kern w:val="0"/>
          <w:sz w:val="32"/>
          <w:szCs w:val="32"/>
          <w:highlight w:val="none"/>
        </w:rPr>
      </w:pPr>
      <w:r>
        <w:rPr>
          <w:rFonts w:hint="eastAsia" w:asciiTheme="minorEastAsia" w:hAnsiTheme="minorEastAsia" w:eastAsiaTheme="minorEastAsia"/>
          <w:b/>
          <w:bCs/>
          <w:color w:val="auto"/>
          <w:kern w:val="0"/>
          <w:sz w:val="32"/>
          <w:szCs w:val="32"/>
          <w:highlight w:val="none"/>
          <w:lang w:val="en-US" w:eastAsia="zh"/>
        </w:rPr>
        <w:t>5</w:t>
      </w:r>
      <w:r>
        <w:rPr>
          <w:rFonts w:hint="eastAsia" w:asciiTheme="minorEastAsia" w:hAnsiTheme="minorEastAsia" w:eastAsiaTheme="minorEastAsia"/>
          <w:b/>
          <w:bCs/>
          <w:color w:val="auto"/>
          <w:kern w:val="0"/>
          <w:sz w:val="32"/>
          <w:szCs w:val="32"/>
          <w:highlight w:val="none"/>
        </w:rPr>
        <w:t>.</w:t>
      </w:r>
      <w:r>
        <w:rPr>
          <w:rFonts w:hint="eastAsia" w:asciiTheme="minorEastAsia" w:hAnsiTheme="minorEastAsia" w:eastAsiaTheme="minorEastAsia"/>
          <w:b/>
          <w:bCs/>
          <w:color w:val="auto"/>
          <w:kern w:val="0"/>
          <w:sz w:val="32"/>
          <w:szCs w:val="32"/>
          <w:highlight w:val="none"/>
          <w:lang w:val="en-US" w:eastAsia="zh-CN"/>
        </w:rPr>
        <w:t>4</w:t>
      </w:r>
      <w:r>
        <w:rPr>
          <w:rFonts w:asciiTheme="minorEastAsia" w:hAnsiTheme="minorEastAsia" w:eastAsiaTheme="minorEastAsia"/>
          <w:b/>
          <w:bCs/>
          <w:color w:val="auto"/>
          <w:kern w:val="0"/>
          <w:sz w:val="32"/>
          <w:szCs w:val="32"/>
          <w:highlight w:val="none"/>
        </w:rPr>
        <w:t xml:space="preserve"> </w:t>
      </w:r>
      <w:r>
        <w:rPr>
          <w:rFonts w:hint="eastAsia" w:asciiTheme="minorEastAsia" w:hAnsiTheme="minorEastAsia" w:eastAsiaTheme="minorEastAsia"/>
          <w:b/>
          <w:bCs/>
          <w:color w:val="auto"/>
          <w:kern w:val="0"/>
          <w:sz w:val="32"/>
          <w:szCs w:val="32"/>
          <w:highlight w:val="none"/>
        </w:rPr>
        <w:t>拟任</w:t>
      </w:r>
      <w:r>
        <w:rPr>
          <w:rFonts w:hint="eastAsia" w:asciiTheme="minorEastAsia" w:hAnsiTheme="minorEastAsia" w:eastAsiaTheme="minorEastAsia"/>
          <w:b/>
          <w:bCs/>
          <w:color w:val="auto"/>
          <w:kern w:val="0"/>
          <w:sz w:val="32"/>
          <w:szCs w:val="32"/>
          <w:highlight w:val="none"/>
          <w:lang w:eastAsia="zh-CN"/>
        </w:rPr>
        <w:t>技术</w:t>
      </w:r>
      <w:r>
        <w:rPr>
          <w:rFonts w:hint="eastAsia" w:asciiTheme="minorEastAsia" w:hAnsiTheme="minorEastAsia" w:eastAsiaTheme="minorEastAsia"/>
          <w:b/>
          <w:bCs/>
          <w:color w:val="auto"/>
          <w:kern w:val="0"/>
          <w:sz w:val="32"/>
          <w:szCs w:val="32"/>
          <w:highlight w:val="none"/>
        </w:rPr>
        <w:t>负责人简历</w:t>
      </w:r>
    </w:p>
    <w:tbl>
      <w:tblPr>
        <w:tblStyle w:val="1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4"/>
        <w:gridCol w:w="742"/>
        <w:gridCol w:w="109"/>
        <w:gridCol w:w="746"/>
        <w:gridCol w:w="149"/>
        <w:gridCol w:w="1207"/>
        <w:gridCol w:w="93"/>
        <w:gridCol w:w="1632"/>
        <w:gridCol w:w="204"/>
        <w:gridCol w:w="644"/>
        <w:gridCol w:w="258"/>
        <w:gridCol w:w="169"/>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姓名</w:t>
            </w:r>
          </w:p>
        </w:tc>
        <w:tc>
          <w:tcPr>
            <w:tcW w:w="1980" w:type="dxa"/>
            <w:gridSpan w:val="5"/>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c>
          <w:tcPr>
            <w:tcW w:w="1300" w:type="dxa"/>
            <w:gridSpan w:val="2"/>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性别</w:t>
            </w:r>
          </w:p>
        </w:tc>
        <w:tc>
          <w:tcPr>
            <w:tcW w:w="1836" w:type="dxa"/>
            <w:gridSpan w:val="2"/>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c>
          <w:tcPr>
            <w:tcW w:w="902" w:type="dxa"/>
            <w:gridSpan w:val="2"/>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年龄</w:t>
            </w:r>
          </w:p>
        </w:tc>
        <w:tc>
          <w:tcPr>
            <w:tcW w:w="1722" w:type="dxa"/>
            <w:gridSpan w:val="2"/>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职务</w:t>
            </w:r>
          </w:p>
        </w:tc>
        <w:tc>
          <w:tcPr>
            <w:tcW w:w="1980" w:type="dxa"/>
            <w:gridSpan w:val="5"/>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c>
          <w:tcPr>
            <w:tcW w:w="1300" w:type="dxa"/>
            <w:gridSpan w:val="2"/>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职称</w:t>
            </w:r>
          </w:p>
        </w:tc>
        <w:tc>
          <w:tcPr>
            <w:tcW w:w="1836" w:type="dxa"/>
            <w:gridSpan w:val="2"/>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c>
          <w:tcPr>
            <w:tcW w:w="902" w:type="dxa"/>
            <w:gridSpan w:val="2"/>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学历</w:t>
            </w:r>
          </w:p>
        </w:tc>
        <w:tc>
          <w:tcPr>
            <w:tcW w:w="1722" w:type="dxa"/>
            <w:gridSpan w:val="2"/>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876" w:type="dxa"/>
            <w:gridSpan w:val="3"/>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参加工作时间</w:t>
            </w:r>
          </w:p>
        </w:tc>
        <w:tc>
          <w:tcPr>
            <w:tcW w:w="2304" w:type="dxa"/>
            <w:gridSpan w:val="5"/>
            <w:vAlign w:val="center"/>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c>
          <w:tcPr>
            <w:tcW w:w="2480" w:type="dxa"/>
            <w:gridSpan w:val="3"/>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从事</w:t>
            </w:r>
            <w:r>
              <w:rPr>
                <w:rFonts w:hint="eastAsia" w:asciiTheme="minorEastAsia" w:hAnsiTheme="minorEastAsia" w:eastAsiaTheme="minorEastAsia"/>
                <w:color w:val="auto"/>
                <w:szCs w:val="21"/>
                <w:highlight w:val="none"/>
                <w:lang w:val="en-US" w:eastAsia="zh-CN"/>
              </w:rPr>
              <w:t>类似</w:t>
            </w:r>
            <w:r>
              <w:rPr>
                <w:rFonts w:hint="eastAsia" w:asciiTheme="minorEastAsia" w:hAnsiTheme="minorEastAsia" w:eastAsiaTheme="minorEastAsia"/>
                <w:color w:val="auto"/>
                <w:szCs w:val="21"/>
                <w:highlight w:val="none"/>
              </w:rPr>
              <w:t>工作年限</w:t>
            </w:r>
          </w:p>
        </w:tc>
        <w:tc>
          <w:tcPr>
            <w:tcW w:w="1980" w:type="dxa"/>
            <w:gridSpan w:val="3"/>
            <w:vAlign w:val="center"/>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985" w:type="dxa"/>
            <w:gridSpan w:val="4"/>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执业资格证书编号</w:t>
            </w:r>
          </w:p>
        </w:tc>
        <w:tc>
          <w:tcPr>
            <w:tcW w:w="2195" w:type="dxa"/>
            <w:gridSpan w:val="4"/>
            <w:vAlign w:val="center"/>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c>
          <w:tcPr>
            <w:tcW w:w="2480" w:type="dxa"/>
            <w:gridSpan w:val="3"/>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专业</w:t>
            </w:r>
          </w:p>
        </w:tc>
        <w:tc>
          <w:tcPr>
            <w:tcW w:w="1980" w:type="dxa"/>
            <w:gridSpan w:val="3"/>
            <w:vAlign w:val="center"/>
          </w:tcPr>
          <w:p>
            <w:pPr>
              <w:keepNext/>
              <w:keepLines/>
              <w:suppressLineNumbers w:val="0"/>
              <w:spacing w:before="0" w:beforeAutospacing="0" w:after="0" w:afterAutospacing="0" w:line="360" w:lineRule="auto"/>
              <w:ind w:left="-107" w:leftChars="-51" w:right="-107" w:rightChars="-51"/>
              <w:outlineLvl w:val="0"/>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640" w:type="dxa"/>
            <w:gridSpan w:val="14"/>
            <w:vAlign w:val="center"/>
          </w:tcPr>
          <w:p>
            <w:pPr>
              <w:keepNext w:val="0"/>
              <w:keepLines w:val="0"/>
              <w:suppressLineNumbers w:val="0"/>
              <w:spacing w:before="0" w:beforeAutospacing="0" w:after="0" w:afterAutospacing="0" w:line="360" w:lineRule="auto"/>
              <w:ind w:left="-107" w:leftChars="-51" w:right="-107" w:rightChars="-51"/>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34"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建设单位</w:t>
            </w:r>
          </w:p>
        </w:tc>
        <w:tc>
          <w:tcPr>
            <w:tcW w:w="1597" w:type="dxa"/>
            <w:gridSpan w:val="3"/>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eastAsia="zh-CN"/>
              </w:rPr>
              <w:t>合同</w:t>
            </w:r>
            <w:r>
              <w:rPr>
                <w:rFonts w:hint="eastAsia" w:asciiTheme="minorEastAsia" w:hAnsiTheme="minorEastAsia" w:eastAsiaTheme="minorEastAsia"/>
                <w:color w:val="auto"/>
                <w:szCs w:val="21"/>
                <w:highlight w:val="none"/>
              </w:rPr>
              <w:t>名称</w:t>
            </w:r>
          </w:p>
        </w:tc>
        <w:tc>
          <w:tcPr>
            <w:tcW w:w="1356"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Cs w:val="21"/>
                <w:highlight w:val="none"/>
              </w:rPr>
            </w:pPr>
            <w:r>
              <w:rPr>
                <w:rFonts w:hint="eastAsia" w:ascii="宋体" w:hAnsi="宋体" w:eastAsia="宋体" w:cs="宋体"/>
                <w:color w:val="auto"/>
                <w:kern w:val="0"/>
                <w:sz w:val="21"/>
                <w:szCs w:val="21"/>
                <w:highlight w:val="none"/>
                <w:lang w:eastAsia="zh-CN"/>
              </w:rPr>
              <w:t>合同金额（元）</w:t>
            </w:r>
          </w:p>
        </w:tc>
        <w:tc>
          <w:tcPr>
            <w:tcW w:w="172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项目承接时间</w:t>
            </w:r>
          </w:p>
        </w:tc>
        <w:tc>
          <w:tcPr>
            <w:tcW w:w="1275" w:type="dxa"/>
            <w:gridSpan w:val="4"/>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highlight w:val="none"/>
              </w:rPr>
              <w:t>项目专业类型</w:t>
            </w:r>
          </w:p>
        </w:tc>
        <w:tc>
          <w:tcPr>
            <w:tcW w:w="155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主要负责的工作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vAlign w:val="top"/>
          </w:tcPr>
          <w:p>
            <w:pPr>
              <w:keepNext w:val="0"/>
              <w:keepLines w:val="0"/>
              <w:suppressLineNumbers w:val="0"/>
              <w:spacing w:before="0" w:beforeAutospacing="0" w:after="0" w:afterAutospacing="0"/>
              <w:ind w:left="0" w:right="0"/>
              <w:rPr>
                <w:rFonts w:hint="default"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w:t>
            </w:r>
          </w:p>
        </w:tc>
        <w:tc>
          <w:tcPr>
            <w:tcW w:w="1597" w:type="dxa"/>
            <w:gridSpan w:val="3"/>
            <w:vAlign w:val="top"/>
          </w:tcPr>
          <w:p>
            <w:pPr>
              <w:keepNext w:val="0"/>
              <w:keepLines w:val="0"/>
              <w:suppressLineNumbers w:val="0"/>
              <w:spacing w:before="0" w:beforeAutospacing="0" w:after="0" w:afterAutospacing="0"/>
              <w:ind w:left="0" w:right="0"/>
              <w:rPr>
                <w:rFonts w:hint="default" w:asciiTheme="minorEastAsia" w:hAnsiTheme="minorEastAsia" w:eastAsiaTheme="minorEastAsia"/>
                <w:color w:val="auto"/>
                <w:szCs w:val="21"/>
                <w:highlight w:val="none"/>
              </w:rPr>
            </w:pPr>
          </w:p>
        </w:tc>
        <w:tc>
          <w:tcPr>
            <w:tcW w:w="1356" w:type="dxa"/>
            <w:gridSpan w:val="2"/>
            <w:vAlign w:val="top"/>
          </w:tcPr>
          <w:p>
            <w:pPr>
              <w:keepNext w:val="0"/>
              <w:keepLines w:val="0"/>
              <w:suppressLineNumbers w:val="0"/>
              <w:spacing w:before="0" w:beforeAutospacing="0" w:after="0" w:afterAutospacing="0"/>
              <w:ind w:left="0" w:right="0"/>
              <w:rPr>
                <w:rFonts w:hint="default" w:asciiTheme="minorEastAsia" w:hAnsiTheme="minorEastAsia" w:eastAsiaTheme="minorEastAsia"/>
                <w:color w:val="auto"/>
                <w:szCs w:val="21"/>
                <w:highlight w:val="none"/>
              </w:rPr>
            </w:pPr>
          </w:p>
        </w:tc>
        <w:tc>
          <w:tcPr>
            <w:tcW w:w="1725" w:type="dxa"/>
            <w:gridSpan w:val="2"/>
            <w:vAlign w:val="top"/>
          </w:tcPr>
          <w:p>
            <w:pPr>
              <w:keepNext w:val="0"/>
              <w:keepLines w:val="0"/>
              <w:suppressLineNumbers w:val="0"/>
              <w:spacing w:before="0" w:beforeAutospacing="0" w:after="0" w:afterAutospacing="0"/>
              <w:ind w:left="0" w:right="0"/>
              <w:rPr>
                <w:rFonts w:hint="default" w:asciiTheme="minorEastAsia" w:hAnsiTheme="minorEastAsia" w:eastAsiaTheme="minorEastAsia"/>
                <w:color w:val="auto"/>
                <w:szCs w:val="21"/>
                <w:highlight w:val="none"/>
              </w:rPr>
            </w:pPr>
          </w:p>
        </w:tc>
        <w:tc>
          <w:tcPr>
            <w:tcW w:w="1275" w:type="dxa"/>
            <w:gridSpan w:val="4"/>
            <w:vAlign w:val="top"/>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vAlign w:val="top"/>
          </w:tcPr>
          <w:p>
            <w:pPr>
              <w:keepNext w:val="0"/>
              <w:keepLines w:val="0"/>
              <w:suppressLineNumbers w:val="0"/>
              <w:spacing w:before="0" w:beforeAutospacing="0" w:after="0" w:afterAutospacing="0"/>
              <w:ind w:left="0" w:right="0"/>
              <w:rPr>
                <w:rFonts w:hint="default" w:asciiTheme="minorEastAsia" w:hAnsiTheme="minorEastAsia" w:eastAsiaTheme="minorEastAsia"/>
                <w:color w:val="auto"/>
                <w:szCs w:val="21"/>
                <w:highlight w:val="none"/>
              </w:rPr>
            </w:pPr>
            <w:r>
              <w:rPr>
                <w:rFonts w:hint="default"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97" w:type="dxa"/>
            <w:gridSpan w:val="3"/>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356"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725"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97" w:type="dxa"/>
            <w:gridSpan w:val="3"/>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356"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725"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97" w:type="dxa"/>
            <w:gridSpan w:val="3"/>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356"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725"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97" w:type="dxa"/>
            <w:gridSpan w:val="3"/>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356"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725"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97" w:type="dxa"/>
            <w:gridSpan w:val="3"/>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356"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725"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97" w:type="dxa"/>
            <w:gridSpan w:val="3"/>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356"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725"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97" w:type="dxa"/>
            <w:gridSpan w:val="3"/>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356"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725" w:type="dxa"/>
            <w:gridSpan w:val="2"/>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275" w:type="dxa"/>
            <w:gridSpan w:val="4"/>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c>
          <w:tcPr>
            <w:tcW w:w="1553" w:type="dxa"/>
          </w:tcPr>
          <w:p>
            <w:pPr>
              <w:keepNext/>
              <w:keepLines/>
              <w:suppressLineNumbers w:val="0"/>
              <w:spacing w:before="0" w:beforeAutospacing="0" w:after="0" w:afterAutospacing="0" w:line="360" w:lineRule="auto"/>
              <w:ind w:left="0" w:right="0"/>
              <w:jc w:val="center"/>
              <w:outlineLvl w:val="2"/>
              <w:rPr>
                <w:rFonts w:hint="default" w:asciiTheme="minorEastAsia" w:hAnsiTheme="minorEastAsia" w:eastAsiaTheme="minorEastAsia"/>
                <w:color w:val="auto"/>
                <w:szCs w:val="21"/>
                <w:highlight w:val="none"/>
              </w:rPr>
            </w:pPr>
          </w:p>
        </w:tc>
      </w:tr>
    </w:tbl>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w:t>
      </w:r>
    </w:p>
    <w:p>
      <w:pPr>
        <w:rPr>
          <w:rFonts w:asciiTheme="minorEastAsia" w:hAnsiTheme="minorEastAsia" w:eastAsiaTheme="minorEastAsia"/>
          <w:color w:val="auto"/>
          <w:kern w:val="44"/>
          <w:szCs w:val="21"/>
          <w:highlight w:val="none"/>
        </w:rPr>
      </w:pPr>
      <w:r>
        <w:rPr>
          <w:rFonts w:hint="eastAsia" w:asciiTheme="minorEastAsia" w:hAnsiTheme="minorEastAsia" w:eastAsiaTheme="minorEastAsia"/>
          <w:color w:val="auto"/>
          <w:kern w:val="44"/>
          <w:szCs w:val="21"/>
          <w:highlight w:val="none"/>
        </w:rPr>
        <w:t>按照评分标准中要求提供证明资料。</w:t>
      </w:r>
    </w:p>
    <w:p>
      <w:pPr>
        <w:rPr>
          <w:rFonts w:hint="eastAsia" w:asciiTheme="minorEastAsia" w:hAnsiTheme="minorEastAsia" w:eastAsiaTheme="minorEastAsia"/>
          <w:color w:val="auto"/>
          <w:sz w:val="32"/>
          <w:highlight w:val="none"/>
          <w:lang w:val="en-US" w:eastAsia="zh"/>
        </w:rPr>
      </w:pPr>
      <w:r>
        <w:rPr>
          <w:rFonts w:hint="eastAsia" w:asciiTheme="minorEastAsia" w:hAnsiTheme="minorEastAsia" w:eastAsiaTheme="minorEastAsia"/>
          <w:color w:val="auto"/>
          <w:sz w:val="32"/>
          <w:highlight w:val="none"/>
          <w:lang w:val="en-US" w:eastAsia="zh"/>
        </w:rPr>
        <w:br w:type="page"/>
      </w:r>
    </w:p>
    <w:p>
      <w:pPr>
        <w:keepNext/>
        <w:keepLines/>
        <w:widowControl w:val="0"/>
        <w:suppressLineNumbers w:val="0"/>
        <w:spacing w:before="260" w:beforeAutospacing="0" w:after="260" w:afterAutospacing="0" w:line="415" w:lineRule="auto"/>
        <w:ind w:left="0" w:right="0"/>
        <w:jc w:val="center"/>
        <w:outlineLvl w:val="2"/>
        <w:rPr>
          <w:rFonts w:hint="eastAsia" w:ascii="宋体" w:hAnsi="宋体" w:eastAsia="宋体" w:cs="Times New Roman"/>
          <w:b/>
          <w:bCs/>
          <w:kern w:val="0"/>
          <w:sz w:val="32"/>
          <w:szCs w:val="32"/>
          <w:highlight w:val="none"/>
        </w:rPr>
      </w:pPr>
      <w:r>
        <w:rPr>
          <w:rFonts w:hint="eastAsia" w:ascii="宋体" w:hAnsi="宋体" w:eastAsia="宋体" w:cs="宋体"/>
          <w:b/>
          <w:bCs/>
          <w:kern w:val="0"/>
          <w:sz w:val="32"/>
          <w:szCs w:val="32"/>
          <w:highlight w:val="none"/>
          <w:lang w:val="en-US" w:eastAsia="zh" w:bidi="ar"/>
        </w:rPr>
        <w:t xml:space="preserve">5.5 </w:t>
      </w:r>
      <w:r>
        <w:rPr>
          <w:rFonts w:hint="eastAsia" w:ascii="宋体" w:hAnsi="宋体" w:eastAsia="宋体" w:cs="宋体"/>
          <w:b/>
          <w:bCs/>
          <w:kern w:val="0"/>
          <w:sz w:val="32"/>
          <w:szCs w:val="32"/>
          <w:highlight w:val="none"/>
          <w:lang w:val="en-US" w:eastAsia="zh-CN" w:bidi="ar"/>
        </w:rPr>
        <w:t>拟投入本项目的主要检测仪器设备一览表</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（本项不作为资格审查内容，但（如有）需提供，作为投标人的评标（综合评分）资料</w:t>
      </w:r>
    </w:p>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进行考察）</w:t>
      </w:r>
    </w:p>
    <w:p>
      <w:pPr>
        <w:keepNext w:val="0"/>
        <w:keepLines w:val="0"/>
        <w:widowControl w:val="0"/>
        <w:suppressLineNumbers w:val="0"/>
        <w:spacing w:before="0" w:beforeAutospacing="0" w:after="0" w:afterAutospacing="0"/>
        <w:ind w:left="0" w:right="0"/>
        <w:jc w:val="both"/>
        <w:rPr>
          <w:rFonts w:hint="default" w:ascii="Calibri" w:hAnsi="Calibri" w:eastAsia="楷体_GB2312" w:cs="Times New Roman"/>
          <w:kern w:val="2"/>
          <w:sz w:val="21"/>
          <w:szCs w:val="21"/>
          <w:highlight w:val="none"/>
        </w:rPr>
      </w:pPr>
      <w:r>
        <w:rPr>
          <w:rFonts w:hint="default" w:ascii="Calibri" w:hAnsi="Calibri" w:eastAsia="楷体_GB2312" w:cs="Times New Roman"/>
          <w:kern w:val="2"/>
          <w:sz w:val="21"/>
          <w:szCs w:val="21"/>
          <w:highlight w:val="none"/>
          <w:lang w:val="en-US" w:eastAsia="zh-CN" w:bidi="ar"/>
        </w:rPr>
        <w:t xml:space="preserve"> </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46"/>
        <w:gridCol w:w="959"/>
        <w:gridCol w:w="1422"/>
        <w:gridCol w:w="1296"/>
        <w:gridCol w:w="1387"/>
        <w:gridCol w:w="891"/>
        <w:gridCol w:w="103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序号</w:t>
            </w: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被检产品名称</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检定此产品</w:t>
            </w:r>
          </w:p>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所用的仪器名称</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制造厂</w:t>
            </w: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检定/</w:t>
            </w:r>
            <w:r>
              <w:rPr>
                <w:rFonts w:hint="eastAsia" w:ascii="宋体" w:hAnsi="宋体" w:eastAsia="宋体" w:cs="宋体"/>
                <w:b w:val="0"/>
                <w:bCs w:val="0"/>
                <w:color w:val="auto"/>
                <w:sz w:val="21"/>
                <w:szCs w:val="21"/>
                <w:highlight w:val="none"/>
              </w:rPr>
              <w:t>标定</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kern w:val="2"/>
                <w:sz w:val="21"/>
                <w:szCs w:val="21"/>
                <w:highlight w:val="none"/>
                <w:lang w:val="en-US" w:eastAsia="zh-CN" w:bidi="ar"/>
              </w:rPr>
              <w:t>校准机构</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有效期</w:t>
            </w: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检定/</w:t>
            </w:r>
            <w:r>
              <w:rPr>
                <w:rFonts w:hint="eastAsia" w:ascii="宋体" w:hAnsi="宋体" w:eastAsia="宋体" w:cs="宋体"/>
                <w:b w:val="0"/>
                <w:bCs w:val="0"/>
                <w:color w:val="auto"/>
                <w:sz w:val="21"/>
                <w:szCs w:val="21"/>
                <w:highlight w:val="none"/>
              </w:rPr>
              <w:t>标定</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kern w:val="2"/>
                <w:sz w:val="21"/>
                <w:szCs w:val="21"/>
                <w:highlight w:val="none"/>
                <w:lang w:val="en-US" w:eastAsia="zh-CN" w:bidi="ar"/>
              </w:rPr>
              <w:t>校准周期</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备注（自有或租赁）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p>
        </w:tc>
      </w:tr>
    </w:tbl>
    <w:p>
      <w:pPr>
        <w:keepNext w:val="0"/>
        <w:keepLines w:val="0"/>
        <w:widowControl w:val="0"/>
        <w:suppressLineNumbers w:val="0"/>
        <w:spacing w:before="0" w:beforeAutospacing="0" w:after="0" w:afterAutospacing="0"/>
        <w:ind w:left="1174" w:right="0" w:hanging="1174"/>
        <w:jc w:val="both"/>
        <w:rPr>
          <w:rFonts w:hint="eastAsia" w:ascii="宋体" w:hAnsi="宋体" w:eastAsia="楷体_GB2312" w:cs="Times New Roman"/>
          <w:kern w:val="2"/>
          <w:sz w:val="21"/>
          <w:szCs w:val="21"/>
          <w:highlight w:val="none"/>
        </w:rPr>
      </w:pPr>
      <w:r>
        <w:rPr>
          <w:rFonts w:hint="eastAsia" w:ascii="宋体" w:hAnsi="宋体" w:eastAsia="楷体_GB2312" w:cs="Times New Roman"/>
          <w:kern w:val="2"/>
          <w:sz w:val="21"/>
          <w:szCs w:val="21"/>
          <w:highlight w:val="none"/>
          <w:lang w:val="en-US" w:eastAsia="zh-CN" w:bidi="ar"/>
        </w:rPr>
        <w:t xml:space="preserve"> </w:t>
      </w:r>
    </w:p>
    <w:p>
      <w:pPr>
        <w:keepNext w:val="0"/>
        <w:keepLines w:val="0"/>
        <w:widowControl w:val="0"/>
        <w:suppressLineNumbers w:val="0"/>
        <w:spacing w:before="0" w:beforeAutospacing="0" w:after="0" w:afterAutospacing="0"/>
        <w:ind w:left="1174" w:right="0" w:hanging="1174"/>
        <w:jc w:val="both"/>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注：</w:t>
      </w:r>
      <w:r>
        <w:rPr>
          <w:rFonts w:hint="eastAsia" w:ascii="宋体" w:hAnsi="宋体" w:eastAsia="宋体" w:cs="Times New Roman"/>
          <w:kern w:val="2"/>
          <w:sz w:val="21"/>
          <w:szCs w:val="21"/>
          <w:highlight w:val="none"/>
          <w:lang w:val="en-US" w:eastAsia="zh-CN" w:bidi="ar"/>
        </w:rPr>
        <w:t>1</w:t>
      </w:r>
      <w:r>
        <w:rPr>
          <w:rFonts w:hint="eastAsia" w:ascii="宋体" w:hAnsi="宋体" w:eastAsia="宋体" w:cs="宋体"/>
          <w:kern w:val="2"/>
          <w:sz w:val="21"/>
          <w:szCs w:val="21"/>
          <w:highlight w:val="none"/>
          <w:lang w:val="en-US" w:eastAsia="zh-CN" w:bidi="ar"/>
        </w:rPr>
        <w:t>、按照评分标准中要求提供证明资料；</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r>
        <w:rPr>
          <w:rFonts w:hint="eastAsia" w:ascii="宋体" w:hAnsi="宋体" w:eastAsia="宋体" w:cs="Times New Roman"/>
          <w:kern w:val="2"/>
          <w:sz w:val="21"/>
          <w:szCs w:val="21"/>
          <w:highlight w:val="none"/>
          <w:lang w:val="en-US" w:eastAsia="zh-CN" w:bidi="ar"/>
        </w:rPr>
        <w:t xml:space="preserve"> </w:t>
      </w:r>
    </w:p>
    <w:p>
      <w:pPr>
        <w:rPr>
          <w:rFonts w:hint="eastAsia" w:asciiTheme="minorEastAsia" w:hAnsiTheme="minorEastAsia" w:eastAsiaTheme="minorEastAsia"/>
          <w:color w:val="auto"/>
          <w:sz w:val="32"/>
          <w:highlight w:val="none"/>
          <w:lang w:val="en-US" w:eastAsia="zh"/>
        </w:rPr>
      </w:pPr>
      <w:r>
        <w:rPr>
          <w:rFonts w:hint="eastAsia" w:asciiTheme="minorEastAsia" w:hAnsiTheme="minorEastAsia" w:eastAsiaTheme="minorEastAsia"/>
          <w:color w:val="auto"/>
          <w:sz w:val="32"/>
          <w:highlight w:val="none"/>
          <w:lang w:val="en-US" w:eastAsia="zh"/>
        </w:rPr>
        <w:br w:type="page"/>
      </w:r>
    </w:p>
    <w:p>
      <w:pPr>
        <w:pStyle w:val="6"/>
        <w:rPr>
          <w:rFonts w:asciiTheme="minorEastAsia" w:hAnsiTheme="minorEastAsia" w:eastAsiaTheme="minorEastAsia"/>
          <w:color w:val="auto"/>
          <w:sz w:val="32"/>
          <w:highlight w:val="none"/>
        </w:rPr>
      </w:pPr>
      <w:r>
        <w:rPr>
          <w:rFonts w:hint="eastAsia" w:asciiTheme="minorEastAsia" w:hAnsiTheme="minorEastAsia" w:eastAsiaTheme="minorEastAsia"/>
          <w:color w:val="auto"/>
          <w:sz w:val="32"/>
          <w:highlight w:val="none"/>
          <w:lang w:val="en-US" w:eastAsia="zh"/>
        </w:rPr>
        <w:t>5</w:t>
      </w:r>
      <w:r>
        <w:rPr>
          <w:rFonts w:hint="eastAsia" w:asciiTheme="minorEastAsia" w:hAnsiTheme="minorEastAsia" w:eastAsiaTheme="minorEastAsia"/>
          <w:color w:val="auto"/>
          <w:sz w:val="32"/>
          <w:highlight w:val="none"/>
        </w:rPr>
        <w:t>.</w:t>
      </w:r>
      <w:r>
        <w:rPr>
          <w:rFonts w:hint="eastAsia" w:asciiTheme="minorEastAsia" w:hAnsiTheme="minorEastAsia" w:eastAsiaTheme="minorEastAsia"/>
          <w:color w:val="auto"/>
          <w:sz w:val="32"/>
          <w:highlight w:val="none"/>
          <w:lang w:val="en-US" w:eastAsia="zh-CN"/>
        </w:rPr>
        <w:t>6</w:t>
      </w:r>
      <w:r>
        <w:rPr>
          <w:rFonts w:asciiTheme="minorEastAsia" w:hAnsiTheme="minorEastAsia" w:eastAsiaTheme="minorEastAsia"/>
          <w:color w:val="auto"/>
          <w:sz w:val="32"/>
          <w:highlight w:val="none"/>
        </w:rPr>
        <w:t xml:space="preserve"> </w:t>
      </w:r>
      <w:r>
        <w:rPr>
          <w:rFonts w:hint="eastAsia" w:asciiTheme="minorEastAsia" w:hAnsiTheme="minorEastAsia" w:eastAsiaTheme="minorEastAsia" w:cstheme="minorEastAsia"/>
          <w:color w:val="auto"/>
          <w:sz w:val="32"/>
          <w:highlight w:val="none"/>
          <w:u w:val="single"/>
        </w:rPr>
        <w:t>投标人认为有必要提供的其它材料</w:t>
      </w:r>
    </w:p>
    <w:p>
      <w:pPr>
        <w:jc w:val="cente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pStyle w:val="5"/>
        <w:jc w:val="center"/>
        <w:rPr>
          <w:rFonts w:asciiTheme="minorEastAsia" w:hAnsiTheme="minorEastAsia" w:eastAsiaTheme="minorEastAsia"/>
          <w:color w:val="auto"/>
          <w:highlight w:val="none"/>
        </w:rPr>
      </w:pPr>
      <w:bookmarkStart w:id="187" w:name="_Toc531360712"/>
      <w:bookmarkStart w:id="188" w:name="_Toc5426_WPSOffice_Level1"/>
      <w:bookmarkStart w:id="189" w:name="_Toc531360709"/>
      <w:bookmarkStart w:id="190" w:name="_Toc482188667"/>
      <w:bookmarkStart w:id="191" w:name="_Toc388459054"/>
      <w:r>
        <w:rPr>
          <w:rFonts w:hint="eastAsia" w:asciiTheme="minorEastAsia" w:hAnsiTheme="minorEastAsia" w:eastAsiaTheme="minorEastAsia"/>
          <w:color w:val="auto"/>
          <w:highlight w:val="none"/>
          <w:lang w:val="en-US" w:eastAsia="zh"/>
        </w:rPr>
        <w:t>六</w:t>
      </w:r>
      <w:r>
        <w:rPr>
          <w:rFonts w:hint="eastAsia" w:asciiTheme="minorEastAsia" w:hAnsiTheme="minorEastAsia" w:eastAsiaTheme="minorEastAsia"/>
          <w:color w:val="auto"/>
          <w:highlight w:val="none"/>
        </w:rPr>
        <w:t>、</w:t>
      </w:r>
      <w:bookmarkEnd w:id="187"/>
      <w:r>
        <w:rPr>
          <w:rFonts w:hint="eastAsia" w:asciiTheme="minorEastAsia" w:hAnsiTheme="minorEastAsia" w:eastAsiaTheme="minorEastAsia"/>
          <w:color w:val="auto"/>
          <w:highlight w:val="none"/>
          <w:lang w:eastAsia="zh-CN"/>
        </w:rPr>
        <w:t>服务</w:t>
      </w:r>
      <w:r>
        <w:rPr>
          <w:rFonts w:hint="eastAsia" w:asciiTheme="minorEastAsia" w:hAnsiTheme="minorEastAsia" w:eastAsiaTheme="minorEastAsia"/>
          <w:color w:val="auto"/>
          <w:highlight w:val="none"/>
        </w:rPr>
        <w:t>方案</w:t>
      </w:r>
      <w:bookmarkEnd w:id="188"/>
    </w:p>
    <w:p>
      <w:pPr>
        <w:spacing w:line="360" w:lineRule="auto"/>
        <w:ind w:firstLine="542" w:firstLineChars="226"/>
        <w:rPr>
          <w:rFonts w:asciiTheme="minorEastAsia" w:hAnsiTheme="minorEastAsia" w:eastAsiaTheme="minorEastAsia"/>
          <w:color w:val="auto"/>
          <w:szCs w:val="21"/>
          <w:highlight w:val="none"/>
        </w:rPr>
      </w:pPr>
      <w:r>
        <w:rPr>
          <w:rFonts w:hint="eastAsia" w:asciiTheme="minorEastAsia" w:hAnsiTheme="minorEastAsia" w:eastAsiaTheme="minorEastAsia"/>
          <w:bCs/>
          <w:color w:val="auto"/>
          <w:sz w:val="24"/>
          <w:szCs w:val="24"/>
          <w:highlight w:val="none"/>
        </w:rPr>
        <w:t>（内容包括：具体内容由投标人自行编写，格式不限）</w:t>
      </w:r>
    </w:p>
    <w:p>
      <w:pPr>
        <w:spacing w:line="360" w:lineRule="auto"/>
        <w:ind w:firstLine="474" w:firstLineChars="226"/>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rPr>
          <w:color w:val="auto"/>
          <w:highlight w:val="none"/>
        </w:rPr>
      </w:pPr>
      <w:r>
        <w:rPr>
          <w:color w:val="auto"/>
          <w:highlight w:val="none"/>
        </w:rPr>
        <w:br w:type="page"/>
      </w:r>
    </w:p>
    <w:bookmarkEnd w:id="189"/>
    <w:bookmarkEnd w:id="190"/>
    <w:bookmarkEnd w:id="191"/>
    <w:p>
      <w:pPr>
        <w:pStyle w:val="5"/>
        <w:spacing w:after="0"/>
        <w:jc w:val="center"/>
        <w:rPr>
          <w:rFonts w:asciiTheme="minorEastAsia" w:hAnsiTheme="minorEastAsia" w:eastAsiaTheme="minorEastAsia"/>
          <w:color w:val="auto"/>
          <w:highlight w:val="none"/>
        </w:rPr>
      </w:pPr>
      <w:bookmarkStart w:id="192" w:name="_Toc11835_WPSOffice_Level1"/>
      <w:bookmarkStart w:id="193" w:name="_Toc531360713"/>
      <w:r>
        <w:rPr>
          <w:rFonts w:hint="eastAsia" w:asciiTheme="minorEastAsia" w:hAnsiTheme="minorEastAsia" w:eastAsiaTheme="minorEastAsia"/>
          <w:color w:val="auto"/>
          <w:highlight w:val="none"/>
          <w:lang w:val="en-US" w:eastAsia="zh"/>
        </w:rPr>
        <w:t>七</w:t>
      </w:r>
      <w:r>
        <w:rPr>
          <w:rFonts w:hint="eastAsia" w:asciiTheme="minorEastAsia" w:hAnsiTheme="minorEastAsia" w:eastAsiaTheme="minorEastAsia"/>
          <w:color w:val="auto"/>
          <w:highlight w:val="none"/>
        </w:rPr>
        <w:t>、其他资料</w:t>
      </w:r>
      <w:bookmarkEnd w:id="192"/>
      <w:bookmarkEnd w:id="193"/>
    </w:p>
    <w:p>
      <w:pPr>
        <w:rPr>
          <w:rFonts w:asciiTheme="minorEastAsia" w:hAnsiTheme="minorEastAsia" w:eastAsiaTheme="minorEastAsia"/>
          <w:color w:val="auto"/>
          <w:highlight w:val="none"/>
        </w:rPr>
      </w:pP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sz w:val="24"/>
          <w:szCs w:val="24"/>
          <w:highlight w:val="none"/>
        </w:rPr>
        <w:t>（如有，由投标人自行提供）</w:t>
      </w:r>
    </w:p>
    <w:p>
      <w:pPr>
        <w:spacing w:line="360" w:lineRule="auto"/>
        <w:rPr>
          <w:rFonts w:cs="宋体" w:asciiTheme="minorEastAsia" w:hAnsiTheme="minorEastAsia" w:eastAsiaTheme="minorEastAsia"/>
          <w:color w:val="auto"/>
          <w:kern w:val="0"/>
          <w:sz w:val="24"/>
          <w:highlight w:val="none"/>
        </w:rPr>
      </w:pPr>
    </w:p>
    <w:p>
      <w:pPr>
        <w:spacing w:line="360" w:lineRule="auto"/>
        <w:ind w:firstLine="480" w:firstLineChars="200"/>
        <w:rPr>
          <w:rFonts w:cs="宋体" w:asciiTheme="minorEastAsia" w:hAnsiTheme="minorEastAsia" w:eastAsiaTheme="minorEastAsia"/>
          <w:color w:val="auto"/>
          <w:kern w:val="0"/>
          <w:sz w:val="24"/>
          <w:highlight w:val="none"/>
        </w:rPr>
      </w:pPr>
    </w:p>
    <w:p>
      <w:pPr>
        <w:spacing w:line="360" w:lineRule="auto"/>
        <w:ind w:firstLine="480" w:firstLineChars="200"/>
        <w:rPr>
          <w:rFonts w:cs="宋体" w:asciiTheme="minorEastAsia" w:hAnsiTheme="minorEastAsia" w:eastAsiaTheme="minorEastAsia"/>
          <w:color w:val="auto"/>
          <w:kern w:val="0"/>
          <w:sz w:val="24"/>
          <w:highlight w:val="none"/>
        </w:rPr>
      </w:pPr>
    </w:p>
    <w:bookmarkEnd w:id="93"/>
    <w:p>
      <w:pPr>
        <w:rPr>
          <w:rFonts w:asciiTheme="minorEastAsia" w:hAnsiTheme="minorEastAsia" w:eastAsiaTheme="minorEastAsia"/>
          <w:color w:val="auto"/>
          <w:szCs w:val="21"/>
          <w:highlight w:val="none"/>
        </w:rPr>
      </w:pPr>
    </w:p>
    <w:p>
      <w:pPr>
        <w:rPr>
          <w:color w:val="auto"/>
          <w:highlight w:val="none"/>
        </w:rPr>
      </w:pPr>
    </w:p>
    <w:sectPr>
      <w:footerReference r:id="rId5" w:type="default"/>
      <w:type w:val="continuous"/>
      <w:pgSz w:w="11907" w:h="16840"/>
      <w:pgMar w:top="1440" w:right="1423" w:bottom="1440" w:left="1803" w:header="851" w:footer="850"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fldChar w:fldCharType="begin"/>
    </w:r>
    <w:r>
      <w:rPr>
        <w:lang w:val="zh-CN"/>
      </w:rPr>
      <w:instrText xml:space="preserve">PAGE   \* MERGEFORMAT</w:instrText>
    </w:r>
    <w:r>
      <w:rPr>
        <w:lang w:val="zh-CN"/>
      </w:rPr>
      <w:fldChar w:fldCharType="separate"/>
    </w:r>
    <w:r>
      <w:rPr>
        <w:lang w:val="zh-CN"/>
      </w:rPr>
      <w:t>31</w:t>
    </w:r>
    <w:r>
      <w:rPr>
        <w:lang w:val="zh-CN"/>
      </w:rPr>
      <w:fldChar w:fldCharType="end"/>
    </w:r>
  </w:p>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33492"/>
    <w:multiLevelType w:val="singleLevel"/>
    <w:tmpl w:val="91B33492"/>
    <w:lvl w:ilvl="0" w:tentative="0">
      <w:start w:val="1"/>
      <w:numFmt w:val="decimal"/>
      <w:suff w:val="nothing"/>
      <w:lvlText w:val="（%1）"/>
      <w:lvlJc w:val="left"/>
    </w:lvl>
  </w:abstractNum>
  <w:abstractNum w:abstractNumId="1">
    <w:nsid w:val="BED448B8"/>
    <w:multiLevelType w:val="singleLevel"/>
    <w:tmpl w:val="BED448B8"/>
    <w:lvl w:ilvl="0" w:tentative="0">
      <w:start w:val="1"/>
      <w:numFmt w:val="decimal"/>
      <w:suff w:val="nothing"/>
      <w:lvlText w:val="（%1）"/>
      <w:lvlJc w:val="left"/>
    </w:lvl>
  </w:abstractNum>
  <w:abstractNum w:abstractNumId="2">
    <w:nsid w:val="4A2FF654"/>
    <w:multiLevelType w:val="singleLevel"/>
    <w:tmpl w:val="4A2FF654"/>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MGEwYmEzMDlhOTM1MTYzMmQ5ZGMwODJhYzc4N2EifQ=="/>
    <w:docVar w:name="KGWebUrl" w:val="http://59.41.239.234:9016/File/OfficeServer2?fileId=38e353c5-aaca-48be-a485-6294a3b6ad93&amp;isRemote=false/OfficeServer"/>
    <w:docVar w:name="KSO_WPS_MARK_KEY" w:val="943bd63a-d593-47f6-b0f6-60967a030c14"/>
  </w:docVars>
  <w:rsids>
    <w:rsidRoot w:val="06224868"/>
    <w:rsid w:val="005B1A97"/>
    <w:rsid w:val="00854DE8"/>
    <w:rsid w:val="01015F0A"/>
    <w:rsid w:val="012B439F"/>
    <w:rsid w:val="018112F2"/>
    <w:rsid w:val="028F54A8"/>
    <w:rsid w:val="02A04FD9"/>
    <w:rsid w:val="034C316B"/>
    <w:rsid w:val="03516DF7"/>
    <w:rsid w:val="03724537"/>
    <w:rsid w:val="03A5384B"/>
    <w:rsid w:val="03E05C76"/>
    <w:rsid w:val="04866263"/>
    <w:rsid w:val="04E56D4C"/>
    <w:rsid w:val="055F1F91"/>
    <w:rsid w:val="05712D89"/>
    <w:rsid w:val="05BA7236"/>
    <w:rsid w:val="05D36A0F"/>
    <w:rsid w:val="06187963"/>
    <w:rsid w:val="06224868"/>
    <w:rsid w:val="078B7670"/>
    <w:rsid w:val="08843074"/>
    <w:rsid w:val="088D3A1B"/>
    <w:rsid w:val="08F55D20"/>
    <w:rsid w:val="08FB02CB"/>
    <w:rsid w:val="095707E4"/>
    <w:rsid w:val="09A76BE4"/>
    <w:rsid w:val="0A6D02C7"/>
    <w:rsid w:val="0A7179F0"/>
    <w:rsid w:val="0AA364D1"/>
    <w:rsid w:val="0B871EFC"/>
    <w:rsid w:val="0C036A44"/>
    <w:rsid w:val="0C950A04"/>
    <w:rsid w:val="0CE06BC8"/>
    <w:rsid w:val="0DC71BD2"/>
    <w:rsid w:val="0DEA2FDD"/>
    <w:rsid w:val="0E2D542F"/>
    <w:rsid w:val="0E841061"/>
    <w:rsid w:val="0E8B67DF"/>
    <w:rsid w:val="0EAE205F"/>
    <w:rsid w:val="0F9925D4"/>
    <w:rsid w:val="0FAB6A21"/>
    <w:rsid w:val="0FB811CD"/>
    <w:rsid w:val="110913B9"/>
    <w:rsid w:val="111E229E"/>
    <w:rsid w:val="11660A66"/>
    <w:rsid w:val="125D2855"/>
    <w:rsid w:val="12A076CB"/>
    <w:rsid w:val="131805F5"/>
    <w:rsid w:val="13224533"/>
    <w:rsid w:val="14534E2E"/>
    <w:rsid w:val="15AD5DAA"/>
    <w:rsid w:val="15D51621"/>
    <w:rsid w:val="161738D7"/>
    <w:rsid w:val="1646482B"/>
    <w:rsid w:val="166300B6"/>
    <w:rsid w:val="168C21DF"/>
    <w:rsid w:val="16ED7D99"/>
    <w:rsid w:val="17851891"/>
    <w:rsid w:val="178F10EE"/>
    <w:rsid w:val="17CF4B01"/>
    <w:rsid w:val="1883182C"/>
    <w:rsid w:val="189A3BAD"/>
    <w:rsid w:val="18E13BCB"/>
    <w:rsid w:val="18FD7B8B"/>
    <w:rsid w:val="19334CBD"/>
    <w:rsid w:val="1A614EC9"/>
    <w:rsid w:val="1AB6256D"/>
    <w:rsid w:val="1AEB60F1"/>
    <w:rsid w:val="1AF81685"/>
    <w:rsid w:val="1B752541"/>
    <w:rsid w:val="1BC74BE3"/>
    <w:rsid w:val="1C0D1162"/>
    <w:rsid w:val="1C226C60"/>
    <w:rsid w:val="1C5FA434"/>
    <w:rsid w:val="1C85776C"/>
    <w:rsid w:val="1CDD362F"/>
    <w:rsid w:val="1D513B01"/>
    <w:rsid w:val="1E736809"/>
    <w:rsid w:val="1F0F3604"/>
    <w:rsid w:val="1FFA7D59"/>
    <w:rsid w:val="2041653B"/>
    <w:rsid w:val="20602969"/>
    <w:rsid w:val="206C3C5E"/>
    <w:rsid w:val="20972ED2"/>
    <w:rsid w:val="20B81B1C"/>
    <w:rsid w:val="2183656C"/>
    <w:rsid w:val="22B10ECB"/>
    <w:rsid w:val="22D555AF"/>
    <w:rsid w:val="24040AA9"/>
    <w:rsid w:val="242F7717"/>
    <w:rsid w:val="24CC2A78"/>
    <w:rsid w:val="24EF100B"/>
    <w:rsid w:val="2505000F"/>
    <w:rsid w:val="25733F7D"/>
    <w:rsid w:val="25E76D0B"/>
    <w:rsid w:val="26283C26"/>
    <w:rsid w:val="26555BF8"/>
    <w:rsid w:val="26F7280B"/>
    <w:rsid w:val="284E6FE9"/>
    <w:rsid w:val="289331DE"/>
    <w:rsid w:val="289745CD"/>
    <w:rsid w:val="28CB414F"/>
    <w:rsid w:val="28D67531"/>
    <w:rsid w:val="28DB577C"/>
    <w:rsid w:val="293164A9"/>
    <w:rsid w:val="294C0F26"/>
    <w:rsid w:val="2A9D58B5"/>
    <w:rsid w:val="2C8804E3"/>
    <w:rsid w:val="2CC70108"/>
    <w:rsid w:val="2D397206"/>
    <w:rsid w:val="2DF972CB"/>
    <w:rsid w:val="2E6609A2"/>
    <w:rsid w:val="2ECD0D49"/>
    <w:rsid w:val="2EE075CC"/>
    <w:rsid w:val="2F1F0C7F"/>
    <w:rsid w:val="2F271376"/>
    <w:rsid w:val="2F525940"/>
    <w:rsid w:val="2F6B6AF9"/>
    <w:rsid w:val="2F8F120A"/>
    <w:rsid w:val="30082D02"/>
    <w:rsid w:val="30D910A2"/>
    <w:rsid w:val="311C7F6D"/>
    <w:rsid w:val="32C86AB9"/>
    <w:rsid w:val="333F17C2"/>
    <w:rsid w:val="334D7A49"/>
    <w:rsid w:val="33570CEA"/>
    <w:rsid w:val="33781BDB"/>
    <w:rsid w:val="346A6596"/>
    <w:rsid w:val="34735B7E"/>
    <w:rsid w:val="35296308"/>
    <w:rsid w:val="35A1370E"/>
    <w:rsid w:val="35B60065"/>
    <w:rsid w:val="38577FB8"/>
    <w:rsid w:val="38E344A3"/>
    <w:rsid w:val="39537A4B"/>
    <w:rsid w:val="395A2167"/>
    <w:rsid w:val="39ED0A1F"/>
    <w:rsid w:val="3A97366D"/>
    <w:rsid w:val="3AD31A7F"/>
    <w:rsid w:val="3B5D719E"/>
    <w:rsid w:val="3B677B08"/>
    <w:rsid w:val="3B6A1460"/>
    <w:rsid w:val="3B800BCA"/>
    <w:rsid w:val="3C51382E"/>
    <w:rsid w:val="3C9F4E62"/>
    <w:rsid w:val="3CAE0084"/>
    <w:rsid w:val="3DF24001"/>
    <w:rsid w:val="3E5A050E"/>
    <w:rsid w:val="3EC47348"/>
    <w:rsid w:val="3F647C1B"/>
    <w:rsid w:val="3F7050E8"/>
    <w:rsid w:val="3FC456AD"/>
    <w:rsid w:val="3FEC3708"/>
    <w:rsid w:val="40661974"/>
    <w:rsid w:val="40810A7A"/>
    <w:rsid w:val="41B1135C"/>
    <w:rsid w:val="41F826F9"/>
    <w:rsid w:val="427B1B63"/>
    <w:rsid w:val="428A552C"/>
    <w:rsid w:val="42F00D2B"/>
    <w:rsid w:val="42FA13E0"/>
    <w:rsid w:val="4334325B"/>
    <w:rsid w:val="44094B15"/>
    <w:rsid w:val="444A4843"/>
    <w:rsid w:val="445C30DA"/>
    <w:rsid w:val="44C0145B"/>
    <w:rsid w:val="44E11E61"/>
    <w:rsid w:val="463A0491"/>
    <w:rsid w:val="467D5897"/>
    <w:rsid w:val="46EB3F13"/>
    <w:rsid w:val="46EE7FED"/>
    <w:rsid w:val="471233F5"/>
    <w:rsid w:val="480D12B4"/>
    <w:rsid w:val="4AD8570B"/>
    <w:rsid w:val="4B386004"/>
    <w:rsid w:val="4B7AD0AF"/>
    <w:rsid w:val="4B856BC8"/>
    <w:rsid w:val="4C2976FB"/>
    <w:rsid w:val="4C2A105E"/>
    <w:rsid w:val="4D1B3DF5"/>
    <w:rsid w:val="4DF76A73"/>
    <w:rsid w:val="4E50159D"/>
    <w:rsid w:val="4EA33C92"/>
    <w:rsid w:val="4EB64F0A"/>
    <w:rsid w:val="51050B43"/>
    <w:rsid w:val="51AA1776"/>
    <w:rsid w:val="5289716C"/>
    <w:rsid w:val="52E16BD3"/>
    <w:rsid w:val="53901CCB"/>
    <w:rsid w:val="561136DB"/>
    <w:rsid w:val="563760E4"/>
    <w:rsid w:val="564B7328"/>
    <w:rsid w:val="56685C37"/>
    <w:rsid w:val="57AC21FA"/>
    <w:rsid w:val="57B369BC"/>
    <w:rsid w:val="57B67D20"/>
    <w:rsid w:val="58250085"/>
    <w:rsid w:val="582C3E43"/>
    <w:rsid w:val="58692219"/>
    <w:rsid w:val="587D6558"/>
    <w:rsid w:val="58AD01F2"/>
    <w:rsid w:val="597BD55D"/>
    <w:rsid w:val="599A6D65"/>
    <w:rsid w:val="59B64852"/>
    <w:rsid w:val="59F7F2CA"/>
    <w:rsid w:val="5B2F70D8"/>
    <w:rsid w:val="5B814B3C"/>
    <w:rsid w:val="5C8B3F4C"/>
    <w:rsid w:val="5DF5A0D8"/>
    <w:rsid w:val="5E821FE0"/>
    <w:rsid w:val="5EF4A6D2"/>
    <w:rsid w:val="5F9FCDE9"/>
    <w:rsid w:val="5FD2383A"/>
    <w:rsid w:val="5FF61B43"/>
    <w:rsid w:val="60C5530C"/>
    <w:rsid w:val="6100609E"/>
    <w:rsid w:val="61654767"/>
    <w:rsid w:val="617637B8"/>
    <w:rsid w:val="61FF7DCD"/>
    <w:rsid w:val="621779C3"/>
    <w:rsid w:val="62386AD7"/>
    <w:rsid w:val="62565FCB"/>
    <w:rsid w:val="62AE7A10"/>
    <w:rsid w:val="62CA358B"/>
    <w:rsid w:val="62F455BE"/>
    <w:rsid w:val="63325899"/>
    <w:rsid w:val="63957B55"/>
    <w:rsid w:val="63E44EBD"/>
    <w:rsid w:val="65366E8D"/>
    <w:rsid w:val="6566705C"/>
    <w:rsid w:val="65CB07F5"/>
    <w:rsid w:val="66140FEB"/>
    <w:rsid w:val="66A20833"/>
    <w:rsid w:val="66B15F58"/>
    <w:rsid w:val="672C3830"/>
    <w:rsid w:val="68042402"/>
    <w:rsid w:val="683850C7"/>
    <w:rsid w:val="68757C3C"/>
    <w:rsid w:val="68811924"/>
    <w:rsid w:val="69315973"/>
    <w:rsid w:val="69CE28EE"/>
    <w:rsid w:val="69CF70CE"/>
    <w:rsid w:val="6CEE6BAB"/>
    <w:rsid w:val="6D470373"/>
    <w:rsid w:val="6DAE7F89"/>
    <w:rsid w:val="6DDF70A4"/>
    <w:rsid w:val="6DE74955"/>
    <w:rsid w:val="6E6074C5"/>
    <w:rsid w:val="6EE32604"/>
    <w:rsid w:val="6F346E4D"/>
    <w:rsid w:val="6F445312"/>
    <w:rsid w:val="6FF7C623"/>
    <w:rsid w:val="70571249"/>
    <w:rsid w:val="720334A5"/>
    <w:rsid w:val="724D283F"/>
    <w:rsid w:val="72721E45"/>
    <w:rsid w:val="72CF7E7D"/>
    <w:rsid w:val="73126532"/>
    <w:rsid w:val="73130456"/>
    <w:rsid w:val="736F0B89"/>
    <w:rsid w:val="74AF26D2"/>
    <w:rsid w:val="7521699E"/>
    <w:rsid w:val="757C27BD"/>
    <w:rsid w:val="757DF18A"/>
    <w:rsid w:val="761A76AA"/>
    <w:rsid w:val="76BFC4C5"/>
    <w:rsid w:val="77B446A2"/>
    <w:rsid w:val="791A5241"/>
    <w:rsid w:val="79C93503"/>
    <w:rsid w:val="7A266805"/>
    <w:rsid w:val="7A271D68"/>
    <w:rsid w:val="7C611D76"/>
    <w:rsid w:val="7C615CEC"/>
    <w:rsid w:val="7C7E256E"/>
    <w:rsid w:val="7C824924"/>
    <w:rsid w:val="7D544DEE"/>
    <w:rsid w:val="7DBF543B"/>
    <w:rsid w:val="7F5E1687"/>
    <w:rsid w:val="7F622843"/>
    <w:rsid w:val="7F7E494D"/>
    <w:rsid w:val="7F8C1A6B"/>
    <w:rsid w:val="7FAEDBD5"/>
    <w:rsid w:val="7FC63EA3"/>
    <w:rsid w:val="7FFC490C"/>
    <w:rsid w:val="7FFDE24F"/>
    <w:rsid w:val="7FFEFEE3"/>
    <w:rsid w:val="9D63DE5C"/>
    <w:rsid w:val="BBDF8FA1"/>
    <w:rsid w:val="BFDDD117"/>
    <w:rsid w:val="CFED4324"/>
    <w:rsid w:val="D5FFBEF9"/>
    <w:rsid w:val="D6FF7B8D"/>
    <w:rsid w:val="DBFF87A2"/>
    <w:rsid w:val="DEDF1129"/>
    <w:rsid w:val="E3FF4C2C"/>
    <w:rsid w:val="F17DB282"/>
    <w:rsid w:val="F65F0A70"/>
    <w:rsid w:val="F9D97002"/>
    <w:rsid w:val="FF919909"/>
    <w:rsid w:val="FFF9F88B"/>
    <w:rsid w:val="FFFFDA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楷体_GB2312" w:cs="Times New Roman"/>
      <w:kern w:val="2"/>
      <w:sz w:val="21"/>
      <w:szCs w:val="22"/>
      <w:lang w:val="en-US" w:eastAsia="zh-CN" w:bidi="ar-SA"/>
    </w:rPr>
  </w:style>
  <w:style w:type="paragraph" w:styleId="4">
    <w:name w:val="heading 1"/>
    <w:basedOn w:val="1"/>
    <w:next w:val="1"/>
    <w:link w:val="24"/>
    <w:qFormat/>
    <w:uiPriority w:val="0"/>
    <w:pPr>
      <w:keepNext/>
      <w:keepLines/>
      <w:spacing w:line="576" w:lineRule="auto"/>
      <w:outlineLvl w:val="0"/>
    </w:pPr>
    <w:rPr>
      <w:rFonts w:ascii="Times New Roman" w:hAnsi="Times New Roman" w:eastAsia="宋体"/>
      <w:b/>
      <w:kern w:val="44"/>
      <w:sz w:val="44"/>
      <w:szCs w:val="20"/>
    </w:rPr>
  </w:style>
  <w:style w:type="paragraph" w:styleId="5">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paragraph" w:styleId="6">
    <w:name w:val="heading 3"/>
    <w:basedOn w:val="1"/>
    <w:next w:val="1"/>
    <w:qFormat/>
    <w:uiPriority w:val="0"/>
    <w:pPr>
      <w:keepNext/>
      <w:keepLines/>
      <w:spacing w:line="360" w:lineRule="auto"/>
      <w:jc w:val="center"/>
      <w:outlineLvl w:val="2"/>
    </w:pPr>
    <w:rPr>
      <w:rFonts w:ascii="Times New Roman" w:hAnsi="Times New Roman"/>
      <w:b/>
      <w:bCs/>
      <w:sz w:val="28"/>
      <w:szCs w:val="32"/>
    </w:rPr>
  </w:style>
  <w:style w:type="paragraph" w:styleId="7">
    <w:name w:val="heading 4"/>
    <w:basedOn w:val="1"/>
    <w:next w:val="1"/>
    <w:qFormat/>
    <w:uiPriority w:val="0"/>
    <w:pPr>
      <w:keepNext/>
      <w:keepLines/>
      <w:adjustRightInd w:val="0"/>
      <w:snapToGrid w:val="0"/>
      <w:spacing w:line="500" w:lineRule="exact"/>
      <w:ind w:left="426"/>
      <w:outlineLvl w:val="3"/>
    </w:pPr>
    <w:rPr>
      <w:rFonts w:ascii="Arial" w:hAnsi="Arial"/>
      <w:bCs/>
      <w:sz w:val="24"/>
      <w:szCs w:val="28"/>
    </w:rPr>
  </w:style>
  <w:style w:type="character" w:default="1" w:styleId="19">
    <w:name w:val="Default Paragraph Font"/>
    <w:semiHidden/>
    <w:qFormat/>
    <w:uiPriority w:val="0"/>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3"/>
    <w:next w:val="1"/>
    <w:qFormat/>
    <w:uiPriority w:val="99"/>
    <w:pPr>
      <w:spacing w:after="120"/>
      <w:ind w:left="420" w:leftChars="200"/>
    </w:pPr>
  </w:style>
  <w:style w:type="paragraph" w:styleId="3">
    <w:name w:val="Body Text"/>
    <w:basedOn w:val="1"/>
    <w:next w:val="1"/>
    <w:autoRedefine/>
    <w:qFormat/>
    <w:uiPriority w:val="0"/>
    <w:pPr>
      <w:spacing w:after="120"/>
    </w:pPr>
    <w:rPr>
      <w:rFonts w:ascii="Times New Roman" w:hAnsi="Times New Roman" w:eastAsia="宋体"/>
      <w:szCs w:val="24"/>
    </w:rPr>
  </w:style>
  <w:style w:type="paragraph" w:styleId="8">
    <w:name w:val="annotation text"/>
    <w:basedOn w:val="1"/>
    <w:qFormat/>
    <w:uiPriority w:val="99"/>
    <w:pPr>
      <w:jc w:val="left"/>
    </w:pPr>
    <w:rPr>
      <w:rFonts w:ascii="Times New Roman" w:hAnsi="Times New Roman" w:eastAsia="宋体"/>
      <w:szCs w:val="20"/>
    </w:rPr>
  </w:style>
  <w:style w:type="paragraph" w:styleId="9">
    <w:name w:val="Body Text 3"/>
    <w:basedOn w:val="1"/>
    <w:qFormat/>
    <w:uiPriority w:val="0"/>
    <w:pPr>
      <w:spacing w:after="120"/>
    </w:pPr>
    <w:rPr>
      <w:sz w:val="16"/>
      <w:szCs w:val="16"/>
    </w:rPr>
  </w:style>
  <w:style w:type="paragraph" w:styleId="10">
    <w:name w:val="Block Text"/>
    <w:basedOn w:val="1"/>
    <w:unhideWhenUsed/>
    <w:qFormat/>
    <w:uiPriority w:val="0"/>
    <w:pPr>
      <w:spacing w:line="440" w:lineRule="exact"/>
      <w:ind w:left="-540" w:leftChars="-257" w:right="-334" w:rightChars="-159" w:firstLine="1140"/>
    </w:pPr>
    <w:rPr>
      <w:rFonts w:ascii="Times New Roman" w:hAnsi="Times New Roman" w:eastAsia="宋体"/>
      <w:sz w:val="24"/>
      <w:szCs w:val="20"/>
    </w:rPr>
  </w:style>
  <w:style w:type="paragraph" w:styleId="11">
    <w:name w:val="footer"/>
    <w:basedOn w:val="1"/>
    <w:next w:val="12"/>
    <w:qFormat/>
    <w:uiPriority w:val="99"/>
    <w:pPr>
      <w:tabs>
        <w:tab w:val="center" w:pos="4153"/>
        <w:tab w:val="right" w:pos="8306"/>
      </w:tabs>
      <w:snapToGrid w:val="0"/>
      <w:jc w:val="left"/>
    </w:pPr>
    <w:rPr>
      <w:rFonts w:ascii="Times New Roman" w:hAnsi="Times New Roman"/>
      <w:sz w:val="18"/>
      <w:szCs w:val="18"/>
    </w:rPr>
  </w:style>
  <w:style w:type="paragraph" w:customStyle="1" w:styleId="12">
    <w:name w:val="样式1"/>
    <w:basedOn w:val="7"/>
    <w:qFormat/>
    <w:uiPriority w:val="0"/>
    <w:pPr>
      <w:adjustRightInd w:val="0"/>
      <w:snapToGrid w:val="0"/>
      <w:spacing w:before="120" w:beforeLines="50" w:line="360" w:lineRule="auto"/>
    </w:pPr>
    <w:rPr>
      <w:rFonts w:ascii="宋体" w:hAnsi="宋体"/>
      <w:sz w:val="24"/>
    </w:rPr>
  </w:style>
  <w:style w:type="paragraph" w:styleId="13">
    <w:name w:val="envelope return"/>
    <w:basedOn w:val="1"/>
    <w:qFormat/>
    <w:uiPriority w:val="0"/>
    <w:pPr>
      <w:snapToGrid w:val="0"/>
    </w:pPr>
    <w:rPr>
      <w:rFonts w:ascii="Arial" w:hAnsi="Arial"/>
    </w:rPr>
  </w:style>
  <w:style w:type="paragraph" w:styleId="14">
    <w:name w:val="toc 1"/>
    <w:basedOn w:val="1"/>
    <w:next w:val="1"/>
    <w:qFormat/>
    <w:uiPriority w:val="39"/>
    <w:pPr>
      <w:tabs>
        <w:tab w:val="right" w:leader="dot" w:pos="8296"/>
      </w:tabs>
      <w:spacing w:beforeLines="100" w:afterLines="50"/>
    </w:pPr>
    <w:rPr>
      <w:rFonts w:ascii="Times New Roman" w:hAnsi="Times New Roman" w:eastAsia="黑体"/>
      <w:sz w:val="24"/>
      <w:szCs w:val="24"/>
    </w:rPr>
  </w:style>
  <w:style w:type="paragraph" w:styleId="15">
    <w:name w:val="Body Text First Indent"/>
    <w:basedOn w:val="3"/>
    <w:qFormat/>
    <w:uiPriority w:val="0"/>
    <w:pPr>
      <w:ind w:firstLine="420" w:firstLineChars="100"/>
    </w:pPr>
    <w:rPr>
      <w:rFonts w:eastAsia="楷体_GB2312"/>
      <w:kern w:val="0"/>
      <w:sz w:val="20"/>
    </w:rPr>
  </w:style>
  <w:style w:type="paragraph" w:styleId="16">
    <w:name w:val="Body Text First Indent 2"/>
    <w:basedOn w:val="2"/>
    <w:qFormat/>
    <w:uiPriority w:val="0"/>
    <w:pPr>
      <w:ind w:left="200" w:firstLine="200" w:firstLineChars="200"/>
    </w:pPr>
    <w:rPr>
      <w:rFonts w:ascii="Calibri" w:hAnsi="Calibri"/>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unhideWhenUsed/>
    <w:qFormat/>
    <w:uiPriority w:val="99"/>
    <w:rPr>
      <w:color w:val="0000FF"/>
      <w:u w:val="single"/>
    </w:rPr>
  </w:style>
  <w:style w:type="character" w:styleId="21">
    <w:name w:val="annotation reference"/>
    <w:autoRedefine/>
    <w:qFormat/>
    <w:uiPriority w:val="99"/>
    <w:rPr>
      <w:rFonts w:cs="Times New Roman"/>
      <w:sz w:val="21"/>
    </w:rPr>
  </w:style>
  <w:style w:type="paragraph" w:customStyle="1" w:styleId="22">
    <w:name w:val="Normal Indent1"/>
    <w:basedOn w:val="1"/>
    <w:qFormat/>
    <w:uiPriority w:val="0"/>
    <w:pPr>
      <w:ind w:firstLine="420" w:firstLineChars="200"/>
    </w:pPr>
  </w:style>
  <w:style w:type="paragraph" w:customStyle="1" w:styleId="23">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24">
    <w:name w:val="标题 1 字符"/>
    <w:link w:val="4"/>
    <w:autoRedefine/>
    <w:qFormat/>
    <w:locked/>
    <w:uiPriority w:val="0"/>
    <w:rPr>
      <w:rFonts w:ascii="Times New Roman" w:hAnsi="Times New Roman" w:eastAsia="宋体"/>
      <w:b/>
      <w:kern w:val="44"/>
      <w:sz w:val="44"/>
      <w:szCs w:val="20"/>
    </w:rPr>
  </w:style>
  <w:style w:type="character" w:customStyle="1" w:styleId="25">
    <w:name w:val="font161"/>
    <w:autoRedefine/>
    <w:qFormat/>
    <w:uiPriority w:val="0"/>
    <w:rPr>
      <w:b/>
      <w:sz w:val="32"/>
    </w:rPr>
  </w:style>
  <w:style w:type="paragraph" w:customStyle="1" w:styleId="2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表头"/>
    <w:basedOn w:val="1"/>
    <w:qFormat/>
    <w:uiPriority w:val="0"/>
    <w:pPr>
      <w:spacing w:line="360" w:lineRule="auto"/>
      <w:jc w:val="center"/>
    </w:pPr>
    <w:rPr>
      <w:rFonts w:ascii="黑体" w:hAnsi="Times New Roman" w:eastAsia="黑体"/>
      <w:kern w:val="0"/>
      <w:sz w:val="24"/>
      <w:szCs w:val="20"/>
    </w:rPr>
  </w:style>
  <w:style w:type="paragraph" w:customStyle="1" w:styleId="28">
    <w:name w:val="List Paragraph"/>
    <w:basedOn w:val="1"/>
    <w:qFormat/>
    <w:uiPriority w:val="0"/>
    <w:pPr>
      <w:widowControl/>
      <w:ind w:firstLine="420" w:firstLineChars="200"/>
      <w:jc w:val="left"/>
    </w:pPr>
    <w:rPr>
      <w:rFonts w:ascii="Calibri" w:hAnsi="Calibri"/>
      <w:kern w:val="0"/>
      <w:sz w:val="20"/>
      <w:szCs w:val="20"/>
    </w:rPr>
  </w:style>
  <w:style w:type="paragraph" w:customStyle="1" w:styleId="29">
    <w:name w:val="p0"/>
    <w:basedOn w:val="1"/>
    <w:qFormat/>
    <w:uiPriority w:val="0"/>
    <w:pPr>
      <w:widowControl/>
    </w:pPr>
    <w:rPr>
      <w:rFonts w:ascii="Calibri" w:hAnsi="Calibri"/>
      <w:kern w:val="0"/>
      <w:szCs w:val="21"/>
    </w:rPr>
  </w:style>
  <w:style w:type="paragraph" w:customStyle="1" w:styleId="30">
    <w:name w:val="正文缩进11"/>
    <w:basedOn w:val="31"/>
    <w:qFormat/>
    <w:uiPriority w:val="0"/>
    <w:pPr>
      <w:ind w:firstLine="624"/>
      <w:jc w:val="left"/>
    </w:pPr>
    <w:rPr>
      <w:rFonts w:hint="eastAsia" w:ascii="Times New Roman" w:hAnsi="Times New Roman"/>
    </w:rPr>
  </w:style>
  <w:style w:type="paragraph" w:customStyle="1" w:styleId="31">
    <w:name w:val="正文1"/>
    <w:basedOn w:val="1"/>
    <w:next w:val="30"/>
    <w:autoRedefine/>
    <w:qFormat/>
    <w:uiPriority w:val="0"/>
    <w:pPr>
      <w:spacing w:line="400" w:lineRule="exact"/>
      <w:ind w:firstLine="480" w:firstLineChars="200"/>
    </w:pPr>
    <w:rPr>
      <w:rFonts w:eastAsia="宋体"/>
      <w:kern w:val="20"/>
      <w:sz w:val="24"/>
      <w:szCs w:val="24"/>
    </w:rPr>
  </w:style>
  <w:style w:type="paragraph" w:customStyle="1" w:styleId="32">
    <w:name w:val="1"/>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1"/>
      <w:lang w:val="en-US" w:eastAsia="zh-CN" w:bidi="ar"/>
    </w:rPr>
  </w:style>
  <w:style w:type="character" w:customStyle="1" w:styleId="33">
    <w:name w:val="15"/>
    <w:basedOn w:val="1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76</Pages>
  <Words>26115</Words>
  <Characters>28375</Characters>
  <Lines>1</Lines>
  <Paragraphs>1</Paragraphs>
  <TotalTime>18</TotalTime>
  <ScaleCrop>false</ScaleCrop>
  <LinksUpToDate>false</LinksUpToDate>
  <CharactersWithSpaces>29472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2023-12-11T09:46:00Z</dcterms:created>
  <dc:creator>风轻轻的吹</dc:creator>
  <cp:lastModifiedBy>风轻轻的吹</cp:lastModifiedBy>
  <cp:lastPrinted>2024-06-05T08:53:00Z</cp:lastPrinted>
  <dcterms:modified xsi:type="dcterms:W3CDTF">2024-07-02T07:33:20Z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E5A90D2F00A34788810FA6966F14028A</vt:lpwstr>
  </property>
</Properties>
</file>