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line="360" w:lineRule="auto"/>
        <w:ind w:right="25" w:rightChars="12"/>
        <w:jc w:val="center"/>
        <w:rPr>
          <w:rFonts w:hint="eastAsia"/>
          <w:b/>
          <w:color w:val="auto"/>
          <w:sz w:val="48"/>
          <w:szCs w:val="48"/>
          <w:highlight w:val="none"/>
          <w:u w:val="none"/>
        </w:rPr>
      </w:pPr>
      <w:bookmarkStart w:id="292" w:name="_GoBack"/>
      <w:bookmarkEnd w:id="292"/>
    </w:p>
    <w:p>
      <w:pPr>
        <w:spacing w:line="600" w:lineRule="auto"/>
        <w:jc w:val="center"/>
        <w:rPr>
          <w:rFonts w:hint="eastAsia" w:ascii="宋体" w:hAnsi="宋体"/>
          <w:color w:val="auto"/>
          <w:sz w:val="48"/>
          <w:szCs w:val="48"/>
          <w:highlight w:val="none"/>
          <w:u w:val="none"/>
          <w:lang w:eastAsia="zh-CN"/>
        </w:rPr>
      </w:pPr>
      <w:r>
        <w:rPr>
          <w:rFonts w:hint="eastAsia" w:ascii="宋体" w:hAnsi="宋体"/>
          <w:color w:val="auto"/>
          <w:sz w:val="48"/>
          <w:szCs w:val="48"/>
          <w:highlight w:val="none"/>
          <w:u w:val="none"/>
          <w:lang w:eastAsia="zh-CN"/>
        </w:rPr>
        <w:t>广州开发区东区D01地块平整工程</w:t>
      </w:r>
    </w:p>
    <w:p>
      <w:pPr>
        <w:spacing w:line="600" w:lineRule="auto"/>
        <w:jc w:val="center"/>
        <w:rPr>
          <w:rFonts w:hint="eastAsia" w:ascii="宋体" w:hAnsi="宋体" w:eastAsia="宋体" w:cs="宋体"/>
          <w:b/>
          <w:bCs/>
          <w:color w:val="auto"/>
          <w:spacing w:val="26"/>
          <w:sz w:val="110"/>
          <w:szCs w:val="110"/>
          <w:highlight w:val="none"/>
          <w:lang w:eastAsia="zh-CN"/>
          <w14:shadow w14:blurRad="50800" w14:dist="38100" w14:dir="2700000" w14:sx="100000" w14:sy="100000" w14:kx="0" w14:ky="0" w14:algn="tl">
            <w14:srgbClr w14:val="000000">
              <w14:alpha w14:val="60000"/>
            </w14:srgbClr>
          </w14:shadow>
        </w:rPr>
      </w:pPr>
      <w:r>
        <w:rPr>
          <w:rFonts w:hint="eastAsia" w:ascii="宋体" w:hAnsi="宋体"/>
          <w:color w:val="auto"/>
          <w:sz w:val="48"/>
          <w:szCs w:val="48"/>
          <w:highlight w:val="none"/>
          <w:u w:val="none"/>
          <w:lang w:eastAsia="zh-CN"/>
        </w:rPr>
        <w:t>之D02、D03施工总承包</w:t>
      </w:r>
    </w:p>
    <w:p>
      <w:pPr>
        <w:pStyle w:val="20"/>
        <w:rPr>
          <w:rFonts w:hint="eastAsia" w:ascii="宋体" w:hAnsi="宋体" w:eastAsia="宋体" w:cs="宋体"/>
          <w:b/>
          <w:bCs/>
          <w:shadow/>
          <w:color w:val="auto"/>
          <w:spacing w:val="26"/>
          <w:kern w:val="0"/>
          <w:sz w:val="110"/>
          <w:szCs w:val="110"/>
          <w:highlight w:val="none"/>
        </w:rPr>
      </w:pPr>
    </w:p>
    <w:p>
      <w:pPr>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spacing w:line="360" w:lineRule="auto"/>
        <w:jc w:val="center"/>
        <w:rPr>
          <w:rFonts w:hint="eastAsia" w:ascii="宋体" w:hAnsi="宋体" w:eastAsia="宋体" w:cs="宋体"/>
          <w:b/>
          <w:bCs/>
          <w:color w:val="auto"/>
          <w:spacing w:val="28"/>
          <w:sz w:val="110"/>
          <w:szCs w:val="110"/>
          <w:highlight w:val="none"/>
          <w:lang w:eastAsia="zh-CN"/>
        </w:rPr>
      </w:pPr>
      <w:r>
        <w:rPr>
          <w:rFonts w:hint="eastAsia" w:ascii="宋体" w:hAnsi="宋体" w:cs="宋体"/>
          <w:b/>
          <w:bCs/>
          <w:color w:val="auto"/>
          <w:spacing w:val="28"/>
          <w:sz w:val="110"/>
          <w:szCs w:val="110"/>
          <w:highlight w:val="none"/>
        </w:rPr>
        <w:t>招标</w:t>
      </w:r>
      <w:r>
        <w:rPr>
          <w:rFonts w:hint="eastAsia" w:ascii="宋体" w:hAnsi="宋体" w:cs="宋体"/>
          <w:b/>
          <w:bCs/>
          <w:color w:val="auto"/>
          <w:spacing w:val="28"/>
          <w:sz w:val="110"/>
          <w:szCs w:val="110"/>
          <w:highlight w:val="none"/>
          <w:lang w:eastAsia="zh-CN"/>
        </w:rPr>
        <w:t>文件</w:t>
      </w:r>
    </w:p>
    <w:p>
      <w:pPr>
        <w:spacing w:line="360" w:lineRule="auto"/>
        <w:ind w:firstLine="2560" w:firstLineChars="800"/>
        <w:rPr>
          <w:rFonts w:ascii="宋体" w:hAnsi="宋体" w:cs="宋体"/>
          <w:color w:val="auto"/>
          <w:sz w:val="32"/>
          <w:szCs w:val="32"/>
          <w:highlight w:val="none"/>
        </w:rPr>
      </w:pPr>
    </w:p>
    <w:p>
      <w:pPr>
        <w:pStyle w:val="2"/>
        <w:rPr>
          <w:rFonts w:ascii="宋体" w:hAnsi="宋体" w:cs="宋体"/>
          <w:color w:val="auto"/>
          <w:sz w:val="32"/>
          <w:szCs w:val="32"/>
          <w:highlight w:val="none"/>
        </w:rPr>
      </w:pPr>
    </w:p>
    <w:p>
      <w:pPr>
        <w:spacing w:line="360" w:lineRule="auto"/>
        <w:ind w:firstLine="2560" w:firstLineChars="800"/>
        <w:rPr>
          <w:rFonts w:ascii="宋体" w:hAnsi="宋体" w:cs="宋体"/>
          <w:color w:val="auto"/>
          <w:sz w:val="32"/>
          <w:szCs w:val="32"/>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spacing w:line="360" w:lineRule="auto"/>
        <w:jc w:val="center"/>
        <w:rPr>
          <w:rFonts w:ascii="宋体" w:hAnsi="宋体" w:cs="宋体"/>
          <w:color w:val="auto"/>
          <w:spacing w:val="-2"/>
          <w:sz w:val="30"/>
          <w:szCs w:val="30"/>
          <w:highlight w:val="none"/>
        </w:rPr>
      </w:pPr>
    </w:p>
    <w:p>
      <w:pPr>
        <w:spacing w:line="360" w:lineRule="auto"/>
        <w:ind w:left="1208" w:leftChars="575"/>
        <w:jc w:val="left"/>
        <w:rPr>
          <w:rFonts w:ascii="宋体" w:hAnsi="宋体" w:cs="宋体"/>
          <w:b w:val="0"/>
          <w:bCs w:val="0"/>
          <w:color w:val="auto"/>
          <w:spacing w:val="-2"/>
          <w:sz w:val="30"/>
          <w:szCs w:val="30"/>
          <w:highlight w:val="none"/>
        </w:rPr>
      </w:pPr>
      <w:r>
        <w:rPr>
          <w:rFonts w:hint="eastAsia" w:ascii="宋体" w:hAnsi="宋体" w:cs="宋体"/>
          <w:b w:val="0"/>
          <w:bCs w:val="0"/>
          <w:color w:val="auto"/>
          <w:spacing w:val="-2"/>
          <w:sz w:val="30"/>
          <w:szCs w:val="30"/>
          <w:highlight w:val="none"/>
        </w:rPr>
        <w:t>招标单位：</w:t>
      </w:r>
      <w:r>
        <w:rPr>
          <w:rFonts w:hint="eastAsia" w:ascii="宋体" w:hAnsi="宋体" w:cs="宋体"/>
          <w:b w:val="0"/>
          <w:bCs w:val="0"/>
          <w:color w:val="auto"/>
          <w:spacing w:val="-2"/>
          <w:sz w:val="30"/>
          <w:szCs w:val="30"/>
          <w:highlight w:val="none"/>
          <w:u w:val="none"/>
        </w:rPr>
        <w:t>广州开发区财政投资建设项目管理中心</w:t>
      </w:r>
    </w:p>
    <w:p>
      <w:pPr>
        <w:spacing w:line="360" w:lineRule="auto"/>
        <w:ind w:left="1208" w:leftChars="575"/>
        <w:jc w:val="left"/>
        <w:rPr>
          <w:rFonts w:hint="eastAsia" w:ascii="宋体" w:hAnsi="宋体" w:cs="宋体"/>
          <w:b w:val="0"/>
          <w:bCs w:val="0"/>
          <w:color w:val="auto"/>
          <w:spacing w:val="-2"/>
          <w:sz w:val="30"/>
          <w:szCs w:val="30"/>
          <w:highlight w:val="none"/>
          <w:u w:val="none"/>
          <w:lang w:val="en-US" w:eastAsia="zh-CN"/>
        </w:rPr>
      </w:pPr>
      <w:r>
        <w:rPr>
          <w:rFonts w:hint="eastAsia" w:ascii="宋体" w:hAnsi="宋体" w:cs="宋体"/>
          <w:b w:val="0"/>
          <w:bCs w:val="0"/>
          <w:color w:val="auto"/>
          <w:spacing w:val="-2"/>
          <w:sz w:val="30"/>
          <w:szCs w:val="30"/>
          <w:highlight w:val="none"/>
          <w:lang w:val="en-US" w:eastAsia="zh-CN"/>
        </w:rPr>
        <w:t>代建单位：</w:t>
      </w:r>
      <w:r>
        <w:rPr>
          <w:rFonts w:hint="eastAsia" w:ascii="宋体" w:hAnsi="宋体" w:cs="宋体"/>
          <w:b w:val="0"/>
          <w:bCs w:val="0"/>
          <w:color w:val="auto"/>
          <w:spacing w:val="-2"/>
          <w:sz w:val="30"/>
          <w:szCs w:val="30"/>
          <w:highlight w:val="none"/>
          <w:u w:val="none"/>
          <w:lang w:val="en-US" w:eastAsia="zh-CN"/>
        </w:rPr>
        <w:t>广州东进新区开发有限公司</w:t>
      </w:r>
    </w:p>
    <w:p>
      <w:pPr>
        <w:spacing w:line="360" w:lineRule="auto"/>
        <w:ind w:left="1208" w:leftChars="575"/>
        <w:jc w:val="left"/>
        <w:rPr>
          <w:rFonts w:hint="eastAsia" w:ascii="宋体" w:hAnsi="宋体" w:cs="宋体"/>
          <w:b w:val="0"/>
          <w:bCs w:val="0"/>
          <w:color w:val="auto"/>
          <w:spacing w:val="-2"/>
          <w:sz w:val="30"/>
          <w:szCs w:val="30"/>
          <w:highlight w:val="none"/>
          <w:u w:val="single"/>
          <w:lang w:val="en-US" w:eastAsia="zh-CN"/>
        </w:rPr>
      </w:pPr>
      <w:r>
        <w:rPr>
          <w:rFonts w:hint="eastAsia" w:ascii="宋体" w:hAnsi="宋体" w:cs="宋体"/>
          <w:b w:val="0"/>
          <w:bCs w:val="0"/>
          <w:color w:val="auto"/>
          <w:spacing w:val="-2"/>
          <w:sz w:val="30"/>
          <w:szCs w:val="30"/>
          <w:highlight w:val="none"/>
        </w:rPr>
        <w:t>招标代理机构：广东省国际工程咨询有限公司</w:t>
      </w:r>
    </w:p>
    <w:p>
      <w:pPr>
        <w:spacing w:line="360" w:lineRule="auto"/>
        <w:ind w:left="1208" w:leftChars="575"/>
        <w:jc w:val="left"/>
        <w:rPr>
          <w:rFonts w:ascii="宋体" w:hAnsi="宋体" w:cs="宋体"/>
          <w:b w:val="0"/>
          <w:bCs w:val="0"/>
          <w:color w:val="auto"/>
          <w:spacing w:val="-2"/>
          <w:sz w:val="30"/>
          <w:szCs w:val="30"/>
          <w:highlight w:val="none"/>
        </w:rPr>
      </w:pPr>
      <w:r>
        <w:rPr>
          <w:rFonts w:hint="eastAsia" w:ascii="宋体" w:hAnsi="宋体" w:cs="宋体"/>
          <w:b w:val="0"/>
          <w:bCs w:val="0"/>
          <w:color w:val="auto"/>
          <w:spacing w:val="-2"/>
          <w:sz w:val="30"/>
          <w:szCs w:val="30"/>
          <w:highlight w:val="none"/>
        </w:rPr>
        <w:t>日期：</w:t>
      </w:r>
      <w:r>
        <w:rPr>
          <w:rFonts w:ascii="宋体" w:hAnsi="宋体" w:cs="宋体"/>
          <w:b w:val="0"/>
          <w:bCs w:val="0"/>
          <w:color w:val="auto"/>
          <w:spacing w:val="-2"/>
          <w:sz w:val="30"/>
          <w:szCs w:val="30"/>
          <w:highlight w:val="none"/>
        </w:rPr>
        <w:t>202</w:t>
      </w:r>
      <w:r>
        <w:rPr>
          <w:rFonts w:hint="eastAsia" w:ascii="宋体" w:hAnsi="宋体" w:cs="宋体"/>
          <w:b w:val="0"/>
          <w:bCs w:val="0"/>
          <w:color w:val="auto"/>
          <w:spacing w:val="-2"/>
          <w:sz w:val="30"/>
          <w:szCs w:val="30"/>
          <w:highlight w:val="none"/>
          <w:lang w:val="en-US" w:eastAsia="zh-CN"/>
        </w:rPr>
        <w:t>4</w:t>
      </w:r>
      <w:r>
        <w:rPr>
          <w:rFonts w:hint="eastAsia" w:ascii="宋体" w:hAnsi="宋体" w:cs="宋体"/>
          <w:b w:val="0"/>
          <w:bCs w:val="0"/>
          <w:color w:val="auto"/>
          <w:spacing w:val="-2"/>
          <w:sz w:val="30"/>
          <w:szCs w:val="30"/>
          <w:highlight w:val="none"/>
        </w:rPr>
        <w:t>年</w:t>
      </w:r>
      <w:r>
        <w:rPr>
          <w:rFonts w:hint="eastAsia" w:ascii="宋体" w:hAnsi="宋体" w:cs="宋体"/>
          <w:b w:val="0"/>
          <w:bCs w:val="0"/>
          <w:color w:val="auto"/>
          <w:spacing w:val="-2"/>
          <w:sz w:val="30"/>
          <w:szCs w:val="30"/>
          <w:highlight w:val="none"/>
          <w:u w:val="none"/>
          <w:lang w:val="en-US" w:eastAsia="zh-CN"/>
        </w:rPr>
        <w:t>7</w:t>
      </w:r>
      <w:r>
        <w:rPr>
          <w:rFonts w:hint="eastAsia" w:ascii="宋体" w:hAnsi="宋体" w:cs="宋体"/>
          <w:b w:val="0"/>
          <w:bCs w:val="0"/>
          <w:color w:val="auto"/>
          <w:spacing w:val="-2"/>
          <w:sz w:val="30"/>
          <w:szCs w:val="30"/>
          <w:highlight w:val="none"/>
        </w:rPr>
        <w:t>月</w:t>
      </w:r>
    </w:p>
    <w:p>
      <w:pPr>
        <w:spacing w:line="360" w:lineRule="auto"/>
        <w:jc w:val="both"/>
        <w:rPr>
          <w:rFonts w:ascii="宋体" w:hAnsi="宋体" w:cs="宋体"/>
          <w:b/>
          <w:bCs/>
          <w:color w:val="auto"/>
          <w:spacing w:val="-2"/>
          <w:sz w:val="30"/>
          <w:szCs w:val="30"/>
          <w:highlight w:val="none"/>
        </w:rPr>
      </w:pPr>
    </w:p>
    <w:p>
      <w:pPr>
        <w:jc w:val="center"/>
        <w:rPr>
          <w:rStyle w:val="58"/>
          <w:rFonts w:ascii="宋体" w:hAnsi="宋体" w:cs="宋体"/>
          <w:b/>
          <w:bCs/>
          <w:color w:val="auto"/>
          <w:highlight w:val="none"/>
        </w:rPr>
        <w:sectPr>
          <w:headerReference r:id="rId3" w:type="default"/>
          <w:footerReference r:id="rId5" w:type="default"/>
          <w:headerReference r:id="rId4" w:type="even"/>
          <w:footerReference r:id="rId6" w:type="even"/>
          <w:endnotePr>
            <w:numFmt w:val="decimal"/>
          </w:endnotePr>
          <w:pgSz w:w="11906" w:h="16838"/>
          <w:pgMar w:top="1361" w:right="1418" w:bottom="1361" w:left="1418" w:header="851" w:footer="907" w:gutter="0"/>
          <w:pgNumType w:fmt="decimal" w:start="0"/>
          <w:cols w:space="720" w:num="1"/>
          <w:titlePg/>
          <w:docGrid w:type="lines" w:linePitch="312" w:charSpace="0"/>
        </w:sectPr>
      </w:pPr>
    </w:p>
    <w:p>
      <w:pPr>
        <w:jc w:val="both"/>
        <w:rPr>
          <w:rStyle w:val="58"/>
          <w:rFonts w:ascii="宋体" w:hAnsi="宋体" w:cs="宋体"/>
          <w:b/>
          <w:bCs/>
          <w:color w:val="auto"/>
          <w:highlight w:val="none"/>
        </w:rPr>
      </w:pPr>
    </w:p>
    <w:p>
      <w:pPr>
        <w:jc w:val="center"/>
        <w:rPr>
          <w:rFonts w:ascii="宋体" w:hAnsi="宋体" w:cs="宋体"/>
          <w:b/>
          <w:caps/>
          <w:color w:val="auto"/>
          <w:kern w:val="0"/>
          <w:sz w:val="32"/>
          <w:szCs w:val="32"/>
          <w:highlight w:val="none"/>
        </w:rPr>
      </w:pPr>
      <w:r>
        <w:rPr>
          <w:rStyle w:val="58"/>
          <w:rFonts w:hint="eastAsia" w:ascii="宋体" w:hAnsi="宋体" w:cs="宋体"/>
          <w:b/>
          <w:bCs/>
          <w:color w:val="auto"/>
          <w:sz w:val="32"/>
          <w:szCs w:val="32"/>
          <w:highlight w:val="none"/>
          <w:u w:val="none"/>
        </w:rPr>
        <w:t>目</w:t>
      </w:r>
      <w:r>
        <w:rPr>
          <w:rStyle w:val="58"/>
          <w:rFonts w:hint="eastAsia" w:ascii="宋体" w:hAnsi="宋体" w:cs="宋体"/>
          <w:b/>
          <w:bCs/>
          <w:color w:val="auto"/>
          <w:sz w:val="32"/>
          <w:szCs w:val="32"/>
          <w:highlight w:val="none"/>
          <w:u w:val="none"/>
          <w:lang w:val="en-US" w:eastAsia="zh-CN"/>
        </w:rPr>
        <w:t xml:space="preserve">  </w:t>
      </w:r>
      <w:r>
        <w:rPr>
          <w:rStyle w:val="58"/>
          <w:rFonts w:hint="eastAsia" w:ascii="宋体" w:hAnsi="宋体" w:cs="宋体"/>
          <w:b/>
          <w:bCs/>
          <w:color w:val="auto"/>
          <w:sz w:val="32"/>
          <w:szCs w:val="32"/>
          <w:highlight w:val="none"/>
          <w:u w:val="none"/>
        </w:rPr>
        <w:t>录</w:t>
      </w:r>
    </w:p>
    <w:p>
      <w:pPr>
        <w:pStyle w:val="34"/>
        <w:tabs>
          <w:tab w:val="right" w:leader="dot" w:pos="9070"/>
          <w:tab w:val="clear" w:pos="9060"/>
        </w:tabs>
        <w:spacing w:line="240" w:lineRule="auto"/>
        <w:rPr>
          <w:rFonts w:hint="eastAsia" w:cs="宋体"/>
          <w:color w:val="auto"/>
          <w:sz w:val="21"/>
          <w:szCs w:val="21"/>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"1-3" \h \z \u </w:instrText>
      </w:r>
      <w:r>
        <w:rPr>
          <w:rFonts w:hint="eastAsia"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_Toc21091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第一章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投标须知</w:t>
      </w:r>
      <w:r>
        <w:rPr>
          <w:rFonts w:hint="eastAsia" w:cs="宋体"/>
          <w:color w:val="auto"/>
          <w:sz w:val="21"/>
          <w:szCs w:val="21"/>
        </w:rPr>
        <w:tab/>
      </w:r>
      <w:r>
        <w:rPr>
          <w:rFonts w:hint="eastAsia" w:ascii="宋体" w:hAnsi="宋体" w:eastAsia="宋体" w:cs="宋体"/>
          <w:color w:val="auto"/>
          <w:sz w:val="21"/>
          <w:szCs w:val="21"/>
          <w:highlight w:val="none"/>
        </w:rPr>
        <w:fldChar w:fldCharType="end"/>
      </w:r>
      <w:r>
        <w:rPr>
          <w:rFonts w:hint="eastAsia" w:cs="宋体"/>
          <w:color w:val="auto"/>
          <w:sz w:val="21"/>
          <w:szCs w:val="21"/>
          <w:lang w:eastAsia="zh-CN"/>
        </w:rPr>
        <w:t>2</w:t>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_Toc8021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一、投标须知前附表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_Toc8021 \h </w:instrText>
      </w:r>
      <w:r>
        <w:rPr>
          <w:rFonts w:hint="eastAsia" w:ascii="宋体" w:hAnsi="宋体" w:cs="宋体"/>
          <w:color w:val="auto"/>
          <w:sz w:val="21"/>
          <w:szCs w:val="21"/>
        </w:rPr>
        <w:fldChar w:fldCharType="separate"/>
      </w:r>
      <w:r>
        <w:rPr>
          <w:rFonts w:hint="eastAsia" w:ascii="宋体" w:hAnsi="宋体" w:cs="宋体"/>
          <w:color w:val="auto"/>
          <w:sz w:val="21"/>
          <w:szCs w:val="21"/>
        </w:rPr>
        <w:t>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_Toc4562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2"/>
          <w:sz w:val="21"/>
          <w:szCs w:val="21"/>
          <w:highlight w:val="none"/>
        </w:rPr>
        <w:t>二、投标须知修改表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_Toc4562 \h </w:instrText>
      </w:r>
      <w:r>
        <w:rPr>
          <w:rFonts w:hint="eastAsia" w:ascii="宋体" w:hAnsi="宋体" w:cs="宋体"/>
          <w:color w:val="auto"/>
          <w:sz w:val="21"/>
          <w:szCs w:val="21"/>
        </w:rPr>
        <w:fldChar w:fldCharType="separate"/>
      </w:r>
      <w:r>
        <w:rPr>
          <w:rFonts w:hint="eastAsia"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_Toc18316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三、投标须知通用条款</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_Toc18316 \h </w:instrText>
      </w:r>
      <w:r>
        <w:rPr>
          <w:rFonts w:hint="eastAsia" w:ascii="宋体" w:hAnsi="宋体" w:cs="宋体"/>
          <w:color w:val="auto"/>
          <w:sz w:val="21"/>
          <w:szCs w:val="21"/>
        </w:rPr>
        <w:fldChar w:fldCharType="separate"/>
      </w:r>
      <w:r>
        <w:rPr>
          <w:rFonts w:hint="eastAsia" w:ascii="宋体" w:hAnsi="宋体" w:cs="宋体"/>
          <w:color w:val="auto"/>
          <w:sz w:val="21"/>
          <w:szCs w:val="21"/>
        </w:rPr>
        <w:t>25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_Toc29496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（一）总则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_Toc29496 \h </w:instrText>
      </w:r>
      <w:r>
        <w:rPr>
          <w:rFonts w:hint="eastAsia" w:ascii="宋体" w:hAnsi="宋体" w:cs="宋体"/>
          <w:color w:val="auto"/>
          <w:sz w:val="21"/>
          <w:szCs w:val="21"/>
        </w:rPr>
        <w:fldChar w:fldCharType="separate"/>
      </w:r>
      <w:r>
        <w:rPr>
          <w:rFonts w:hint="eastAsia" w:ascii="宋体" w:hAnsi="宋体" w:cs="宋体"/>
          <w:color w:val="auto"/>
          <w:sz w:val="21"/>
          <w:szCs w:val="21"/>
        </w:rPr>
        <w:t>25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_Toc27738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（二）招标文件</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_Toc27738 \h </w:instrText>
      </w:r>
      <w:r>
        <w:rPr>
          <w:rFonts w:hint="eastAsia" w:ascii="宋体" w:hAnsi="宋体" w:cs="宋体"/>
          <w:color w:val="auto"/>
          <w:sz w:val="21"/>
          <w:szCs w:val="21"/>
        </w:rPr>
        <w:fldChar w:fldCharType="separate"/>
      </w:r>
      <w:r>
        <w:rPr>
          <w:rFonts w:hint="eastAsia" w:ascii="宋体" w:hAnsi="宋体" w:cs="宋体"/>
          <w:color w:val="auto"/>
          <w:sz w:val="21"/>
          <w:szCs w:val="21"/>
        </w:rPr>
        <w:t>26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_Toc9334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（三）投标文件的编制</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_Toc9334 \h </w:instrText>
      </w:r>
      <w:r>
        <w:rPr>
          <w:rFonts w:hint="eastAsia" w:ascii="宋体" w:hAnsi="宋体" w:cs="宋体"/>
          <w:color w:val="auto"/>
          <w:sz w:val="21"/>
          <w:szCs w:val="21"/>
        </w:rPr>
        <w:fldChar w:fldCharType="separate"/>
      </w:r>
      <w:r>
        <w:rPr>
          <w:rFonts w:hint="eastAsia" w:ascii="宋体" w:hAnsi="宋体" w:cs="宋体"/>
          <w:color w:val="auto"/>
          <w:sz w:val="21"/>
          <w:szCs w:val="21"/>
        </w:rPr>
        <w:t>27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_Toc2513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（四）投标文件的提交</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_Toc2513 \h </w:instrText>
      </w:r>
      <w:r>
        <w:rPr>
          <w:rFonts w:hint="eastAsia" w:ascii="宋体" w:hAnsi="宋体" w:cs="宋体"/>
          <w:color w:val="auto"/>
          <w:sz w:val="21"/>
          <w:szCs w:val="21"/>
        </w:rPr>
        <w:fldChar w:fldCharType="separate"/>
      </w:r>
      <w:r>
        <w:rPr>
          <w:rFonts w:hint="eastAsia" w:ascii="宋体" w:hAnsi="宋体" w:cs="宋体"/>
          <w:color w:val="auto"/>
          <w:sz w:val="21"/>
          <w:szCs w:val="21"/>
        </w:rPr>
        <w:t>34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（五）开标、评标、定标及合同签定</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_Toc2082 \h </w:instrText>
      </w:r>
      <w:r>
        <w:rPr>
          <w:rFonts w:hint="eastAsia" w:ascii="宋体" w:hAnsi="宋体" w:cs="宋体"/>
          <w:color w:val="auto"/>
          <w:sz w:val="21"/>
          <w:szCs w:val="21"/>
        </w:rPr>
        <w:fldChar w:fldCharType="separate"/>
      </w:r>
      <w:r>
        <w:rPr>
          <w:rFonts w:hint="eastAsia"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_Toc15285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第二章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开标、评标及定标办法</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_Toc15285 \h </w:instrText>
      </w:r>
      <w:r>
        <w:rPr>
          <w:rFonts w:hint="eastAsia" w:cs="宋体"/>
          <w:color w:val="auto"/>
          <w:sz w:val="21"/>
          <w:szCs w:val="21"/>
        </w:rPr>
        <w:fldChar w:fldCharType="separate"/>
      </w:r>
      <w:r>
        <w:rPr>
          <w:rFonts w:hint="eastAsia" w:cs="宋体"/>
          <w:color w:val="auto"/>
          <w:sz w:val="21"/>
          <w:szCs w:val="21"/>
        </w:rPr>
        <w:t>38</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_Toc10324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一、开标、评标及定标办法修改表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_Toc10324 \h </w:instrText>
      </w:r>
      <w:r>
        <w:rPr>
          <w:rFonts w:hint="eastAsia" w:ascii="宋体" w:hAnsi="宋体" w:cs="宋体"/>
          <w:color w:val="auto"/>
          <w:sz w:val="21"/>
          <w:szCs w:val="21"/>
        </w:rPr>
        <w:fldChar w:fldCharType="separate"/>
      </w:r>
      <w:r>
        <w:rPr>
          <w:rFonts w:hint="eastAsia" w:ascii="宋体" w:hAnsi="宋体" w:cs="宋体"/>
          <w:color w:val="auto"/>
          <w:sz w:val="21"/>
          <w:szCs w:val="21"/>
        </w:rPr>
        <w:t>38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_Toc21407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二、开标、评标及定标办法通用条款</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_Toc21407 \h </w:instrText>
      </w:r>
      <w:r>
        <w:rPr>
          <w:rFonts w:hint="eastAsia" w:ascii="宋体" w:hAnsi="宋体" w:cs="宋体"/>
          <w:color w:val="auto"/>
          <w:sz w:val="21"/>
          <w:szCs w:val="21"/>
        </w:rPr>
        <w:fldChar w:fldCharType="separate"/>
      </w:r>
      <w:r>
        <w:rPr>
          <w:rFonts w:hint="eastAsia" w:ascii="宋体" w:hAnsi="宋体" w:cs="宋体"/>
          <w:color w:val="auto"/>
          <w:sz w:val="21"/>
          <w:szCs w:val="21"/>
        </w:rPr>
        <w:t>48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_Toc10423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（一）总则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_Toc10423 \h </w:instrText>
      </w:r>
      <w:r>
        <w:rPr>
          <w:rFonts w:hint="eastAsia" w:ascii="宋体" w:hAnsi="宋体" w:cs="宋体"/>
          <w:color w:val="auto"/>
          <w:sz w:val="21"/>
          <w:szCs w:val="21"/>
        </w:rPr>
        <w:fldChar w:fldCharType="separate"/>
      </w:r>
      <w:r>
        <w:rPr>
          <w:rFonts w:hint="eastAsia" w:ascii="宋体" w:hAnsi="宋体" w:cs="宋体"/>
          <w:color w:val="auto"/>
          <w:sz w:val="21"/>
          <w:szCs w:val="21"/>
        </w:rPr>
        <w:t>48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_Toc25909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（二）开标评标办法程序和细则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_Toc25909 \h </w:instrText>
      </w:r>
      <w:r>
        <w:rPr>
          <w:rFonts w:hint="eastAsia" w:ascii="宋体" w:hAnsi="宋体" w:cs="宋体"/>
          <w:color w:val="auto"/>
          <w:sz w:val="21"/>
          <w:szCs w:val="21"/>
        </w:rPr>
        <w:fldChar w:fldCharType="separate"/>
      </w:r>
      <w:r>
        <w:rPr>
          <w:rFonts w:hint="eastAsia" w:ascii="宋体" w:hAnsi="宋体" w:cs="宋体"/>
          <w:color w:val="auto"/>
          <w:sz w:val="21"/>
          <w:szCs w:val="21"/>
        </w:rPr>
        <w:t>50</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_Toc31320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可选办法六（适合综合评分法三，技术标与经济标同时开启）</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_Toc31320 \h </w:instrText>
      </w:r>
      <w:r>
        <w:rPr>
          <w:rFonts w:hint="eastAsia" w:ascii="宋体" w:hAnsi="宋体" w:cs="宋体"/>
          <w:color w:val="auto"/>
          <w:sz w:val="21"/>
          <w:szCs w:val="21"/>
        </w:rPr>
        <w:fldChar w:fldCharType="separate"/>
      </w:r>
      <w:r>
        <w:rPr>
          <w:rFonts w:hint="eastAsia" w:ascii="宋体" w:hAnsi="宋体" w:cs="宋体"/>
          <w:color w:val="auto"/>
          <w:sz w:val="21"/>
          <w:szCs w:val="21"/>
        </w:rPr>
        <w:t>51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_Toc8523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_Toc8523 \h </w:instrText>
      </w:r>
      <w:r>
        <w:rPr>
          <w:rFonts w:hint="eastAsia" w:ascii="宋体" w:hAnsi="宋体" w:cs="宋体"/>
          <w:color w:val="auto"/>
          <w:sz w:val="21"/>
          <w:szCs w:val="21"/>
        </w:rPr>
        <w:fldChar w:fldCharType="separate"/>
      </w:r>
      <w:r>
        <w:rPr>
          <w:rFonts w:hint="eastAsia" w:ascii="宋体" w:hAnsi="宋体" w:cs="宋体"/>
          <w:color w:val="auto"/>
          <w:sz w:val="21"/>
          <w:szCs w:val="21"/>
        </w:rPr>
        <w:t>56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_Toc26317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_Toc26317 \h </w:instrText>
      </w:r>
      <w:r>
        <w:rPr>
          <w:rFonts w:hint="eastAsia" w:ascii="宋体" w:hAnsi="宋体" w:cs="宋体"/>
          <w:color w:val="auto"/>
          <w:sz w:val="21"/>
          <w:szCs w:val="21"/>
        </w:rPr>
        <w:fldChar w:fldCharType="separate"/>
      </w:r>
      <w:r>
        <w:rPr>
          <w:rFonts w:hint="eastAsia" w:ascii="宋体" w:hAnsi="宋体" w:cs="宋体"/>
          <w:color w:val="auto"/>
          <w:sz w:val="21"/>
          <w:szCs w:val="21"/>
        </w:rPr>
        <w:t>58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_Toc24295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附表四</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_Toc24295 \h </w:instrText>
      </w:r>
      <w:r>
        <w:rPr>
          <w:rFonts w:hint="eastAsia" w:ascii="宋体" w:hAnsi="宋体" w:cs="宋体"/>
          <w:color w:val="auto"/>
          <w:sz w:val="21"/>
          <w:szCs w:val="21"/>
        </w:rPr>
        <w:fldChar w:fldCharType="separate"/>
      </w:r>
      <w:r>
        <w:rPr>
          <w:rFonts w:hint="eastAsia" w:ascii="宋体" w:hAnsi="宋体" w:cs="宋体"/>
          <w:color w:val="auto"/>
          <w:sz w:val="21"/>
          <w:szCs w:val="21"/>
        </w:rPr>
        <w:t>61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_Toc30116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附表五（适用于加权平均法）</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_Toc30116 \h </w:instrText>
      </w:r>
      <w:r>
        <w:rPr>
          <w:rFonts w:hint="eastAsia" w:ascii="宋体" w:hAnsi="宋体" w:cs="宋体"/>
          <w:color w:val="auto"/>
          <w:sz w:val="21"/>
          <w:szCs w:val="21"/>
        </w:rPr>
        <w:fldChar w:fldCharType="separate"/>
      </w:r>
      <w:r>
        <w:rPr>
          <w:rFonts w:hint="eastAsia" w:ascii="宋体" w:hAnsi="宋体" w:cs="宋体"/>
          <w:color w:val="auto"/>
          <w:sz w:val="21"/>
          <w:szCs w:val="21"/>
        </w:rPr>
        <w:t>64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_Toc27004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附表六</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_Toc27004 \h </w:instrText>
      </w:r>
      <w:r>
        <w:rPr>
          <w:rFonts w:hint="eastAsia" w:ascii="宋体" w:hAnsi="宋体" w:cs="宋体"/>
          <w:color w:val="auto"/>
          <w:sz w:val="21"/>
          <w:szCs w:val="21"/>
        </w:rPr>
        <w:fldChar w:fldCharType="separate"/>
      </w:r>
      <w:r>
        <w:rPr>
          <w:rFonts w:hint="eastAsia" w:ascii="宋体" w:hAnsi="宋体" w:cs="宋体"/>
          <w:color w:val="auto"/>
          <w:sz w:val="21"/>
          <w:szCs w:val="21"/>
        </w:rPr>
        <w:t>65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附表七</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_Toc1597 \h </w:instrText>
      </w:r>
      <w:r>
        <w:rPr>
          <w:rFonts w:hint="eastAsia" w:ascii="宋体" w:hAnsi="宋体" w:cs="宋体"/>
          <w:color w:val="auto"/>
          <w:sz w:val="21"/>
          <w:szCs w:val="21"/>
        </w:rPr>
        <w:fldChar w:fldCharType="separate"/>
      </w:r>
      <w:r>
        <w:rPr>
          <w:rFonts w:hint="eastAsia" w:ascii="宋体" w:hAnsi="宋体" w:cs="宋体"/>
          <w:color w:val="auto"/>
          <w:sz w:val="21"/>
          <w:szCs w:val="21"/>
        </w:rPr>
        <w:t>67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_Toc9682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附表八</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_Toc9682 \h </w:instrText>
      </w:r>
      <w:r>
        <w:rPr>
          <w:rFonts w:hint="eastAsia" w:ascii="宋体" w:hAnsi="宋体" w:cs="宋体"/>
          <w:color w:val="auto"/>
          <w:sz w:val="21"/>
          <w:szCs w:val="21"/>
        </w:rPr>
        <w:fldChar w:fldCharType="separate"/>
      </w:r>
      <w:r>
        <w:rPr>
          <w:rFonts w:hint="eastAsia" w:ascii="宋体" w:hAnsi="宋体" w:cs="宋体"/>
          <w:color w:val="auto"/>
          <w:sz w:val="21"/>
          <w:szCs w:val="21"/>
        </w:rPr>
        <w:t>68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_Toc27522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w:t>
      </w: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_Toc27522 \h </w:instrText>
      </w:r>
      <w:r>
        <w:rPr>
          <w:rFonts w:hint="eastAsia" w:ascii="宋体" w:hAnsi="宋体" w:cs="宋体"/>
          <w:color w:val="auto"/>
          <w:sz w:val="21"/>
          <w:szCs w:val="21"/>
        </w:rPr>
        <w:fldChar w:fldCharType="separate"/>
      </w:r>
      <w:r>
        <w:rPr>
          <w:rFonts w:hint="eastAsia" w:ascii="宋体" w:hAnsi="宋体" w:cs="宋体"/>
          <w:color w:val="auto"/>
          <w:sz w:val="21"/>
          <w:szCs w:val="21"/>
        </w:rPr>
        <w:t>69</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_Toc25062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_Toc25062 \h </w:instrText>
      </w:r>
      <w:r>
        <w:rPr>
          <w:rFonts w:hint="eastAsia" w:ascii="宋体" w:hAnsi="宋体" w:cs="宋体"/>
          <w:color w:val="auto"/>
          <w:sz w:val="21"/>
          <w:szCs w:val="21"/>
        </w:rPr>
        <w:fldChar w:fldCharType="separate"/>
      </w:r>
      <w:r>
        <w:rPr>
          <w:rFonts w:hint="eastAsia" w:ascii="宋体" w:hAnsi="宋体" w:cs="宋体"/>
          <w:color w:val="auto"/>
          <w:sz w:val="21"/>
          <w:szCs w:val="21"/>
        </w:rPr>
        <w:t>70</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_Toc7909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_Toc7909 \h </w:instrText>
      </w:r>
      <w:r>
        <w:rPr>
          <w:rFonts w:hint="eastAsia" w:ascii="宋体" w:hAnsi="宋体" w:cs="宋体"/>
          <w:color w:val="auto"/>
          <w:sz w:val="21"/>
          <w:szCs w:val="21"/>
        </w:rPr>
        <w:fldChar w:fldCharType="separate"/>
      </w:r>
      <w:r>
        <w:rPr>
          <w:rFonts w:hint="eastAsia" w:ascii="宋体" w:hAnsi="宋体" w:cs="宋体"/>
          <w:color w:val="auto"/>
          <w:sz w:val="21"/>
          <w:szCs w:val="21"/>
        </w:rPr>
        <w:t>71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_Toc26197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_Toc26197 \h </w:instrText>
      </w:r>
      <w:r>
        <w:rPr>
          <w:rFonts w:hint="eastAsia" w:ascii="宋体" w:hAnsi="宋体" w:cs="宋体"/>
          <w:color w:val="auto"/>
          <w:sz w:val="21"/>
          <w:szCs w:val="21"/>
        </w:rPr>
        <w:fldChar w:fldCharType="separate"/>
      </w:r>
      <w:r>
        <w:rPr>
          <w:rFonts w:hint="eastAsia" w:ascii="宋体" w:hAnsi="宋体" w:cs="宋体"/>
          <w:color w:val="auto"/>
          <w:sz w:val="21"/>
          <w:szCs w:val="21"/>
        </w:rPr>
        <w:t>72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_Toc14313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第三章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合同条款</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_Toc14313 \h </w:instrText>
      </w:r>
      <w:r>
        <w:rPr>
          <w:rFonts w:hint="eastAsia" w:cs="宋体"/>
          <w:color w:val="auto"/>
          <w:sz w:val="21"/>
          <w:szCs w:val="21"/>
        </w:rPr>
        <w:fldChar w:fldCharType="separate"/>
      </w:r>
      <w:r>
        <w:rPr>
          <w:rFonts w:hint="eastAsia" w:cs="宋体"/>
          <w:color w:val="auto"/>
          <w:sz w:val="21"/>
          <w:szCs w:val="21"/>
        </w:rPr>
        <w:t>73</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_Toc8692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第四章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投标文件格式</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_Toc8692 \h </w:instrText>
      </w:r>
      <w:r>
        <w:rPr>
          <w:rFonts w:hint="eastAsia" w:cs="宋体"/>
          <w:color w:val="auto"/>
          <w:sz w:val="21"/>
          <w:szCs w:val="21"/>
        </w:rPr>
        <w:fldChar w:fldCharType="separate"/>
      </w:r>
      <w:r>
        <w:rPr>
          <w:rFonts w:hint="eastAsia" w:cs="宋体"/>
          <w:color w:val="auto"/>
          <w:sz w:val="21"/>
          <w:szCs w:val="21"/>
        </w:rPr>
        <w:t>154</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一、技术标投标文件格式</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_Toc1070 \h </w:instrText>
      </w:r>
      <w:r>
        <w:rPr>
          <w:rFonts w:hint="eastAsia" w:ascii="宋体" w:hAnsi="宋体" w:cs="宋体"/>
          <w:color w:val="auto"/>
          <w:sz w:val="21"/>
          <w:szCs w:val="21"/>
        </w:rPr>
        <w:fldChar w:fldCharType="separate"/>
      </w:r>
      <w:r>
        <w:rPr>
          <w:rFonts w:hint="eastAsia" w:ascii="宋体" w:hAnsi="宋体" w:cs="宋体"/>
          <w:color w:val="auto"/>
          <w:sz w:val="21"/>
          <w:szCs w:val="21"/>
        </w:rPr>
        <w:t>154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_Toc1634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_Toc1634 \h </w:instrText>
      </w:r>
      <w:r>
        <w:rPr>
          <w:rFonts w:hint="eastAsia" w:ascii="宋体" w:hAnsi="宋体" w:cs="宋体"/>
          <w:color w:val="auto"/>
          <w:sz w:val="21"/>
          <w:szCs w:val="21"/>
        </w:rPr>
        <w:fldChar w:fldCharType="separate"/>
      </w:r>
      <w:r>
        <w:rPr>
          <w:rFonts w:hint="eastAsia" w:ascii="宋体" w:hAnsi="宋体" w:cs="宋体"/>
          <w:color w:val="auto"/>
          <w:sz w:val="21"/>
          <w:szCs w:val="21"/>
        </w:rPr>
        <w:t>154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_Toc10062 \h </w:instrText>
      </w:r>
      <w:r>
        <w:rPr>
          <w:rFonts w:hint="eastAsia" w:ascii="宋体" w:hAnsi="宋体" w:cs="宋体"/>
          <w:color w:val="auto"/>
          <w:sz w:val="21"/>
          <w:szCs w:val="21"/>
        </w:rPr>
        <w:fldChar w:fldCharType="separate"/>
      </w:r>
      <w:r>
        <w:rPr>
          <w:rFonts w:hint="eastAsia" w:ascii="宋体" w:hAnsi="宋体" w:cs="宋体"/>
          <w:color w:val="auto"/>
          <w:sz w:val="21"/>
          <w:szCs w:val="21"/>
        </w:rPr>
        <w:t>155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格式三：</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_Toc10082 \h </w:instrText>
      </w:r>
      <w:r>
        <w:rPr>
          <w:rFonts w:hint="eastAsia" w:ascii="宋体" w:hAnsi="宋体" w:cs="宋体"/>
          <w:color w:val="auto"/>
          <w:sz w:val="21"/>
          <w:szCs w:val="21"/>
        </w:rPr>
        <w:fldChar w:fldCharType="separate"/>
      </w:r>
      <w:r>
        <w:rPr>
          <w:rFonts w:hint="eastAsia" w:ascii="宋体" w:hAnsi="宋体" w:cs="宋体"/>
          <w:color w:val="auto"/>
          <w:sz w:val="21"/>
          <w:szCs w:val="21"/>
        </w:rPr>
        <w:t>157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_Toc12877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格式四</w:t>
      </w:r>
      <w:r>
        <w:rPr>
          <w:rFonts w:hint="eastAsia" w:ascii="宋体" w:hAnsi="宋体" w:cs="宋体"/>
          <w:snapToGrid w:val="0"/>
          <w:color w:val="auto"/>
          <w:spacing w:val="4"/>
          <w:sz w:val="21"/>
          <w:szCs w:val="21"/>
          <w:highlight w:val="none"/>
        </w:rPr>
        <w:t>：</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_Toc12877 \h </w:instrText>
      </w:r>
      <w:r>
        <w:rPr>
          <w:rFonts w:hint="eastAsia" w:ascii="宋体" w:hAnsi="宋体" w:cs="宋体"/>
          <w:color w:val="auto"/>
          <w:sz w:val="21"/>
          <w:szCs w:val="21"/>
        </w:rPr>
        <w:fldChar w:fldCharType="separate"/>
      </w:r>
      <w:r>
        <w:rPr>
          <w:rFonts w:hint="eastAsia" w:ascii="宋体" w:hAnsi="宋体" w:cs="宋体"/>
          <w:color w:val="auto"/>
          <w:sz w:val="21"/>
          <w:szCs w:val="21"/>
        </w:rPr>
        <w:t>161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_Toc5390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格式五：</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_Toc5390 \h </w:instrText>
      </w:r>
      <w:r>
        <w:rPr>
          <w:rFonts w:hint="eastAsia" w:ascii="宋体" w:hAnsi="宋体" w:cs="宋体"/>
          <w:color w:val="auto"/>
          <w:sz w:val="21"/>
          <w:szCs w:val="21"/>
        </w:rPr>
        <w:fldChar w:fldCharType="separate"/>
      </w:r>
      <w:r>
        <w:rPr>
          <w:rFonts w:hint="eastAsia" w:ascii="宋体" w:hAnsi="宋体" w:cs="宋体"/>
          <w:color w:val="auto"/>
          <w:sz w:val="21"/>
          <w:szCs w:val="21"/>
        </w:rPr>
        <w:t>162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_Toc13170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格式六：</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_Toc13170 \h </w:instrText>
      </w:r>
      <w:r>
        <w:rPr>
          <w:rFonts w:hint="eastAsia" w:ascii="宋体" w:hAnsi="宋体" w:cs="宋体"/>
          <w:color w:val="auto"/>
          <w:sz w:val="21"/>
          <w:szCs w:val="21"/>
        </w:rPr>
        <w:fldChar w:fldCharType="separate"/>
      </w:r>
      <w:r>
        <w:rPr>
          <w:rFonts w:hint="eastAsia" w:ascii="宋体" w:hAnsi="宋体" w:cs="宋体"/>
          <w:color w:val="auto"/>
          <w:sz w:val="21"/>
          <w:szCs w:val="21"/>
        </w:rPr>
        <w:t>164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_Toc20669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格式七：</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_Toc20669 \h </w:instrText>
      </w:r>
      <w:r>
        <w:rPr>
          <w:rFonts w:hint="eastAsia" w:ascii="宋体" w:hAnsi="宋体" w:cs="宋体"/>
          <w:color w:val="auto"/>
          <w:sz w:val="21"/>
          <w:szCs w:val="21"/>
        </w:rPr>
        <w:fldChar w:fldCharType="separate"/>
      </w:r>
      <w:r>
        <w:rPr>
          <w:rFonts w:hint="eastAsia" w:ascii="宋体" w:hAnsi="宋体" w:cs="宋体"/>
          <w:color w:val="auto"/>
          <w:sz w:val="21"/>
          <w:szCs w:val="21"/>
        </w:rPr>
        <w:t>165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_Toc27175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格式八：</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_Toc27175 \h </w:instrText>
      </w:r>
      <w:r>
        <w:rPr>
          <w:rFonts w:hint="eastAsia" w:ascii="宋体" w:hAnsi="宋体" w:cs="宋体"/>
          <w:color w:val="auto"/>
          <w:sz w:val="21"/>
          <w:szCs w:val="21"/>
        </w:rPr>
        <w:fldChar w:fldCharType="separate"/>
      </w:r>
      <w:r>
        <w:rPr>
          <w:rFonts w:hint="eastAsia" w:ascii="宋体" w:hAnsi="宋体" w:cs="宋体"/>
          <w:color w:val="auto"/>
          <w:sz w:val="21"/>
          <w:szCs w:val="21"/>
        </w:rPr>
        <w:t>166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格式九：</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_Toc31223 \h </w:instrText>
      </w:r>
      <w:r>
        <w:rPr>
          <w:rFonts w:hint="eastAsia" w:ascii="宋体" w:hAnsi="宋体" w:cs="宋体"/>
          <w:color w:val="auto"/>
          <w:sz w:val="21"/>
          <w:szCs w:val="21"/>
        </w:rPr>
        <w:fldChar w:fldCharType="separate"/>
      </w:r>
      <w:r>
        <w:rPr>
          <w:rFonts w:hint="eastAsia" w:ascii="宋体" w:hAnsi="宋体" w:cs="宋体"/>
          <w:color w:val="auto"/>
          <w:sz w:val="21"/>
          <w:szCs w:val="21"/>
        </w:rPr>
        <w:t>170</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_Toc26253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二、经济标投标文件格式</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_Toc26253 \h </w:instrText>
      </w:r>
      <w:r>
        <w:rPr>
          <w:rFonts w:hint="eastAsia" w:ascii="宋体" w:hAnsi="宋体" w:cs="宋体"/>
          <w:color w:val="auto"/>
          <w:sz w:val="21"/>
          <w:szCs w:val="21"/>
        </w:rPr>
        <w:fldChar w:fldCharType="separate"/>
      </w:r>
      <w:r>
        <w:rPr>
          <w:rFonts w:hint="eastAsia" w:ascii="宋体" w:hAnsi="宋体" w:cs="宋体"/>
          <w:color w:val="auto"/>
          <w:sz w:val="21"/>
          <w:szCs w:val="21"/>
        </w:rPr>
        <w:t>171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_Toc31787 </w:instrText>
      </w:r>
      <w:r>
        <w:rPr>
          <w:rFonts w:hint="eastAsia" w:ascii="宋体" w:hAnsi="宋体" w:eastAsia="宋体" w:cs="宋体"/>
          <w:color w:val="auto"/>
          <w:sz w:val="21"/>
          <w:szCs w:val="21"/>
          <w:highlight w:val="none"/>
        </w:rPr>
        <w:fldChar w:fldCharType="separate"/>
      </w:r>
      <w:r>
        <w:rPr>
          <w:rFonts w:hint="eastAsia" w:ascii="宋体" w:hAnsi="宋体" w:cs="宋体"/>
          <w:snapToGrid w:val="0"/>
          <w:color w:val="auto"/>
          <w:sz w:val="21"/>
          <w:szCs w:val="21"/>
          <w:highlight w:val="none"/>
        </w:rPr>
        <w:t>格式十：</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_Toc31787 \h </w:instrText>
      </w:r>
      <w:r>
        <w:rPr>
          <w:rFonts w:hint="eastAsia" w:ascii="宋体" w:hAnsi="宋体" w:cs="宋体"/>
          <w:color w:val="auto"/>
          <w:sz w:val="21"/>
          <w:szCs w:val="21"/>
        </w:rPr>
        <w:fldChar w:fldCharType="separate"/>
      </w:r>
      <w:r>
        <w:rPr>
          <w:rFonts w:hint="eastAsia" w:ascii="宋体" w:hAnsi="宋体" w:cs="宋体"/>
          <w:color w:val="auto"/>
          <w:sz w:val="21"/>
          <w:szCs w:val="21"/>
        </w:rPr>
        <w:t>171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_Toc23263 </w:instrText>
      </w:r>
      <w:r>
        <w:rPr>
          <w:rFonts w:hint="eastAsia" w:ascii="宋体" w:hAnsi="宋体" w:eastAsia="宋体" w:cs="宋体"/>
          <w:color w:val="auto"/>
          <w:sz w:val="21"/>
          <w:szCs w:val="21"/>
          <w:highlight w:val="none"/>
        </w:rPr>
        <w:fldChar w:fldCharType="separate"/>
      </w:r>
      <w:r>
        <w:rPr>
          <w:rFonts w:hint="eastAsia" w:ascii="宋体" w:hAnsi="宋体" w:cs="宋体"/>
          <w:snapToGrid w:val="0"/>
          <w:color w:val="auto"/>
          <w:sz w:val="21"/>
          <w:szCs w:val="21"/>
          <w:highlight w:val="none"/>
        </w:rPr>
        <w:t>格式十一：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_Toc23263 \h </w:instrText>
      </w:r>
      <w:r>
        <w:rPr>
          <w:rFonts w:hint="eastAsia" w:ascii="宋体" w:hAnsi="宋体" w:cs="宋体"/>
          <w:color w:val="auto"/>
          <w:sz w:val="21"/>
          <w:szCs w:val="21"/>
        </w:rPr>
        <w:fldChar w:fldCharType="separate"/>
      </w:r>
      <w:r>
        <w:rPr>
          <w:rFonts w:hint="eastAsia" w:ascii="宋体" w:hAnsi="宋体" w:cs="宋体"/>
          <w:color w:val="auto"/>
          <w:sz w:val="21"/>
          <w:szCs w:val="21"/>
        </w:rPr>
        <w:t>172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_Toc2827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w:t>
      </w:r>
      <w:r>
        <w:rPr>
          <w:rFonts w:hint="eastAsia" w:ascii="宋体" w:hAnsi="宋体" w:cs="宋体"/>
          <w:snapToGrid w:val="0"/>
          <w:color w:val="auto"/>
          <w:sz w:val="21"/>
          <w:szCs w:val="21"/>
          <w:highlight w:val="none"/>
        </w:rPr>
        <w:t>十二</w:t>
      </w:r>
      <w:r>
        <w:rPr>
          <w:rFonts w:hint="eastAsia" w:ascii="宋体" w:hAnsi="宋体" w:cs="宋体"/>
          <w:color w:val="auto"/>
          <w:kern w:val="2"/>
          <w:sz w:val="21"/>
          <w:szCs w:val="21"/>
          <w:highlight w:val="none"/>
        </w:rPr>
        <w:t>：</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_Toc2827 \h </w:instrText>
      </w:r>
      <w:r>
        <w:rPr>
          <w:rFonts w:hint="eastAsia" w:ascii="宋体" w:hAnsi="宋体" w:cs="宋体"/>
          <w:color w:val="auto"/>
          <w:sz w:val="21"/>
          <w:szCs w:val="21"/>
        </w:rPr>
        <w:fldChar w:fldCharType="separate"/>
      </w:r>
      <w:r>
        <w:rPr>
          <w:rFonts w:hint="eastAsia" w:ascii="宋体" w:hAnsi="宋体" w:cs="宋体"/>
          <w:color w:val="auto"/>
          <w:sz w:val="21"/>
          <w:szCs w:val="21"/>
        </w:rPr>
        <w:t>173</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_Toc21733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第五章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技术条件（工程建设标准）</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_Toc21733 \h </w:instrText>
      </w:r>
      <w:r>
        <w:rPr>
          <w:rFonts w:hint="eastAsia" w:cs="宋体"/>
          <w:color w:val="auto"/>
          <w:sz w:val="21"/>
          <w:szCs w:val="21"/>
        </w:rPr>
        <w:fldChar w:fldCharType="separate"/>
      </w:r>
      <w:r>
        <w:rPr>
          <w:rFonts w:hint="eastAsia" w:cs="宋体"/>
          <w:color w:val="auto"/>
          <w:sz w:val="21"/>
          <w:szCs w:val="21"/>
        </w:rPr>
        <w:t>174</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_Toc27309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第六章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图纸及勘察资料</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_Toc27309 \h </w:instrText>
      </w:r>
      <w:r>
        <w:rPr>
          <w:rFonts w:hint="eastAsia" w:cs="宋体"/>
          <w:color w:val="auto"/>
          <w:sz w:val="21"/>
          <w:szCs w:val="21"/>
        </w:rPr>
        <w:fldChar w:fldCharType="separate"/>
      </w:r>
      <w:r>
        <w:rPr>
          <w:rFonts w:hint="eastAsia" w:cs="宋体"/>
          <w:color w:val="auto"/>
          <w:sz w:val="21"/>
          <w:szCs w:val="21"/>
        </w:rPr>
        <w:t>177</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_Toc2050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第七章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工程量清单</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_Toc2050 \h </w:instrText>
      </w:r>
      <w:r>
        <w:rPr>
          <w:rFonts w:hint="eastAsia" w:cs="宋体"/>
          <w:color w:val="auto"/>
          <w:sz w:val="21"/>
          <w:szCs w:val="21"/>
        </w:rPr>
        <w:fldChar w:fldCharType="separate"/>
      </w:r>
      <w:r>
        <w:rPr>
          <w:rFonts w:hint="eastAsia" w:cs="宋体"/>
          <w:color w:val="auto"/>
          <w:sz w:val="21"/>
          <w:szCs w:val="21"/>
        </w:rPr>
        <w:t>178</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_Toc10732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第八章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最高投标限价</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_Toc10732 \h </w:instrText>
      </w:r>
      <w:r>
        <w:rPr>
          <w:rFonts w:hint="eastAsia" w:cs="宋体"/>
          <w:color w:val="auto"/>
          <w:sz w:val="21"/>
          <w:szCs w:val="21"/>
        </w:rPr>
        <w:fldChar w:fldCharType="separate"/>
      </w:r>
      <w:r>
        <w:rPr>
          <w:rFonts w:hint="eastAsia" w:cs="宋体"/>
          <w:color w:val="auto"/>
          <w:sz w:val="21"/>
          <w:szCs w:val="21"/>
        </w:rPr>
        <w:t>179</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26"/>
        <w:spacing w:before="62" w:after="62" w:line="240" w:lineRule="auto"/>
        <w:rPr>
          <w:rFonts w:hAnsi="宋体"/>
          <w:color w:val="auto"/>
          <w:highlight w:val="none"/>
        </w:rPr>
      </w:pPr>
      <w:r>
        <w:rPr>
          <w:rFonts w:hint="eastAsia" w:hAnsi="宋体" w:cs="宋体"/>
          <w:color w:val="auto"/>
          <w:sz w:val="21"/>
          <w:szCs w:val="21"/>
          <w:highlight w:val="none"/>
        </w:rPr>
        <w:fldChar w:fldCharType="end"/>
      </w:r>
      <w:bookmarkStart w:id="0" w:name="_Toc2272545"/>
    </w:p>
    <w:p>
      <w:pPr>
        <w:widowControl/>
        <w:jc w:val="both"/>
        <w:rPr>
          <w:rFonts w:ascii="宋体" w:hAnsi="宋体" w:cs="宋体"/>
          <w:b/>
          <w:color w:val="auto"/>
          <w:kern w:val="44"/>
          <w:sz w:val="24"/>
          <w:szCs w:val="24"/>
          <w:highlight w:val="none"/>
        </w:rPr>
      </w:pPr>
      <w:r>
        <w:rPr>
          <w:rFonts w:ascii="宋体" w:hAnsi="宋体"/>
          <w:color w:val="auto"/>
          <w:sz w:val="24"/>
          <w:szCs w:val="24"/>
          <w:highlight w:val="none"/>
        </w:rPr>
        <w:br w:type="page"/>
      </w:r>
    </w:p>
    <w:p>
      <w:pPr>
        <w:spacing w:before="0" w:after="0" w:line="240" w:lineRule="auto"/>
        <w:jc w:val="both"/>
        <w:outlineLvl w:val="9"/>
        <w:rPr>
          <w:rFonts w:hint="eastAsia" w:ascii="宋体" w:hAnsi="宋体"/>
          <w:color w:val="auto"/>
          <w:highlight w:val="none"/>
        </w:rPr>
      </w:pPr>
      <w:bookmarkStart w:id="1" w:name="_Toc112397805"/>
      <w:bookmarkStart w:id="2" w:name="_Toc3724"/>
      <w:bookmarkStart w:id="3" w:name="_Toc25838"/>
      <w:bookmarkStart w:id="4" w:name="_Toc21091"/>
      <w:bookmarkStart w:id="5" w:name="_Toc8943"/>
    </w:p>
    <w:p>
      <w:pPr>
        <w:pStyle w:val="3"/>
        <w:rPr>
          <w:rFonts w:ascii="宋体" w:hAnsi="宋体"/>
          <w:color w:val="auto"/>
          <w:highlight w:val="none"/>
        </w:rPr>
      </w:pP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投标须知</w:t>
      </w:r>
      <w:bookmarkEnd w:id="0"/>
      <w:bookmarkEnd w:id="1"/>
      <w:bookmarkEnd w:id="2"/>
      <w:bookmarkEnd w:id="3"/>
      <w:bookmarkEnd w:id="4"/>
      <w:bookmarkEnd w:id="5"/>
    </w:p>
    <w:p>
      <w:pPr>
        <w:pStyle w:val="5"/>
        <w:rPr>
          <w:rFonts w:ascii="宋体" w:hAnsi="宋体"/>
          <w:color w:val="auto"/>
          <w:highlight w:val="none"/>
        </w:rPr>
      </w:pPr>
      <w:bookmarkStart w:id="6" w:name="_Toc8136"/>
      <w:bookmarkStart w:id="7" w:name="_Toc28670"/>
      <w:bookmarkStart w:id="8" w:name="_Toc112397806"/>
      <w:bookmarkStart w:id="9" w:name="_Toc8021"/>
      <w:bookmarkStart w:id="10" w:name="_Toc2272546"/>
      <w:bookmarkStart w:id="11" w:name="_Toc8405"/>
      <w:r>
        <w:rPr>
          <w:rFonts w:hint="eastAsia" w:ascii="宋体" w:hAnsi="宋体"/>
          <w:color w:val="auto"/>
          <w:highlight w:val="none"/>
        </w:rPr>
        <w:t>一、投标须知前附表</w:t>
      </w:r>
      <w:bookmarkEnd w:id="6"/>
      <w:bookmarkEnd w:id="7"/>
      <w:bookmarkEnd w:id="8"/>
      <w:bookmarkEnd w:id="9"/>
      <w:bookmarkEnd w:id="10"/>
      <w:bookmarkEnd w:id="11"/>
    </w:p>
    <w:p>
      <w:pPr>
        <w:pStyle w:val="8"/>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声明：本投标须知前附表使用</w:t>
      </w:r>
      <w:r>
        <w:rPr>
          <w:rFonts w:ascii="宋体" w:hAnsi="宋体" w:cs="宋体"/>
          <w:b/>
          <w:color w:val="auto"/>
          <w:szCs w:val="21"/>
          <w:highlight w:val="none"/>
        </w:rPr>
        <w:t>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49"/>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86"/>
        <w:gridCol w:w="1754"/>
        <w:gridCol w:w="6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886" w:type="dxa"/>
            <w:tcBorders>
              <w:top w:val="doub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1754" w:type="dxa"/>
            <w:tcBorders>
              <w:top w:val="double" w:color="auto" w:sz="4" w:space="0"/>
              <w:left w:val="single" w:color="auto" w:sz="4" w:space="0"/>
              <w:bottom w:val="single" w:color="auto" w:sz="4" w:space="0"/>
              <w:right w:val="single" w:color="auto" w:sz="4" w:space="0"/>
            </w:tcBorders>
            <w:vAlign w:val="center"/>
          </w:tcPr>
          <w:p>
            <w:pPr>
              <w:spacing w:line="264" w:lineRule="auto"/>
              <w:ind w:firstLine="0"/>
              <w:jc w:val="center"/>
              <w:rPr>
                <w:rFonts w:ascii="宋体" w:hAnsi="宋体" w:cs="宋体"/>
                <w:color w:val="auto"/>
                <w:szCs w:val="21"/>
                <w:highlight w:val="none"/>
              </w:rPr>
            </w:pPr>
            <w:r>
              <w:rPr>
                <w:rFonts w:hint="eastAsia" w:ascii="宋体" w:hAnsi="宋体" w:cs="宋体"/>
                <w:color w:val="auto"/>
                <w:szCs w:val="21"/>
                <w:highlight w:val="none"/>
              </w:rPr>
              <w:t>内容</w:t>
            </w:r>
          </w:p>
        </w:tc>
        <w:tc>
          <w:tcPr>
            <w:tcW w:w="6008" w:type="dxa"/>
            <w:tcBorders>
              <w:top w:val="double" w:color="auto" w:sz="4" w:space="0"/>
              <w:left w:val="single" w:color="auto" w:sz="4" w:space="0"/>
              <w:bottom w:val="single" w:color="auto" w:sz="4" w:space="0"/>
              <w:right w:val="double" w:color="auto" w:sz="4" w:space="0"/>
            </w:tcBorders>
            <w:vAlign w:val="center"/>
          </w:tcPr>
          <w:p>
            <w:pPr>
              <w:pStyle w:val="28"/>
              <w:spacing w:line="264" w:lineRule="auto"/>
              <w:ind w:firstLine="0"/>
              <w:jc w:val="center"/>
              <w:rPr>
                <w:rFonts w:ascii="宋体" w:hAnsi="宋体" w:cs="宋体"/>
                <w:color w:val="auto"/>
                <w:szCs w:val="21"/>
                <w:highlight w:val="none"/>
              </w:rPr>
            </w:pPr>
            <w:r>
              <w:rPr>
                <w:rFonts w:hint="eastAsia" w:ascii="宋体" w:hAnsi="宋体" w:cs="宋体"/>
                <w:color w:val="auto"/>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定义</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highlight w:val="none"/>
                <w:u w:val="single"/>
              </w:rPr>
            </w:pPr>
            <w:r>
              <w:rPr>
                <w:rFonts w:hint="eastAsia" w:ascii="宋体" w:hAnsi="宋体" w:cs="宋体"/>
                <w:color w:val="auto"/>
                <w:highlight w:val="none"/>
              </w:rPr>
              <w:t>招标人（即发包人）：</w:t>
            </w:r>
            <w:r>
              <w:rPr>
                <w:rFonts w:hint="eastAsia" w:ascii="宋体" w:hAnsi="宋体" w:cs="宋体"/>
                <w:color w:val="auto"/>
                <w:highlight w:val="none"/>
                <w:u w:val="single"/>
              </w:rPr>
              <w:t>广州开发区财政投资建设项目管理中心</w:t>
            </w:r>
          </w:p>
          <w:p>
            <w:pPr>
              <w:spacing w:line="264" w:lineRule="auto"/>
              <w:rPr>
                <w:rFonts w:hint="default" w:ascii="宋体" w:hAnsi="宋体" w:cs="宋体"/>
                <w:color w:val="auto"/>
                <w:highlight w:val="none"/>
                <w:u w:val="single"/>
                <w:lang w:val="en-US"/>
              </w:rPr>
            </w:pPr>
            <w:r>
              <w:rPr>
                <w:rFonts w:hint="eastAsia" w:ascii="宋体" w:hAnsi="宋体" w:cs="宋体"/>
                <w:color w:val="auto"/>
                <w:highlight w:val="none"/>
              </w:rPr>
              <w:t>招标代理：</w:t>
            </w:r>
            <w:r>
              <w:rPr>
                <w:rFonts w:hint="eastAsia" w:ascii="宋体" w:hAnsi="宋体" w:cs="宋体"/>
                <w:color w:val="auto"/>
                <w:highlight w:val="none"/>
                <w:u w:val="single"/>
              </w:rPr>
              <w:t>广东省国际工程咨询有限公司</w:t>
            </w:r>
          </w:p>
          <w:p>
            <w:pPr>
              <w:pStyle w:val="26"/>
              <w:spacing w:line="264" w:lineRule="auto"/>
              <w:rPr>
                <w:rFonts w:hint="default"/>
                <w:color w:val="auto"/>
                <w:highlight w:val="none"/>
                <w:lang w:val="en-US"/>
              </w:rPr>
            </w:pPr>
            <w:r>
              <w:rPr>
                <w:rFonts w:hint="eastAsia"/>
                <w:color w:val="auto"/>
                <w:highlight w:val="none"/>
                <w:lang w:val="en-US" w:eastAsia="zh-CN"/>
              </w:rPr>
              <w:t>代建单位：</w:t>
            </w:r>
            <w:r>
              <w:rPr>
                <w:rFonts w:hint="eastAsia"/>
                <w:color w:val="auto"/>
                <w:highlight w:val="none"/>
                <w:u w:val="single"/>
                <w:lang w:val="en-US" w:eastAsia="zh-CN"/>
              </w:rPr>
              <w:t>广州东进新区开发有限公司</w:t>
            </w:r>
          </w:p>
          <w:p>
            <w:pPr>
              <w:spacing w:line="264" w:lineRule="auto"/>
              <w:rPr>
                <w:rFonts w:hint="eastAsia" w:ascii="宋体" w:hAnsi="宋体" w:cs="宋体"/>
                <w:color w:val="auto"/>
                <w:highlight w:val="none"/>
                <w:u w:val="single"/>
                <w:lang w:val="en-US" w:eastAsia="zh-CN"/>
              </w:rPr>
            </w:pPr>
            <w:r>
              <w:rPr>
                <w:rFonts w:hint="eastAsia" w:ascii="宋体" w:hAnsi="宋体" w:cs="宋体"/>
                <w:color w:val="auto"/>
                <w:highlight w:val="none"/>
              </w:rPr>
              <w:t>设计单位：</w:t>
            </w:r>
            <w:r>
              <w:rPr>
                <w:rFonts w:hint="eastAsia" w:ascii="宋体" w:hAnsi="宋体" w:cs="宋体"/>
                <w:color w:val="auto"/>
                <w:highlight w:val="none"/>
                <w:u w:val="single"/>
                <w:lang w:val="en-US" w:eastAsia="zh-CN"/>
              </w:rPr>
              <w:t>广州市市政工程设计研究总院有限公司</w:t>
            </w:r>
          </w:p>
          <w:p>
            <w:pPr>
              <w:spacing w:line="264" w:lineRule="auto"/>
              <w:rPr>
                <w:rFonts w:ascii="宋体" w:hAnsi="宋体" w:cs="宋体"/>
                <w:color w:val="auto"/>
                <w:highlight w:val="none"/>
              </w:rPr>
            </w:pPr>
            <w:r>
              <w:rPr>
                <w:rFonts w:hint="eastAsia" w:ascii="宋体" w:hAnsi="宋体" w:cs="宋体"/>
                <w:color w:val="auto"/>
                <w:highlight w:val="none"/>
              </w:rPr>
              <w:t>监理单位：</w:t>
            </w:r>
            <w:r>
              <w:rPr>
                <w:rFonts w:ascii="宋体" w:hAnsi="宋体" w:cs="宋体"/>
                <w:color w:val="auto"/>
                <w:highlight w:val="none"/>
                <w:u w:val="single"/>
              </w:rPr>
              <w:t xml:space="preserve">     / </w:t>
            </w:r>
            <w:r>
              <w:rPr>
                <w:rFonts w:ascii="宋体" w:hAnsi="宋体" w:cs="宋体"/>
                <w:color w:val="auto"/>
                <w:szCs w:val="21"/>
                <w:highlight w:val="none"/>
                <w:u w:val="single"/>
              </w:rPr>
              <w:t xml:space="preserve">    </w:t>
            </w:r>
          </w:p>
          <w:p>
            <w:pPr>
              <w:spacing w:line="264" w:lineRule="auto"/>
              <w:rPr>
                <w:rFonts w:ascii="宋体" w:hAnsi="宋体" w:cs="宋体"/>
                <w:color w:val="auto"/>
                <w:szCs w:val="21"/>
                <w:highlight w:val="none"/>
              </w:rPr>
            </w:pPr>
            <w:r>
              <w:rPr>
                <w:rFonts w:hint="eastAsia" w:ascii="宋体" w:hAnsi="宋体" w:cs="宋体"/>
                <w:color w:val="auto"/>
                <w:highlight w:val="none"/>
              </w:rPr>
              <w:t>检测机构：</w:t>
            </w:r>
            <w:r>
              <w:rPr>
                <w:rFonts w:ascii="宋体" w:hAnsi="宋体" w:cs="宋体"/>
                <w:color w:val="auto"/>
                <w:highlight w:val="none"/>
                <w:u w:val="single"/>
              </w:rPr>
              <w:t xml:space="preserve">     /</w:t>
            </w:r>
            <w:r>
              <w:rPr>
                <w:rFonts w:ascii="宋体" w:hAnsi="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工程名称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hint="eastAsia"/>
                <w:color w:val="auto"/>
                <w:highlight w:val="none"/>
                <w:lang w:eastAsia="zh-CN"/>
              </w:rPr>
            </w:pPr>
            <w:r>
              <w:rPr>
                <w:rFonts w:hint="eastAsia" w:ascii="宋体" w:hAnsi="宋体" w:eastAsia="宋体" w:cs="宋体"/>
                <w:color w:val="auto"/>
                <w:sz w:val="21"/>
                <w:szCs w:val="21"/>
                <w:u w:val="single"/>
                <w:lang w:eastAsia="zh-CN"/>
              </w:rPr>
              <w:t>广州开发区东区D01地块平整工程之D02、D03施工总承包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建设地点</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建设规模</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承包方式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包工、包料、包工期、包质量、包安全、包文明施工、包验收、包保修、综合单价包干，措施项目费（除施工围蔽费用外）包干，施工围蔽清单综合单价包干，工程量按实计量。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质量标准</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b/>
                <w:color w:val="auto"/>
                <w:szCs w:val="21"/>
                <w:highlight w:val="none"/>
                <w:u w:val="single"/>
              </w:rPr>
            </w:pPr>
            <w:r>
              <w:rPr>
                <w:rFonts w:hint="eastAsia" w:ascii="宋体" w:hAnsi="宋体" w:cs="宋体"/>
                <w:color w:val="auto"/>
                <w:szCs w:val="21"/>
                <w:highlight w:val="none"/>
                <w:u w:val="single"/>
              </w:rPr>
              <w:t>工程质量达到国家或行业质量检验评定的合格标准。</w:t>
            </w:r>
          </w:p>
          <w:p>
            <w:pPr>
              <w:spacing w:line="264" w:lineRule="auto"/>
              <w:rPr>
                <w:rFonts w:ascii="宋体" w:hAnsi="宋体" w:cs="宋体"/>
                <w:color w:val="auto"/>
                <w:highlight w:val="none"/>
                <w:u w:val="single"/>
              </w:rPr>
            </w:pPr>
            <w:r>
              <w:rPr>
                <w:rFonts w:hint="eastAsia" w:ascii="宋体" w:hAnsi="宋体"/>
                <w:color w:val="auto"/>
                <w:highlight w:val="none"/>
                <w:u w:val="single"/>
              </w:rPr>
              <w:t>注：本工程正式签署合同时，</w:t>
            </w:r>
            <w:r>
              <w:rPr>
                <w:rFonts w:hint="eastAsia" w:ascii="宋体" w:hAnsi="宋体"/>
                <w:color w:val="auto"/>
                <w:szCs w:val="21"/>
                <w:highlight w:val="none"/>
                <w:u w:val="single"/>
              </w:rPr>
              <w:t>质量标准</w:t>
            </w:r>
            <w:r>
              <w:rPr>
                <w:rFonts w:hint="eastAsia" w:ascii="宋体" w:hAnsi="宋体"/>
                <w:color w:val="auto"/>
                <w:highlight w:val="none"/>
                <w:u w:val="single"/>
              </w:rPr>
              <w:t>按中标人投标文件承诺质量标准。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招标范围</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工期要求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ind w:firstLine="105" w:firstLineChars="50"/>
              <w:rPr>
                <w:rFonts w:ascii="宋体" w:hAnsi="宋体" w:cs="宋体"/>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日计划开工，施工总期：</w:t>
            </w:r>
            <w:r>
              <w:rPr>
                <w:rFonts w:hint="eastAsia" w:ascii="宋体" w:hAnsi="宋体" w:cs="宋体"/>
                <w:color w:val="auto"/>
                <w:szCs w:val="21"/>
                <w:highlight w:val="none"/>
                <w:u w:val="single"/>
                <w:lang w:val="en-US" w:eastAsia="zh-CN"/>
              </w:rPr>
              <w:t>240</w:t>
            </w:r>
            <w:r>
              <w:rPr>
                <w:rFonts w:hint="eastAsia" w:ascii="宋体" w:hAnsi="宋体" w:cs="宋体"/>
                <w:color w:val="auto"/>
                <w:szCs w:val="21"/>
                <w:highlight w:val="none"/>
              </w:rPr>
              <w:t>日历天。</w:t>
            </w:r>
          </w:p>
          <w:p>
            <w:pPr>
              <w:pStyle w:val="26"/>
              <w:spacing w:line="264" w:lineRule="auto"/>
              <w:rPr>
                <w:rFonts w:hAnsi="宋体"/>
                <w:color w:val="auto"/>
                <w:highlight w:val="none"/>
              </w:rPr>
            </w:pPr>
            <w:r>
              <w:rPr>
                <w:rFonts w:hint="eastAsia" w:hAnsi="宋体"/>
                <w:color w:val="auto"/>
                <w:highlight w:val="none"/>
                <w:u w:val="single"/>
              </w:rPr>
              <w:t>注：本工程正式签署合同时，施工工期按中标投标文件承诺工期。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3.1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资金来源</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4.1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投标人资质等级及项目负责人等级要求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ind w:firstLine="458"/>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13.1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报价以及单价和总价计算方式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bookmarkStart w:id="12" w:name="EBdfd7e3fe86a241738f1c1d356c309534"/>
            <w:r>
              <w:rPr>
                <w:rFonts w:hint="eastAsia" w:ascii="宋体" w:hAnsi="宋体" w:cs="宋体"/>
                <w:color w:val="auto"/>
                <w:szCs w:val="21"/>
                <w:highlight w:val="none"/>
              </w:rPr>
              <w:t>工程量清单计价</w:t>
            </w:r>
            <w:r>
              <w:rPr>
                <w:rFonts w:hint="eastAsia" w:ascii="宋体" w:hAnsi="宋体" w:cs="宋体"/>
                <w:color w:val="auto"/>
                <w:szCs w:val="21"/>
                <w:highlight w:val="none"/>
                <w:u w:val="single"/>
              </w:rPr>
              <w:t>，按国家、省有关计价规范执行。纳入年度审计项目计划的政府投资项目，审计机关出具的审计结果应当作为该政府投资项目价款结算的依据（适用于纳入年度审计项目计划的项目）。</w:t>
            </w:r>
            <w:bookmarkEnd w:id="1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15.1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投标有效期</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b/>
                <w:color w:val="auto"/>
                <w:szCs w:val="21"/>
                <w:highlight w:val="none"/>
                <w:u w:val="single"/>
              </w:rPr>
              <w:t>90</w:t>
            </w:r>
            <w:r>
              <w:rPr>
                <w:rFonts w:hint="eastAsia" w:ascii="宋体" w:hAnsi="宋体" w:cs="宋体"/>
                <w:color w:val="auto"/>
                <w:szCs w:val="21"/>
                <w:highlight w:val="none"/>
              </w:rPr>
              <w:t>日历天。（从投标截止之日计起）。</w:t>
            </w:r>
            <w:r>
              <w:rPr>
                <w:rFonts w:hint="eastAsia" w:ascii="宋体" w:hAnsi="宋体" w:cs="宋体"/>
                <w:color w:val="auto"/>
                <w:szCs w:val="21"/>
                <w:highlight w:val="none"/>
                <w:u w:val="single"/>
              </w:rPr>
              <w:t>如投标有效期内发生异议或投诉的，则投标有效期自动延长至异议或投诉处理结束后</w:t>
            </w:r>
            <w:r>
              <w:rPr>
                <w:rFonts w:ascii="宋体" w:hAnsi="宋体" w:cs="宋体"/>
                <w:color w:val="auto"/>
                <w:szCs w:val="21"/>
                <w:highlight w:val="none"/>
                <w:u w:val="single"/>
              </w:rPr>
              <w:t>90日历天。中标人的投标有效期自动延期至合同履行完毕。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16.1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投标保证金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u w:val="single"/>
              </w:rPr>
            </w:pPr>
            <w:r>
              <w:rPr>
                <w:rFonts w:hint="eastAsia" w:ascii="宋体" w:hAnsi="宋体"/>
                <w:color w:val="auto"/>
                <w:szCs w:val="21"/>
                <w:highlight w:val="none"/>
                <w:u w:val="single"/>
              </w:rPr>
              <w:t>方式一：本项目不收投标保证金。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5</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踏勘现场</w:t>
            </w:r>
          </w:p>
        </w:tc>
        <w:tc>
          <w:tcPr>
            <w:tcW w:w="6008" w:type="dxa"/>
            <w:tcBorders>
              <w:top w:val="single" w:color="auto" w:sz="4" w:space="0"/>
              <w:left w:val="single" w:color="auto" w:sz="4" w:space="0"/>
              <w:bottom w:val="single" w:color="auto" w:sz="4" w:space="0"/>
              <w:right w:val="double" w:color="auto" w:sz="4" w:space="0"/>
            </w:tcBorders>
            <w:vAlign w:val="center"/>
          </w:tcPr>
          <w:p>
            <w:pPr>
              <w:pStyle w:val="28"/>
              <w:spacing w:line="264" w:lineRule="auto"/>
              <w:rPr>
                <w:rFonts w:ascii="宋体" w:hAnsi="宋体" w:cs="宋体"/>
                <w:color w:val="auto"/>
                <w:szCs w:val="21"/>
                <w:highlight w:val="none"/>
              </w:rPr>
            </w:pPr>
            <w:r>
              <w:rPr>
                <w:rFonts w:hint="eastAsia" w:ascii="宋体" w:hAnsi="宋体" w:cs="宋体"/>
                <w:color w:val="auto"/>
                <w:szCs w:val="21"/>
                <w:highlight w:val="none"/>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8</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投标答疑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1.方式：网上答疑</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 xml:space="preserve">2.疑问提交时间：   </w:t>
            </w:r>
            <w:r>
              <w:rPr>
                <w:rFonts w:hint="eastAsia" w:ascii="宋体" w:hAnsi="宋体" w:cs="宋体"/>
                <w:color w:val="auto"/>
                <w:szCs w:val="21"/>
                <w:highlight w:val="none"/>
                <w:u w:val="singl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时前</w:t>
            </w:r>
            <w:r>
              <w:rPr>
                <w:rFonts w:hint="eastAsia" w:ascii="宋体" w:hAnsi="宋体" w:cs="宋体"/>
                <w:color w:val="auto"/>
                <w:szCs w:val="21"/>
                <w:highlight w:val="none"/>
                <w:u w:val="single"/>
              </w:rPr>
              <w:t>(在递交投标文件截止日期前18日)</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 xml:space="preserve">3.招标人澄清、修补或答疑期限：在递交投标文件截止日期前15 </w:t>
            </w:r>
            <w:r>
              <w:rPr>
                <w:rFonts w:hint="eastAsia" w:ascii="宋体" w:hAnsi="宋体" w:cs="宋体"/>
                <w:color w:val="auto"/>
                <w:szCs w:val="21"/>
                <w:highlight w:val="none"/>
                <w:u w:val="single"/>
              </w:rPr>
              <w:t>日</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4.网上答疑的操作指南为：登陆</w:t>
            </w:r>
            <w:r>
              <w:rPr>
                <w:rFonts w:hint="eastAsia" w:ascii="宋体" w:hAnsi="宋体" w:cs="宋体"/>
                <w:color w:val="auto"/>
                <w:szCs w:val="21"/>
                <w:highlight w:val="none"/>
                <w:u w:val="single"/>
              </w:rPr>
              <w:t>广州交易集团有限公司（广州公共资源交易中心）网站</w:t>
            </w:r>
            <w:r>
              <w:rPr>
                <w:rFonts w:ascii="宋体" w:hAnsi="宋体" w:cs="宋体"/>
                <w:color w:val="auto"/>
                <w:szCs w:val="21"/>
                <w:highlight w:val="none"/>
                <w:u w:val="single"/>
              </w:rPr>
              <w:t>-&gt;进入“我是</w:t>
            </w:r>
            <w:r>
              <w:rPr>
                <w:rFonts w:hint="eastAsia" w:ascii="宋体" w:hAnsi="宋体" w:cs="宋体"/>
                <w:color w:val="auto"/>
                <w:szCs w:val="21"/>
                <w:highlight w:val="none"/>
                <w:u w:val="single"/>
              </w:rPr>
              <w:t>投标人（供应商）”</w:t>
            </w:r>
            <w:r>
              <w:rPr>
                <w:rFonts w:ascii="宋体" w:hAnsi="宋体" w:cs="宋体"/>
                <w:color w:val="auto"/>
                <w:szCs w:val="21"/>
                <w:highlight w:val="none"/>
                <w:u w:val="single"/>
              </w:rPr>
              <w:t>-&gt;“我的投标”-&gt;“招标答疑提问”查询项目并提问。</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5.网上答疑的相关事项详见招标文件8.1款。</w:t>
            </w:r>
          </w:p>
          <w:p>
            <w:pPr>
              <w:spacing w:line="264" w:lineRule="auto"/>
              <w:rPr>
                <w:rFonts w:ascii="宋体" w:hAnsi="宋体" w:cs="宋体"/>
                <w:color w:val="auto"/>
                <w:szCs w:val="21"/>
                <w:highlight w:val="none"/>
              </w:rPr>
            </w:pPr>
            <w:r>
              <w:rPr>
                <w:rFonts w:ascii="宋体" w:hAnsi="宋体" w:cs="宋体"/>
                <w:color w:val="auto"/>
                <w:szCs w:val="21"/>
                <w:highlight w:val="none"/>
                <w:u w:val="single"/>
              </w:rPr>
              <w:t>6.提问一律不得署名。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20.1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投标截止时间</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20.1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开标开始时间和地点</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（技术标和经济标同时开标）</w:t>
            </w:r>
          </w:p>
          <w:p>
            <w:pPr>
              <w:spacing w:line="264" w:lineRule="auto"/>
              <w:rPr>
                <w:rFonts w:ascii="宋体" w:hAnsi="宋体" w:cs="宋体"/>
                <w:color w:val="auto"/>
                <w:szCs w:val="21"/>
                <w:highlight w:val="none"/>
              </w:rPr>
            </w:pPr>
            <w:r>
              <w:rPr>
                <w:rFonts w:ascii="宋体" w:hAnsi="宋体" w:cs="宋体"/>
                <w:color w:val="auto"/>
                <w:szCs w:val="21"/>
                <w:highlight w:val="none"/>
              </w:rPr>
              <w:t>1、开标开始时间：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分（与投标截止时间为同一时间），地点：</w:t>
            </w:r>
            <w:r>
              <w:rPr>
                <w:rFonts w:hint="eastAsia" w:ascii="宋体" w:hAnsi="宋体" w:cs="宋体"/>
                <w:color w:val="auto"/>
                <w:szCs w:val="21"/>
                <w:highlight w:val="none"/>
                <w:u w:val="single"/>
              </w:rPr>
              <w:t>广州交易集团有限公司（广州公共资源交易中心）黄埔交易部指定开标室</w:t>
            </w:r>
            <w:r>
              <w:rPr>
                <w:rFonts w:hint="eastAsia" w:ascii="宋体" w:hAnsi="宋体" w:cs="宋体"/>
                <w:color w:val="auto"/>
                <w:szCs w:val="21"/>
                <w:highlight w:val="none"/>
                <w:u w:val="none"/>
              </w:rPr>
              <w:t>。</w:t>
            </w:r>
            <w:r>
              <w:rPr>
                <w:rFonts w:hint="eastAsia" w:ascii="宋体" w:hAnsi="宋体" w:cs="宋体"/>
                <w:color w:val="auto"/>
                <w:szCs w:val="21"/>
                <w:highlight w:val="none"/>
              </w:rPr>
              <w:t>投标人也可选择参加在线开标，具体按照交易平台相关指南进行操作。详见：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szCs w:val="21"/>
                <w:highlight w:val="none"/>
              </w:rPr>
            </w:pPr>
            <w:r>
              <w:rPr>
                <w:rFonts w:hint="eastAsia" w:ascii="宋体" w:hAnsi="宋体" w:cs="宋体"/>
                <w:color w:val="auto"/>
                <w:szCs w:val="21"/>
                <w:highlight w:val="none"/>
              </w:rPr>
              <w:t>注：投标文件解密问题。投标人只用执行一次解密，招标人执行解密次数根据招标文件开标次数确定。</w:t>
            </w:r>
          </w:p>
          <w:p>
            <w:pPr>
              <w:spacing w:line="264" w:lineRule="auto"/>
              <w:rPr>
                <w:rFonts w:ascii="宋体" w:hAnsi="宋体" w:cs="宋体"/>
                <w:color w:val="auto"/>
                <w:szCs w:val="21"/>
                <w:highlight w:val="none"/>
              </w:rPr>
            </w:pPr>
            <w:r>
              <w:rPr>
                <w:rFonts w:ascii="宋体" w:hAnsi="宋体" w:cs="宋体"/>
                <w:color w:val="auto"/>
                <w:szCs w:val="21"/>
                <w:highlight w:val="none"/>
              </w:rPr>
              <w:t>2、递交投标文件备用光盘时间：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分至</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分；递交地点：</w:t>
            </w:r>
            <w:r>
              <w:rPr>
                <w:rFonts w:hint="eastAsia" w:ascii="宋体" w:hAnsi="宋体" w:cs="宋体"/>
                <w:color w:val="auto"/>
                <w:szCs w:val="21"/>
                <w:highlight w:val="none"/>
                <w:u w:val="single"/>
              </w:rPr>
              <w:t>广州交易集团有限公司（广州公共资源交易中心）黄埔交易部指定开标室</w:t>
            </w:r>
            <w:r>
              <w:rPr>
                <w:rFonts w:hint="eastAsia" w:ascii="宋体" w:hAnsi="宋体" w:cs="宋体"/>
                <w:color w:val="auto"/>
                <w:szCs w:val="21"/>
                <w:highlight w:val="none"/>
              </w:rPr>
              <w:t>。投标人也可选择参加在线开标，具体按照交易平台相关指南进行操作。详见：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highlight w:val="none"/>
              </w:rPr>
            </w:pPr>
            <w:r>
              <w:rPr>
                <w:rFonts w:ascii="宋体" w:hAnsi="宋体" w:cs="宋体"/>
                <w:color w:val="auto"/>
                <w:highlight w:val="none"/>
              </w:rPr>
              <w:t>3、投标人应在投标文件递交截止时间前通过广州交易集团有限公司（广州公共资源交易中心）电子招标投标交易平台递交电子投标文件。</w:t>
            </w:r>
          </w:p>
          <w:p>
            <w:pPr>
              <w:spacing w:line="264" w:lineRule="auto"/>
              <w:rPr>
                <w:rFonts w:ascii="宋体" w:hAnsi="宋体" w:cs="宋体"/>
                <w:color w:val="auto"/>
                <w:szCs w:val="21"/>
                <w:highlight w:val="none"/>
                <w:u w:val="single"/>
              </w:rPr>
            </w:pPr>
            <w:r>
              <w:rPr>
                <w:rFonts w:hint="eastAsia" w:ascii="宋体" w:hAnsi="宋体" w:cs="宋体"/>
                <w:color w:val="auto"/>
                <w:highlight w:val="none"/>
                <w:u w:val="single"/>
              </w:rPr>
              <w:t>上述时间及地点是否有改变，请密切留意补充公告和招标澄清答疑纪要的相关信息。投标人可登录广州交易集团有限公司（广州公共资源交易中心）网站首页，点击“建设工程”专栏中的“项目查询（日程安排、答疑纪要）”输入项目编号或名称查询最新信息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restart"/>
            <w:tcBorders>
              <w:top w:val="single" w:color="auto" w:sz="4" w:space="0"/>
              <w:left w:val="doub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19</w:t>
            </w:r>
          </w:p>
        </w:tc>
        <w:tc>
          <w:tcPr>
            <w:tcW w:w="886" w:type="dxa"/>
            <w:vMerge w:val="restart"/>
            <w:tcBorders>
              <w:top w:val="single" w:color="auto" w:sz="4" w:space="0"/>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26</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lang w:eastAsia="zh-CN"/>
              </w:rPr>
              <w:t>评标办法</w:t>
            </w:r>
            <w:r>
              <w:rPr>
                <w:rFonts w:hint="eastAsia" w:ascii="宋体" w:hAnsi="宋体" w:cs="宋体"/>
                <w:color w:val="auto"/>
                <w:szCs w:val="21"/>
                <w:highlight w:val="none"/>
                <w:u w:val="single"/>
              </w:rPr>
              <w:t>采用评定分离</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rPr>
                <w:rFonts w:hint="eastAsia" w:ascii="宋体" w:hAnsi="宋体"/>
                <w:color w:val="auto"/>
                <w:szCs w:val="21"/>
                <w:highlight w:val="none"/>
                <w:u w:val="single"/>
              </w:rPr>
            </w:pPr>
            <w:r>
              <w:rPr>
                <w:rFonts w:hint="eastAsia" w:ascii="宋体" w:hAnsi="宋体"/>
                <w:b/>
                <w:bCs/>
                <w:color w:val="auto"/>
                <w:szCs w:val="21"/>
                <w:highlight w:val="none"/>
                <w:u w:val="single"/>
              </w:rPr>
              <w:t>评标用办法六</w:t>
            </w:r>
            <w:r>
              <w:rPr>
                <w:rFonts w:hint="eastAsia" w:ascii="宋体" w:hAnsi="宋体"/>
                <w:color w:val="auto"/>
                <w:szCs w:val="21"/>
                <w:highlight w:val="none"/>
                <w:u w:val="single"/>
              </w:rPr>
              <w:t>（适合综合评分法三，技术标与经济标同时开启），采用两阶段综合评标法，具体内容如下：</w:t>
            </w:r>
          </w:p>
          <w:p>
            <w:pPr>
              <w:pStyle w:val="47"/>
              <w:spacing w:after="0" w:line="264" w:lineRule="auto"/>
              <w:rPr>
                <w:rFonts w:hint="eastAsia" w:ascii="宋体" w:hAnsi="宋体"/>
                <w:b/>
                <w:bCs/>
                <w:color w:val="auto"/>
                <w:szCs w:val="21"/>
                <w:highlight w:val="none"/>
                <w:u w:val="single"/>
              </w:rPr>
            </w:pPr>
            <w:r>
              <w:rPr>
                <w:rFonts w:hint="eastAsia" w:ascii="宋体" w:hAnsi="宋体"/>
                <w:b/>
                <w:bCs/>
                <w:color w:val="auto"/>
                <w:szCs w:val="21"/>
                <w:highlight w:val="none"/>
                <w:u w:val="single"/>
              </w:rPr>
              <w:t>第一阶段得分=技术分×技术分权重为100%</w:t>
            </w:r>
          </w:p>
          <w:p>
            <w:pPr>
              <w:pStyle w:val="47"/>
              <w:spacing w:after="0" w:line="264" w:lineRule="auto"/>
              <w:rPr>
                <w:rFonts w:hint="eastAsia" w:ascii="宋体" w:hAnsi="宋体"/>
                <w:color w:val="auto"/>
                <w:szCs w:val="21"/>
                <w:highlight w:val="none"/>
                <w:u w:val="single"/>
              </w:rPr>
            </w:pPr>
            <w:r>
              <w:rPr>
                <w:rFonts w:hint="eastAsia" w:ascii="宋体" w:hAnsi="宋体"/>
                <w:b/>
                <w:bCs/>
                <w:color w:val="auto"/>
                <w:szCs w:val="21"/>
                <w:highlight w:val="none"/>
                <w:u w:val="single"/>
              </w:rPr>
              <w:t>第二阶段得分（总得分）=技术分×技术分权</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lang w:val="en-US" w:eastAsia="zh-CN"/>
              </w:rPr>
              <w:t>20%</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lang w:val="en-US" w:eastAsia="zh-CN"/>
              </w:rPr>
              <w:t>＋</w:t>
            </w:r>
            <w:r>
              <w:rPr>
                <w:rFonts w:hint="eastAsia" w:ascii="宋体" w:hAnsi="宋体"/>
                <w:b/>
                <w:bCs/>
                <w:color w:val="auto"/>
                <w:szCs w:val="21"/>
                <w:highlight w:val="none"/>
                <w:u w:val="single"/>
              </w:rPr>
              <w:t>经济分×经济分权重（</w:t>
            </w:r>
            <w:r>
              <w:rPr>
                <w:rFonts w:hint="eastAsia" w:ascii="宋体" w:hAnsi="宋体"/>
                <w:b/>
                <w:bCs/>
                <w:color w:val="auto"/>
                <w:szCs w:val="21"/>
                <w:highlight w:val="none"/>
                <w:u w:val="single"/>
                <w:lang w:val="en-US" w:eastAsia="zh-CN"/>
              </w:rPr>
              <w:t>80</w:t>
            </w:r>
            <w:r>
              <w:rPr>
                <w:rFonts w:hint="eastAsia" w:ascii="宋体" w:hAnsi="宋体"/>
                <w:b/>
                <w:bCs/>
                <w:color w:val="auto"/>
                <w:szCs w:val="21"/>
                <w:highlight w:val="none"/>
                <w:u w:val="single"/>
              </w:rPr>
              <w:t>%）</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进入第二阶段评审的家数：</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①通过技术有效性审查的投标人均进入第二阶段（适用于通过技术有效性审查家数在[3,20]中的）。</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②将第一阶段得分由高至低排序，前20名投标人进入第二阶段评审（适用于通过技术有效性审查家数大于20家的</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则</w:t>
            </w:r>
            <w:r>
              <w:rPr>
                <w:rFonts w:hint="eastAsia" w:ascii="宋体" w:hAnsi="宋体"/>
                <w:color w:val="auto"/>
                <w:szCs w:val="21"/>
                <w:highlight w:val="none"/>
                <w:u w:val="single"/>
              </w:rPr>
              <w:t>确定</w:t>
            </w:r>
            <w:r>
              <w:rPr>
                <w:rFonts w:hint="eastAsia" w:ascii="宋体" w:hAnsi="宋体"/>
                <w:color w:val="auto"/>
                <w:szCs w:val="21"/>
                <w:highlight w:val="none"/>
                <w:u w:val="single"/>
                <w:lang w:val="en-US" w:eastAsia="zh-CN"/>
              </w:rPr>
              <w:t>前</w:t>
            </w:r>
            <w:r>
              <w:rPr>
                <w:rFonts w:hint="eastAsia" w:ascii="宋体" w:hAnsi="宋体"/>
                <w:color w:val="auto"/>
                <w:szCs w:val="21"/>
                <w:highlight w:val="none"/>
                <w:u w:val="single"/>
              </w:rPr>
              <w:t>20家进入第二阶段)。若投标人得分相同的，则名次并列，占用名次，以投标总报价较低的排前</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如仍存在相同情况，则对具有相同情况的投标人，由评标委员会采用记名投票方式，确定前20家进入第二阶段。</w:t>
            </w:r>
          </w:p>
          <w:p>
            <w:pPr>
              <w:pStyle w:val="47"/>
              <w:spacing w:after="0" w:line="264" w:lineRule="auto"/>
              <w:rPr>
                <w:rFonts w:ascii="宋体" w:hAnsi="宋体"/>
                <w:color w:val="auto"/>
                <w:szCs w:val="21"/>
                <w:highlight w:val="none"/>
                <w:u w:val="single"/>
              </w:rPr>
            </w:pPr>
            <w:r>
              <w:rPr>
                <w:rFonts w:hint="eastAsia" w:ascii="宋体" w:hAnsi="宋体"/>
                <w:b/>
                <w:bCs/>
                <w:color w:val="auto"/>
                <w:szCs w:val="21"/>
                <w:highlight w:val="none"/>
                <w:u w:val="single"/>
              </w:rPr>
              <w:t>采用“有限数量制评审法”</w:t>
            </w:r>
            <w:r>
              <w:rPr>
                <w:rFonts w:hint="eastAsia" w:ascii="宋体" w:hAnsi="宋体"/>
                <w:color w:val="auto"/>
                <w:szCs w:val="21"/>
                <w:highlight w:val="none"/>
                <w:u w:val="single"/>
              </w:rPr>
              <w:t>，评标委员会按照第二阶段的排序推荐</w:t>
            </w:r>
            <w:r>
              <w:rPr>
                <w:rFonts w:hint="eastAsia" w:ascii="宋体" w:hAnsi="宋体"/>
                <w:color w:val="auto"/>
                <w:szCs w:val="21"/>
                <w:highlight w:val="none"/>
                <w:u w:val="single"/>
                <w:lang w:eastAsia="zh-CN"/>
              </w:rPr>
              <w:t>前</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名（通过经济标有效性审查家数在[3,</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]的，以实际家数为准；超过</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家的，则只推荐</w:t>
            </w:r>
            <w:r>
              <w:rPr>
                <w:rFonts w:hint="eastAsia" w:ascii="宋体" w:hAnsi="宋体"/>
                <w:color w:val="auto"/>
                <w:szCs w:val="21"/>
                <w:highlight w:val="none"/>
                <w:u w:val="single"/>
                <w:lang w:eastAsia="zh-CN"/>
              </w:rPr>
              <w:t>前</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hint="eastAsia" w:ascii="宋体" w:hAnsi="宋体" w:cs="宋体"/>
                <w:color w:val="auto"/>
                <w:szCs w:val="21"/>
                <w:highlight w:val="none"/>
                <w:u w:val="single"/>
                <w:lang w:eastAsia="zh-CN"/>
              </w:rPr>
            </w:pPr>
            <w:r>
              <w:rPr>
                <w:rFonts w:hint="eastAsia" w:ascii="宋体" w:hAnsi="宋体" w:cs="宋体"/>
                <w:color w:val="auto"/>
                <w:szCs w:val="21"/>
                <w:highlight w:val="none"/>
                <w:u w:val="single"/>
              </w:rPr>
              <w:t>定标办法</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rPr>
                <w:rFonts w:hint="eastAsia" w:ascii="宋体" w:hAnsi="宋体"/>
                <w:color w:val="auto"/>
                <w:szCs w:val="21"/>
                <w:highlight w:val="none"/>
                <w:u w:val="single"/>
              </w:rPr>
            </w:pPr>
            <w:r>
              <w:rPr>
                <w:rFonts w:hint="eastAsia" w:ascii="宋体" w:hAnsi="宋体"/>
                <w:b/>
                <w:bCs/>
                <w:color w:val="auto"/>
                <w:szCs w:val="21"/>
                <w:highlight w:val="none"/>
                <w:u w:val="single"/>
              </w:rPr>
              <w:t>定标采用</w:t>
            </w:r>
            <w:r>
              <w:rPr>
                <w:rFonts w:hint="eastAsia" w:ascii="宋体" w:hAnsi="宋体"/>
                <w:b/>
                <w:color w:val="auto"/>
                <w:szCs w:val="21"/>
                <w:u w:val="single"/>
              </w:rPr>
              <w:t>直接票决定标法（记名投票+撰写评语）：</w:t>
            </w:r>
            <w:r>
              <w:rPr>
                <w:rFonts w:hint="eastAsia" w:ascii="宋体" w:hAnsi="宋体"/>
                <w:color w:val="auto"/>
                <w:szCs w:val="21"/>
                <w:u w:val="single"/>
              </w:rPr>
              <w:t>定标委员会从</w:t>
            </w:r>
            <w:r>
              <w:rPr>
                <w:rFonts w:hint="eastAsia" w:ascii="宋体" w:hAnsi="宋体"/>
                <w:color w:val="auto"/>
                <w:szCs w:val="21"/>
                <w:u w:val="single"/>
                <w:lang w:val="en-US" w:eastAsia="zh-CN"/>
              </w:rPr>
              <w:t>所有</w:t>
            </w:r>
            <w:r>
              <w:rPr>
                <w:rFonts w:hint="eastAsia" w:ascii="宋体" w:hAnsi="宋体"/>
                <w:color w:val="auto"/>
                <w:szCs w:val="21"/>
                <w:u w:val="single"/>
              </w:rPr>
              <w:t>合格中标候选人当中以“记名投票+撰写评语”方式产生中标人。定标因素为</w:t>
            </w:r>
            <w:r>
              <w:rPr>
                <w:rFonts w:hint="eastAsia" w:ascii="宋体" w:hAnsi="宋体"/>
                <w:color w:val="auto"/>
                <w:szCs w:val="21"/>
                <w:u w:val="single"/>
                <w:lang w:eastAsia="zh-CN"/>
              </w:rPr>
              <w:t>方案</w:t>
            </w:r>
            <w:r>
              <w:rPr>
                <w:rFonts w:hint="eastAsia" w:ascii="宋体" w:hAnsi="宋体"/>
                <w:color w:val="auto"/>
                <w:szCs w:val="21"/>
                <w:u w:val="single"/>
              </w:rPr>
              <w:t>因素、价格因素。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29.1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履约担保</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highlight w:val="none"/>
              </w:rPr>
            </w:pPr>
            <w:r>
              <w:rPr>
                <w:rFonts w:hint="eastAsia" w:ascii="宋体" w:hAnsi="宋体" w:cs="宋体"/>
                <w:color w:val="auto"/>
                <w:highlight w:val="none"/>
              </w:rPr>
              <w:t>方式一：中标人提供的履约保证金为中标价款的</w:t>
            </w:r>
            <w:r>
              <w:rPr>
                <w:rFonts w:ascii="宋体" w:hAnsi="宋体" w:cs="宋体"/>
                <w:color w:val="auto"/>
                <w:highlight w:val="none"/>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本项目最高投标限价为人民币</w:t>
            </w:r>
            <w:r>
              <w:rPr>
                <w:rFonts w:hint="eastAsia" w:ascii="宋体" w:hAnsi="宋体" w:cs="宋体"/>
                <w:b/>
                <w:bCs/>
                <w:color w:val="auto"/>
                <w:szCs w:val="21"/>
                <w:highlight w:val="none"/>
                <w:u w:val="single"/>
                <w:lang w:val="en-US" w:eastAsia="zh-CN"/>
              </w:rPr>
              <w:t xml:space="preserve"> 47333689.29 </w:t>
            </w:r>
            <w:r>
              <w:rPr>
                <w:rFonts w:hint="eastAsia" w:ascii="宋体" w:hAnsi="宋体" w:cs="宋体"/>
                <w:color w:val="auto"/>
                <w:szCs w:val="21"/>
                <w:highlight w:val="none"/>
              </w:rPr>
              <w:t>元。详见招标人最终发出的《最高投标限价公布函》，投标总报价超过最高投标限价的投标文件将被拒绝。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非竞争费用</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ind w:left="0" w:leftChars="0" w:firstLine="0"/>
              <w:jc w:val="both"/>
              <w:rPr>
                <w:rFonts w:ascii="宋体" w:hAnsi="宋体" w:cs="宋体"/>
                <w:color w:val="auto"/>
                <w:szCs w:val="21"/>
                <w:highlight w:val="none"/>
              </w:rPr>
            </w:pPr>
            <w:r>
              <w:rPr>
                <w:rFonts w:hint="eastAsia" w:ascii="宋体" w:hAnsi="宋体" w:cs="宋体"/>
                <w:color w:val="auto"/>
                <w:szCs w:val="21"/>
                <w:highlight w:val="none"/>
              </w:rPr>
              <w:t>本项目绿色施工安全防护措施费为</w:t>
            </w:r>
            <w:r>
              <w:rPr>
                <w:rFonts w:hint="eastAsia" w:ascii="宋体" w:hAnsi="宋体" w:cs="宋体"/>
                <w:b/>
                <w:bCs/>
                <w:color w:val="auto"/>
                <w:szCs w:val="21"/>
                <w:highlight w:val="none"/>
                <w:u w:val="single"/>
                <w:lang w:val="en-US" w:eastAsia="zh-CN"/>
              </w:rPr>
              <w:t xml:space="preserve"> 572560.22 </w:t>
            </w:r>
            <w:r>
              <w:rPr>
                <w:rFonts w:hint="eastAsia" w:ascii="宋体" w:hAnsi="宋体" w:cs="宋体"/>
                <w:color w:val="auto"/>
                <w:szCs w:val="21"/>
                <w:highlight w:val="none"/>
              </w:rPr>
              <w:t>元（扬尘污染防治费用、使用封闭式外脚手架金属防护网费用和绿色施工围蔽费用等纳入绿色施工安全防护措施费），暂列金额为</w:t>
            </w:r>
            <w:r>
              <w:rPr>
                <w:rFonts w:hint="eastAsia" w:ascii="宋体" w:hAnsi="宋体" w:cs="宋体"/>
                <w:b/>
                <w:bCs/>
                <w:color w:val="auto"/>
                <w:szCs w:val="21"/>
                <w:highlight w:val="none"/>
                <w:u w:val="single"/>
                <w:lang w:val="en-US" w:eastAsia="zh-CN"/>
              </w:rPr>
              <w:t xml:space="preserve"> 1013695.93 </w:t>
            </w:r>
            <w:r>
              <w:rPr>
                <w:rFonts w:hint="eastAsia" w:ascii="宋体" w:hAnsi="宋体" w:cs="宋体"/>
                <w:color w:val="auto"/>
                <w:szCs w:val="21"/>
                <w:highlight w:val="none"/>
              </w:rPr>
              <w:t>元，暂估价为</w:t>
            </w:r>
            <w:r>
              <w:rPr>
                <w:rFonts w:ascii="宋体" w:hAnsi="宋体" w:cs="宋体"/>
                <w:color w:val="auto"/>
                <w:szCs w:val="21"/>
                <w:highlight w:val="none"/>
                <w:u w:val="single"/>
              </w:rPr>
              <w:t xml:space="preserve">  /  </w:t>
            </w:r>
            <w:r>
              <w:rPr>
                <w:rFonts w:hint="eastAsia" w:ascii="宋体" w:hAnsi="宋体" w:cs="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pStyle w:val="47"/>
              <w:spacing w:after="0" w:line="264" w:lineRule="auto"/>
              <w:ind w:firstLine="0"/>
              <w:rPr>
                <w:rFonts w:ascii="宋体" w:hAnsi="宋体" w:cs="宋体"/>
                <w:color w:val="auto"/>
                <w:szCs w:val="21"/>
                <w:highlight w:val="none"/>
              </w:rPr>
            </w:pPr>
            <w:r>
              <w:rPr>
                <w:rFonts w:hint="eastAsia" w:ascii="宋体" w:hAnsi="宋体" w:cs="宋体"/>
                <w:color w:val="auto"/>
                <w:szCs w:val="21"/>
                <w:highlight w:val="none"/>
              </w:rPr>
              <w:t>保修期</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计算评标参考价的等分点值</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进入第二阶段评审的家数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rPr>
            </w:pPr>
            <w:r>
              <w:rPr>
                <w:rFonts w:hint="eastAsia" w:ascii="宋体" w:hAnsi="宋体"/>
                <w:color w:val="auto"/>
                <w:szCs w:val="21"/>
                <w:highlight w:val="none"/>
              </w:rPr>
              <w:t>①通过技术有效性审查的投标人均进入第二阶段（适用于通过技术有效性审查家数在</w:t>
            </w:r>
            <w:r>
              <w:rPr>
                <w:rFonts w:ascii="宋体" w:hAnsi="宋体"/>
                <w:color w:val="auto"/>
                <w:szCs w:val="21"/>
                <w:highlight w:val="none"/>
              </w:rPr>
              <w:t>[3,</w:t>
            </w:r>
            <w:r>
              <w:rPr>
                <w:rFonts w:ascii="宋体" w:hAnsi="宋体"/>
                <w:color w:val="auto"/>
                <w:szCs w:val="21"/>
                <w:highlight w:val="none"/>
                <w:u w:val="single"/>
              </w:rPr>
              <w:t>20</w:t>
            </w:r>
            <w:r>
              <w:rPr>
                <w:rFonts w:ascii="宋体" w:hAnsi="宋体"/>
                <w:color w:val="auto"/>
                <w:szCs w:val="21"/>
                <w:highlight w:val="none"/>
              </w:rPr>
              <w:t>]中的）。</w:t>
            </w:r>
          </w:p>
          <w:p>
            <w:pPr>
              <w:spacing w:line="264" w:lineRule="auto"/>
              <w:rPr>
                <w:rFonts w:ascii="宋体" w:hAnsi="宋体"/>
                <w:color w:val="auto"/>
                <w:szCs w:val="21"/>
                <w:highlight w:val="none"/>
              </w:rPr>
            </w:pPr>
            <w:r>
              <w:rPr>
                <w:rFonts w:hint="eastAsia" w:ascii="宋体" w:hAnsi="宋体"/>
                <w:color w:val="auto"/>
                <w:szCs w:val="21"/>
                <w:highlight w:val="none"/>
              </w:rPr>
              <w:t>②将第一阶段得分由高至低排序，前20名投标人进入第二阶段评审(适用于通过技术有效性审查家数大于20家的，</w:t>
            </w:r>
            <w:r>
              <w:rPr>
                <w:rFonts w:hint="eastAsia" w:ascii="宋体" w:hAnsi="宋体"/>
                <w:color w:val="auto"/>
                <w:szCs w:val="21"/>
                <w:highlight w:val="none"/>
                <w:lang w:val="en-US" w:eastAsia="zh-CN"/>
              </w:rPr>
              <w:t>则</w:t>
            </w:r>
            <w:r>
              <w:rPr>
                <w:rFonts w:hint="eastAsia" w:ascii="宋体" w:hAnsi="宋体"/>
                <w:color w:val="auto"/>
                <w:szCs w:val="21"/>
                <w:highlight w:val="none"/>
              </w:rPr>
              <w:t>确定</w:t>
            </w:r>
            <w:r>
              <w:rPr>
                <w:rFonts w:hint="eastAsia" w:ascii="宋体" w:hAnsi="宋体"/>
                <w:color w:val="auto"/>
                <w:szCs w:val="21"/>
                <w:highlight w:val="none"/>
                <w:lang w:val="en-US" w:eastAsia="zh-CN"/>
              </w:rPr>
              <w:t>前</w:t>
            </w:r>
            <w:r>
              <w:rPr>
                <w:rFonts w:hint="eastAsia" w:ascii="宋体" w:hAnsi="宋体"/>
                <w:color w:val="auto"/>
                <w:szCs w:val="21"/>
                <w:highlight w:val="none"/>
              </w:rPr>
              <w:t>20家进入第二阶段)若投标人得分相同的，则名次并列，占用名次，以投标总报价较低的排前</w:t>
            </w:r>
            <w:r>
              <w:rPr>
                <w:rFonts w:hint="eastAsia" w:ascii="宋体" w:hAnsi="宋体"/>
                <w:color w:val="auto"/>
                <w:szCs w:val="21"/>
                <w:highlight w:val="none"/>
                <w:lang w:eastAsia="zh-CN"/>
              </w:rPr>
              <w:t>；</w:t>
            </w:r>
            <w:r>
              <w:rPr>
                <w:rFonts w:hint="eastAsia" w:ascii="宋体" w:hAnsi="宋体"/>
                <w:color w:val="auto"/>
                <w:szCs w:val="21"/>
                <w:highlight w:val="none"/>
              </w:rPr>
              <w:t>如仍存在相同情况，则对具有相同情况的投标人，由评标委员会采用记名投票方式，确定前20家进入第二阶段。</w:t>
            </w:r>
          </w:p>
          <w:p>
            <w:pPr>
              <w:spacing w:line="264" w:lineRule="auto"/>
              <w:rPr>
                <w:rFonts w:ascii="宋体" w:hAnsi="宋体" w:cs="宋体"/>
                <w:strike/>
                <w:color w:val="auto"/>
                <w:szCs w:val="21"/>
                <w:highlight w:val="none"/>
              </w:rPr>
            </w:pPr>
            <w:r>
              <w:rPr>
                <w:rFonts w:hint="eastAsia" w:ascii="宋体" w:hAnsi="宋体"/>
                <w:color w:val="auto"/>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工程成本警戒价</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工程成本警戒价为</w:t>
            </w:r>
            <w:r>
              <w:rPr>
                <w:rFonts w:hint="eastAsia" w:ascii="宋体" w:hAnsi="宋体" w:cs="宋体"/>
                <w:b/>
                <w:bCs/>
                <w:color w:val="auto"/>
                <w:szCs w:val="21"/>
                <w:highlight w:val="none"/>
                <w:u w:val="single"/>
                <w:lang w:val="en-US" w:eastAsia="zh-CN"/>
              </w:rPr>
              <w:t xml:space="preserve"> 44573436.27 </w:t>
            </w:r>
            <w:r>
              <w:rPr>
                <w:rFonts w:hint="eastAsia" w:ascii="宋体" w:hAnsi="宋体" w:cs="宋体"/>
                <w:color w:val="auto"/>
                <w:szCs w:val="21"/>
                <w:highlight w:val="none"/>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264" w:lineRule="auto"/>
              <w:rPr>
                <w:rFonts w:ascii="宋体" w:hAnsi="宋体" w:cs="宋体"/>
                <w:color w:val="auto"/>
                <w:szCs w:val="21"/>
                <w:highlight w:val="none"/>
                <w:u w:val="single"/>
              </w:rPr>
            </w:pPr>
            <w:r>
              <w:rPr>
                <w:rFonts w:hint="eastAsia" w:ascii="宋体" w:hAnsi="宋体" w:cs="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第一阶段各分值的权重</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u w:val="single"/>
              </w:rPr>
            </w:pPr>
            <w:r>
              <w:rPr>
                <w:rFonts w:hint="eastAsia" w:ascii="宋体" w:hAnsi="宋体" w:cs="宋体"/>
                <w:color w:val="auto"/>
                <w:szCs w:val="21"/>
                <w:highlight w:val="none"/>
              </w:rPr>
              <w:t>技术分权重为</w:t>
            </w:r>
            <w:r>
              <w:rPr>
                <w:rFonts w:ascii="宋体" w:hAnsi="宋体" w:cs="宋体"/>
                <w:color w:val="auto"/>
                <w:szCs w:val="21"/>
                <w:highlight w:val="none"/>
                <w:u w:val="single"/>
              </w:rPr>
              <w:t>100</w:t>
            </w:r>
            <w:r>
              <w:rPr>
                <w:rFonts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restart"/>
            <w:tcBorders>
              <w:top w:val="single" w:color="auto" w:sz="4" w:space="0"/>
              <w:left w:val="doub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8</w:t>
            </w:r>
          </w:p>
        </w:tc>
        <w:tc>
          <w:tcPr>
            <w:tcW w:w="886" w:type="dxa"/>
            <w:vMerge w:val="restart"/>
            <w:tcBorders>
              <w:top w:val="single" w:color="auto" w:sz="4" w:space="0"/>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评标委员会人数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定标委员会人数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定标委员会由招标人依法组建，人数为</w:t>
            </w:r>
            <w:r>
              <w:rPr>
                <w:rFonts w:ascii="宋体" w:hAnsi="宋体" w:cs="宋体"/>
                <w:color w:val="auto"/>
                <w:szCs w:val="21"/>
                <w:highlight w:val="none"/>
              </w:rPr>
              <w:t>5名。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监督小组人数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监督小组由招标人组建，人数为</w:t>
            </w:r>
            <w:r>
              <w:rPr>
                <w:rFonts w:ascii="宋体" w:hAnsi="宋体" w:cs="宋体"/>
                <w:color w:val="auto"/>
                <w:szCs w:val="21"/>
                <w:highlight w:val="none"/>
              </w:rPr>
              <w:t>1名。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企业诚信综合评价分数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b/>
                <w:color w:val="auto"/>
                <w:szCs w:val="21"/>
                <w:highlight w:val="none"/>
                <w:u w:val="single"/>
              </w:rPr>
            </w:pPr>
            <w:r>
              <w:rPr>
                <w:rFonts w:hint="eastAsia" w:ascii="宋体" w:hAnsi="宋体" w:cs="宋体"/>
                <w:b/>
                <w:color w:val="auto"/>
                <w:szCs w:val="21"/>
                <w:highlight w:val="none"/>
                <w:u w:val="single"/>
              </w:rPr>
              <w:t>本项目不设置企业诚信综合评价分数。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第二阶段投标人名次的排序方法（适用于办法一、办法二）</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经济分相同情况下的排序方法（适用于办法三、办法四）</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第二阶段投标人名次的排序方法（适用于办法五、办法六）</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rPr>
            </w:pPr>
            <w:r>
              <w:rPr>
                <w:rFonts w:hint="eastAsia" w:ascii="宋体" w:hAnsi="宋体"/>
                <w:color w:val="auto"/>
                <w:szCs w:val="21"/>
                <w:highlight w:val="none"/>
              </w:rPr>
              <w:t>选取方法</w:t>
            </w:r>
            <w:r>
              <w:rPr>
                <w:rFonts w:ascii="宋体" w:hAnsi="宋体"/>
                <w:color w:val="auto"/>
                <w:szCs w:val="21"/>
                <w:highlight w:val="none"/>
                <w:u w:val="single"/>
              </w:rPr>
              <w:t xml:space="preserve"> 二 </w:t>
            </w:r>
          </w:p>
          <w:p>
            <w:pPr>
              <w:spacing w:line="264" w:lineRule="auto"/>
              <w:rPr>
                <w:rFonts w:ascii="宋体" w:hAnsi="宋体"/>
                <w:color w:val="auto"/>
                <w:szCs w:val="21"/>
                <w:highlight w:val="none"/>
              </w:rPr>
            </w:pPr>
            <w:r>
              <w:rPr>
                <w:rFonts w:hint="eastAsia" w:ascii="宋体" w:hAnsi="宋体"/>
                <w:color w:val="auto"/>
                <w:szCs w:val="21"/>
                <w:highlight w:val="none"/>
              </w:rPr>
              <w:t>方法二：</w:t>
            </w:r>
            <w:r>
              <w:rPr>
                <w:rFonts w:hint="eastAsia" w:ascii="宋体" w:hAnsi="宋体"/>
                <w:b/>
                <w:color w:val="auto"/>
                <w:szCs w:val="21"/>
                <w:highlight w:val="none"/>
                <w:u w:val="single"/>
              </w:rPr>
              <w:t>按照“总得分=技术分×技术分权（20%）＋经济分×经济分权重（80%）”的公式，计算各有效投标文件的总得分，并按照总得分</w:t>
            </w:r>
            <w:r>
              <w:rPr>
                <w:rFonts w:hint="eastAsia" w:ascii="宋体" w:hAnsi="宋体" w:eastAsia="宋体" w:cs="Times New Roman"/>
                <w:b/>
                <w:color w:val="auto"/>
                <w:sz w:val="21"/>
                <w:szCs w:val="21"/>
                <w:highlight w:val="none"/>
                <w:u w:val="single"/>
              </w:rPr>
              <w:t>从高到低排列先后次序。若投标人得分相同的，则以技术分较高的排前；投标人仍技术分相同，则以投标总报价较低的排前；如仍存在相同情况，则对具有相同情况的投标人，按中标候选人数量规定，由评标委员会采用记名投票方式，向招标人推荐</w:t>
            </w:r>
            <w:r>
              <w:rPr>
                <w:rFonts w:hint="default" w:ascii="宋体" w:hAnsi="宋体" w:eastAsia="宋体" w:cs="Times New Roman"/>
                <w:b/>
                <w:color w:val="auto"/>
                <w:sz w:val="21"/>
                <w:szCs w:val="21"/>
                <w:highlight w:val="none"/>
                <w:u w:val="single"/>
                <w:lang w:val="en-US"/>
              </w:rPr>
              <w:t>9名</w:t>
            </w:r>
            <w:r>
              <w:rPr>
                <w:rFonts w:hint="eastAsia" w:ascii="宋体" w:hAnsi="宋体" w:eastAsia="宋体" w:cs="Times New Roman"/>
                <w:b/>
                <w:color w:val="auto"/>
                <w:sz w:val="21"/>
                <w:szCs w:val="21"/>
                <w:highlight w:val="none"/>
                <w:u w:val="single"/>
              </w:rPr>
              <w:t>中标候选人</w:t>
            </w:r>
            <w:r>
              <w:rPr>
                <w:rFonts w:hint="eastAsia" w:ascii="宋体" w:hAnsi="宋体"/>
                <w:b/>
                <w:bCs/>
                <w:color w:val="auto"/>
                <w:szCs w:val="21"/>
                <w:highlight w:val="none"/>
                <w:u w:val="single"/>
              </w:rPr>
              <w:t>（通过经济标有效性审查家数在[3,</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]的，以实际家数为准；超过</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家的，则只推荐</w:t>
            </w:r>
            <w:r>
              <w:rPr>
                <w:rFonts w:hint="eastAsia" w:ascii="宋体" w:hAnsi="宋体"/>
                <w:b/>
                <w:bCs/>
                <w:color w:val="auto"/>
                <w:szCs w:val="21"/>
                <w:highlight w:val="none"/>
                <w:u w:val="single"/>
                <w:lang w:eastAsia="zh-CN"/>
              </w:rPr>
              <w:t>前</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家）</w:t>
            </w:r>
            <w:r>
              <w:rPr>
                <w:rFonts w:hint="eastAsia" w:ascii="宋体" w:hAnsi="宋体" w:eastAsia="宋体" w:cs="Times New Roman"/>
                <w:b/>
                <w:color w:val="auto"/>
                <w:sz w:val="21"/>
                <w:szCs w:val="21"/>
                <w:highlight w:val="none"/>
                <w:u w:val="single"/>
              </w:rPr>
              <w:t>【可按其统一社会信用代码后4 位（除校验码外）大小排位，不排序】</w:t>
            </w:r>
            <w:r>
              <w:rPr>
                <w:rFonts w:hint="eastAsia" w:ascii="宋体" w:hAnsi="宋体"/>
                <w:b/>
                <w:color w:val="auto"/>
                <w:szCs w:val="21"/>
                <w:highlight w:val="none"/>
                <w:u w:val="single"/>
              </w:rPr>
              <w:t>。</w:t>
            </w:r>
          </w:p>
          <w:p>
            <w:pPr>
              <w:spacing w:line="264" w:lineRule="auto"/>
              <w:rPr>
                <w:rFonts w:ascii="宋体" w:hAnsi="宋体"/>
                <w:color w:val="auto"/>
                <w:szCs w:val="21"/>
                <w:highlight w:val="none"/>
              </w:rPr>
            </w:pPr>
            <w:r>
              <w:rPr>
                <w:rFonts w:hint="eastAsia" w:ascii="宋体" w:hAnsi="宋体"/>
                <w:color w:val="auto"/>
                <w:szCs w:val="21"/>
                <w:highlight w:val="none"/>
              </w:rPr>
              <w:t>注：记名投票方式确定排序的具体操作步骤为：由评标委员会对出现该情况的投标人采取记名投票的方式确定，按得票数从高到低排列先后次序，以得票数高的排前，根据得票数高低确定合格中标候选人排序。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13.4、13.5.2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kern w:val="0"/>
                <w:szCs w:val="21"/>
                <w:highlight w:val="none"/>
                <w:lang w:val="zh-CN"/>
              </w:rPr>
              <w:t>建设工程质量检测单位</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cs="宋体"/>
                <w:color w:val="auto"/>
                <w:highlight w:val="none"/>
              </w:rPr>
              <w:t>建设单位和中标人均不得委托近二年（从招标公告发布年度起逆推</w:t>
            </w:r>
            <w:r>
              <w:rPr>
                <w:rFonts w:ascii="宋体" w:hAnsi="宋体" w:cs="宋体"/>
                <w:color w:val="auto"/>
                <w:highlight w:val="none"/>
              </w:rPr>
              <w:t>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eastAsia="宋体" w:cs="宋体"/>
                <w:color w:val="auto"/>
                <w:kern w:val="0"/>
                <w:sz w:val="21"/>
                <w:szCs w:val="21"/>
                <w:lang w:val="zh-CN"/>
              </w:rPr>
              <w:t>□</w:t>
            </w:r>
            <w:r>
              <w:rPr>
                <w:rFonts w:ascii="宋体" w:hAnsi="宋体" w:cs="宋体"/>
                <w:color w:val="auto"/>
                <w:kern w:val="0"/>
                <w:szCs w:val="21"/>
                <w:highlight w:val="none"/>
                <w:lang w:val="zh-CN"/>
              </w:rPr>
              <w:t xml:space="preserve"> 不允许；</w:t>
            </w:r>
          </w:p>
          <w:p>
            <w:pPr>
              <w:spacing w:line="264" w:lineRule="auto"/>
              <w:rPr>
                <w:rFonts w:ascii="宋体" w:hAnsi="宋体" w:cs="宋体"/>
                <w:color w:val="auto"/>
                <w:kern w:val="0"/>
                <w:szCs w:val="21"/>
                <w:highlight w:val="none"/>
                <w:lang w:val="zh-CN"/>
              </w:rPr>
            </w:pPr>
            <w:r>
              <w:rPr>
                <w:rFonts w:hint="eastAsia" w:ascii="宋体" w:hAnsi="宋体" w:cs="宋体"/>
                <w:color w:val="auto"/>
                <w:kern w:val="0"/>
                <w:sz w:val="21"/>
                <w:szCs w:val="21"/>
                <w:lang w:val="zh-CN"/>
              </w:rPr>
              <w:t>☑</w:t>
            </w:r>
            <w:r>
              <w:rPr>
                <w:rFonts w:hint="eastAsia" w:ascii="宋体" w:hAnsi="宋体" w:cs="宋体"/>
                <w:color w:val="auto"/>
                <w:kern w:val="0"/>
                <w:szCs w:val="21"/>
                <w:highlight w:val="none"/>
                <w:lang w:val="zh-CN"/>
              </w:rPr>
              <w:t>允许：分包内容要求：</w:t>
            </w:r>
            <w:r>
              <w:rPr>
                <w:rFonts w:hint="eastAsia" w:ascii="宋体" w:hAnsi="宋体" w:cs="宋体"/>
                <w:color w:val="auto"/>
                <w:kern w:val="0"/>
                <w:szCs w:val="21"/>
                <w:highlight w:val="none"/>
                <w:u w:val="single"/>
                <w:lang w:val="zh-CN"/>
              </w:rPr>
              <w:t>非主体关键工程。</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分包金额要求：</w:t>
            </w:r>
            <w:r>
              <w:rPr>
                <w:rFonts w:hint="eastAsia" w:ascii="宋体" w:hAnsi="宋体"/>
                <w:color w:val="auto"/>
                <w:szCs w:val="21"/>
                <w:highlight w:val="none"/>
                <w:u w:val="single"/>
              </w:rPr>
              <w:t>无。</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对分包人的资质要求：</w:t>
            </w:r>
            <w:r>
              <w:rPr>
                <w:rFonts w:hint="eastAsia" w:ascii="宋体" w:hAnsi="宋体" w:cs="宋体"/>
                <w:color w:val="auto"/>
                <w:kern w:val="0"/>
                <w:szCs w:val="21"/>
                <w:highlight w:val="none"/>
                <w:u w:val="single"/>
                <w:lang w:val="zh-CN"/>
              </w:rPr>
              <w:t>符合有关法律法规和文件规定，并不得再次分包。</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对分包人的其他要求：</w:t>
            </w:r>
            <w:r>
              <w:rPr>
                <w:rFonts w:hint="eastAsia" w:ascii="宋体" w:hAnsi="宋体"/>
                <w:color w:val="auto"/>
                <w:szCs w:val="21"/>
                <w:highlight w:val="none"/>
                <w:u w:val="singl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jc w:val="both"/>
              <w:rPr>
                <w:rFonts w:ascii="宋体" w:hAnsi="宋体" w:cs="宋体"/>
                <w:color w:val="auto"/>
                <w:highlight w:val="none"/>
              </w:rPr>
            </w:pPr>
            <w:r>
              <w:rPr>
                <w:rFonts w:hint="eastAsia" w:ascii="宋体" w:hAnsi="宋体" w:cs="宋体"/>
                <w:color w:val="auto"/>
                <w:highlight w:val="none"/>
              </w:rPr>
              <w:t>电子招标投标解密失败及突发情况的补救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ascii="宋体" w:hAnsi="宋体" w:cs="宋体"/>
                <w:color w:val="auto"/>
                <w:szCs w:val="21"/>
                <w:highlight w:val="none"/>
              </w:rPr>
              <w:t>1、按照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szCs w:val="21"/>
                <w:highlight w:val="none"/>
              </w:rPr>
            </w:pPr>
            <w:r>
              <w:rPr>
                <w:rFonts w:ascii="宋体" w:hAnsi="宋体" w:cs="宋体"/>
                <w:color w:val="auto"/>
                <w:szCs w:val="21"/>
                <w:highlight w:val="none"/>
              </w:rPr>
              <w:t>2、提交投标文件光盘备用</w:t>
            </w:r>
          </w:p>
          <w:p>
            <w:pPr>
              <w:spacing w:line="264" w:lineRule="auto"/>
              <w:rPr>
                <w:rFonts w:ascii="宋体" w:hAnsi="宋体" w:cs="宋体"/>
                <w:color w:val="auto"/>
                <w:szCs w:val="21"/>
                <w:highlight w:val="none"/>
              </w:rPr>
            </w:pPr>
            <w:r>
              <w:rPr>
                <w:rFonts w:hint="eastAsia" w:ascii="宋体" w:hAnsi="宋体" w:cs="宋体"/>
                <w:color w:val="auto"/>
                <w:szCs w:val="21"/>
                <w:highlight w:val="none"/>
              </w:rPr>
              <w:t>投标人可制作非加密的电子投标文件（</w:t>
            </w:r>
            <w:r>
              <w:rPr>
                <w:rFonts w:ascii="宋体" w:hAnsi="宋体" w:cs="宋体"/>
                <w:color w:val="auto"/>
                <w:szCs w:val="21"/>
                <w:highlight w:val="none"/>
              </w:rPr>
              <w:t>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w:t>
            </w:r>
            <w:r>
              <w:rPr>
                <w:rFonts w:hint="eastAsia" w:ascii="宋体" w:hAnsi="宋体" w:cs="宋体"/>
                <w:color w:val="auto"/>
                <w:szCs w:val="21"/>
                <w:highlight w:val="none"/>
              </w:rPr>
              <w:t>子投标文件的，不再读取提交的光盘。投标人也可不提交备用光盘。</w:t>
            </w:r>
          </w:p>
          <w:p>
            <w:pPr>
              <w:spacing w:line="264" w:lineRule="auto"/>
              <w:rPr>
                <w:rFonts w:ascii="宋体" w:hAnsi="宋体" w:cs="宋体"/>
                <w:color w:val="auto"/>
                <w:szCs w:val="21"/>
                <w:highlight w:val="none"/>
              </w:rPr>
            </w:pPr>
            <w:r>
              <w:rPr>
                <w:rFonts w:ascii="宋体" w:hAnsi="宋体" w:cs="宋体"/>
                <w:color w:val="auto"/>
                <w:szCs w:val="21"/>
                <w:highlight w:val="none"/>
              </w:rPr>
              <w:t>3、补救方案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1）投标文件解密失败的补救方案：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在规定时间内，因投标人之外原因</w:t>
            </w:r>
            <w:r>
              <w:rPr>
                <w:rFonts w:ascii="宋体" w:hAnsi="宋体" w:cs="宋体"/>
                <w:color w:val="auto"/>
                <w:szCs w:val="21"/>
                <w:highlight w:val="none"/>
              </w:rPr>
              <w:t>(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2）评标时突发情况的补救方案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若遇不可抗力发生（指网络瘫痪、服务器损坏、交易系统故障短期无法恢复等因素），由评标委员会开启投标人递交的全部投标文件光盘，并按光盘内容进行评审。</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3）除发生上述情况外，开标评标均以投标人通过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招标人拒绝接收投标文件备用光盘的情况</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1、在投标截止期后逾期或未在指定地点递交投标文件备用光盘的；</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2、投标文件备用光盘未按招标文件要求密封或未在密封处盖章的；</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中标公示后中标单位提交投标文件要求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中标人在签订合同前需向招标人另行提供与投标递交的电子标书一致且加盖单位公章的纸质投标文件（含投标人须知</w:t>
            </w:r>
            <w:r>
              <w:rPr>
                <w:rFonts w:ascii="宋体" w:hAnsi="宋体" w:cs="宋体"/>
                <w:color w:val="auto"/>
                <w:szCs w:val="21"/>
                <w:highlight w:val="none"/>
                <w:u w:val="single"/>
              </w:rPr>
              <w:t xml:space="preserve">11.3列表明细包含的所有工程量清单报价表）4份及电子文件1份（不用生成投标书；包括用Microsoft Excel </w:t>
            </w:r>
            <w:r>
              <w:rPr>
                <w:rFonts w:hint="eastAsia" w:ascii="宋体" w:hAnsi="宋体" w:cs="宋体"/>
                <w:color w:val="auto"/>
                <w:szCs w:val="21"/>
                <w:highlight w:val="none"/>
                <w:u w:val="single"/>
              </w:rPr>
              <w:t>软件或广州交易集团有限公司（广州公共资源交易中心）提供的投标书制作软件制作的工程量清单报价表和单价分析表，用</w:t>
            </w:r>
            <w:r>
              <w:rPr>
                <w:rFonts w:ascii="宋体" w:hAnsi="宋体" w:cs="宋体"/>
                <w:color w:val="auto"/>
                <w:szCs w:val="21"/>
                <w:highlight w:val="none"/>
                <w:u w:val="single"/>
              </w:rPr>
              <w:t xml:space="preserve"> Microsoft Word </w:t>
            </w:r>
            <w:r>
              <w:rPr>
                <w:rFonts w:hint="eastAsia" w:ascii="宋体" w:hAnsi="宋体" w:cs="宋体"/>
                <w:color w:val="auto"/>
                <w:szCs w:val="21"/>
                <w:highlight w:val="none"/>
                <w:u w:val="single"/>
              </w:rPr>
              <w:t>软件或广州交易集团有限公司（广州公共资源交易中心）提供的投标书制作软件制作的经济投标文件其他部分。电子文件介质使用</w:t>
            </w:r>
            <w:r>
              <w:rPr>
                <w:rFonts w:ascii="宋体" w:hAnsi="宋体" w:cs="宋体"/>
                <w:color w:val="auto"/>
                <w:szCs w:val="21"/>
                <w:highlight w:val="none"/>
                <w:u w:val="single"/>
              </w:rPr>
              <w:t>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olor w:val="auto"/>
                <w:szCs w:val="21"/>
                <w:highlight w:val="none"/>
                <w:lang w:val="en-US" w:eastAsia="zh-CN"/>
              </w:rPr>
              <w:t>39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安全生产责任保险</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olor w:val="auto"/>
                <w:szCs w:val="21"/>
                <w:highlight w:val="none"/>
              </w:rPr>
              <w:t>4</w:t>
            </w:r>
            <w:r>
              <w:rPr>
                <w:rFonts w:hint="eastAsia" w:ascii="宋体" w:hAnsi="宋体"/>
                <w:color w:val="auto"/>
                <w:szCs w:val="21"/>
                <w:highlight w:val="none"/>
                <w:lang w:val="en-US" w:eastAsia="zh-CN"/>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olor w:val="auto"/>
                <w:szCs w:val="21"/>
                <w:highlight w:val="none"/>
              </w:rPr>
              <w:t>绿色发展理念</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olor w:val="auto"/>
                <w:szCs w:val="21"/>
                <w:highlight w:val="none"/>
                <w:u w:val="single"/>
              </w:rPr>
              <w:t>为贯彻绿色发展理念，本项目应积极使用氢燃料电池泥头车等新能源工程车，要求投入的新能源工程车占投入的建筑垃圾自卸车（渣土车）总数比例不低于40%。一旦中标，必须全部到位，否则按合同违约处理。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hint="eastAsia" w:ascii="宋体" w:hAnsi="宋体"/>
                <w:color w:val="auto"/>
                <w:szCs w:val="21"/>
                <w:highlight w:val="none"/>
              </w:rPr>
            </w:pPr>
            <w:r>
              <w:rPr>
                <w:rFonts w:hint="eastAsia" w:ascii="宋体" w:hAnsi="宋体" w:cs="宋体"/>
                <w:color w:val="auto"/>
                <w:szCs w:val="21"/>
                <w:highlight w:val="none"/>
                <w:u w:val="single"/>
              </w:rPr>
              <w:t>是否授权评标委员会确定中标人</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firstLineChars="0"/>
              <w:rPr>
                <w:rFonts w:hint="eastAsia" w:ascii="宋体" w:hAnsi="宋体"/>
                <w:color w:val="auto"/>
                <w:szCs w:val="21"/>
                <w:highlight w:val="none"/>
                <w:u w:val="single"/>
              </w:rPr>
            </w:pPr>
            <w:r>
              <w:rPr>
                <w:rFonts w:hint="eastAsia" w:ascii="宋体" w:hAnsi="宋体" w:cs="宋体"/>
                <w:color w:val="auto"/>
                <w:szCs w:val="21"/>
                <w:highlight w:val="none"/>
                <w:u w:val="single"/>
              </w:rPr>
              <w:t>否</w:t>
            </w:r>
          </w:p>
        </w:tc>
      </w:tr>
    </w:tbl>
    <w:p>
      <w:pPr>
        <w:jc w:val="left"/>
        <w:outlineLvl w:val="9"/>
        <w:rPr>
          <w:rFonts w:hint="eastAsia" w:ascii="宋体" w:hAnsi="宋体" w:cs="宋体"/>
          <w:strike/>
          <w:color w:val="auto"/>
          <w:kern w:val="0"/>
          <w:szCs w:val="21"/>
          <w:highlight w:val="none"/>
        </w:rPr>
        <w:sectPr>
          <w:footerReference r:id="rId10" w:type="first"/>
          <w:footerReference r:id="rId8" w:type="default"/>
          <w:headerReference r:id="rId7" w:type="even"/>
          <w:footerReference r:id="rId9" w:type="even"/>
          <w:endnotePr>
            <w:numFmt w:val="decimal"/>
          </w:endnotePr>
          <w:pgSz w:w="11906" w:h="16838"/>
          <w:pgMar w:top="1134" w:right="1418" w:bottom="1247" w:left="1418" w:header="851" w:footer="907" w:gutter="0"/>
          <w:pgNumType w:fmt="decimal" w:start="1"/>
          <w:cols w:space="720" w:num="1"/>
          <w:titlePg/>
          <w:docGrid w:type="lines" w:linePitch="312" w:charSpace="0"/>
        </w:sectPr>
      </w:pPr>
      <w:bookmarkStart w:id="13" w:name="_Toc26413"/>
      <w:r>
        <w:rPr>
          <w:rFonts w:hint="eastAsia" w:ascii="宋体" w:hAnsi="宋体" w:cs="宋体"/>
          <w:strike/>
          <w:color w:val="auto"/>
          <w:szCs w:val="21"/>
          <w:highlight w:val="none"/>
        </w:rPr>
        <w:t>注：</w:t>
      </w:r>
      <w:r>
        <w:rPr>
          <w:rFonts w:hint="eastAsia" w:ascii="宋体" w:hAnsi="宋体" w:cs="宋体"/>
          <w:strike/>
          <w:color w:val="auto"/>
          <w:szCs w:val="21"/>
          <w:highlight w:val="none"/>
          <w:u w:val="single"/>
        </w:rPr>
        <w:t>企业的诚信综合评价排名以投标截止当日广州市工程招标代理行业协会网站施工企业专栏上公布的企业</w:t>
      </w:r>
      <w:r>
        <w:rPr>
          <w:rFonts w:ascii="宋体" w:hAnsi="宋体" w:cs="宋体"/>
          <w:strike/>
          <w:color w:val="auto"/>
          <w:szCs w:val="21"/>
          <w:highlight w:val="none"/>
          <w:u w:val="single"/>
        </w:rPr>
        <w:t>60日诚信分排名为准</w:t>
      </w:r>
      <w:r>
        <w:rPr>
          <w:rFonts w:hint="eastAsia" w:ascii="宋体" w:hAnsi="宋体" w:cs="宋体"/>
          <w:strike/>
          <w:color w:val="auto"/>
          <w:kern w:val="0"/>
          <w:szCs w:val="21"/>
          <w:highlight w:val="none"/>
        </w:rPr>
        <w:t>，以下同。</w:t>
      </w:r>
    </w:p>
    <w:p>
      <w:pPr>
        <w:jc w:val="center"/>
        <w:outlineLvl w:val="1"/>
        <w:rPr>
          <w:rFonts w:ascii="宋体" w:hAnsi="宋体"/>
          <w:color w:val="auto"/>
          <w:highlight w:val="none"/>
        </w:rPr>
      </w:pPr>
      <w:bookmarkStart w:id="14" w:name="_Toc2272547"/>
      <w:bookmarkStart w:id="15" w:name="_Toc112397807"/>
      <w:bookmarkStart w:id="16" w:name="_Toc4562"/>
      <w:r>
        <w:rPr>
          <w:rFonts w:hint="eastAsia" w:ascii="宋体" w:hAnsi="宋体"/>
          <w:b/>
          <w:color w:val="auto"/>
          <w:kern w:val="2"/>
          <w:sz w:val="24"/>
          <w:szCs w:val="24"/>
          <w:highlight w:val="none"/>
        </w:rPr>
        <w:t>二、投标须知修改表</w:t>
      </w:r>
      <w:bookmarkEnd w:id="13"/>
      <w:bookmarkEnd w:id="14"/>
      <w:bookmarkEnd w:id="15"/>
      <w:bookmarkEnd w:id="16"/>
    </w:p>
    <w:p>
      <w:pPr>
        <w:pStyle w:val="47"/>
        <w:pBdr>
          <w:bottom w:val="single" w:color="auto" w:sz="6" w:space="1"/>
        </w:pBdr>
        <w:spacing w:line="360" w:lineRule="auto"/>
        <w:rPr>
          <w:rFonts w:ascii="宋体" w:hAnsi="宋体" w:cs="宋体"/>
          <w:b/>
          <w:color w:val="auto"/>
          <w:szCs w:val="21"/>
          <w:highlight w:val="none"/>
        </w:rPr>
      </w:pPr>
      <w:r>
        <w:rPr>
          <w:rFonts w:hint="eastAsia" w:ascii="宋体" w:hAnsi="宋体" w:cs="宋体"/>
          <w:b/>
          <w:color w:val="auto"/>
          <w:szCs w:val="21"/>
          <w:highlight w:val="none"/>
        </w:rPr>
        <w:t>声明：本投标须知使用</w:t>
      </w:r>
      <w:r>
        <w:rPr>
          <w:rFonts w:ascii="宋体" w:hAnsi="宋体" w:cs="宋体"/>
          <w:b/>
          <w:color w:val="auto"/>
          <w:szCs w:val="21"/>
          <w:highlight w:val="none"/>
        </w:rPr>
        <w:t>GZZB2018-3招标文件范本的投标须知通用条款，与该通用条款不同之处，均在本表中列明，并以现文为准，原文不再有效。本招标文件中不再转录投标须知通用条款，请投标人自行到广州市住房和城乡建设局网站（</w:t>
      </w:r>
      <w:r>
        <w:rPr>
          <w:rFonts w:hint="eastAsia" w:ascii="宋体" w:hAnsi="宋体" w:cs="宋体"/>
          <w:b/>
          <w:color w:val="auto"/>
          <w:szCs w:val="21"/>
          <w:highlight w:val="none"/>
          <w:u w:val="single"/>
        </w:rPr>
        <w:t>网址：</w:t>
      </w:r>
      <w:r>
        <w:rPr>
          <w:rFonts w:ascii="宋体" w:hAnsi="宋体" w:cs="宋体"/>
          <w:b/>
          <w:color w:val="auto"/>
          <w:szCs w:val="21"/>
          <w:highlight w:val="none"/>
          <w:u w:val="single"/>
        </w:rPr>
        <w:t>http://zfcj.gz.gov.cn/</w:t>
      </w:r>
      <w:r>
        <w:rPr>
          <w:rFonts w:hint="eastAsia" w:ascii="宋体" w:hAnsi="宋体" w:cs="宋体"/>
          <w:b/>
          <w:color w:val="auto"/>
          <w:szCs w:val="21"/>
          <w:highlight w:val="none"/>
        </w:rPr>
        <w:t>）下载查阅。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2.5                          </w:t>
      </w:r>
      <w:r>
        <w:rPr>
          <w:rFonts w:hint="eastAsia" w:ascii="宋体" w:hAnsi="宋体" w:cs="宋体"/>
          <w:b/>
          <w:color w:val="auto"/>
          <w:szCs w:val="21"/>
          <w:highlight w:val="none"/>
        </w:rPr>
        <w:t>修改类型：增加</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2.5</w:t>
      </w:r>
      <w:r>
        <w:rPr>
          <w:rFonts w:hint="eastAsia" w:ascii="宋体" w:hAnsi="宋体" w:cs="宋体"/>
          <w:color w:val="auto"/>
          <w:szCs w:val="21"/>
          <w:highlight w:val="none"/>
        </w:rPr>
        <w:t>建设单位和中标人均不得委托近二年（从招标公告发布年度起逆推</w:t>
      </w:r>
      <w:r>
        <w:rPr>
          <w:rFonts w:ascii="宋体" w:hAnsi="宋体" w:cs="宋体"/>
          <w:color w:val="auto"/>
          <w:szCs w:val="21"/>
          <w:highlight w:val="none"/>
        </w:rPr>
        <w:t>2年的1月1日起至投标截止时间止）因伪造检测数据、出具虚假检测报告被各级建设行政主管部门或市场监督管理部门行政处罚或通报的检测单位负责本项目的检测工作。</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5.1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w:t>
      </w:r>
      <w:r>
        <w:rPr>
          <w:rFonts w:ascii="宋体" w:hAnsi="宋体" w:cs="宋体"/>
          <w:color w:val="auto"/>
          <w:szCs w:val="21"/>
          <w:highlight w:val="none"/>
        </w:rPr>
        <w:t>5.1</w:t>
      </w:r>
      <w:r>
        <w:rPr>
          <w:rFonts w:hint="eastAsia" w:ascii="宋体" w:hAnsi="宋体" w:cs="宋体"/>
          <w:bCs/>
          <w:color w:val="auto"/>
          <w:szCs w:val="21"/>
          <w:highlight w:val="none"/>
        </w:rPr>
        <w:t>投标人应按本投标须知前附表第</w:t>
      </w:r>
      <w:r>
        <w:rPr>
          <w:rFonts w:ascii="宋体" w:hAnsi="宋体" w:cs="宋体"/>
          <w:bCs/>
          <w:color w:val="auto"/>
          <w:szCs w:val="21"/>
          <w:highlight w:val="none"/>
        </w:rPr>
        <w:t>15项所述时间和要求对工程现场及周围环境进行踏勘，</w:t>
      </w:r>
      <w:r>
        <w:rPr>
          <w:rFonts w:hint="eastAsia" w:ascii="宋体" w:hAnsi="宋体" w:cs="宋体"/>
          <w:color w:val="auto"/>
          <w:szCs w:val="21"/>
          <w:highlight w:val="none"/>
        </w:rPr>
        <w:t>投标人应充分重视和仔细地进行这种考察，</w:t>
      </w:r>
      <w:r>
        <w:rPr>
          <w:rFonts w:hint="eastAsia" w:ascii="宋体" w:hAnsi="宋体" w:cs="宋体"/>
          <w:bCs/>
          <w:color w:val="auto"/>
          <w:szCs w:val="21"/>
          <w:highlight w:val="none"/>
        </w:rPr>
        <w:t>以便投标人获取</w:t>
      </w:r>
      <w:r>
        <w:rPr>
          <w:rFonts w:hint="eastAsia" w:ascii="宋体" w:hAnsi="宋体" w:cs="宋体"/>
          <w:color w:val="auto"/>
          <w:szCs w:val="21"/>
          <w:highlight w:val="none"/>
        </w:rPr>
        <w:t>那些须投标人自己负责的</w:t>
      </w:r>
      <w:r>
        <w:rPr>
          <w:rFonts w:hint="eastAsia" w:ascii="宋体" w:hAnsi="宋体" w:cs="宋体"/>
          <w:bCs/>
          <w:color w:val="auto"/>
          <w:szCs w:val="21"/>
          <w:highlight w:val="none"/>
        </w:rPr>
        <w:t>有关编制投标文件和签署合同所涉及现场所有的资料。</w:t>
      </w:r>
      <w:r>
        <w:rPr>
          <w:rFonts w:hint="eastAsia" w:ascii="宋体" w:hAnsi="宋体" w:cs="宋体"/>
          <w:color w:val="auto"/>
          <w:szCs w:val="21"/>
          <w:highlight w:val="none"/>
        </w:rPr>
        <w:t>一旦中标，这种考察即被认为其结果已在中标文件中得到充分反映。考察现场的费用由投标人自己承担。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w:t>
      </w:r>
      <w:r>
        <w:rPr>
          <w:rFonts w:hint="eastAsia" w:ascii="宋体" w:hAnsi="宋体" w:cs="宋体"/>
          <w:color w:val="auto"/>
          <w:szCs w:val="21"/>
          <w:highlight w:val="none"/>
        </w:rPr>
        <w:t>。一旦中标，这种考察即被认为其结果已在中标文件中得到充分反映。</w:t>
      </w:r>
      <w:r>
        <w:rPr>
          <w:rFonts w:hint="eastAsia" w:ascii="宋体" w:hAnsi="宋体" w:cs="宋体"/>
          <w:color w:val="auto"/>
          <w:szCs w:val="21"/>
          <w:highlight w:val="none"/>
          <w:u w:val="single"/>
        </w:rPr>
        <w:t>招标人不受理因投标人缺乏对现场条件的了解或掌握而提出的任何索赔。</w:t>
      </w:r>
      <w:r>
        <w:rPr>
          <w:rFonts w:hint="eastAsia" w:ascii="宋体" w:hAnsi="宋体" w:cs="宋体"/>
          <w:color w:val="auto"/>
          <w:szCs w:val="21"/>
          <w:highlight w:val="none"/>
        </w:rPr>
        <w:t>考察现场的费用由投标人自己承担。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8.1                          </w:t>
      </w:r>
      <w:r>
        <w:rPr>
          <w:rFonts w:hint="eastAsia" w:ascii="宋体" w:hAnsi="宋体" w:cs="宋体"/>
          <w:b/>
          <w:color w:val="auto"/>
          <w:szCs w:val="21"/>
          <w:highlight w:val="none"/>
        </w:rPr>
        <w:t>修改类型：修改</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8.1投标人若对招标文件（包括招标图纸）中有疑问，可以书面形式通过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交易平台提交给招标人或招标代理人，提交形式见本须知前附表第</w:t>
      </w:r>
      <w:r>
        <w:rPr>
          <w:rFonts w:ascii="宋体" w:hAnsi="宋体" w:cs="宋体"/>
          <w:color w:val="auto"/>
          <w:szCs w:val="21"/>
          <w:highlight w:val="none"/>
        </w:rPr>
        <w:t>16项。</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8.1</w:t>
      </w:r>
      <w:r>
        <w:rPr>
          <w:rFonts w:hint="eastAsia" w:ascii="宋体" w:hAnsi="宋体" w:cs="宋体"/>
          <w:bCs/>
          <w:color w:val="auto"/>
          <w:szCs w:val="21"/>
          <w:highlight w:val="none"/>
          <w:u w:val="single"/>
        </w:rPr>
        <w:t>投标人若对招标文件（包括招标图纸、清单、最高投标限价）中有疑问，采用网上答疑方式进行，详见本须知前附表第</w:t>
      </w:r>
      <w:r>
        <w:rPr>
          <w:rFonts w:ascii="宋体" w:hAnsi="宋体" w:cs="宋体"/>
          <w:bCs/>
          <w:color w:val="auto"/>
          <w:szCs w:val="21"/>
          <w:highlight w:val="none"/>
          <w:u w:val="single"/>
        </w:rPr>
        <w:t>16项。招标人或招标代理人将于本须知前附表第16项指定的地点（交易平台）和时间对疑问进行答复。</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8.2                         </w:t>
      </w:r>
      <w:r>
        <w:rPr>
          <w:rFonts w:hint="eastAsia" w:ascii="宋体" w:hAnsi="宋体" w:cs="宋体"/>
          <w:b/>
          <w:color w:val="auto"/>
          <w:szCs w:val="21"/>
          <w:highlight w:val="none"/>
        </w:rPr>
        <w:t>修改类型：修改</w:t>
      </w:r>
    </w:p>
    <w:p>
      <w:pPr>
        <w:pStyle w:val="47"/>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8.2招标答疑会会议纪要将在提交投标文件截止时间15日前在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ascii="宋体" w:hAnsi="宋体" w:cs="宋体"/>
          <w:color w:val="auto"/>
          <w:szCs w:val="21"/>
          <w:highlight w:val="none"/>
        </w:rPr>
        <w:t xml:space="preserve"> </w:t>
      </w:r>
      <w:r>
        <w:rPr>
          <w:rFonts w:hint="eastAsia" w:ascii="宋体" w:hAnsi="宋体" w:cs="宋体"/>
          <w:color w:val="auto"/>
          <w:szCs w:val="21"/>
          <w:highlight w:val="none"/>
        </w:rPr>
        <w:t>“项目答疑纪要”专区公开发布。答疑纪要一经在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w:t>
      </w:r>
    </w:p>
    <w:p>
      <w:pPr>
        <w:pStyle w:val="47"/>
        <w:pBdr>
          <w:bottom w:val="single" w:color="auto" w:sz="4" w:space="1"/>
        </w:pBdr>
        <w:spacing w:line="360" w:lineRule="auto"/>
        <w:ind w:firstLine="411" w:firstLineChars="195"/>
        <w:rPr>
          <w:rFonts w:hint="eastAsia"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8.2招标答疑会会议纪要将在提交投标文件截止时间15日前在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cs="宋体"/>
          <w:color w:val="auto"/>
          <w:szCs w:val="21"/>
          <w:highlight w:val="none"/>
          <w:u w:val="single"/>
        </w:rPr>
        <w:t>项目查询</w:t>
      </w:r>
      <w:r>
        <w:rPr>
          <w:rFonts w:ascii="宋体" w:hAnsi="宋体" w:cs="宋体"/>
          <w:color w:val="auto"/>
          <w:szCs w:val="21"/>
          <w:highlight w:val="none"/>
          <w:u w:val="single"/>
        </w:rPr>
        <w:t>(日程安排、答疑纪要)</w:t>
      </w:r>
      <w:r>
        <w:rPr>
          <w:rFonts w:ascii="宋体" w:hAnsi="宋体" w:cs="宋体"/>
          <w:color w:val="auto"/>
          <w:szCs w:val="21"/>
          <w:highlight w:val="none"/>
          <w:u w:val="single"/>
        </w:rPr>
        <w:fldChar w:fldCharType="end"/>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交易平台发布，视作已发放给所有投标人。</w:t>
      </w:r>
    </w:p>
    <w:p>
      <w:pPr>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条款号：8.4             修改类型：修改</w:t>
      </w:r>
    </w:p>
    <w:p>
      <w:pPr>
        <w:spacing w:line="400" w:lineRule="exact"/>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8.4若招标答疑会会议纪要与招标文件有矛盾，以答疑会议纪要最后发出的书面形式的文件为准。</w:t>
      </w:r>
    </w:p>
    <w:p>
      <w:pPr>
        <w:pBdr>
          <w:bottom w:val="single" w:color="auto" w:sz="6" w:space="1"/>
        </w:pBdr>
        <w:spacing w:after="0" w:line="400" w:lineRule="exact"/>
        <w:ind w:firstLine="527" w:firstLineChars="25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8.4若招标答疑纪要与招标文件有矛盾时，以</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w:t>
      </w:r>
      <w:r>
        <w:rPr>
          <w:rFonts w:hint="eastAsia" w:ascii="宋体" w:hAnsi="宋体" w:cs="宋体"/>
          <w:color w:val="auto"/>
          <w:szCs w:val="21"/>
          <w:highlight w:val="none"/>
        </w:rPr>
        <w:t>最后发布的答疑纪要为准。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9.2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9.2招标文件的澄清或修改将在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交易平台“项目答疑纪要”专区公开发布。答疑纪要一经在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交易平台发布，视作已发放给所有投标人，以</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交易平台上网发布时间作为送达时间。</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9.2招标文件的澄清或修改将在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cs="宋体"/>
          <w:color w:val="auto"/>
          <w:szCs w:val="21"/>
          <w:highlight w:val="none"/>
          <w:u w:val="single"/>
        </w:rPr>
        <w:t>项目查询</w:t>
      </w:r>
      <w:r>
        <w:rPr>
          <w:rFonts w:ascii="宋体" w:hAnsi="宋体" w:cs="宋体"/>
          <w:color w:val="auto"/>
          <w:szCs w:val="21"/>
          <w:highlight w:val="none"/>
          <w:u w:val="single"/>
        </w:rPr>
        <w:t>(日程安排、答疑纪要)</w:t>
      </w:r>
      <w:r>
        <w:rPr>
          <w:rFonts w:ascii="宋体" w:hAnsi="宋体" w:cs="宋体"/>
          <w:color w:val="auto"/>
          <w:szCs w:val="21"/>
          <w:highlight w:val="none"/>
          <w:u w:val="single"/>
        </w:rPr>
        <w:fldChar w:fldCharType="end"/>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交易平台上网发布时间作为送达时间。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9.4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9.4招标文件的澄清或修改均以</w:t>
      </w:r>
      <w:r>
        <w:rPr>
          <w:rFonts w:hint="eastAsia" w:ascii="宋体" w:hAnsi="宋体" w:cs="宋体"/>
          <w:color w:val="auto"/>
          <w:szCs w:val="21"/>
          <w:highlight w:val="none"/>
          <w:u w:val="single"/>
        </w:rPr>
        <w:t>广州交易集团有限公司（广州公共资源交易中心）网上答疑公布</w:t>
      </w:r>
      <w:r>
        <w:rPr>
          <w:rFonts w:hint="eastAsia" w:ascii="宋体" w:hAnsi="宋体" w:cs="宋体"/>
          <w:color w:val="auto"/>
          <w:szCs w:val="21"/>
          <w:highlight w:val="none"/>
        </w:rPr>
        <w:t>的内容为准。当招标文件的澄清、修改、补充等在同一内容的表述不一致时，以</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u w:val="single"/>
          <w:lang w:eastAsia="zh-CN"/>
        </w:rPr>
        <w:t>网站</w:t>
      </w:r>
      <w:r>
        <w:rPr>
          <w:rFonts w:hint="eastAsia" w:ascii="宋体" w:hAnsi="宋体" w:cs="宋体"/>
          <w:color w:val="auto"/>
          <w:szCs w:val="21"/>
          <w:highlight w:val="none"/>
        </w:rPr>
        <w:t>最后发出的</w:t>
      </w:r>
      <w:r>
        <w:rPr>
          <w:rFonts w:hint="eastAsia" w:ascii="宋体" w:hAnsi="宋体" w:cs="宋体"/>
          <w:color w:val="auto"/>
          <w:szCs w:val="21"/>
          <w:highlight w:val="none"/>
          <w:u w:val="single"/>
        </w:rPr>
        <w:t>文件</w:t>
      </w:r>
      <w:r>
        <w:rPr>
          <w:rFonts w:hint="eastAsia" w:ascii="宋体" w:hAnsi="宋体" w:cs="宋体"/>
          <w:color w:val="auto"/>
          <w:szCs w:val="21"/>
          <w:highlight w:val="none"/>
        </w:rPr>
        <w:t>为准。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11.2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11.2投标文件技术标部分主要包括下列内容:</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11.2.1 </w:t>
      </w:r>
      <w:r>
        <w:rPr>
          <w:rFonts w:hint="eastAsia" w:ascii="宋体" w:hAnsi="宋体" w:cs="宋体"/>
          <w:bCs/>
          <w:color w:val="auto"/>
          <w:szCs w:val="21"/>
          <w:highlight w:val="none"/>
        </w:rPr>
        <w:t>技术投标文件</w:t>
      </w:r>
      <w:r>
        <w:rPr>
          <w:rFonts w:ascii="宋体" w:hAnsi="宋体" w:cs="宋体"/>
          <w:color w:val="auto"/>
          <w:szCs w:val="21"/>
          <w:highlight w:val="none"/>
        </w:rPr>
        <w:t>(按招标文件的要求填写)</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11.2.2 </w:t>
      </w:r>
      <w:r>
        <w:rPr>
          <w:rFonts w:hint="eastAsia" w:ascii="宋体" w:hAnsi="宋体" w:cs="宋体"/>
          <w:bCs/>
          <w:color w:val="auto"/>
          <w:szCs w:val="21"/>
          <w:highlight w:val="none"/>
        </w:rPr>
        <w:t>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1）投标人声明；</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2）法定代表人证明书、法定代表人签字或盖章的本投标文件授权委托证明书；</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3）企业营业执照（取自平台内上传件）；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4）企业资质证书（取自平台内上传件）；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5）建筑施工企业安全生产许可证（取自平台内上传件）；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6）项目负责人（按网上投标登记时选择拟投标的项目负责人）</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7）专职安全员（按网上投标登记时选择拟投标的专职安全员）</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8）拟委托技术负责人的相关证书、资料（具体要求由招标人明确）</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9）拟委派项目负责人的建造师注册证书（取自平台内上传件）；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10）项目负责人安全生产考核合格证明或在有效期内的安全考核合格证书（B类）或建筑施工企业项目负责人安全生产考核合格证书（取自平台内上传件）；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12）用于资格审查的业绩（设置业绩要求时选择此项，投标人</w:t>
      </w:r>
      <w:r>
        <w:rPr>
          <w:rFonts w:hint="eastAsia" w:ascii="宋体" w:hAnsi="宋体" w:cs="宋体"/>
          <w:color w:val="auto"/>
          <w:szCs w:val="21"/>
          <w:highlight w:val="none"/>
        </w:rPr>
        <w:t>须提供类似工程业绩的项目名称及项目编号，具体格式由招标人自定</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13）资格审查前，投标人须在广州市住房和城乡建设局建立企业信用档案，拟担任本工程项目负责人、专职安全员须是本企业信用档案中的在册人员</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14）列明主办单位的联合体工作协议（采用联合体投标时需递交，投标人拟任本工程项目负责人、专职安全员应为联合体主办方信用档案中的在册人员，联合体工作协议应明确约定各方拟承担的工作和责任）；</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15）</w:t>
      </w:r>
      <w:r>
        <w:rPr>
          <w:rFonts w:hint="eastAsia" w:ascii="宋体" w:hAnsi="宋体" w:cs="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cs="宋体"/>
          <w:color w:val="auto"/>
          <w:szCs w:val="21"/>
          <w:highlight w:val="none"/>
        </w:rPr>
        <w:t>50%或以上的大、中修市政公用工程需提供该项内容的证明文件）。</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11.2.3项目管理机构配备。</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1）投标人应列出该项目工程的施工组织机构构成和画出机构框架图及其负责人；</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3）其他辅助说明资料。</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11.2.5施工组织设计或施工方案。</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11.2.6按照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填写的《参与编制技术标投标文件人员名单》。</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p>
    <w:p>
      <w:pPr>
        <w:spacing w:line="360" w:lineRule="auto"/>
        <w:ind w:firstLine="409" w:firstLineChars="195"/>
        <w:rPr>
          <w:rFonts w:hint="eastAsia" w:ascii="宋体" w:hAnsi="宋体" w:eastAsia="宋体" w:cs="宋体"/>
          <w:bCs/>
          <w:color w:val="auto"/>
          <w:szCs w:val="21"/>
          <w:highlight w:val="none"/>
          <w:lang w:eastAsia="zh-CN"/>
        </w:rPr>
      </w:pPr>
      <w:r>
        <w:rPr>
          <w:rFonts w:ascii="宋体" w:hAnsi="宋体" w:cs="宋体"/>
          <w:bCs/>
          <w:color w:val="auto"/>
          <w:szCs w:val="21"/>
          <w:highlight w:val="none"/>
        </w:rPr>
        <w:t>11.2投标文件技术标部分主要包括下列内容</w:t>
      </w:r>
      <w:r>
        <w:rPr>
          <w:rFonts w:hint="eastAsia" w:ascii="宋体" w:hAnsi="宋体" w:cs="宋体"/>
          <w:color w:val="auto"/>
          <w:szCs w:val="21"/>
          <w:highlight w:val="none"/>
          <w:u w:val="single"/>
        </w:rPr>
        <w:t>（除注明原件外，均为</w:t>
      </w:r>
      <w:r>
        <w:rPr>
          <w:rFonts w:hint="eastAsia" w:ascii="宋体" w:hAnsi="宋体" w:cs="宋体"/>
          <w:color w:val="auto"/>
          <w:szCs w:val="21"/>
          <w:highlight w:val="none"/>
          <w:u w:val="single"/>
          <w:lang w:eastAsia="zh-CN"/>
        </w:rPr>
        <w:t>扫描件</w:t>
      </w:r>
      <w:r>
        <w:rPr>
          <w:rFonts w:hint="eastAsia" w:ascii="宋体" w:hAnsi="宋体" w:cs="宋体"/>
          <w:color w:val="auto"/>
          <w:szCs w:val="21"/>
          <w:highlight w:val="none"/>
          <w:u w:val="single"/>
        </w:rPr>
        <w:t>即可）</w:t>
      </w:r>
      <w:r>
        <w:rPr>
          <w:rFonts w:hint="eastAsia" w:ascii="宋体" w:hAnsi="宋体" w:cs="宋体"/>
          <w:bCs/>
          <w:color w:val="auto"/>
          <w:szCs w:val="21"/>
          <w:highlight w:val="none"/>
          <w:lang w:eastAsia="zh-CN"/>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11.2.1</w:t>
      </w:r>
      <w:r>
        <w:rPr>
          <w:rFonts w:hint="eastAsia" w:ascii="宋体" w:hAnsi="宋体" w:cs="宋体"/>
          <w:bCs/>
          <w:color w:val="auto"/>
          <w:szCs w:val="21"/>
          <w:highlight w:val="none"/>
          <w:u w:val="single"/>
        </w:rPr>
        <w:t>广州建设工程施工招标投标书</w:t>
      </w:r>
      <w:r>
        <w:rPr>
          <w:rFonts w:ascii="宋体" w:hAnsi="宋体" w:cs="宋体"/>
          <w:bCs/>
          <w:color w:val="auto"/>
          <w:szCs w:val="21"/>
          <w:highlight w:val="none"/>
          <w:u w:val="single"/>
        </w:rPr>
        <w:t>(需按招标文件第四章要求的格式填写，具体格式以《广州建设工程施工招标投标书（技术标）》为准；电子投标管理软件编制的“广州建设工程施工招标投标书”不作为否决投标的条件</w:t>
      </w:r>
      <w:r>
        <w:rPr>
          <w:rFonts w:hint="eastAsia" w:ascii="宋体" w:hAnsi="宋体" w:cs="宋体"/>
          <w:bCs/>
          <w:color w:val="auto"/>
          <w:szCs w:val="21"/>
          <w:highlight w:val="none"/>
          <w:u w:val="single"/>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11.2.2 </w:t>
      </w:r>
      <w:r>
        <w:rPr>
          <w:rFonts w:hint="eastAsia" w:ascii="宋体" w:hAnsi="宋体" w:cs="宋体"/>
          <w:bCs/>
          <w:color w:val="auto"/>
          <w:szCs w:val="21"/>
          <w:highlight w:val="none"/>
        </w:rPr>
        <w:t>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1）投标人声明</w:t>
      </w:r>
      <w:r>
        <w:rPr>
          <w:rFonts w:hint="eastAsia" w:ascii="宋体" w:hAnsi="宋体" w:cs="宋体"/>
          <w:bCs/>
          <w:color w:val="auto"/>
          <w:szCs w:val="21"/>
          <w:highlight w:val="none"/>
          <w:u w:val="single"/>
        </w:rPr>
        <w:t>（须按招标公告附件内容及格式要求编制）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2）法定代表人证明书、法定代表人签字或盖章的本投标文件授权委托证明书</w:t>
      </w:r>
      <w:r>
        <w:rPr>
          <w:rFonts w:hint="eastAsia" w:ascii="宋体" w:hAnsi="宋体" w:cs="宋体"/>
          <w:bCs/>
          <w:color w:val="auto"/>
          <w:szCs w:val="21"/>
          <w:highlight w:val="none"/>
          <w:u w:val="single"/>
        </w:rPr>
        <w:t>（</w:t>
      </w:r>
      <w:r>
        <w:rPr>
          <w:rFonts w:ascii="宋体" w:hAnsi="宋体" w:cs="宋体"/>
          <w:bCs/>
          <w:color w:val="auto"/>
          <w:szCs w:val="21"/>
          <w:highlight w:val="none"/>
          <w:u w:val="single"/>
        </w:rPr>
        <w:t>联合体</w:t>
      </w:r>
      <w:r>
        <w:rPr>
          <w:rFonts w:hint="eastAsia" w:ascii="宋体" w:hAnsi="宋体" w:cs="宋体"/>
          <w:bCs/>
          <w:color w:val="auto"/>
          <w:szCs w:val="21"/>
          <w:highlight w:val="none"/>
          <w:u w:val="single"/>
        </w:rPr>
        <w:t>主办方提供）</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3）企业营业执照</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4）企业资质证书</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5）建筑施工企业安全生产许可证</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6）项目负责人（按网上投标登记时选择拟投标的项目负责人）；</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7）专职安全员（按网上投标登记时选择拟投标的专职安全员）；</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8）</w:t>
      </w:r>
      <w:r>
        <w:rPr>
          <w:rFonts w:hint="eastAsia" w:ascii="宋体" w:hAnsi="宋体" w:cs="宋体"/>
          <w:bCs/>
          <w:color w:val="auto"/>
          <w:szCs w:val="21"/>
          <w:highlight w:val="none"/>
          <w:u w:val="single"/>
        </w:rPr>
        <w:t>拟委派技术负责人的职称证书（扫描件）；</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9）</w:t>
      </w:r>
      <w:r>
        <w:rPr>
          <w:rFonts w:hint="eastAsia" w:ascii="宋体" w:hAnsi="宋体" w:cs="宋体"/>
          <w:bCs/>
          <w:color w:val="auto"/>
          <w:szCs w:val="21"/>
          <w:highlight w:val="none"/>
          <w:u w:val="single"/>
        </w:rPr>
        <w:t>拟委派项目负责人的建造师证书（扫描件）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10）项目负责人</w:t>
      </w:r>
      <w:r>
        <w:rPr>
          <w:rFonts w:ascii="宋体" w:hAnsi="宋体" w:cs="宋体"/>
          <w:bCs/>
          <w:color w:val="auto"/>
          <w:szCs w:val="21"/>
          <w:highlight w:val="none"/>
          <w:u w:val="single"/>
        </w:rPr>
        <w:t>安全生产考核合格证书</w:t>
      </w:r>
      <w:r>
        <w:rPr>
          <w:rFonts w:ascii="宋体" w:hAnsi="宋体" w:cs="宋体"/>
          <w:bCs/>
          <w:color w:val="auto"/>
          <w:szCs w:val="21"/>
          <w:highlight w:val="none"/>
        </w:rPr>
        <w:t>或在有效期内的</w:t>
      </w:r>
      <w:r>
        <w:rPr>
          <w:rFonts w:ascii="宋体" w:hAnsi="宋体" w:cs="宋体"/>
          <w:bCs/>
          <w:color w:val="auto"/>
          <w:szCs w:val="21"/>
          <w:highlight w:val="none"/>
          <w:u w:val="single"/>
        </w:rPr>
        <w:t>安全生产考核合格证书（B类）</w:t>
      </w:r>
      <w:r>
        <w:rPr>
          <w:rFonts w:ascii="宋体" w:hAnsi="宋体" w:cs="宋体"/>
          <w:bCs/>
          <w:color w:val="auto"/>
          <w:szCs w:val="21"/>
          <w:highlight w:val="none"/>
        </w:rPr>
        <w:t>或建筑施工企业项目负责人安全生产考核合格证书（</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11）专职安全员须具有在有效期内的</w:t>
      </w:r>
      <w:r>
        <w:rPr>
          <w:rFonts w:ascii="宋体" w:hAnsi="宋体" w:cs="宋体"/>
          <w:bCs/>
          <w:color w:val="auto"/>
          <w:szCs w:val="21"/>
          <w:highlight w:val="none"/>
          <w:u w:val="single"/>
        </w:rPr>
        <w:t>安全生产考核合格证书（C类）</w:t>
      </w:r>
      <w:r>
        <w:rPr>
          <w:rFonts w:ascii="宋体" w:hAnsi="宋体" w:cs="宋体"/>
          <w:bCs/>
          <w:color w:val="auto"/>
          <w:szCs w:val="21"/>
          <w:highlight w:val="none"/>
        </w:rPr>
        <w:t>或建筑施工企业专职安全生产管理人员安全生产考核合格证书</w:t>
      </w:r>
      <w:r>
        <w:rPr>
          <w:rFonts w:hint="eastAsia" w:ascii="宋体" w:hAnsi="宋体" w:cs="宋体"/>
          <w:bCs/>
          <w:color w:val="auto"/>
          <w:szCs w:val="21"/>
          <w:highlight w:val="none"/>
          <w:u w:val="single"/>
        </w:rPr>
        <w:t>（</w:t>
      </w:r>
      <w:r>
        <w:rPr>
          <w:rFonts w:ascii="宋体" w:hAnsi="宋体" w:cs="宋体"/>
          <w:bCs/>
          <w:color w:val="auto"/>
          <w:szCs w:val="21"/>
          <w:highlight w:val="none"/>
          <w:u w:val="single"/>
        </w:rPr>
        <w:t>C3类）</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w:t>
      </w:r>
      <w:r>
        <w:rPr>
          <w:rFonts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2</w:t>
      </w:r>
      <w:r>
        <w:rPr>
          <w:rFonts w:hint="eastAsia" w:ascii="宋体" w:hAnsi="宋体" w:cs="宋体"/>
          <w:bCs/>
          <w:color w:val="auto"/>
          <w:szCs w:val="21"/>
          <w:highlight w:val="none"/>
          <w:u w:val="single"/>
        </w:rPr>
        <w:t>）列明主办单位的联合体工作协议（采用联合体投标时需递交，投标人拟任本工程项目负责人、专职安全员应为联合体主办方信息登记中的在册人员，联合体工作协议应明确约定各方拟承担的工作和责任）。</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投标登记前，投标人（联合体各成员）须在广州交易集团有限公司（广州公共资源交易中心）办理企业信息登记及拟担任本工程项目负责人、专职安全员须是本企业（联合体主办方）信息登记信息中的在册人员。（提供网页信息截图）</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w:t>
      </w:r>
      <w:r>
        <w:rPr>
          <w:rFonts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）投标人（联合体各成员）未被列入拖欠农民工工资失信联合惩戒对象名单；</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5</w:t>
      </w:r>
      <w:r>
        <w:rPr>
          <w:rFonts w:hint="eastAsia" w:ascii="宋体" w:hAnsi="宋体" w:cs="宋体"/>
          <w:bCs/>
          <w:color w:val="auto"/>
          <w:szCs w:val="21"/>
          <w:highlight w:val="none"/>
          <w:u w:val="single"/>
        </w:rPr>
        <w:t>）投标人认为应提供的其他资审资料。</w:t>
      </w:r>
    </w:p>
    <w:p>
      <w:pPr>
        <w:pBdr>
          <w:bottom w:val="single" w:color="auto" w:sz="6" w:space="1"/>
        </w:pBdr>
        <w:spacing w:line="372" w:lineRule="auto"/>
        <w:ind w:firstLine="399" w:firstLineChars="190"/>
        <w:rPr>
          <w:rFonts w:ascii="宋体" w:hAnsi="宋体" w:cs="宋体"/>
          <w:color w:val="auto"/>
          <w:szCs w:val="21"/>
          <w:highlight w:val="none"/>
          <w:u w:val="single"/>
        </w:rPr>
      </w:pPr>
      <w:r>
        <w:rPr>
          <w:rFonts w:hint="eastAsia" w:ascii="宋体" w:hAnsi="宋体" w:cs="宋体"/>
          <w:color w:val="auto"/>
          <w:szCs w:val="21"/>
          <w:highlight w:val="none"/>
          <w:u w:val="single"/>
        </w:rPr>
        <w:t>注：</w:t>
      </w:r>
    </w:p>
    <w:p>
      <w:pPr>
        <w:pBdr>
          <w:bottom w:val="single" w:color="auto" w:sz="6" w:space="1"/>
        </w:pBdr>
        <w:spacing w:line="372" w:lineRule="auto"/>
        <w:ind w:firstLine="399" w:firstLineChars="190"/>
        <w:rPr>
          <w:rFonts w:ascii="宋体" w:hAnsi="宋体" w:cs="宋体"/>
          <w:color w:val="auto"/>
          <w:szCs w:val="21"/>
          <w:highlight w:val="none"/>
          <w:u w:val="single"/>
        </w:rPr>
      </w:pPr>
      <w:r>
        <w:rPr>
          <w:rFonts w:hint="eastAsia" w:ascii="宋体" w:hAnsi="宋体" w:cs="宋体"/>
          <w:color w:val="auto"/>
          <w:szCs w:val="21"/>
          <w:highlight w:val="none"/>
          <w:u w:val="single"/>
        </w:rPr>
        <w:t>①上述第11.2.2（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）条没有要求提交的资料，不作为资格审查不合格的依据。</w:t>
      </w:r>
    </w:p>
    <w:p>
      <w:pPr>
        <w:pBdr>
          <w:bottom w:val="single" w:color="auto" w:sz="6" w:space="1"/>
        </w:pBdr>
        <w:spacing w:line="372" w:lineRule="auto"/>
        <w:ind w:firstLine="409" w:firstLineChars="195"/>
        <w:rPr>
          <w:rFonts w:hint="eastAsia" w:ascii="宋体" w:hAnsi="宋体" w:cs="宋体"/>
          <w:color w:val="auto"/>
          <w:szCs w:val="21"/>
          <w:highlight w:val="none"/>
          <w:u w:val="single"/>
        </w:rPr>
      </w:pPr>
      <w:r>
        <w:rPr>
          <w:rFonts w:hint="eastAsia" w:ascii="宋体" w:hAnsi="宋体" w:cs="宋体"/>
          <w:color w:val="auto"/>
          <w:szCs w:val="21"/>
          <w:highlight w:val="none"/>
          <w:u w:val="single"/>
        </w:rPr>
        <w:t>②上述第11.2.2（</w:t>
      </w:r>
      <w:r>
        <w:rPr>
          <w:rFonts w:ascii="宋体" w:hAnsi="宋体" w:cs="宋体"/>
          <w:color w:val="auto"/>
          <w:szCs w:val="21"/>
          <w:highlight w:val="none"/>
          <w:u w:val="single"/>
        </w:rPr>
        <w:t>1</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）条，投标人无需提供资料，按广州交易集团有限公司（广州公共资源交易中心）交易系统比对的结果进行评审。</w:t>
      </w:r>
    </w:p>
    <w:p>
      <w:pPr>
        <w:pBdr>
          <w:bottom w:val="single" w:color="auto" w:sz="6" w:space="1"/>
        </w:pBdr>
        <w:spacing w:line="372" w:lineRule="auto"/>
        <w:ind w:firstLine="409" w:firstLineChars="195"/>
        <w:rPr>
          <w:rFonts w:ascii="宋体" w:hAnsi="宋体"/>
          <w:bCs/>
          <w:color w:val="auto"/>
          <w:szCs w:val="21"/>
          <w:highlight w:val="none"/>
          <w:u w:val="single"/>
        </w:rPr>
      </w:pPr>
      <w:r>
        <w:rPr>
          <w:rFonts w:ascii="宋体" w:hAnsi="宋体" w:cs="宋体"/>
          <w:color w:val="auto"/>
          <w:szCs w:val="21"/>
          <w:highlight w:val="none"/>
          <w:u w:val="single"/>
        </w:rPr>
        <w:t>11.2.3《投标函》、《标函承诺书》、《项目负责人驻场承诺书》（格式见第四章）。</w:t>
      </w:r>
    </w:p>
    <w:p>
      <w:pPr>
        <w:pBdr>
          <w:bottom w:val="single" w:color="auto" w:sz="6" w:space="1"/>
        </w:pBdr>
        <w:spacing w:line="372" w:lineRule="auto"/>
        <w:ind w:firstLine="409" w:firstLineChars="195"/>
        <w:rPr>
          <w:rFonts w:ascii="宋体" w:hAnsi="宋体" w:cs="宋体"/>
          <w:color w:val="auto"/>
          <w:szCs w:val="21"/>
          <w:highlight w:val="none"/>
          <w:u w:val="single"/>
        </w:rPr>
      </w:pPr>
      <w:r>
        <w:rPr>
          <w:rFonts w:ascii="宋体" w:hAnsi="宋体" w:cs="宋体"/>
          <w:color w:val="auto"/>
          <w:szCs w:val="21"/>
          <w:highlight w:val="none"/>
          <w:u w:val="single"/>
        </w:rPr>
        <w:t>11.2.4《施工项目管理团队人员信息表》、《主要人员简历表》（投标人需按相应表格备注要求提供相关资料）（格式见第四章）。</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11.2.5企业资信的证明材料（按附表四要求提交，招标文件有规定格式的，需按招标文件格式提供，无格式要求的，格式自拟）。</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6</w:t>
      </w:r>
      <w:r>
        <w:rPr>
          <w:rFonts w:ascii="宋体" w:hAnsi="宋体" w:cs="宋体"/>
          <w:color w:val="auto"/>
          <w:szCs w:val="21"/>
          <w:highlight w:val="none"/>
          <w:u w:val="single"/>
        </w:rPr>
        <w:t>《危险性较大的分部分项工程安全管理措施》（格式见第四章）。</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7</w:t>
      </w:r>
      <w:r>
        <w:rPr>
          <w:rFonts w:ascii="宋体" w:hAnsi="宋体" w:cs="宋体"/>
          <w:color w:val="auto"/>
          <w:szCs w:val="21"/>
          <w:highlight w:val="none"/>
          <w:u w:val="single"/>
        </w:rPr>
        <w:t>《参与编制技术标投标文件人员名单》（格式见第四章）</w:t>
      </w:r>
      <w:r>
        <w:rPr>
          <w:rFonts w:hint="eastAsia" w:ascii="宋体" w:hAnsi="宋体" w:cs="宋体"/>
          <w:color w:val="auto"/>
          <w:szCs w:val="21"/>
          <w:highlight w:val="none"/>
        </w:rPr>
        <w:t>。</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8</w:t>
      </w:r>
      <w:r>
        <w:rPr>
          <w:rFonts w:hint="eastAsia" w:ascii="宋体" w:hAnsi="宋体" w:cs="宋体"/>
          <w:bCs/>
          <w:color w:val="auto"/>
          <w:szCs w:val="21"/>
          <w:highlight w:val="none"/>
          <w:u w:val="single"/>
        </w:rPr>
        <w:t>投标人认为应提供的其他技术标资料。</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11.3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bCs/>
          <w:color w:val="auto"/>
          <w:szCs w:val="21"/>
          <w:highlight w:val="none"/>
        </w:rPr>
        <w:t>原文：</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11.3 </w:t>
      </w:r>
      <w:r>
        <w:rPr>
          <w:rFonts w:hint="eastAsia" w:ascii="宋体" w:hAnsi="宋体" w:cs="宋体"/>
          <w:bCs/>
          <w:color w:val="auto"/>
          <w:szCs w:val="21"/>
          <w:highlight w:val="none"/>
        </w:rPr>
        <w:t>经济部分投标文件主要包括下列内容：</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 xml:space="preserve">11.3.1 </w:t>
      </w:r>
      <w:r>
        <w:rPr>
          <w:rFonts w:hint="eastAsia" w:ascii="宋体" w:hAnsi="宋体" w:cs="宋体"/>
          <w:color w:val="auto"/>
          <w:szCs w:val="21"/>
          <w:highlight w:val="none"/>
        </w:rPr>
        <w:t>经济投标文件</w:t>
      </w:r>
      <w:r>
        <w:rPr>
          <w:rFonts w:ascii="宋体" w:hAnsi="宋体" w:cs="宋体"/>
          <w:color w:val="auto"/>
          <w:szCs w:val="21"/>
          <w:highlight w:val="none"/>
        </w:rPr>
        <w:t>(按招标文件的要求填写)。</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1）投标总价封面、扉页；</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2）总说明</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3）工程项目投标报价汇总表；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4）单项工程投标报价汇总表；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5）单位工程投标报价汇总表；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6）分部分项工程清单与计价表；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7）单价措施项目清单与计价表；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8）总价措施项目清单与计价表；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9）综合单价分析表；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10）其他项目清单与计价汇总表；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11）暂列金额明细表；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12）材料（工程设备）暂估价明细表；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13）专业工程暂估价明细表；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14）计日工表；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15）总承包服务计价表；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16）规费和税金项目计价表；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17）人工、主要材料和设备一览表</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11.3.3按照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填写的《参与编制经济标投标文件人员名单》。</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现文：</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ascii="宋体" w:hAnsi="宋体" w:cs="宋体"/>
          <w:bCs/>
          <w:color w:val="auto"/>
          <w:szCs w:val="21"/>
          <w:highlight w:val="none"/>
        </w:rPr>
        <w:t xml:space="preserve">11.3 </w:t>
      </w:r>
      <w:r>
        <w:rPr>
          <w:rFonts w:hint="eastAsia" w:ascii="宋体" w:hAnsi="宋体" w:cs="宋体"/>
          <w:bCs/>
          <w:color w:val="auto"/>
          <w:szCs w:val="21"/>
          <w:highlight w:val="none"/>
        </w:rPr>
        <w:t>经济部分投标文件主要包括下列内容：</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11.3.1</w:t>
      </w:r>
      <w:r>
        <w:rPr>
          <w:rFonts w:hint="eastAsia" w:ascii="宋体" w:hAnsi="宋体" w:cs="宋体"/>
          <w:bCs/>
          <w:color w:val="auto"/>
          <w:szCs w:val="21"/>
          <w:highlight w:val="none"/>
          <w:u w:val="single"/>
        </w:rPr>
        <w:t>广州建设工程施工招标投标书</w:t>
      </w:r>
      <w:r>
        <w:rPr>
          <w:rFonts w:ascii="宋体" w:hAnsi="宋体" w:cs="宋体"/>
          <w:bCs/>
          <w:color w:val="auto"/>
          <w:szCs w:val="21"/>
          <w:highlight w:val="none"/>
          <w:u w:val="single"/>
        </w:rPr>
        <w:t>(需按招标文件第四章要求的格式填写，具体格式以《广州建设工程施工招标投标书（</w:t>
      </w:r>
      <w:r>
        <w:rPr>
          <w:rFonts w:hint="eastAsia" w:ascii="宋体" w:hAnsi="宋体" w:cs="宋体"/>
          <w:bCs/>
          <w:color w:val="auto"/>
          <w:szCs w:val="21"/>
          <w:highlight w:val="none"/>
          <w:u w:val="single"/>
        </w:rPr>
        <w:t>经济</w:t>
      </w:r>
      <w:r>
        <w:rPr>
          <w:rFonts w:ascii="宋体" w:hAnsi="宋体" w:cs="宋体"/>
          <w:bCs/>
          <w:color w:val="auto"/>
          <w:szCs w:val="21"/>
          <w:highlight w:val="none"/>
          <w:u w:val="single"/>
        </w:rPr>
        <w:t>标）》为准；电子投标管理软件编制的“广州建设工程施工招标投标书”不作为否决投标的条件</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1）投标总价封面、扉页；</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2）总说明；</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hint="eastAsia" w:ascii="宋体" w:hAnsi="宋体" w:cs="宋体"/>
          <w:color w:val="auto"/>
          <w:szCs w:val="21"/>
          <w:highlight w:val="none"/>
          <w:u w:val="single"/>
        </w:rPr>
        <w:t>（</w:t>
      </w:r>
      <w:r>
        <w:rPr>
          <w:rFonts w:ascii="宋体" w:hAnsi="宋体" w:cs="宋体"/>
          <w:color w:val="auto"/>
          <w:szCs w:val="21"/>
          <w:highlight w:val="none"/>
          <w:u w:val="single"/>
        </w:rPr>
        <w:t>3）工程量清单报价表及综合单价分析表（相关表格的内容及格式要求以招标人发出的最新版电子招标文件中的相应内容及格式为准）；</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u w:val="single"/>
        </w:rPr>
        <w:t>（</w:t>
      </w:r>
      <w:r>
        <w:rPr>
          <w:rFonts w:ascii="宋体" w:hAnsi="宋体" w:cs="宋体"/>
          <w:color w:val="auto"/>
          <w:szCs w:val="21"/>
          <w:highlight w:val="none"/>
          <w:u w:val="single"/>
        </w:rPr>
        <w:t>4）其它辅助说明资料（包括但不限于招标文件要求填写的《对投标文件编制的承诺》（格式见第四章））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11.3.3按照招标文件要求填写的《参与编制经济标投标文件人员名单》</w:t>
      </w:r>
      <w:r>
        <w:rPr>
          <w:rFonts w:hint="eastAsia" w:ascii="宋体" w:hAnsi="宋体" w:cs="宋体"/>
          <w:color w:val="auto"/>
          <w:szCs w:val="21"/>
          <w:highlight w:val="none"/>
          <w:u w:val="single"/>
        </w:rPr>
        <w:t>（格式见第四章）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u w:val="single"/>
        </w:rPr>
      </w:pPr>
      <w:r>
        <w:rPr>
          <w:rFonts w:ascii="宋体" w:hAnsi="宋体" w:cs="宋体"/>
          <w:color w:val="auto"/>
          <w:szCs w:val="21"/>
          <w:highlight w:val="none"/>
          <w:u w:val="single"/>
        </w:rPr>
        <w:t>11.3.5投标人认为应提供的其他资料。</w:t>
      </w:r>
    </w:p>
    <w:p>
      <w:pPr>
        <w:adjustRightInd w:val="0"/>
        <w:spacing w:line="360" w:lineRule="auto"/>
        <w:ind w:firstLine="411" w:firstLineChars="195"/>
        <w:textAlignment w:val="baseline"/>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rPr>
        <w:t>条款号：</w:t>
      </w:r>
      <w:r>
        <w:rPr>
          <w:rFonts w:ascii="宋体" w:hAnsi="宋体" w:cs="宋体"/>
          <w:b/>
          <w:color w:val="auto"/>
          <w:szCs w:val="21"/>
          <w:highlight w:val="none"/>
        </w:rPr>
        <w:t>11.</w:t>
      </w:r>
      <w:r>
        <w:rPr>
          <w:rFonts w:hint="eastAsia" w:ascii="宋体" w:hAnsi="宋体" w:cs="宋体"/>
          <w:b/>
          <w:color w:val="auto"/>
          <w:szCs w:val="21"/>
          <w:highlight w:val="none"/>
          <w:lang w:val="en-US" w:eastAsia="zh-CN"/>
        </w:rPr>
        <w:t>4</w:t>
      </w:r>
      <w:r>
        <w:rPr>
          <w:rFonts w:ascii="宋体" w:hAnsi="宋体" w:cs="宋体"/>
          <w:b/>
          <w:color w:val="auto"/>
          <w:szCs w:val="21"/>
          <w:highlight w:val="none"/>
        </w:rPr>
        <w:t xml:space="preserve">                      </w:t>
      </w:r>
      <w:r>
        <w:rPr>
          <w:rFonts w:hint="eastAsia" w:ascii="宋体" w:hAnsi="宋体" w:cs="宋体"/>
          <w:b/>
          <w:color w:val="auto"/>
          <w:szCs w:val="21"/>
          <w:highlight w:val="none"/>
        </w:rPr>
        <w:t>修改类型：</w:t>
      </w:r>
      <w:r>
        <w:rPr>
          <w:rFonts w:hint="eastAsia" w:ascii="宋体" w:hAnsi="宋体" w:cs="宋体"/>
          <w:b/>
          <w:color w:val="auto"/>
          <w:szCs w:val="21"/>
          <w:highlight w:val="none"/>
          <w:lang w:val="en-US" w:eastAsia="zh-CN"/>
        </w:rPr>
        <w:t>增加</w:t>
      </w:r>
    </w:p>
    <w:p>
      <w:pPr>
        <w:spacing w:line="360" w:lineRule="auto"/>
        <w:ind w:firstLine="411" w:firstLineChars="195"/>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现文</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11.4定标文件的组成</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11.4.1企业规模及综合实力介绍（如有）；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11.4.2投标人依据《定标因素表》提供的资料（如有）；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11.4.3投标人认为应该提供的资料（如有）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注：定标文件的递交时间和形式有投标人按照投标须知前附表第18项规定的时间及本须知第18条的相关要求执行。</w:t>
      </w:r>
    </w:p>
    <w:p>
      <w:pPr>
        <w:adjustRightInd w:val="0"/>
        <w:spacing w:line="360" w:lineRule="auto"/>
        <w:ind w:left="410" w:leftChars="190" w:hanging="11" w:hangingChars="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12.2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12.2投标文件全部采用电子文档，投标文件所附证书证件均为</w:t>
      </w:r>
      <w:r>
        <w:rPr>
          <w:rFonts w:hint="eastAsia" w:ascii="宋体" w:hAnsi="宋体" w:cs="宋体"/>
          <w:color w:val="auto"/>
          <w:szCs w:val="21"/>
          <w:highlight w:val="none"/>
          <w:lang w:eastAsia="zh-CN"/>
        </w:rPr>
        <w:t>扫描件</w:t>
      </w:r>
      <w:r>
        <w:rPr>
          <w:rFonts w:hint="eastAsia" w:ascii="宋体" w:hAnsi="宋体" w:cs="宋体"/>
          <w:color w:val="auto"/>
          <w:szCs w:val="21"/>
          <w:highlight w:val="none"/>
        </w:rPr>
        <w:t>，并采用单位数字证书，按招标文件要求在相应位置加盖电子印章。投标文件中需个人签字或盖章的，应在线下完成后扫描上传。按照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r>
        <w:rPr>
          <w:rFonts w:hint="eastAsia" w:ascii="宋体" w:hAnsi="宋体"/>
          <w:b/>
          <w:color w:val="auto"/>
          <w:szCs w:val="21"/>
          <w:highlight w:val="none"/>
          <w:u w:val="single"/>
        </w:rPr>
        <w:t>如联合体投标，投标文件中的“投标人”、“声明企业”、“投标单位”应填写联合体各成员的单位全称“（主）***公司（成）***公司”。除投标文件中的联合体工作协议、投标人声明需联合体各成员按格式要求盖章或签字外，其他资料均由主办方盖章或签字即可。</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12.3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12.3投标文件应按照交易平台关于全流程电子化项目的相关指南进行编制，详见：</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12.3</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交易平台关于全流程电子化项目的相关指南进行编制，详见：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pBdr>
          <w:bottom w:val="single" w:color="auto" w:sz="6" w:space="1"/>
        </w:pBd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原文：</w:t>
      </w:r>
      <w:r>
        <w:rPr>
          <w:rFonts w:ascii="宋体" w:hAnsi="宋体" w:cs="宋体"/>
          <w:color w:val="auto"/>
          <w:szCs w:val="21"/>
          <w:highlight w:val="none"/>
        </w:rPr>
        <w:t>13.1本工程的投标报价采用投标须知前附表第12项所规定的方式。投标报价（含单价及总价）精确到“分”。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13.1本工程的投标报价采用投标须知前附表第12项所规定的方式。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w:t>
      </w:r>
      <w:r>
        <w:rPr>
          <w:rFonts w:hint="eastAsia" w:ascii="宋体" w:hAnsi="宋体" w:cs="宋体"/>
          <w:color w:val="auto"/>
          <w:szCs w:val="21"/>
          <w:highlight w:val="none"/>
          <w:u w:val="single"/>
        </w:rPr>
        <w:t>提供的招标图纸（包括有关于本项目招标的相关资料）及</w:t>
      </w:r>
      <w:r>
        <w:rPr>
          <w:rFonts w:hint="eastAsia" w:ascii="宋体" w:hAnsi="宋体" w:cs="宋体"/>
          <w:color w:val="auto"/>
          <w:szCs w:val="21"/>
          <w:highlight w:val="none"/>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13.4                         </w:t>
      </w:r>
      <w:r>
        <w:rPr>
          <w:rFonts w:hint="eastAsia" w:ascii="宋体" w:hAnsi="宋体" w:cs="宋体"/>
          <w:b/>
          <w:color w:val="auto"/>
          <w:szCs w:val="21"/>
          <w:highlight w:val="none"/>
        </w:rPr>
        <w:t>修改类型：修改</w:t>
      </w:r>
    </w:p>
    <w:p>
      <w:pPr>
        <w:pStyle w:val="47"/>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13.4投标人一旦中标，投标人对招标人提供的招标工程量清单中列出的工程项目所报出的综合单价</w:t>
      </w:r>
      <w:r>
        <w:rPr>
          <w:rFonts w:hint="eastAsia" w:ascii="宋体" w:hAnsi="宋体" w:cs="宋体"/>
          <w:color w:val="auto"/>
          <w:szCs w:val="21"/>
          <w:highlight w:val="none"/>
          <w:u w:val="single"/>
        </w:rPr>
        <w:t>和措施项目费（措施项目费必须单列，没有单独列出的，视为已经包含在投标报价中），在工程结算时，按招标文件第三章合同条款相关约定调整。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13.5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13.5.1中标的投标文件工程量清单中已有相同项目的适用综合单价，则沿用；</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13.5.2中标的投标文件工程量清单中已有类似项目的综合单价，则按类似项目的综合单价对相</w:t>
      </w:r>
      <w:r>
        <w:rPr>
          <w:rFonts w:hint="eastAsia" w:ascii="宋体" w:hAnsi="宋体" w:cs="宋体"/>
          <w:color w:val="auto"/>
          <w:szCs w:val="21"/>
          <w:highlight w:val="none"/>
        </w:rPr>
        <w:t>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 xml:space="preserve">13.5.3 </w:t>
      </w:r>
      <w:r>
        <w:rPr>
          <w:rFonts w:hint="eastAsia" w:ascii="宋体" w:hAnsi="宋体" w:cs="宋体"/>
          <w:color w:val="auto"/>
          <w:szCs w:val="21"/>
          <w:highlight w:val="none"/>
        </w:rPr>
        <w:t>中标的投标文件工程量清单中没有相同项目或类似项目的，如可套取相关定额，则以相关定额为基数下浮计算单价</w:t>
      </w:r>
      <w:r>
        <w:rPr>
          <w:rFonts w:ascii="宋体" w:hAnsi="宋体" w:cs="宋体"/>
          <w:color w:val="auto"/>
          <w:szCs w:val="21"/>
          <w:highlight w:val="none"/>
        </w:rPr>
        <w:t>,下浮率为中标价相对于最高投标限价的下浮率（下浮率=(最高投标限价-中标价)/最高投标限价）。</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ascii="宋体" w:hAnsi="宋体" w:cs="宋体"/>
          <w:color w:val="auto"/>
          <w:szCs w:val="21"/>
          <w:highlight w:val="none"/>
        </w:rPr>
        <w:t xml:space="preserve">13.5.4 </w:t>
      </w:r>
      <w:r>
        <w:rPr>
          <w:rFonts w:hint="eastAsia" w:ascii="宋体" w:hAnsi="宋体" w:cs="宋体"/>
          <w:color w:val="auto"/>
          <w:szCs w:val="21"/>
          <w:highlight w:val="none"/>
        </w:rPr>
        <w:t>如相关定额没有相应子目的，其计价方式由招标人在本招标文件第三章中另行规定。未规定的，中标后双方协商约定。</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13.5</w:t>
      </w:r>
      <w:r>
        <w:rPr>
          <w:rFonts w:hint="eastAsia" w:ascii="宋体" w:hAnsi="宋体" w:cs="宋体"/>
          <w:color w:val="auto"/>
          <w:szCs w:val="21"/>
          <w:highlight w:val="none"/>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13.6.2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w:t>
      </w:r>
      <w:r>
        <w:rPr>
          <w:rFonts w:hint="eastAsia" w:ascii="宋体" w:hAnsi="宋体" w:cs="宋体"/>
          <w:color w:val="auto"/>
          <w:szCs w:val="21"/>
          <w:highlight w:val="none"/>
          <w:u w:val="single"/>
        </w:rPr>
        <w:t>应由招标人招标确定承包人和承包价格。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13.6.4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color w:val="auto"/>
          <w:szCs w:val="21"/>
          <w:highlight w:val="none"/>
          <w:u w:val="single"/>
        </w:rPr>
        <w:t>经发包人同意，</w:t>
      </w:r>
      <w:r>
        <w:rPr>
          <w:rFonts w:hint="eastAsia" w:ascii="宋体" w:hAnsi="宋体" w:cs="宋体"/>
          <w:color w:val="auto"/>
          <w:szCs w:val="21"/>
          <w:highlight w:val="none"/>
        </w:rPr>
        <w:t>承包人有法定的承包资格的，由承包人承包，承包人无法定的承包资格但有法定的分包权的，由承包人分包，招标人同承包人结算的价格按本投标须知</w:t>
      </w:r>
      <w:r>
        <w:rPr>
          <w:rFonts w:ascii="宋体" w:hAnsi="宋体" w:cs="宋体"/>
          <w:color w:val="auto"/>
          <w:szCs w:val="21"/>
          <w:highlight w:val="none"/>
        </w:rPr>
        <w:t>13.5款规定确定。</w:t>
      </w:r>
    </w:p>
    <w:p>
      <w:pP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13.8                         </w:t>
      </w:r>
      <w:r>
        <w:rPr>
          <w:rFonts w:hint="eastAsia" w:ascii="宋体" w:hAnsi="宋体" w:cs="宋体"/>
          <w:b/>
          <w:color w:val="auto"/>
          <w:szCs w:val="21"/>
          <w:highlight w:val="none"/>
        </w:rPr>
        <w:t>修改类型：修改</w:t>
      </w:r>
    </w:p>
    <w:p>
      <w:pPr>
        <w:pStyle w:val="47"/>
        <w:spacing w:after="0"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Bdr>
          <w:bottom w:val="single" w:color="auto" w:sz="6" w:space="1"/>
        </w:pBdr>
        <w:spacing w:line="360" w:lineRule="auto"/>
        <w:ind w:firstLine="413" w:firstLineChars="196"/>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u w:val="single"/>
        </w:rPr>
        <w:t>13.8投标期间，投标人不需在投标文件中明确所选用主要材料、设备的品牌、厂家以及质量等级。实施期间，所有材料品牌选择均须报发包人、监理工程师确认，所有材料及成品质量必须满足设计与规范要求，且经检验合格后方可使用。</w:t>
      </w:r>
    </w:p>
    <w:p>
      <w:pPr>
        <w:pStyle w:val="47"/>
        <w:spacing w:after="0" w:line="360" w:lineRule="auto"/>
        <w:ind w:firstLine="407" w:firstLineChars="193"/>
        <w:rPr>
          <w:rFonts w:ascii="宋体" w:hAnsi="宋体"/>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13.10                         </w:t>
      </w:r>
      <w:r>
        <w:rPr>
          <w:rFonts w:hint="eastAsia" w:ascii="宋体" w:hAnsi="宋体" w:cs="宋体"/>
          <w:b/>
          <w:color w:val="auto"/>
          <w:szCs w:val="21"/>
          <w:highlight w:val="none"/>
        </w:rPr>
        <w:t>修改类型：增加</w:t>
      </w:r>
    </w:p>
    <w:p>
      <w:pPr>
        <w:spacing w:line="360" w:lineRule="auto"/>
        <w:ind w:firstLine="407" w:firstLineChars="193"/>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bCs/>
          <w:color w:val="auto"/>
          <w:szCs w:val="21"/>
          <w:highlight w:val="none"/>
          <w:u w:val="single"/>
        </w:rPr>
        <w:t>13.10</w:t>
      </w:r>
      <w:r>
        <w:rPr>
          <w:rFonts w:hint="eastAsia" w:ascii="宋体" w:hAnsi="宋体" w:cs="宋体"/>
          <w:color w:val="auto"/>
          <w:szCs w:val="21"/>
          <w:highlight w:val="none"/>
          <w:u w:val="single"/>
        </w:rPr>
        <w:t>工程量清单报价中有关问题的说明：</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①工程量清单中的标志杆基础中的土方开挖、运输、外运等费用包含在相应项目中，不包含在土石方工程的相关项目中。</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②场地平整单位工程中的土方单价，参照《广州开发区、萝岗区财政投资土地平整工程实施细则》（穗开环建〔2012〕197号）及广州开发区管委会办公室《关于调整我区土地平整项目土方单价的复函》（穗开内收〔2016〕58号）设置最高限价：（1）土地平整综合单价按 3 公里内 13.2 元/立方米进行控制，运距超出 3 公里后每增加 1 公里运距的运土综合单价为 2.14 元/立方米，运距最高计算至 15 公里，若选定的弃土点超岀该地块 15 公里范围之外的，仍按 15 公里计算的综合单价 38.88 元/立方米包干。此综合单价包含挖填、运输、推平、压实、地块内清表、临时排水、临时道路、修坡工程费用及措施费、规费、税金。在项目实施过程中，如果上级部门重新出具新的土方限价文件，则在相应实施期按照相应文件对土方单价进行计取。（2）场地平整单位工程内的石方工程，距离厂房、民 房、桥梁及高速公路等建、构筑物 50 米范围内的控制爆破炸石综合单价按 70 元/立方米进行控制，50 米至 300 米范围内的控制爆破炸石综合单价按 60元/立方米进行控制；在高压线（1 万伏以上供电线路）周围 300 米范围内控制爆破炸石综合单价按 70 元/ 立方米进行控制，在高压线（1 万伏以上供电线路）周围 300 至 500 米范围内控制爆破炸石综合单价按 60 元/立方米进行控制，其他范围内的炸石综合单价按 40 元/立方米进行控制，此综合单价包含挖土露石、炸石及土石方清运等综合费用，石方工程量按爆破前的天然密实体积计算。（因清表、树木砍伐和地上附着物的清理及土方工程中不能利用产生的余泥渣土排放由承包人按照有关规定进行外运，费用不另行计算）；石方工程单位工程内的石方静力爆破综合单价按 </w:t>
      </w:r>
      <w:r>
        <w:rPr>
          <w:rFonts w:hint="eastAsia" w:ascii="宋体" w:hAnsi="宋体" w:cs="宋体"/>
          <w:color w:val="auto"/>
          <w:szCs w:val="21"/>
          <w:highlight w:val="none"/>
          <w:u w:val="single"/>
          <w:lang w:val="en-US" w:eastAsia="zh-CN"/>
        </w:rPr>
        <w:t>176.58</w:t>
      </w:r>
      <w:r>
        <w:rPr>
          <w:rFonts w:hint="eastAsia" w:ascii="宋体" w:hAnsi="宋体" w:cs="宋体"/>
          <w:color w:val="auto"/>
          <w:szCs w:val="21"/>
          <w:highlight w:val="none"/>
          <w:u w:val="single"/>
        </w:rPr>
        <w:t xml:space="preserve"> 元／立方米进行控制，此综合单价包含挖土露石、炸石及土石方清运及措施费、预算包干费、税金等综合费用。（3）其他单位工程中：土方的挖运单价按定额计算，土方的弃运距离暂按 15 公里内考虑，超过 15 公里按 15 公里计算，结算时按招标人确认的实际运距计算,实际运距超过 15 公里时，按 15 公里包干。（4）在项目实施过程中，如果区政府、管委会重新修订了新的土方平整工程土石方限价文件，则按新的文件执行。</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③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p>
    <w:p>
      <w:pPr>
        <w:spacing w:after="0" w:line="360" w:lineRule="auto"/>
        <w:ind w:firstLine="426" w:firstLineChars="202"/>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13.11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13.11中标人应对当地现有的交通道路状况进行充分调查，充分考虑该路段的交通疏导问题和文明施工，制定可行的交通疏导（包括场内和场外）方案，确保原有道路的交通畅通和施工临时排水的通畅，并符合施工环保要求。中标人应与交警及公路管理部门协商，取得同意和协助，并负责承担道路改线或改善和其他费用。</w:t>
      </w:r>
      <w:r>
        <w:rPr>
          <w:rFonts w:hint="eastAsia" w:ascii="宋体" w:hAnsi="宋体" w:cs="宋体"/>
          <w:color w:val="auto"/>
          <w:szCs w:val="21"/>
          <w:highlight w:val="none"/>
          <w:u w:val="single"/>
        </w:rPr>
        <w:t>相关费用包含在措施项目费中</w:t>
      </w:r>
      <w:r>
        <w:rPr>
          <w:rFonts w:hint="eastAsia" w:ascii="宋体" w:hAnsi="宋体"/>
          <w:color w:val="auto"/>
          <w:szCs w:val="21"/>
          <w:highlight w:val="none"/>
          <w:u w:val="single"/>
        </w:rPr>
        <w:t>，结算时按发包人批准的实施方案，按合同约定结算。如果中标人不及时按要求设置，发包人可以另行委托实施。发包人按实际发生的费用在工程款中扣除，中标人不得有任何异议。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13.12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13.12中标人应加强周边学校、居民住宅的环境保护，制定绿色施工安全防护措施（包括防尘、防噪音、施工围蔽等），施工现场严格按照</w:t>
      </w:r>
      <w:r>
        <w:rPr>
          <w:rFonts w:hint="default" w:ascii="宋体" w:hAnsi="宋体"/>
          <w:color w:val="auto"/>
          <w:kern w:val="2"/>
          <w:sz w:val="21"/>
          <w:szCs w:val="21"/>
          <w:highlight w:val="none"/>
          <w:u w:val="single"/>
        </w:rPr>
        <w:t>《广东省建设工程施工扬尘污染防治管理办法（试行）》（粤办函〔2017〕708号）、</w:t>
      </w:r>
      <w:r>
        <w:rPr>
          <w:rFonts w:ascii="宋体" w:hAnsi="宋体"/>
          <w:color w:val="auto"/>
          <w:szCs w:val="21"/>
          <w:highlight w:val="none"/>
          <w:u w:val="single"/>
        </w:rPr>
        <w:t>《广州市建设工程文明施工管理规定》（广州市人民政府令第62号</w:t>
      </w:r>
      <w:r>
        <w:rPr>
          <w:rFonts w:hint="eastAsia" w:ascii="宋体" w:hAnsi="宋体" w:cs="宋体"/>
          <w:color w:val="auto"/>
          <w:szCs w:val="21"/>
          <w:highlight w:val="none"/>
          <w:u w:val="single"/>
        </w:rPr>
        <w:t>、第158号</w:t>
      </w:r>
      <w:r>
        <w:rPr>
          <w:rFonts w:ascii="宋体" w:hAnsi="宋体"/>
          <w:color w:val="auto"/>
          <w:szCs w:val="21"/>
          <w:highlight w:val="none"/>
          <w:u w:val="single"/>
        </w:rPr>
        <w:t>）、《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2018〕1008号）、《广州市建设工程绿色施工围蔽指导图集（V2.0版）的通知》(穂建质〔2020〕1号)、</w:t>
      </w:r>
      <w:r>
        <w:rPr>
          <w:rFonts w:hint="default" w:ascii="宋体" w:hAnsi="宋体"/>
          <w:color w:val="auto"/>
          <w:kern w:val="2"/>
          <w:sz w:val="21"/>
          <w:szCs w:val="21"/>
          <w:highlight w:val="none"/>
          <w:u w:val="single"/>
        </w:rPr>
        <w:t>《关于在全区建设项目推广使用封闭式外脚手架金属防护网的通知》（穗埔建﹝2019﹞66号）、</w:t>
      </w:r>
      <w:r>
        <w:rPr>
          <w:rFonts w:ascii="宋体" w:hAnsi="宋体"/>
          <w:color w:val="auto"/>
          <w:szCs w:val="21"/>
          <w:highlight w:val="none"/>
          <w:u w:val="single"/>
        </w:rPr>
        <w:t xml:space="preserve">《关于进一步落实我区市政建设项目施工围蔽提升工作的通知》（穗埔建[2019]123号）及《黄埔区住房和城乡建设局 </w:t>
      </w:r>
      <w:r>
        <w:rPr>
          <w:rFonts w:hint="eastAsia" w:ascii="宋体" w:hAnsi="宋体"/>
          <w:color w:val="auto"/>
          <w:szCs w:val="21"/>
          <w:highlight w:val="none"/>
          <w:u w:val="single"/>
        </w:rPr>
        <w:t>广州开发区建设和交通局关于进一步规范全区建设工程施工围蔽标准的通知》（穗埔建﹝</w:t>
      </w:r>
      <w:r>
        <w:rPr>
          <w:rFonts w:ascii="宋体" w:hAnsi="宋体"/>
          <w:color w:val="auto"/>
          <w:szCs w:val="21"/>
          <w:highlight w:val="none"/>
          <w:u w:val="single"/>
        </w:rPr>
        <w:t>2020﹞183号）实施。以上文件要求不一致的，以后发布文件为准，若相关部门发布有关施工围蔽新文件规定的，按新规定执行。如中标人未及时按要求做好围蔽、落实工地扬尘防治等绿色施工安全防护措施，业主可另行委托单位实施，业主在工程款中扣减相应措施费用。中标人应当在项目施工前编制扬尘污染防治专项方案和扬尘污染防治费用使用计划，明确扬尘控制目标、防治部位、控制措施，并将扬尘污染防治费用专项使用。</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13.13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13.13本工程中标人通过现场考察，提出具体施工方案，无论在工程施工期间或是在质量保修期内，若因施工而引起的一切索赔、赔偿、诉讼费用和其他开支，由中标人承担全部责任。</w:t>
      </w:r>
      <w:r>
        <w:rPr>
          <w:rFonts w:hint="eastAsia" w:ascii="宋体" w:hAnsi="宋体" w:cs="宋体"/>
          <w:color w:val="auto"/>
          <w:szCs w:val="21"/>
          <w:highlight w:val="none"/>
          <w:u w:val="single"/>
        </w:rPr>
        <w:t>该项费用包含在投标总报价中，不另行计费。</w:t>
      </w:r>
      <w:r>
        <w:rPr>
          <w:rFonts w:hint="eastAsia" w:ascii="宋体" w:hAnsi="宋体"/>
          <w:color w:val="auto"/>
          <w:szCs w:val="21"/>
          <w:highlight w:val="none"/>
          <w:u w:val="single"/>
        </w:rPr>
        <w:t>中标人不得以任何理由要求发包人另行增加该部分费用（中标人要充分考虑最不利因素影响而采用的施工方案所需的费用）。</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13.14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13.14中标人应结合本工程招标内容对现场进行充分的调查，充分考虑工程招标内容及施工组织方案，中标人应与相关管理部门（如铁路管理部门）协商，取得同意协调，按要求完成工程招标内容，工程及相关费用包含在合同价中，不另行计费。如果中标人不及时按要求完成，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13.15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u w:val="single"/>
        </w:rPr>
      </w:pPr>
      <w:r>
        <w:rPr>
          <w:rFonts w:hint="eastAsia" w:ascii="宋体" w:hAnsi="宋体"/>
          <w:b/>
          <w:color w:val="auto"/>
          <w:szCs w:val="21"/>
          <w:highlight w:val="none"/>
        </w:rPr>
        <w:t>现文：</w:t>
      </w:r>
      <w:r>
        <w:rPr>
          <w:rFonts w:ascii="宋体" w:hAnsi="宋体"/>
          <w:color w:val="auto"/>
          <w:szCs w:val="21"/>
          <w:highlight w:val="none"/>
          <w:u w:val="single"/>
        </w:rPr>
        <w:t>13.15中标人应根据区相关主管部门批复的水土保持实施方案及相关规定完成本工程的水土保持工作，承担防止水土流失职责，相关费用包含在合同价中，不另行计费。如果中标人不及</w:t>
      </w:r>
      <w:r>
        <w:rPr>
          <w:rFonts w:hint="eastAsia" w:ascii="宋体" w:hAnsi="宋体"/>
          <w:color w:val="auto"/>
          <w:szCs w:val="21"/>
          <w:highlight w:val="none"/>
          <w:u w:val="single"/>
        </w:rPr>
        <w:t>时按要求完成上述工作，发包人可以另行委托实施，发包人按实际发生的费用在工程款中扣除，中标人不得有任何异议。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13.16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u w:val="single"/>
        </w:rPr>
      </w:pPr>
      <w:r>
        <w:rPr>
          <w:rFonts w:hint="eastAsia" w:ascii="宋体" w:hAnsi="宋体"/>
          <w:b/>
          <w:color w:val="auto"/>
          <w:szCs w:val="21"/>
          <w:highlight w:val="none"/>
        </w:rPr>
        <w:t>现文：</w:t>
      </w:r>
      <w:r>
        <w:rPr>
          <w:rFonts w:ascii="宋体" w:hAnsi="宋体"/>
          <w:color w:val="auto"/>
          <w:szCs w:val="21"/>
          <w:highlight w:val="none"/>
          <w:u w:val="single"/>
        </w:rPr>
        <w:t>13.16中标人应使用绿色生产达标企业生产的混凝土，若不遵守承诺，自愿按不履行合同约定处理。</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13.17                              </w:t>
      </w:r>
      <w:r>
        <w:rPr>
          <w:rFonts w:hint="eastAsia" w:ascii="宋体" w:hAnsi="宋体" w:cs="宋体"/>
          <w:b/>
          <w:color w:val="auto"/>
          <w:szCs w:val="21"/>
          <w:highlight w:val="none"/>
        </w:rPr>
        <w:t>修改类型：增加</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u w:val="single"/>
        </w:rPr>
        <w:t>13.17中标人应按有关规定协助发包人完成公共排水设施竣工图纸备案工作。</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15.2                               </w:t>
      </w:r>
      <w:r>
        <w:rPr>
          <w:rFonts w:hint="eastAsia" w:ascii="宋体" w:hAnsi="宋体" w:cs="宋体"/>
          <w:b/>
          <w:color w:val="auto"/>
          <w:szCs w:val="21"/>
          <w:highlight w:val="none"/>
        </w:rPr>
        <w:t>修改类型：修改</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15.2 </w:t>
      </w:r>
      <w:r>
        <w:rPr>
          <w:rFonts w:hint="eastAsia" w:ascii="宋体" w:hAnsi="宋体" w:cs="宋体"/>
          <w:color w:val="auto"/>
          <w:szCs w:val="21"/>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s="宋体"/>
          <w:color w:val="auto"/>
          <w:szCs w:val="21"/>
          <w:highlight w:val="none"/>
        </w:rPr>
        <w:t>16条关于投标保证金的退还与不予退还的规定仍然适用。</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15.2 </w:t>
      </w:r>
      <w:r>
        <w:rPr>
          <w:rFonts w:hint="eastAsia" w:ascii="宋体" w:hAnsi="宋体" w:cs="宋体"/>
          <w:color w:val="auto"/>
          <w:szCs w:val="21"/>
          <w:highlight w:val="none"/>
        </w:rPr>
        <w:t>在特殊情况下，招标人在原定投标有效期内，可以根据需要以书面形式向投标人提出延长投标有效期的要求，对此要求投标人须以书面形式予以答复。</w:t>
      </w:r>
      <w:r>
        <w:rPr>
          <w:rFonts w:hint="eastAsia" w:ascii="宋体" w:hAnsi="宋体" w:cs="宋体"/>
          <w:color w:val="auto"/>
          <w:szCs w:val="21"/>
          <w:highlight w:val="none"/>
          <w:u w:val="single"/>
        </w:rPr>
        <w:t>投标人可以拒绝招标人这种要求。同意延长投标有效期的投标人既不能要求也不允许修改其投标文件。</w:t>
      </w:r>
    </w:p>
    <w:p>
      <w:pPr>
        <w:pStyle w:val="47"/>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16 </w:t>
      </w:r>
      <w:r>
        <w:rPr>
          <w:rFonts w:ascii="宋体" w:hAnsi="宋体"/>
          <w:color w:val="auto"/>
          <w:szCs w:val="21"/>
          <w:highlight w:val="none"/>
        </w:rPr>
        <w:t xml:space="preserve">                                 </w:t>
      </w:r>
      <w:r>
        <w:rPr>
          <w:rFonts w:hint="eastAsia" w:ascii="宋体" w:hAnsi="宋体"/>
          <w:b/>
          <w:color w:val="auto"/>
          <w:szCs w:val="21"/>
          <w:highlight w:val="none"/>
        </w:rPr>
        <w:t>修改类型：修改</w:t>
      </w:r>
    </w:p>
    <w:p>
      <w:pPr>
        <w:spacing w:line="360" w:lineRule="auto"/>
        <w:ind w:firstLine="424" w:firstLineChars="201"/>
        <w:rPr>
          <w:rFonts w:ascii="宋体" w:hAnsi="宋体"/>
          <w:color w:val="auto"/>
          <w:szCs w:val="21"/>
          <w:highlight w:val="none"/>
        </w:rPr>
      </w:pPr>
      <w:r>
        <w:rPr>
          <w:rFonts w:hint="eastAsia" w:ascii="宋体" w:hAnsi="宋体"/>
          <w:b/>
          <w:color w:val="auto"/>
          <w:szCs w:val="21"/>
          <w:highlight w:val="none"/>
        </w:rPr>
        <w:t>原文：</w:t>
      </w:r>
    </w:p>
    <w:p>
      <w:pPr>
        <w:pStyle w:val="47"/>
        <w:spacing w:after="0" w:line="360" w:lineRule="auto"/>
        <w:ind w:firstLine="422" w:firstLineChars="200"/>
        <w:rPr>
          <w:rFonts w:ascii="宋体" w:hAnsi="宋体"/>
          <w:b/>
          <w:bCs/>
          <w:color w:val="auto"/>
          <w:szCs w:val="21"/>
          <w:highlight w:val="none"/>
        </w:rPr>
      </w:pPr>
      <w:r>
        <w:rPr>
          <w:rFonts w:ascii="宋体" w:hAnsi="宋体"/>
          <w:b/>
          <w:bCs/>
          <w:color w:val="auto"/>
          <w:szCs w:val="21"/>
          <w:highlight w:val="none"/>
        </w:rPr>
        <w:t>16．投标保证金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16.1.1采用现金或者支票形式提交的，投标保证金须从投标人的银行基本账户转出。</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16.1.3采用电子形式的保函、担保或保证保险提交投标保证金的，应在招标文件中明确电子递交途径。</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16.2开标时投标人没有按要求提供投标保证金的，其投标文件将被否决；未按招标文件要求提</w:t>
      </w:r>
      <w:r>
        <w:rPr>
          <w:rFonts w:hint="eastAsia" w:ascii="宋体" w:hAnsi="宋体"/>
          <w:color w:val="auto"/>
          <w:szCs w:val="21"/>
          <w:highlight w:val="none"/>
        </w:rPr>
        <w:t>交符合免予提供投标保证金相关证明材料，且未提交投标保证金的投标人，视为未按要求提供投标保证金。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16.3投标保证金应依据法律法规的相关规定退还。</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16.4如有下列情况之一的，招标人可以不予退还投标保证金（是否退还投标保证金由招标人在招标文件中规定）：</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16.4.1因投标人原因造成投标文件未解密的；</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16.4.2投标人在投标有效期内撤销投标文件；</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16.4.3中标人未能在规定期限内按要求提交履约担保；</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16.4.4中标人未能在规定期限内签署合同协议。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16.5.3按招标文件要求免于提供投标保证金的投标人存在16.4条款所列情形，且未按招标人要求补交投标保证金的；</w:t>
      </w:r>
    </w:p>
    <w:p>
      <w:pPr>
        <w:spacing w:line="360" w:lineRule="auto"/>
        <w:ind w:firstLine="422" w:firstLineChars="201"/>
        <w:rPr>
          <w:rFonts w:ascii="宋体" w:hAnsi="宋体"/>
          <w:color w:val="auto"/>
          <w:szCs w:val="21"/>
          <w:highlight w:val="none"/>
        </w:rPr>
      </w:pPr>
      <w:r>
        <w:rPr>
          <w:rFonts w:ascii="宋体" w:hAnsi="宋体"/>
          <w:color w:val="auto"/>
          <w:szCs w:val="21"/>
          <w:highlight w:val="none"/>
        </w:rPr>
        <w:t>16.5.3按招标文件要求免于提供投标保证金的投标人存在16.4条款所列情形的。</w:t>
      </w:r>
    </w:p>
    <w:p>
      <w:pPr>
        <w:pBdr>
          <w:bottom w:val="single" w:color="auto" w:sz="6" w:space="1"/>
        </w:pBdr>
        <w:spacing w:line="360" w:lineRule="auto"/>
        <w:ind w:firstLine="424" w:firstLineChars="201"/>
        <w:rPr>
          <w:rFonts w:ascii="宋体" w:hAnsi="宋体"/>
          <w:b/>
          <w:color w:val="auto"/>
          <w:szCs w:val="21"/>
          <w:highlight w:val="none"/>
        </w:rPr>
      </w:pPr>
      <w:r>
        <w:rPr>
          <w:rFonts w:hint="eastAsia" w:ascii="宋体" w:hAnsi="宋体"/>
          <w:b/>
          <w:color w:val="auto"/>
          <w:szCs w:val="21"/>
          <w:highlight w:val="none"/>
        </w:rPr>
        <w:t>现文：</w:t>
      </w:r>
    </w:p>
    <w:p>
      <w:pPr>
        <w:pBdr>
          <w:bottom w:val="single" w:color="auto" w:sz="6" w:space="1"/>
        </w:pBdr>
        <w:spacing w:line="360" w:lineRule="auto"/>
        <w:ind w:firstLine="424" w:firstLineChars="201"/>
        <w:rPr>
          <w:rFonts w:ascii="宋体" w:hAnsi="宋体"/>
          <w:b/>
          <w:bCs/>
          <w:color w:val="auto"/>
          <w:szCs w:val="21"/>
          <w:highlight w:val="none"/>
        </w:rPr>
      </w:pPr>
      <w:r>
        <w:rPr>
          <w:rFonts w:ascii="宋体" w:hAnsi="宋体"/>
          <w:b/>
          <w:bCs/>
          <w:color w:val="auto"/>
          <w:szCs w:val="21"/>
          <w:highlight w:val="none"/>
        </w:rPr>
        <w:t>16．投标保证金</w:t>
      </w:r>
    </w:p>
    <w:p>
      <w:pPr>
        <w:pBdr>
          <w:bottom w:val="single" w:color="auto" w:sz="6" w:space="1"/>
        </w:pBdr>
        <w:spacing w:line="360" w:lineRule="auto"/>
        <w:ind w:firstLine="422" w:firstLineChars="201"/>
        <w:rPr>
          <w:rFonts w:ascii="宋体" w:hAnsi="宋体"/>
          <w:color w:val="auto"/>
          <w:szCs w:val="21"/>
          <w:highlight w:val="none"/>
          <w:u w:val="single"/>
        </w:rPr>
      </w:pPr>
      <w:r>
        <w:rPr>
          <w:rFonts w:ascii="宋体" w:hAnsi="宋体" w:cs="宋体"/>
          <w:color w:val="auto"/>
          <w:szCs w:val="21"/>
          <w:highlight w:val="none"/>
          <w:u w:val="single"/>
        </w:rPr>
        <w:t>16.1</w:t>
      </w:r>
      <w:r>
        <w:rPr>
          <w:rFonts w:hint="eastAsia" w:ascii="宋体" w:hAnsi="宋体" w:cs="宋体"/>
          <w:color w:val="auto"/>
          <w:szCs w:val="21"/>
          <w:highlight w:val="none"/>
          <w:u w:val="single"/>
        </w:rPr>
        <w:t>本项目不要求递交投标保证金。</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17.1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w:t>
      </w:r>
    </w:p>
    <w:p>
      <w:pPr>
        <w:pBdr>
          <w:bottom w:val="single" w:color="auto" w:sz="6" w:space="1"/>
        </w:pBd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17.1投标人应采用单位数字证书，按招标文件要求在相应位置加盖电子印章。投标文件中需个人签字或盖章的，应</w:t>
      </w:r>
      <w:r>
        <w:rPr>
          <w:rFonts w:hint="eastAsia" w:ascii="宋体" w:hAnsi="宋体" w:cs="宋体"/>
          <w:color w:val="auto"/>
          <w:szCs w:val="21"/>
          <w:highlight w:val="none"/>
        </w:rPr>
        <w:t>加盖个人电子印章或在线下完成后扫描上传。按照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18.1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18.1</w:t>
      </w:r>
      <w:r>
        <w:rPr>
          <w:rFonts w:hint="eastAsia" w:ascii="宋体" w:hAnsi="宋体" w:cs="宋体"/>
          <w:bCs/>
          <w:color w:val="auto"/>
          <w:szCs w:val="21"/>
          <w:highlight w:val="none"/>
        </w:rPr>
        <w:t>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18.1</w:t>
      </w:r>
      <w:r>
        <w:rPr>
          <w:rFonts w:hint="eastAsia" w:ascii="宋体" w:hAnsi="宋体" w:cs="宋体"/>
          <w:bCs/>
          <w:color w:val="auto"/>
          <w:szCs w:val="21"/>
          <w:highlight w:val="none"/>
        </w:rPr>
        <w:t>递交的电子投标文件（不含备用光盘）必须进行加密。按照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bCs/>
          <w:color w:val="auto"/>
          <w:szCs w:val="21"/>
          <w:highlight w:val="none"/>
        </w:rPr>
        <w:t>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18.2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b/>
          <w:color w:val="auto"/>
          <w:szCs w:val="21"/>
          <w:highlight w:val="none"/>
        </w:rPr>
        <w:t>19.投标文件的递交和接收</w:t>
      </w:r>
    </w:p>
    <w:p>
      <w:pPr>
        <w:pBdr>
          <w:bottom w:val="single" w:color="auto" w:sz="6" w:space="1"/>
        </w:pBd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现文：</w:t>
      </w:r>
      <w:r>
        <w:rPr>
          <w:rFonts w:ascii="宋体" w:hAnsi="宋体" w:cs="宋体"/>
          <w:b/>
          <w:color w:val="auto"/>
          <w:szCs w:val="21"/>
          <w:highlight w:val="none"/>
        </w:rPr>
        <w:t>19.</w:t>
      </w:r>
      <w:r>
        <w:rPr>
          <w:rFonts w:hint="eastAsia" w:ascii="宋体" w:hAnsi="宋体" w:cs="宋体"/>
          <w:b/>
          <w:color w:val="auto"/>
          <w:szCs w:val="21"/>
          <w:highlight w:val="none"/>
          <w:u w:val="single"/>
        </w:rPr>
        <w:t>投标登记和</w:t>
      </w:r>
      <w:r>
        <w:rPr>
          <w:rFonts w:hint="eastAsia" w:ascii="宋体" w:hAnsi="宋体" w:cs="宋体"/>
          <w:b/>
          <w:color w:val="auto"/>
          <w:szCs w:val="21"/>
          <w:highlight w:val="none"/>
        </w:rPr>
        <w:t>投标文件的递交和接收</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19.1</w:t>
      </w:r>
      <w:r>
        <w:rPr>
          <w:rFonts w:hint="eastAsia" w:ascii="宋体" w:hAnsi="宋体" w:cs="宋体"/>
          <w:bCs/>
          <w:color w:val="auto"/>
          <w:szCs w:val="21"/>
          <w:highlight w:val="none"/>
        </w:rPr>
        <w:t>投标人通过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交易平台递交电子投标文件。</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交易平台递交电子投标文件。</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交易平台即时向投标人发出递交回执通知。递交时间以递交回执通知载明的传输完成时间为准。</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19.3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19.5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19.5如技术标和经济标先后分别开启，</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交易平台将按招标文件规定的时间分别开启技术标和经济标。</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19.5如技术标和经济标先后分别开启，</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交易平台将按招标文件规定的时间分别开启技术标和经济标。</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21.1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24.1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24.1 </w:t>
      </w:r>
      <w:r>
        <w:rPr>
          <w:rFonts w:hint="eastAsia" w:ascii="宋体" w:hAnsi="宋体" w:cs="宋体"/>
          <w:color w:val="auto"/>
          <w:szCs w:val="21"/>
          <w:highlight w:val="none"/>
        </w:rPr>
        <w:t>开标后，直至中标公示为止，凡属于对投标文件的审查、澄清、评价和比较有关的资料以及中标候选人的推荐情况，与评标有关的其他任何情况均严格保密。</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24.1 </w:t>
      </w:r>
      <w:r>
        <w:rPr>
          <w:rFonts w:hint="eastAsia" w:ascii="宋体" w:hAnsi="宋体" w:cs="宋体"/>
          <w:color w:val="auto"/>
          <w:szCs w:val="21"/>
          <w:highlight w:val="none"/>
        </w:rPr>
        <w:t>开标后，直至中标公示为止，凡属于对投标文件的审查、澄清、评价和比较有关的资料以及</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中标候选人的推荐情况，与评标有关的其他任何情况均严格保密。</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24.2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24.2 </w:t>
      </w:r>
      <w:r>
        <w:rPr>
          <w:rFonts w:hint="eastAsia" w:ascii="宋体" w:hAnsi="宋体" w:cs="宋体"/>
          <w:color w:val="auto"/>
          <w:szCs w:val="21"/>
          <w:highlight w:val="none"/>
        </w:rPr>
        <w:t>在投标文件的评审和比较、中标候选人推荐以及授予合同的过程中，投标人向招标人和评标委员会施加不公正影响的任何行为，都将会导致其投标被拒绝。</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24.2 </w:t>
      </w:r>
      <w:r>
        <w:rPr>
          <w:rFonts w:hint="eastAsia" w:ascii="宋体" w:hAnsi="宋体" w:cs="宋体"/>
          <w:color w:val="auto"/>
          <w:szCs w:val="21"/>
          <w:highlight w:val="none"/>
        </w:rPr>
        <w:t>在投标文件的评审和比较、</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中标候选人推荐以及授予合同的过程中，投标人向招标人和评标委员会施加不公正影响的任何行为，都将会导致其投标被拒绝。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27.1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27.1招标人将在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27.1招标人将在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交易平台、广东省招标投标监管网和中国招标投标公共服务平台公示</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中标候选人，公示期为三天。投标人或其他利害关系人对评标结果有异议的，应当在</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27.4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27.4在产生中标候选人后，招标人将中标候选人的投标文件商务部分文件的所有内容（包括人员、业绩、奖项等资料）在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交易平台和广东省招标投标监管网公开。</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27.4在产生</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中标候选人后，招标人将</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中标候选人的投标文件商务部分文件的所有内容（包括人员、业绩、奖项等资料）在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交易平台和广东省招标投标监管网公开。</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28.2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28.2中标通知书发出之日起30日后，中标人未按上款的规定与招标人订立合同，招标人将解除中标通知书，</w:t>
      </w:r>
      <w:r>
        <w:rPr>
          <w:rFonts w:hint="eastAsia" w:ascii="宋体" w:hAnsi="宋体" w:cs="宋体"/>
          <w:color w:val="auto"/>
          <w:szCs w:val="21"/>
          <w:highlight w:val="none"/>
          <w:u w:val="single"/>
        </w:rPr>
        <w:t>原中标人依法承担相应法律责任。原中标人给招标人造成的损失，应当对其予以赔偿。</w:t>
      </w:r>
      <w:r>
        <w:rPr>
          <w:rFonts w:hint="eastAsia" w:ascii="宋体" w:hAnsi="宋体" w:cs="宋体"/>
          <w:color w:val="auto"/>
          <w:szCs w:val="21"/>
          <w:highlight w:val="none"/>
        </w:rPr>
        <w:t>原中标人有异议的，可以向人民法院起诉。</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28.3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28.3非经招标人同意，中标人在投标过程中使用的银行名称及帐号至完成竣工结算不得变更，否则招标人有权停止工程款项的拔付及至解除合同，由此造成的一切责任由中标人承担。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28.3非经招标人同意，中标人在投标过程中使用的银行名称及帐号至完成竣工结算不得变更，否则招标人有权停止工程款项的</w:t>
      </w:r>
      <w:r>
        <w:rPr>
          <w:rFonts w:hint="eastAsia" w:ascii="宋体" w:hAnsi="宋体" w:cs="宋体"/>
          <w:color w:val="auto"/>
          <w:szCs w:val="21"/>
          <w:highlight w:val="none"/>
          <w:u w:val="single"/>
        </w:rPr>
        <w:t>拨付</w:t>
      </w:r>
      <w:r>
        <w:rPr>
          <w:rFonts w:hint="eastAsia" w:ascii="宋体" w:hAnsi="宋体" w:cs="宋体"/>
          <w:color w:val="auto"/>
          <w:szCs w:val="21"/>
          <w:highlight w:val="none"/>
        </w:rPr>
        <w:t>及至解除合同，由此造成的一切责任由中标人承担。</w:t>
      </w:r>
    </w:p>
    <w:p>
      <w:pPr>
        <w:spacing w:line="360" w:lineRule="auto"/>
        <w:ind w:firstLine="411" w:firstLineChars="195"/>
        <w:contextualSpacing/>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28.5                        </w:t>
      </w:r>
      <w:r>
        <w:rPr>
          <w:rFonts w:hint="eastAsia" w:ascii="宋体" w:hAnsi="宋体" w:cs="宋体"/>
          <w:b/>
          <w:color w:val="auto"/>
          <w:szCs w:val="21"/>
          <w:highlight w:val="none"/>
        </w:rPr>
        <w:t>修改类型：增加</w:t>
      </w:r>
    </w:p>
    <w:p>
      <w:pPr>
        <w:pBdr>
          <w:bottom w:val="single" w:color="auto" w:sz="6" w:space="1"/>
        </w:pBdr>
        <w:spacing w:line="360" w:lineRule="auto"/>
        <w:ind w:firstLine="411" w:firstLineChars="195"/>
        <w:rPr>
          <w:rFonts w:ascii="宋体" w:hAnsi="宋体" w:cs="宋体"/>
          <w:b/>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u w:val="single"/>
        </w:rPr>
        <w:t>28.5如本工程委托代建单位（项目建设管理单位），则可由代建单位作为发包人与中标人签订合同。</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29.1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29.1在收到中标通知书后的</w:t>
      </w:r>
      <w:r>
        <w:rPr>
          <w:rFonts w:ascii="宋体" w:hAnsi="宋体" w:cs="宋体"/>
          <w:b/>
          <w:color w:val="auto"/>
          <w:szCs w:val="21"/>
          <w:highlight w:val="none"/>
        </w:rPr>
        <w:t>15日</w:t>
      </w:r>
      <w:r>
        <w:rPr>
          <w:rFonts w:hint="eastAsia" w:ascii="宋体" w:hAnsi="宋体" w:cs="宋体"/>
          <w:color w:val="auto"/>
          <w:szCs w:val="21"/>
          <w:highlight w:val="none"/>
        </w:rPr>
        <w:t>内，中标人应按本须知前附表第</w:t>
      </w:r>
      <w:r>
        <w:rPr>
          <w:rFonts w:ascii="宋体" w:hAnsi="宋体" w:cs="宋体"/>
          <w:color w:val="auto"/>
          <w:szCs w:val="21"/>
          <w:highlight w:val="none"/>
        </w:rPr>
        <w:t>20项的规定向招标人提交履约担保。</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29.1</w:t>
      </w:r>
      <w:r>
        <w:rPr>
          <w:rFonts w:hint="eastAsia" w:ascii="宋体" w:hAnsi="宋体" w:cs="宋体"/>
          <w:color w:val="auto"/>
          <w:szCs w:val="21"/>
          <w:highlight w:val="none"/>
          <w:u w:val="single"/>
        </w:rPr>
        <w:t>合同正式签订之日后的</w:t>
      </w:r>
      <w:r>
        <w:rPr>
          <w:rFonts w:ascii="宋体" w:hAnsi="宋体" w:cs="宋体"/>
          <w:color w:val="auto"/>
          <w:szCs w:val="21"/>
          <w:highlight w:val="none"/>
          <w:u w:val="single"/>
        </w:rPr>
        <w:t>30日内</w:t>
      </w:r>
      <w:r>
        <w:rPr>
          <w:rFonts w:hint="eastAsia" w:ascii="宋体" w:hAnsi="宋体" w:cs="宋体"/>
          <w:color w:val="auto"/>
          <w:szCs w:val="21"/>
          <w:highlight w:val="none"/>
        </w:rPr>
        <w:t>，中标人应按本须知前附表第</w:t>
      </w:r>
      <w:r>
        <w:rPr>
          <w:rFonts w:ascii="宋体" w:hAnsi="宋体" w:cs="宋体"/>
          <w:color w:val="auto"/>
          <w:szCs w:val="21"/>
          <w:highlight w:val="none"/>
        </w:rPr>
        <w:t>20项的规定向招标人提交履约担保。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29.2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w:t>
      </w:r>
      <w:r>
        <w:rPr>
          <w:rFonts w:hint="eastAsia" w:ascii="宋体" w:hAnsi="宋体" w:cs="宋体"/>
          <w:color w:val="auto"/>
          <w:szCs w:val="21"/>
          <w:highlight w:val="none"/>
        </w:rPr>
        <w:t>造成的损失超过投标保证金数额的，还应当对超过部分予以赔偿。原中标人有异议的，可以向人民法院起诉</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29.2</w:t>
      </w:r>
      <w:r>
        <w:rPr>
          <w:rFonts w:hint="eastAsia" w:ascii="宋体" w:hAnsi="宋体" w:cs="宋体"/>
          <w:color w:val="auto"/>
          <w:szCs w:val="21"/>
          <w:highlight w:val="none"/>
          <w:u w:val="single"/>
        </w:rPr>
        <w:t>合同正式签订之日后的</w:t>
      </w:r>
      <w:r>
        <w:rPr>
          <w:rFonts w:ascii="宋体" w:hAnsi="宋体" w:cs="宋体"/>
          <w:color w:val="auto"/>
          <w:szCs w:val="21"/>
          <w:highlight w:val="none"/>
          <w:u w:val="single"/>
        </w:rPr>
        <w:t>30日内</w:t>
      </w:r>
      <w:r>
        <w:rPr>
          <w:rFonts w:hint="eastAsia" w:ascii="宋体" w:hAnsi="宋体" w:cs="宋体"/>
          <w:color w:val="auto"/>
          <w:szCs w:val="21"/>
          <w:highlight w:val="none"/>
        </w:rPr>
        <w:t>，中标人未按上款的规定递交履约担保，招标人将解除中标通知书，</w:t>
      </w:r>
      <w:r>
        <w:rPr>
          <w:rFonts w:hint="eastAsia" w:ascii="宋体" w:hAnsi="宋体" w:cs="宋体"/>
          <w:color w:val="auto"/>
          <w:szCs w:val="21"/>
          <w:highlight w:val="none"/>
          <w:u w:val="single"/>
        </w:rPr>
        <w:t>原中标人依法承担相应法律责任。原中标人给招标人造成的损失，应当对其予以赔偿。</w:t>
      </w:r>
      <w:r>
        <w:rPr>
          <w:rFonts w:hint="eastAsia" w:ascii="宋体" w:hAnsi="宋体" w:cs="宋体"/>
          <w:color w:val="auto"/>
          <w:szCs w:val="21"/>
          <w:highlight w:val="none"/>
        </w:rPr>
        <w:t>原中标人有异议的，可以向人民法院起诉。</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30.1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30.1在合同双方全权代表在合同协议书上签字，并分别加盖双方单位的公章后，合同正式生效。</w:t>
      </w:r>
    </w:p>
    <w:p>
      <w:pPr>
        <w:pBdr>
          <w:bottom w:val="single" w:color="auto" w:sz="6" w:space="1"/>
        </w:pBd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30.1在合同双方全权代表在合同协议书上签字，并分别加盖双方单位的公章</w:t>
      </w:r>
      <w:r>
        <w:rPr>
          <w:rFonts w:hint="eastAsia" w:ascii="宋体" w:hAnsi="宋体" w:cs="宋体"/>
          <w:color w:val="auto"/>
          <w:szCs w:val="21"/>
          <w:highlight w:val="none"/>
          <w:u w:val="single"/>
        </w:rPr>
        <w:t>且承包人提交履约担保后，合同正式生效。</w:t>
      </w:r>
    </w:p>
    <w:p>
      <w:pP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条款号：</w:t>
      </w:r>
      <w:r>
        <w:rPr>
          <w:rFonts w:ascii="宋体" w:hAnsi="宋体" w:cs="宋体"/>
          <w:b/>
          <w:bCs/>
          <w:color w:val="auto"/>
          <w:szCs w:val="21"/>
          <w:highlight w:val="none"/>
        </w:rPr>
        <w:t xml:space="preserve">31                          </w:t>
      </w:r>
      <w:r>
        <w:rPr>
          <w:rFonts w:hint="eastAsia" w:ascii="宋体" w:hAnsi="宋体" w:cs="宋体"/>
          <w:b/>
          <w:bCs/>
          <w:color w:val="auto"/>
          <w:szCs w:val="21"/>
          <w:highlight w:val="none"/>
        </w:rPr>
        <w:t>修改类型：修改</w:t>
      </w:r>
    </w:p>
    <w:p>
      <w:pPr>
        <w:pBdr>
          <w:bottom w:val="single" w:color="auto" w:sz="6" w:space="1"/>
        </w:pBd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原文：</w:t>
      </w:r>
      <w:r>
        <w:rPr>
          <w:rFonts w:ascii="宋体" w:hAnsi="宋体" w:cs="宋体"/>
          <w:b/>
          <w:bCs/>
          <w:color w:val="auto"/>
          <w:szCs w:val="21"/>
          <w:highlight w:val="none"/>
        </w:rPr>
        <w:t>31.其它费用</w:t>
      </w:r>
    </w:p>
    <w:p>
      <w:pPr>
        <w:pBdr>
          <w:bottom w:val="single" w:color="auto" w:sz="6" w:space="1"/>
        </w:pBdr>
        <w:spacing w:line="360" w:lineRule="auto"/>
        <w:ind w:firstLine="411" w:firstLineChars="195"/>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b/>
          <w:color w:val="auto"/>
          <w:szCs w:val="21"/>
          <w:highlight w:val="none"/>
        </w:rPr>
        <w:t>31.</w:t>
      </w:r>
      <w:r>
        <w:rPr>
          <w:rFonts w:hint="eastAsia" w:ascii="宋体" w:hAnsi="宋体" w:cs="宋体"/>
          <w:b/>
          <w:bCs/>
          <w:color w:val="auto"/>
          <w:szCs w:val="21"/>
          <w:highlight w:val="none"/>
        </w:rPr>
        <w:t>其它费用</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u w:val="single"/>
        </w:rPr>
        <w:t>中标人应交纳交易服务费，该费用包含在投标价中。</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color w:val="auto"/>
          <w:highlight w:val="none"/>
        </w:rPr>
      </w:pPr>
      <w:r>
        <w:rPr>
          <w:rFonts w:hint="eastAsia" w:ascii="宋体" w:hAnsi="宋体" w:cs="宋体"/>
          <w:b/>
          <w:color w:val="auto"/>
          <w:szCs w:val="21"/>
          <w:highlight w:val="none"/>
        </w:rPr>
        <w:t>（以下无正文）</w:t>
      </w:r>
    </w:p>
    <w:p>
      <w:pPr>
        <w:pStyle w:val="5"/>
        <w:rPr>
          <w:rFonts w:ascii="宋体" w:hAnsi="宋体"/>
          <w:color w:val="auto"/>
          <w:highlight w:val="none"/>
        </w:rPr>
      </w:pPr>
      <w:r>
        <w:rPr>
          <w:rFonts w:ascii="宋体" w:hAnsi="宋体"/>
          <w:color w:val="auto"/>
          <w:highlight w:val="none"/>
        </w:rPr>
        <w:br w:type="page"/>
      </w:r>
      <w:bookmarkStart w:id="17" w:name="_Toc2272548"/>
      <w:bookmarkStart w:id="18" w:name="_Toc18112"/>
      <w:bookmarkStart w:id="19" w:name="_Toc18045"/>
      <w:bookmarkStart w:id="20" w:name="_Toc8369"/>
      <w:bookmarkStart w:id="21" w:name="_Toc18316"/>
      <w:bookmarkStart w:id="22" w:name="_Toc112397808"/>
      <w:r>
        <w:rPr>
          <w:rFonts w:hint="eastAsia" w:ascii="宋体" w:hAnsi="宋体"/>
          <w:color w:val="auto"/>
          <w:highlight w:val="none"/>
        </w:rPr>
        <w:t>三、投标须知通用条款</w:t>
      </w:r>
      <w:bookmarkEnd w:id="17"/>
      <w:bookmarkEnd w:id="18"/>
      <w:bookmarkEnd w:id="19"/>
      <w:bookmarkEnd w:id="20"/>
      <w:bookmarkEnd w:id="21"/>
      <w:bookmarkEnd w:id="22"/>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23" w:name="_Toc112397809"/>
      <w:bookmarkStart w:id="24" w:name="_Toc58838571"/>
      <w:bookmarkStart w:id="25" w:name="_Toc9367"/>
      <w:bookmarkStart w:id="26" w:name="_Toc29496"/>
      <w:bookmarkStart w:id="27" w:name="_Toc18706"/>
      <w:bookmarkStart w:id="28" w:name="_Toc2272549"/>
      <w:bookmarkStart w:id="29" w:name="_Toc30739"/>
      <w:r>
        <w:rPr>
          <w:rFonts w:hint="eastAsia" w:ascii="宋体" w:hAnsi="宋体" w:cs="宋体"/>
          <w:color w:val="auto"/>
          <w:kern w:val="0"/>
          <w:sz w:val="24"/>
          <w:szCs w:val="24"/>
          <w:highlight w:val="none"/>
        </w:rPr>
        <w:t>（一）总则</w:t>
      </w:r>
      <w:bookmarkEnd w:id="23"/>
      <w:bookmarkEnd w:id="24"/>
      <w:bookmarkEnd w:id="25"/>
      <w:bookmarkEnd w:id="26"/>
      <w:bookmarkEnd w:id="27"/>
      <w:bookmarkEnd w:id="28"/>
      <w:bookmarkEnd w:id="29"/>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、定义</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szCs w:val="24"/>
          <w:highlight w:val="none"/>
        </w:rPr>
        <w:t>本招标文件使用的下列词语具有如下规定的意义：</w:t>
      </w:r>
    </w:p>
    <w:p>
      <w:pPr>
        <w:spacing w:line="360" w:lineRule="auto"/>
        <w:ind w:firstLine="480" w:firstLineChars="200"/>
        <w:rPr>
          <w:rFonts w:ascii="宋体" w:hAnsi="宋体"/>
          <w:b/>
          <w:bCs/>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）“招标人”（即发包人）、“项目建设管理单位”（或称“项目代建单位”）、“招标代理”、“设计单位”、“监理单位”均已在投标须知前附表中列明。</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）“投标人”指向招标人提交投标文件的当事人。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）“承包人”指其投标被招标人接受并与其签订承包合同的当事人。</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）“招标文件”指由招标代理发出的本文件（包括全部章节、附件）及招标答疑会会议纪要和</w:t>
      </w:r>
      <w:r>
        <w:rPr>
          <w:rFonts w:hint="eastAsia" w:ascii="宋体" w:hAnsi="宋体"/>
          <w:bCs/>
          <w:color w:val="auto"/>
          <w:sz w:val="24"/>
          <w:szCs w:val="24"/>
          <w:highlight w:val="none"/>
        </w:rPr>
        <w:t>招标文件的澄清与修改</w:t>
      </w:r>
      <w:r>
        <w:rPr>
          <w:rFonts w:hint="eastAsia" w:ascii="宋体" w:hAnsi="宋体"/>
          <w:color w:val="auto"/>
          <w:sz w:val="24"/>
          <w:szCs w:val="24"/>
          <w:highlight w:val="none"/>
        </w:rPr>
        <w:t>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）“投标文件”指投标人根据本项目招标文件向招标人提交的全部文件。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w:t>
      </w:r>
      <w:r>
        <w:rPr>
          <w:rFonts w:hint="eastAsia" w:ascii="宋体" w:hAnsi="宋体"/>
          <w:color w:val="auto"/>
          <w:sz w:val="24"/>
          <w:szCs w:val="24"/>
          <w:highlight w:val="none"/>
        </w:rPr>
        <w:t>）“书面形式”指打字或印刷的文件和数据电文（包括电报、电传、传真、电子数据交换和电子邮件）。</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2</w:t>
      </w:r>
      <w:r>
        <w:rPr>
          <w:rFonts w:hint="eastAsia" w:ascii="宋体" w:hAnsi="宋体"/>
          <w:b/>
          <w:color w:val="auto"/>
          <w:sz w:val="24"/>
          <w:szCs w:val="24"/>
          <w:highlight w:val="none"/>
        </w:rPr>
        <w:t>、招标说明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2.1</w:t>
      </w:r>
      <w:r>
        <w:rPr>
          <w:rFonts w:hint="eastAsia" w:ascii="宋体" w:hAnsi="宋体"/>
          <w:bCs/>
          <w:color w:val="auto"/>
          <w:sz w:val="24"/>
          <w:szCs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2.2</w:t>
      </w:r>
      <w:r>
        <w:rPr>
          <w:rFonts w:hint="eastAsia" w:ascii="宋体" w:hAnsi="宋体"/>
          <w:bCs/>
          <w:color w:val="auto"/>
          <w:sz w:val="24"/>
          <w:szCs w:val="24"/>
          <w:highlight w:val="none"/>
        </w:rPr>
        <w:t>工程名称、建设地点、建设规模、承包方式、质量标准、招标范围、工期要求等均在投标须知前附表中列明。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2.3</w:t>
      </w:r>
      <w:r>
        <w:rPr>
          <w:rFonts w:hint="eastAsia" w:ascii="宋体" w:hAnsi="宋体"/>
          <w:bCs/>
          <w:color w:val="auto"/>
          <w:sz w:val="24"/>
          <w:szCs w:val="24"/>
          <w:highlight w:val="none"/>
        </w:rPr>
        <w:t>设计说明：详见招标图纸。</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2.4</w:t>
      </w:r>
      <w:r>
        <w:rPr>
          <w:rFonts w:hint="eastAsia" w:ascii="宋体" w:hAnsi="宋体"/>
          <w:bCs/>
          <w:color w:val="auto"/>
          <w:sz w:val="24"/>
          <w:szCs w:val="24"/>
          <w:highlight w:val="none"/>
        </w:rPr>
        <w:t>工程施工特点：详见招标图纸。</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．资金来源</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3.1</w:t>
      </w:r>
      <w:r>
        <w:rPr>
          <w:rFonts w:hint="eastAsia" w:ascii="宋体" w:hAnsi="宋体"/>
          <w:bCs/>
          <w:color w:val="auto"/>
          <w:sz w:val="24"/>
          <w:szCs w:val="24"/>
          <w:highlight w:val="none"/>
        </w:rPr>
        <w:t>本招标工程项目资金来源见投标须知前附表第</w:t>
      </w:r>
      <w:r>
        <w:rPr>
          <w:rFonts w:ascii="宋体" w:hAnsi="宋体"/>
          <w:bCs/>
          <w:color w:val="auto"/>
          <w:sz w:val="24"/>
          <w:szCs w:val="24"/>
          <w:highlight w:val="none"/>
        </w:rPr>
        <w:t>9</w:t>
      </w:r>
      <w:r>
        <w:rPr>
          <w:rFonts w:hint="eastAsia" w:ascii="宋体" w:hAnsi="宋体"/>
          <w:bCs/>
          <w:color w:val="auto"/>
          <w:sz w:val="24"/>
          <w:szCs w:val="24"/>
          <w:highlight w:val="none"/>
        </w:rPr>
        <w:t>项</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w:t>
      </w:r>
      <w:r>
        <w:rPr>
          <w:rFonts w:hint="eastAsia" w:ascii="宋体" w:hAnsi="宋体"/>
          <w:b/>
          <w:color w:val="auto"/>
          <w:sz w:val="24"/>
          <w:szCs w:val="24"/>
          <w:highlight w:val="none"/>
        </w:rPr>
        <w:t>．合格投标人的条件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4.1</w:t>
      </w:r>
      <w:r>
        <w:rPr>
          <w:rFonts w:hint="eastAsia" w:ascii="宋体" w:hAnsi="宋体"/>
          <w:bCs/>
          <w:color w:val="auto"/>
          <w:sz w:val="24"/>
          <w:szCs w:val="24"/>
          <w:highlight w:val="none"/>
        </w:rPr>
        <w:t>详见本项目招标公告</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5</w:t>
      </w:r>
      <w:r>
        <w:rPr>
          <w:rFonts w:hint="eastAsia" w:ascii="宋体" w:hAnsi="宋体"/>
          <w:b/>
          <w:color w:val="auto"/>
          <w:sz w:val="24"/>
          <w:szCs w:val="24"/>
          <w:highlight w:val="none"/>
        </w:rPr>
        <w:t>．踏勘现场</w:t>
      </w:r>
    </w:p>
    <w:p>
      <w:pPr>
        <w:spacing w:line="360" w:lineRule="auto"/>
        <w:ind w:firstLine="480" w:firstLineChars="200"/>
        <w:rPr>
          <w:rFonts w:ascii="宋体" w:hAnsi="宋体"/>
          <w:bCs/>
          <w:color w:val="auto"/>
          <w:sz w:val="24"/>
          <w:szCs w:val="24"/>
          <w:highlight w:val="none"/>
          <w:u w:val="single"/>
        </w:rPr>
      </w:pPr>
      <w:r>
        <w:rPr>
          <w:rFonts w:ascii="宋体" w:hAnsi="宋体"/>
          <w:bCs/>
          <w:color w:val="auto"/>
          <w:sz w:val="24"/>
          <w:szCs w:val="24"/>
          <w:highlight w:val="none"/>
        </w:rPr>
        <w:t xml:space="preserve">5.1 </w:t>
      </w:r>
      <w:r>
        <w:rPr>
          <w:rFonts w:hint="eastAsia" w:ascii="宋体" w:hAnsi="宋体"/>
          <w:bCs/>
          <w:color w:val="auto"/>
          <w:sz w:val="24"/>
          <w:szCs w:val="24"/>
          <w:highlight w:val="none"/>
        </w:rPr>
        <w:t>投标人应按本投标须知前附表第</w:t>
      </w:r>
      <w:r>
        <w:rPr>
          <w:rFonts w:ascii="宋体" w:hAnsi="宋体"/>
          <w:bCs/>
          <w:color w:val="auto"/>
          <w:sz w:val="24"/>
          <w:szCs w:val="24"/>
          <w:highlight w:val="none"/>
        </w:rPr>
        <w:t>15</w:t>
      </w:r>
      <w:r>
        <w:rPr>
          <w:rFonts w:hint="eastAsia" w:ascii="宋体" w:hAnsi="宋体"/>
          <w:bCs/>
          <w:color w:val="auto"/>
          <w:sz w:val="24"/>
          <w:szCs w:val="24"/>
          <w:highlight w:val="none"/>
        </w:rPr>
        <w:t>项所述时间和要求对工程现场及周围环境进行踏勘，</w:t>
      </w:r>
      <w:r>
        <w:rPr>
          <w:rFonts w:hint="eastAsia" w:ascii="宋体" w:hAnsi="宋体"/>
          <w:color w:val="auto"/>
          <w:sz w:val="24"/>
          <w:szCs w:val="24"/>
          <w:highlight w:val="none"/>
        </w:rPr>
        <w:t>投标人应充分重视和仔细地进行这种考察，</w:t>
      </w:r>
      <w:r>
        <w:rPr>
          <w:rFonts w:hint="eastAsia" w:ascii="宋体" w:hAnsi="宋体"/>
          <w:bCs/>
          <w:color w:val="auto"/>
          <w:sz w:val="24"/>
          <w:szCs w:val="24"/>
          <w:highlight w:val="none"/>
        </w:rPr>
        <w:t>以便投标人获取</w:t>
      </w:r>
      <w:r>
        <w:rPr>
          <w:rFonts w:hint="eastAsia" w:ascii="宋体" w:hAnsi="宋体"/>
          <w:color w:val="auto"/>
          <w:sz w:val="24"/>
          <w:szCs w:val="24"/>
          <w:highlight w:val="none"/>
        </w:rPr>
        <w:t>那些须投标人自己负责的</w:t>
      </w:r>
      <w:r>
        <w:rPr>
          <w:rFonts w:hint="eastAsia" w:ascii="宋体" w:hAnsi="宋体"/>
          <w:bCs/>
          <w:color w:val="auto"/>
          <w:sz w:val="24"/>
          <w:szCs w:val="24"/>
          <w:highlight w:val="none"/>
        </w:rPr>
        <w:t>有关编制投标文件和签署合同所涉及现场所有的资料。</w:t>
      </w:r>
      <w:r>
        <w:rPr>
          <w:rFonts w:hint="eastAsia" w:ascii="宋体" w:hAnsi="宋体"/>
          <w:color w:val="auto"/>
          <w:sz w:val="24"/>
          <w:szCs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5.2 </w:t>
      </w:r>
      <w:r>
        <w:rPr>
          <w:rFonts w:hint="eastAsia" w:ascii="宋体" w:hAnsi="宋体"/>
          <w:bCs/>
          <w:color w:val="auto"/>
          <w:sz w:val="24"/>
          <w:szCs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5.3 </w:t>
      </w:r>
      <w:r>
        <w:rPr>
          <w:rFonts w:hint="eastAsia" w:ascii="宋体" w:hAnsi="宋体"/>
          <w:bCs/>
          <w:color w:val="auto"/>
          <w:sz w:val="24"/>
          <w:szCs w:val="24"/>
          <w:highlight w:val="none"/>
        </w:rPr>
        <w:t>经招标人允许，投标人可为踏勘目的进入招标人的项目现场。</w:t>
      </w:r>
      <w:r>
        <w:rPr>
          <w:rFonts w:hint="eastAsia" w:ascii="宋体" w:hAnsi="宋体"/>
          <w:color w:val="auto"/>
          <w:sz w:val="24"/>
          <w:szCs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szCs w:val="24"/>
          <w:highlight w:val="none"/>
        </w:rPr>
        <w:t>投标人不得因此使招标人承担有关的责任和蒙受损失。</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6</w:t>
      </w:r>
      <w:r>
        <w:rPr>
          <w:rFonts w:hint="eastAsia" w:ascii="宋体" w:hAnsi="宋体"/>
          <w:b/>
          <w:color w:val="auto"/>
          <w:sz w:val="24"/>
          <w:szCs w:val="24"/>
          <w:highlight w:val="none"/>
        </w:rPr>
        <w:t>．投标费用</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6.1</w:t>
      </w:r>
      <w:r>
        <w:rPr>
          <w:rFonts w:hint="eastAsia" w:ascii="宋体" w:hAnsi="宋体"/>
          <w:color w:val="auto"/>
          <w:sz w:val="24"/>
          <w:szCs w:val="24"/>
          <w:highlight w:val="none"/>
        </w:rPr>
        <w:t>不论投标结果如何，投标人应承担</w:t>
      </w:r>
      <w:r>
        <w:rPr>
          <w:rFonts w:hint="eastAsia" w:ascii="宋体" w:hAnsi="宋体"/>
          <w:bCs/>
          <w:color w:val="auto"/>
          <w:sz w:val="24"/>
          <w:szCs w:val="24"/>
          <w:highlight w:val="none"/>
        </w:rPr>
        <w:t>自身</w:t>
      </w:r>
      <w:r>
        <w:rPr>
          <w:rFonts w:hint="eastAsia" w:ascii="宋体" w:hAnsi="宋体"/>
          <w:color w:val="auto"/>
          <w:sz w:val="24"/>
          <w:szCs w:val="24"/>
          <w:highlight w:val="none"/>
        </w:rPr>
        <w:t>因投标文件编制、递交及其他</w:t>
      </w:r>
      <w:r>
        <w:rPr>
          <w:rFonts w:hint="eastAsia" w:ascii="宋体" w:hAnsi="宋体"/>
          <w:bCs/>
          <w:color w:val="auto"/>
          <w:sz w:val="24"/>
          <w:szCs w:val="24"/>
          <w:highlight w:val="none"/>
        </w:rPr>
        <w:t>参加本招标活动</w:t>
      </w:r>
      <w:r>
        <w:rPr>
          <w:rFonts w:hint="eastAsia" w:ascii="宋体" w:hAnsi="宋体"/>
          <w:color w:val="auto"/>
          <w:sz w:val="24"/>
          <w:szCs w:val="24"/>
          <w:highlight w:val="none"/>
        </w:rPr>
        <w:t>所涉及的一切费用，招标人对上述费用不负任何责任。</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30" w:name="_Toc2272550"/>
      <w:bookmarkStart w:id="31" w:name="_Toc29668"/>
      <w:bookmarkStart w:id="32" w:name="_Toc21925"/>
      <w:bookmarkStart w:id="33" w:name="_Toc58838572"/>
      <w:bookmarkStart w:id="34" w:name="_Toc27738"/>
      <w:bookmarkStart w:id="35" w:name="_Toc2915"/>
      <w:bookmarkStart w:id="36" w:name="_Toc112397810"/>
      <w:r>
        <w:rPr>
          <w:rFonts w:hint="eastAsia" w:ascii="宋体" w:hAnsi="宋体" w:cs="宋体"/>
          <w:color w:val="auto"/>
          <w:kern w:val="0"/>
          <w:sz w:val="24"/>
          <w:szCs w:val="24"/>
          <w:highlight w:val="none"/>
        </w:rPr>
        <w:t>（二）招标文件</w:t>
      </w:r>
      <w:bookmarkEnd w:id="30"/>
      <w:bookmarkEnd w:id="31"/>
      <w:bookmarkEnd w:id="32"/>
      <w:bookmarkEnd w:id="33"/>
      <w:bookmarkEnd w:id="34"/>
      <w:bookmarkEnd w:id="35"/>
      <w:bookmarkEnd w:id="36"/>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7.</w:t>
      </w:r>
      <w:r>
        <w:rPr>
          <w:rFonts w:hint="eastAsia" w:ascii="宋体" w:hAnsi="宋体"/>
          <w:b/>
          <w:color w:val="auto"/>
          <w:sz w:val="24"/>
          <w:szCs w:val="24"/>
          <w:highlight w:val="none"/>
        </w:rPr>
        <w:t>招标文件的组成</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7.1</w:t>
      </w:r>
      <w:r>
        <w:rPr>
          <w:rFonts w:hint="eastAsia" w:ascii="宋体" w:hAnsi="宋体"/>
          <w:color w:val="auto"/>
          <w:sz w:val="24"/>
          <w:szCs w:val="24"/>
          <w:highlight w:val="none"/>
        </w:rPr>
        <w:t>本招标文件包括下列文件，以及所有按本须知第</w:t>
      </w:r>
      <w:r>
        <w:rPr>
          <w:rFonts w:ascii="宋体" w:hAnsi="宋体"/>
          <w:color w:val="auto"/>
          <w:sz w:val="24"/>
          <w:szCs w:val="24"/>
          <w:highlight w:val="none"/>
        </w:rPr>
        <w:t>8</w:t>
      </w:r>
      <w:r>
        <w:rPr>
          <w:rFonts w:hint="eastAsia" w:ascii="宋体" w:hAnsi="宋体"/>
          <w:color w:val="auto"/>
          <w:sz w:val="24"/>
          <w:szCs w:val="24"/>
          <w:highlight w:val="none"/>
        </w:rPr>
        <w:t>条发出的招标答疑会会议纪要和按本须知第</w:t>
      </w:r>
      <w:r>
        <w:rPr>
          <w:rFonts w:ascii="宋体" w:hAnsi="宋体"/>
          <w:color w:val="auto"/>
          <w:sz w:val="24"/>
          <w:szCs w:val="24"/>
          <w:highlight w:val="none"/>
        </w:rPr>
        <w:t>9</w:t>
      </w:r>
      <w:r>
        <w:rPr>
          <w:rFonts w:hint="eastAsia" w:ascii="宋体" w:hAnsi="宋体"/>
          <w:color w:val="auto"/>
          <w:sz w:val="24"/>
          <w:szCs w:val="24"/>
          <w:highlight w:val="none"/>
        </w:rPr>
        <w:t>条发出的澄清或修改：</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第一章</w:t>
      </w:r>
      <w:r>
        <w:rPr>
          <w:rFonts w:ascii="宋体" w:hAnsi="宋体"/>
          <w:bCs/>
          <w:color w:val="auto"/>
          <w:sz w:val="24"/>
          <w:szCs w:val="24"/>
          <w:highlight w:val="none"/>
        </w:rPr>
        <w:t xml:space="preserve">  </w:t>
      </w:r>
      <w:r>
        <w:rPr>
          <w:rFonts w:hint="eastAsia" w:ascii="宋体" w:hAnsi="宋体"/>
          <w:color w:val="auto"/>
          <w:sz w:val="24"/>
          <w:szCs w:val="24"/>
          <w:highlight w:val="none"/>
        </w:rPr>
        <w:t>投标须知</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第二章</w:t>
      </w:r>
      <w:r>
        <w:rPr>
          <w:rFonts w:ascii="宋体" w:hAnsi="宋体"/>
          <w:bCs/>
          <w:color w:val="auto"/>
          <w:sz w:val="24"/>
          <w:szCs w:val="24"/>
          <w:highlight w:val="none"/>
        </w:rPr>
        <w:t xml:space="preserve">  </w:t>
      </w:r>
      <w:r>
        <w:rPr>
          <w:rFonts w:hint="eastAsia" w:ascii="宋体" w:hAnsi="宋体"/>
          <w:color w:val="auto"/>
          <w:sz w:val="24"/>
          <w:szCs w:val="24"/>
          <w:highlight w:val="none"/>
        </w:rPr>
        <w:t>开标、评标及定标办法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第三章</w:t>
      </w:r>
      <w:r>
        <w:rPr>
          <w:rFonts w:ascii="宋体" w:hAnsi="宋体"/>
          <w:color w:val="auto"/>
          <w:sz w:val="24"/>
          <w:szCs w:val="24"/>
          <w:highlight w:val="none"/>
        </w:rPr>
        <w:t xml:space="preserve">  </w:t>
      </w:r>
      <w:r>
        <w:rPr>
          <w:rFonts w:hint="eastAsia" w:ascii="宋体" w:hAnsi="宋体"/>
          <w:color w:val="auto"/>
          <w:sz w:val="24"/>
          <w:szCs w:val="24"/>
          <w:highlight w:val="none"/>
        </w:rPr>
        <w:t>合同条款</w:t>
      </w:r>
    </w:p>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第四章</w:t>
      </w:r>
      <w:r>
        <w:rPr>
          <w:rFonts w:ascii="宋体" w:hAnsi="宋体"/>
          <w:bCs/>
          <w:color w:val="auto"/>
          <w:sz w:val="24"/>
          <w:szCs w:val="24"/>
          <w:highlight w:val="none"/>
        </w:rPr>
        <w:t xml:space="preserve">  </w:t>
      </w:r>
      <w:r>
        <w:rPr>
          <w:rFonts w:hint="eastAsia" w:ascii="宋体" w:hAnsi="宋体"/>
          <w:color w:val="auto"/>
          <w:sz w:val="24"/>
          <w:szCs w:val="24"/>
          <w:highlight w:val="none"/>
        </w:rPr>
        <w:t>投标文件格式</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第五章</w:t>
      </w:r>
      <w:r>
        <w:rPr>
          <w:rFonts w:ascii="宋体" w:hAnsi="宋体"/>
          <w:bCs/>
          <w:color w:val="auto"/>
          <w:sz w:val="24"/>
          <w:szCs w:val="24"/>
          <w:highlight w:val="none"/>
        </w:rPr>
        <w:t xml:space="preserve">  </w:t>
      </w:r>
      <w:r>
        <w:rPr>
          <w:rFonts w:hint="eastAsia" w:ascii="宋体" w:hAnsi="宋体"/>
          <w:color w:val="auto"/>
          <w:sz w:val="24"/>
          <w:szCs w:val="24"/>
          <w:highlight w:val="none"/>
        </w:rPr>
        <w:t>技术条件（工程建设标准）（另册）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第六章</w:t>
      </w:r>
      <w:r>
        <w:rPr>
          <w:rFonts w:ascii="宋体" w:hAnsi="宋体"/>
          <w:bCs/>
          <w:color w:val="auto"/>
          <w:sz w:val="24"/>
          <w:szCs w:val="24"/>
          <w:highlight w:val="none"/>
        </w:rPr>
        <w:t xml:space="preserve">  </w:t>
      </w:r>
      <w:r>
        <w:rPr>
          <w:rFonts w:hint="eastAsia" w:ascii="宋体" w:hAnsi="宋体"/>
          <w:color w:val="auto"/>
          <w:sz w:val="24"/>
          <w:szCs w:val="24"/>
          <w:highlight w:val="none"/>
        </w:rPr>
        <w:t>图纸及勘察资料（另册）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第七章</w:t>
      </w:r>
      <w:r>
        <w:rPr>
          <w:rFonts w:ascii="宋体" w:hAnsi="宋体"/>
          <w:bCs/>
          <w:color w:val="auto"/>
          <w:sz w:val="24"/>
          <w:szCs w:val="24"/>
          <w:highlight w:val="none"/>
        </w:rPr>
        <w:t xml:space="preserve">  </w:t>
      </w:r>
      <w:r>
        <w:rPr>
          <w:rFonts w:hint="eastAsia" w:ascii="宋体" w:hAnsi="宋体"/>
          <w:bCs/>
          <w:color w:val="auto"/>
          <w:sz w:val="24"/>
          <w:szCs w:val="24"/>
          <w:highlight w:val="none"/>
        </w:rPr>
        <w:t>招标</w:t>
      </w:r>
      <w:r>
        <w:rPr>
          <w:rFonts w:hint="eastAsia" w:ascii="宋体" w:hAnsi="宋体"/>
          <w:color w:val="auto"/>
          <w:sz w:val="24"/>
          <w:szCs w:val="24"/>
          <w:highlight w:val="none"/>
        </w:rPr>
        <w:t>工程量清单（另册）</w:t>
      </w:r>
    </w:p>
    <w:p>
      <w:pPr>
        <w:spacing w:line="360" w:lineRule="auto"/>
        <w:ind w:left="-2" w:firstLine="480" w:firstLineChars="200"/>
        <w:rPr>
          <w:rFonts w:ascii="宋体" w:hAnsi="宋体"/>
          <w:color w:val="auto"/>
          <w:sz w:val="24"/>
          <w:szCs w:val="24"/>
          <w:highlight w:val="none"/>
        </w:rPr>
      </w:pPr>
      <w:r>
        <w:rPr>
          <w:rFonts w:hint="eastAsia" w:ascii="宋体" w:hAnsi="宋体"/>
          <w:color w:val="auto"/>
          <w:sz w:val="24"/>
          <w:szCs w:val="24"/>
          <w:highlight w:val="none"/>
        </w:rPr>
        <w:t>第八章</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注：招标人应在技术条件（工程建设标准）中明确施工现场建筑垃圾源头减量的具体要求和建筑垃圾综合利用产品的使用要求。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7.3 </w:t>
      </w:r>
      <w:r>
        <w:rPr>
          <w:rFonts w:hint="eastAsia" w:ascii="宋体" w:hAnsi="宋体"/>
          <w:color w:val="auto"/>
          <w:sz w:val="24"/>
          <w:szCs w:val="24"/>
          <w:highlight w:val="none"/>
        </w:rPr>
        <w:t>投标人一旦中标，招标文件的内容对招标人和中标人双方均有约束力。</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8</w:t>
      </w:r>
      <w:r>
        <w:rPr>
          <w:rFonts w:hint="eastAsia" w:ascii="宋体" w:hAnsi="宋体"/>
          <w:b/>
          <w:bCs/>
          <w:color w:val="auto"/>
          <w:sz w:val="24"/>
          <w:szCs w:val="24"/>
          <w:highlight w:val="none"/>
        </w:rPr>
        <w:t>．招标答疑</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8.1 </w:t>
      </w:r>
      <w:r>
        <w:rPr>
          <w:rFonts w:hint="eastAsia" w:ascii="宋体" w:hAnsi="宋体"/>
          <w:color w:val="auto"/>
          <w:sz w:val="24"/>
          <w:szCs w:val="24"/>
          <w:highlight w:val="none"/>
        </w:rPr>
        <w:t>投标人若对招标文件（包括招标图纸）中有疑问，可以书面形式通过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交易平台提交给招标人或招标代理人，提交形式见本须知前附表第</w:t>
      </w:r>
      <w:r>
        <w:rPr>
          <w:rFonts w:ascii="宋体" w:hAnsi="宋体"/>
          <w:color w:val="auto"/>
          <w:sz w:val="24"/>
          <w:szCs w:val="24"/>
          <w:highlight w:val="none"/>
        </w:rPr>
        <w:t>16</w:t>
      </w:r>
      <w:r>
        <w:rPr>
          <w:rFonts w:hint="eastAsia" w:ascii="宋体" w:hAnsi="宋体"/>
          <w:color w:val="auto"/>
          <w:sz w:val="24"/>
          <w:szCs w:val="24"/>
          <w:highlight w:val="none"/>
        </w:rPr>
        <w:t>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8.2</w:t>
      </w:r>
      <w:r>
        <w:rPr>
          <w:rFonts w:hint="eastAsia" w:ascii="宋体" w:hAnsi="宋体"/>
          <w:color w:val="auto"/>
          <w:sz w:val="24"/>
          <w:szCs w:val="24"/>
          <w:highlight w:val="none"/>
        </w:rPr>
        <w:t>招标答疑会会议纪要将在提交投标文件截止时间</w:t>
      </w:r>
      <w:r>
        <w:rPr>
          <w:rFonts w:ascii="宋体" w:hAnsi="宋体"/>
          <w:color w:val="auto"/>
          <w:sz w:val="24"/>
          <w:szCs w:val="24"/>
          <w:highlight w:val="none"/>
        </w:rPr>
        <w:t>15日前在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8.3</w:t>
      </w:r>
      <w:r>
        <w:rPr>
          <w:rFonts w:hint="eastAsia" w:ascii="宋体" w:hAnsi="宋体"/>
          <w:color w:val="auto"/>
          <w:sz w:val="24"/>
          <w:szCs w:val="24"/>
          <w:highlight w:val="none"/>
        </w:rPr>
        <w:t>答疑会会议纪要为招标文件的一部分。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8.4</w:t>
      </w:r>
      <w:r>
        <w:rPr>
          <w:rFonts w:hint="eastAsia" w:ascii="宋体" w:hAnsi="宋体"/>
          <w:color w:val="auto"/>
          <w:sz w:val="24"/>
          <w:szCs w:val="24"/>
          <w:highlight w:val="none"/>
        </w:rPr>
        <w:t>若招标答疑会会议纪要与招标文件有矛盾，以答疑会议纪要最后发出的书面形式的文件为准。</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9.</w:t>
      </w:r>
      <w:r>
        <w:rPr>
          <w:rFonts w:hint="eastAsia" w:ascii="宋体" w:hAnsi="宋体"/>
          <w:b/>
          <w:bCs/>
          <w:color w:val="auto"/>
          <w:sz w:val="24"/>
          <w:szCs w:val="24"/>
          <w:highlight w:val="none"/>
        </w:rPr>
        <w:t>招标文件的澄清与修改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9.1</w:t>
      </w:r>
      <w:r>
        <w:rPr>
          <w:rFonts w:hint="eastAsia" w:ascii="宋体" w:hAnsi="宋体"/>
          <w:color w:val="auto"/>
          <w:sz w:val="24"/>
          <w:szCs w:val="24"/>
          <w:highlight w:val="none"/>
        </w:rPr>
        <w:t>招标文件发出后</w:t>
      </w:r>
      <w:r>
        <w:rPr>
          <w:rFonts w:ascii="宋体" w:hAnsi="宋体"/>
          <w:color w:val="auto"/>
          <w:sz w:val="24"/>
          <w:szCs w:val="24"/>
          <w:highlight w:val="none"/>
        </w:rPr>
        <w:t>,</w:t>
      </w:r>
      <w:r>
        <w:rPr>
          <w:rFonts w:hint="eastAsia" w:ascii="宋体" w:hAnsi="宋体"/>
          <w:color w:val="auto"/>
          <w:sz w:val="24"/>
          <w:szCs w:val="24"/>
          <w:highlight w:val="none"/>
        </w:rPr>
        <w:t>在提交投标文件截止时间</w:t>
      </w:r>
      <w:r>
        <w:rPr>
          <w:rFonts w:ascii="宋体" w:hAnsi="宋体"/>
          <w:color w:val="auto"/>
          <w:sz w:val="24"/>
          <w:szCs w:val="24"/>
          <w:highlight w:val="none"/>
        </w:rPr>
        <w:t>15日前，招标人可对招标文件进行必要的澄清或修改。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9.2</w:t>
      </w:r>
      <w:r>
        <w:rPr>
          <w:rFonts w:hint="eastAsia" w:ascii="宋体" w:hAnsi="宋体"/>
          <w:color w:val="auto"/>
          <w:sz w:val="24"/>
          <w:szCs w:val="24"/>
          <w:highlight w:val="none"/>
        </w:rPr>
        <w:t>招标文件的澄清或修改将在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交易平台发布，视作已发放给所有投标人，以</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交易平台上网发布时间作为送达时间。</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9.3</w:t>
      </w:r>
      <w:r>
        <w:rPr>
          <w:rFonts w:hint="eastAsia" w:ascii="宋体" w:hAnsi="宋体"/>
          <w:color w:val="auto"/>
          <w:sz w:val="24"/>
          <w:szCs w:val="24"/>
          <w:highlight w:val="none"/>
        </w:rPr>
        <w:t>招标文件的修改内容为招标文件的组成部分。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9.4</w:t>
      </w:r>
      <w:r>
        <w:rPr>
          <w:rFonts w:hint="eastAsia" w:ascii="宋体" w:hAnsi="宋体"/>
          <w:color w:val="auto"/>
          <w:sz w:val="24"/>
          <w:szCs w:val="24"/>
          <w:highlight w:val="none"/>
        </w:rPr>
        <w:t>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9.5</w:t>
      </w:r>
      <w:r>
        <w:rPr>
          <w:rFonts w:hint="eastAsia" w:ascii="宋体" w:hAnsi="宋体"/>
          <w:color w:val="auto"/>
          <w:sz w:val="24"/>
          <w:szCs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37" w:name="_Toc9334"/>
      <w:bookmarkStart w:id="38" w:name="_Toc112397811"/>
      <w:bookmarkStart w:id="39" w:name="_Toc1198"/>
      <w:bookmarkStart w:id="40" w:name="_Toc58838573"/>
      <w:bookmarkStart w:id="41" w:name="_Toc832"/>
      <w:bookmarkStart w:id="42" w:name="_Toc7093"/>
      <w:bookmarkStart w:id="43" w:name="_Toc2272551"/>
      <w:r>
        <w:rPr>
          <w:rFonts w:hint="eastAsia" w:ascii="宋体" w:hAnsi="宋体" w:cs="宋体"/>
          <w:color w:val="auto"/>
          <w:kern w:val="0"/>
          <w:sz w:val="24"/>
          <w:szCs w:val="24"/>
          <w:highlight w:val="none"/>
        </w:rPr>
        <w:t>（三）投标文件的编制</w:t>
      </w:r>
      <w:bookmarkEnd w:id="37"/>
      <w:bookmarkEnd w:id="38"/>
      <w:bookmarkEnd w:id="39"/>
      <w:bookmarkEnd w:id="40"/>
      <w:bookmarkEnd w:id="41"/>
      <w:bookmarkEnd w:id="42"/>
      <w:bookmarkEnd w:id="43"/>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10</w:t>
      </w:r>
      <w:r>
        <w:rPr>
          <w:rFonts w:hint="eastAsia" w:ascii="宋体" w:hAnsi="宋体"/>
          <w:b/>
          <w:bCs/>
          <w:color w:val="auto"/>
          <w:sz w:val="24"/>
          <w:szCs w:val="24"/>
          <w:highlight w:val="none"/>
        </w:rPr>
        <w:t>．投标文件的语言及度量衡单位</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10.1 </w:t>
      </w:r>
      <w:r>
        <w:rPr>
          <w:rFonts w:hint="eastAsia" w:ascii="宋体" w:hAnsi="宋体"/>
          <w:color w:val="auto"/>
          <w:sz w:val="24"/>
          <w:szCs w:val="24"/>
          <w:highlight w:val="none"/>
        </w:rPr>
        <w:t>投标文件和与投标有关的所有文件均应使用中文。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除工程规范另有规定外，投标文件使用的度量衡单位，均采用中华人民共和国法定计量单位。</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11</w:t>
      </w:r>
      <w:r>
        <w:rPr>
          <w:rFonts w:hint="eastAsia" w:ascii="宋体" w:hAnsi="宋体"/>
          <w:b/>
          <w:bCs/>
          <w:color w:val="auto"/>
          <w:sz w:val="24"/>
          <w:szCs w:val="24"/>
          <w:highlight w:val="none"/>
        </w:rPr>
        <w:t>．投标文件的组成</w:t>
      </w:r>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11.1 </w:t>
      </w:r>
      <w:r>
        <w:rPr>
          <w:rFonts w:hint="eastAsia" w:ascii="宋体" w:hAnsi="宋体"/>
          <w:color w:val="auto"/>
          <w:sz w:val="24"/>
          <w:szCs w:val="24"/>
          <w:highlight w:val="none"/>
        </w:rPr>
        <w:t>投标文件由技术部分（含资格审查文件）和经济部分二部分投标文件组成</w:t>
      </w:r>
      <w:r>
        <w:rPr>
          <w:rFonts w:hint="eastAsia" w:ascii="宋体" w:hAnsi="宋体"/>
          <w:b w:val="0"/>
          <w:bCs/>
          <w:color w:val="auto"/>
          <w:sz w:val="24"/>
          <w:szCs w:val="24"/>
          <w:highlight w:val="none"/>
        </w:rPr>
        <w:t>。</w:t>
      </w:r>
    </w:p>
    <w:p>
      <w:pPr>
        <w:spacing w:line="360" w:lineRule="auto"/>
        <w:ind w:firstLine="480" w:firstLineChars="200"/>
        <w:rPr>
          <w:rFonts w:hint="eastAsia" w:ascii="宋体" w:hAnsi="宋体" w:eastAsia="宋体"/>
          <w:bCs/>
          <w:color w:val="auto"/>
          <w:sz w:val="24"/>
          <w:szCs w:val="24"/>
          <w:highlight w:val="none"/>
          <w:lang w:eastAsia="zh-CN"/>
        </w:rPr>
      </w:pPr>
      <w:r>
        <w:rPr>
          <w:rFonts w:ascii="宋体" w:hAnsi="宋体"/>
          <w:bCs/>
          <w:color w:val="auto"/>
          <w:sz w:val="24"/>
          <w:szCs w:val="24"/>
          <w:highlight w:val="none"/>
        </w:rPr>
        <w:t>11.2</w:t>
      </w:r>
      <w:r>
        <w:rPr>
          <w:rFonts w:hint="eastAsia" w:ascii="宋体" w:hAnsi="宋体"/>
          <w:bCs/>
          <w:color w:val="auto"/>
          <w:sz w:val="24"/>
          <w:szCs w:val="24"/>
          <w:highlight w:val="none"/>
        </w:rPr>
        <w:t>投标文件技术标部分主要包括下列内容</w:t>
      </w:r>
      <w:r>
        <w:rPr>
          <w:rFonts w:hint="eastAsia" w:ascii="宋体" w:hAnsi="宋体"/>
          <w:bCs/>
          <w:color w:val="auto"/>
          <w:sz w:val="24"/>
          <w:szCs w:val="24"/>
          <w:highlight w:val="none"/>
          <w:lang w:eastAsia="zh-CN"/>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11.2.1 </w:t>
      </w:r>
      <w:r>
        <w:rPr>
          <w:rFonts w:hint="eastAsia" w:ascii="宋体" w:hAnsi="宋体"/>
          <w:bCs/>
          <w:color w:val="auto"/>
          <w:sz w:val="24"/>
          <w:szCs w:val="24"/>
          <w:highlight w:val="none"/>
        </w:rPr>
        <w:t>技术投标文件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11.2.2 </w:t>
      </w:r>
      <w:r>
        <w:rPr>
          <w:rFonts w:hint="eastAsia" w:ascii="宋体" w:hAnsi="宋体"/>
          <w:bCs/>
          <w:color w:val="auto"/>
          <w:sz w:val="24"/>
          <w:szCs w:val="24"/>
          <w:highlight w:val="none"/>
        </w:rPr>
        <w:t>资格审查文件：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1）投标人声明；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2）法定代表人证明书、法定代表人签字或盖章的本投标文件授权委托证明书；</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3）企业营业执照（取自平台内上传件）；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4）企业资质证书（取自平台内上传件）；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5）建筑施工企业安全生产许可证（取自平台内上传件）；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6）项目负责人（按网上投标登记时选择拟投标的项目负责人）</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7）专职安全员（按网上投标登记时选择拟投标的专职安全员）</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8）拟委托技术负责人的相关证书、资料（具体要求由招标人明确）</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9）拟委派项目负责人的建造师注册证书（取自平台内上传件）；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11）专职安全员须具有在有效期内的安全考核合格证书（C类）或建筑施工企业专职安全生产管理人员安全生产考核合格证书（取自平台内上传件）；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12）用于资格审查的业绩（设置业绩要求时选择此项，投标人</w:t>
      </w:r>
      <w:r>
        <w:rPr>
          <w:rFonts w:hint="eastAsia" w:ascii="宋体" w:hAnsi="宋体"/>
          <w:color w:val="auto"/>
          <w:sz w:val="24"/>
          <w:szCs w:val="24"/>
          <w:highlight w:val="none"/>
        </w:rPr>
        <w:t>须提供类似工程业绩的项目名称及项目编号，具体格式由招标人自定</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13）资格审查前，投标人须在广州市住房和城乡建设局建立企业信用档案，拟担任本工程项目负责人、专职安全员须是本企业信用档案中的在册人员</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14）列明主办单位的联合体工作协议（采用联合体投标时需递交，投标人拟任本工程项目负责人、专职安全员应为联合体主办方信用档案中的在册人员，联合体工作协议应明确约定各方拟承担的工作和责任）；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15）</w:t>
      </w:r>
      <w:r>
        <w:rPr>
          <w:rFonts w:hint="eastAsia" w:ascii="宋体" w:hAnsi="宋体"/>
          <w:color w:val="auto"/>
          <w:sz w:val="24"/>
          <w:szCs w:val="24"/>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color w:val="auto"/>
          <w:sz w:val="24"/>
          <w:szCs w:val="24"/>
          <w:highlight w:val="none"/>
        </w:rPr>
        <w:t>50%或以上的大、中修市政公用工程需提供该项内容的证明文件）。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11.2.3</w:t>
      </w:r>
      <w:r>
        <w:rPr>
          <w:rFonts w:hint="eastAsia" w:ascii="宋体" w:hAnsi="宋体"/>
          <w:color w:val="auto"/>
          <w:sz w:val="24"/>
          <w:szCs w:val="24"/>
          <w:highlight w:val="none"/>
        </w:rPr>
        <w:t>项目管理机构配备。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）投标人应列出该项目工程的施工组织机构构成和画出机构框架图及其负责人；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）其他辅助说明资料。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11.2.4</w:t>
      </w:r>
      <w:r>
        <w:rPr>
          <w:rFonts w:hint="eastAsia" w:ascii="宋体" w:hAnsi="宋体"/>
          <w:color w:val="auto"/>
          <w:sz w:val="24"/>
          <w:szCs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11.2.5</w:t>
      </w:r>
      <w:r>
        <w:rPr>
          <w:rFonts w:hint="eastAsia" w:ascii="宋体" w:hAnsi="宋体"/>
          <w:color w:val="auto"/>
          <w:sz w:val="24"/>
          <w:szCs w:val="24"/>
          <w:highlight w:val="none"/>
        </w:rPr>
        <w:t>施工组织设计或施工方案。（投标人在编制施工组织设计或施工方案时应按照招标人提出的施工现场建筑垃圾源头减量的具体要求以及建筑垃圾综合利用产品的使用要求提供相应措施。）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11.2.6按照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填写的《参与编制技术标投标文件人员名单》。</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11.3 </w:t>
      </w:r>
      <w:r>
        <w:rPr>
          <w:rFonts w:hint="eastAsia" w:ascii="宋体" w:hAnsi="宋体"/>
          <w:bCs/>
          <w:color w:val="auto"/>
          <w:sz w:val="24"/>
          <w:szCs w:val="24"/>
          <w:highlight w:val="none"/>
        </w:rPr>
        <w:t>经济部分投标文件主要包括下列内容：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11.3.1 </w:t>
      </w:r>
      <w:r>
        <w:rPr>
          <w:rFonts w:hint="eastAsia" w:ascii="宋体" w:hAnsi="宋体"/>
          <w:color w:val="auto"/>
          <w:sz w:val="24"/>
          <w:szCs w:val="24"/>
          <w:highlight w:val="none"/>
        </w:rPr>
        <w:t>经济投标文件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11.3.2</w:t>
      </w:r>
      <w:r>
        <w:rPr>
          <w:rFonts w:hint="eastAsia" w:ascii="宋体" w:hAnsi="宋体"/>
          <w:color w:val="auto"/>
          <w:sz w:val="24"/>
          <w:szCs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ascii="宋体" w:hAnsi="宋体"/>
          <w:color w:val="auto"/>
          <w:sz w:val="24"/>
          <w:szCs w:val="24"/>
          <w:highlight w:val="none"/>
        </w:rPr>
        <w:t xml:space="preserve"> </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）投标总价封面、扉页；</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）总说明</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3）工程项目投标报价汇总表；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4）单项工程投标报价汇总表；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5）单位工程投标报价汇总表；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6）分部分项工程清单与计价表；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7）单价措施项目清单与计价表；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8）总价措施项目清单与计价表；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9）综合单价分析表；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10）其他项目清单与计价汇总表；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11）暂列金额明细表；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12）材料（工程设备）暂估价明细表；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13）专业工程暂估价明细表；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14）计日工表；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15）总承包服务计价表；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16）规费和税金项目计价表；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17）人工、主要材料和设备一览表</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11.3.3按照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填写的《参与编制经济标投标文件人员名单》。</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12</w:t>
      </w:r>
      <w:r>
        <w:rPr>
          <w:rFonts w:hint="eastAsia" w:ascii="宋体" w:hAnsi="宋体"/>
          <w:b/>
          <w:bCs/>
          <w:color w:val="auto"/>
          <w:sz w:val="24"/>
          <w:szCs w:val="24"/>
          <w:highlight w:val="none"/>
        </w:rPr>
        <w:t>．投标文件格式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12.1 </w:t>
      </w:r>
      <w:r>
        <w:rPr>
          <w:rFonts w:hint="eastAsia" w:ascii="宋体" w:hAnsi="宋体"/>
          <w:color w:val="auto"/>
          <w:sz w:val="24"/>
          <w:szCs w:val="24"/>
          <w:highlight w:val="none"/>
        </w:rPr>
        <w:t>投标文件包括本须知第</w:t>
      </w:r>
      <w:r>
        <w:rPr>
          <w:rFonts w:ascii="宋体" w:hAnsi="宋体"/>
          <w:color w:val="auto"/>
          <w:sz w:val="24"/>
          <w:szCs w:val="24"/>
          <w:highlight w:val="none"/>
        </w:rPr>
        <w:t>11</w:t>
      </w:r>
      <w:r>
        <w:rPr>
          <w:rFonts w:hint="eastAsia" w:ascii="宋体" w:hAnsi="宋体"/>
          <w:color w:val="auto"/>
          <w:sz w:val="24"/>
          <w:szCs w:val="24"/>
          <w:highlight w:val="none"/>
        </w:rPr>
        <w:t>条中规定的内容，投标人提交的投标文件应当使用招标文件所提供的投标文件全部格式（表格可以按同样格式扩展）。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12.2 </w:t>
      </w:r>
      <w:r>
        <w:rPr>
          <w:rFonts w:hint="eastAsia" w:ascii="宋体" w:hAnsi="宋体"/>
          <w:color w:val="auto"/>
          <w:sz w:val="24"/>
          <w:szCs w:val="24"/>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12.3 </w:t>
      </w:r>
      <w:r>
        <w:rPr>
          <w:rFonts w:hint="eastAsia" w:ascii="宋体" w:hAnsi="宋体"/>
          <w:bCs/>
          <w:color w:val="auto"/>
          <w:sz w:val="24"/>
          <w:szCs w:val="24"/>
          <w:highlight w:val="none"/>
        </w:rPr>
        <w:t>投标文件应按</w:t>
      </w:r>
      <w:r>
        <w:rPr>
          <w:rFonts w:hint="eastAsia" w:ascii="宋体" w:hAnsi="宋体"/>
          <w:color w:val="auto"/>
          <w:sz w:val="24"/>
          <w:szCs w:val="24"/>
          <w:highlight w:val="none"/>
        </w:rPr>
        <w:t>照交易平台关于全流程电子化项目的相关指南进行编制，详见：</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bCs/>
          <w:color w:val="auto"/>
          <w:sz w:val="24"/>
          <w:szCs w:val="24"/>
          <w:highlight w:val="none"/>
        </w:rPr>
        <w:t>如不按上述要求编制引起系统无法检索、读取相关信息的，其后果由投标人承担。</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13</w:t>
      </w:r>
      <w:r>
        <w:rPr>
          <w:rFonts w:hint="eastAsia" w:ascii="宋体" w:hAnsi="宋体"/>
          <w:b/>
          <w:bCs/>
          <w:color w:val="auto"/>
          <w:sz w:val="24"/>
          <w:szCs w:val="24"/>
          <w:highlight w:val="none"/>
        </w:rPr>
        <w:t>．投标报价及造价承包和变更结算方式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本工程的投标报价采用投标须知前附表第</w:t>
      </w:r>
      <w:r>
        <w:rPr>
          <w:rFonts w:ascii="宋体" w:hAnsi="宋体"/>
          <w:color w:val="auto"/>
          <w:sz w:val="24"/>
          <w:szCs w:val="24"/>
          <w:highlight w:val="none"/>
        </w:rPr>
        <w:t>12</w:t>
      </w:r>
      <w:r>
        <w:rPr>
          <w:rFonts w:hint="eastAsia" w:ascii="宋体" w:hAnsi="宋体"/>
          <w:color w:val="auto"/>
          <w:sz w:val="24"/>
          <w:szCs w:val="24"/>
          <w:highlight w:val="none"/>
        </w:rPr>
        <w:t>项所规定的方式。投标报价（含单价及总价）精确到“分”。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13.2</w:t>
      </w:r>
      <w:r>
        <w:rPr>
          <w:rFonts w:hint="eastAsia" w:ascii="宋体" w:hAnsi="宋体"/>
          <w:color w:val="auto"/>
          <w:sz w:val="24"/>
          <w:szCs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13.3</w:t>
      </w:r>
      <w:r>
        <w:rPr>
          <w:rFonts w:hint="eastAsia" w:ascii="宋体" w:hAnsi="宋体"/>
          <w:color w:val="auto"/>
          <w:sz w:val="24"/>
          <w:szCs w:val="24"/>
          <w:highlight w:val="none"/>
        </w:rPr>
        <w:t>投标人的投标报价，应是按照投标须知前附表第</w:t>
      </w:r>
      <w:r>
        <w:rPr>
          <w:rFonts w:ascii="宋体" w:hAnsi="宋体"/>
          <w:color w:val="auto"/>
          <w:sz w:val="24"/>
          <w:szCs w:val="24"/>
          <w:highlight w:val="none"/>
        </w:rPr>
        <w:t>8</w:t>
      </w:r>
      <w:r>
        <w:rPr>
          <w:rFonts w:hint="eastAsia" w:ascii="宋体" w:hAnsi="宋体"/>
          <w:color w:val="auto"/>
          <w:sz w:val="24"/>
          <w:szCs w:val="24"/>
          <w:highlight w:val="none"/>
        </w:rPr>
        <w:t>项的工期要求，在投标须知前附表第</w:t>
      </w:r>
      <w:r>
        <w:rPr>
          <w:rFonts w:ascii="宋体" w:hAnsi="宋体"/>
          <w:color w:val="auto"/>
          <w:sz w:val="24"/>
          <w:szCs w:val="24"/>
          <w:highlight w:val="none"/>
        </w:rPr>
        <w:t>3</w:t>
      </w:r>
      <w:r>
        <w:rPr>
          <w:rFonts w:hint="eastAsia" w:ascii="宋体" w:hAnsi="宋体"/>
          <w:color w:val="auto"/>
          <w:sz w:val="24"/>
          <w:szCs w:val="24"/>
          <w:highlight w:val="none"/>
        </w:rPr>
        <w:t>项的建设地点，完成投标须知前附表第</w:t>
      </w:r>
      <w:r>
        <w:rPr>
          <w:rFonts w:ascii="宋体" w:hAnsi="宋体"/>
          <w:color w:val="auto"/>
          <w:sz w:val="24"/>
          <w:szCs w:val="24"/>
          <w:highlight w:val="none"/>
        </w:rPr>
        <w:t>7</w:t>
      </w:r>
      <w:r>
        <w:rPr>
          <w:rFonts w:hint="eastAsia" w:ascii="宋体" w:hAnsi="宋体"/>
          <w:color w:val="auto"/>
          <w:sz w:val="24"/>
          <w:szCs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13.4</w:t>
      </w:r>
      <w:r>
        <w:rPr>
          <w:rFonts w:hint="eastAsia" w:ascii="宋体" w:hAnsi="宋体"/>
          <w:color w:val="auto"/>
          <w:sz w:val="24"/>
          <w:szCs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w:t>
      </w:r>
      <w:r>
        <w:rPr>
          <w:rFonts w:hint="eastAsia" w:ascii="宋体" w:hAnsi="宋体"/>
          <w:color w:val="auto"/>
          <w:sz w:val="24"/>
          <w:szCs w:val="24"/>
          <w:highlight w:val="none"/>
        </w:rPr>
        <w:t>工程项目实施期间和结算时，招标文件工程量清单中漏列而由监理单位和招标人现场签证确认的工程项目、原设计没有而由招标人批准设计变更产生的工程项目，视为新增项目，按以下顺序确定价格：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13.5.1</w:t>
      </w:r>
      <w:r>
        <w:rPr>
          <w:rFonts w:hint="eastAsia" w:ascii="宋体" w:hAnsi="宋体"/>
          <w:color w:val="auto"/>
          <w:sz w:val="24"/>
          <w:szCs w:val="24"/>
          <w:highlight w:val="none"/>
        </w:rPr>
        <w:t>中标的投标文件工程量清单中已有相同项目的适用综合单价，则沿用；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13.5.2</w:t>
      </w:r>
      <w:r>
        <w:rPr>
          <w:rFonts w:hint="eastAsia" w:ascii="宋体" w:hAnsi="宋体"/>
          <w:color w:val="auto"/>
          <w:sz w:val="24"/>
          <w:szCs w:val="24"/>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13.5.3 </w:t>
      </w:r>
      <w:r>
        <w:rPr>
          <w:rFonts w:hint="eastAsia" w:ascii="宋体" w:hAnsi="宋体"/>
          <w:color w:val="auto"/>
          <w:sz w:val="24"/>
          <w:szCs w:val="24"/>
          <w:highlight w:val="none"/>
        </w:rPr>
        <w:t>中标的投标文件工程量清单中没有相同项目或类似项目的，如可套取相关定额，则以相关定额为基数下浮计算单价</w:t>
      </w:r>
      <w:r>
        <w:rPr>
          <w:rFonts w:ascii="宋体" w:hAnsi="宋体"/>
          <w:color w:val="auto"/>
          <w:sz w:val="24"/>
          <w:szCs w:val="24"/>
          <w:highlight w:val="none"/>
        </w:rPr>
        <w:t>,</w:t>
      </w:r>
      <w:r>
        <w:rPr>
          <w:rFonts w:hint="eastAsia" w:ascii="宋体" w:hAnsi="宋体"/>
          <w:color w:val="auto"/>
          <w:sz w:val="24"/>
          <w:szCs w:val="24"/>
          <w:highlight w:val="none"/>
        </w:rPr>
        <w:t>下浮率为中标价相对于最高投标限价的下浮率（下浮率</w:t>
      </w:r>
      <w:r>
        <w:rPr>
          <w:rFonts w:ascii="宋体" w:hAnsi="宋体"/>
          <w:color w:val="auto"/>
          <w:sz w:val="24"/>
          <w:szCs w:val="24"/>
          <w:highlight w:val="none"/>
        </w:rPr>
        <w:t>=(</w:t>
      </w:r>
      <w:r>
        <w:rPr>
          <w:rFonts w:hint="eastAsia" w:ascii="宋体" w:hAnsi="宋体"/>
          <w:color w:val="auto"/>
          <w:sz w:val="24"/>
          <w:szCs w:val="24"/>
          <w:highlight w:val="none"/>
        </w:rPr>
        <w:t>最高投标限价</w:t>
      </w:r>
      <w:r>
        <w:rPr>
          <w:rFonts w:ascii="宋体" w:hAnsi="宋体"/>
          <w:color w:val="auto"/>
          <w:sz w:val="24"/>
          <w:szCs w:val="24"/>
          <w:highlight w:val="none"/>
        </w:rPr>
        <w:t>-</w:t>
      </w:r>
      <w:r>
        <w:rPr>
          <w:rFonts w:hint="eastAsia" w:ascii="宋体" w:hAnsi="宋体"/>
          <w:color w:val="auto"/>
          <w:sz w:val="24"/>
          <w:szCs w:val="24"/>
          <w:highlight w:val="none"/>
        </w:rPr>
        <w:t>中标价</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13.5.4 </w:t>
      </w:r>
      <w:r>
        <w:rPr>
          <w:rFonts w:hint="eastAsia" w:ascii="宋体" w:hAnsi="宋体"/>
          <w:color w:val="auto"/>
          <w:sz w:val="24"/>
          <w:szCs w:val="24"/>
          <w:highlight w:val="none"/>
        </w:rPr>
        <w:t>如相关定额没有相应子目的，其计价方式由招标人在本招标文件第三章中另行规定。未规定的，中标后双方协商约定。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w:t>
      </w:r>
      <w:r>
        <w:rPr>
          <w:rFonts w:hint="eastAsia" w:ascii="宋体" w:hAnsi="宋体"/>
          <w:color w:val="auto"/>
          <w:sz w:val="24"/>
          <w:szCs w:val="24"/>
          <w:highlight w:val="none"/>
        </w:rPr>
        <w:t>暂列金额、暂估价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13.6.1</w:t>
      </w:r>
      <w:r>
        <w:rPr>
          <w:rFonts w:hint="eastAsia" w:ascii="宋体" w:hAnsi="宋体"/>
          <w:color w:val="auto"/>
          <w:sz w:val="24"/>
          <w:szCs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暂估价是指招标人在工程量清单中提供的用于支付必然发生但暂时不能确定价格的材料的单价以及专业工程的金额。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13.6.2</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13.6.3</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13.6.4</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szCs w:val="24"/>
          <w:highlight w:val="none"/>
        </w:rPr>
        <w:t>13.5</w:t>
      </w:r>
      <w:r>
        <w:rPr>
          <w:rFonts w:hint="eastAsia" w:ascii="宋体" w:hAnsi="宋体"/>
          <w:color w:val="auto"/>
          <w:sz w:val="24"/>
          <w:szCs w:val="24"/>
          <w:highlight w:val="none"/>
        </w:rPr>
        <w:t>款规定确定。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13.6.5</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13.6.6 </w:t>
      </w:r>
      <w:r>
        <w:rPr>
          <w:rFonts w:hint="eastAsia" w:ascii="宋体" w:hAnsi="宋体"/>
          <w:color w:val="auto"/>
          <w:sz w:val="24"/>
          <w:szCs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13.7</w:t>
      </w:r>
      <w:r>
        <w:rPr>
          <w:rFonts w:hint="eastAsia" w:ascii="宋体" w:hAnsi="宋体"/>
          <w:color w:val="auto"/>
          <w:sz w:val="24"/>
          <w:szCs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13.8</w:t>
      </w:r>
      <w:r>
        <w:rPr>
          <w:rFonts w:hint="eastAsia" w:ascii="宋体" w:hAnsi="宋体"/>
          <w:color w:val="auto"/>
          <w:sz w:val="24"/>
          <w:szCs w:val="24"/>
          <w:highlight w:val="none"/>
        </w:rPr>
        <w:t>属于承包人自行采购的主要材料、设备，招标人应当在招标文件中提出材料、设备的技术标准或者质量要求，或者提出不少于</w:t>
      </w:r>
      <w:r>
        <w:rPr>
          <w:rFonts w:ascii="宋体" w:hAnsi="宋体"/>
          <w:color w:val="auto"/>
          <w:sz w:val="24"/>
          <w:szCs w:val="24"/>
          <w:highlight w:val="none"/>
        </w:rPr>
        <w:t>3</w:t>
      </w:r>
      <w:r>
        <w:rPr>
          <w:rFonts w:hint="eastAsia" w:ascii="宋体" w:hAnsi="宋体"/>
          <w:color w:val="auto"/>
          <w:sz w:val="24"/>
          <w:szCs w:val="24"/>
          <w:highlight w:val="none"/>
        </w:rPr>
        <w:t>个同等档次品牌或分包商供投标人报价时选择</w:t>
      </w:r>
      <w:r>
        <w:rPr>
          <w:rFonts w:ascii="宋体" w:hAnsi="宋体"/>
          <w:color w:val="auto"/>
          <w:sz w:val="24"/>
          <w:szCs w:val="24"/>
          <w:highlight w:val="none"/>
        </w:rPr>
        <w:t>,</w:t>
      </w:r>
      <w:r>
        <w:rPr>
          <w:rFonts w:hint="eastAsia" w:ascii="宋体" w:hAnsi="宋体"/>
          <w:color w:val="auto"/>
          <w:sz w:val="24"/>
          <w:szCs w:val="24"/>
          <w:highlight w:val="none"/>
        </w:rPr>
        <w:t>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13.9</w:t>
      </w:r>
      <w:r>
        <w:rPr>
          <w:rFonts w:hint="eastAsia" w:ascii="宋体" w:hAnsi="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14</w:t>
      </w:r>
      <w:r>
        <w:rPr>
          <w:rFonts w:hint="eastAsia" w:ascii="宋体" w:hAnsi="宋体"/>
          <w:b/>
          <w:bCs/>
          <w:color w:val="auto"/>
          <w:sz w:val="24"/>
          <w:szCs w:val="24"/>
          <w:highlight w:val="none"/>
        </w:rPr>
        <w:t>．投标货币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本工程投标报价采用的币种为人民币。</w:t>
      </w:r>
    </w:p>
    <w:p>
      <w:pPr>
        <w:spacing w:line="360" w:lineRule="auto"/>
        <w:ind w:firstLine="482" w:firstLineChars="200"/>
        <w:rPr>
          <w:rFonts w:ascii="宋体" w:hAnsi="宋体"/>
          <w:color w:val="auto"/>
          <w:sz w:val="24"/>
          <w:szCs w:val="24"/>
          <w:highlight w:val="none"/>
        </w:rPr>
      </w:pPr>
      <w:r>
        <w:rPr>
          <w:rFonts w:ascii="宋体" w:hAnsi="宋体"/>
          <w:b/>
          <w:bCs/>
          <w:color w:val="auto"/>
          <w:sz w:val="24"/>
          <w:szCs w:val="24"/>
          <w:highlight w:val="none"/>
        </w:rPr>
        <w:t>15</w:t>
      </w:r>
      <w:r>
        <w:rPr>
          <w:rFonts w:hint="eastAsia" w:ascii="宋体" w:hAnsi="宋体"/>
          <w:b/>
          <w:bCs/>
          <w:color w:val="auto"/>
          <w:sz w:val="24"/>
          <w:szCs w:val="24"/>
          <w:highlight w:val="none"/>
        </w:rPr>
        <w:t>．投标有效期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15.1 </w:t>
      </w:r>
      <w:r>
        <w:rPr>
          <w:rFonts w:hint="eastAsia" w:ascii="宋体" w:hAnsi="宋体"/>
          <w:color w:val="auto"/>
          <w:sz w:val="24"/>
          <w:szCs w:val="24"/>
          <w:highlight w:val="none"/>
        </w:rPr>
        <w:t>投标有效期见投标须知前附表第</w:t>
      </w:r>
      <w:r>
        <w:rPr>
          <w:rFonts w:ascii="宋体" w:hAnsi="宋体"/>
          <w:color w:val="auto"/>
          <w:sz w:val="24"/>
          <w:szCs w:val="24"/>
          <w:highlight w:val="none"/>
        </w:rPr>
        <w:t>13</w:t>
      </w:r>
      <w:r>
        <w:rPr>
          <w:rFonts w:hint="eastAsia" w:ascii="宋体" w:hAnsi="宋体"/>
          <w:color w:val="auto"/>
          <w:sz w:val="24"/>
          <w:szCs w:val="24"/>
          <w:highlight w:val="none"/>
        </w:rPr>
        <w:t>项所规定的期限，在此期限内，凡符合本招标文件要求的投标文件均保持有效。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15.2 </w:t>
      </w:r>
      <w:r>
        <w:rPr>
          <w:rFonts w:hint="eastAsia" w:ascii="宋体" w:hAnsi="宋体"/>
          <w:color w:val="auto"/>
          <w:sz w:val="24"/>
          <w:szCs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auto"/>
          <w:sz w:val="24"/>
          <w:szCs w:val="24"/>
          <w:highlight w:val="none"/>
        </w:rPr>
        <w:t>16</w:t>
      </w:r>
      <w:r>
        <w:rPr>
          <w:rFonts w:hint="eastAsia" w:ascii="宋体" w:hAnsi="宋体"/>
          <w:color w:val="auto"/>
          <w:sz w:val="24"/>
          <w:szCs w:val="24"/>
          <w:highlight w:val="none"/>
        </w:rPr>
        <w:t>条关于投标保证金的退还与不予退还的规定仍然适用。</w:t>
      </w:r>
    </w:p>
    <w:p>
      <w:pPr>
        <w:pStyle w:val="47"/>
        <w:spacing w:after="0"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16．投标保证金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16.1投标人应按投标须知前附表第14项所述金额和时间递交投标保证金。招标人应当允许投标人自主选择现金、银行保函、保证保险、专业工程担保公司担保等方式缴纳投标保证金。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16.1.1采用现金或者支票形式提交的，投标保证金须从投标人的银行基本账户转出。</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16.1.3采用电子形式的保函、担保或保证保险提交投标保证金的，应在招标文件中明确电子递交途径。</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16.3投标保证金应依据法律法规的相关规定退还。</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16.4如有下列情况之一的，招标人可以不予退还投标保证金（是否退还投标保证金由招标人在招标文件中规定）：</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16.4.1因投标人原因造成投标文件未解密的；</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16.4.2投标人在投标有效期内撤销投标文件；</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16.4.3中标人未能在规定期限内按要求提交履约担保；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16.4.4中标人未能在规定期限内签署合同协议。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16.5.1投标人存在16.4条款所列情形且投标人提交的保函、担保或保证保险无法兑付的；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16.5.3按招标文件要求免于提供投标保证金的投标人存在16.4条款所列情形的。</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highlight w:val="none"/>
        </w:rPr>
        <w:t>注：</w:t>
      </w:r>
      <w:r>
        <w:rPr>
          <w:rFonts w:ascii="宋体" w:hAnsi="宋体"/>
          <w:color w:val="auto"/>
          <w:sz w:val="24"/>
          <w:highlight w:val="none"/>
        </w:rPr>
        <w:t>16.5.3款由招标人二选一，需在招标文件中明确。</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17</w:t>
      </w:r>
      <w:r>
        <w:rPr>
          <w:rFonts w:hint="eastAsia" w:ascii="宋体" w:hAnsi="宋体"/>
          <w:b/>
          <w:bCs/>
          <w:color w:val="auto"/>
          <w:sz w:val="24"/>
          <w:szCs w:val="24"/>
          <w:highlight w:val="none"/>
        </w:rPr>
        <w:t>．投标文件的签署</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17.1</w:t>
      </w:r>
      <w:r>
        <w:rPr>
          <w:rFonts w:hint="eastAsia" w:ascii="宋体" w:hAnsi="宋体"/>
          <w:color w:val="auto"/>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44" w:name="_Toc2513"/>
      <w:bookmarkStart w:id="45" w:name="_Toc1187"/>
      <w:bookmarkStart w:id="46" w:name="_Toc112397812"/>
      <w:bookmarkStart w:id="47" w:name="_Toc58838574"/>
      <w:bookmarkStart w:id="48" w:name="_Toc5802"/>
      <w:bookmarkStart w:id="49" w:name="_Toc2272552"/>
      <w:bookmarkStart w:id="50" w:name="_Toc26418"/>
      <w:r>
        <w:rPr>
          <w:rFonts w:hint="eastAsia" w:ascii="宋体" w:hAnsi="宋体" w:cs="宋体"/>
          <w:color w:val="auto"/>
          <w:kern w:val="0"/>
          <w:sz w:val="24"/>
          <w:szCs w:val="24"/>
          <w:highlight w:val="none"/>
        </w:rPr>
        <w:t>（四）投标文件的提交</w:t>
      </w:r>
      <w:bookmarkEnd w:id="44"/>
      <w:bookmarkEnd w:id="45"/>
      <w:bookmarkEnd w:id="46"/>
      <w:bookmarkEnd w:id="47"/>
      <w:bookmarkEnd w:id="48"/>
      <w:bookmarkEnd w:id="49"/>
      <w:bookmarkEnd w:id="50"/>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18</w:t>
      </w:r>
      <w:r>
        <w:rPr>
          <w:rFonts w:hint="eastAsia" w:ascii="宋体" w:hAnsi="宋体"/>
          <w:b/>
          <w:bCs/>
          <w:color w:val="auto"/>
          <w:sz w:val="24"/>
          <w:szCs w:val="24"/>
          <w:highlight w:val="none"/>
        </w:rPr>
        <w:t>．</w:t>
      </w:r>
      <w:r>
        <w:rPr>
          <w:rFonts w:hint="eastAsia" w:ascii="宋体" w:hAnsi="宋体"/>
          <w:b/>
          <w:color w:val="auto"/>
          <w:sz w:val="24"/>
          <w:szCs w:val="24"/>
          <w:highlight w:val="none"/>
        </w:rPr>
        <w:t>投标文件的密封和标记</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18.1</w:t>
      </w:r>
      <w:r>
        <w:rPr>
          <w:rFonts w:hint="eastAsia" w:ascii="宋体" w:hAnsi="宋体"/>
          <w:bCs/>
          <w:color w:val="auto"/>
          <w:sz w:val="24"/>
          <w:szCs w:val="24"/>
          <w:highlight w:val="none"/>
        </w:rPr>
        <w:t>递交的电子投标文件（不含备用光盘）必须进行加密。按照交易平台关于</w:t>
      </w:r>
      <w:r>
        <w:rPr>
          <w:rFonts w:hint="eastAsia" w:ascii="宋体" w:hAnsi="宋体"/>
          <w:color w:val="auto"/>
          <w:sz w:val="24"/>
          <w:szCs w:val="24"/>
          <w:highlight w:val="none"/>
        </w:rPr>
        <w:t>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18.2 </w:t>
      </w:r>
      <w:r>
        <w:rPr>
          <w:rFonts w:hint="eastAsia" w:ascii="宋体" w:hAnsi="宋体"/>
          <w:bCs/>
          <w:color w:val="auto"/>
          <w:sz w:val="24"/>
          <w:szCs w:val="24"/>
          <w:highlight w:val="none"/>
        </w:rPr>
        <w:t>未按要求加密的投标文件，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hAnsi="宋体"/>
          <w:bCs/>
          <w:color w:val="auto"/>
          <w:sz w:val="24"/>
          <w:szCs w:val="24"/>
          <w:highlight w:val="none"/>
        </w:rPr>
        <w:t>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19</w:t>
      </w:r>
      <w:r>
        <w:rPr>
          <w:rFonts w:hint="eastAsia" w:ascii="宋体" w:hAnsi="宋体"/>
          <w:b/>
          <w:bCs/>
          <w:color w:val="auto"/>
          <w:sz w:val="24"/>
          <w:szCs w:val="24"/>
          <w:highlight w:val="none"/>
        </w:rPr>
        <w:t>．投标文件的递交和接收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19.1投标人通过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交易平台递交电子投标文件。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19.2投标人完成电子</w:t>
      </w:r>
      <w:r>
        <w:rPr>
          <w:rFonts w:hint="eastAsia" w:ascii="宋体" w:hAnsi="宋体"/>
          <w:color w:val="auto"/>
          <w:sz w:val="24"/>
          <w:szCs w:val="24"/>
          <w:highlight w:val="none"/>
        </w:rPr>
        <w:t>投标文件</w:t>
      </w:r>
      <w:r>
        <w:rPr>
          <w:rFonts w:hint="eastAsia" w:ascii="宋体" w:hAnsi="宋体"/>
          <w:bCs/>
          <w:color w:val="auto"/>
          <w:sz w:val="24"/>
          <w:szCs w:val="24"/>
          <w:highlight w:val="none"/>
        </w:rPr>
        <w:t>上传后，</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交易平台即时向投标人发出递交回执通知。递交时间以递交回执通知载明的传输完成时间为准。</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19.3逾期送达的电子投标文件，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19.4 </w:t>
      </w:r>
      <w:r>
        <w:rPr>
          <w:rFonts w:hint="eastAsia" w:ascii="宋体" w:hAnsi="宋体"/>
          <w:color w:val="auto"/>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19.5如技术标和经济标先后分别开启，</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交易平台将按招标文件规定的时间分别开启技术标和经济标。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20</w:t>
      </w:r>
      <w:r>
        <w:rPr>
          <w:rFonts w:hint="eastAsia" w:ascii="宋体" w:hAnsi="宋体"/>
          <w:b/>
          <w:bCs/>
          <w:color w:val="auto"/>
          <w:sz w:val="24"/>
          <w:szCs w:val="24"/>
          <w:highlight w:val="none"/>
        </w:rPr>
        <w:t>．投标文件提交的截止时间</w:t>
      </w:r>
    </w:p>
    <w:p>
      <w:pPr>
        <w:spacing w:line="360" w:lineRule="auto"/>
        <w:ind w:firstLine="480" w:firstLineChars="200"/>
        <w:rPr>
          <w:rFonts w:ascii="宋体" w:hAnsi="宋体"/>
          <w:b/>
          <w:bCs/>
          <w:color w:val="auto"/>
          <w:sz w:val="24"/>
          <w:szCs w:val="24"/>
          <w:highlight w:val="none"/>
        </w:rPr>
      </w:pPr>
      <w:r>
        <w:rPr>
          <w:rFonts w:ascii="宋体" w:hAnsi="宋体"/>
          <w:color w:val="auto"/>
          <w:sz w:val="24"/>
          <w:szCs w:val="24"/>
          <w:highlight w:val="none"/>
        </w:rPr>
        <w:t>20.1</w:t>
      </w:r>
      <w:r>
        <w:rPr>
          <w:rFonts w:hint="eastAsia" w:ascii="宋体" w:hAnsi="宋体"/>
          <w:color w:val="auto"/>
          <w:sz w:val="24"/>
          <w:szCs w:val="24"/>
          <w:highlight w:val="none"/>
        </w:rPr>
        <w:t>投标人应在投标须知前附表第</w:t>
      </w:r>
      <w:r>
        <w:rPr>
          <w:rFonts w:ascii="宋体" w:hAnsi="宋体"/>
          <w:color w:val="auto"/>
          <w:sz w:val="24"/>
          <w:szCs w:val="24"/>
          <w:highlight w:val="none"/>
        </w:rPr>
        <w:t>17项所述的时间前提交投标文件。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20.2</w:t>
      </w:r>
      <w:r>
        <w:rPr>
          <w:rFonts w:hint="eastAsia" w:ascii="宋体" w:hAnsi="宋体"/>
          <w:color w:val="auto"/>
          <w:sz w:val="24"/>
          <w:szCs w:val="24"/>
          <w:highlight w:val="none"/>
        </w:rPr>
        <w:t>招标人可按本须知第</w:t>
      </w:r>
      <w:r>
        <w:rPr>
          <w:rFonts w:ascii="宋体" w:hAnsi="宋体"/>
          <w:color w:val="auto"/>
          <w:sz w:val="24"/>
          <w:szCs w:val="24"/>
          <w:highlight w:val="none"/>
        </w:rPr>
        <w:t>9</w:t>
      </w:r>
      <w:r>
        <w:rPr>
          <w:rFonts w:hint="eastAsia" w:ascii="宋体" w:hAnsi="宋体"/>
          <w:color w:val="auto"/>
          <w:sz w:val="24"/>
          <w:szCs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20.3 </w:t>
      </w:r>
      <w:r>
        <w:rPr>
          <w:rFonts w:hint="eastAsia" w:ascii="宋体" w:hAnsi="宋体"/>
          <w:color w:val="auto"/>
          <w:sz w:val="24"/>
          <w:szCs w:val="24"/>
          <w:highlight w:val="none"/>
        </w:rPr>
        <w:t>到投标截止时间止，招标人收到的投标文件少于</w:t>
      </w:r>
      <w:r>
        <w:rPr>
          <w:rFonts w:ascii="宋体" w:hAnsi="宋体"/>
          <w:color w:val="auto"/>
          <w:sz w:val="24"/>
          <w:szCs w:val="24"/>
          <w:highlight w:val="none"/>
        </w:rPr>
        <w:t>3家的，招标人将重新组织招标（当N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N+2家，则重新组织招标）。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21</w:t>
      </w:r>
      <w:r>
        <w:rPr>
          <w:rFonts w:hint="eastAsia" w:ascii="宋体" w:hAnsi="宋体"/>
          <w:b/>
          <w:bCs/>
          <w:color w:val="auto"/>
          <w:sz w:val="24"/>
          <w:szCs w:val="24"/>
          <w:highlight w:val="none"/>
        </w:rPr>
        <w:t>．迟交的投标文件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21.1 </w:t>
      </w:r>
      <w:r>
        <w:rPr>
          <w:rFonts w:hint="eastAsia" w:ascii="宋体" w:hAnsi="宋体"/>
          <w:color w:val="auto"/>
          <w:sz w:val="24"/>
          <w:szCs w:val="24"/>
          <w:highlight w:val="none"/>
        </w:rPr>
        <w:t>本须知前附表第</w:t>
      </w:r>
      <w:r>
        <w:rPr>
          <w:rFonts w:ascii="宋体" w:hAnsi="宋体"/>
          <w:color w:val="auto"/>
          <w:sz w:val="24"/>
          <w:szCs w:val="24"/>
          <w:highlight w:val="none"/>
        </w:rPr>
        <w:t>17项规定的投标截止时间</w:t>
      </w:r>
      <w:r>
        <w:rPr>
          <w:rFonts w:hint="eastAsia" w:ascii="宋体" w:hAnsi="宋体"/>
          <w:bCs/>
          <w:color w:val="auto"/>
          <w:sz w:val="24"/>
          <w:szCs w:val="24"/>
          <w:highlight w:val="none"/>
        </w:rPr>
        <w:t>后送达的电子投标文件，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22</w:t>
      </w:r>
      <w:r>
        <w:rPr>
          <w:rFonts w:hint="eastAsia" w:ascii="宋体" w:hAnsi="宋体"/>
          <w:b/>
          <w:bCs/>
          <w:color w:val="auto"/>
          <w:sz w:val="24"/>
          <w:szCs w:val="24"/>
          <w:highlight w:val="none"/>
        </w:rPr>
        <w:t>．投标文件的修改与撤回</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22.1</w:t>
      </w:r>
      <w:r>
        <w:rPr>
          <w:rFonts w:hint="eastAsia" w:ascii="宋体" w:hAnsi="宋体"/>
          <w:color w:val="auto"/>
          <w:sz w:val="24"/>
          <w:szCs w:val="24"/>
          <w:highlight w:val="none"/>
        </w:rPr>
        <w:t>在规定的投标截止时间前，投标人可以修改或撤回已递交的投标文件，但应以书面形式通知招标人。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22.2投标人修改或撤回已递交</w:t>
      </w:r>
      <w:r>
        <w:rPr>
          <w:rFonts w:hint="eastAsia" w:ascii="宋体" w:hAnsi="宋体"/>
          <w:color w:val="auto"/>
          <w:sz w:val="24"/>
          <w:szCs w:val="24"/>
          <w:highlight w:val="none"/>
        </w:rPr>
        <w:t>的</w:t>
      </w:r>
      <w:r>
        <w:rPr>
          <w:rFonts w:ascii="宋体" w:hAnsi="宋体"/>
          <w:color w:val="auto"/>
          <w:sz w:val="24"/>
          <w:szCs w:val="24"/>
          <w:highlight w:val="none"/>
        </w:rPr>
        <w:t>投标文件</w:t>
      </w:r>
      <w:r>
        <w:rPr>
          <w:rFonts w:hint="eastAsia" w:ascii="宋体" w:hAnsi="宋体"/>
          <w:color w:val="auto"/>
          <w:sz w:val="24"/>
          <w:szCs w:val="24"/>
          <w:highlight w:val="none"/>
        </w:rPr>
        <w:t>，需在交易平台发出修改或撤回</w:t>
      </w:r>
      <w:r>
        <w:rPr>
          <w:rFonts w:ascii="宋体" w:hAnsi="宋体"/>
          <w:color w:val="auto"/>
          <w:sz w:val="24"/>
          <w:szCs w:val="24"/>
          <w:highlight w:val="none"/>
        </w:rPr>
        <w:t>通知，</w:t>
      </w:r>
      <w:r>
        <w:rPr>
          <w:rFonts w:hint="eastAsia" w:ascii="宋体" w:hAnsi="宋体"/>
          <w:color w:val="auto"/>
          <w:sz w:val="24"/>
          <w:szCs w:val="24"/>
          <w:highlight w:val="none"/>
        </w:rPr>
        <w:t>并按</w:t>
      </w:r>
      <w:r>
        <w:rPr>
          <w:rFonts w:ascii="宋体" w:hAnsi="宋体"/>
          <w:color w:val="auto"/>
          <w:sz w:val="24"/>
          <w:szCs w:val="24"/>
          <w:highlight w:val="none"/>
        </w:rPr>
        <w:t>要求加盖电子印章。</w:t>
      </w:r>
      <w:r>
        <w:rPr>
          <w:rFonts w:ascii="宋体" w:hAnsi="宋体"/>
          <w:bCs/>
          <w:iCs/>
          <w:color w:val="auto"/>
          <w:sz w:val="24"/>
          <w:szCs w:val="24"/>
          <w:highlight w:val="none"/>
        </w:rPr>
        <w:t>电子招标投标交易平台收到通知后，</w:t>
      </w:r>
      <w:r>
        <w:rPr>
          <w:rFonts w:ascii="宋体" w:hAnsi="宋体"/>
          <w:color w:val="auto"/>
          <w:sz w:val="24"/>
          <w:szCs w:val="24"/>
          <w:highlight w:val="none"/>
        </w:rPr>
        <w:t>即时向投标人发出确认回执通知。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22.3修改后再次递交的，按19点的规定执行。</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22.4 </w:t>
      </w:r>
      <w:r>
        <w:rPr>
          <w:rFonts w:hint="eastAsia" w:ascii="宋体" w:hAnsi="宋体"/>
          <w:color w:val="auto"/>
          <w:sz w:val="24"/>
          <w:szCs w:val="24"/>
          <w:highlight w:val="none"/>
        </w:rPr>
        <w:t>在投标截止时间之后，投标人不得补充、修改和更换投标文件。</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51" w:name="_Toc2272553"/>
      <w:bookmarkStart w:id="52" w:name="_Toc31279"/>
      <w:bookmarkStart w:id="53" w:name="_Toc112397813"/>
      <w:bookmarkStart w:id="54" w:name="_Toc58838575"/>
      <w:bookmarkStart w:id="55" w:name="_Toc3633"/>
      <w:bookmarkStart w:id="56" w:name="_Toc23838"/>
      <w:bookmarkStart w:id="57" w:name="_Toc2082"/>
      <w:r>
        <w:rPr>
          <w:rFonts w:hint="eastAsia" w:ascii="宋体" w:hAnsi="宋体" w:cs="宋体"/>
          <w:color w:val="auto"/>
          <w:kern w:val="0"/>
          <w:sz w:val="24"/>
          <w:szCs w:val="24"/>
          <w:highlight w:val="none"/>
        </w:rPr>
        <w:t>（五）开标、评标、定标及合同签定</w:t>
      </w:r>
      <w:bookmarkEnd w:id="51"/>
      <w:bookmarkEnd w:id="52"/>
      <w:bookmarkEnd w:id="53"/>
      <w:bookmarkEnd w:id="54"/>
      <w:bookmarkEnd w:id="55"/>
      <w:bookmarkEnd w:id="56"/>
      <w:bookmarkEnd w:id="57"/>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23</w:t>
      </w:r>
      <w:r>
        <w:rPr>
          <w:rFonts w:hint="eastAsia" w:ascii="宋体" w:hAnsi="宋体"/>
          <w:b/>
          <w:bCs/>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24</w:t>
      </w:r>
      <w:r>
        <w:rPr>
          <w:rFonts w:hint="eastAsia" w:ascii="宋体" w:hAnsi="宋体"/>
          <w:b/>
          <w:bCs/>
          <w:color w:val="auto"/>
          <w:sz w:val="24"/>
          <w:szCs w:val="24"/>
          <w:highlight w:val="none"/>
        </w:rPr>
        <w:t>．评标过程的保密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24.1 </w:t>
      </w:r>
      <w:r>
        <w:rPr>
          <w:rFonts w:hint="eastAsia" w:ascii="宋体" w:hAnsi="宋体"/>
          <w:color w:val="auto"/>
          <w:sz w:val="24"/>
          <w:szCs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24.2 </w:t>
      </w:r>
      <w:r>
        <w:rPr>
          <w:rFonts w:hint="eastAsia" w:ascii="宋体" w:hAnsi="宋体"/>
          <w:color w:val="auto"/>
          <w:sz w:val="24"/>
          <w:szCs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25</w:t>
      </w:r>
      <w:r>
        <w:rPr>
          <w:rFonts w:hint="eastAsia" w:ascii="宋体" w:hAnsi="宋体"/>
          <w:b/>
          <w:bCs/>
          <w:color w:val="auto"/>
          <w:sz w:val="24"/>
          <w:szCs w:val="24"/>
          <w:highlight w:val="none"/>
        </w:rPr>
        <w:t>．投标文件的澄清，计算错误的修正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26</w:t>
      </w:r>
      <w:r>
        <w:rPr>
          <w:rFonts w:hint="eastAsia" w:ascii="宋体" w:hAnsi="宋体"/>
          <w:b/>
          <w:bCs/>
          <w:color w:val="auto"/>
          <w:sz w:val="24"/>
          <w:szCs w:val="24"/>
          <w:highlight w:val="none"/>
        </w:rPr>
        <w:t>．投标文件的评审、比较和否决</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27</w:t>
      </w:r>
      <w:r>
        <w:rPr>
          <w:rFonts w:hint="eastAsia" w:ascii="宋体" w:hAnsi="宋体"/>
          <w:b/>
          <w:bCs/>
          <w:color w:val="auto"/>
          <w:sz w:val="24"/>
          <w:szCs w:val="24"/>
          <w:highlight w:val="none"/>
        </w:rPr>
        <w:t>．中标通知书</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27.1</w:t>
      </w:r>
      <w:r>
        <w:rPr>
          <w:rFonts w:hint="eastAsia" w:ascii="宋体" w:hAnsi="宋体"/>
          <w:color w:val="auto"/>
          <w:sz w:val="24"/>
          <w:szCs w:val="24"/>
          <w:highlight w:val="none"/>
        </w:rPr>
        <w:t>招标人将在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27.2</w:t>
      </w:r>
      <w:r>
        <w:rPr>
          <w:rFonts w:hint="eastAsia" w:ascii="宋体" w:hAnsi="宋体"/>
          <w:color w:val="auto"/>
          <w:sz w:val="24"/>
          <w:szCs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27.3</w:t>
      </w:r>
      <w:r>
        <w:rPr>
          <w:rFonts w:hint="eastAsia" w:ascii="宋体" w:hAnsi="宋体"/>
          <w:color w:val="auto"/>
          <w:sz w:val="24"/>
          <w:szCs w:val="24"/>
          <w:highlight w:val="none"/>
        </w:rPr>
        <w:t>中标人必须在收到中标通知书后</w:t>
      </w:r>
      <w:r>
        <w:rPr>
          <w:rFonts w:ascii="宋体" w:hAnsi="宋体"/>
          <w:color w:val="auto"/>
          <w:sz w:val="24"/>
          <w:szCs w:val="24"/>
          <w:highlight w:val="none"/>
        </w:rPr>
        <w:t>24</w:t>
      </w:r>
      <w:r>
        <w:rPr>
          <w:rFonts w:hint="eastAsia" w:ascii="宋体" w:hAnsi="宋体"/>
          <w:color w:val="auto"/>
          <w:sz w:val="24"/>
          <w:szCs w:val="24"/>
          <w:highlight w:val="none"/>
        </w:rPr>
        <w:t>小时之内以书面形式回复招标人，确认收到。</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27.4在产生中标候选人后，招标人将中标候选人的投标文件商务部分文件的所有内容（包括人员、业绩、奖项等资料）在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交易平台和广东省招标投标监管网公开。</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28</w:t>
      </w:r>
      <w:r>
        <w:rPr>
          <w:rFonts w:hint="eastAsia" w:ascii="宋体" w:hAnsi="宋体"/>
          <w:b/>
          <w:bCs/>
          <w:color w:val="auto"/>
          <w:sz w:val="24"/>
          <w:szCs w:val="24"/>
          <w:highlight w:val="none"/>
        </w:rPr>
        <w:t>．合同协议书的签订</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28.1 </w:t>
      </w:r>
      <w:r>
        <w:rPr>
          <w:rFonts w:hint="eastAsia" w:ascii="宋体" w:hAnsi="宋体"/>
          <w:color w:val="auto"/>
          <w:sz w:val="24"/>
          <w:szCs w:val="24"/>
          <w:highlight w:val="none"/>
        </w:rPr>
        <w:t>招标人与中标人将于中标通知书发出之日起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28.2</w:t>
      </w:r>
      <w:r>
        <w:rPr>
          <w:rFonts w:hint="eastAsia" w:ascii="宋体" w:hAnsi="宋体"/>
          <w:color w:val="auto"/>
          <w:sz w:val="24"/>
          <w:szCs w:val="24"/>
          <w:highlight w:val="none"/>
        </w:rPr>
        <w:t>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28.3</w:t>
      </w:r>
      <w:r>
        <w:rPr>
          <w:rFonts w:hint="eastAsia" w:ascii="宋体" w:hAnsi="宋体"/>
          <w:color w:val="auto"/>
          <w:sz w:val="24"/>
          <w:szCs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28.4</w:t>
      </w:r>
      <w:r>
        <w:rPr>
          <w:rFonts w:hint="eastAsia" w:ascii="宋体" w:hAnsi="宋体"/>
          <w:color w:val="auto"/>
          <w:sz w:val="24"/>
          <w:szCs w:val="24"/>
          <w:highlight w:val="none"/>
        </w:rPr>
        <w:t>招标人支付工程款时，中标人应按规定开具发票。</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29</w:t>
      </w:r>
      <w:r>
        <w:rPr>
          <w:rFonts w:hint="eastAsia" w:ascii="宋体" w:hAnsi="宋体"/>
          <w:b/>
          <w:bCs/>
          <w:color w:val="auto"/>
          <w:sz w:val="24"/>
          <w:szCs w:val="24"/>
          <w:highlight w:val="none"/>
        </w:rPr>
        <w:t>．履约担保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29.1</w:t>
      </w:r>
      <w:r>
        <w:rPr>
          <w:rFonts w:hint="eastAsia" w:ascii="宋体" w:hAnsi="宋体"/>
          <w:color w:val="auto"/>
          <w:sz w:val="24"/>
          <w:szCs w:val="24"/>
          <w:highlight w:val="none"/>
        </w:rPr>
        <w:t>在收到中标通知书后的</w:t>
      </w:r>
      <w:r>
        <w:rPr>
          <w:rFonts w:ascii="宋体" w:hAnsi="宋体"/>
          <w:color w:val="auto"/>
          <w:sz w:val="24"/>
          <w:szCs w:val="24"/>
          <w:highlight w:val="none"/>
        </w:rPr>
        <w:t>15日内，中标人应按本须知前附表第20项的规定向招标人提交履约担保。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29.2</w:t>
      </w:r>
      <w:r>
        <w:rPr>
          <w:rFonts w:hint="eastAsia" w:ascii="宋体" w:hAnsi="宋体"/>
          <w:color w:val="auto"/>
          <w:sz w:val="24"/>
          <w:szCs w:val="24"/>
          <w:highlight w:val="none"/>
        </w:rPr>
        <w:t>中标通知书发出之日起</w:t>
      </w:r>
      <w:r>
        <w:rPr>
          <w:rFonts w:ascii="宋体" w:hAnsi="宋体"/>
          <w:color w:val="auto"/>
          <w:sz w:val="24"/>
          <w:szCs w:val="24"/>
          <w:highlight w:val="none"/>
        </w:rPr>
        <w:t>15</w:t>
      </w:r>
      <w:r>
        <w:rPr>
          <w:rFonts w:hint="eastAsia" w:ascii="宋体" w:hAnsi="宋体"/>
          <w:color w:val="auto"/>
          <w:sz w:val="24"/>
          <w:szCs w:val="24"/>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30</w:t>
      </w:r>
      <w:r>
        <w:rPr>
          <w:rFonts w:hint="eastAsia" w:ascii="宋体" w:hAnsi="宋体"/>
          <w:b/>
          <w:bCs/>
          <w:color w:val="auto"/>
          <w:sz w:val="24"/>
          <w:szCs w:val="24"/>
          <w:highlight w:val="none"/>
        </w:rPr>
        <w:t>．合同生效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30.1</w:t>
      </w:r>
      <w:r>
        <w:rPr>
          <w:rFonts w:hint="eastAsia" w:ascii="宋体" w:hAnsi="宋体"/>
          <w:color w:val="auto"/>
          <w:sz w:val="24"/>
          <w:szCs w:val="24"/>
          <w:highlight w:val="none"/>
        </w:rPr>
        <w:t>在合同双方全权代表在合同协议书上签字，并分别加盖双方单位的公章后，合同正式生效。</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31</w:t>
      </w:r>
      <w:r>
        <w:rPr>
          <w:rFonts w:hint="eastAsia" w:ascii="宋体" w:hAnsi="宋体"/>
          <w:b/>
          <w:bCs/>
          <w:color w:val="auto"/>
          <w:sz w:val="24"/>
          <w:szCs w:val="24"/>
          <w:highlight w:val="none"/>
        </w:rPr>
        <w:t>．其它费用</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32</w:t>
      </w:r>
      <w:r>
        <w:rPr>
          <w:rFonts w:hint="eastAsia" w:ascii="宋体" w:hAnsi="宋体"/>
          <w:b/>
          <w:bCs/>
          <w:color w:val="auto"/>
          <w:sz w:val="24"/>
          <w:szCs w:val="24"/>
          <w:highlight w:val="none"/>
        </w:rPr>
        <w:t>．腐败与欺诈行为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在招标和合同实施期间，招标人要求投标人和承包人遵守最高的道德标准。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对本条款的规定，特定义如下词汇：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）、“腐败行为”是指在招标或合同执行期间，通过提供、给予、接受或索要任何有价值的东西，从而影响招标人有关人员工作的行为；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如果投标人被认定在本招标的竞争中有腐败或欺诈行为，则会被取消投标资格。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3"/>
        <w:rPr>
          <w:rFonts w:ascii="宋体" w:hAnsi="宋体"/>
          <w:color w:val="auto"/>
          <w:highlight w:val="none"/>
        </w:rPr>
      </w:pPr>
      <w:r>
        <w:rPr>
          <w:rFonts w:ascii="宋体" w:hAnsi="宋体"/>
          <w:color w:val="auto"/>
          <w:sz w:val="24"/>
          <w:highlight w:val="none"/>
        </w:rPr>
        <w:br w:type="page"/>
      </w:r>
      <w:bookmarkStart w:id="58" w:name="_Toc17921"/>
      <w:bookmarkStart w:id="59" w:name="_Toc112397814"/>
      <w:bookmarkStart w:id="60" w:name="_Toc2272554"/>
      <w:bookmarkStart w:id="61" w:name="_Toc14092"/>
      <w:bookmarkStart w:id="62" w:name="_Toc24329"/>
      <w:bookmarkStart w:id="63" w:name="_Toc15285"/>
      <w:r>
        <w:rPr>
          <w:rFonts w:hint="eastAsia" w:ascii="宋体" w:hAnsi="宋体"/>
          <w:color w:val="auto"/>
          <w:highlight w:val="none"/>
        </w:rPr>
        <w:t>第二章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开标、评标及定标办法</w:t>
      </w:r>
      <w:bookmarkEnd w:id="58"/>
      <w:bookmarkEnd w:id="59"/>
      <w:bookmarkEnd w:id="60"/>
      <w:bookmarkEnd w:id="61"/>
      <w:bookmarkEnd w:id="62"/>
      <w:bookmarkEnd w:id="63"/>
    </w:p>
    <w:p>
      <w:pPr>
        <w:pStyle w:val="5"/>
        <w:rPr>
          <w:rFonts w:ascii="宋体" w:hAnsi="宋体"/>
          <w:color w:val="auto"/>
          <w:highlight w:val="none"/>
        </w:rPr>
      </w:pPr>
      <w:bookmarkStart w:id="64" w:name="_Toc2096"/>
      <w:bookmarkStart w:id="65" w:name="_Toc112397815"/>
      <w:bookmarkStart w:id="66" w:name="_Toc26516"/>
      <w:bookmarkStart w:id="67" w:name="_Toc10324"/>
      <w:bookmarkStart w:id="68" w:name="_Toc3798"/>
      <w:bookmarkStart w:id="69" w:name="_Toc2272555"/>
      <w:r>
        <w:rPr>
          <w:rFonts w:hint="eastAsia" w:ascii="宋体" w:hAnsi="宋体"/>
          <w:color w:val="auto"/>
          <w:sz w:val="28"/>
          <w:szCs w:val="28"/>
          <w:highlight w:val="none"/>
        </w:rPr>
        <w:t>一、</w:t>
      </w:r>
      <w:r>
        <w:rPr>
          <w:rFonts w:hint="eastAsia" w:ascii="宋体" w:hAnsi="宋体"/>
          <w:color w:val="auto"/>
          <w:highlight w:val="none"/>
        </w:rPr>
        <w:t>开标、评标及定标办法修改表</w:t>
      </w:r>
      <w:bookmarkEnd w:id="64"/>
      <w:bookmarkEnd w:id="65"/>
      <w:bookmarkEnd w:id="66"/>
      <w:bookmarkEnd w:id="67"/>
      <w:bookmarkEnd w:id="68"/>
    </w:p>
    <w:p>
      <w:pPr>
        <w:pStyle w:val="47"/>
        <w:pBdr>
          <w:bottom w:val="single" w:color="auto" w:sz="6" w:space="1"/>
        </w:pBdr>
        <w:spacing w:after="0" w:line="360" w:lineRule="auto"/>
        <w:rPr>
          <w:rFonts w:ascii="宋体" w:hAnsi="宋体" w:cs="宋体"/>
          <w:b/>
          <w:color w:val="auto"/>
          <w:szCs w:val="21"/>
          <w:highlight w:val="none"/>
        </w:rPr>
      </w:pPr>
      <w:r>
        <w:rPr>
          <w:rFonts w:hint="eastAsia" w:ascii="宋体" w:hAnsi="宋体" w:cs="宋体"/>
          <w:b/>
          <w:color w:val="auto"/>
          <w:szCs w:val="21"/>
          <w:highlight w:val="none"/>
        </w:rPr>
        <w:t>声明：本开标、评标及定标办法使用</w:t>
      </w:r>
      <w:r>
        <w:rPr>
          <w:rFonts w:ascii="宋体" w:hAnsi="宋体" w:cs="宋体"/>
          <w:b/>
          <w:color w:val="auto"/>
          <w:szCs w:val="21"/>
          <w:highlight w:val="none"/>
        </w:rPr>
        <w:t>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Fonts w:hint="eastAsia" w:ascii="宋体" w:hAnsi="宋体" w:cs="宋体"/>
          <w:b/>
          <w:color w:val="auto"/>
          <w:szCs w:val="21"/>
          <w:highlight w:val="none"/>
          <w:u w:val="single"/>
        </w:rPr>
        <w:t>网址：</w:t>
      </w:r>
      <w:r>
        <w:rPr>
          <w:rFonts w:ascii="宋体" w:hAnsi="宋体" w:cs="宋体"/>
          <w:b/>
          <w:color w:val="auto"/>
          <w:szCs w:val="21"/>
          <w:highlight w:val="none"/>
          <w:u w:val="single"/>
        </w:rPr>
        <w:t>http://zfcj.gz.gov.cn/</w:t>
      </w:r>
      <w:r>
        <w:rPr>
          <w:rStyle w:val="58"/>
          <w:rFonts w:hint="eastAsia" w:ascii="宋体" w:hAnsi="宋体" w:cs="宋体"/>
          <w:b/>
          <w:color w:val="auto"/>
          <w:szCs w:val="21"/>
          <w:highlight w:val="none"/>
          <w:u w:val="none"/>
        </w:rPr>
        <w:t>）下载</w:t>
      </w:r>
      <w:r>
        <w:rPr>
          <w:rStyle w:val="58"/>
          <w:rFonts w:ascii="宋体" w:hAnsi="宋体" w:cs="宋体"/>
          <w:b/>
          <w:color w:val="auto"/>
          <w:szCs w:val="21"/>
          <w:highlight w:val="none"/>
          <w:u w:val="none"/>
        </w:rPr>
        <w:t>GZZB2018-3</w:t>
      </w:r>
      <w:r>
        <w:rPr>
          <w:rStyle w:val="58"/>
          <w:rFonts w:ascii="宋体" w:hAnsi="宋体" w:cs="宋体"/>
          <w:b/>
          <w:color w:val="auto"/>
          <w:szCs w:val="21"/>
          <w:highlight w:val="none"/>
          <w:u w:val="none"/>
        </w:rPr>
        <w:fldChar w:fldCharType="end"/>
      </w:r>
      <w:r>
        <w:rPr>
          <w:rFonts w:hint="eastAsia" w:ascii="宋体" w:hAnsi="宋体" w:cs="宋体"/>
          <w:b/>
          <w:color w:val="auto"/>
          <w:szCs w:val="21"/>
          <w:highlight w:val="none"/>
        </w:rPr>
        <w:t>范本查阅。</w:t>
      </w:r>
    </w:p>
    <w:bookmarkEnd w:id="69"/>
    <w:p>
      <w:pPr>
        <w:spacing w:line="360" w:lineRule="auto"/>
        <w:ind w:firstLine="495" w:firstLineChars="235"/>
        <w:rPr>
          <w:rFonts w:ascii="宋体" w:hAnsi="宋体" w:cs="宋体"/>
          <w:b/>
          <w:color w:val="auto"/>
          <w:szCs w:val="21"/>
          <w:highlight w:val="none"/>
        </w:rPr>
      </w:pPr>
      <w:bookmarkStart w:id="70" w:name="_Hlk135490239"/>
      <w:bookmarkStart w:id="71" w:name="_Toc2272556"/>
      <w:r>
        <w:rPr>
          <w:rFonts w:hint="eastAsia" w:ascii="宋体" w:hAnsi="宋体" w:cs="宋体"/>
          <w:b/>
          <w:color w:val="auto"/>
          <w:szCs w:val="21"/>
          <w:highlight w:val="none"/>
        </w:rPr>
        <w:t>条款号：</w:t>
      </w:r>
      <w:r>
        <w:rPr>
          <w:rFonts w:ascii="宋体" w:hAnsi="宋体" w:cs="宋体"/>
          <w:b/>
          <w:color w:val="auto"/>
          <w:szCs w:val="21"/>
          <w:highlight w:val="none"/>
        </w:rPr>
        <w:t xml:space="preserve"> 36.1                       </w:t>
      </w:r>
      <w:r>
        <w:rPr>
          <w:rFonts w:hint="eastAsia" w:ascii="宋体" w:hAnsi="宋体" w:cs="宋体"/>
          <w:b/>
          <w:color w:val="auto"/>
          <w:szCs w:val="21"/>
          <w:highlight w:val="none"/>
        </w:rPr>
        <w:t>修改类型：修改</w:t>
      </w:r>
    </w:p>
    <w:p>
      <w:pPr>
        <w:spacing w:line="360" w:lineRule="auto"/>
        <w:ind w:firstLine="495" w:firstLineChars="23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36.1 </w:t>
      </w:r>
      <w:r>
        <w:rPr>
          <w:rFonts w:hint="eastAsia" w:ascii="宋体" w:hAnsi="宋体" w:cs="宋体"/>
          <w:color w:val="auto"/>
          <w:szCs w:val="21"/>
          <w:highlight w:val="none"/>
        </w:rPr>
        <w:t>招标人按投标须知前附表第</w:t>
      </w:r>
      <w:r>
        <w:rPr>
          <w:rFonts w:ascii="宋体" w:hAnsi="宋体" w:cs="宋体"/>
          <w:color w:val="auto"/>
          <w:szCs w:val="21"/>
          <w:highlight w:val="none"/>
        </w:rPr>
        <w:t>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36.1 </w:t>
      </w:r>
      <w:r>
        <w:rPr>
          <w:rFonts w:hint="eastAsia" w:ascii="宋体" w:hAnsi="宋体" w:cs="宋体"/>
          <w:color w:val="auto"/>
          <w:szCs w:val="21"/>
          <w:highlight w:val="none"/>
        </w:rPr>
        <w:t>招标人按投标须知前附表第</w:t>
      </w:r>
      <w:r>
        <w:rPr>
          <w:rFonts w:ascii="宋体" w:hAnsi="宋体" w:cs="宋体"/>
          <w:color w:val="auto"/>
          <w:szCs w:val="21"/>
          <w:highlight w:val="none"/>
        </w:rPr>
        <w:t>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r>
        <w:rPr>
          <w:rFonts w:hint="eastAsia" w:ascii="宋体" w:hAnsi="宋体" w:cs="宋体"/>
          <w:color w:val="auto"/>
          <w:szCs w:val="21"/>
          <w:highlight w:val="none"/>
        </w:rPr>
        <w:t>。</w:t>
      </w:r>
      <w:bookmarkEnd w:id="70"/>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36.3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36.5.1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36.5.1在投标截止时间后半小时内，投标人通过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36.5.1在投标截止时间后半小时内，投标人通过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交易平台对已递交的电子投标文件进行解密。投标人完成解密后，再由招标人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进行解密。解密完成后，公布招标项目名称、投标人名称</w:t>
      </w:r>
      <w:r>
        <w:rPr>
          <w:rFonts w:hint="eastAsia" w:ascii="宋体" w:hAnsi="宋体" w:cs="宋体"/>
          <w:strike/>
          <w:color w:val="auto"/>
          <w:szCs w:val="21"/>
          <w:highlight w:val="none"/>
        </w:rPr>
        <w:t>、投标保证金</w:t>
      </w:r>
      <w:r>
        <w:rPr>
          <w:rFonts w:hint="eastAsia" w:ascii="宋体" w:hAnsi="宋体" w:cs="宋体"/>
          <w:color w:val="auto"/>
          <w:szCs w:val="21"/>
          <w:highlight w:val="none"/>
        </w:rPr>
        <w:t>的递交情况、投标报价、工期及其他内容；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36.5.3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36.5.3</w:t>
      </w:r>
      <w:r>
        <w:rPr>
          <w:rFonts w:hint="eastAsia" w:ascii="宋体" w:hAnsi="宋体" w:cs="宋体"/>
          <w:color w:val="auto"/>
          <w:szCs w:val="21"/>
          <w:highlight w:val="none"/>
        </w:rPr>
        <w:t>投标人代表、招标人代表、监标人、记录人等有关人员在开标记录上签字确认；若有关人员不签字的，不影响开标程序；</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36.5.3</w:t>
      </w:r>
      <w:r>
        <w:rPr>
          <w:rFonts w:hint="eastAsia" w:ascii="宋体" w:hAnsi="宋体" w:cs="宋体"/>
          <w:color w:val="auto"/>
          <w:szCs w:val="21"/>
          <w:highlight w:val="none"/>
        </w:rPr>
        <w:t>投标人代表、招标人代表、监标人、记录人等有关人员在开标记录上签字确认；若有关人员不签字的，不影响开标程序；</w:t>
      </w:r>
      <w:r>
        <w:rPr>
          <w:rFonts w:hint="eastAsia" w:ascii="宋体" w:hAnsi="宋体" w:cs="宋体"/>
          <w:color w:val="auto"/>
          <w:szCs w:val="21"/>
          <w:highlight w:val="none"/>
          <w:u w:val="single"/>
        </w:rPr>
        <w:t>若投标人不参加开标会的，或不签字确认的，视同该投标人认可开标结果。</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37.2.2                      </w:t>
      </w:r>
      <w:r>
        <w:rPr>
          <w:rFonts w:hint="eastAsia" w:ascii="宋体" w:hAnsi="宋体" w:cs="宋体"/>
          <w:b/>
          <w:color w:val="auto"/>
          <w:szCs w:val="21"/>
          <w:highlight w:val="none"/>
        </w:rPr>
        <w:t>修改类型：修改</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37.2.2向招标人报告评审意见，推荐合格的中标候选人。</w:t>
      </w:r>
    </w:p>
    <w:p>
      <w:pPr>
        <w:pBdr>
          <w:bottom w:val="single" w:color="auto" w:sz="6" w:space="1"/>
        </w:pBdr>
        <w:spacing w:line="360" w:lineRule="auto"/>
        <w:ind w:firstLine="527" w:firstLineChars="250"/>
        <w:rPr>
          <w:rFonts w:hint="default" w:ascii="宋体" w:hAnsi="宋体" w:eastAsia="宋体" w:cs="宋体"/>
          <w:color w:val="auto"/>
          <w:szCs w:val="21"/>
          <w:highlight w:val="none"/>
          <w:lang w:val="en-US" w:eastAsia="zh-CN"/>
        </w:rPr>
      </w:pPr>
      <w:r>
        <w:rPr>
          <w:rFonts w:hint="eastAsia" w:ascii="宋体" w:hAnsi="宋体" w:cs="宋体"/>
          <w:b/>
          <w:color w:val="auto"/>
          <w:szCs w:val="21"/>
          <w:highlight w:val="none"/>
        </w:rPr>
        <w:t>现文：</w:t>
      </w:r>
      <w:r>
        <w:rPr>
          <w:rFonts w:ascii="宋体" w:hAnsi="宋体" w:cs="宋体"/>
          <w:color w:val="auto"/>
          <w:szCs w:val="21"/>
          <w:highlight w:val="none"/>
        </w:rPr>
        <w:t>37.2.2向招标人报告评审意见，</w:t>
      </w:r>
      <w:r>
        <w:rPr>
          <w:rFonts w:hint="eastAsia" w:ascii="宋体" w:hAnsi="宋体" w:cs="宋体"/>
          <w:color w:val="auto"/>
          <w:szCs w:val="21"/>
          <w:highlight w:val="none"/>
          <w:u w:val="single"/>
        </w:rPr>
        <w:t>评标委员会按照第二阶段的排序推荐</w:t>
      </w:r>
      <w:r>
        <w:rPr>
          <w:rFonts w:ascii="宋体" w:hAnsi="宋体" w:cs="宋体"/>
          <w:color w:val="auto"/>
          <w:szCs w:val="21"/>
          <w:highlight w:val="none"/>
          <w:u w:val="single"/>
        </w:rPr>
        <w:t>前</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名（通过经济标有效性审查家数在[3,</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]的，以实际家数为准；超过</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家的，则只推荐</w:t>
      </w:r>
      <w:r>
        <w:rPr>
          <w:rFonts w:hint="eastAsia" w:ascii="宋体" w:hAnsi="宋体" w:cs="宋体"/>
          <w:color w:val="auto"/>
          <w:szCs w:val="21"/>
          <w:highlight w:val="none"/>
          <w:u w:val="single"/>
          <w:lang w:eastAsia="zh-CN"/>
        </w:rPr>
        <w:t>前</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38.1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38.1为有助于投标文件的审查、评价和比较，评标期间，经评标委员会或评标委员会专业评审组中两人以上（含两人）</w:t>
      </w:r>
      <w:r>
        <w:rPr>
          <w:rFonts w:hint="eastAsia" w:ascii="宋体" w:hAnsi="宋体" w:cs="宋体"/>
          <w:color w:val="auto"/>
          <w:szCs w:val="21"/>
          <w:highlight w:val="none"/>
          <w:u w:val="single"/>
        </w:rPr>
        <w:t>的成员</w:t>
      </w:r>
      <w:r>
        <w:rPr>
          <w:rFonts w:hint="eastAsia" w:ascii="宋体" w:hAnsi="宋体" w:cs="宋体"/>
          <w:color w:val="auto"/>
          <w:szCs w:val="21"/>
          <w:highlight w:val="none"/>
        </w:rPr>
        <w:t>以书面形式提出动议，评标委员会或评标委员会专业评审组应当书面发出澄清通知，要求投标人对投标文件含义不明确</w:t>
      </w:r>
      <w:r>
        <w:rPr>
          <w:rFonts w:hint="eastAsia" w:ascii="宋体" w:hAnsi="宋体" w:cs="宋体"/>
          <w:color w:val="auto"/>
          <w:szCs w:val="21"/>
          <w:highlight w:val="none"/>
          <w:u w:val="single"/>
        </w:rPr>
        <w:t>、对同类问题表述不一致、有明显文字和计算错误的内容以及细微偏差</w:t>
      </w:r>
      <w:r>
        <w:rPr>
          <w:rFonts w:hint="eastAsia" w:ascii="宋体" w:hAnsi="宋体" w:cs="宋体"/>
          <w:color w:val="auto"/>
          <w:szCs w:val="21"/>
          <w:highlight w:val="none"/>
        </w:rPr>
        <w:t>的内容作出澄清。</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条款号：38.5                               修改类型：修改</w:t>
      </w:r>
    </w:p>
    <w:p>
      <w:pPr>
        <w:pBdr>
          <w:bottom w:val="single" w:color="auto" w:sz="6" w:space="1"/>
        </w:pBdr>
        <w:spacing w:line="360" w:lineRule="auto"/>
        <w:ind w:firstLine="404" w:firstLineChars="201"/>
        <w:rPr>
          <w:rFonts w:ascii="宋体" w:hAnsi="宋体" w:cs="宋体"/>
          <w:color w:val="auto"/>
          <w:szCs w:val="21"/>
          <w:highlight w:val="none"/>
        </w:rPr>
      </w:pPr>
      <w:r>
        <w:rPr>
          <w:rFonts w:hint="eastAsia" w:ascii="宋体" w:hAnsi="宋体" w:cs="宋体"/>
          <w:b/>
          <w:color w:val="auto"/>
          <w:sz w:val="20"/>
          <w:szCs w:val="20"/>
          <w:highlight w:val="none"/>
        </w:rPr>
        <w:t>原文：</w:t>
      </w:r>
      <w:r>
        <w:rPr>
          <w:rFonts w:hint="eastAsia" w:ascii="宋体" w:hAnsi="宋体"/>
          <w:color w:val="auto"/>
          <w:sz w:val="22"/>
          <w:highlight w:val="none"/>
        </w:rPr>
        <w:t>3</w:t>
      </w:r>
      <w:r>
        <w:rPr>
          <w:rFonts w:hint="eastAsia" w:ascii="宋体" w:hAnsi="宋体" w:cs="宋体"/>
          <w:color w:val="auto"/>
          <w:szCs w:val="21"/>
          <w:highlight w:val="none"/>
        </w:rPr>
        <w:t>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pBdr>
          <w:bottom w:val="single" w:color="auto" w:sz="6" w:space="1"/>
        </w:pBdr>
        <w:spacing w:line="360" w:lineRule="auto"/>
        <w:ind w:firstLine="404" w:firstLineChars="201"/>
        <w:rPr>
          <w:rFonts w:ascii="宋体" w:hAnsi="宋体" w:cs="宋体"/>
          <w:color w:val="auto"/>
          <w:szCs w:val="21"/>
          <w:highlight w:val="none"/>
          <w:u w:val="single"/>
        </w:rPr>
      </w:pPr>
      <w:r>
        <w:rPr>
          <w:rFonts w:hint="eastAsia" w:ascii="宋体" w:hAnsi="宋体" w:cs="宋体"/>
          <w:b/>
          <w:color w:val="auto"/>
          <w:sz w:val="20"/>
          <w:szCs w:val="20"/>
          <w:highlight w:val="none"/>
        </w:rPr>
        <w:t>现文：</w:t>
      </w:r>
      <w:r>
        <w:rPr>
          <w:rFonts w:hint="eastAsia" w:ascii="宋体" w:hAnsi="宋体" w:cs="宋体"/>
          <w:color w:val="auto"/>
          <w:szCs w:val="21"/>
          <w:highlight w:val="none"/>
        </w:rPr>
        <w:t>38.5</w:t>
      </w:r>
      <w:r>
        <w:rPr>
          <w:rFonts w:hint="eastAsia" w:ascii="宋体" w:hAnsi="宋体" w:cs="宋体"/>
          <w:color w:val="auto"/>
          <w:szCs w:val="21"/>
          <w:highlight w:val="none"/>
          <w:u w:val="single"/>
        </w:rPr>
        <w:t>投标人如在本项目中存在串通投标、弄虚作假、行贿情形且在评标或定标过程中未被发现的，该投标不改变本项目评标结果排序，若在定标过程中被确定为中标人，其中标无效，招标人可从其他合格中标候选人中采用原定标办法，由原定标委员会重新确定中标人，也可以重新招标</w:t>
      </w:r>
      <w:r>
        <w:rPr>
          <w:rFonts w:hint="eastAsia" w:ascii="宋体" w:hAnsi="宋体" w:cs="宋体"/>
          <w:color w:val="auto"/>
          <w:sz w:val="20"/>
          <w:szCs w:val="20"/>
          <w:highlight w:val="none"/>
          <w:u w:val="singl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39                                </w:t>
      </w:r>
      <w:r>
        <w:rPr>
          <w:rFonts w:hint="eastAsia" w:ascii="宋体" w:hAnsi="宋体" w:cs="宋体"/>
          <w:b/>
          <w:color w:val="auto"/>
          <w:szCs w:val="21"/>
          <w:highlight w:val="none"/>
        </w:rPr>
        <w:t>修改类型：删除</w:t>
      </w:r>
    </w:p>
    <w:p>
      <w:pPr>
        <w:spacing w:line="360" w:lineRule="auto"/>
        <w:ind w:firstLine="424" w:firstLineChars="201"/>
        <w:rPr>
          <w:rFonts w:ascii="宋体" w:hAnsi="宋体" w:cs="宋体"/>
          <w:b/>
          <w:bCs/>
          <w:color w:val="auto"/>
          <w:szCs w:val="21"/>
          <w:highlight w:val="none"/>
        </w:rPr>
      </w:pPr>
      <w:r>
        <w:rPr>
          <w:rFonts w:hint="eastAsia" w:ascii="宋体" w:hAnsi="宋体"/>
          <w:b/>
          <w:bCs/>
          <w:color w:val="auto"/>
          <w:szCs w:val="21"/>
          <w:highlight w:val="none"/>
        </w:rPr>
        <w:t>原文：</w:t>
      </w:r>
      <w:r>
        <w:rPr>
          <w:rFonts w:ascii="宋体" w:hAnsi="宋体" w:cs="宋体"/>
          <w:b/>
          <w:bCs/>
          <w:color w:val="auto"/>
          <w:szCs w:val="21"/>
          <w:highlight w:val="none"/>
        </w:rPr>
        <w:t>39．定标</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39.1招标人根据评标委员会递交的评标报告，最终审定中标人。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39.2依法必须进行公开招标的项目，招标人应当确定排名第一的中标候选人为中标人。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39.5重新评标的，评标信息（含业绩、奖项等）仍以投标截止时投标人的信息为准。因特殊原因需要延长投标有效期，投标人拒绝延长投标有效期的，仍参与评标，但不被推荐为中标候选人。</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条款号：（二）开标评标办法程序和细则　注</w:t>
      </w:r>
      <w:r>
        <w:rPr>
          <w:rFonts w:ascii="宋体" w:hAnsi="宋体" w:cs="宋体"/>
          <w:b/>
          <w:color w:val="auto"/>
          <w:szCs w:val="21"/>
          <w:highlight w:val="none"/>
        </w:rPr>
        <w:t xml:space="preserve">       </w:t>
      </w:r>
      <w:r>
        <w:rPr>
          <w:rFonts w:hint="eastAsia" w:ascii="宋体" w:hAnsi="宋体" w:cs="宋体"/>
          <w:b/>
          <w:color w:val="auto"/>
          <w:szCs w:val="21"/>
          <w:highlight w:val="none"/>
        </w:rPr>
        <w:t>　修改类型：删除</w:t>
      </w:r>
    </w:p>
    <w:p>
      <w:pPr>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原文：</w:t>
      </w:r>
      <w:r>
        <w:rPr>
          <w:rFonts w:hint="eastAsia" w:ascii="宋体" w:hAnsi="宋体"/>
          <w:color w:val="auto"/>
          <w:szCs w:val="21"/>
          <w:highlight w:val="none"/>
        </w:rPr>
        <w:t>（二）开标评标办法程序和细则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注：以下七种评标办法所述企业综合诚信评价分数即投标截止当日广州市工程招标代理行业协会网站上公布的企业综合诚信评价</w:t>
      </w:r>
      <w:r>
        <w:rPr>
          <w:rFonts w:ascii="宋体" w:hAnsi="宋体" w:cs="宋体"/>
          <w:color w:val="auto"/>
          <w:szCs w:val="21"/>
          <w:highlight w:val="none"/>
        </w:rPr>
        <w:t>60</w:t>
      </w:r>
      <w:r>
        <w:rPr>
          <w:rFonts w:hint="eastAsia" w:ascii="宋体" w:hAnsi="宋体" w:cs="宋体"/>
          <w:color w:val="auto"/>
          <w:szCs w:val="21"/>
          <w:highlight w:val="none"/>
        </w:rPr>
        <w:t>日诚信分。</w:t>
      </w:r>
    </w:p>
    <w:p>
      <w:pPr>
        <w:pBdr>
          <w:bottom w:val="single" w:color="auto" w:sz="6" w:space="1"/>
        </w:pBdr>
        <w:spacing w:line="360" w:lineRule="auto"/>
        <w:ind w:firstLine="472" w:firstLineChars="224"/>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（二）开标评标办法程序和细则</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可选办法一（适合综合评分法一，技术标与经济标先后分别开启）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可选办法二（适合综合评分法一，技术标与经济标同时开启）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可选办法三（适合综合评分法二，技术标与经济标先后分别开启）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可选办法四（适合综合评分法二，技术标与经济标同时开启）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可选办法五（适合综合评分法三，技术标与经济标先后分别开启）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可选办法七（适合综合评分法四，技术标与经济标同时开启）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 w:val="18"/>
          <w:szCs w:val="18"/>
          <w:highlight w:val="none"/>
        </w:rPr>
        <w:t>可选办法八（适合经评审的最低投标价法，技术标与经济标同时开启）</w:t>
      </w:r>
      <w:r>
        <w:rPr>
          <w:rFonts w:ascii="宋体" w:hAnsi="宋体" w:cs="宋体"/>
          <w:color w:val="auto"/>
          <w:sz w:val="18"/>
          <w:szCs w:val="18"/>
          <w:highlight w:val="none"/>
        </w:rPr>
        <w:t xml:space="preserve">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40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40．开标和评标程序：</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40.1投标人递交技术标、经济标投标文件；</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40.2技术标与经济标投标文件同时公开开标；</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40.3由评标委员会对所有已公开开标的投标人进行资格审查；</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40.4技术标投标文件有效性审查；</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40.5技术标详细审查评分；</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 xml:space="preserve">40.6计算第一阶段得分，并按照总分从高到低排列先后次序，编写第一阶段评审报告； </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40.7按投标须知前附表第25项规定，确定进入第二阶段评审的投标人；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40.8将进入第二阶段评审的投标人进行排序；</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40.9按排序对经济标投标文件进行有效性审查（含投标报价算术校核），直至评出所有中标候选人；</w:t>
      </w:r>
    </w:p>
    <w:p>
      <w:pPr>
        <w:spacing w:line="360" w:lineRule="auto"/>
        <w:ind w:firstLine="422" w:firstLineChars="201"/>
        <w:rPr>
          <w:rFonts w:ascii="宋体" w:hAnsi="宋体" w:cs="宋体"/>
          <w:b/>
          <w:color w:val="auto"/>
          <w:szCs w:val="21"/>
          <w:highlight w:val="none"/>
        </w:rPr>
      </w:pPr>
      <w:r>
        <w:rPr>
          <w:rFonts w:ascii="宋体" w:hAnsi="宋体" w:cs="宋体"/>
          <w:color w:val="auto"/>
          <w:szCs w:val="21"/>
          <w:highlight w:val="none"/>
        </w:rPr>
        <w:t>40.10评标委员会编写评标报告，向招标人推荐中标候选人名单。</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40．开标和评标程序：</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40.1投标人递交技术标、经济标投标文件；</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40.2技术标与经济标投标文件同时公开开标；</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40.3由评标委员会对所有已公开开标的投标人进行资格审查</w:t>
      </w:r>
      <w:r>
        <w:rPr>
          <w:rFonts w:hint="eastAsia" w:ascii="宋体" w:hAnsi="宋体" w:cs="宋体"/>
          <w:color w:val="auto"/>
          <w:szCs w:val="21"/>
          <w:highlight w:val="none"/>
          <w:u w:val="single"/>
        </w:rPr>
        <w:t>，并编写资格审查报告</w:t>
      </w:r>
      <w:r>
        <w:rPr>
          <w:rFonts w:hint="eastAsia" w:ascii="宋体" w:hAnsi="宋体" w:cs="宋体"/>
          <w:color w:val="auto"/>
          <w:szCs w:val="21"/>
          <w:highlight w:val="none"/>
        </w:rPr>
        <w:t>；</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40.4技术标投标文件有效性审查；</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40.5技术标详细审查评分；</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40.6</w:t>
      </w:r>
      <w:r>
        <w:rPr>
          <w:rFonts w:hint="eastAsia" w:ascii="宋体" w:hAnsi="宋体" w:cs="宋体"/>
          <w:color w:val="auto"/>
          <w:szCs w:val="21"/>
          <w:highlight w:val="none"/>
          <w:u w:val="single"/>
        </w:rPr>
        <w:t>按投标须知前附表第</w:t>
      </w:r>
      <w:r>
        <w:rPr>
          <w:rFonts w:ascii="宋体" w:hAnsi="宋体" w:cs="宋体"/>
          <w:color w:val="auto"/>
          <w:szCs w:val="21"/>
          <w:highlight w:val="none"/>
          <w:u w:val="single"/>
        </w:rPr>
        <w:t>19项规定</w:t>
      </w:r>
      <w:r>
        <w:rPr>
          <w:rFonts w:hint="eastAsia" w:ascii="宋体" w:hAnsi="宋体" w:cs="宋体"/>
          <w:color w:val="auto"/>
          <w:szCs w:val="21"/>
          <w:highlight w:val="none"/>
        </w:rPr>
        <w:t>计算第一阶段得分，并按照总分从高到低排列先后次序，编写第一阶段评审报告；</w:t>
      </w:r>
      <w:r>
        <w:rPr>
          <w:rFonts w:ascii="宋体" w:hAnsi="宋体" w:cs="宋体"/>
          <w:color w:val="auto"/>
          <w:szCs w:val="21"/>
          <w:highlight w:val="none"/>
        </w:rPr>
        <w:t xml:space="preserve"> </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40.7</w:t>
      </w:r>
      <w:r>
        <w:rPr>
          <w:rFonts w:hint="eastAsia" w:ascii="宋体" w:hAnsi="宋体" w:cs="宋体"/>
          <w:color w:val="auto"/>
          <w:szCs w:val="21"/>
          <w:highlight w:val="none"/>
          <w:u w:val="single"/>
        </w:rPr>
        <w:t>按投标须知前附表第</w:t>
      </w:r>
      <w:r>
        <w:rPr>
          <w:rFonts w:hint="eastAsia" w:ascii="宋体" w:hAnsi="宋体" w:cs="宋体"/>
          <w:color w:val="auto"/>
          <w:szCs w:val="21"/>
          <w:highlight w:val="none"/>
          <w:u w:val="single"/>
          <w:lang w:val="en-US" w:eastAsia="zh-CN"/>
        </w:rPr>
        <w:t>25</w:t>
      </w:r>
      <w:r>
        <w:rPr>
          <w:rFonts w:ascii="宋体" w:hAnsi="宋体" w:cs="宋体"/>
          <w:color w:val="auto"/>
          <w:szCs w:val="21"/>
          <w:highlight w:val="none"/>
          <w:u w:val="single"/>
        </w:rPr>
        <w:t>项规定</w:t>
      </w:r>
      <w:r>
        <w:rPr>
          <w:rFonts w:ascii="宋体" w:hAnsi="宋体" w:cs="宋体"/>
          <w:color w:val="auto"/>
          <w:szCs w:val="21"/>
          <w:highlight w:val="none"/>
        </w:rPr>
        <w:t>，确定进入第二阶段评审的投标人；</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u w:val="single"/>
        </w:rPr>
        <w:t>40.8</w:t>
      </w:r>
      <w:r>
        <w:rPr>
          <w:rFonts w:hint="eastAsia" w:ascii="宋体" w:hAnsi="宋体" w:cs="宋体"/>
          <w:bCs/>
          <w:color w:val="auto"/>
          <w:szCs w:val="21"/>
          <w:highlight w:val="none"/>
          <w:u w:val="single"/>
        </w:rPr>
        <w:t>经济标详细审查评分</w:t>
      </w:r>
      <w:r>
        <w:rPr>
          <w:rFonts w:hint="eastAsia" w:ascii="宋体" w:hAnsi="宋体" w:cs="宋体"/>
          <w:color w:val="auto"/>
          <w:szCs w:val="21"/>
          <w:highlight w:val="none"/>
          <w:u w:val="single"/>
        </w:rPr>
        <w:t>；</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u w:val="single"/>
        </w:rPr>
        <w:t>40.9对进入第二阶段的投标人按投标须知前附表第19项规定计算第二阶段得分并排序；</w:t>
      </w:r>
    </w:p>
    <w:p>
      <w:pPr>
        <w:pBdr>
          <w:bottom w:val="single" w:color="auto" w:sz="6" w:space="1"/>
        </w:pBdr>
        <w:spacing w:line="360" w:lineRule="auto"/>
        <w:ind w:firstLine="470" w:firstLineChars="224"/>
        <w:rPr>
          <w:rFonts w:ascii="宋体" w:hAnsi="宋体" w:cs="宋体"/>
          <w:color w:val="auto"/>
          <w:szCs w:val="21"/>
          <w:highlight w:val="none"/>
        </w:rPr>
      </w:pPr>
      <w:r>
        <w:rPr>
          <w:rFonts w:ascii="宋体" w:hAnsi="宋体" w:cs="宋体"/>
          <w:color w:val="auto"/>
          <w:szCs w:val="21"/>
          <w:highlight w:val="none"/>
        </w:rPr>
        <w:t>40.10</w:t>
      </w:r>
      <w:r>
        <w:rPr>
          <w:rFonts w:hint="eastAsia" w:ascii="宋体" w:hAnsi="宋体" w:cs="宋体"/>
          <w:bCs/>
          <w:color w:val="auto"/>
          <w:szCs w:val="21"/>
          <w:highlight w:val="none"/>
        </w:rPr>
        <w:t>经济标投标文件有效性审查</w:t>
      </w:r>
      <w:r>
        <w:rPr>
          <w:rFonts w:hint="eastAsia" w:ascii="宋体" w:hAnsi="宋体" w:cs="宋体"/>
          <w:color w:val="auto"/>
          <w:szCs w:val="21"/>
          <w:highlight w:val="none"/>
        </w:rPr>
        <w:t>；</w:t>
      </w:r>
    </w:p>
    <w:p>
      <w:pPr>
        <w:pBdr>
          <w:bottom w:val="single" w:color="auto" w:sz="6" w:space="1"/>
        </w:pBdr>
        <w:spacing w:line="360" w:lineRule="auto"/>
        <w:ind w:firstLine="422" w:firstLineChars="201"/>
        <w:rPr>
          <w:rFonts w:hAnsi="宋体" w:cs="宋体"/>
          <w:color w:val="auto"/>
          <w:szCs w:val="21"/>
          <w:highlight w:val="none"/>
          <w:u w:val="single"/>
        </w:rPr>
      </w:pPr>
      <w:r>
        <w:rPr>
          <w:rFonts w:ascii="宋体" w:hAnsi="宋体" w:cs="宋体"/>
          <w:color w:val="auto"/>
          <w:szCs w:val="21"/>
          <w:highlight w:val="none"/>
          <w:u w:val="single"/>
        </w:rPr>
        <w:t>40.11</w:t>
      </w:r>
      <w:r>
        <w:rPr>
          <w:rFonts w:hint="eastAsia" w:ascii="宋体" w:hAnsi="宋体" w:cs="宋体"/>
          <w:bCs/>
          <w:color w:val="auto"/>
          <w:szCs w:val="21"/>
          <w:highlight w:val="none"/>
          <w:u w:val="single"/>
        </w:rPr>
        <w:t>评标委员会编写资格审查报告以及评标报告，</w:t>
      </w:r>
      <w:r>
        <w:rPr>
          <w:rFonts w:hint="eastAsia" w:ascii="宋体" w:hAnsi="宋体"/>
          <w:color w:val="auto"/>
          <w:szCs w:val="21"/>
          <w:highlight w:val="none"/>
          <w:u w:val="single"/>
        </w:rPr>
        <w:t>评标委员会按照第二阶段的排序</w:t>
      </w:r>
      <w:r>
        <w:rPr>
          <w:rFonts w:hint="eastAsia" w:ascii="宋体" w:hAnsi="宋体" w:cs="宋体"/>
          <w:bCs/>
          <w:color w:val="auto"/>
          <w:szCs w:val="21"/>
          <w:highlight w:val="none"/>
          <w:u w:val="single"/>
        </w:rPr>
        <w:t>推荐</w:t>
      </w:r>
      <w:r>
        <w:rPr>
          <w:rFonts w:hint="eastAsia" w:ascii="宋体" w:hAnsi="宋体" w:cs="宋体"/>
          <w:bCs/>
          <w:color w:val="auto"/>
          <w:szCs w:val="21"/>
          <w:highlight w:val="none"/>
          <w:u w:val="single"/>
          <w:lang w:eastAsia="zh-CN"/>
        </w:rPr>
        <w:t>前</w:t>
      </w:r>
      <w:r>
        <w:rPr>
          <w:rFonts w:hint="eastAsia" w:ascii="宋体" w:hAnsi="宋体" w:cs="宋体"/>
          <w:bCs/>
          <w:color w:val="auto"/>
          <w:szCs w:val="21"/>
          <w:highlight w:val="none"/>
          <w:u w:val="single"/>
          <w:lang w:val="en-US" w:eastAsia="zh-CN"/>
        </w:rPr>
        <w:t>9</w:t>
      </w:r>
      <w:r>
        <w:rPr>
          <w:rFonts w:ascii="宋体" w:hAnsi="宋体" w:cs="宋体"/>
          <w:bCs/>
          <w:color w:val="auto"/>
          <w:szCs w:val="21"/>
          <w:highlight w:val="none"/>
          <w:u w:val="single"/>
        </w:rPr>
        <w:t>名</w:t>
      </w:r>
      <w:r>
        <w:rPr>
          <w:rFonts w:hint="eastAsia" w:ascii="宋体" w:hAnsi="宋体" w:cs="宋体"/>
          <w:color w:val="auto"/>
          <w:szCs w:val="21"/>
          <w:highlight w:val="none"/>
          <w:u w:val="single"/>
        </w:rPr>
        <w:t>（通过经济标有效性审查家数在</w:t>
      </w:r>
      <w:r>
        <w:rPr>
          <w:rFonts w:ascii="宋体" w:hAnsi="宋体" w:cs="宋体"/>
          <w:color w:val="auto"/>
          <w:szCs w:val="21"/>
          <w:highlight w:val="none"/>
          <w:u w:val="single"/>
        </w:rPr>
        <w:t>[3,</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]的，以实际家数为准；超过</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家的，则只推荐</w:t>
      </w:r>
      <w:r>
        <w:rPr>
          <w:rFonts w:hint="eastAsia" w:ascii="宋体" w:hAnsi="宋体" w:cs="宋体"/>
          <w:color w:val="auto"/>
          <w:szCs w:val="21"/>
          <w:highlight w:val="none"/>
          <w:u w:val="single"/>
          <w:lang w:val="en-US" w:eastAsia="zh-CN"/>
        </w:rPr>
        <w:t>前9</w:t>
      </w:r>
      <w:r>
        <w:rPr>
          <w:rFonts w:ascii="宋体" w:hAnsi="宋体" w:cs="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41.1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41.1开标由招标人主持；</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41.2.1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41.2.1投标截止期前，各投标人递交投标文件（包括技术标投标文件、经济标投标文件）至</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交易平台。有关投标文件提交的事项详见第一章投标须知。</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41.2.1投标截止期前，各投标人递交投标文件（包括</w:t>
      </w:r>
      <w:r>
        <w:rPr>
          <w:rFonts w:hint="eastAsia" w:ascii="宋体" w:hAnsi="宋体" w:cs="宋体"/>
          <w:color w:val="auto"/>
          <w:szCs w:val="21"/>
          <w:highlight w:val="none"/>
          <w:u w:val="single"/>
        </w:rPr>
        <w:t>技术标投标文件（含资格审查文件）</w:t>
      </w:r>
      <w:r>
        <w:rPr>
          <w:rFonts w:hint="eastAsia" w:ascii="宋体" w:hAnsi="宋体" w:cs="宋体"/>
          <w:color w:val="auto"/>
          <w:szCs w:val="21"/>
          <w:highlight w:val="none"/>
        </w:rPr>
        <w:t>、经济标投标文件）</w:t>
      </w:r>
      <w:r>
        <w:rPr>
          <w:rFonts w:hint="eastAsia" w:ascii="宋体" w:hAnsi="宋体" w:cs="宋体"/>
          <w:color w:val="auto"/>
          <w:szCs w:val="21"/>
          <w:highlight w:val="none"/>
          <w:lang w:eastAsia="zh-CN"/>
        </w:rPr>
        <w:t>、定标文件</w:t>
      </w:r>
      <w:r>
        <w:rPr>
          <w:rFonts w:hint="eastAsia" w:ascii="宋体" w:hAnsi="宋体" w:cs="宋体"/>
          <w:color w:val="auto"/>
          <w:szCs w:val="21"/>
          <w:highlight w:val="none"/>
        </w:rPr>
        <w:t>至</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交易平台。有关投标文件提交的事项详见第一章投标须知。</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41.3.1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41.3.1开标时，公布：a、投标人名称；b、投标文件密封情况；c、投标报价；</w:t>
      </w:r>
      <w:r>
        <w:rPr>
          <w:rFonts w:ascii="宋体" w:hAnsi="宋体" w:cs="宋体"/>
          <w:strike/>
          <w:color w:val="auto"/>
          <w:szCs w:val="21"/>
          <w:highlight w:val="none"/>
        </w:rPr>
        <w:t>d、投标保证金；</w:t>
      </w:r>
      <w:r>
        <w:rPr>
          <w:rFonts w:ascii="宋体" w:hAnsi="宋体" w:cs="宋体"/>
          <w:color w:val="auto"/>
          <w:szCs w:val="21"/>
          <w:highlight w:val="none"/>
        </w:rPr>
        <w:t>e、项目经理（负责人）名称；f、法定代表人证明及授权委托等主要内容及开标记录表中的其他必要内容。投标报价以数字和文字两种方式表述的，应公布文字表述的投标报价。</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41.4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41.4招标人对开标过程进行记录，并存档备查，投标人在开标记录上签字。</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41.4</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或招标代理机构</w:t>
      </w:r>
      <w:r>
        <w:rPr>
          <w:rFonts w:hint="eastAsia" w:ascii="宋体" w:hAnsi="宋体" w:cs="宋体"/>
          <w:color w:val="auto"/>
          <w:szCs w:val="21"/>
          <w:highlight w:val="none"/>
        </w:rPr>
        <w:t>对开标过程进行记录，并存档备查，</w:t>
      </w:r>
      <w:r>
        <w:rPr>
          <w:rFonts w:hint="eastAsia" w:ascii="宋体" w:hAnsi="宋体" w:cs="宋体"/>
          <w:color w:val="auto"/>
          <w:szCs w:val="21"/>
          <w:highlight w:val="none"/>
          <w:u w:val="single"/>
        </w:rPr>
        <w:t>参加开标会的</w:t>
      </w:r>
      <w:r>
        <w:rPr>
          <w:rFonts w:hint="eastAsia" w:ascii="宋体" w:hAnsi="宋体" w:cs="宋体"/>
          <w:color w:val="auto"/>
          <w:szCs w:val="21"/>
          <w:highlight w:val="none"/>
        </w:rPr>
        <w:t>投标人在开标记录上签字。</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42.1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42.1</w:t>
      </w:r>
      <w:r>
        <w:rPr>
          <w:rFonts w:hint="eastAsia" w:ascii="宋体" w:hAnsi="宋体" w:cs="宋体"/>
          <w:color w:val="auto"/>
          <w:szCs w:val="21"/>
          <w:highlight w:val="none"/>
        </w:rPr>
        <w:t>评标委员会的组成：方式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42.1</w:t>
      </w:r>
      <w:r>
        <w:rPr>
          <w:rFonts w:hint="eastAsia" w:ascii="宋体" w:hAnsi="宋体" w:cs="宋体"/>
          <w:color w:val="auto"/>
          <w:szCs w:val="21"/>
          <w:highlight w:val="none"/>
        </w:rPr>
        <w:t>评标委员会的组成：方式</w:t>
      </w:r>
      <w:r>
        <w:rPr>
          <w:rFonts w:hint="eastAsia" w:ascii="宋体" w:hAnsi="宋体" w:cs="宋体"/>
          <w:color w:val="auto"/>
          <w:szCs w:val="21"/>
          <w:highlight w:val="none"/>
          <w:u w:val="single"/>
        </w:rPr>
        <w:t>一：评标委员会为综合评标委员会，负责资格审查及评标工作。</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42.3.2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42.3.2</w:t>
      </w:r>
      <w:r>
        <w:rPr>
          <w:rFonts w:ascii="宋体" w:hAnsi="宋体"/>
          <w:color w:val="auto"/>
          <w:szCs w:val="21"/>
          <w:highlight w:val="none"/>
          <w:u w:val="single"/>
        </w:rPr>
        <w:t xml:space="preserve">     </w:t>
      </w:r>
      <w:r>
        <w:rPr>
          <w:rFonts w:hint="eastAsia" w:ascii="宋体" w:hAnsi="宋体"/>
          <w:color w:val="auto"/>
          <w:szCs w:val="21"/>
          <w:highlight w:val="none"/>
        </w:rPr>
        <w:t>详细审查评分：评标委员会按照本办法附表</w:t>
      </w:r>
      <w:r>
        <w:rPr>
          <w:rFonts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rPr>
        <w:t>详细审查评分表》对通过技术标有效性审查的投标文件进行详细审查，评出</w:t>
      </w:r>
      <w:r>
        <w:rPr>
          <w:rFonts w:ascii="宋体" w:hAnsi="宋体"/>
          <w:color w:val="auto"/>
          <w:szCs w:val="21"/>
          <w:highlight w:val="none"/>
          <w:u w:val="single"/>
        </w:rPr>
        <w:t xml:space="preserve">     </w:t>
      </w:r>
      <w:r>
        <w:rPr>
          <w:rFonts w:hint="eastAsia" w:ascii="宋体" w:hAnsi="宋体"/>
          <w:color w:val="auto"/>
          <w:szCs w:val="21"/>
          <w:highlight w:val="none"/>
        </w:rPr>
        <w:t>得分。</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42.3.2</w:t>
      </w:r>
      <w:r>
        <w:rPr>
          <w:rFonts w:hint="eastAsia" w:ascii="宋体" w:hAnsi="宋体" w:cs="宋体"/>
          <w:color w:val="auto"/>
          <w:szCs w:val="21"/>
          <w:highlight w:val="none"/>
          <w:u w:val="single"/>
        </w:rPr>
        <w:t>技术标</w:t>
      </w:r>
      <w:r>
        <w:rPr>
          <w:rFonts w:hint="eastAsia" w:ascii="宋体" w:hAnsi="宋体" w:cs="宋体"/>
          <w:color w:val="auto"/>
          <w:szCs w:val="21"/>
          <w:highlight w:val="none"/>
        </w:rPr>
        <w:t>详细审查评分：评标委员会按照本办法附表</w:t>
      </w:r>
      <w:r>
        <w:rPr>
          <w:rFonts w:hint="eastAsia" w:ascii="宋体" w:hAnsi="宋体" w:cs="宋体"/>
          <w:color w:val="auto"/>
          <w:szCs w:val="21"/>
          <w:highlight w:val="none"/>
          <w:u w:val="single"/>
        </w:rPr>
        <w:t>四</w:t>
      </w:r>
      <w:r>
        <w:rPr>
          <w:rFonts w:hint="eastAsia" w:ascii="宋体" w:hAnsi="宋体" w:cs="宋体"/>
          <w:color w:val="auto"/>
          <w:szCs w:val="21"/>
          <w:highlight w:val="none"/>
        </w:rPr>
        <w:t>《</w:t>
      </w:r>
      <w:r>
        <w:rPr>
          <w:rFonts w:hint="eastAsia" w:ascii="宋体" w:hAnsi="宋体" w:cs="宋体"/>
          <w:color w:val="auto"/>
          <w:szCs w:val="21"/>
          <w:highlight w:val="none"/>
          <w:u w:val="single"/>
        </w:rPr>
        <w:t>技术标</w:t>
      </w:r>
      <w:r>
        <w:rPr>
          <w:rFonts w:hint="eastAsia" w:ascii="宋体" w:hAnsi="宋体" w:cs="宋体"/>
          <w:color w:val="auto"/>
          <w:szCs w:val="21"/>
          <w:highlight w:val="none"/>
        </w:rPr>
        <w:t>详细审查评分表》对通过技术标有效性审查的投标文件进行详细审查，评出</w:t>
      </w:r>
      <w:r>
        <w:rPr>
          <w:rFonts w:hint="eastAsia" w:ascii="宋体" w:hAnsi="宋体" w:cs="宋体"/>
          <w:color w:val="auto"/>
          <w:szCs w:val="21"/>
          <w:highlight w:val="none"/>
          <w:u w:val="single"/>
        </w:rPr>
        <w:t>技术标</w:t>
      </w:r>
      <w:r>
        <w:rPr>
          <w:rFonts w:hint="eastAsia" w:ascii="宋体" w:hAnsi="宋体" w:cs="宋体"/>
          <w:color w:val="auto"/>
          <w:szCs w:val="21"/>
          <w:highlight w:val="none"/>
        </w:rPr>
        <w:t>得分</w:t>
      </w:r>
      <w:r>
        <w:rPr>
          <w:rFonts w:hint="eastAsia" w:ascii="宋体" w:hAnsi="宋体" w:cs="宋体"/>
          <w:color w:val="auto"/>
          <w:szCs w:val="21"/>
          <w:highlight w:val="none"/>
          <w:u w:val="single"/>
        </w:rPr>
        <w:t>（即技术分）</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42.3.4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42.3.4评标委员会按照“第一阶段得分=</w:t>
      </w:r>
      <w:r>
        <w:rPr>
          <w:rFonts w:ascii="宋体" w:hAnsi="宋体"/>
          <w:color w:val="auto"/>
          <w:szCs w:val="21"/>
          <w:highlight w:val="none"/>
          <w:u w:val="single"/>
        </w:rPr>
        <w:t xml:space="preserve">               </w:t>
      </w:r>
      <w:r>
        <w:rPr>
          <w:rFonts w:hint="eastAsia" w:ascii="宋体" w:hAnsi="宋体"/>
          <w:color w:val="auto"/>
          <w:szCs w:val="21"/>
          <w:highlight w:val="none"/>
        </w:rPr>
        <w:t>的公式及投标须知前附表第</w:t>
      </w:r>
      <w:r>
        <w:rPr>
          <w:rFonts w:ascii="宋体" w:hAnsi="宋体"/>
          <w:color w:val="auto"/>
          <w:szCs w:val="21"/>
          <w:highlight w:val="none"/>
        </w:rPr>
        <w:t>27项的规定，计算各投标人第一阶段得分(按四舍五入的原则保留两位小数)，并按照得分从高到低排列先后次序，若投标人得分相同的，则名次并列，占用名次。编写第一阶段评审报告。（适用于进行了技术标评分的）</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42.3.4评标委员会按照“第一阶段得分=</w:t>
      </w:r>
      <w:r>
        <w:rPr>
          <w:rFonts w:hint="eastAsia" w:ascii="宋体" w:hAnsi="宋体"/>
          <w:color w:val="auto"/>
          <w:szCs w:val="21"/>
          <w:highlight w:val="none"/>
          <w:u w:val="single"/>
        </w:rPr>
        <w:t>技术分</w:t>
      </w:r>
      <w:r>
        <w:rPr>
          <w:rFonts w:hint="eastAsia" w:ascii="宋体" w:hAnsi="宋体" w:cs="宋体"/>
          <w:color w:val="auto"/>
          <w:szCs w:val="21"/>
          <w:highlight w:val="none"/>
          <w:u w:val="single"/>
        </w:rPr>
        <w:t>（满分为</w:t>
      </w:r>
      <w:r>
        <w:rPr>
          <w:rFonts w:ascii="宋体" w:hAnsi="宋体" w:cs="宋体"/>
          <w:color w:val="auto"/>
          <w:szCs w:val="21"/>
          <w:highlight w:val="none"/>
          <w:u w:val="single"/>
        </w:rPr>
        <w:t>100分）×技术</w:t>
      </w:r>
      <w:r>
        <w:rPr>
          <w:rFonts w:hint="eastAsia" w:ascii="宋体" w:hAnsi="宋体" w:cs="宋体"/>
          <w:color w:val="auto"/>
          <w:szCs w:val="21"/>
          <w:highlight w:val="none"/>
          <w:u w:val="single"/>
        </w:rPr>
        <w:t>分权重（</w:t>
      </w:r>
      <w:r>
        <w:rPr>
          <w:rFonts w:ascii="宋体" w:hAnsi="宋体" w:cs="宋体"/>
          <w:color w:val="auto"/>
          <w:szCs w:val="21"/>
          <w:highlight w:val="none"/>
          <w:u w:val="single"/>
        </w:rPr>
        <w:t>100%）</w:t>
      </w:r>
      <w:r>
        <w:rPr>
          <w:rFonts w:hint="eastAsia" w:ascii="宋体" w:hAnsi="宋体"/>
          <w:color w:val="auto"/>
          <w:szCs w:val="21"/>
          <w:highlight w:val="none"/>
        </w:rPr>
        <w:t>的公式及投标须知前附表第</w:t>
      </w:r>
      <w:r>
        <w:rPr>
          <w:rFonts w:ascii="宋体" w:hAnsi="宋体"/>
          <w:color w:val="auto"/>
          <w:szCs w:val="21"/>
          <w:highlight w:val="none"/>
        </w:rPr>
        <w:t>2</w:t>
      </w:r>
      <w:r>
        <w:rPr>
          <w:rFonts w:hint="eastAsia" w:ascii="宋体" w:hAnsi="宋体"/>
          <w:color w:val="auto"/>
          <w:szCs w:val="21"/>
          <w:highlight w:val="none"/>
          <w:lang w:val="en-US" w:eastAsia="zh-CN"/>
        </w:rPr>
        <w:t>7</w:t>
      </w:r>
      <w:r>
        <w:rPr>
          <w:rFonts w:ascii="宋体" w:hAnsi="宋体"/>
          <w:color w:val="auto"/>
          <w:szCs w:val="21"/>
          <w:highlight w:val="none"/>
        </w:rPr>
        <w:t>项的规定，计算各投标人第一阶段得分(按四舍五入的原则保留两位小数)，</w:t>
      </w:r>
      <w:r>
        <w:rPr>
          <w:rFonts w:hint="eastAsia" w:ascii="宋体" w:hAnsi="宋体"/>
          <w:color w:val="auto"/>
          <w:szCs w:val="21"/>
          <w:highlight w:val="none"/>
        </w:rPr>
        <w:t>并按照投标须知前附表第19项规定排序。编写第一阶段评审报告</w:t>
      </w:r>
      <w:r>
        <w:rPr>
          <w:rFonts w:hint="eastAsia" w:ascii="宋体" w:hAnsi="宋体"/>
          <w:color w:val="auto"/>
          <w:szCs w:val="21"/>
          <w:highlight w:val="none"/>
          <w:lang w:eastAsia="zh-CN"/>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1</w:t>
      </w:r>
      <w:r>
        <w:rPr>
          <w:rFonts w:ascii="宋体" w:hAnsi="宋体" w:cs="宋体"/>
          <w:b/>
          <w:color w:val="auto"/>
          <w:szCs w:val="21"/>
          <w:highlight w:val="none"/>
        </w:rPr>
        <w:t xml:space="preserve">                     修改类型：修改</w:t>
      </w:r>
    </w:p>
    <w:p>
      <w:pPr>
        <w:spacing w:line="360" w:lineRule="auto"/>
        <w:ind w:firstLine="422" w:firstLineChars="200"/>
        <w:rPr>
          <w:rFonts w:ascii="宋体" w:hAnsi="宋体"/>
          <w:color w:val="auto"/>
          <w:sz w:val="21"/>
          <w:szCs w:val="21"/>
          <w:highlight w:val="none"/>
        </w:rPr>
      </w:pPr>
      <w:r>
        <w:rPr>
          <w:rFonts w:hint="eastAsia" w:ascii="宋体" w:hAnsi="宋体" w:cs="宋体"/>
          <w:b/>
          <w:color w:val="auto"/>
          <w:szCs w:val="21"/>
          <w:highlight w:val="none"/>
        </w:rPr>
        <w:t>原文：</w:t>
      </w:r>
      <w:r>
        <w:rPr>
          <w:rFonts w:ascii="宋体" w:hAnsi="宋体"/>
          <w:color w:val="auto"/>
          <w:sz w:val="21"/>
          <w:szCs w:val="21"/>
          <w:highlight w:val="none"/>
        </w:rPr>
        <w:t>42.4.1</w:t>
      </w:r>
      <w:r>
        <w:rPr>
          <w:rFonts w:hint="eastAsia" w:ascii="宋体" w:hAnsi="宋体"/>
          <w:color w:val="auto"/>
          <w:sz w:val="21"/>
          <w:szCs w:val="21"/>
          <w:highlight w:val="none"/>
        </w:rPr>
        <w:t>按照投标须知前附表第</w:t>
      </w:r>
      <w:r>
        <w:rPr>
          <w:rFonts w:ascii="宋体" w:hAnsi="宋体"/>
          <w:color w:val="auto"/>
          <w:sz w:val="21"/>
          <w:szCs w:val="21"/>
          <w:highlight w:val="none"/>
        </w:rPr>
        <w:t>25项规定，确定进入第二阶段评审的投标人。若在进入第二阶段的最后名次发生并列的，则所有并列的投标人均进入第二阶段。</w:t>
      </w:r>
    </w:p>
    <w:p>
      <w:pPr>
        <w:pBdr>
          <w:bottom w:val="single" w:color="auto" w:sz="6" w:space="1"/>
        </w:pBdr>
        <w:spacing w:line="360" w:lineRule="auto"/>
        <w:ind w:firstLine="424" w:firstLineChars="201"/>
        <w:rPr>
          <w:rFonts w:ascii="宋体" w:hAnsi="宋体" w:cs="宋体"/>
          <w:color w:val="auto"/>
          <w:sz w:val="21"/>
          <w:szCs w:val="21"/>
          <w:highlight w:val="none"/>
        </w:rPr>
      </w:pPr>
      <w:r>
        <w:rPr>
          <w:rFonts w:hint="eastAsia" w:ascii="宋体" w:hAnsi="宋体" w:cs="宋体"/>
          <w:b/>
          <w:color w:val="auto"/>
          <w:sz w:val="21"/>
          <w:szCs w:val="21"/>
          <w:highlight w:val="none"/>
        </w:rPr>
        <w:t>现文：</w:t>
      </w:r>
      <w:r>
        <w:rPr>
          <w:rFonts w:hint="eastAsia" w:ascii="宋体" w:hAnsi="宋体"/>
          <w:color w:val="auto"/>
          <w:sz w:val="21"/>
          <w:szCs w:val="21"/>
          <w:highlight w:val="none"/>
        </w:rPr>
        <w:t>42.4.1按照投标须知前附表第2</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项规定，确定进入第二阶段评审的投标人。</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2</w:t>
      </w:r>
      <w:r>
        <w:rPr>
          <w:rFonts w:ascii="宋体" w:hAnsi="宋体" w:cs="宋体"/>
          <w:b/>
          <w:color w:val="auto"/>
          <w:szCs w:val="21"/>
          <w:highlight w:val="none"/>
        </w:rPr>
        <w:t>.1                    修改类型：修改</w:t>
      </w:r>
    </w:p>
    <w:p>
      <w:pPr>
        <w:spacing w:line="360" w:lineRule="auto"/>
        <w:ind w:firstLine="422" w:firstLineChars="200"/>
        <w:rPr>
          <w:rFonts w:ascii="宋体" w:hAnsi="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42.4.</w:t>
      </w:r>
      <w:r>
        <w:rPr>
          <w:rFonts w:hint="eastAsia" w:ascii="宋体" w:hAnsi="宋体"/>
          <w:color w:val="auto"/>
          <w:szCs w:val="21"/>
          <w:highlight w:val="none"/>
          <w:lang w:val="en-US" w:eastAsia="zh-CN"/>
        </w:rPr>
        <w:t>2</w:t>
      </w:r>
      <w:r>
        <w:rPr>
          <w:rFonts w:ascii="宋体" w:hAnsi="宋体"/>
          <w:color w:val="auto"/>
          <w:szCs w:val="21"/>
          <w:highlight w:val="none"/>
        </w:rPr>
        <w:t>.1按方法</w:t>
      </w:r>
      <w:r>
        <w:rPr>
          <w:rFonts w:ascii="宋体" w:hAnsi="宋体"/>
          <w:color w:val="auto"/>
          <w:szCs w:val="21"/>
          <w:highlight w:val="none"/>
          <w:u w:val="single"/>
        </w:rPr>
        <w:t xml:space="preserve">    </w:t>
      </w:r>
      <w:r>
        <w:rPr>
          <w:rFonts w:hint="eastAsia" w:ascii="宋体" w:hAnsi="宋体"/>
          <w:color w:val="auto"/>
          <w:szCs w:val="21"/>
          <w:highlight w:val="none"/>
        </w:rPr>
        <w:t>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技术标或技术标加诚信得分或第一阶段入围得分（具体由招标人自定）前</w:t>
      </w:r>
      <w:r>
        <w:rPr>
          <w:rFonts w:ascii="宋体" w:hAnsi="宋体" w:cs="仿宋"/>
          <w:color w:val="auto"/>
          <w:szCs w:val="21"/>
          <w:highlight w:val="none"/>
        </w:rPr>
        <w:t>N</w:t>
      </w:r>
      <w:r>
        <w:rPr>
          <w:rFonts w:hint="eastAsia" w:ascii="宋体" w:hAnsi="宋体" w:cs="仿宋"/>
          <w:color w:val="auto"/>
          <w:szCs w:val="21"/>
          <w:highlight w:val="none"/>
        </w:rPr>
        <w:t>名（</w:t>
      </w:r>
      <w:r>
        <w:rPr>
          <w:rFonts w:ascii="宋体" w:hAnsi="宋体" w:cs="仿宋"/>
          <w:color w:val="auto"/>
          <w:szCs w:val="21"/>
          <w:highlight w:val="none"/>
        </w:rPr>
        <w:t>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名投标人按技术分由高至低进行排序，第一名投标人的权重为（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0" distR="0">
            <wp:extent cx="381000" cy="447675"/>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szCs w:val="21"/>
          <w:highlight w:val="none"/>
        </w:rPr>
        <w:drawing>
          <wp:inline distT="0" distB="0" distL="0" distR="0">
            <wp:extent cx="381000" cy="447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评标参考价=（Q高-Q低）/100*Ｘ+Q低</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Q低：为达到或超过技术标及格分数线的投标人最低报价与工程成本警示价两者中的较高值；</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Q高：为最高投标限价</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X</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为等分点值，在开标前从[0,100]整数中随机抽取</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42.4.</w:t>
      </w:r>
      <w:r>
        <w:rPr>
          <w:rFonts w:hint="eastAsia" w:ascii="宋体" w:hAnsi="宋体"/>
          <w:color w:val="auto"/>
          <w:szCs w:val="21"/>
          <w:highlight w:val="none"/>
          <w:lang w:val="en-US" w:eastAsia="zh-CN"/>
        </w:rPr>
        <w:t>2</w:t>
      </w:r>
      <w:r>
        <w:rPr>
          <w:rFonts w:ascii="宋体" w:hAnsi="宋体"/>
          <w:color w:val="auto"/>
          <w:szCs w:val="21"/>
          <w:highlight w:val="none"/>
        </w:rPr>
        <w:t>.1</w:t>
      </w:r>
      <w:r>
        <w:rPr>
          <w:rFonts w:hint="eastAsia" w:ascii="宋体" w:hAnsi="宋体" w:cs="宋体"/>
          <w:color w:val="auto"/>
          <w:szCs w:val="21"/>
          <w:highlight w:val="none"/>
        </w:rPr>
        <w:t>按方法</w:t>
      </w:r>
      <w:r>
        <w:rPr>
          <w:rFonts w:ascii="宋体" w:hAnsi="宋体" w:cs="宋体"/>
          <w:color w:val="auto"/>
          <w:szCs w:val="21"/>
          <w:highlight w:val="none"/>
          <w:u w:val="single"/>
        </w:rPr>
        <w:t xml:space="preserve">  一  </w:t>
      </w:r>
      <w:r>
        <w:rPr>
          <w:rFonts w:hint="eastAsia" w:ascii="宋体" w:hAnsi="宋体" w:cs="宋体"/>
          <w:color w:val="auto"/>
          <w:szCs w:val="21"/>
          <w:highlight w:val="none"/>
        </w:rPr>
        <w:t>计算评标参考价：</w:t>
      </w:r>
      <w:r>
        <w:rPr>
          <w:rFonts w:ascii="宋体" w:hAnsi="宋体" w:cs="宋体"/>
          <w:color w:val="auto"/>
          <w:szCs w:val="21"/>
          <w:highlight w:val="none"/>
        </w:rPr>
        <w:t xml:space="preserve"> </w:t>
      </w:r>
    </w:p>
    <w:p>
      <w:pPr>
        <w:spacing w:line="360" w:lineRule="auto"/>
        <w:ind w:firstLine="424" w:firstLineChars="201"/>
        <w:rPr>
          <w:rFonts w:ascii="宋体" w:hAnsi="宋体" w:cs="宋体"/>
          <w:b/>
          <w:bCs/>
          <w:color w:val="auto"/>
          <w:kern w:val="0"/>
          <w:szCs w:val="21"/>
          <w:highlight w:val="none"/>
        </w:rPr>
      </w:pPr>
      <w:r>
        <w:rPr>
          <w:rFonts w:hint="eastAsia" w:ascii="宋体" w:hAnsi="宋体" w:cs="宋体"/>
          <w:b/>
          <w:bCs/>
          <w:color w:val="auto"/>
          <w:kern w:val="0"/>
          <w:szCs w:val="21"/>
          <w:highlight w:val="none"/>
        </w:rPr>
        <w:t>方法一：加权平均法</w:t>
      </w:r>
    </w:p>
    <w:p>
      <w:pPr>
        <w:spacing w:line="360" w:lineRule="auto"/>
        <w:ind w:firstLine="422" w:firstLineChars="201"/>
        <w:rPr>
          <w:rFonts w:ascii="宋体" w:hAnsi="宋体" w:cs="宋体"/>
          <w:color w:val="auto"/>
          <w:szCs w:val="21"/>
          <w:highlight w:val="none"/>
        </w:rPr>
      </w:pPr>
      <w:r>
        <w:rPr>
          <w:rFonts w:hint="eastAsia" w:ascii="宋体" w:hAnsi="宋体"/>
          <w:color w:val="auto"/>
          <w:szCs w:val="21"/>
          <w:highlight w:val="none"/>
          <w:u w:val="single"/>
          <w:lang w:val="en-US" w:eastAsia="zh-CN"/>
        </w:rPr>
        <w:t>经济报价在[工程成本警戒价，最高投标限价]区间中的投标人按技术标得分由高至低排序后，取</w:t>
      </w:r>
      <w:r>
        <w:rPr>
          <w:rFonts w:hint="eastAsia" w:ascii="宋体" w:hAnsi="宋体"/>
          <w:color w:val="auto"/>
          <w:szCs w:val="21"/>
          <w:highlight w:val="none"/>
          <w:u w:val="single"/>
        </w:rPr>
        <w:t>前</w:t>
      </w:r>
      <w:r>
        <w:rPr>
          <w:rFonts w:ascii="宋体" w:hAnsi="宋体"/>
          <w:color w:val="auto"/>
          <w:szCs w:val="21"/>
          <w:highlight w:val="none"/>
          <w:u w:val="single"/>
        </w:rPr>
        <w:t>N名（当通过技术标有效性审查的投标人家数大于等于3家且小于5家的，N取通过技术标有效性审查的全部家数；当通过技术标有效性审查的投标人家数大于或等于5家的，N=5）</w:t>
      </w:r>
      <w:r>
        <w:rPr>
          <w:rFonts w:hint="eastAsia" w:ascii="宋体" w:hAnsi="宋体" w:cs="宋体"/>
          <w:color w:val="auto"/>
          <w:szCs w:val="21"/>
          <w:highlight w:val="none"/>
        </w:rPr>
        <w:t>的经济报价加权平均，计算评标参考价。公式如下：</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评标参考价</w:t>
      </w:r>
      <w:r>
        <w:rPr>
          <w:rFonts w:ascii="宋体" w:hAnsi="宋体" w:cs="宋体"/>
          <w:color w:val="auto"/>
          <w:szCs w:val="21"/>
          <w:highlight w:val="none"/>
        </w:rPr>
        <w:t>=Σ（投标人的投标报价*报价权重）。</w:t>
      </w:r>
    </w:p>
    <w:p>
      <w:pPr>
        <w:widowControl/>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其中：报价权重的计算方法为：将</w:t>
      </w:r>
      <w:r>
        <w:rPr>
          <w:rFonts w:ascii="宋体" w:hAnsi="宋体" w:cs="宋体"/>
          <w:color w:val="auto"/>
          <w:szCs w:val="21"/>
          <w:highlight w:val="none"/>
        </w:rPr>
        <w:t>N名投标人按</w:t>
      </w:r>
      <w:r>
        <w:rPr>
          <w:rFonts w:hint="eastAsia" w:ascii="宋体" w:hAnsi="宋体"/>
          <w:b/>
          <w:color w:val="auto"/>
          <w:szCs w:val="21"/>
          <w:highlight w:val="none"/>
          <w:u w:val="single"/>
        </w:rPr>
        <w:t>技术分</w:t>
      </w:r>
      <w:r>
        <w:rPr>
          <w:rFonts w:hint="eastAsia" w:ascii="宋体" w:hAnsi="宋体" w:cs="宋体"/>
          <w:color w:val="auto"/>
          <w:szCs w:val="21"/>
          <w:highlight w:val="none"/>
        </w:rPr>
        <w:t>由高至低进行排序，第一名投标人的权重为（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szCs w:val="21"/>
          <w:highlight w:val="none"/>
        </w:rPr>
        <w:drawing>
          <wp:inline distT="0" distB="0" distL="0" distR="0">
            <wp:extent cx="381000" cy="4476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宋体"/>
          <w:color w:val="auto"/>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szCs w:val="21"/>
          <w:highlight w:val="none"/>
        </w:rPr>
        <w:drawing>
          <wp:inline distT="0" distB="0" distL="0" distR="0">
            <wp:extent cx="381000" cy="4476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），第二名投标人的权重为（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position w:val="-23"/>
          <w:szCs w:val="21"/>
          <w:highlight w:val="none"/>
        </w:rPr>
        <w:drawing>
          <wp:inline distT="0" distB="0" distL="0" distR="0">
            <wp:extent cx="323850" cy="4000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position w:val="-23"/>
          <w:szCs w:val="21"/>
          <w:highlight w:val="none"/>
        </w:rPr>
        <w:drawing>
          <wp:inline distT="0" distB="0" distL="0" distR="0">
            <wp:extent cx="323850" cy="4000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），以此类推，最后一名投标人的权重为（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position w:val="-23"/>
          <w:szCs w:val="21"/>
          <w:highlight w:val="none"/>
        </w:rPr>
        <w:drawing>
          <wp:inline distT="0" distB="0" distL="0" distR="0">
            <wp:extent cx="323850" cy="4000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position w:val="-23"/>
          <w:szCs w:val="21"/>
          <w:highlight w:val="none"/>
        </w:rPr>
        <w:drawing>
          <wp:inline distT="0" distB="0" distL="0" distR="0">
            <wp:extent cx="323850" cy="4000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w:t>
      </w:r>
      <w:r>
        <w:rPr>
          <w:rFonts w:ascii="宋体" w:hAnsi="宋体" w:cs="宋体"/>
          <w:color w:val="auto"/>
          <w:szCs w:val="21"/>
          <w:highlight w:val="none"/>
        </w:rPr>
        <w:t xml:space="preserve"> </w:t>
      </w:r>
    </w:p>
    <w:p>
      <w:pPr>
        <w:pBdr>
          <w:bottom w:val="single" w:color="auto" w:sz="6" w:space="1"/>
        </w:pBdr>
        <w:spacing w:line="360" w:lineRule="auto"/>
        <w:ind w:firstLine="422" w:firstLineChars="201"/>
        <w:rPr>
          <w:rFonts w:ascii="宋体" w:hAnsi="宋体" w:cs="宋体"/>
          <w:color w:val="auto"/>
          <w:szCs w:val="21"/>
          <w:highlight w:val="none"/>
          <w:u w:val="single"/>
        </w:rPr>
      </w:pPr>
      <w:r>
        <w:rPr>
          <w:rFonts w:hint="eastAsia" w:ascii="宋体" w:hAnsi="宋体" w:cs="宋体"/>
          <w:color w:val="auto"/>
          <w:szCs w:val="21"/>
          <w:highlight w:val="none"/>
          <w:u w:val="single"/>
        </w:rPr>
        <w:t>若投标人技术标得分相同的，则以投标总报价较低的排前；投标总报价仍相同的，则对具有相同情况的投标人，由评标委员会采用记名投票方式，确定投标人技术分名次的排序。注：记名投票方式确定排序的具体操作步骤为：由评标委员会对出现该情况的投标人采取记名投票的方式确定，按得票数从高到低排列先后次序，以得票数高的排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kern w:val="0"/>
          <w:szCs w:val="21"/>
          <w:highlight w:val="none"/>
        </w:rPr>
        <w:t>42.4.</w:t>
      </w:r>
      <w:r>
        <w:rPr>
          <w:rFonts w:hint="eastAsia" w:ascii="宋体" w:hAnsi="宋体" w:cs="宋体"/>
          <w:b/>
          <w:color w:val="auto"/>
          <w:kern w:val="0"/>
          <w:szCs w:val="21"/>
          <w:highlight w:val="none"/>
          <w:lang w:val="en-US" w:eastAsia="zh-CN"/>
        </w:rPr>
        <w:t>2</w:t>
      </w:r>
      <w:r>
        <w:rPr>
          <w:rFonts w:ascii="宋体" w:hAnsi="宋体" w:cs="宋体"/>
          <w:b/>
          <w:color w:val="auto"/>
          <w:kern w:val="0"/>
          <w:szCs w:val="21"/>
          <w:highlight w:val="none"/>
        </w:rPr>
        <w:t>.2</w:t>
      </w:r>
      <w:r>
        <w:rPr>
          <w:rFonts w:ascii="宋体" w:hAnsi="宋体" w:cs="宋体"/>
          <w:b/>
          <w:color w:val="auto"/>
          <w:szCs w:val="21"/>
          <w:highlight w:val="none"/>
        </w:rPr>
        <w:t xml:space="preserve">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kern w:val="0"/>
          <w:szCs w:val="21"/>
          <w:highlight w:val="none"/>
        </w:rPr>
        <w:t>42.4.</w:t>
      </w: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.2当标价等于评标参考价时得100分，标价每高于评标参考价1%，扣1.5分，每低于评标参考价1%，扣1分，扣至0分为止，得出经济分，精确到小数点后两位。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kern w:val="0"/>
          <w:szCs w:val="21"/>
          <w:highlight w:val="none"/>
        </w:rPr>
        <w:t>42.4.</w:t>
      </w: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.2当</w:t>
      </w:r>
      <w:r>
        <w:rPr>
          <w:rFonts w:hint="eastAsia" w:ascii="宋体" w:hAnsi="宋体"/>
          <w:color w:val="auto"/>
          <w:szCs w:val="21"/>
          <w:highlight w:val="none"/>
          <w:u w:val="single"/>
        </w:rPr>
        <w:t>投标总报价</w:t>
      </w:r>
      <w:r>
        <w:rPr>
          <w:rFonts w:ascii="宋体" w:hAnsi="宋体" w:cs="宋体"/>
          <w:color w:val="auto"/>
          <w:kern w:val="0"/>
          <w:szCs w:val="21"/>
          <w:highlight w:val="none"/>
        </w:rPr>
        <w:t>等于评标参考价时得100分，</w:t>
      </w:r>
      <w:r>
        <w:rPr>
          <w:rFonts w:hint="eastAsia" w:ascii="宋体" w:hAnsi="宋体"/>
          <w:color w:val="auto"/>
          <w:szCs w:val="21"/>
          <w:highlight w:val="none"/>
          <w:u w:val="single"/>
        </w:rPr>
        <w:t>投标总报价</w:t>
      </w:r>
      <w:r>
        <w:rPr>
          <w:rFonts w:ascii="宋体" w:hAnsi="宋体" w:cs="宋体"/>
          <w:color w:val="auto"/>
          <w:kern w:val="0"/>
          <w:szCs w:val="21"/>
          <w:highlight w:val="none"/>
        </w:rPr>
        <w:t>每高于评标参考价1%，扣1.5</w:t>
      </w:r>
      <w:r>
        <w:rPr>
          <w:rFonts w:hint="eastAsia" w:ascii="宋体" w:hAnsi="宋体" w:cs="宋体"/>
          <w:color w:val="auto"/>
          <w:kern w:val="0"/>
          <w:szCs w:val="21"/>
          <w:highlight w:val="none"/>
        </w:rPr>
        <w:t>分，每低于评标参考价</w:t>
      </w:r>
      <w:r>
        <w:rPr>
          <w:rFonts w:ascii="宋体" w:hAnsi="宋体" w:cs="宋体"/>
          <w:color w:val="auto"/>
          <w:kern w:val="0"/>
          <w:szCs w:val="21"/>
          <w:highlight w:val="none"/>
        </w:rPr>
        <w:t>1%，扣1</w:t>
      </w:r>
      <w:r>
        <w:rPr>
          <w:rFonts w:hint="eastAsia" w:ascii="宋体" w:hAnsi="宋体" w:cs="宋体"/>
          <w:color w:val="auto"/>
          <w:kern w:val="0"/>
          <w:szCs w:val="21"/>
          <w:highlight w:val="none"/>
        </w:rPr>
        <w:t>分，扣至</w:t>
      </w:r>
      <w:r>
        <w:rPr>
          <w:rFonts w:ascii="宋体" w:hAnsi="宋体" w:cs="宋体"/>
          <w:color w:val="auto"/>
          <w:kern w:val="0"/>
          <w:szCs w:val="21"/>
          <w:highlight w:val="none"/>
        </w:rPr>
        <w:t>0分为止，得出经济分，精确到小数点后两位。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4</w:t>
      </w:r>
      <w:r>
        <w:rPr>
          <w:rFonts w:ascii="宋体" w:hAnsi="宋体" w:cs="宋体"/>
          <w:b/>
          <w:color w:val="auto"/>
          <w:szCs w:val="21"/>
          <w:highlight w:val="none"/>
        </w:rPr>
        <w:t>.8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42.4.</w:t>
      </w:r>
      <w:r>
        <w:rPr>
          <w:rFonts w:hint="eastAsia" w:ascii="宋体" w:hAnsi="宋体" w:cs="宋体"/>
          <w:color w:val="auto"/>
          <w:szCs w:val="21"/>
          <w:highlight w:val="none"/>
          <w:lang w:val="en-US" w:eastAsia="zh-CN"/>
        </w:rPr>
        <w:t>4</w:t>
      </w:r>
      <w:r>
        <w:rPr>
          <w:rFonts w:ascii="宋体" w:hAnsi="宋体" w:cs="宋体"/>
          <w:color w:val="auto"/>
          <w:szCs w:val="21"/>
          <w:highlight w:val="none"/>
        </w:rPr>
        <w:t>.8按上述修正错误的原则及方法调整或修正投标文件的投标报价，调整后的投标报价对投标人起约束作用。如果投标人不接受修正后的报价，则取消其投标资格，并且其投标保证金也将不予退还。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42.4.</w:t>
      </w:r>
      <w:r>
        <w:rPr>
          <w:rFonts w:hint="eastAsia" w:ascii="宋体" w:hAnsi="宋体" w:cs="宋体"/>
          <w:color w:val="auto"/>
          <w:szCs w:val="21"/>
          <w:highlight w:val="none"/>
          <w:lang w:val="en-US" w:eastAsia="zh-CN"/>
        </w:rPr>
        <w:t>4</w:t>
      </w:r>
      <w:r>
        <w:rPr>
          <w:rFonts w:ascii="宋体" w:hAnsi="宋体" w:cs="宋体"/>
          <w:color w:val="auto"/>
          <w:szCs w:val="21"/>
          <w:highlight w:val="none"/>
        </w:rPr>
        <w:t>.8按上述修正错误的原则及方法调整或修正投标文件的投标报价，调整后的投标报价对投标人起约束作用。如果投标人不接受修正后的报价，</w:t>
      </w:r>
      <w:r>
        <w:rPr>
          <w:rFonts w:hint="eastAsia" w:ascii="宋体" w:hAnsi="宋体" w:cs="宋体"/>
          <w:color w:val="auto"/>
          <w:szCs w:val="21"/>
          <w:highlight w:val="none"/>
          <w:u w:val="single"/>
        </w:rPr>
        <w:t>则取消其投标资格。</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42.5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w:t>
      </w:r>
      <w:r>
        <w:rPr>
          <w:rFonts w:hint="eastAsia" w:ascii="宋体" w:hAnsi="宋体" w:cs="宋体"/>
          <w:color w:val="auto"/>
          <w:szCs w:val="21"/>
          <w:highlight w:val="none"/>
          <w:u w:val="single"/>
        </w:rPr>
        <w:t>直至经济标有效性审查结束。</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42.6                           修改类型：删除</w:t>
      </w:r>
    </w:p>
    <w:p>
      <w:pPr>
        <w:pBdr>
          <w:bottom w:val="single" w:color="auto" w:sz="6" w:space="1"/>
        </w:pBdr>
        <w:spacing w:line="360" w:lineRule="auto"/>
        <w:ind w:firstLine="424" w:firstLineChars="201"/>
        <w:rPr>
          <w:rFonts w:hint="eastAsia" w:ascii="宋体" w:hAnsi="宋体" w:cs="宋体"/>
          <w:color w:val="auto"/>
          <w:szCs w:val="21"/>
          <w:highlight w:val="none"/>
          <w:lang w:eastAsia="zh-CN"/>
        </w:rPr>
      </w:pPr>
      <w:r>
        <w:rPr>
          <w:rFonts w:hint="eastAsia" w:ascii="宋体" w:hAnsi="宋体" w:cs="宋体"/>
          <w:b/>
          <w:color w:val="auto"/>
          <w:szCs w:val="21"/>
          <w:highlight w:val="none"/>
        </w:rPr>
        <w:t>原文：</w:t>
      </w:r>
      <w:r>
        <w:rPr>
          <w:rFonts w:ascii="宋体" w:hAnsi="宋体" w:cs="宋体"/>
          <w:color w:val="auto"/>
          <w:szCs w:val="21"/>
          <w:highlight w:val="none"/>
        </w:rPr>
        <w:t>42.6评标委员会应在通过投标文件经济标有效性审查的投标人中，按步骤42.4确定的投标人第二阶段排序，推荐前3名依次为第一中标候选人至第三中标候选人</w:t>
      </w:r>
      <w:r>
        <w:rPr>
          <w:rFonts w:hint="eastAsia" w:ascii="宋体" w:hAnsi="宋体" w:cs="宋体"/>
          <w:color w:val="auto"/>
          <w:szCs w:val="21"/>
          <w:highlight w:val="none"/>
          <w:lang w:eastAsia="zh-CN"/>
        </w:rPr>
        <w:t>，</w:t>
      </w:r>
      <w:r>
        <w:rPr>
          <w:rFonts w:ascii="宋体" w:hAnsi="宋体" w:cs="宋体"/>
          <w:color w:val="auto"/>
          <w:szCs w:val="21"/>
          <w:highlight w:val="none"/>
        </w:rPr>
        <w:t>并编制评标报告。</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bCs/>
          <w:color w:val="auto"/>
          <w:szCs w:val="21"/>
          <w:highlight w:val="none"/>
          <w:lang w:eastAsia="zh-CN"/>
        </w:rPr>
        <w:t>现文</w:t>
      </w:r>
      <w:r>
        <w:rPr>
          <w:rFonts w:hint="eastAsia" w:ascii="宋体" w:hAnsi="宋体" w:cs="宋体"/>
          <w:color w:val="auto"/>
          <w:szCs w:val="21"/>
          <w:highlight w:val="none"/>
          <w:lang w:eastAsia="zh-CN"/>
        </w:rPr>
        <w:t>：42.6评标委员会应在通过投标文件经济标有效性审查的投标人中，按步骤42.4确定的投标人第二阶段排序，并按总得分从高到低顺序推荐前9名（通过经济标有效性审查家数在[3,9]的，以实际家数为准；超过9家的，则只推荐前9家）合格中标候选人，进入定标阶段。</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kern w:val="0"/>
          <w:szCs w:val="21"/>
          <w:highlight w:val="none"/>
        </w:rPr>
        <w:t>43</w:t>
      </w:r>
      <w:r>
        <w:rPr>
          <w:rFonts w:ascii="宋体" w:hAnsi="宋体" w:cs="宋体"/>
          <w:b/>
          <w:color w:val="auto"/>
          <w:szCs w:val="21"/>
          <w:highlight w:val="none"/>
        </w:rPr>
        <w:t xml:space="preserve">                             修改类型：增加</w:t>
      </w:r>
    </w:p>
    <w:p>
      <w:pPr>
        <w:pBdr>
          <w:bottom w:val="single" w:color="auto" w:sz="6" w:space="1"/>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b/>
          <w:bCs/>
          <w:color w:val="auto"/>
          <w:szCs w:val="21"/>
          <w:highlight w:val="none"/>
          <w:u w:val="single"/>
        </w:rPr>
        <w:t>43.定标</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43.1定标时间和地点</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招标人在合格中标候选人公示结束后</w:t>
      </w:r>
      <w:r>
        <w:rPr>
          <w:rFonts w:ascii="宋体" w:hAnsi="宋体" w:cs="宋体"/>
          <w:color w:val="auto"/>
          <w:szCs w:val="21"/>
          <w:highlight w:val="none"/>
          <w:u w:val="single"/>
        </w:rPr>
        <w:t>10个工作日内在广州交易集团有限公司（广州公共资源交易中心）开展定标工作，招标人按规定程序在投标人须知的时间和地点完成定标工作。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43.2定标委员会：成员数量为5人，由招标人组建。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43.3监督小组：成员数量为1人，由招标人组建。</w:t>
      </w:r>
    </w:p>
    <w:p>
      <w:pPr>
        <w:pBdr>
          <w:bottom w:val="single" w:color="auto" w:sz="6" w:space="1"/>
        </w:pBdr>
        <w:spacing w:line="360" w:lineRule="auto"/>
        <w:ind w:firstLine="420" w:firstLineChars="200"/>
        <w:rPr>
          <w:rFonts w:hint="eastAsia" w:ascii="宋体" w:hAnsi="宋体" w:cs="宋体"/>
          <w:color w:val="auto"/>
          <w:szCs w:val="21"/>
          <w:highlight w:val="none"/>
          <w:u w:val="single"/>
        </w:rPr>
      </w:pPr>
      <w:r>
        <w:rPr>
          <w:rFonts w:ascii="宋体" w:hAnsi="宋体" w:cs="宋体"/>
          <w:color w:val="auto"/>
          <w:szCs w:val="21"/>
          <w:highlight w:val="none"/>
          <w:u w:val="single"/>
        </w:rPr>
        <w:t>43.4定标办法：</w:t>
      </w:r>
      <w:r>
        <w:rPr>
          <w:rFonts w:hint="eastAsia" w:ascii="宋体" w:hAnsi="宋体" w:cs="宋体"/>
          <w:color w:val="auto"/>
          <w:szCs w:val="21"/>
          <w:highlight w:val="none"/>
          <w:u w:val="single"/>
        </w:rPr>
        <w:t>采用直接票决定标法（记名投票+撰写评语），定标委员会从</w:t>
      </w:r>
      <w:r>
        <w:rPr>
          <w:rFonts w:hint="eastAsia" w:ascii="宋体" w:hAnsi="宋体" w:cs="宋体"/>
          <w:color w:val="auto"/>
          <w:szCs w:val="21"/>
          <w:highlight w:val="none"/>
          <w:u w:val="single"/>
          <w:lang w:val="en-US" w:eastAsia="zh-CN"/>
        </w:rPr>
        <w:t>所有</w:t>
      </w:r>
      <w:r>
        <w:rPr>
          <w:rFonts w:hint="eastAsia" w:ascii="宋体" w:hAnsi="宋体" w:cs="宋体"/>
          <w:color w:val="auto"/>
          <w:szCs w:val="21"/>
          <w:highlight w:val="none"/>
          <w:u w:val="single"/>
        </w:rPr>
        <w:t>合格中标候选人当中以“记名投票+撰写评语”方式产生中标人。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43.5</w:t>
      </w:r>
      <w:r>
        <w:rPr>
          <w:rFonts w:hint="eastAsia" w:ascii="宋体" w:hAnsi="宋体" w:cs="宋体"/>
          <w:color w:val="auto"/>
          <w:szCs w:val="21"/>
          <w:highlight w:val="none"/>
          <w:u w:val="single"/>
        </w:rPr>
        <w:t>定标因素：详见《定标因素表》。</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43.6定标程序</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招标人或其委托的招标代理机构应安排</w:t>
      </w:r>
      <w:r>
        <w:rPr>
          <w:rFonts w:ascii="宋体" w:hAnsi="宋体" w:cs="宋体"/>
          <w:color w:val="auto"/>
          <w:szCs w:val="21"/>
          <w:highlight w:val="none"/>
          <w:u w:val="single"/>
        </w:rPr>
        <w:t>1名熟悉情况的工作人员在定标会场担任招标项目负责人，按程序组织定标工作：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43.6.1招标项目负责人宣读定标委员会组建情况及成员名单，宣读定标纪律，签订廉政责任书。</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43.6.2定标工作开始后，定标委员会应推荐一人为定标委员会组长</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主持当次定标会议</w:t>
      </w:r>
      <w:r>
        <w:rPr>
          <w:rFonts w:ascii="宋体" w:hAnsi="宋体" w:cs="宋体"/>
          <w:color w:val="auto"/>
          <w:szCs w:val="21"/>
          <w:highlight w:val="none"/>
          <w:u w:val="single"/>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43.6.3发放定标辅助资料：</w:t>
      </w:r>
      <w:r>
        <w:rPr>
          <w:rFonts w:hint="eastAsia" w:ascii="宋体" w:hAnsi="宋体" w:cs="宋体"/>
          <w:color w:val="auto"/>
          <w:szCs w:val="21"/>
          <w:highlight w:val="none"/>
          <w:u w:val="single"/>
        </w:rPr>
        <w:t>评标阶段的评标报告、合格中标候选人提交的投标文件</w:t>
      </w:r>
      <w:r>
        <w:rPr>
          <w:rFonts w:hint="eastAsia" w:ascii="宋体" w:hAnsi="宋体" w:cs="宋体"/>
          <w:color w:val="auto"/>
          <w:szCs w:val="21"/>
          <w:highlight w:val="none"/>
          <w:u w:val="single"/>
          <w:lang w:val="en-US" w:eastAsia="zh-CN"/>
        </w:rPr>
        <w:t>及定标文件</w:t>
      </w:r>
      <w:r>
        <w:rPr>
          <w:rFonts w:hint="eastAsia" w:ascii="宋体" w:hAnsi="宋体" w:cs="宋体"/>
          <w:color w:val="auto"/>
          <w:szCs w:val="21"/>
          <w:highlight w:val="none"/>
          <w:u w:val="single"/>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43.6.4</w:t>
      </w:r>
      <w:r>
        <w:rPr>
          <w:rFonts w:hint="eastAsia" w:ascii="宋体" w:hAnsi="宋体" w:cs="宋体"/>
          <w:color w:val="auto"/>
          <w:szCs w:val="21"/>
          <w:u w:val="single"/>
        </w:rPr>
        <w:t>定标委员会在评标委员会评审的基础上，根据评标阶段的评标报告、合格中标候选人提交的投标文件</w:t>
      </w:r>
      <w:r>
        <w:rPr>
          <w:rFonts w:hint="eastAsia" w:ascii="宋体" w:hAnsi="宋体" w:cs="宋体"/>
          <w:color w:val="auto"/>
          <w:szCs w:val="21"/>
          <w:u w:val="single"/>
          <w:lang w:val="en-US" w:eastAsia="zh-CN"/>
        </w:rPr>
        <w:t>及定标文件、</w:t>
      </w:r>
      <w:r>
        <w:rPr>
          <w:rFonts w:hint="eastAsia" w:ascii="宋体" w:hAnsi="宋体" w:cs="宋体"/>
          <w:color w:val="auto"/>
          <w:szCs w:val="21"/>
          <w:u w:val="single"/>
        </w:rPr>
        <w:t>定标因素对进入定标阶段合格中标候选人的</w:t>
      </w:r>
      <w:r>
        <w:rPr>
          <w:rFonts w:hint="eastAsia" w:ascii="宋体" w:hAnsi="宋体" w:cs="宋体"/>
          <w:color w:val="auto"/>
          <w:szCs w:val="21"/>
          <w:u w:val="single"/>
          <w:lang w:val="en-US" w:eastAsia="zh-CN"/>
        </w:rPr>
        <w:t>定标文件</w:t>
      </w:r>
      <w:r>
        <w:rPr>
          <w:rFonts w:hint="eastAsia" w:ascii="宋体" w:hAnsi="宋体" w:cs="宋体"/>
          <w:color w:val="auto"/>
          <w:szCs w:val="21"/>
          <w:u w:val="single"/>
        </w:rPr>
        <w:t>合理性、价格进行比较、评审。</w:t>
      </w:r>
    </w:p>
    <w:p>
      <w:pPr>
        <w:pBdr>
          <w:bottom w:val="single" w:color="auto" w:sz="6" w:space="1"/>
        </w:pBdr>
        <w:spacing w:line="360" w:lineRule="auto"/>
        <w:ind w:firstLine="420" w:firstLineChars="200"/>
        <w:rPr>
          <w:rFonts w:ascii="宋体" w:hAnsi="宋体" w:cs="宋体"/>
          <w:color w:val="auto"/>
          <w:szCs w:val="21"/>
          <w:u w:val="single"/>
        </w:rPr>
      </w:pPr>
      <w:r>
        <w:rPr>
          <w:rFonts w:ascii="宋体" w:hAnsi="宋体" w:cs="宋体"/>
          <w:color w:val="auto"/>
          <w:szCs w:val="21"/>
          <w:highlight w:val="none"/>
          <w:u w:val="single"/>
        </w:rPr>
        <w:t>43.6.5</w:t>
      </w:r>
      <w:r>
        <w:rPr>
          <w:rFonts w:hint="eastAsia" w:ascii="宋体" w:hAnsi="宋体" w:cs="宋体"/>
          <w:color w:val="auto"/>
          <w:szCs w:val="21"/>
          <w:u w:val="single"/>
        </w:rPr>
        <w:t>定标委员会根据定标因素对各合格中标候选人进行评审后，进行一轮一次性票决，每位定标委员会成员只有1票表决权（即只能对其中1家合格中标候选人投票），得票数最多的合格中标候选人确定为中标人，若出现票数相同且无法决出中标人时，对票数相同的合格中标候选人再进行附加的一次性票决，直至决出中标人。</w:t>
      </w:r>
    </w:p>
    <w:p>
      <w:pPr>
        <w:pBdr>
          <w:bottom w:val="single" w:color="auto" w:sz="6" w:space="1"/>
        </w:pBdr>
        <w:spacing w:line="360" w:lineRule="auto"/>
        <w:ind w:firstLine="420" w:firstLineChars="200"/>
        <w:rPr>
          <w:rFonts w:hint="eastAsia" w:ascii="宋体" w:hAnsi="宋体" w:cs="宋体"/>
          <w:color w:val="auto"/>
          <w:szCs w:val="21"/>
          <w:highlight w:val="none"/>
          <w:u w:val="single"/>
        </w:rPr>
      </w:pPr>
      <w:r>
        <w:rPr>
          <w:rFonts w:ascii="宋体" w:hAnsi="宋体" w:cs="宋体"/>
          <w:color w:val="auto"/>
          <w:szCs w:val="21"/>
          <w:highlight w:val="none"/>
          <w:u w:val="single"/>
        </w:rPr>
        <w:t>43.6.6</w:t>
      </w:r>
      <w:r>
        <w:rPr>
          <w:rFonts w:hint="eastAsia" w:ascii="宋体" w:hAnsi="宋体" w:cs="宋体"/>
          <w:color w:val="auto"/>
          <w:szCs w:val="21"/>
          <w:highlight w:val="none"/>
          <w:u w:val="single"/>
        </w:rPr>
        <w:t>定标委员会根据选票情况确定中标人。</w:t>
      </w:r>
    </w:p>
    <w:p>
      <w:pPr>
        <w:pBdr>
          <w:bottom w:val="single" w:color="auto" w:sz="6" w:space="1"/>
        </w:pBdr>
        <w:spacing w:line="24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43.6.7</w:t>
      </w:r>
      <w:r>
        <w:rPr>
          <w:rFonts w:hint="eastAsia" w:ascii="宋体" w:hAnsi="宋体" w:cs="宋体"/>
          <w:color w:val="auto"/>
          <w:szCs w:val="21"/>
          <w:highlight w:val="none"/>
          <w:u w:val="single"/>
        </w:rPr>
        <w:t>编写定标报告，定标委员会全体确认后签署定标报告</w:t>
      </w:r>
      <w:r>
        <w:rPr>
          <w:rFonts w:hint="eastAsia" w:ascii="宋体" w:hAnsi="宋体" w:cs="宋体"/>
          <w:color w:val="auto"/>
          <w:szCs w:val="21"/>
          <w:highlight w:val="none"/>
          <w:u w:val="single"/>
          <w:lang w:val="en-US" w:eastAsia="zh-CN"/>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 xml:space="preserve">43.7 </w:t>
      </w:r>
      <w:r>
        <w:rPr>
          <w:rFonts w:hint="eastAsia" w:ascii="宋体" w:hAnsi="宋体" w:cs="宋体"/>
          <w:color w:val="auto"/>
          <w:szCs w:val="21"/>
          <w:highlight w:val="none"/>
          <w:u w:val="single"/>
        </w:rPr>
        <w:t>招标人应当在定标工作完成后</w:t>
      </w:r>
      <w:r>
        <w:rPr>
          <w:rFonts w:ascii="宋体" w:hAnsi="宋体" w:cs="宋体"/>
          <w:color w:val="auto"/>
          <w:szCs w:val="21"/>
          <w:highlight w:val="none"/>
          <w:u w:val="single"/>
        </w:rPr>
        <w:t>3日内公示中标结果。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43.8重新评标或定标的，评标信息（含业绩、奖项等）、定标信息仍以投标截止时投标人的信息为准。因特殊原因需要延长投标有效期，投标人拒绝延长投标有效期的，仍参与评标、定标，但不被推荐为合格中标候选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43.9在合格中标候选人公示期间或在定标前</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如有合格中标候选人放弃中标候选人资格或者被查实存在影响中标候选人资格的违法行为等情形</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且合格中标候选人至少有1名的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招标人不再递补其他合格中标候选人，可以继续定标或依法重新招标</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如没有合格中标候选人的，则依法重新招标。</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43.10在定标后，如中标人放弃中标、或因不可抗力提出不能履行合同</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或者招标文件规定应当提交履约担保而在规定的期限内未能提交的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或经核查发现委派的项目负责人已在其他在建项目中担任本职务的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或者被查实存在影响中标结果的违法行为等情形</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招标人有权取消其中标人资格或解除合同</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可由原定标委员会确定定标因素总得分排名第二的合格中标候选人为中标人</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依此类推</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招标人也可以依法重新招标。</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条款号：附表一《资格审查表》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详见本招标文件第二章附表一《资格审查表》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条款号：附表二</w:t>
      </w:r>
      <w:r>
        <w:rPr>
          <w:rFonts w:ascii="宋体" w:hAnsi="宋体" w:cs="宋体"/>
          <w:b/>
          <w:color w:val="auto"/>
          <w:szCs w:val="21"/>
          <w:highlight w:val="none"/>
        </w:rPr>
        <w:t xml:space="preserve"> </w:t>
      </w:r>
      <w:r>
        <w:rPr>
          <w:rFonts w:hint="eastAsia" w:ascii="宋体" w:hAnsi="宋体" w:cs="宋体"/>
          <w:b/>
          <w:color w:val="auto"/>
          <w:szCs w:val="21"/>
          <w:highlight w:val="none"/>
        </w:rPr>
        <w:t>《技术标有效性审查表》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详见本招标文件第二章附表二《技术标有效性审查表》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条款号：附表三《经济标有效性审查表》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详见本招标文件第二章附表三《经济标有效性审查表》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条款号：附表四《技术标详细审查评分表》</w:t>
      </w:r>
      <w:r>
        <w:rPr>
          <w:rFonts w:ascii="宋体" w:hAnsi="宋体" w:cs="宋体"/>
          <w:b/>
          <w:color w:val="auto"/>
          <w:szCs w:val="21"/>
          <w:highlight w:val="none"/>
        </w:rPr>
        <w:t xml:space="preserve">         修改类型：修改</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详见本招标文件第二章附表四《技术标详细审查评分表》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条款号：附表五（适用于区间抽取法）《经济标评分表》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条款号：附表六至附表十</w:t>
      </w:r>
      <w:r>
        <w:rPr>
          <w:rFonts w:hint="eastAsia" w:ascii="宋体" w:hAnsi="宋体" w:cs="宋体"/>
          <w:b/>
          <w:color w:val="auto"/>
          <w:szCs w:val="21"/>
          <w:highlight w:val="none"/>
          <w:lang w:val="en-US" w:eastAsia="zh-CN"/>
        </w:rPr>
        <w:t>二</w:t>
      </w:r>
      <w:r>
        <w:rPr>
          <w:rFonts w:ascii="宋体" w:hAnsi="宋体" w:cs="宋体"/>
          <w:b/>
          <w:color w:val="auto"/>
          <w:szCs w:val="21"/>
          <w:highlight w:val="none"/>
        </w:rPr>
        <w:t xml:space="preserve">                                   </w:t>
      </w:r>
      <w:r>
        <w:rPr>
          <w:rFonts w:hint="eastAsia" w:ascii="宋体" w:hAnsi="宋体" w:cs="宋体"/>
          <w:b/>
          <w:color w:val="auto"/>
          <w:szCs w:val="21"/>
          <w:highlight w:val="none"/>
        </w:rPr>
        <w:t>修改类型：增加</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w:t>
      </w:r>
      <w:r>
        <w:rPr>
          <w:rFonts w:hint="eastAsia" w:ascii="宋体" w:hAnsi="宋体" w:cs="宋体"/>
          <w:bCs/>
          <w:color w:val="auto"/>
          <w:szCs w:val="21"/>
          <w:highlight w:val="none"/>
          <w:u w:val="single"/>
        </w:rPr>
        <w:t>附表六至附表十</w:t>
      </w:r>
      <w:r>
        <w:rPr>
          <w:rFonts w:hint="eastAsia" w:ascii="宋体" w:hAnsi="宋体" w:cs="宋体"/>
          <w:bCs/>
          <w:color w:val="auto"/>
          <w:szCs w:val="21"/>
          <w:highlight w:val="none"/>
          <w:u w:val="single"/>
          <w:lang w:val="en-US" w:eastAsia="zh-CN"/>
        </w:rPr>
        <w:t>二</w:t>
      </w:r>
      <w:r>
        <w:rPr>
          <w:rFonts w:hint="eastAsia" w:ascii="宋体" w:hAnsi="宋体" w:cs="宋体"/>
          <w:bCs/>
          <w:color w:val="auto"/>
          <w:szCs w:val="21"/>
          <w:highlight w:val="none"/>
          <w:u w:val="single"/>
        </w:rPr>
        <w:t>。</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b/>
          <w:bCs/>
          <w:color w:val="auto"/>
          <w:highlight w:val="none"/>
        </w:rPr>
      </w:pPr>
      <w:r>
        <w:rPr>
          <w:rFonts w:hint="eastAsia" w:ascii="宋体" w:hAnsi="宋体" w:cs="宋体"/>
          <w:b/>
          <w:color w:val="auto"/>
          <w:szCs w:val="21"/>
          <w:highlight w:val="none"/>
        </w:rPr>
        <w:t>（以下无正文）</w:t>
      </w:r>
      <w:r>
        <w:rPr>
          <w:rFonts w:ascii="宋体" w:hAnsi="宋体" w:cs="宋体"/>
          <w:b/>
          <w:bCs/>
          <w:color w:val="auto"/>
          <w:highlight w:val="none"/>
        </w:rPr>
        <w:br w:type="page"/>
      </w:r>
    </w:p>
    <w:bookmarkEnd w:id="71"/>
    <w:p>
      <w:pPr>
        <w:pStyle w:val="5"/>
        <w:rPr>
          <w:rFonts w:ascii="宋体" w:hAnsi="宋体"/>
          <w:color w:val="auto"/>
          <w:highlight w:val="none"/>
        </w:rPr>
      </w:pPr>
      <w:bookmarkStart w:id="72" w:name="_Toc13255"/>
      <w:bookmarkStart w:id="73" w:name="_Toc16245"/>
      <w:bookmarkStart w:id="74" w:name="_Toc21407"/>
      <w:bookmarkStart w:id="75" w:name="_Toc112397816"/>
      <w:bookmarkStart w:id="76" w:name="_Toc8628"/>
      <w:r>
        <w:rPr>
          <w:rFonts w:hint="eastAsia" w:ascii="宋体" w:hAnsi="宋体"/>
          <w:color w:val="auto"/>
          <w:highlight w:val="none"/>
        </w:rPr>
        <w:t>二、开标、评标及定标办法</w:t>
      </w:r>
      <w:r>
        <w:rPr>
          <w:rFonts w:hint="eastAsia" w:ascii="宋体" w:hAnsi="宋体"/>
          <w:color w:val="auto"/>
          <w:szCs w:val="30"/>
          <w:highlight w:val="none"/>
        </w:rPr>
        <w:t>通用条款</w:t>
      </w:r>
      <w:bookmarkEnd w:id="72"/>
      <w:bookmarkEnd w:id="73"/>
      <w:bookmarkEnd w:id="74"/>
      <w:bookmarkEnd w:id="75"/>
      <w:bookmarkEnd w:id="76"/>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77" w:name="_Toc112397817"/>
      <w:bookmarkStart w:id="78" w:name="_Toc28999"/>
      <w:bookmarkStart w:id="79" w:name="_Toc15382"/>
      <w:bookmarkStart w:id="80" w:name="_Toc10423"/>
      <w:bookmarkStart w:id="81" w:name="_Toc14448"/>
      <w:bookmarkStart w:id="82" w:name="_Toc58838579"/>
      <w:r>
        <w:rPr>
          <w:rFonts w:hint="eastAsia" w:ascii="宋体" w:hAnsi="宋体" w:cs="宋体"/>
          <w:color w:val="auto"/>
          <w:kern w:val="0"/>
          <w:sz w:val="24"/>
          <w:szCs w:val="24"/>
          <w:highlight w:val="none"/>
        </w:rPr>
        <w:t>（一）总则</w:t>
      </w:r>
      <w:bookmarkEnd w:id="77"/>
      <w:bookmarkEnd w:id="78"/>
      <w:bookmarkEnd w:id="79"/>
      <w:bookmarkEnd w:id="80"/>
      <w:bookmarkEnd w:id="81"/>
      <w:bookmarkEnd w:id="82"/>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35 </w:t>
      </w:r>
      <w:r>
        <w:rPr>
          <w:rFonts w:hint="eastAsia" w:ascii="宋体" w:hAnsi="宋体"/>
          <w:color w:val="auto"/>
          <w:sz w:val="24"/>
          <w:szCs w:val="24"/>
          <w:highlight w:val="none"/>
        </w:rPr>
        <w:t>开标、评标及定标所依据的规则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35.1</w:t>
      </w:r>
      <w:r>
        <w:rPr>
          <w:rFonts w:hint="eastAsia" w:ascii="宋体" w:hAnsi="宋体"/>
          <w:color w:val="auto"/>
          <w:sz w:val="24"/>
          <w:szCs w:val="24"/>
          <w:highlight w:val="none"/>
        </w:rPr>
        <w:t>《中华人民共和国招标投标法》；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35.2</w:t>
      </w:r>
      <w:r>
        <w:rPr>
          <w:rFonts w:hint="eastAsia" w:ascii="宋体" w:hAnsi="宋体"/>
          <w:color w:val="auto"/>
          <w:sz w:val="24"/>
          <w:szCs w:val="24"/>
          <w:highlight w:val="none"/>
        </w:rPr>
        <w:t>《中华人民共和国招标投标法实施条例》；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35.3</w:t>
      </w:r>
      <w:r>
        <w:rPr>
          <w:rFonts w:hint="eastAsia" w:ascii="宋体" w:hAnsi="宋体"/>
          <w:color w:val="auto"/>
          <w:sz w:val="24"/>
          <w:szCs w:val="24"/>
          <w:highlight w:val="none"/>
        </w:rPr>
        <w:t>《评标委员会和评标方法暂行规定》（七部委第</w:t>
      </w:r>
      <w:r>
        <w:rPr>
          <w:rFonts w:ascii="宋体" w:hAnsi="宋体"/>
          <w:color w:val="auto"/>
          <w:sz w:val="24"/>
          <w:szCs w:val="24"/>
          <w:highlight w:val="none"/>
        </w:rPr>
        <w:t>12</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35.4</w:t>
      </w:r>
      <w:r>
        <w:rPr>
          <w:rFonts w:hint="eastAsia" w:ascii="宋体" w:hAnsi="宋体"/>
          <w:color w:val="auto"/>
          <w:sz w:val="24"/>
          <w:szCs w:val="24"/>
          <w:highlight w:val="none"/>
        </w:rPr>
        <w:t>《工程建设项目施工招标投标办法》（七部委</w:t>
      </w:r>
      <w:r>
        <w:rPr>
          <w:rFonts w:ascii="宋体" w:hAnsi="宋体"/>
          <w:color w:val="auto"/>
          <w:sz w:val="24"/>
          <w:szCs w:val="24"/>
          <w:highlight w:val="none"/>
        </w:rPr>
        <w:t>2003</w:t>
      </w:r>
      <w:r>
        <w:rPr>
          <w:rFonts w:hint="eastAsia" w:ascii="宋体" w:hAnsi="宋体"/>
          <w:color w:val="auto"/>
          <w:sz w:val="24"/>
          <w:szCs w:val="24"/>
          <w:highlight w:val="none"/>
        </w:rPr>
        <w:t>年第</w:t>
      </w:r>
      <w:r>
        <w:rPr>
          <w:rFonts w:ascii="宋体" w:hAnsi="宋体"/>
          <w:color w:val="auto"/>
          <w:sz w:val="24"/>
          <w:szCs w:val="24"/>
          <w:highlight w:val="none"/>
        </w:rPr>
        <w:t>30</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35.5</w:t>
      </w:r>
      <w:r>
        <w:rPr>
          <w:rFonts w:hint="eastAsia" w:ascii="宋体" w:hAnsi="宋体"/>
          <w:color w:val="auto"/>
          <w:sz w:val="24"/>
          <w:szCs w:val="24"/>
          <w:highlight w:val="none"/>
        </w:rPr>
        <w:t>《广东省实施〈中华人民共和国招标投标法〉办法》；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35.6</w:t>
      </w:r>
      <w:r>
        <w:rPr>
          <w:rFonts w:hint="eastAsia" w:ascii="宋体" w:hAnsi="宋体"/>
          <w:color w:val="auto"/>
          <w:sz w:val="24"/>
          <w:szCs w:val="24"/>
          <w:highlight w:val="none"/>
        </w:rPr>
        <w:t>《房屋建筑和市政基础设施工程施工招标投标管理办法》（建设部令第</w:t>
      </w:r>
      <w:r>
        <w:rPr>
          <w:rFonts w:ascii="宋体" w:hAnsi="宋体"/>
          <w:color w:val="auto"/>
          <w:sz w:val="24"/>
          <w:szCs w:val="24"/>
          <w:highlight w:val="none"/>
        </w:rPr>
        <w:t>89</w:t>
      </w:r>
      <w:r>
        <w:rPr>
          <w:rFonts w:hint="eastAsia" w:ascii="宋体" w:hAnsi="宋体"/>
          <w:color w:val="auto"/>
          <w:sz w:val="24"/>
          <w:szCs w:val="24"/>
          <w:highlight w:val="none"/>
        </w:rPr>
        <w:t>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35.7</w:t>
      </w:r>
      <w:r>
        <w:rPr>
          <w:rFonts w:hint="eastAsia" w:ascii="宋体" w:hAnsi="宋体"/>
          <w:color w:val="auto"/>
          <w:sz w:val="24"/>
          <w:szCs w:val="24"/>
          <w:highlight w:val="none"/>
        </w:rPr>
        <w:t>《广东省加强建设工程招标投标监督管理的若干规定》（粤发</w:t>
      </w:r>
      <w:r>
        <w:rPr>
          <w:rFonts w:ascii="宋体" w:hAnsi="宋体"/>
          <w:color w:val="auto"/>
          <w:sz w:val="24"/>
          <w:szCs w:val="24"/>
          <w:highlight w:val="none"/>
        </w:rPr>
        <w:t>[2004]4号）；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35.8</w:t>
      </w:r>
      <w:r>
        <w:rPr>
          <w:rFonts w:hint="eastAsia" w:ascii="宋体" w:hAnsi="宋体"/>
          <w:color w:val="auto"/>
          <w:sz w:val="24"/>
          <w:szCs w:val="24"/>
          <w:highlight w:val="none"/>
        </w:rPr>
        <w:t>《广州市工程建设项目招标投标管理办法》（穗建规字〔2023〕12号）；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35.9本项目招标文件。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w:t>
      </w:r>
      <w:r>
        <w:rPr>
          <w:rFonts w:hint="eastAsia" w:ascii="宋体" w:hAnsi="宋体"/>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36.1 </w:t>
      </w:r>
      <w:r>
        <w:rPr>
          <w:rFonts w:hint="eastAsia" w:ascii="宋体" w:hAnsi="宋体"/>
          <w:color w:val="auto"/>
          <w:sz w:val="24"/>
          <w:szCs w:val="24"/>
          <w:highlight w:val="none"/>
        </w:rPr>
        <w:t>招标人按投标须知前附表第</w:t>
      </w:r>
      <w:r>
        <w:rPr>
          <w:rFonts w:ascii="宋体" w:hAnsi="宋体"/>
          <w:color w:val="auto"/>
          <w:sz w:val="24"/>
          <w:szCs w:val="24"/>
          <w:highlight w:val="none"/>
        </w:rPr>
        <w:t>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36.2 招标人在招标文件要求提交投标文件的截止时间前收到的投标文件，开标时都当众予以解密、公布。</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36.4若递交投标文件的投标人不足3家，则重新组织招标。（当N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N+2家，则重新组织招标）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36.5按下列程序进行开标：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36.5.2备用光盘的读取按投标须知前附表第36项的规定执行；</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36.5.3投标人代表、招标人代表、监标人、记录人等有关人员在开标记录上签字确</w:t>
      </w:r>
      <w:r>
        <w:rPr>
          <w:rFonts w:hint="eastAsia" w:ascii="宋体" w:hAnsi="宋体"/>
          <w:color w:val="auto"/>
          <w:sz w:val="24"/>
          <w:szCs w:val="24"/>
          <w:highlight w:val="none"/>
        </w:rPr>
        <w:t>认；若有关人员不签字的，不影响开标程序；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36.5.4开标结束。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w:t>
      </w:r>
      <w:r>
        <w:rPr>
          <w:rFonts w:hint="eastAsia" w:ascii="宋体" w:hAnsi="宋体"/>
          <w:color w:val="auto"/>
          <w:sz w:val="24"/>
          <w:szCs w:val="24"/>
          <w:highlight w:val="none"/>
        </w:rPr>
        <w:t>．评标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37.1</w:t>
      </w:r>
      <w:r>
        <w:rPr>
          <w:rFonts w:hint="eastAsia" w:ascii="宋体" w:hAnsi="宋体"/>
          <w:color w:val="auto"/>
          <w:sz w:val="24"/>
          <w:szCs w:val="24"/>
          <w:highlight w:val="none"/>
        </w:rPr>
        <w:t>评标委员会由招标人依法组建。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w:t>
      </w:r>
      <w:r>
        <w:rPr>
          <w:rFonts w:hint="eastAsia" w:ascii="宋体" w:hAnsi="宋体"/>
          <w:color w:val="auto"/>
          <w:sz w:val="24"/>
          <w:szCs w:val="24"/>
          <w:highlight w:val="none"/>
        </w:rPr>
        <w:t>评标委员会的职责及守则：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37.2.1</w:t>
      </w:r>
      <w:r>
        <w:rPr>
          <w:rFonts w:hint="eastAsia" w:ascii="宋体" w:hAnsi="宋体"/>
          <w:color w:val="auto"/>
          <w:sz w:val="24"/>
          <w:szCs w:val="24"/>
          <w:highlight w:val="none"/>
        </w:rPr>
        <w:t>根据评标细则，对投标文件进行认真评审，完成评审报告；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37.2.2</w:t>
      </w:r>
      <w:r>
        <w:rPr>
          <w:rFonts w:hint="eastAsia" w:ascii="宋体" w:hAnsi="宋体"/>
          <w:color w:val="auto"/>
          <w:sz w:val="24"/>
          <w:szCs w:val="24"/>
          <w:highlight w:val="none"/>
        </w:rPr>
        <w:t>向招标人报告评审意见，推荐合格的中标候选人。</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37.2.3</w:t>
      </w:r>
      <w:r>
        <w:rPr>
          <w:rFonts w:ascii="宋体" w:hAnsi="宋体"/>
          <w:b/>
          <w:bCs/>
          <w:color w:val="auto"/>
          <w:sz w:val="24"/>
          <w:szCs w:val="24"/>
          <w:highlight w:val="none"/>
        </w:rPr>
        <w:t xml:space="preserve"> </w:t>
      </w:r>
      <w:r>
        <w:rPr>
          <w:rFonts w:hint="eastAsia" w:ascii="宋体" w:hAnsi="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37.2.4</w:t>
      </w:r>
      <w:r>
        <w:rPr>
          <w:rFonts w:hint="eastAsia" w:ascii="宋体" w:hAnsi="宋体"/>
          <w:color w:val="auto"/>
          <w:sz w:val="24"/>
          <w:szCs w:val="24"/>
          <w:highlight w:val="none"/>
        </w:rPr>
        <w:t>全体参与评标人员：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37.2.4.1 </w:t>
      </w:r>
      <w:r>
        <w:rPr>
          <w:rFonts w:hint="eastAsia" w:ascii="宋体" w:hAnsi="宋体"/>
          <w:color w:val="auto"/>
          <w:sz w:val="24"/>
          <w:szCs w:val="24"/>
          <w:highlight w:val="none"/>
        </w:rPr>
        <w:t>必须遵守评标纪律、不得泄密；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37.2.4.2 </w:t>
      </w:r>
      <w:r>
        <w:rPr>
          <w:rFonts w:hint="eastAsia" w:ascii="宋体" w:hAnsi="宋体"/>
          <w:color w:val="auto"/>
          <w:sz w:val="24"/>
          <w:szCs w:val="24"/>
          <w:highlight w:val="none"/>
        </w:rPr>
        <w:t>必须公正、不得循私；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37.2.4.3 </w:t>
      </w:r>
      <w:r>
        <w:rPr>
          <w:rFonts w:hint="eastAsia" w:ascii="宋体" w:hAnsi="宋体"/>
          <w:color w:val="auto"/>
          <w:sz w:val="24"/>
          <w:szCs w:val="24"/>
          <w:highlight w:val="none"/>
        </w:rPr>
        <w:t>必须科学、不得草率；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37.2.4.4 </w:t>
      </w:r>
      <w:r>
        <w:rPr>
          <w:rFonts w:hint="eastAsia" w:ascii="宋体" w:hAnsi="宋体"/>
          <w:color w:val="auto"/>
          <w:sz w:val="24"/>
          <w:szCs w:val="24"/>
          <w:highlight w:val="none"/>
        </w:rPr>
        <w:t>必须客观、不得带有成见；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37.2.4.5 </w:t>
      </w:r>
      <w:r>
        <w:rPr>
          <w:rFonts w:hint="eastAsia" w:ascii="宋体" w:hAnsi="宋体"/>
          <w:color w:val="auto"/>
          <w:sz w:val="24"/>
          <w:szCs w:val="24"/>
          <w:highlight w:val="none"/>
        </w:rPr>
        <w:t>必须平等、不得强加于人；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37.2.4.6 </w:t>
      </w:r>
      <w:r>
        <w:rPr>
          <w:rFonts w:hint="eastAsia" w:ascii="宋体" w:hAnsi="宋体"/>
          <w:color w:val="auto"/>
          <w:sz w:val="24"/>
          <w:szCs w:val="24"/>
          <w:highlight w:val="none"/>
        </w:rPr>
        <w:t>必须严谨、不得随意马虎。</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37.3 </w:t>
      </w:r>
      <w:r>
        <w:rPr>
          <w:rFonts w:hint="eastAsia" w:ascii="宋体" w:hAnsi="宋体"/>
          <w:color w:val="auto"/>
          <w:sz w:val="24"/>
          <w:szCs w:val="24"/>
          <w:highlight w:val="non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37.4评标结束后，评标委员会递交评标报告并依法推荐中标候选人。</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w:t>
      </w:r>
      <w:r>
        <w:rPr>
          <w:rFonts w:hint="eastAsia" w:ascii="宋体" w:hAnsi="宋体"/>
          <w:color w:val="auto"/>
          <w:sz w:val="24"/>
          <w:szCs w:val="24"/>
          <w:highlight w:val="none"/>
        </w:rPr>
        <w:t>．投标文件的澄清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38.1</w:t>
      </w:r>
      <w:r>
        <w:rPr>
          <w:rFonts w:hint="eastAsia" w:ascii="宋体" w:hAnsi="宋体"/>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38.2 </w:t>
      </w:r>
      <w:r>
        <w:rPr>
          <w:rFonts w:hint="eastAsia" w:ascii="宋体" w:hAnsi="宋体"/>
          <w:color w:val="auto"/>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38.3 </w:t>
      </w:r>
      <w:r>
        <w:rPr>
          <w:rFonts w:hint="eastAsia" w:ascii="宋体" w:hAnsi="宋体"/>
          <w:color w:val="auto"/>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38.4</w:t>
      </w:r>
      <w:r>
        <w:rPr>
          <w:rFonts w:hint="eastAsia" w:ascii="宋体" w:hAnsi="宋体"/>
          <w:color w:val="auto"/>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w:t>
      </w:r>
      <w:r>
        <w:rPr>
          <w:rFonts w:hint="eastAsia" w:ascii="宋体" w:hAnsi="宋体"/>
          <w:color w:val="auto"/>
          <w:sz w:val="24"/>
          <w:szCs w:val="24"/>
          <w:highlight w:val="none"/>
        </w:rPr>
        <w:t>．定标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39.1 </w:t>
      </w:r>
      <w:r>
        <w:rPr>
          <w:rFonts w:hint="eastAsia" w:ascii="宋体" w:hAnsi="宋体"/>
          <w:color w:val="auto"/>
          <w:sz w:val="24"/>
          <w:szCs w:val="24"/>
          <w:highlight w:val="none"/>
        </w:rPr>
        <w:t>招标人根据评标委员会递交的评标报告，最终审定中标人。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39.2 </w:t>
      </w:r>
      <w:r>
        <w:rPr>
          <w:rFonts w:hint="eastAsia" w:ascii="宋体" w:hAnsi="宋体"/>
          <w:color w:val="auto"/>
          <w:sz w:val="24"/>
          <w:szCs w:val="24"/>
          <w:highlight w:val="none"/>
        </w:rPr>
        <w:t>依法必须进行公开招标的项目，招标人应当确定排名第一的中标候选人为中标人。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39.3</w:t>
      </w:r>
      <w:r>
        <w:rPr>
          <w:rFonts w:hint="eastAsia" w:ascii="宋体" w:hAnsi="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39.4</w:t>
      </w:r>
      <w:r>
        <w:rPr>
          <w:rFonts w:hint="eastAsia" w:ascii="宋体" w:hAnsi="宋体"/>
          <w:color w:val="auto"/>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39.5 </w:t>
      </w:r>
      <w:r>
        <w:rPr>
          <w:rFonts w:hint="eastAsia" w:ascii="宋体" w:hAnsi="宋体"/>
          <w:color w:val="auto"/>
          <w:sz w:val="24"/>
          <w:szCs w:val="24"/>
          <w:highlight w:val="none"/>
        </w:rPr>
        <w:t>重新评标的，评标信息（含业绩、奖项等）仍以投标截止时投标人的信息为准。因特殊原因需要延长投标有效期，投标人拒绝延长投标有效期的，仍参与评标，但不被推荐为中标候选人。</w:t>
      </w:r>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83" w:name="_Toc58838580"/>
      <w:bookmarkStart w:id="84" w:name="_Toc25909"/>
      <w:bookmarkStart w:id="85" w:name="_Toc112397818"/>
      <w:bookmarkStart w:id="86" w:name="_Toc26728"/>
      <w:bookmarkStart w:id="87" w:name="_Toc20188"/>
      <w:bookmarkStart w:id="88" w:name="_Toc6061"/>
      <w:r>
        <w:rPr>
          <w:rFonts w:hint="eastAsia" w:ascii="宋体" w:hAnsi="宋体" w:cs="宋体"/>
          <w:color w:val="auto"/>
          <w:kern w:val="0"/>
          <w:sz w:val="24"/>
          <w:szCs w:val="24"/>
          <w:highlight w:val="none"/>
        </w:rPr>
        <w:t>（二）开标评标办法程序和细则</w:t>
      </w:r>
      <w:bookmarkEnd w:id="83"/>
      <w:bookmarkEnd w:id="84"/>
      <w:bookmarkEnd w:id="85"/>
      <w:bookmarkEnd w:id="86"/>
      <w:bookmarkEnd w:id="87"/>
      <w:bookmarkEnd w:id="88"/>
    </w:p>
    <w:p>
      <w:pPr>
        <w:spacing w:line="360" w:lineRule="auto"/>
        <w:ind w:firstLine="480" w:firstLineChars="200"/>
        <w:rPr>
          <w:rFonts w:ascii="宋体" w:hAnsi="宋体"/>
          <w:strike/>
          <w:color w:val="auto"/>
          <w:sz w:val="24"/>
          <w:szCs w:val="24"/>
          <w:highlight w:val="none"/>
        </w:rPr>
      </w:pPr>
      <w:r>
        <w:rPr>
          <w:rFonts w:hint="eastAsia" w:ascii="宋体" w:hAnsi="宋体"/>
          <w:strike/>
          <w:color w:val="auto"/>
          <w:sz w:val="24"/>
          <w:szCs w:val="24"/>
          <w:highlight w:val="none"/>
        </w:rPr>
        <w:t>注：以下八种评标办法所述企业诚信综合评价分数即投标截止当日广州市工程招标代理行业协会网站上公布的企业诚信综合评价</w:t>
      </w:r>
      <w:r>
        <w:rPr>
          <w:rFonts w:ascii="宋体" w:hAnsi="宋体"/>
          <w:strike/>
          <w:color w:val="auto"/>
          <w:sz w:val="24"/>
          <w:szCs w:val="24"/>
          <w:highlight w:val="none"/>
        </w:rPr>
        <w:t>60</w:t>
      </w:r>
      <w:r>
        <w:rPr>
          <w:rFonts w:hint="eastAsia" w:ascii="宋体" w:hAnsi="宋体"/>
          <w:strike/>
          <w:color w:val="auto"/>
          <w:sz w:val="24"/>
          <w:szCs w:val="24"/>
          <w:highlight w:val="none"/>
        </w:rPr>
        <w:t>日诚信分。</w:t>
      </w:r>
    </w:p>
    <w:p>
      <w:pPr>
        <w:spacing w:line="360" w:lineRule="auto"/>
        <w:ind w:firstLine="480" w:firstLineChars="200"/>
        <w:rPr>
          <w:rFonts w:ascii="宋体" w:hAnsi="宋体"/>
          <w:color w:val="auto"/>
          <w:sz w:val="24"/>
          <w:szCs w:val="24"/>
          <w:highlight w:val="none"/>
        </w:rPr>
      </w:pPr>
    </w:p>
    <w:p>
      <w:pPr>
        <w:spacing w:line="360" w:lineRule="auto"/>
        <w:jc w:val="left"/>
        <w:rPr>
          <w:rFonts w:ascii="宋体" w:hAnsi="宋体" w:cs="宋体"/>
          <w:color w:val="auto"/>
          <w:sz w:val="24"/>
          <w:szCs w:val="24"/>
          <w:highlight w:val="none"/>
        </w:rPr>
      </w:pPr>
    </w:p>
    <w:p>
      <w:pPr>
        <w:pStyle w:val="6"/>
        <w:rPr>
          <w:color w:val="auto"/>
          <w:highlight w:val="none"/>
        </w:rPr>
      </w:pPr>
      <w:bookmarkStart w:id="89" w:name="_Toc31320"/>
      <w:bookmarkStart w:id="90" w:name="_Toc21525508"/>
      <w:bookmarkStart w:id="91" w:name="_Toc2272563"/>
      <w:bookmarkStart w:id="92" w:name="_Toc5496"/>
      <w:bookmarkStart w:id="93" w:name="_Toc31797"/>
      <w:bookmarkStart w:id="94" w:name="_Toc26815"/>
      <w:bookmarkStart w:id="95" w:name="_Toc112397819"/>
      <w:r>
        <w:rPr>
          <w:rFonts w:hint="eastAsia"/>
          <w:color w:val="auto"/>
          <w:highlight w:val="none"/>
        </w:rPr>
        <w:t>可选办法六（适合综合评分法三，技术标与经济标同时开启）</w:t>
      </w:r>
      <w:bookmarkEnd w:id="89"/>
      <w:bookmarkEnd w:id="90"/>
      <w:bookmarkEnd w:id="91"/>
      <w:bookmarkEnd w:id="92"/>
      <w:bookmarkEnd w:id="93"/>
      <w:bookmarkEnd w:id="94"/>
      <w:bookmarkEnd w:id="95"/>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40．开标和评标程序：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40.1投标人递交技术标、经济标投标文件；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40.2技术标与经济标投标文件同时公开开标；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40.3由评标委员会对所有已公开开标的投标人进行资格审查；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40.4技术标投标文件有效性审查；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40.5技术标详细审查评分；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40.6计算第一阶段得分，并按照总分从高到低排列先后次序，编写第一阶段评审报告；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40.7按投标须知前附表第25项规定，确定进入第二阶段评审的投标人；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40.8将进入第二阶段评审的投标人进行排序；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40.9按排序对经济标投标文件进行有效性审查（含投标报价算术校核），直至评出所有中标候选人；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40.10评标委员会编写评标报告，向招标人推荐中标候选人名单。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41. </w:t>
      </w:r>
      <w:r>
        <w:rPr>
          <w:rFonts w:hint="eastAsia" w:ascii="宋体" w:hAnsi="宋体"/>
          <w:color w:val="auto"/>
          <w:sz w:val="24"/>
          <w:szCs w:val="24"/>
          <w:highlight w:val="none"/>
        </w:rPr>
        <w:t>开标细则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41.1开标由招标人主持；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41.2.1投标截止期前，各投标人递交投标文件（包括技术标投标文件、经济标投标文件）至</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交易平台。有关投标文件提交的事项详见第一章投标须知。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41.2.2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41.3按36.5.1的规定完成解密后，公布下列内容，并予以记录，记录提交评标委员会评审：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41.3.1开标时，公布：a、投标人名称；b、</w:t>
      </w:r>
      <w:r>
        <w:rPr>
          <w:rFonts w:hint="eastAsia" w:ascii="宋体" w:hAnsi="宋体"/>
          <w:color w:val="auto"/>
          <w:sz w:val="24"/>
          <w:highlight w:val="none"/>
        </w:rPr>
        <w:t>投标文件</w:t>
      </w:r>
      <w:r>
        <w:rPr>
          <w:rFonts w:hint="eastAsia" w:ascii="宋体" w:hAnsi="宋体"/>
          <w:color w:val="auto"/>
          <w:sz w:val="24"/>
          <w:szCs w:val="24"/>
          <w:highlight w:val="none"/>
        </w:rPr>
        <w:t>密封情况；</w:t>
      </w:r>
      <w:r>
        <w:rPr>
          <w:rFonts w:ascii="宋体" w:hAnsi="宋体"/>
          <w:color w:val="auto"/>
          <w:sz w:val="24"/>
          <w:szCs w:val="24"/>
          <w:highlight w:val="none"/>
        </w:rPr>
        <w:t>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41.4招标人对开标过程进行记录，并存档备查，投标人在开标记录上签字。</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41.5 </w:t>
      </w:r>
      <w:r>
        <w:rPr>
          <w:rFonts w:hint="eastAsia" w:ascii="宋体" w:hAnsi="宋体"/>
          <w:color w:val="auto"/>
          <w:sz w:val="24"/>
          <w:szCs w:val="24"/>
          <w:highlight w:val="none"/>
        </w:rPr>
        <w:t>招标人将上述符合要求的投标文件，送至评标委员会进行评审。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42. </w:t>
      </w:r>
      <w:r>
        <w:rPr>
          <w:rFonts w:hint="eastAsia" w:ascii="宋体" w:hAnsi="宋体"/>
          <w:color w:val="auto"/>
          <w:sz w:val="24"/>
          <w:szCs w:val="24"/>
          <w:highlight w:val="none"/>
        </w:rPr>
        <w:t>评标细则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42.1评标委员会的组成：方式</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方式一：评标委员会为综合评标委员会，负责评标工作。</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方式二：评标委员会由技术评审组和经济评审组组成。其中：资格审查、技术评审由技术评标组负责，经济评审由经济评审组负责。</w:t>
      </w:r>
      <w:r>
        <w:rPr>
          <w:rFonts w:ascii="宋体" w:hAnsi="宋体" w:cs="宋体"/>
          <w:color w:val="auto"/>
          <w:kern w:val="0"/>
          <w:sz w:val="24"/>
          <w:szCs w:val="24"/>
          <w:highlight w:val="none"/>
        </w:rPr>
        <w:t xml:space="preserve"> </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42.2投标人资格审查</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42.2.2汇总资格审查情况，编写资格审查报告。</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42.2.3资格审查不合格的投标文件不参加下一阶段的评标，不参与评标参考价的计算。</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42.3 </w:t>
      </w:r>
      <w:r>
        <w:rPr>
          <w:rFonts w:hint="eastAsia" w:ascii="宋体" w:hAnsi="宋体"/>
          <w:color w:val="auto"/>
          <w:sz w:val="24"/>
          <w:szCs w:val="24"/>
          <w:highlight w:val="none"/>
        </w:rPr>
        <w:t>第一阶段评审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w:t>
      </w:r>
      <w:r>
        <w:rPr>
          <w:rFonts w:hint="eastAsia" w:ascii="宋体" w:hAnsi="宋体"/>
          <w:color w:val="auto"/>
          <w:sz w:val="24"/>
          <w:szCs w:val="24"/>
          <w:highlight w:val="none"/>
        </w:rPr>
        <w:t>澄清、说明后再判定投标人是否通过有效性审查，不得直接否决投标。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42.3.2</w:t>
      </w:r>
      <w:r>
        <w:rPr>
          <w:rFonts w:ascii="宋体" w:hAnsi="宋体"/>
          <w:color w:val="auto"/>
          <w:sz w:val="24"/>
          <w:szCs w:val="24"/>
          <w:highlight w:val="none"/>
          <w:u w:val="single"/>
        </w:rPr>
        <w:t xml:space="preserve">     </w:t>
      </w:r>
      <w:r>
        <w:rPr>
          <w:rFonts w:hint="eastAsia" w:ascii="宋体" w:hAnsi="宋体"/>
          <w:color w:val="auto"/>
          <w:sz w:val="24"/>
          <w:szCs w:val="24"/>
          <w:highlight w:val="none"/>
        </w:rPr>
        <w:t>详细审查评分：评标委员会按照本办法附表</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r>
        <w:rPr>
          <w:rFonts w:hint="eastAsia" w:ascii="宋体" w:hAnsi="宋体"/>
          <w:color w:val="auto"/>
          <w:sz w:val="24"/>
          <w:szCs w:val="24"/>
          <w:highlight w:val="none"/>
        </w:rPr>
        <w:t>详细审查评分表》对通过技术标有效性审查的投标文件进行详细审查，评出</w:t>
      </w:r>
      <w:r>
        <w:rPr>
          <w:rFonts w:ascii="宋体" w:hAnsi="宋体"/>
          <w:color w:val="auto"/>
          <w:sz w:val="24"/>
          <w:szCs w:val="24"/>
          <w:highlight w:val="none"/>
          <w:u w:val="single"/>
        </w:rPr>
        <w:t xml:space="preserve">     </w:t>
      </w:r>
      <w:r>
        <w:rPr>
          <w:rFonts w:hint="eastAsia" w:ascii="宋体" w:hAnsi="宋体"/>
          <w:color w:val="auto"/>
          <w:sz w:val="24"/>
          <w:szCs w:val="24"/>
          <w:highlight w:val="none"/>
        </w:rPr>
        <w:t>得分。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42.3.4评标委员会按照“第一阶段得分=</w:t>
      </w:r>
      <w:r>
        <w:rPr>
          <w:rFonts w:ascii="宋体" w:hAnsi="宋体"/>
          <w:color w:val="auto"/>
          <w:sz w:val="24"/>
          <w:szCs w:val="24"/>
          <w:highlight w:val="none"/>
          <w:u w:val="single"/>
        </w:rPr>
        <w:t xml:space="preserve">               </w:t>
      </w:r>
      <w:r>
        <w:rPr>
          <w:rFonts w:hint="eastAsia" w:ascii="宋体" w:hAnsi="宋体"/>
          <w:color w:val="auto"/>
          <w:sz w:val="24"/>
          <w:szCs w:val="24"/>
          <w:highlight w:val="none"/>
        </w:rPr>
        <w:t>的公式及投标须知前附表第</w:t>
      </w:r>
      <w:r>
        <w:rPr>
          <w:rFonts w:ascii="宋体" w:hAnsi="宋体"/>
          <w:color w:val="auto"/>
          <w:sz w:val="24"/>
          <w:szCs w:val="24"/>
          <w:highlight w:val="none"/>
        </w:rPr>
        <w:t>27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42.3.5招标人应在《投标须知前附表》中明确选择使用施工企业总排名或相应的施工专业承包排名计分。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 第二阶段评审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42.4.1</w:t>
      </w:r>
      <w:r>
        <w:rPr>
          <w:rFonts w:hint="eastAsia" w:ascii="宋体" w:hAnsi="宋体"/>
          <w:color w:val="auto"/>
          <w:sz w:val="24"/>
          <w:szCs w:val="24"/>
          <w:highlight w:val="none"/>
        </w:rPr>
        <w:t>按照投标须知前附表第</w:t>
      </w:r>
      <w:r>
        <w:rPr>
          <w:rFonts w:ascii="宋体" w:hAnsi="宋体"/>
          <w:color w:val="auto"/>
          <w:sz w:val="24"/>
          <w:szCs w:val="24"/>
          <w:highlight w:val="none"/>
        </w:rPr>
        <w:t>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投标文件经济标的评分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.1按方法</w:t>
      </w:r>
      <w:r>
        <w:rPr>
          <w:rFonts w:ascii="宋体" w:hAnsi="宋体"/>
          <w:color w:val="auto"/>
          <w:sz w:val="24"/>
          <w:szCs w:val="24"/>
          <w:highlight w:val="none"/>
          <w:u w:val="single"/>
        </w:rPr>
        <w:t xml:space="preserve">    </w:t>
      </w:r>
      <w:r>
        <w:rPr>
          <w:rFonts w:hint="eastAsia" w:ascii="宋体" w:hAnsi="宋体"/>
          <w:color w:val="auto"/>
          <w:sz w:val="24"/>
          <w:szCs w:val="24"/>
          <w:highlight w:val="none"/>
        </w:rPr>
        <w:t>计算评标参考价：</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方法一：加权平均法</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技术标或技术标加诚信得分或第一阶段入围得分（具体由招标人自定）前</w:t>
      </w:r>
      <w:r>
        <w:rPr>
          <w:rFonts w:ascii="宋体" w:hAnsi="宋体" w:cs="仿宋"/>
          <w:color w:val="auto"/>
          <w:sz w:val="24"/>
          <w:szCs w:val="24"/>
          <w:highlight w:val="none"/>
        </w:rPr>
        <w:t>N</w:t>
      </w:r>
      <w:r>
        <w:rPr>
          <w:rFonts w:hint="eastAsia" w:ascii="宋体" w:hAnsi="宋体" w:cs="仿宋"/>
          <w:color w:val="auto"/>
          <w:sz w:val="24"/>
          <w:szCs w:val="24"/>
          <w:highlight w:val="none"/>
        </w:rPr>
        <w:t>名（</w:t>
      </w:r>
      <w:r>
        <w:rPr>
          <w:rFonts w:ascii="宋体" w:hAnsi="宋体" w:cs="仿宋"/>
          <w:color w:val="auto"/>
          <w:sz w:val="24"/>
          <w:szCs w:val="24"/>
          <w:highlight w:val="none"/>
        </w:rPr>
        <w:t>N≥5，具体由招标人自定）的经济报价加权平均，计算评标参考价。公式如下：</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评标参考价</w:t>
      </w:r>
      <w:r>
        <w:rPr>
          <w:rFonts w:ascii="宋体" w:hAnsi="宋体" w:cs="仿宋"/>
          <w:color w:val="auto"/>
          <w:sz w:val="24"/>
          <w:szCs w:val="24"/>
          <w:highlight w:val="none"/>
        </w:rPr>
        <w:t>=</w:t>
      </w:r>
      <w:r>
        <w:rPr>
          <w:rFonts w:hint="eastAsia" w:ascii="宋体" w:hAnsi="宋体" w:cs="仿宋"/>
          <w:color w:val="auto"/>
          <w:sz w:val="24"/>
          <w:szCs w:val="24"/>
          <w:highlight w:val="none"/>
        </w:rPr>
        <w:t>Σ（投标人的投标报价</w:t>
      </w:r>
      <w:r>
        <w:rPr>
          <w:rFonts w:ascii="宋体" w:hAnsi="宋体" w:cs="仿宋"/>
          <w:color w:val="auto"/>
          <w:sz w:val="24"/>
          <w:szCs w:val="24"/>
          <w:highlight w:val="none"/>
        </w:rPr>
        <w:t>*</w:t>
      </w:r>
      <w:r>
        <w:rPr>
          <w:rFonts w:hint="eastAsia" w:ascii="宋体" w:hAnsi="宋体" w:cs="仿宋"/>
          <w:color w:val="auto"/>
          <w:sz w:val="24"/>
          <w:szCs w:val="24"/>
          <w:highlight w:val="none"/>
        </w:rPr>
        <w:t>报价权重）。</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其中：报价权重的计算方法为：将</w:t>
      </w:r>
      <w:r>
        <w:rPr>
          <w:rFonts w:ascii="宋体" w:hAnsi="宋体" w:cs="仿宋"/>
          <w:color w:val="auto"/>
          <w:sz w:val="24"/>
          <w:szCs w:val="24"/>
          <w:highlight w:val="none"/>
        </w:rPr>
        <w:t>N</w:t>
      </w:r>
      <w:r>
        <w:rPr>
          <w:rFonts w:hint="eastAsia" w:ascii="宋体" w:hAnsi="宋体" w:cs="仿宋"/>
          <w:color w:val="auto"/>
          <w:sz w:val="24"/>
          <w:szCs w:val="24"/>
          <w:highlight w:val="none"/>
        </w:rPr>
        <w:t>名投标人按技术分由高至低进行排序，第一名投标人的权重为（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sz w:val="24"/>
          <w:szCs w:val="24"/>
          <w:highlight w:val="none"/>
        </w:rPr>
        <w:drawing>
          <wp:inline distT="0" distB="0" distL="0" distR="0">
            <wp:extent cx="381000" cy="447675"/>
            <wp:effectExtent l="0" t="0" r="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sz w:val="24"/>
          <w:szCs w:val="24"/>
          <w:highlight w:val="none"/>
        </w:rPr>
        <w:drawing>
          <wp:inline distT="0" distB="0" distL="0" distR="0">
            <wp:extent cx="381000" cy="447675"/>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），第二名投标人的权重为（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），以此类推，最后一名投标人的权重为（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方法二：区间抽取法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评标参考价=（Q高-Q低）/100*Ｘ+Q低</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Q低：为达到或超过技术标及格分数线的投标人最低报价与工程成本警示价两者中的较高值；</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Q高：为最高投标限价</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X</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为等分点值，在开标前从[0,100]整数中随机抽取</w:t>
      </w:r>
    </w:p>
    <w:p>
      <w:pPr>
        <w:spacing w:line="360" w:lineRule="auto"/>
        <w:ind w:firstLine="480" w:firstLineChars="200"/>
        <w:rPr>
          <w:rFonts w:ascii="宋体" w:hAnsi="宋体"/>
          <w:color w:val="auto"/>
          <w:sz w:val="24"/>
          <w:szCs w:val="24"/>
          <w:highlight w:val="none"/>
        </w:rPr>
      </w:pPr>
      <w:r>
        <w:rPr>
          <w:rFonts w:ascii="宋体" w:hAnsi="宋体" w:cs="宋体"/>
          <w:color w:val="auto"/>
          <w:kern w:val="0"/>
          <w:sz w:val="24"/>
          <w:szCs w:val="24"/>
          <w:highlight w:val="none"/>
        </w:rPr>
        <w:t>42.4.</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.2</w:t>
      </w:r>
      <w:r>
        <w:rPr>
          <w:rFonts w:hint="eastAsia" w:ascii="宋体" w:hAnsi="宋体"/>
          <w:color w:val="auto"/>
          <w:sz w:val="24"/>
          <w:szCs w:val="24"/>
          <w:highlight w:val="none"/>
        </w:rPr>
        <w:t>当标价等于评标参考价时得</w:t>
      </w:r>
      <w:r>
        <w:rPr>
          <w:rFonts w:ascii="宋体" w:hAnsi="宋体"/>
          <w:color w:val="auto"/>
          <w:sz w:val="24"/>
          <w:szCs w:val="24"/>
          <w:highlight w:val="none"/>
        </w:rPr>
        <w:t>100</w:t>
      </w:r>
      <w:r>
        <w:rPr>
          <w:rFonts w:hint="eastAsia" w:ascii="宋体" w:hAnsi="宋体"/>
          <w:color w:val="auto"/>
          <w:sz w:val="24"/>
          <w:szCs w:val="24"/>
          <w:highlight w:val="none"/>
        </w:rPr>
        <w:t>分，标价每高于评标参考价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1.5</w:t>
      </w:r>
      <w:r>
        <w:rPr>
          <w:rFonts w:hint="eastAsia" w:ascii="宋体" w:hAnsi="宋体"/>
          <w:color w:val="auto"/>
          <w:sz w:val="24"/>
          <w:szCs w:val="24"/>
          <w:highlight w:val="none"/>
        </w:rPr>
        <w:t>分，每低于评标参考价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w:t>
      </w:r>
      <w:r>
        <w:rPr>
          <w:rFonts w:hint="eastAsia" w:ascii="宋体" w:hAnsi="宋体"/>
          <w:color w:val="auto"/>
          <w:sz w:val="24"/>
          <w:szCs w:val="24"/>
          <w:highlight w:val="none"/>
        </w:rPr>
        <w:t>分，扣至</w:t>
      </w:r>
      <w:r>
        <w:rPr>
          <w:rFonts w:ascii="宋体" w:hAnsi="宋体"/>
          <w:color w:val="auto"/>
          <w:sz w:val="24"/>
          <w:szCs w:val="24"/>
          <w:highlight w:val="none"/>
        </w:rPr>
        <w:t>0</w:t>
      </w:r>
      <w:r>
        <w:rPr>
          <w:rFonts w:hint="eastAsia" w:ascii="宋体" w:hAnsi="宋体"/>
          <w:color w:val="auto"/>
          <w:sz w:val="24"/>
          <w:szCs w:val="24"/>
          <w:highlight w:val="none"/>
        </w:rPr>
        <w:t>分为止，得出经济分，精确到小数点后两位。</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.3评标委员会按投标须知前附表第32项的规定确定排序。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3</w:t>
      </w:r>
      <w:r>
        <w:rPr>
          <w:rFonts w:ascii="宋体" w:hAnsi="宋体"/>
          <w:color w:val="auto"/>
          <w:sz w:val="24"/>
          <w:szCs w:val="24"/>
          <w:highlight w:val="none"/>
        </w:rPr>
        <w:t>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.1如果数字表示的金额和用文字表示的金额不一致时，应以文字表示的金额为准；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.2经算术复核的投标人报价与其投标报价不一致时，按就低不就高原则确定其最终报价；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.4</w:t>
      </w:r>
      <w:r>
        <w:rPr>
          <w:rFonts w:hint="eastAsia" w:ascii="宋体" w:hAnsi="宋体"/>
          <w:color w:val="auto"/>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.5</w:t>
      </w:r>
      <w:r>
        <w:rPr>
          <w:rFonts w:hint="eastAsia" w:ascii="宋体" w:hAnsi="宋体"/>
          <w:color w:val="auto"/>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.6</w:t>
      </w:r>
      <w:r>
        <w:rPr>
          <w:rFonts w:hint="eastAsia" w:ascii="宋体" w:hAnsi="宋体"/>
          <w:color w:val="auto"/>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.7</w:t>
      </w:r>
      <w:r>
        <w:rPr>
          <w:rFonts w:hint="eastAsia" w:ascii="宋体" w:hAnsi="宋体"/>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.8</w:t>
      </w:r>
      <w:r>
        <w:rPr>
          <w:rFonts w:hint="eastAsia" w:ascii="宋体" w:hAnsi="宋体"/>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42.6评标委员会应在通过投标文件经济标有效性审查的投标人中，按步骤42.4确定的投标人第二阶段排序，推荐前3</w:t>
      </w:r>
      <w:r>
        <w:rPr>
          <w:rFonts w:hint="eastAsia" w:ascii="宋体" w:hAnsi="宋体"/>
          <w:color w:val="auto"/>
          <w:sz w:val="24"/>
          <w:szCs w:val="24"/>
          <w:highlight w:val="none"/>
        </w:rPr>
        <w:t>名依次为第一中标候选人至第三中标候选人</w:t>
      </w:r>
      <w:r>
        <w:rPr>
          <w:rFonts w:ascii="宋体" w:hAnsi="宋体"/>
          <w:color w:val="auto"/>
          <w:sz w:val="24"/>
          <w:szCs w:val="24"/>
          <w:highlight w:val="none"/>
        </w:rPr>
        <w:t>,</w:t>
      </w:r>
      <w:r>
        <w:rPr>
          <w:rFonts w:hint="eastAsia" w:ascii="宋体" w:hAnsi="宋体"/>
          <w:color w:val="auto"/>
          <w:sz w:val="24"/>
          <w:szCs w:val="24"/>
          <w:highlight w:val="none"/>
        </w:rPr>
        <w:t>并编制评标报告。</w:t>
      </w:r>
    </w:p>
    <w:p>
      <w:pPr>
        <w:spacing w:line="360" w:lineRule="auto"/>
        <w:ind w:firstLine="480" w:firstLineChars="200"/>
        <w:rPr>
          <w:rFonts w:ascii="宋体" w:hAnsi="宋体" w:cs="宋体"/>
          <w:strike/>
          <w:color w:val="auto"/>
          <w:szCs w:val="21"/>
          <w:highlight w:val="none"/>
        </w:rPr>
      </w:pPr>
      <w:r>
        <w:rPr>
          <w:rFonts w:ascii="宋体" w:hAnsi="宋体"/>
          <w:color w:val="auto"/>
          <w:sz w:val="24"/>
          <w:szCs w:val="24"/>
          <w:highlight w:val="none"/>
        </w:rPr>
        <w:t>42.7若通过经济标有效性审查的投标人不足三家，应当依法重新招标。（当N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w:t>
      </w:r>
      <w:r>
        <w:rPr>
          <w:rFonts w:hint="eastAsia" w:ascii="宋体" w:hAnsi="宋体"/>
          <w:color w:val="auto"/>
          <w:sz w:val="24"/>
          <w:szCs w:val="24"/>
          <w:highlight w:val="none"/>
        </w:rPr>
        <w:t>家，应当依法重新招标）</w:t>
      </w:r>
    </w:p>
    <w:p>
      <w:pPr>
        <w:spacing w:line="360" w:lineRule="auto"/>
        <w:ind w:firstLine="480" w:firstLineChars="200"/>
        <w:rPr>
          <w:rFonts w:ascii="宋体" w:hAnsi="宋体" w:cs="宋体"/>
          <w:color w:val="auto"/>
          <w:sz w:val="24"/>
          <w:szCs w:val="24"/>
          <w:highlight w:val="none"/>
        </w:rPr>
      </w:pPr>
    </w:p>
    <w:p>
      <w:pPr>
        <w:spacing w:line="360" w:lineRule="auto"/>
        <w:rPr>
          <w:rFonts w:ascii="宋体" w:hAnsi="宋体" w:cs="宋体"/>
          <w:color w:val="auto"/>
          <w:sz w:val="24"/>
          <w:szCs w:val="24"/>
          <w:highlight w:val="none"/>
        </w:rPr>
        <w:sectPr>
          <w:endnotePr>
            <w:numFmt w:val="decimal"/>
          </w:endnotePr>
          <w:pgSz w:w="11906" w:h="16838"/>
          <w:pgMar w:top="1134" w:right="1418" w:bottom="1247" w:left="1418" w:header="851" w:footer="907" w:gutter="0"/>
          <w:pgNumType w:fmt="decimal"/>
          <w:cols w:space="720" w:num="1"/>
          <w:titlePg/>
          <w:docGrid w:type="lines" w:linePitch="312" w:charSpace="0"/>
        </w:sectPr>
      </w:pPr>
    </w:p>
    <w:p>
      <w:pPr>
        <w:pStyle w:val="6"/>
        <w:rPr>
          <w:color w:val="auto"/>
          <w:highlight w:val="none"/>
        </w:rPr>
      </w:pPr>
      <w:bookmarkStart w:id="96" w:name="_Toc17895"/>
      <w:bookmarkStart w:id="97" w:name="_Toc28239"/>
      <w:bookmarkStart w:id="98" w:name="_Toc112397820"/>
      <w:bookmarkStart w:id="99" w:name="_Toc8523"/>
      <w:bookmarkStart w:id="100" w:name="_Toc24792"/>
      <w:r>
        <w:rPr>
          <w:rFonts w:hint="eastAsia"/>
          <w:color w:val="auto"/>
          <w:highlight w:val="none"/>
        </w:rPr>
        <w:t>附表一</w:t>
      </w:r>
      <w:bookmarkEnd w:id="96"/>
      <w:bookmarkEnd w:id="97"/>
      <w:bookmarkEnd w:id="98"/>
      <w:bookmarkEnd w:id="99"/>
      <w:bookmarkEnd w:id="100"/>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资格审查表</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tbl>
      <w:tblPr>
        <w:tblStyle w:val="49"/>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831"/>
        <w:gridCol w:w="604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683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604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1</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投标人（联合体各成员）参加投标的意思表达清楚，投标人代表被授权有效。</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投标人声明、法定代表人证明书；委托投标的还应提供法人授权委托证明书。</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2</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均具有独立法人资格，按国家法律经营。</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营业执照</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3</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均持有建设行政主管部门颁发的</w:t>
            </w:r>
            <w:r>
              <w:rPr>
                <w:rFonts w:hint="eastAsia" w:ascii="宋体" w:hAnsi="宋体" w:cs="宋体"/>
                <w:color w:val="auto"/>
                <w:szCs w:val="21"/>
                <w:highlight w:val="none"/>
                <w:lang w:val="en-US" w:eastAsia="zh-CN"/>
              </w:rPr>
              <w:t>有效期内</w:t>
            </w:r>
            <w:r>
              <w:rPr>
                <w:rFonts w:hint="eastAsia" w:ascii="宋体" w:hAnsi="宋体" w:cs="宋体"/>
                <w:color w:val="auto"/>
                <w:szCs w:val="21"/>
                <w:highlight w:val="none"/>
              </w:rPr>
              <w:t>企业资质证书及安全生产许可证；投标人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资质符合公告要求。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资质证书及安全生产许可证</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4</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投标人拟担任本工程项目负责人符合公告要求。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建造师注册证书扫描件。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5</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持有</w:t>
            </w:r>
            <w:r>
              <w:rPr>
                <w:rFonts w:hint="eastAsia" w:ascii="宋体" w:hAnsi="宋体" w:cs="宋体"/>
                <w:color w:val="auto"/>
                <w:szCs w:val="21"/>
                <w:highlight w:val="none"/>
                <w:lang w:val="en-US" w:eastAsia="zh-CN"/>
              </w:rPr>
              <w:t>有效期内的</w:t>
            </w:r>
            <w:r>
              <w:rPr>
                <w:rFonts w:hint="eastAsia" w:ascii="宋体" w:hAnsi="宋体" w:cs="宋体"/>
                <w:color w:val="auto"/>
                <w:szCs w:val="21"/>
                <w:highlight w:val="none"/>
              </w:rPr>
              <w:t>项目负责人安全生产考核合格证书（</w:t>
            </w:r>
            <w:r>
              <w:rPr>
                <w:rFonts w:ascii="宋体" w:hAnsi="宋体" w:cs="宋体"/>
                <w:color w:val="auto"/>
                <w:szCs w:val="21"/>
                <w:highlight w:val="none"/>
              </w:rPr>
              <w:t>B类）或建筑施工企业项目负责人安全生产考核合格证</w:t>
            </w:r>
            <w:r>
              <w:rPr>
                <w:rFonts w:hint="eastAsia" w:ascii="宋体" w:hAnsi="宋体" w:cs="宋体"/>
                <w:color w:val="auto"/>
                <w:szCs w:val="21"/>
                <w:highlight w:val="none"/>
              </w:rPr>
              <w:t>书。</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项目负责人安全生产考核合格证书（</w:t>
            </w:r>
            <w:r>
              <w:rPr>
                <w:rFonts w:ascii="宋体" w:hAnsi="宋体" w:cs="宋体"/>
                <w:color w:val="auto"/>
                <w:szCs w:val="21"/>
                <w:highlight w:val="none"/>
              </w:rPr>
              <w:t>B类）或建筑施工企业项目负责人安全生产考核合格证</w:t>
            </w:r>
            <w:r>
              <w:rPr>
                <w:rFonts w:hint="eastAsia" w:ascii="宋体" w:hAnsi="宋体" w:cs="宋体"/>
                <w:color w:val="auto"/>
                <w:szCs w:val="21"/>
                <w:highlight w:val="none"/>
              </w:rPr>
              <w:t>书</w:t>
            </w:r>
            <w:r>
              <w:rPr>
                <w:rFonts w:ascii="宋体" w:hAnsi="宋体" w:cs="宋体"/>
                <w:color w:val="auto"/>
                <w:szCs w:val="21"/>
                <w:highlight w:val="none"/>
              </w:rPr>
              <w:t>扫描件</w:t>
            </w:r>
            <w:r>
              <w:rPr>
                <w:rFonts w:hint="eastAsia" w:ascii="宋体" w:hAnsi="宋体" w:cs="宋体"/>
                <w:color w:val="auto"/>
                <w:szCs w:val="21"/>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6</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投标人拟担任本工程技术负责人符合公告要求。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bCs/>
                <w:color w:val="auto"/>
                <w:szCs w:val="21"/>
                <w:highlight w:val="none"/>
                <w:u w:val="single"/>
              </w:rPr>
              <w:t>拟委派技术负责人的职称证书扫描件。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7</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专职安全员须具有</w:t>
            </w:r>
            <w:r>
              <w:rPr>
                <w:rFonts w:hint="eastAsia" w:ascii="宋体" w:hAnsi="宋体" w:cs="宋体"/>
                <w:color w:val="auto"/>
                <w:szCs w:val="21"/>
                <w:highlight w:val="none"/>
                <w:lang w:val="en-US" w:eastAsia="zh-CN"/>
              </w:rPr>
              <w:t>有效期内的</w:t>
            </w:r>
            <w:r>
              <w:rPr>
                <w:rFonts w:hint="eastAsia" w:ascii="宋体" w:hAnsi="宋体" w:cs="宋体"/>
                <w:color w:val="auto"/>
                <w:szCs w:val="21"/>
                <w:highlight w:val="none"/>
              </w:rPr>
              <w:t>安全生产考核合格证书（</w:t>
            </w:r>
            <w:r>
              <w:rPr>
                <w:rFonts w:ascii="宋体" w:hAnsi="宋体" w:cs="宋体"/>
                <w:color w:val="auto"/>
                <w:szCs w:val="21"/>
                <w:highlight w:val="none"/>
              </w:rPr>
              <w:t>C类）或建筑施工企业专职安全生产管理人员安全生产考核合格证</w:t>
            </w:r>
            <w:r>
              <w:rPr>
                <w:rFonts w:hint="eastAsia" w:ascii="宋体" w:hAnsi="宋体" w:cs="宋体"/>
                <w:color w:val="auto"/>
                <w:szCs w:val="21"/>
                <w:highlight w:val="none"/>
              </w:rPr>
              <w:t>书</w:t>
            </w:r>
            <w:r>
              <w:rPr>
                <w:rFonts w:hint="eastAsia" w:ascii="宋体" w:hAnsi="宋体" w:cs="宋体"/>
                <w:color w:val="auto"/>
                <w:szCs w:val="21"/>
                <w:highlight w:val="none"/>
                <w:u w:val="single"/>
              </w:rPr>
              <w:t>（</w:t>
            </w:r>
            <w:r>
              <w:rPr>
                <w:rFonts w:ascii="宋体" w:hAnsi="宋体" w:cs="宋体"/>
                <w:color w:val="auto"/>
                <w:szCs w:val="21"/>
                <w:highlight w:val="none"/>
                <w:u w:val="single"/>
              </w:rPr>
              <w:t>C3类）</w:t>
            </w:r>
            <w:r>
              <w:rPr>
                <w:rFonts w:hint="eastAsia" w:ascii="宋体" w:hAnsi="宋体" w:cs="宋体"/>
                <w:color w:val="auto"/>
                <w:szCs w:val="21"/>
                <w:highlight w:val="none"/>
              </w:rPr>
              <w:t>。</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专职安全员的安全生产考核合格证书（</w:t>
            </w:r>
            <w:r>
              <w:rPr>
                <w:rFonts w:ascii="宋体" w:hAnsi="宋体" w:cs="宋体"/>
                <w:color w:val="auto"/>
                <w:szCs w:val="21"/>
                <w:highlight w:val="none"/>
              </w:rPr>
              <w:t>C类）或建筑施工企业专职安全生产管理人员安全生产考核合格证</w:t>
            </w:r>
            <w:r>
              <w:rPr>
                <w:rFonts w:hint="eastAsia" w:ascii="宋体" w:hAnsi="宋体" w:cs="宋体"/>
                <w:color w:val="auto"/>
                <w:szCs w:val="21"/>
                <w:highlight w:val="none"/>
              </w:rPr>
              <w:t>书</w:t>
            </w:r>
            <w:r>
              <w:rPr>
                <w:rFonts w:hint="eastAsia" w:ascii="宋体" w:hAnsi="宋体" w:cs="宋体"/>
                <w:color w:val="auto"/>
                <w:szCs w:val="21"/>
                <w:highlight w:val="none"/>
                <w:u w:val="single"/>
              </w:rPr>
              <w:t>（</w:t>
            </w:r>
            <w:r>
              <w:rPr>
                <w:rFonts w:ascii="宋体" w:hAnsi="宋体" w:cs="宋体"/>
                <w:color w:val="auto"/>
                <w:szCs w:val="21"/>
                <w:highlight w:val="none"/>
                <w:u w:val="single"/>
              </w:rPr>
              <w:t>C3类）</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投标人提供的投标人声明符合公告要求。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color w:val="auto"/>
                <w:szCs w:val="21"/>
                <w:highlight w:val="none"/>
              </w:rPr>
            </w:pPr>
            <w:r>
              <w:rPr>
                <w:rFonts w:hint="eastAsia" w:ascii="宋体" w:hAnsi="宋体" w:cs="宋体"/>
                <w:color w:val="auto"/>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投标人声明中签字的项目负责人和技术负责人与本项目拟派的项目负责人和技术负责人一致。</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网上投标时选择拟投标的项目负责人、资格审查文件中拟委派的技术负责人及投标人声明。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0</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Style w:val="235"/>
                <w:rFonts w:hint="default" w:cs="宋体"/>
                <w:color w:val="auto"/>
                <w:sz w:val="21"/>
                <w:szCs w:val="21"/>
                <w:highlight w:val="none"/>
              </w:rPr>
              <w:t>关于联合体投标：本项目</w:t>
            </w:r>
            <w:r>
              <w:rPr>
                <w:rStyle w:val="235"/>
                <w:rFonts w:hint="default" w:cs="宋体"/>
                <w:b/>
                <w:color w:val="auto"/>
                <w:sz w:val="21"/>
                <w:szCs w:val="21"/>
                <w:highlight w:val="none"/>
              </w:rPr>
              <w:t>接受</w:t>
            </w:r>
            <w:r>
              <w:rPr>
                <w:rStyle w:val="235"/>
                <w:rFonts w:hint="default" w:cs="宋体"/>
                <w:color w:val="auto"/>
                <w:sz w:val="21"/>
                <w:szCs w:val="21"/>
                <w:highlight w:val="none"/>
              </w:rPr>
              <w:t>联合体投标。</w:t>
            </w:r>
          </w:p>
        </w:tc>
        <w:tc>
          <w:tcPr>
            <w:tcW w:w="60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trike/>
                <w:color w:val="auto"/>
                <w:szCs w:val="21"/>
                <w:highlight w:val="none"/>
                <w:u w:val="single"/>
              </w:rPr>
            </w:pPr>
            <w:r>
              <w:rPr>
                <w:rFonts w:hint="eastAsia" w:ascii="宋体" w:hAnsi="宋体"/>
                <w:color w:val="auto"/>
                <w:szCs w:val="21"/>
                <w:highlight w:val="none"/>
                <w:u w:val="single"/>
              </w:rPr>
              <w:t>如联合体投标，应符合招标公告要求。</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1</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投标登记前，投标人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须在广州交易集团有限公司（广州公共资源交易中心）办理企业信息登记及拟担任本工程项目负责人、专职安全员须是本企业</w:t>
            </w:r>
            <w:r>
              <w:rPr>
                <w:rFonts w:hint="eastAsia" w:ascii="宋体" w:hAnsi="宋体" w:cs="宋体"/>
                <w:color w:val="auto"/>
                <w:szCs w:val="21"/>
                <w:highlight w:val="none"/>
                <w:u w:val="single"/>
              </w:rPr>
              <w:t>（联合体主办方）</w:t>
            </w:r>
            <w:r>
              <w:rPr>
                <w:rFonts w:hint="eastAsia" w:ascii="宋体" w:hAnsi="宋体" w:cs="宋体"/>
                <w:color w:val="auto"/>
                <w:szCs w:val="21"/>
                <w:highlight w:val="none"/>
              </w:rPr>
              <w:t>信息登记信息中的在册人员。</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投标人在广州交易集团有限公司（广州公共资源交易中心）企业信息登记的企业和人员信息。(提供网页信息截图)</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未出现以下情形：与其它投标人的单位负责人为同一人或者存在控股、管理关系的（按投标人提供的《投标人声明》第八条内容进行评审）。</w:t>
            </w:r>
          </w:p>
        </w:tc>
        <w:tc>
          <w:tcPr>
            <w:tcW w:w="6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u w:val="singl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3</w:t>
            </w:r>
          </w:p>
        </w:tc>
        <w:tc>
          <w:tcPr>
            <w:tcW w:w="683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未被列入拖欠农民工工资失信联合惩戒对象名单。</w:t>
            </w:r>
          </w:p>
        </w:tc>
        <w:tc>
          <w:tcPr>
            <w:tcW w:w="60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Cs w:val="21"/>
                <w:highlight w:val="none"/>
                <w:u w:val="single"/>
              </w:rPr>
            </w:pPr>
            <w:r>
              <w:rPr>
                <w:rFonts w:hint="eastAsia" w:ascii="宋体" w:hAnsi="宋体"/>
                <w:color w:val="auto"/>
                <w:szCs w:val="21"/>
                <w:highlight w:val="none"/>
              </w:rPr>
              <w:t>投标人无需提供资料，按交易系统比对的结果进行评审。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bl>
    <w:p>
      <w:pPr>
        <w:ind w:firstLine="470" w:firstLineChars="224"/>
        <w:rPr>
          <w:rFonts w:ascii="宋体" w:hAnsi="宋体" w:cs="宋体"/>
          <w:color w:val="auto"/>
          <w:szCs w:val="21"/>
          <w:highlight w:val="none"/>
        </w:rPr>
      </w:pPr>
      <w:r>
        <w:rPr>
          <w:rFonts w:hint="eastAsia" w:ascii="宋体" w:hAnsi="宋体" w:cs="宋体"/>
          <w:color w:val="auto"/>
          <w:szCs w:val="21"/>
          <w:highlight w:val="none"/>
        </w:rPr>
        <w:t>备注：</w:t>
      </w:r>
    </w:p>
    <w:p>
      <w:pPr>
        <w:ind w:firstLine="470" w:firstLineChars="224"/>
        <w:rPr>
          <w:rFonts w:ascii="宋体" w:hAnsi="宋体" w:cs="宋体"/>
          <w:color w:val="auto"/>
          <w:szCs w:val="21"/>
          <w:highlight w:val="none"/>
        </w:rPr>
      </w:pPr>
      <w:r>
        <w:rPr>
          <w:rFonts w:ascii="宋体" w:hAnsi="宋体" w:cs="宋体"/>
          <w:color w:val="auto"/>
          <w:szCs w:val="21"/>
          <w:highlight w:val="none"/>
        </w:rPr>
        <w:t>1、每一项目符合的打“○”，不符合的打“×”；</w:t>
      </w:r>
    </w:p>
    <w:p>
      <w:pPr>
        <w:ind w:firstLine="470" w:firstLineChars="224"/>
        <w:rPr>
          <w:rFonts w:ascii="宋体" w:hAnsi="宋体" w:cs="宋体"/>
          <w:color w:val="auto"/>
          <w:szCs w:val="21"/>
          <w:highlight w:val="none"/>
        </w:rPr>
      </w:pPr>
      <w:r>
        <w:rPr>
          <w:rFonts w:ascii="宋体" w:hAnsi="宋体" w:cs="宋体"/>
          <w:color w:val="auto"/>
          <w:szCs w:val="21"/>
          <w:highlight w:val="none"/>
        </w:rPr>
        <w:t>2、若评委意见不一致时，则按少数服从多数的原则，作出评审结论。汇总后，出现一个“×”的结论为“不通过”。</w:t>
      </w:r>
    </w:p>
    <w:p>
      <w:pPr>
        <w:ind w:firstLine="470" w:firstLineChars="224"/>
        <w:rPr>
          <w:rFonts w:ascii="宋体" w:hAnsi="宋体" w:cs="宋体"/>
          <w:color w:val="auto"/>
          <w:szCs w:val="21"/>
          <w:highlight w:val="none"/>
        </w:rPr>
      </w:pPr>
      <w:r>
        <w:rPr>
          <w:rFonts w:ascii="宋体" w:hAnsi="宋体" w:cs="宋体"/>
          <w:color w:val="auto"/>
          <w:szCs w:val="21"/>
          <w:highlight w:val="non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ascii="宋体" w:hAnsi="宋体" w:cs="宋体"/>
          <w:color w:val="auto"/>
          <w:highlight w:val="none"/>
        </w:rPr>
        <w:sectPr>
          <w:endnotePr>
            <w:numFmt w:val="decimal"/>
          </w:endnotePr>
          <w:pgSz w:w="16838" w:h="11906" w:orient="landscape"/>
          <w:pgMar w:top="1418" w:right="1134" w:bottom="1418" w:left="1247" w:header="851" w:footer="907" w:gutter="0"/>
          <w:pgNumType w:fmt="decimal"/>
          <w:cols w:space="720" w:num="1"/>
          <w:titlePg/>
          <w:docGrid w:type="linesAndChars" w:linePitch="312" w:charSpace="0"/>
        </w:sectPr>
      </w:pPr>
    </w:p>
    <w:p>
      <w:pPr>
        <w:pStyle w:val="6"/>
        <w:rPr>
          <w:color w:val="auto"/>
          <w:highlight w:val="none"/>
        </w:rPr>
      </w:pPr>
      <w:bookmarkStart w:id="101" w:name="_Toc9665"/>
      <w:bookmarkStart w:id="102" w:name="_Toc112397821"/>
      <w:bookmarkStart w:id="103" w:name="_Toc26317"/>
      <w:bookmarkStart w:id="104" w:name="_Toc21466"/>
      <w:bookmarkStart w:id="105" w:name="_Toc16106"/>
      <w:r>
        <w:rPr>
          <w:rFonts w:hint="eastAsia"/>
          <w:color w:val="auto"/>
          <w:highlight w:val="none"/>
        </w:rPr>
        <w:t>附表二</w:t>
      </w:r>
      <w:bookmarkEnd w:id="101"/>
      <w:bookmarkEnd w:id="102"/>
      <w:bookmarkEnd w:id="103"/>
      <w:bookmarkEnd w:id="104"/>
      <w:bookmarkEnd w:id="105"/>
    </w:p>
    <w:p>
      <w:pPr>
        <w:jc w:val="center"/>
        <w:rPr>
          <w:rFonts w:ascii="宋体" w:hAnsi="宋体"/>
          <w:b/>
          <w:color w:val="auto"/>
          <w:sz w:val="36"/>
          <w:szCs w:val="36"/>
          <w:highlight w:val="none"/>
        </w:rPr>
      </w:pPr>
      <w:r>
        <w:rPr>
          <w:rFonts w:hint="eastAsia" w:ascii="宋体" w:hAnsi="宋体"/>
          <w:b/>
          <w:color w:val="auto"/>
          <w:sz w:val="36"/>
          <w:szCs w:val="36"/>
          <w:highlight w:val="none"/>
        </w:rPr>
        <w:t>技术标有效性审查表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14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8122"/>
        <w:gridCol w:w="978"/>
        <w:gridCol w:w="978"/>
        <w:gridCol w:w="978"/>
        <w:gridCol w:w="978"/>
        <w:gridCol w:w="97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序号</w:t>
            </w:r>
          </w:p>
        </w:tc>
        <w:tc>
          <w:tcPr>
            <w:tcW w:w="8122" w:type="dxa"/>
            <w:tcBorders>
              <w:top w:val="single" w:color="auto" w:sz="4" w:space="0"/>
              <w:left w:val="single" w:color="auto" w:sz="4" w:space="0"/>
              <w:bottom w:val="single" w:color="auto" w:sz="4" w:space="0"/>
              <w:right w:val="single" w:color="auto" w:sz="4" w:space="0"/>
              <w:tl2br w:val="single" w:color="auto" w:sz="4" w:space="0"/>
            </w:tcBorders>
          </w:tcPr>
          <w:p>
            <w:pPr>
              <w:adjustRightInd w:val="0"/>
              <w:ind w:firstLine="5040" w:firstLineChars="2400"/>
              <w:rPr>
                <w:rFonts w:ascii="宋体" w:hAnsi="宋体"/>
                <w:color w:val="auto"/>
                <w:szCs w:val="21"/>
                <w:highlight w:val="none"/>
              </w:rPr>
            </w:pPr>
            <w:r>
              <w:rPr>
                <w:rFonts w:hint="eastAsia" w:ascii="宋体" w:hAnsi="宋体"/>
                <w:color w:val="auto"/>
                <w:szCs w:val="21"/>
                <w:highlight w:val="none"/>
              </w:rPr>
              <w:t>投标人</w:t>
            </w:r>
          </w:p>
          <w:p>
            <w:pPr>
              <w:adjustRightInd w:val="0"/>
              <w:rPr>
                <w:rFonts w:ascii="宋体" w:hAnsi="宋体"/>
                <w:color w:val="auto"/>
                <w:szCs w:val="21"/>
                <w:highlight w:val="none"/>
              </w:rPr>
            </w:pPr>
            <w:r>
              <w:rPr>
                <w:rFonts w:hint="eastAsia" w:ascii="宋体" w:hAnsi="宋体"/>
                <w:color w:val="auto"/>
                <w:szCs w:val="21"/>
                <w:highlight w:val="none"/>
              </w:rPr>
              <w:t>评审内容</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1</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rPr>
              <w:t>《广州建设工程施工招标投标书（技术标）》中的总工期不符合招标文件要求的；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2</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《广州建设工程施工招标投标书（技术标）》中的工程质量标准不符合招标文件要求的；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3</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投标文件中没有有效的法定代表人证明书，或由委托代理人</w:t>
            </w:r>
            <w:r>
              <w:rPr>
                <w:rFonts w:hint="eastAsia" w:ascii="宋体" w:hAnsi="宋体"/>
                <w:color w:val="auto"/>
                <w:szCs w:val="21"/>
                <w:highlight w:val="none"/>
                <w:u w:val="single"/>
              </w:rPr>
              <w:t>盖章或签字</w:t>
            </w:r>
            <w:r>
              <w:rPr>
                <w:rFonts w:hint="eastAsia" w:ascii="宋体" w:hAnsi="宋体"/>
                <w:color w:val="auto"/>
                <w:szCs w:val="21"/>
                <w:highlight w:val="none"/>
              </w:rPr>
              <w:t>的投标文件中没有法定代表人授权书；</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4</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rPr>
              <w:t>投标文件未按规定的格式</w:t>
            </w:r>
            <w:r>
              <w:rPr>
                <w:rFonts w:hint="eastAsia" w:ascii="宋体" w:hAnsi="宋体" w:cs="宋体"/>
                <w:color w:val="auto"/>
                <w:szCs w:val="21"/>
                <w:highlight w:val="none"/>
                <w:u w:val="single"/>
              </w:rPr>
              <w:t>（指招标文件第一章第</w:t>
            </w:r>
            <w:r>
              <w:rPr>
                <w:rFonts w:ascii="宋体" w:hAnsi="宋体" w:cs="宋体"/>
                <w:color w:val="auto"/>
                <w:szCs w:val="21"/>
                <w:highlight w:val="none"/>
                <w:u w:val="single"/>
              </w:rPr>
              <w:t>11条投标文件的组成规定内容中有关</w:t>
            </w:r>
            <w:r>
              <w:rPr>
                <w:rFonts w:hint="eastAsia" w:ascii="宋体" w:hAnsi="宋体" w:cs="宋体"/>
                <w:color w:val="auto"/>
                <w:szCs w:val="21"/>
                <w:highlight w:val="none"/>
                <w:u w:val="single"/>
              </w:rPr>
              <w:t>技术标的</w:t>
            </w:r>
            <w:r>
              <w:rPr>
                <w:rFonts w:ascii="宋体" w:hAnsi="宋体" w:cs="宋体"/>
                <w:color w:val="auto"/>
                <w:szCs w:val="21"/>
                <w:highlight w:val="none"/>
                <w:u w:val="single"/>
              </w:rPr>
              <w:t>规定内容）</w:t>
            </w:r>
            <w:r>
              <w:rPr>
                <w:rFonts w:hint="eastAsia" w:ascii="宋体" w:hAnsi="宋体" w:cs="宋体"/>
                <w:color w:val="auto"/>
                <w:szCs w:val="21"/>
                <w:highlight w:val="none"/>
              </w:rPr>
              <w:t>填写，或主要内容（指投标文件组成内容）不全，或关键字迹模糊、无法辨认的；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5</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投标人之间存在《广东省实施</w:t>
            </w:r>
            <w:r>
              <w:rPr>
                <w:rFonts w:ascii="宋体" w:hAnsi="宋体"/>
                <w:color w:val="auto"/>
                <w:szCs w:val="21"/>
                <w:highlight w:val="none"/>
              </w:rPr>
              <w:t>&lt;中华人民共和国招标投标法&gt;办法》第十六条所禁止的情形的；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6</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无《参与编制技术标投标文件人员名单》的；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投标人与本项目其他投标人加密打包投标文件电脑机器特征码一致的</w:t>
            </w:r>
            <w:r>
              <w:rPr>
                <w:rFonts w:ascii="宋体" w:hAnsi="宋体"/>
                <w:color w:val="auto"/>
                <w:szCs w:val="21"/>
                <w:highlight w:val="none"/>
              </w:rPr>
              <w:t>(以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ascii="宋体" w:hAnsi="宋体"/>
                <w:color w:val="auto"/>
                <w:szCs w:val="21"/>
                <w:highlight w:val="none"/>
              </w:rPr>
              <w:t>)</w:t>
            </w:r>
            <w:r>
              <w:rPr>
                <w:rFonts w:hint="eastAsia" w:ascii="宋体" w:hAnsi="宋体"/>
                <w:color w:val="auto"/>
                <w:szCs w:val="21"/>
                <w:highlight w:val="none"/>
              </w:rPr>
              <w:t>；</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bl>
    <w:p>
      <w:pPr>
        <w:ind w:firstLine="420" w:firstLineChars="200"/>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1.本表使用GZZB2018-3招标文件范本，与范本内容不同之处均以下划线标明。技术标评审中，响应性、承诺性内容不应作为评分因素，可在该表中对上述内容进行符合性审查。审查标准须具备可操作性。</w:t>
      </w:r>
    </w:p>
    <w:p>
      <w:pPr>
        <w:ind w:firstLine="420" w:firstLineChars="200"/>
        <w:rPr>
          <w:rFonts w:ascii="宋体" w:hAnsi="宋体"/>
          <w:color w:val="auto"/>
          <w:szCs w:val="21"/>
          <w:highlight w:val="none"/>
        </w:rPr>
      </w:pPr>
      <w:r>
        <w:rPr>
          <w:rFonts w:ascii="宋体" w:hAnsi="宋体"/>
          <w:color w:val="auto"/>
          <w:szCs w:val="21"/>
          <w:highlight w:val="none"/>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ind w:firstLine="420" w:firstLineChars="200"/>
        <w:rPr>
          <w:rFonts w:ascii="宋体" w:hAnsi="宋体"/>
          <w:color w:val="auto"/>
          <w:szCs w:val="21"/>
          <w:highlight w:val="none"/>
        </w:rPr>
      </w:pPr>
      <w:r>
        <w:rPr>
          <w:rFonts w:ascii="宋体" w:hAnsi="宋体"/>
          <w:color w:val="auto"/>
          <w:szCs w:val="21"/>
          <w:highlight w:val="none"/>
        </w:rPr>
        <w:t>3.凡出现以上任何一项情形，结论均为无效，否则就为有效。</w:t>
      </w:r>
    </w:p>
    <w:p>
      <w:pPr>
        <w:ind w:firstLine="420" w:firstLineChars="200"/>
        <w:rPr>
          <w:rFonts w:hint="eastAsia" w:ascii="宋体" w:hAnsi="宋体"/>
          <w:color w:val="auto"/>
          <w:szCs w:val="21"/>
          <w:highlight w:val="none"/>
        </w:rPr>
      </w:pPr>
      <w:r>
        <w:rPr>
          <w:rFonts w:ascii="宋体" w:hAnsi="宋体"/>
          <w:color w:val="auto"/>
          <w:szCs w:val="21"/>
          <w:highlight w:val="none"/>
        </w:rPr>
        <w:t>4.如对本表中某种情形的评审意见不一致时，以评标委员会过半数成员的意见作为评标委员会对该情形的认定结论。</w:t>
      </w:r>
    </w:p>
    <w:p>
      <w:pPr>
        <w:ind w:firstLine="420" w:firstLineChars="200"/>
        <w:rPr>
          <w:color w:val="auto"/>
          <w:highlight w:val="none"/>
        </w:rPr>
      </w:pPr>
      <w:r>
        <w:rPr>
          <w:rFonts w:hint="eastAsia" w:ascii="宋体" w:hAnsi="宋体"/>
          <w:color w:val="auto"/>
          <w:szCs w:val="21"/>
          <w:highlight w:val="none"/>
        </w:rPr>
        <w:t>评委签名：</w:t>
      </w:r>
      <w:r>
        <w:rPr>
          <w:color w:val="auto"/>
          <w:highlight w:val="none"/>
        </w:rPr>
        <w:br w:type="page"/>
      </w:r>
      <w:bookmarkStart w:id="106" w:name="_Toc112397822"/>
      <w:r>
        <w:rPr>
          <w:rFonts w:hint="eastAsia"/>
          <w:color w:val="auto"/>
          <w:highlight w:val="none"/>
        </w:rPr>
        <w:t>附表三</w:t>
      </w:r>
      <w:bookmarkEnd w:id="106"/>
    </w:p>
    <w:p>
      <w:pPr>
        <w:jc w:val="center"/>
        <w:rPr>
          <w:rFonts w:ascii="宋体" w:hAnsi="宋体"/>
          <w:b/>
          <w:color w:val="auto"/>
          <w:sz w:val="36"/>
          <w:szCs w:val="36"/>
          <w:highlight w:val="none"/>
        </w:rPr>
      </w:pPr>
      <w:r>
        <w:rPr>
          <w:rFonts w:hint="eastAsia" w:ascii="宋体" w:hAnsi="宋体"/>
          <w:b/>
          <w:color w:val="auto"/>
          <w:sz w:val="36"/>
          <w:szCs w:val="36"/>
          <w:highlight w:val="none"/>
        </w:rPr>
        <w:t>经济标有效性审查表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14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141"/>
        <w:gridCol w:w="927"/>
        <w:gridCol w:w="927"/>
        <w:gridCol w:w="927"/>
        <w:gridCol w:w="927"/>
        <w:gridCol w:w="92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8141" w:type="dxa"/>
            <w:tcBorders>
              <w:top w:val="single" w:color="auto" w:sz="4" w:space="0"/>
              <w:left w:val="single" w:color="auto" w:sz="4" w:space="0"/>
              <w:bottom w:val="single" w:color="auto" w:sz="4" w:space="0"/>
              <w:right w:val="single" w:color="auto" w:sz="4" w:space="0"/>
              <w:tl2br w:val="single" w:color="auto" w:sz="4" w:space="0"/>
            </w:tcBorders>
          </w:tcPr>
          <w:p>
            <w:pPr>
              <w:ind w:firstLine="2940" w:firstLineChars="1400"/>
              <w:rPr>
                <w:rFonts w:ascii="宋体" w:hAnsi="宋体"/>
                <w:color w:val="auto"/>
                <w:szCs w:val="21"/>
                <w:highlight w:val="none"/>
              </w:rPr>
            </w:pPr>
            <w:r>
              <w:rPr>
                <w:rFonts w:hint="eastAsia" w:ascii="宋体" w:hAnsi="宋体"/>
                <w:color w:val="auto"/>
                <w:szCs w:val="21"/>
                <w:highlight w:val="none"/>
              </w:rPr>
              <w:t>投标人</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评审内容</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投标报价高于最高投标限价的；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w:t>
            </w:r>
          </w:p>
        </w:tc>
        <w:tc>
          <w:tcPr>
            <w:tcW w:w="8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color w:val="auto"/>
                <w:szCs w:val="21"/>
                <w:highlight w:val="none"/>
              </w:rPr>
            </w:pPr>
            <w:r>
              <w:rPr>
                <w:rFonts w:hint="eastAsia" w:ascii="宋体" w:hAnsi="宋体" w:cs="宋体"/>
                <w:color w:val="auto"/>
                <w:szCs w:val="21"/>
                <w:highlight w:val="none"/>
              </w:rPr>
              <w:t>投标报价低于成本的</w:t>
            </w:r>
            <w:r>
              <w:rPr>
                <w:rFonts w:hint="eastAsia" w:ascii="宋体" w:hAnsi="宋体" w:cs="宋体"/>
                <w:color w:val="auto"/>
                <w:szCs w:val="21"/>
                <w:highlight w:val="none"/>
                <w:u w:val="single"/>
              </w:rPr>
              <w:t>（投标人的报价明显低于其他投标报价或者低于成本警戒价，使得其投标报价可能低于其个别成本，并且投标人不能合理说明或者不能提供相关证明材料的，由评标委员会认定该投标人以低于成本报价竞标）；</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4</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5</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bCs/>
                <w:color w:val="auto"/>
                <w:szCs w:val="21"/>
                <w:highlight w:val="none"/>
              </w:rPr>
              <w:t>投标文件未按规定的格式填写，或主要内容</w:t>
            </w:r>
            <w:r>
              <w:rPr>
                <w:rFonts w:hint="eastAsia" w:ascii="宋体" w:hAnsi="宋体"/>
                <w:bCs/>
                <w:color w:val="auto"/>
                <w:szCs w:val="21"/>
                <w:highlight w:val="none"/>
                <w:u w:val="single"/>
              </w:rPr>
              <w:t>（指招标文件第一章第</w:t>
            </w:r>
            <w:r>
              <w:rPr>
                <w:rFonts w:ascii="宋体" w:hAnsi="宋体"/>
                <w:bCs/>
                <w:color w:val="auto"/>
                <w:szCs w:val="21"/>
                <w:highlight w:val="none"/>
                <w:u w:val="single"/>
              </w:rPr>
              <w:t>11条投标文件的组成规定内容中有关经济标的规定内容）</w:t>
            </w:r>
            <w:r>
              <w:rPr>
                <w:rFonts w:hint="eastAsia" w:ascii="宋体" w:hAnsi="宋体"/>
                <w:bCs/>
                <w:color w:val="auto"/>
                <w:szCs w:val="21"/>
                <w:highlight w:val="none"/>
              </w:rPr>
              <w:t>不全，或关键字迹模糊、无法辨认；</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6</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不同投标人的投标报价中分部分项工程量清单综合单价相似度达到</w:t>
            </w:r>
            <w:r>
              <w:rPr>
                <w:rFonts w:ascii="宋体" w:hAnsi="宋体"/>
                <w:color w:val="auto"/>
                <w:szCs w:val="21"/>
                <w:highlight w:val="none"/>
              </w:rPr>
              <w:t>80%及以上的(以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ascii="宋体" w:hAnsi="宋体"/>
                <w:color w:val="auto"/>
                <w:szCs w:val="21"/>
                <w:highlight w:val="none"/>
              </w:rPr>
              <w:t>)</w:t>
            </w:r>
            <w:r>
              <w:rPr>
                <w:rFonts w:hint="eastAsia" w:ascii="宋体" w:hAnsi="宋体"/>
                <w:color w:val="auto"/>
                <w:szCs w:val="21"/>
                <w:highlight w:val="none"/>
              </w:rPr>
              <w:t>；</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7</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投标人之间存在《广东省实施</w:t>
            </w:r>
            <w:r>
              <w:rPr>
                <w:rFonts w:ascii="宋体" w:hAnsi="宋体"/>
                <w:color w:val="auto"/>
                <w:szCs w:val="21"/>
                <w:highlight w:val="none"/>
              </w:rPr>
              <w:t>&lt;中华人民共和国招标投标法&gt;办法》第十六条所禁止的情形的；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8</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无《参与编制经济标投标文件人员名单》的；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9</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无《对投标文件编制的承诺》；</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投标人与本项目其他投标人的投标文件工程量清单编制机器硬件信息一致的（以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ind w:firstLine="458"/>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1.本表使用GZZB2018-3招标文件范本，与范本内容不同之处均以下划线标明。</w:t>
      </w:r>
    </w:p>
    <w:p>
      <w:pPr>
        <w:ind w:firstLine="458"/>
        <w:rPr>
          <w:rFonts w:ascii="宋体" w:hAnsi="宋体"/>
          <w:color w:val="auto"/>
          <w:szCs w:val="21"/>
          <w:highlight w:val="none"/>
        </w:rPr>
      </w:pPr>
      <w:r>
        <w:rPr>
          <w:rFonts w:ascii="宋体" w:hAnsi="宋体"/>
          <w:color w:val="auto"/>
          <w:szCs w:val="21"/>
          <w:highlight w:val="none"/>
        </w:rPr>
        <w:t>2.凡出现以上任何一项情形，结论均为无效，否则就为有效。</w:t>
      </w:r>
    </w:p>
    <w:p>
      <w:pPr>
        <w:ind w:firstLine="458"/>
        <w:rPr>
          <w:rFonts w:ascii="宋体" w:hAnsi="宋体"/>
          <w:color w:val="auto"/>
          <w:szCs w:val="21"/>
          <w:highlight w:val="none"/>
        </w:rPr>
      </w:pPr>
      <w:r>
        <w:rPr>
          <w:rFonts w:ascii="宋体" w:hAnsi="宋体"/>
          <w:color w:val="auto"/>
          <w:szCs w:val="21"/>
          <w:highlight w:val="none"/>
        </w:rPr>
        <w:t>3.如对本表中某种情形的评审意见不一致时，以评标委员会过半数成员的意见作为评标委员会对该情形的认定结论。</w:t>
      </w:r>
    </w:p>
    <w:p>
      <w:pPr>
        <w:ind w:firstLine="458"/>
        <w:rPr>
          <w:rFonts w:ascii="宋体" w:hAnsi="宋体"/>
          <w:color w:val="auto"/>
          <w:szCs w:val="21"/>
          <w:highlight w:val="none"/>
        </w:rPr>
      </w:pPr>
      <w:r>
        <w:rPr>
          <w:rFonts w:ascii="宋体" w:hAnsi="宋体"/>
          <w:color w:val="auto"/>
          <w:szCs w:val="21"/>
          <w:highlight w:val="non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ind w:firstLine="458"/>
        <w:rPr>
          <w:rFonts w:ascii="宋体" w:hAnsi="宋体" w:cs="宋体"/>
          <w:color w:val="auto"/>
          <w:szCs w:val="21"/>
          <w:highlight w:val="none"/>
        </w:rPr>
        <w:sectPr>
          <w:endnotePr>
            <w:numFmt w:val="decimal"/>
          </w:endnotePr>
          <w:pgSz w:w="16838" w:h="11906" w:orient="landscape"/>
          <w:pgMar w:top="1418" w:right="1247" w:bottom="1418" w:left="1134" w:header="851" w:footer="907" w:gutter="0"/>
          <w:pgNumType w:fmt="decimal"/>
          <w:cols w:space="720" w:num="1"/>
          <w:titlePg/>
          <w:docGrid w:type="lines" w:linePitch="312" w:charSpace="0"/>
        </w:sectPr>
      </w:pPr>
      <w:r>
        <w:rPr>
          <w:rFonts w:hint="eastAsia" w:ascii="宋体" w:hAnsi="宋体"/>
          <w:color w:val="auto"/>
          <w:szCs w:val="21"/>
          <w:highlight w:val="none"/>
        </w:rPr>
        <w:t>评委签名：</w:t>
      </w:r>
    </w:p>
    <w:p>
      <w:pPr>
        <w:pStyle w:val="6"/>
        <w:rPr>
          <w:color w:val="auto"/>
          <w:highlight w:val="none"/>
        </w:rPr>
      </w:pPr>
      <w:bookmarkStart w:id="107" w:name="_Toc112397823"/>
      <w:bookmarkStart w:id="108" w:name="_Toc9031"/>
      <w:bookmarkStart w:id="109" w:name="_Toc2598"/>
      <w:bookmarkStart w:id="110" w:name="_Toc24295"/>
      <w:bookmarkStart w:id="111" w:name="_Toc9965"/>
      <w:r>
        <w:rPr>
          <w:rFonts w:hint="eastAsia"/>
          <w:color w:val="auto"/>
          <w:highlight w:val="none"/>
        </w:rPr>
        <w:t>附表四</w:t>
      </w:r>
      <w:bookmarkEnd w:id="107"/>
      <w:bookmarkEnd w:id="108"/>
      <w:bookmarkEnd w:id="109"/>
      <w:bookmarkEnd w:id="110"/>
      <w:bookmarkEnd w:id="111"/>
    </w:p>
    <w:p>
      <w:pPr>
        <w:spacing w:line="360" w:lineRule="auto"/>
        <w:jc w:val="center"/>
        <w:rPr>
          <w:rFonts w:hint="eastAsia" w:ascii="宋体" w:hAnsi="宋体"/>
          <w:b/>
          <w:color w:val="auto"/>
          <w:sz w:val="36"/>
          <w:szCs w:val="36"/>
          <w:highlight w:val="none"/>
        </w:rPr>
      </w:pPr>
      <w:bookmarkStart w:id="112" w:name="_Toc23494909"/>
      <w:r>
        <w:rPr>
          <w:rFonts w:hint="eastAsia" w:ascii="宋体" w:hAnsi="宋体"/>
          <w:b/>
          <w:color w:val="auto"/>
          <w:sz w:val="36"/>
          <w:szCs w:val="36"/>
          <w:highlight w:val="none"/>
        </w:rPr>
        <w:t>技术标详细审查评分表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675"/>
        <w:gridCol w:w="925"/>
        <w:gridCol w:w="875"/>
        <w:gridCol w:w="1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Align w:val="center"/>
          </w:tcPr>
          <w:p>
            <w:pPr>
              <w:pStyle w:val="284"/>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评分项目</w:t>
            </w:r>
          </w:p>
        </w:tc>
        <w:tc>
          <w:tcPr>
            <w:tcW w:w="1600" w:type="dxa"/>
            <w:gridSpan w:val="2"/>
            <w:vAlign w:val="center"/>
          </w:tcPr>
          <w:p>
            <w:pPr>
              <w:pStyle w:val="284"/>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评分内容</w:t>
            </w:r>
          </w:p>
        </w:tc>
        <w:tc>
          <w:tcPr>
            <w:tcW w:w="875" w:type="dxa"/>
            <w:vAlign w:val="center"/>
          </w:tcPr>
          <w:p>
            <w:pPr>
              <w:pStyle w:val="284"/>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分值</w:t>
            </w:r>
          </w:p>
        </w:tc>
        <w:tc>
          <w:tcPr>
            <w:tcW w:w="11248" w:type="dxa"/>
            <w:vAlign w:val="center"/>
          </w:tcPr>
          <w:p>
            <w:pPr>
              <w:pStyle w:val="284"/>
              <w:ind w:firstLine="422" w:firstLineChars="200"/>
              <w:jc w:val="center"/>
              <w:rPr>
                <w:rFonts w:hint="eastAsia" w:ascii="宋体" w:hAnsi="宋体" w:eastAsia="宋体" w:cs="宋体"/>
                <w:color w:val="auto"/>
                <w:sz w:val="21"/>
                <w:szCs w:val="21"/>
                <w:lang w:val="en-US" w:eastAsia="zh-CN" w:bidi="ar-SA"/>
              </w:rPr>
            </w:pPr>
            <w:r>
              <w:rPr>
                <w:rFonts w:hint="eastAsia" w:ascii="宋体" w:hAnsi="宋体" w:eastAsia="宋体" w:cs="宋体"/>
                <w:b/>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restart"/>
            <w:vAlign w:val="center"/>
          </w:tcPr>
          <w:p>
            <w:pPr>
              <w:jc w:val="center"/>
              <w:rPr>
                <w:rFonts w:hint="eastAsia" w:ascii="宋体" w:hAnsi="宋体" w:eastAsia="宋体" w:cs="宋体"/>
                <w:color w:val="auto"/>
                <w:vertAlign w:val="baseline"/>
              </w:rPr>
            </w:pPr>
            <w:r>
              <w:rPr>
                <w:rFonts w:hint="eastAsia" w:ascii="宋体" w:hAnsi="宋体" w:eastAsia="宋体" w:cs="宋体"/>
                <w:color w:val="auto"/>
                <w:vertAlign w:val="baseline"/>
              </w:rPr>
              <w:t>一、项目组织管理机构能力（70分）</w:t>
            </w:r>
          </w:p>
        </w:tc>
        <w:tc>
          <w:tcPr>
            <w:tcW w:w="675" w:type="dxa"/>
            <w:vMerge w:val="restart"/>
            <w:vAlign w:val="center"/>
          </w:tcPr>
          <w:p>
            <w:pPr>
              <w:jc w:val="center"/>
              <w:rPr>
                <w:rFonts w:hint="eastAsia" w:ascii="宋体" w:hAnsi="宋体" w:eastAsia="宋体" w:cs="宋体"/>
                <w:color w:val="auto"/>
                <w:vertAlign w:val="baseline"/>
              </w:rPr>
            </w:pPr>
            <w:r>
              <w:rPr>
                <w:rFonts w:hint="eastAsia" w:ascii="宋体" w:hAnsi="宋体" w:eastAsia="宋体" w:cs="宋体"/>
                <w:color w:val="auto"/>
                <w:vertAlign w:val="baseline"/>
              </w:rPr>
              <w:t>项目管理机构</w:t>
            </w:r>
          </w:p>
        </w:tc>
        <w:tc>
          <w:tcPr>
            <w:tcW w:w="925" w:type="dxa"/>
            <w:vAlign w:val="center"/>
          </w:tcPr>
          <w:p>
            <w:pPr>
              <w:widowControl/>
              <w:spacing w:line="280" w:lineRule="exact"/>
              <w:jc w:val="both"/>
              <w:rPr>
                <w:rFonts w:hint="eastAsia" w:ascii="宋体" w:hAnsi="宋体" w:eastAsia="宋体" w:cs="宋体"/>
                <w:color w:val="auto"/>
                <w:vertAlign w:val="baseline"/>
              </w:rPr>
            </w:pPr>
            <w:r>
              <w:rPr>
                <w:rFonts w:hint="eastAsia" w:ascii="宋体" w:hAnsi="宋体" w:cs="宋体"/>
                <w:color w:val="auto"/>
                <w:kern w:val="0"/>
                <w:szCs w:val="21"/>
              </w:rPr>
              <w:t>项目</w:t>
            </w:r>
            <w:r>
              <w:rPr>
                <w:rFonts w:hint="eastAsia" w:ascii="宋体" w:hAnsi="宋体" w:cs="宋体"/>
                <w:color w:val="auto"/>
                <w:szCs w:val="21"/>
              </w:rPr>
              <w:t>负责人</w:t>
            </w:r>
          </w:p>
        </w:tc>
        <w:tc>
          <w:tcPr>
            <w:tcW w:w="875" w:type="dxa"/>
            <w:vAlign w:val="center"/>
          </w:tcPr>
          <w:p>
            <w:pPr>
              <w:widowControl/>
              <w:spacing w:line="280" w:lineRule="exact"/>
              <w:jc w:val="center"/>
              <w:rPr>
                <w:rFonts w:hint="eastAsia" w:ascii="宋体" w:hAnsi="宋体" w:eastAsia="宋体" w:cs="宋体"/>
                <w:color w:val="auto"/>
                <w:vertAlign w:val="baseline"/>
              </w:rPr>
            </w:pPr>
            <w:r>
              <w:rPr>
                <w:rFonts w:hint="eastAsia" w:ascii="宋体" w:hAnsi="宋体" w:cs="宋体"/>
                <w:color w:val="auto"/>
                <w:szCs w:val="21"/>
              </w:rPr>
              <w:t>20</w:t>
            </w:r>
          </w:p>
        </w:tc>
        <w:tc>
          <w:tcPr>
            <w:tcW w:w="11248" w:type="dxa"/>
            <w:vAlign w:val="center"/>
          </w:tcPr>
          <w:p>
            <w:pPr>
              <w:jc w:val="both"/>
              <w:rPr>
                <w:rFonts w:hint="eastAsia" w:ascii="宋体" w:hAnsi="宋体" w:eastAsia="宋体" w:cs="宋体"/>
                <w:color w:val="auto"/>
                <w:highlight w:val="none"/>
                <w:vertAlign w:val="baseline"/>
              </w:rPr>
            </w:pPr>
            <w:r>
              <w:rPr>
                <w:rFonts w:hint="eastAsia" w:ascii="宋体" w:hAnsi="宋体" w:cs="宋体"/>
                <w:color w:val="auto"/>
                <w:szCs w:val="21"/>
                <w:highlight w:val="none"/>
              </w:rPr>
              <w:t>从业能力：具有【市政】工程类专业中级或以上技术职称，得20分。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675" w:type="dxa"/>
            <w:vMerge w:val="continue"/>
          </w:tcPr>
          <w:p>
            <w:pPr>
              <w:rPr>
                <w:rFonts w:hint="eastAsia" w:ascii="宋体" w:hAnsi="宋体" w:eastAsia="宋体" w:cs="宋体"/>
                <w:color w:val="auto"/>
                <w:vertAlign w:val="baseline"/>
              </w:rPr>
            </w:pPr>
          </w:p>
        </w:tc>
        <w:tc>
          <w:tcPr>
            <w:tcW w:w="925" w:type="dxa"/>
            <w:vAlign w:val="center"/>
          </w:tcPr>
          <w:p>
            <w:pPr>
              <w:widowControl/>
              <w:spacing w:line="280" w:lineRule="exact"/>
              <w:jc w:val="both"/>
              <w:rPr>
                <w:rFonts w:hint="eastAsia" w:ascii="宋体" w:hAnsi="宋体" w:eastAsia="宋体" w:cs="宋体"/>
                <w:color w:val="auto"/>
                <w:vertAlign w:val="baseline"/>
              </w:rPr>
            </w:pPr>
            <w:r>
              <w:rPr>
                <w:rFonts w:hint="eastAsia" w:ascii="宋体" w:hAnsi="宋体" w:cs="宋体"/>
                <w:color w:val="auto"/>
                <w:szCs w:val="21"/>
              </w:rPr>
              <w:t>技术负责人</w:t>
            </w:r>
          </w:p>
        </w:tc>
        <w:tc>
          <w:tcPr>
            <w:tcW w:w="875" w:type="dxa"/>
            <w:vAlign w:val="center"/>
          </w:tcPr>
          <w:p>
            <w:pPr>
              <w:widowControl/>
              <w:spacing w:line="280" w:lineRule="exact"/>
              <w:jc w:val="center"/>
              <w:rPr>
                <w:rFonts w:hint="eastAsia" w:ascii="宋体" w:hAnsi="宋体" w:eastAsia="宋体" w:cs="宋体"/>
                <w:color w:val="auto"/>
                <w:vertAlign w:val="baseline"/>
              </w:rPr>
            </w:pPr>
            <w:r>
              <w:rPr>
                <w:rFonts w:hint="eastAsia" w:ascii="宋体" w:hAnsi="宋体" w:cs="宋体"/>
                <w:color w:val="auto"/>
                <w:szCs w:val="21"/>
              </w:rPr>
              <w:t>20</w:t>
            </w:r>
          </w:p>
        </w:tc>
        <w:tc>
          <w:tcPr>
            <w:tcW w:w="11248" w:type="dxa"/>
            <w:vAlign w:val="center"/>
          </w:tcPr>
          <w:p>
            <w:pPr>
              <w:jc w:val="both"/>
              <w:rPr>
                <w:rFonts w:hint="eastAsia" w:ascii="宋体" w:hAnsi="宋体" w:eastAsia="宋体" w:cs="宋体"/>
                <w:color w:val="auto"/>
                <w:highlight w:val="none"/>
                <w:vertAlign w:val="baseline"/>
              </w:rPr>
            </w:pPr>
            <w:r>
              <w:rPr>
                <w:rFonts w:hint="eastAsia" w:ascii="宋体" w:hAnsi="宋体" w:cs="宋体"/>
                <w:color w:val="auto"/>
                <w:szCs w:val="21"/>
                <w:highlight w:val="none"/>
              </w:rPr>
              <w:t>从业能力：具有【市政】工程类专业副高级或以上技术职称，得20分；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675" w:type="dxa"/>
            <w:vMerge w:val="continue"/>
          </w:tcPr>
          <w:p>
            <w:pPr>
              <w:rPr>
                <w:rFonts w:hint="eastAsia" w:ascii="宋体" w:hAnsi="宋体" w:eastAsia="宋体" w:cs="宋体"/>
                <w:color w:val="auto"/>
                <w:vertAlign w:val="baseline"/>
              </w:rPr>
            </w:pPr>
          </w:p>
        </w:tc>
        <w:tc>
          <w:tcPr>
            <w:tcW w:w="925" w:type="dxa"/>
            <w:vAlign w:val="center"/>
          </w:tcPr>
          <w:p>
            <w:pPr>
              <w:widowControl/>
              <w:spacing w:line="280" w:lineRule="exact"/>
              <w:jc w:val="both"/>
              <w:rPr>
                <w:rFonts w:hint="eastAsia" w:ascii="宋体" w:hAnsi="宋体" w:eastAsia="宋体" w:cs="宋体"/>
                <w:color w:val="auto"/>
                <w:vertAlign w:val="baseline"/>
              </w:rPr>
            </w:pPr>
            <w:r>
              <w:rPr>
                <w:rFonts w:hint="eastAsia" w:ascii="宋体" w:hAnsi="宋体" w:cs="宋体"/>
                <w:color w:val="auto"/>
                <w:szCs w:val="21"/>
              </w:rPr>
              <w:t>质量负责人</w:t>
            </w:r>
          </w:p>
        </w:tc>
        <w:tc>
          <w:tcPr>
            <w:tcW w:w="875" w:type="dxa"/>
            <w:vAlign w:val="center"/>
          </w:tcPr>
          <w:p>
            <w:pPr>
              <w:widowControl/>
              <w:spacing w:line="280" w:lineRule="exact"/>
              <w:jc w:val="center"/>
              <w:rPr>
                <w:rFonts w:hint="eastAsia" w:ascii="宋体" w:hAnsi="宋体" w:eastAsia="宋体" w:cs="宋体"/>
                <w:color w:val="auto"/>
                <w:vertAlign w:val="baseline"/>
              </w:rPr>
            </w:pPr>
            <w:r>
              <w:rPr>
                <w:rFonts w:hint="eastAsia" w:ascii="宋体" w:hAnsi="宋体" w:cs="宋体"/>
                <w:color w:val="auto"/>
                <w:szCs w:val="21"/>
              </w:rPr>
              <w:t>10</w:t>
            </w:r>
          </w:p>
        </w:tc>
        <w:tc>
          <w:tcPr>
            <w:tcW w:w="11248" w:type="dxa"/>
            <w:vAlign w:val="center"/>
          </w:tcPr>
          <w:p>
            <w:pPr>
              <w:jc w:val="both"/>
              <w:rPr>
                <w:rFonts w:hint="eastAsia" w:ascii="宋体" w:hAnsi="宋体" w:eastAsia="宋体" w:cs="宋体"/>
                <w:color w:val="auto"/>
                <w:highlight w:val="none"/>
                <w:vertAlign w:val="baseline"/>
              </w:rPr>
            </w:pPr>
            <w:r>
              <w:rPr>
                <w:rFonts w:hint="eastAsia" w:ascii="宋体" w:hAnsi="宋体" w:cs="宋体"/>
                <w:color w:val="auto"/>
                <w:szCs w:val="21"/>
                <w:highlight w:val="none"/>
              </w:rPr>
              <w:t>从业能力：具有</w:t>
            </w:r>
            <w:r>
              <w:rPr>
                <w:rFonts w:hint="eastAsia" w:ascii="宋体" w:hAnsi="宋体" w:cs="宋体"/>
                <w:color w:val="auto"/>
                <w:szCs w:val="21"/>
                <w:highlight w:val="none"/>
                <w:lang w:eastAsia="zh-CN"/>
              </w:rPr>
              <w:t>【</w:t>
            </w:r>
            <w:r>
              <w:rPr>
                <w:rFonts w:hint="eastAsia" w:ascii="宋体" w:hAnsi="宋体" w:cs="宋体"/>
                <w:color w:val="auto"/>
                <w:szCs w:val="21"/>
                <w:highlight w:val="none"/>
              </w:rPr>
              <w:t>市政】工程类专业中级或以上技术职称，得10分。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675" w:type="dxa"/>
            <w:vMerge w:val="continue"/>
          </w:tcPr>
          <w:p>
            <w:pPr>
              <w:rPr>
                <w:rFonts w:hint="eastAsia" w:ascii="宋体" w:hAnsi="宋体" w:eastAsia="宋体" w:cs="宋体"/>
                <w:color w:val="auto"/>
                <w:vertAlign w:val="baseline"/>
              </w:rPr>
            </w:pPr>
          </w:p>
        </w:tc>
        <w:tc>
          <w:tcPr>
            <w:tcW w:w="925" w:type="dxa"/>
            <w:vAlign w:val="center"/>
          </w:tcPr>
          <w:p>
            <w:pPr>
              <w:widowControl/>
              <w:spacing w:line="280" w:lineRule="exact"/>
              <w:jc w:val="both"/>
              <w:rPr>
                <w:rFonts w:hint="eastAsia" w:ascii="宋体" w:hAnsi="宋体" w:eastAsia="宋体" w:cs="宋体"/>
                <w:color w:val="auto"/>
                <w:vertAlign w:val="baseline"/>
              </w:rPr>
            </w:pPr>
            <w:r>
              <w:rPr>
                <w:rFonts w:hint="eastAsia" w:ascii="宋体" w:hAnsi="宋体" w:cs="宋体"/>
                <w:color w:val="auto"/>
                <w:szCs w:val="21"/>
              </w:rPr>
              <w:t>安全负责人</w:t>
            </w:r>
          </w:p>
        </w:tc>
        <w:tc>
          <w:tcPr>
            <w:tcW w:w="875" w:type="dxa"/>
            <w:vAlign w:val="center"/>
          </w:tcPr>
          <w:p>
            <w:pPr>
              <w:widowControl/>
              <w:spacing w:line="280" w:lineRule="exact"/>
              <w:jc w:val="center"/>
              <w:rPr>
                <w:rFonts w:hint="eastAsia" w:ascii="宋体" w:hAnsi="宋体" w:eastAsia="宋体" w:cs="宋体"/>
                <w:color w:val="auto"/>
                <w:vertAlign w:val="baseline"/>
              </w:rPr>
            </w:pPr>
            <w:r>
              <w:rPr>
                <w:rFonts w:hint="eastAsia" w:ascii="宋体" w:hAnsi="宋体" w:cs="宋体"/>
                <w:color w:val="auto"/>
                <w:szCs w:val="21"/>
              </w:rPr>
              <w:t>10</w:t>
            </w:r>
          </w:p>
        </w:tc>
        <w:tc>
          <w:tcPr>
            <w:tcW w:w="11248" w:type="dxa"/>
            <w:vAlign w:val="center"/>
          </w:tcPr>
          <w:p>
            <w:pPr>
              <w:jc w:val="both"/>
              <w:rPr>
                <w:rFonts w:hint="eastAsia" w:ascii="宋体" w:hAnsi="宋体" w:eastAsia="宋体" w:cs="宋体"/>
                <w:color w:val="auto"/>
                <w:highlight w:val="none"/>
                <w:vertAlign w:val="baseline"/>
              </w:rPr>
            </w:pPr>
            <w:r>
              <w:rPr>
                <w:rFonts w:hint="eastAsia" w:ascii="宋体" w:hAnsi="宋体" w:cs="宋体"/>
                <w:color w:val="auto"/>
                <w:szCs w:val="21"/>
                <w:highlight w:val="none"/>
              </w:rPr>
              <w:t>从业能力：具有安全工程专业中级或以上技术职称或【市政】工程类专业中级或以上技术职称，且具有安全生产考核合格证</w:t>
            </w:r>
            <w:r>
              <w:rPr>
                <w:rFonts w:hint="eastAsia" w:ascii="宋体" w:hAnsi="宋体" w:cs="宋体"/>
                <w:color w:val="auto"/>
                <w:szCs w:val="21"/>
                <w:highlight w:val="none"/>
                <w:lang w:eastAsia="zh-CN"/>
              </w:rPr>
              <w:t>（</w:t>
            </w:r>
            <w:r>
              <w:rPr>
                <w:rFonts w:hint="eastAsia" w:ascii="宋体" w:hAnsi="宋体" w:cs="宋体"/>
                <w:color w:val="auto"/>
                <w:szCs w:val="21"/>
                <w:highlight w:val="none"/>
              </w:rPr>
              <w:t>B类</w:t>
            </w:r>
            <w:r>
              <w:rPr>
                <w:rFonts w:hint="eastAsia" w:ascii="宋体" w:hAnsi="宋体" w:cs="宋体"/>
                <w:color w:val="auto"/>
                <w:szCs w:val="21"/>
                <w:highlight w:val="none"/>
                <w:lang w:eastAsia="zh-CN"/>
              </w:rPr>
              <w:t>）</w:t>
            </w:r>
            <w:r>
              <w:rPr>
                <w:rFonts w:hint="eastAsia" w:ascii="宋体" w:hAnsi="宋体" w:cs="宋体"/>
                <w:color w:val="auto"/>
                <w:szCs w:val="21"/>
                <w:highlight w:val="none"/>
              </w:rPr>
              <w:t>或安全生产考核合格证</w:t>
            </w:r>
            <w:r>
              <w:rPr>
                <w:rFonts w:hint="eastAsia" w:ascii="宋体" w:hAnsi="宋体" w:cs="宋体"/>
                <w:color w:val="auto"/>
                <w:szCs w:val="21"/>
                <w:highlight w:val="none"/>
                <w:lang w:eastAsia="zh-CN"/>
              </w:rPr>
              <w:t>（</w:t>
            </w:r>
            <w:r>
              <w:rPr>
                <w:rFonts w:hint="eastAsia" w:ascii="宋体" w:hAnsi="宋体" w:cs="宋体"/>
                <w:color w:val="auto"/>
                <w:szCs w:val="21"/>
                <w:highlight w:val="none"/>
              </w:rPr>
              <w:t>C类</w:t>
            </w:r>
            <w:r>
              <w:rPr>
                <w:rFonts w:hint="eastAsia" w:ascii="宋体" w:hAnsi="宋体" w:cs="宋体"/>
                <w:color w:val="auto"/>
                <w:szCs w:val="21"/>
                <w:highlight w:val="none"/>
                <w:lang w:eastAsia="zh-CN"/>
              </w:rPr>
              <w:t>）</w:t>
            </w:r>
            <w:r>
              <w:rPr>
                <w:rFonts w:hint="eastAsia" w:ascii="宋体" w:hAnsi="宋体" w:cs="宋体"/>
                <w:color w:val="auto"/>
                <w:szCs w:val="21"/>
                <w:highlight w:val="none"/>
              </w:rPr>
              <w:t>或建筑施工企业项目负责人安全生产考核合格证书或建筑施工企业专职安全生产管理人员安全生产考核合格证书</w:t>
            </w:r>
            <w:r>
              <w:rPr>
                <w:rFonts w:hint="eastAsia" w:ascii="宋体" w:hAnsi="宋体" w:cs="宋体"/>
                <w:color w:val="auto"/>
                <w:szCs w:val="21"/>
                <w:highlight w:val="none"/>
                <w:lang w:eastAsia="zh-CN"/>
              </w:rPr>
              <w:t>（C3）</w:t>
            </w:r>
            <w:r>
              <w:rPr>
                <w:rFonts w:hint="eastAsia" w:ascii="宋体" w:hAnsi="宋体" w:cs="宋体"/>
                <w:color w:val="auto"/>
                <w:szCs w:val="21"/>
                <w:highlight w:val="none"/>
              </w:rPr>
              <w:t>，得10分。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675" w:type="dxa"/>
            <w:vMerge w:val="continue"/>
          </w:tcPr>
          <w:p>
            <w:pPr>
              <w:rPr>
                <w:rFonts w:hint="eastAsia" w:ascii="宋体" w:hAnsi="宋体" w:eastAsia="宋体" w:cs="宋体"/>
                <w:color w:val="auto"/>
                <w:vertAlign w:val="baseline"/>
              </w:rPr>
            </w:pPr>
          </w:p>
        </w:tc>
        <w:tc>
          <w:tcPr>
            <w:tcW w:w="925" w:type="dxa"/>
            <w:vAlign w:val="center"/>
          </w:tcPr>
          <w:p>
            <w:pPr>
              <w:widowControl/>
              <w:spacing w:line="280" w:lineRule="exact"/>
              <w:jc w:val="both"/>
              <w:rPr>
                <w:rFonts w:hint="eastAsia" w:ascii="宋体" w:hAnsi="宋体" w:eastAsia="宋体" w:cs="宋体"/>
                <w:color w:val="auto"/>
                <w:vertAlign w:val="baseline"/>
              </w:rPr>
            </w:pPr>
            <w:r>
              <w:rPr>
                <w:rFonts w:hint="eastAsia" w:ascii="宋体" w:hAnsi="宋体" w:cs="宋体"/>
                <w:color w:val="auto"/>
                <w:szCs w:val="21"/>
              </w:rPr>
              <w:t>造价负责人</w:t>
            </w:r>
          </w:p>
        </w:tc>
        <w:tc>
          <w:tcPr>
            <w:tcW w:w="875" w:type="dxa"/>
            <w:vAlign w:val="center"/>
          </w:tcPr>
          <w:p>
            <w:pPr>
              <w:widowControl/>
              <w:spacing w:line="280" w:lineRule="exact"/>
              <w:jc w:val="center"/>
              <w:rPr>
                <w:rFonts w:hint="eastAsia" w:ascii="宋体" w:hAnsi="宋体" w:eastAsia="宋体" w:cs="宋体"/>
                <w:color w:val="auto"/>
                <w:vertAlign w:val="baseline"/>
              </w:rPr>
            </w:pPr>
            <w:r>
              <w:rPr>
                <w:rFonts w:hint="eastAsia" w:ascii="宋体" w:hAnsi="宋体" w:cs="宋体"/>
                <w:color w:val="auto"/>
                <w:szCs w:val="21"/>
              </w:rPr>
              <w:t>10</w:t>
            </w:r>
          </w:p>
        </w:tc>
        <w:tc>
          <w:tcPr>
            <w:tcW w:w="11248" w:type="dxa"/>
            <w:vAlign w:val="center"/>
          </w:tcPr>
          <w:p>
            <w:pPr>
              <w:jc w:val="both"/>
              <w:rPr>
                <w:rFonts w:hint="eastAsia" w:ascii="宋体" w:hAnsi="宋体" w:eastAsia="宋体" w:cs="宋体"/>
                <w:color w:val="auto"/>
                <w:vertAlign w:val="baseline"/>
              </w:rPr>
            </w:pPr>
            <w:r>
              <w:rPr>
                <w:rFonts w:hint="eastAsia" w:ascii="宋体" w:hAnsi="宋体" w:cs="宋体"/>
                <w:color w:val="auto"/>
                <w:szCs w:val="21"/>
              </w:rPr>
              <w:t>从业能力：具有有效的注册造价师（或一级注册造价师）证书、或具有工程造价类专业副高级或以上技术职称，得10分。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250" w:type="dxa"/>
            <w:gridSpan w:val="4"/>
          </w:tcPr>
          <w:p>
            <w:pPr>
              <w:rPr>
                <w:rFonts w:hint="eastAsia" w:ascii="宋体" w:hAnsi="宋体" w:eastAsia="宋体" w:cs="宋体"/>
                <w:color w:val="auto"/>
                <w:vertAlign w:val="baseline"/>
              </w:rPr>
            </w:pPr>
          </w:p>
        </w:tc>
        <w:tc>
          <w:tcPr>
            <w:tcW w:w="11248" w:type="dxa"/>
          </w:tcPr>
          <w:p>
            <w:pPr>
              <w:rPr>
                <w:rFonts w:hint="eastAsia" w:ascii="宋体" w:hAnsi="宋体" w:eastAsia="宋体" w:cs="宋体"/>
                <w:color w:val="auto"/>
                <w:vertAlign w:val="baseline"/>
              </w:rPr>
            </w:pPr>
            <w:r>
              <w:rPr>
                <w:rFonts w:hint="eastAsia" w:ascii="宋体" w:hAnsi="宋体" w:eastAsia="宋体" w:cs="宋体"/>
                <w:color w:val="auto"/>
                <w:vertAlign w:val="baseline"/>
              </w:rPr>
              <w:t>注：①上述人员须提供身份证、毕业证书（大学专科（或以上）学历）及投标截止前一个月（</w:t>
            </w:r>
            <w:r>
              <w:rPr>
                <w:rFonts w:hint="eastAsia" w:ascii="宋体" w:hAnsi="宋体" w:eastAsia="宋体" w:cs="宋体"/>
                <w:color w:val="auto"/>
                <w:vertAlign w:val="baseline"/>
                <w:lang w:val="en-US" w:eastAsia="zh-CN"/>
              </w:rPr>
              <w:t>2024</w:t>
            </w:r>
            <w:r>
              <w:rPr>
                <w:rFonts w:hint="eastAsia" w:ascii="宋体" w:hAnsi="宋体" w:eastAsia="宋体" w:cs="宋体"/>
                <w:color w:val="auto"/>
                <w:vertAlign w:val="baseline"/>
              </w:rPr>
              <w:t>年</w:t>
            </w:r>
            <w:r>
              <w:rPr>
                <w:rFonts w:hint="eastAsia" w:ascii="宋体" w:hAnsi="宋体" w:eastAsia="宋体" w:cs="宋体"/>
                <w:color w:val="auto"/>
                <w:vertAlign w:val="baseline"/>
                <w:lang w:val="en-US" w:eastAsia="zh-CN"/>
              </w:rPr>
              <w:t>6</w:t>
            </w:r>
            <w:r>
              <w:rPr>
                <w:rFonts w:hint="eastAsia" w:ascii="宋体" w:hAnsi="宋体" w:eastAsia="宋体" w:cs="宋体"/>
                <w:color w:val="auto"/>
                <w:vertAlign w:val="baseline"/>
              </w:rPr>
              <w:t>月）有效社保证明，且须按相应要求提供职称证、有效期内的注册证及有效期内的安全生产考核合格证（B类）或安全生产考核合格证（C类）或或建筑施工企业项目负责人安全生产考核合格证书或建筑施工企业专职安全生产管理人员安全生产考核合格证书（C3），所有资料为扫描件并加盖投标人电子公章；</w:t>
            </w:r>
          </w:p>
          <w:p>
            <w:pPr>
              <w:ind w:firstLine="210" w:firstLineChars="100"/>
              <w:rPr>
                <w:rFonts w:hint="eastAsia" w:ascii="宋体" w:hAnsi="宋体" w:eastAsia="宋体" w:cs="宋体"/>
                <w:color w:val="auto"/>
                <w:vertAlign w:val="baseline"/>
              </w:rPr>
            </w:pPr>
            <w:r>
              <w:rPr>
                <w:rFonts w:hint="eastAsia" w:ascii="宋体" w:hAnsi="宋体" w:eastAsia="宋体" w:cs="宋体"/>
                <w:color w:val="auto"/>
                <w:vertAlign w:val="baseline"/>
              </w:rPr>
              <w:t>②项目负责人、技术负责人、质量负责人、安全负责人、造价负责人不得兼任，且安全负责人不能同时兼任专职安全员。</w:t>
            </w:r>
          </w:p>
          <w:p>
            <w:pPr>
              <w:ind w:firstLine="210" w:firstLineChars="100"/>
              <w:rPr>
                <w:rFonts w:hint="eastAsia" w:ascii="宋体" w:hAnsi="宋体" w:eastAsia="宋体" w:cs="宋体"/>
                <w:color w:val="auto"/>
                <w:vertAlign w:val="baseline"/>
              </w:rPr>
            </w:pPr>
            <w:r>
              <w:rPr>
                <w:rFonts w:hint="eastAsia" w:ascii="宋体" w:hAnsi="宋体" w:eastAsia="宋体" w:cs="宋体"/>
                <w:color w:val="auto"/>
                <w:vertAlign w:val="baseline"/>
              </w:rPr>
              <w:t>③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p>
            <w:pPr>
              <w:ind w:firstLine="210" w:firstLineChars="100"/>
              <w:rPr>
                <w:rFonts w:hint="eastAsia" w:ascii="宋体" w:hAnsi="宋体" w:eastAsia="宋体" w:cs="宋体"/>
                <w:color w:val="auto"/>
                <w:vertAlign w:val="baseline"/>
              </w:rPr>
            </w:pPr>
            <w:r>
              <w:rPr>
                <w:rFonts w:hint="eastAsia" w:ascii="宋体" w:hAnsi="宋体" w:eastAsia="宋体" w:cs="宋体"/>
                <w:color w:val="auto"/>
                <w:vertAlign w:val="baseline"/>
              </w:rPr>
              <w:t>④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restart"/>
          </w:tcPr>
          <w:p>
            <w:pPr>
              <w:rPr>
                <w:rFonts w:hint="eastAsia" w:ascii="宋体" w:hAnsi="宋体" w:eastAsia="宋体" w:cs="宋体"/>
                <w:color w:val="auto"/>
                <w:vertAlign w:val="baseline"/>
              </w:rPr>
            </w:pPr>
            <w:r>
              <w:rPr>
                <w:rFonts w:hint="eastAsia" w:ascii="宋体" w:hAnsi="宋体" w:eastAsia="宋体" w:cs="宋体"/>
                <w:color w:val="auto"/>
                <w:vertAlign w:val="baseline"/>
              </w:rPr>
              <w:t>二、企业资信（30分）</w:t>
            </w:r>
          </w:p>
        </w:tc>
        <w:tc>
          <w:tcPr>
            <w:tcW w:w="1600" w:type="dxa"/>
            <w:gridSpan w:val="2"/>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企业类似工程业绩</w:t>
            </w:r>
          </w:p>
        </w:tc>
        <w:tc>
          <w:tcPr>
            <w:tcW w:w="875" w:type="dxa"/>
            <w:vAlign w:val="center"/>
          </w:tcPr>
          <w:p>
            <w:pPr>
              <w:pStyle w:val="284"/>
              <w:jc w:val="center"/>
              <w:rPr>
                <w:rFonts w:hint="eastAsia" w:ascii="宋体" w:hAnsi="宋体" w:eastAsia="宋体" w:cs="宋体"/>
                <w:color w:val="auto"/>
                <w:vertAlign w:val="baseline"/>
              </w:rPr>
            </w:pPr>
            <w:r>
              <w:rPr>
                <w:rFonts w:hint="eastAsia" w:ascii="宋体" w:hAnsi="宋体" w:eastAsia="宋体" w:cs="宋体"/>
                <w:color w:val="auto"/>
                <w:sz w:val="21"/>
                <w:szCs w:val="21"/>
                <w:highlight w:val="none"/>
                <w:lang w:val="en-US" w:eastAsia="zh-CN"/>
              </w:rPr>
              <w:t>8</w:t>
            </w:r>
          </w:p>
        </w:tc>
        <w:tc>
          <w:tcPr>
            <w:tcW w:w="11248" w:type="dxa"/>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投标人自</w:t>
            </w:r>
            <w:r>
              <w:rPr>
                <w:rFonts w:hint="eastAsia" w:ascii="宋体" w:hAnsi="宋体" w:eastAsia="宋体" w:cs="宋体"/>
                <w:color w:val="auto"/>
                <w:sz w:val="21"/>
                <w:szCs w:val="21"/>
                <w:highlight w:val="none"/>
                <w:u w:val="single"/>
                <w:lang w:val="en-US" w:eastAsia="zh-CN"/>
              </w:rPr>
              <w:t>2020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完成过质量合格的且工程造价金额大于或等于</w:t>
            </w:r>
            <w:r>
              <w:rPr>
                <w:rFonts w:hint="eastAsia" w:ascii="宋体" w:hAnsi="宋体" w:eastAsia="宋体" w:cs="宋体"/>
                <w:color w:val="auto"/>
                <w:sz w:val="21"/>
                <w:szCs w:val="21"/>
                <w:highlight w:val="none"/>
                <w:u w:val="single"/>
                <w:lang w:val="en-US" w:eastAsia="zh-CN"/>
              </w:rPr>
              <w:t>2500</w:t>
            </w:r>
            <w:r>
              <w:rPr>
                <w:rFonts w:hint="eastAsia" w:ascii="宋体" w:hAnsi="宋体" w:eastAsia="宋体" w:cs="宋体"/>
                <w:color w:val="auto"/>
                <w:sz w:val="21"/>
                <w:szCs w:val="21"/>
                <w:highlight w:val="none"/>
              </w:rPr>
              <w:t>万元的市政公用工程施工总承包或工程总承包施工部分业绩一项得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1600" w:type="dxa"/>
            <w:gridSpan w:val="2"/>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企业工程项目获奖情况</w:t>
            </w:r>
          </w:p>
        </w:tc>
        <w:tc>
          <w:tcPr>
            <w:tcW w:w="875" w:type="dxa"/>
            <w:vAlign w:val="center"/>
          </w:tcPr>
          <w:p>
            <w:pPr>
              <w:pStyle w:val="284"/>
              <w:jc w:val="center"/>
              <w:rPr>
                <w:rFonts w:hint="eastAsia" w:ascii="宋体" w:hAnsi="宋体" w:eastAsia="宋体" w:cs="宋体"/>
                <w:color w:val="auto"/>
                <w:vertAlign w:val="baseline"/>
              </w:rPr>
            </w:pPr>
            <w:r>
              <w:rPr>
                <w:rFonts w:hint="eastAsia" w:ascii="宋体" w:hAnsi="宋体" w:eastAsia="宋体" w:cs="宋体"/>
                <w:color w:val="auto"/>
                <w:sz w:val="21"/>
                <w:szCs w:val="21"/>
                <w:highlight w:val="none"/>
                <w:lang w:val="en-US" w:eastAsia="zh-CN"/>
              </w:rPr>
              <w:t>8</w:t>
            </w:r>
          </w:p>
        </w:tc>
        <w:tc>
          <w:tcPr>
            <w:tcW w:w="11248" w:type="dxa"/>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企业自</w:t>
            </w:r>
            <w:r>
              <w:rPr>
                <w:rFonts w:hint="eastAsia" w:ascii="宋体" w:hAnsi="宋体" w:eastAsia="宋体" w:cs="宋体"/>
                <w:color w:val="auto"/>
                <w:sz w:val="21"/>
                <w:szCs w:val="21"/>
                <w:highlight w:val="none"/>
                <w:u w:val="single"/>
                <w:lang w:val="en-US" w:eastAsia="zh-CN"/>
              </w:rPr>
              <w:t>2020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获得市政公用工程的市级或以上的质量或安全文明奖项，一项得1分，最多得8分。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1600" w:type="dxa"/>
            <w:gridSpan w:val="2"/>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企业工程研发能力</w:t>
            </w:r>
          </w:p>
        </w:tc>
        <w:tc>
          <w:tcPr>
            <w:tcW w:w="875" w:type="dxa"/>
            <w:vAlign w:val="center"/>
          </w:tcPr>
          <w:p>
            <w:pPr>
              <w:pStyle w:val="284"/>
              <w:jc w:val="center"/>
              <w:rPr>
                <w:rFonts w:hint="eastAsia" w:ascii="宋体" w:hAnsi="宋体" w:eastAsia="宋体" w:cs="宋体"/>
                <w:color w:val="auto"/>
                <w:vertAlign w:val="baseline"/>
              </w:rPr>
            </w:pPr>
            <w:r>
              <w:rPr>
                <w:rFonts w:hint="eastAsia" w:ascii="宋体" w:hAnsi="宋体" w:eastAsia="宋体" w:cs="宋体"/>
                <w:color w:val="auto"/>
                <w:sz w:val="21"/>
                <w:szCs w:val="21"/>
                <w:highlight w:val="none"/>
              </w:rPr>
              <w:t>8</w:t>
            </w:r>
          </w:p>
        </w:tc>
        <w:tc>
          <w:tcPr>
            <w:tcW w:w="11248" w:type="dxa"/>
            <w:vAlign w:val="center"/>
          </w:tcPr>
          <w:p>
            <w:pPr>
              <w:pStyle w:val="284"/>
              <w:rPr>
                <w:rFonts w:hint="eastAsia" w:ascii="宋体" w:hAnsi="宋体" w:eastAsia="宋体" w:cs="宋体"/>
                <w:color w:val="auto"/>
                <w:vertAlign w:val="baseline"/>
              </w:rPr>
            </w:pPr>
            <w:r>
              <w:rPr>
                <w:rFonts w:hint="eastAsia" w:ascii="宋体" w:hAnsi="宋体" w:eastAsia="宋体" w:cs="宋体"/>
                <w:color w:val="auto"/>
                <w:sz w:val="21"/>
                <w:szCs w:val="21"/>
                <w:highlight w:val="none"/>
              </w:rPr>
              <w:t>投标人自</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主要完成单位或独立完成单位获得省级或以上【市政工程】</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 w:val="21"/>
                <w:szCs w:val="21"/>
                <w:highlight w:val="none"/>
              </w:rPr>
              <w:t>工法证书奖项</w:t>
            </w:r>
            <w:r>
              <w:rPr>
                <w:rFonts w:hint="eastAsia" w:ascii="宋体" w:hAnsi="宋体" w:eastAsia="宋体" w:cs="宋体"/>
                <w:color w:val="auto"/>
                <w:sz w:val="21"/>
                <w:szCs w:val="21"/>
                <w:highlight w:val="none"/>
                <w:lang w:eastAsia="zh-CN"/>
              </w:rPr>
              <w:t>，一项得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分，最多得8分。</w:t>
            </w:r>
            <w:r>
              <w:rPr>
                <w:rFonts w:hint="eastAsia" w:ascii="宋体" w:hAnsi="宋体" w:eastAsia="宋体" w:cs="宋体"/>
                <w:color w:val="auto"/>
                <w:sz w:val="21"/>
                <w:szCs w:val="21"/>
                <w:highlight w:val="none"/>
              </w:rPr>
              <w:t>相同工法按最高级别奖项只计一次得分；本项最多得8分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5" w:type="dxa"/>
            <w:vMerge w:val="continue"/>
          </w:tcPr>
          <w:p>
            <w:pPr>
              <w:rPr>
                <w:rFonts w:hint="eastAsia" w:ascii="宋体" w:hAnsi="宋体" w:eastAsia="宋体" w:cs="宋体"/>
                <w:color w:val="auto"/>
                <w:vertAlign w:val="baseline"/>
              </w:rPr>
            </w:pPr>
          </w:p>
        </w:tc>
        <w:tc>
          <w:tcPr>
            <w:tcW w:w="1600" w:type="dxa"/>
            <w:gridSpan w:val="2"/>
            <w:vAlign w:val="center"/>
          </w:tcPr>
          <w:p>
            <w:pPr>
              <w:pStyle w:val="284"/>
              <w:jc w:val="left"/>
              <w:rPr>
                <w:rFonts w:hint="eastAsia" w:ascii="宋体" w:hAnsi="宋体" w:eastAsia="宋体" w:cs="宋体"/>
                <w:color w:val="auto"/>
                <w:vertAlign w:val="baseline"/>
              </w:rPr>
            </w:pPr>
            <w:r>
              <w:rPr>
                <w:rFonts w:hint="eastAsia" w:ascii="宋体" w:hAnsi="宋体" w:eastAsia="宋体" w:cs="宋体"/>
                <w:color w:val="auto"/>
                <w:sz w:val="21"/>
                <w:szCs w:val="21"/>
                <w:highlight w:val="none"/>
              </w:rPr>
              <w:t>第三方评价</w:t>
            </w:r>
          </w:p>
        </w:tc>
        <w:tc>
          <w:tcPr>
            <w:tcW w:w="875" w:type="dxa"/>
            <w:vAlign w:val="center"/>
          </w:tcPr>
          <w:p>
            <w:pPr>
              <w:pStyle w:val="284"/>
              <w:jc w:val="center"/>
              <w:rPr>
                <w:rFonts w:hint="eastAsia" w:ascii="宋体" w:hAnsi="宋体" w:eastAsia="宋体" w:cs="宋体"/>
                <w:color w:val="auto"/>
                <w:vertAlign w:val="baseline"/>
              </w:rPr>
            </w:pPr>
            <w:r>
              <w:rPr>
                <w:rFonts w:hint="eastAsia" w:ascii="宋体" w:hAnsi="宋体" w:eastAsia="宋体" w:cs="宋体"/>
                <w:color w:val="auto"/>
                <w:sz w:val="21"/>
                <w:szCs w:val="21"/>
                <w:highlight w:val="none"/>
              </w:rPr>
              <w:t>6</w:t>
            </w:r>
          </w:p>
        </w:tc>
        <w:tc>
          <w:tcPr>
            <w:tcW w:w="11248" w:type="dxa"/>
            <w:vAlign w:val="center"/>
          </w:tcPr>
          <w:p>
            <w:pPr>
              <w:pStyle w:val="284"/>
              <w:rPr>
                <w:rFonts w:hint="eastAsia" w:ascii="宋体" w:hAnsi="宋体" w:eastAsia="宋体" w:cs="宋体"/>
                <w:color w:val="auto"/>
                <w:vertAlign w:val="baseline"/>
              </w:rPr>
            </w:pPr>
            <w:r>
              <w:rPr>
                <w:rFonts w:hint="eastAsia" w:ascii="宋体" w:hAnsi="宋体" w:eastAsia="宋体" w:cs="宋体"/>
                <w:color w:val="auto"/>
                <w:sz w:val="21"/>
                <w:szCs w:val="21"/>
                <w:highlight w:val="none"/>
                <w:lang w:val="en-US" w:eastAsia="zh-CN"/>
              </w:rPr>
              <w:t>投标人自</w:t>
            </w:r>
            <w:r>
              <w:rPr>
                <w:rFonts w:hint="eastAsia" w:ascii="宋体" w:hAnsi="宋体" w:eastAsia="宋体" w:cs="宋体"/>
                <w:color w:val="auto"/>
                <w:sz w:val="21"/>
                <w:szCs w:val="21"/>
                <w:highlight w:val="none"/>
                <w:u w:val="single"/>
                <w:lang w:val="en-US" w:eastAsia="zh-CN"/>
              </w:rPr>
              <w:t>2020</w:t>
            </w:r>
            <w:r>
              <w:rPr>
                <w:rFonts w:hint="eastAsia" w:ascii="宋体" w:hAnsi="宋体" w:eastAsia="宋体" w:cs="宋体"/>
                <w:color w:val="auto"/>
                <w:sz w:val="21"/>
                <w:szCs w:val="21"/>
                <w:highlight w:val="none"/>
                <w:lang w:val="en-US" w:eastAsia="zh-CN"/>
              </w:rPr>
              <w:t>年至今，获得过税务机关评定的“A级纳税人”称号得6分；获得过税务机关评定的“B级纳税人”称号得3分；获得过税务机关评定的“M级纳税人”称号得1分。最多得6分。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375" w:type="dxa"/>
            <w:gridSpan w:val="3"/>
            <w:vAlign w:val="center"/>
          </w:tcPr>
          <w:p>
            <w:pPr>
              <w:jc w:val="center"/>
              <w:rPr>
                <w:rFonts w:hint="eastAsia" w:ascii="宋体" w:hAnsi="宋体" w:eastAsia="宋体" w:cs="宋体"/>
                <w:color w:val="auto"/>
                <w:vertAlign w:val="baseline"/>
              </w:rPr>
            </w:pPr>
            <w:r>
              <w:rPr>
                <w:rFonts w:hint="eastAsia" w:ascii="宋体" w:hAnsi="宋体" w:eastAsia="宋体" w:cs="宋体"/>
                <w:color w:val="auto"/>
                <w:vertAlign w:val="baseline"/>
              </w:rPr>
              <w:t>合计（一+二）</w:t>
            </w:r>
          </w:p>
        </w:tc>
        <w:tc>
          <w:tcPr>
            <w:tcW w:w="875" w:type="dxa"/>
            <w:vAlign w:val="center"/>
          </w:tcPr>
          <w:p>
            <w:pPr>
              <w:jc w:val="center"/>
              <w:rPr>
                <w:rFonts w:hint="default"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100</w:t>
            </w:r>
          </w:p>
        </w:tc>
        <w:tc>
          <w:tcPr>
            <w:tcW w:w="11248" w:type="dxa"/>
          </w:tcPr>
          <w:p>
            <w:pPr>
              <w:rPr>
                <w:rFonts w:hint="eastAsia" w:ascii="宋体" w:hAnsi="宋体" w:eastAsia="宋体" w:cs="宋体"/>
                <w:color w:val="auto"/>
                <w:vertAlign w:val="baseline"/>
              </w:rPr>
            </w:pPr>
          </w:p>
        </w:tc>
      </w:tr>
    </w:tbl>
    <w:p>
      <w:pPr>
        <w:pStyle w:val="284"/>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 </w:t>
      </w:r>
    </w:p>
    <w:p>
      <w:pPr>
        <w:pStyle w:val="284"/>
        <w:ind w:firstLine="36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2.企业类似工程业绩：</w:t>
      </w:r>
    </w:p>
    <w:p>
      <w:pPr>
        <w:pStyle w:val="284"/>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需提供相关证明材料。其中：工程总承包业绩包括勘察设计施工总承包或设计施工总承包或设计采购施工总承包或勘察设计采购施工总承包业绩等。投标人须提供业绩的中标通知书或免招标的相关证明、招标公告网页首页截图（适用于公开招标项目）、中标公示或中标候选人公示网页截图（适用于公开招标项目）</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施工合同或工程总承包合同（不含补充合同）、竣工验收证明文件（验收文件至少具有建设单位、设计、施工和监理单位盖章）。完成时间以竣工验收证明材料为准。业绩金额以业绩中标通知书为准，若中标通知书没有显示中标金额或免招标的，以施工合同或工程总承包合同的施工费合同金额为准（不含补充合同）。上述资料显示的内容须一致且工程业绩须为</w:t>
      </w:r>
      <w:r>
        <w:rPr>
          <w:rFonts w:hint="eastAsia" w:ascii="宋体" w:hAnsi="宋体" w:eastAsia="宋体" w:cs="宋体"/>
          <w:color w:val="auto"/>
          <w:sz w:val="21"/>
          <w:szCs w:val="21"/>
          <w:highlight w:val="none"/>
          <w:u w:val="single"/>
        </w:rPr>
        <w:t xml:space="preserve"> 市政公用工程施工总承包 </w:t>
      </w:r>
      <w:r>
        <w:rPr>
          <w:rFonts w:hint="eastAsia" w:ascii="宋体" w:hAnsi="宋体" w:eastAsia="宋体" w:cs="宋体"/>
          <w:color w:val="auto"/>
          <w:sz w:val="21"/>
          <w:szCs w:val="21"/>
          <w:highlight w:val="none"/>
        </w:rPr>
        <w:t>资质方能承接的业绩。不符合上述条件或提供的资料不齐全的业绩不予评审。评标委员会对业绩的评审以投标人提供的完整的证明资料为依据（提供相关证明材料的，中标单位须准备相关证明材料的原件待查，如原件不齐或与投标文件不符的，招标人有权取消其中标人资格，并上报建设行政主管部门）。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rPr>
        <w:t>若公开招标项目因客观事实无法提供招标公告网页首页截图、中标公示（中标候选人公示）网页截图的，投标人可出具单位盖章的说明情况（及相关证明）并承诺其资料真实性，若公示阶段期间投标人因此被举证存在上述网页截图的，招标人有权按《投标人声明》第十五条执行。若投标人未出具任何说明情况（及相关证明），则按不符合上述条件或提供的资料不齐全的执行</w:t>
      </w:r>
      <w:r>
        <w:rPr>
          <w:rFonts w:hint="eastAsia" w:ascii="宋体" w:hAnsi="宋体" w:eastAsia="宋体" w:cs="宋体"/>
          <w:b/>
          <w:bCs/>
          <w:color w:val="auto"/>
          <w:sz w:val="21"/>
          <w:szCs w:val="21"/>
          <w:highlight w:val="none"/>
          <w:lang w:eastAsia="zh-CN"/>
        </w:rPr>
        <w:t>】</w:t>
      </w:r>
    </w:p>
    <w:p>
      <w:pPr>
        <w:pStyle w:val="284"/>
        <w:ind w:firstLine="36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3.企业工程项目获奖情况：</w:t>
      </w:r>
    </w:p>
    <w:p>
      <w:pPr>
        <w:pBdr>
          <w:bottom w:val="none" w:color="auto" w:sz="0" w:space="0"/>
        </w:pBdr>
        <w:snapToGrid/>
        <w:spacing w:line="24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只评质量或安全文明奖，</w:t>
      </w:r>
      <w:r>
        <w:rPr>
          <w:rFonts w:hint="eastAsia" w:ascii="宋体" w:hAnsi="宋体" w:eastAsia="宋体" w:cs="宋体"/>
          <w:color w:val="auto"/>
          <w:sz w:val="21"/>
          <w:szCs w:val="21"/>
          <w:highlight w:val="none"/>
        </w:rPr>
        <w:t>不包含技术创新、QC成果、科技进步及技术应用类</w:t>
      </w:r>
      <w:r>
        <w:rPr>
          <w:rFonts w:hint="eastAsia" w:ascii="宋体" w:hAnsi="宋体" w:eastAsia="宋体" w:cs="宋体"/>
          <w:color w:val="auto"/>
          <w:sz w:val="21"/>
          <w:szCs w:val="21"/>
          <w:highlight w:val="none"/>
          <w:lang w:val="en-US" w:eastAsia="zh-CN"/>
        </w:rPr>
        <w:t>奖项。</w:t>
      </w:r>
      <w:r>
        <w:rPr>
          <w:rFonts w:hint="eastAsia" w:ascii="宋体" w:hAnsi="宋体" w:eastAsia="宋体" w:cs="宋体"/>
          <w:color w:val="auto"/>
          <w:sz w:val="21"/>
          <w:szCs w:val="21"/>
          <w:highlight w:val="none"/>
        </w:rPr>
        <w:t>需提供获奖网页信息截图及奖项证书扫描件，时间以发证时间为准，并提供可明确该质量奖项背景项目为市政公用工程项目证明材料（如招标公告或其他证明材料）。同一项目按最高级别奖项只计一次得分，以证书发证日期为准。</w:t>
      </w:r>
      <w:r>
        <w:rPr>
          <w:rFonts w:hint="eastAsia" w:ascii="宋体" w:hAnsi="宋体" w:eastAsia="宋体" w:cs="宋体"/>
          <w:i w:val="0"/>
          <w:strike w:val="0"/>
          <w:color w:val="auto"/>
          <w:spacing w:val="0"/>
          <w:sz w:val="21"/>
          <w:szCs w:val="21"/>
          <w:highlight w:val="none"/>
          <w:u w:val="none"/>
        </w:rPr>
        <w:t>若颁发机构非政府相关部门，还需提供该组织在“全国社会组织信用信息公示平台（试运行</w:t>
      </w:r>
      <w:r>
        <w:rPr>
          <w:rFonts w:hint="eastAsia" w:ascii="宋体" w:hAnsi="宋体" w:eastAsia="宋体" w:cs="宋体"/>
          <w:i w:val="0"/>
          <w:strike w:val="0"/>
          <w:color w:val="auto"/>
          <w:spacing w:val="0"/>
          <w:sz w:val="21"/>
          <w:szCs w:val="21"/>
          <w:highlight w:val="none"/>
          <w:u w:val="none"/>
          <w:lang w:eastAsia="zh-CN"/>
        </w:rPr>
        <w:t>）</w:t>
      </w:r>
      <w:r>
        <w:rPr>
          <w:rFonts w:hint="eastAsia" w:ascii="宋体" w:hAnsi="宋体" w:eastAsia="宋体" w:cs="宋体"/>
          <w:i w:val="0"/>
          <w:strike w:val="0"/>
          <w:color w:val="auto"/>
          <w:spacing w:val="0"/>
          <w:sz w:val="21"/>
          <w:szCs w:val="21"/>
          <w:highlight w:val="none"/>
          <w:u w:val="none"/>
        </w:rPr>
        <w:t>”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p>
    <w:p>
      <w:pPr>
        <w:pStyle w:val="284"/>
        <w:ind w:firstLine="36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4.企业工程研发能力：</w:t>
      </w:r>
    </w:p>
    <w:p>
      <w:pPr>
        <w:pStyle w:val="284"/>
        <w:ind w:firstLine="360"/>
        <w:rPr>
          <w:rFonts w:hint="eastAsia" w:ascii="宋体" w:hAnsi="宋体" w:eastAsia="宋体" w:cs="宋体"/>
          <w:strike/>
          <w:dstrike w:val="0"/>
          <w:color w:val="auto"/>
          <w:sz w:val="21"/>
          <w:szCs w:val="21"/>
          <w:highlight w:val="none"/>
        </w:rPr>
      </w:pPr>
      <w:r>
        <w:rPr>
          <w:rFonts w:hint="eastAsia" w:ascii="宋体" w:hAnsi="宋体" w:eastAsia="宋体" w:cs="宋体"/>
          <w:color w:val="auto"/>
          <w:sz w:val="21"/>
          <w:szCs w:val="21"/>
          <w:highlight w:val="none"/>
        </w:rPr>
        <w:t>省级或以上工法奖，需提供经建设行政主管部门认定的获奖证书原件扫描件。证书上应可反映其为【</w:t>
      </w:r>
      <w:r>
        <w:rPr>
          <w:rFonts w:hint="eastAsia" w:ascii="宋体" w:hAnsi="宋体" w:eastAsia="宋体" w:cs="宋体"/>
          <w:color w:val="auto"/>
          <w:sz w:val="21"/>
          <w:szCs w:val="21"/>
          <w:highlight w:val="none"/>
          <w:lang w:eastAsia="zh-CN"/>
        </w:rPr>
        <w:t>市政工程</w:t>
      </w:r>
      <w:r>
        <w:rPr>
          <w:rFonts w:hint="eastAsia" w:ascii="宋体" w:hAnsi="宋体" w:eastAsia="宋体" w:cs="宋体"/>
          <w:color w:val="auto"/>
          <w:sz w:val="21"/>
          <w:szCs w:val="21"/>
          <w:highlight w:val="none"/>
        </w:rPr>
        <w:t>】类工法，若无法反映，需提供建设职能部门（或其主管的行业协会）出具的科学技术成果鉴定证书扫描件，并且在科学技术成果鉴定证书中需能反映该工法的研究背景项目为【</w:t>
      </w:r>
      <w:r>
        <w:rPr>
          <w:rFonts w:hint="eastAsia" w:ascii="宋体" w:hAnsi="宋体" w:eastAsia="宋体" w:cs="宋体"/>
          <w:color w:val="auto"/>
          <w:sz w:val="21"/>
          <w:szCs w:val="21"/>
          <w:highlight w:val="none"/>
          <w:lang w:eastAsia="zh-CN"/>
        </w:rPr>
        <w:t>市政工程</w:t>
      </w:r>
      <w:r>
        <w:rPr>
          <w:rFonts w:hint="eastAsia" w:ascii="宋体" w:hAnsi="宋体" w:eastAsia="宋体" w:cs="宋体"/>
          <w:color w:val="auto"/>
          <w:sz w:val="21"/>
          <w:szCs w:val="21"/>
          <w:highlight w:val="none"/>
        </w:rPr>
        <w:t>】类项目，无法证明该工法为【</w:t>
      </w:r>
      <w:r>
        <w:rPr>
          <w:rFonts w:hint="eastAsia" w:ascii="宋体" w:hAnsi="宋体" w:eastAsia="宋体" w:cs="宋体"/>
          <w:color w:val="auto"/>
          <w:sz w:val="21"/>
          <w:szCs w:val="21"/>
          <w:highlight w:val="none"/>
          <w:lang w:eastAsia="zh-CN"/>
        </w:rPr>
        <w:t>市政工程</w:t>
      </w:r>
      <w:r>
        <w:rPr>
          <w:rFonts w:hint="eastAsia" w:ascii="宋体" w:hAnsi="宋体" w:eastAsia="宋体" w:cs="宋体"/>
          <w:color w:val="auto"/>
          <w:sz w:val="21"/>
          <w:szCs w:val="21"/>
          <w:highlight w:val="none"/>
        </w:rPr>
        <w:t>】类项目获得的工法不得分。相同工法按最高级别奖项只计一次得分。获奖时间以发证时间为准。如颁奖单位为协会的，还</w:t>
      </w:r>
      <w:r>
        <w:rPr>
          <w:rFonts w:hint="eastAsia" w:ascii="宋体" w:hAnsi="宋体" w:eastAsia="宋体" w:cs="宋体"/>
          <w:i w:val="0"/>
          <w:strike w:val="0"/>
          <w:color w:val="auto"/>
          <w:spacing w:val="0"/>
          <w:sz w:val="21"/>
          <w:szCs w:val="21"/>
          <w:highlight w:val="none"/>
          <w:u w:val="none"/>
        </w:rPr>
        <w:t>须提供其在“全国社会组织信用信息公示平台（试运行</w:t>
      </w:r>
      <w:r>
        <w:rPr>
          <w:rFonts w:hint="eastAsia" w:ascii="宋体" w:hAnsi="宋体" w:eastAsia="宋体" w:cs="宋体"/>
          <w:i w:val="0"/>
          <w:strike w:val="0"/>
          <w:color w:val="auto"/>
          <w:spacing w:val="0"/>
          <w:sz w:val="21"/>
          <w:szCs w:val="21"/>
          <w:highlight w:val="none"/>
          <w:u w:val="none"/>
          <w:lang w:eastAsia="zh-CN"/>
        </w:rPr>
        <w:t>）</w:t>
      </w:r>
      <w:r>
        <w:rPr>
          <w:rFonts w:hint="eastAsia" w:ascii="宋体" w:hAnsi="宋体" w:eastAsia="宋体" w:cs="宋体"/>
          <w:i w:val="0"/>
          <w:strike w:val="0"/>
          <w:color w:val="auto"/>
          <w:spacing w:val="0"/>
          <w:sz w:val="21"/>
          <w:szCs w:val="21"/>
          <w:highlight w:val="none"/>
          <w:u w:val="none"/>
        </w:rPr>
        <w:t>”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w:t>
      </w:r>
      <w:r>
        <w:rPr>
          <w:rFonts w:hint="eastAsia" w:ascii="宋体" w:hAnsi="宋体" w:eastAsia="宋体" w:cs="宋体"/>
          <w:color w:val="auto"/>
          <w:sz w:val="21"/>
          <w:szCs w:val="21"/>
          <w:highlight w:val="none"/>
        </w:rPr>
        <w:t>，证明其有登记备案，否则不得分。</w:t>
      </w:r>
    </w:p>
    <w:p>
      <w:pPr>
        <w:pStyle w:val="284"/>
        <w:ind w:firstLine="36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5.第三方评价：</w:t>
      </w:r>
    </w:p>
    <w:p>
      <w:pPr>
        <w:widowControl/>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纳税信用A级纳税人”须提供国家税务总局官网（http://www.chinatax.gov.cn/）“纳税信用A级纳税人名单公布栏”查询结果网页截图或其省级（含直辖市）税务局官网“纳税信用A级纳税人名单公布栏”查询结果网页截图，时间以国家税务总局或其省级（含直辖市）税务局网站纳税信用信息查询结果的网页截图公布的评价年度为准。“B级纳税人”和“M级纳税人”须提供省级或以上的税务机关颁发的相应等级证书扫描件或省级以上税务局官网“纳税信用”等级查询结果网页截图，时间以证书或网页截图公布的评价年度为准。若投标人满足多个档次的，按最高档计分一次，不累计。上述资料显示的纳税人全称须与投标人名称一致，否则不得分。不满足上述要求或无提交上述资料不得分。</w:t>
      </w:r>
    </w:p>
    <w:p>
      <w:pPr>
        <w:pStyle w:val="284"/>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6.本表按百分制评分，所有评委每个分项的分数汇总后去掉一个最高分和一个最低分的算术平均值为投标人的最终得分。分数出现小数点，保留小数点后二位小数，第三位小数四舍五入。</w:t>
      </w:r>
    </w:p>
    <w:p>
      <w:pPr>
        <w:pStyle w:val="284"/>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7.项目管理机构人员不得兼任。</w:t>
      </w:r>
    </w:p>
    <w:p>
      <w:pPr>
        <w:pStyle w:val="284"/>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8.除了项目组织管理机构能力可计算投标人的分公司（不具备独立法人）或投标人的分支机构（不具备独立法人）外，评分表内其他评分项目只计算投标人自身（不计算投标人的分公司、子公司和分支机构），否则不得分。</w:t>
      </w:r>
    </w:p>
    <w:p>
      <w:pPr>
        <w:pStyle w:val="284"/>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若为联合体，评分内容只计算主办方得分。</w:t>
      </w:r>
    </w:p>
    <w:p>
      <w:pPr>
        <w:pStyle w:val="284"/>
        <w:ind w:firstLine="42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10.投标人提供的网页信息截图或证明材料扫描件内容必须清晰可辨，如因网页信息截图或证明材料扫描件内容模糊导致评标时无法判断的，后果由投标人自负。</w:t>
      </w:r>
    </w:p>
    <w:p>
      <w:pPr>
        <w:pStyle w:val="284"/>
        <w:ind w:firstLine="422" w:firstLineChars="200"/>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bookmarkEnd w:id="112"/>
    <w:p>
      <w:pPr>
        <w:pStyle w:val="6"/>
        <w:rPr>
          <w:color w:val="auto"/>
          <w:highlight w:val="none"/>
        </w:rPr>
      </w:pPr>
      <w:bookmarkStart w:id="113" w:name="_Toc112397824"/>
      <w:bookmarkStart w:id="114" w:name="_Toc27947"/>
      <w:bookmarkStart w:id="115" w:name="_Toc30116"/>
      <w:bookmarkStart w:id="116" w:name="_Toc17914"/>
      <w:bookmarkStart w:id="117" w:name="_Toc23057"/>
      <w:r>
        <w:rPr>
          <w:rFonts w:hint="eastAsia"/>
          <w:color w:val="auto"/>
          <w:highlight w:val="none"/>
        </w:rPr>
        <w:t>附表五</w:t>
      </w:r>
      <w:bookmarkEnd w:id="113"/>
      <w:r>
        <w:rPr>
          <w:rFonts w:hint="eastAsia"/>
          <w:color w:val="auto"/>
          <w:highlight w:val="none"/>
        </w:rPr>
        <w:t>（适用于加权平均法）</w:t>
      </w:r>
      <w:bookmarkEnd w:id="114"/>
      <w:bookmarkEnd w:id="115"/>
      <w:bookmarkEnd w:id="116"/>
      <w:bookmarkEnd w:id="117"/>
    </w:p>
    <w:p>
      <w:pPr>
        <w:jc w:val="center"/>
        <w:rPr>
          <w:rFonts w:ascii="宋体" w:hAnsi="宋体"/>
          <w:b/>
          <w:color w:val="auto"/>
          <w:sz w:val="36"/>
          <w:szCs w:val="36"/>
          <w:highlight w:val="none"/>
        </w:rPr>
      </w:pPr>
      <w:r>
        <w:rPr>
          <w:rFonts w:hint="eastAsia" w:ascii="宋体" w:hAnsi="宋体"/>
          <w:b/>
          <w:color w:val="auto"/>
          <w:sz w:val="36"/>
          <w:szCs w:val="36"/>
          <w:highlight w:val="none"/>
        </w:rPr>
        <w:t>经济标评分表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959"/>
        <w:gridCol w:w="959"/>
        <w:gridCol w:w="959"/>
        <w:gridCol w:w="959"/>
        <w:gridCol w:w="959"/>
        <w:gridCol w:w="959"/>
        <w:gridCol w:w="959"/>
        <w:gridCol w:w="959"/>
        <w:gridCol w:w="959"/>
        <w:gridCol w:w="959"/>
        <w:gridCol w:w="95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投标人名称</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w:t>
            </w:r>
            <w:r>
              <w:rPr>
                <w:rFonts w:ascii="宋体" w:hAnsi="宋体"/>
                <w:color w:val="auto"/>
                <w:szCs w:val="21"/>
                <w:highlight w:val="none"/>
              </w:rPr>
              <w:t>PT</w:t>
            </w:r>
            <w:r>
              <w:rPr>
                <w:rFonts w:hint="eastAsia" w:ascii="宋体" w:hAnsi="宋体"/>
                <w:color w:val="auto"/>
                <w:szCs w:val="21"/>
                <w:highlight w:val="none"/>
              </w:rPr>
              <w:t>（元）</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报价权重</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评标参考价</w:t>
            </w:r>
            <w:r>
              <w:rPr>
                <w:rFonts w:ascii="宋体" w:hAnsi="宋体"/>
                <w:color w:val="auto"/>
                <w:szCs w:val="21"/>
                <w:highlight w:val="none"/>
              </w:rPr>
              <w:t>PC（元）</w:t>
            </w:r>
          </w:p>
        </w:tc>
        <w:tc>
          <w:tcPr>
            <w:tcW w:w="1151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偏差（（</w:t>
            </w:r>
            <w:r>
              <w:rPr>
                <w:rFonts w:ascii="宋体" w:hAnsi="宋体"/>
                <w:color w:val="auto"/>
                <w:szCs w:val="21"/>
                <w:highlight w:val="none"/>
              </w:rPr>
              <w:t>PT-PC</w:t>
            </w:r>
            <w:r>
              <w:rPr>
                <w:rFonts w:hint="eastAsia" w:ascii="宋体" w:hAnsi="宋体"/>
                <w:color w:val="auto"/>
                <w:szCs w:val="21"/>
                <w:highlight w:val="none"/>
              </w:rPr>
              <w:t>）</w:t>
            </w:r>
            <w:r>
              <w:rPr>
                <w:rFonts w:ascii="宋体" w:hAnsi="宋体"/>
                <w:color w:val="auto"/>
                <w:szCs w:val="21"/>
                <w:highlight w:val="none"/>
              </w:rPr>
              <w:t>/PC</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减分（</w:t>
            </w:r>
            <w:r>
              <w:rPr>
                <w:rFonts w:ascii="宋体" w:hAnsi="宋体"/>
                <w:color w:val="auto"/>
                <w:szCs w:val="21"/>
                <w:highlight w:val="none"/>
              </w:rPr>
              <w:t>A</w:t>
            </w:r>
            <w:r>
              <w:rPr>
                <w:rFonts w:hint="eastAsia" w:ascii="宋体" w:hAnsi="宋体"/>
                <w:color w:val="auto"/>
                <w:szCs w:val="21"/>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w:t>
            </w:r>
            <w:r>
              <w:rPr>
                <w:rFonts w:ascii="宋体" w:hAnsi="宋体"/>
                <w:color w:val="auto"/>
                <w:szCs w:val="21"/>
                <w:highlight w:val="none"/>
              </w:rPr>
              <w:t>(I=100-A)</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得分排名次序</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bl>
    <w:p>
      <w:pPr>
        <w:rPr>
          <w:rFonts w:ascii="宋体" w:hAnsi="宋体"/>
          <w:color w:val="auto"/>
          <w:highlight w:val="none"/>
        </w:rPr>
      </w:pPr>
      <w:r>
        <w:rPr>
          <w:rFonts w:hint="eastAsia" w:ascii="宋体" w:hAnsi="宋体"/>
          <w:color w:val="auto"/>
          <w:szCs w:val="21"/>
          <w:highlight w:val="none"/>
        </w:rPr>
        <w:t>评委签名：</w:t>
      </w:r>
    </w:p>
    <w:p>
      <w:pPr>
        <w:pStyle w:val="6"/>
        <w:rPr>
          <w:color w:val="auto"/>
          <w:highlight w:val="none"/>
        </w:rPr>
      </w:pPr>
      <w:r>
        <w:rPr>
          <w:color w:val="auto"/>
          <w:sz w:val="36"/>
          <w:szCs w:val="36"/>
          <w:highlight w:val="none"/>
        </w:rPr>
        <w:br w:type="page"/>
      </w:r>
      <w:bookmarkStart w:id="118" w:name="_Toc31071"/>
      <w:bookmarkStart w:id="119" w:name="_Toc112397825"/>
      <w:bookmarkStart w:id="120" w:name="_Toc27004"/>
      <w:bookmarkStart w:id="121" w:name="_Toc11056"/>
      <w:bookmarkStart w:id="122" w:name="_Toc31703"/>
      <w:r>
        <w:rPr>
          <w:rFonts w:hint="eastAsia"/>
          <w:color w:val="auto"/>
          <w:highlight w:val="none"/>
        </w:rPr>
        <w:t>附表六</w:t>
      </w:r>
      <w:bookmarkEnd w:id="118"/>
      <w:bookmarkEnd w:id="119"/>
      <w:bookmarkEnd w:id="120"/>
      <w:bookmarkEnd w:id="121"/>
      <w:bookmarkEnd w:id="122"/>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kern w:val="0"/>
          <w:szCs w:val="21"/>
          <w:highlight w:val="none"/>
        </w:rPr>
      </w:pPr>
      <w:r>
        <w:rPr>
          <w:rFonts w:hint="eastAsia" w:ascii="宋体" w:hAnsi="宋体" w:cs="宋体"/>
          <w:color w:val="auto"/>
          <w:kern w:val="0"/>
          <w:szCs w:val="21"/>
          <w:highlight w:val="none"/>
        </w:rPr>
        <w:t>工程名称：</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投标人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单位：元</w:t>
      </w:r>
    </w:p>
    <w:tbl>
      <w:tblPr>
        <w:tblStyle w:val="49"/>
        <w:tblW w:w="0" w:type="auto"/>
        <w:jc w:val="center"/>
        <w:tblLayout w:type="fixed"/>
        <w:tblCellMar>
          <w:top w:w="0" w:type="dxa"/>
          <w:left w:w="108" w:type="dxa"/>
          <w:bottom w:w="0" w:type="dxa"/>
          <w:right w:w="108" w:type="dxa"/>
        </w:tblCellMar>
      </w:tblPr>
      <w:tblGrid>
        <w:gridCol w:w="631"/>
        <w:gridCol w:w="4391"/>
        <w:gridCol w:w="1567"/>
        <w:gridCol w:w="1540"/>
        <w:gridCol w:w="1540"/>
        <w:gridCol w:w="1438"/>
        <w:gridCol w:w="3390"/>
      </w:tblGrid>
      <w:tr>
        <w:tblPrEx>
          <w:tblCellMar>
            <w:top w:w="0" w:type="dxa"/>
            <w:left w:w="108" w:type="dxa"/>
            <w:bottom w:w="0" w:type="dxa"/>
            <w:right w:w="108" w:type="dxa"/>
          </w:tblCellMar>
        </w:tblPrEx>
        <w:trPr>
          <w:trHeight w:val="90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4391"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算术校核项目</w:t>
            </w:r>
          </w:p>
        </w:tc>
        <w:tc>
          <w:tcPr>
            <w:tcW w:w="1567"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修正前投标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w:t>
            </w:r>
            <w:r>
              <w:rPr>
                <w:rFonts w:ascii="宋体" w:hAnsi="宋体" w:cs="宋体"/>
                <w:color w:val="auto"/>
                <w:kern w:val="0"/>
                <w:szCs w:val="21"/>
                <w:highlight w:val="none"/>
              </w:rPr>
              <w:t>A</w:t>
            </w:r>
          </w:p>
        </w:tc>
        <w:tc>
          <w:tcPr>
            <w:tcW w:w="154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修正后投标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w:t>
            </w:r>
            <w:r>
              <w:rPr>
                <w:rFonts w:ascii="宋体" w:hAnsi="宋体" w:cs="宋体"/>
                <w:color w:val="auto"/>
                <w:kern w:val="0"/>
                <w:szCs w:val="21"/>
                <w:highlight w:val="none"/>
              </w:rPr>
              <w:t>B</w:t>
            </w:r>
          </w:p>
        </w:tc>
        <w:tc>
          <w:tcPr>
            <w:tcW w:w="154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修正率</w:t>
            </w:r>
            <w:r>
              <w:rPr>
                <w:rFonts w:ascii="宋体" w:hAnsi="宋体" w:cs="宋体"/>
                <w:color w:val="auto"/>
                <w:kern w:val="0"/>
                <w:szCs w:val="21"/>
                <w:highlight w:val="none"/>
              </w:rPr>
              <w:br w:type="textWrapping"/>
            </w:r>
            <w:r>
              <w:rPr>
                <w:rFonts w:ascii="宋体" w:hAnsi="宋体" w:cs="宋体"/>
                <w:color w:val="auto"/>
                <w:kern w:val="0"/>
                <w:szCs w:val="21"/>
                <w:highlight w:val="none"/>
              </w:rPr>
              <w:t>r=|A-B|/A*100%</w:t>
            </w:r>
          </w:p>
        </w:tc>
        <w:tc>
          <w:tcPr>
            <w:tcW w:w="143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经评审的最终投标报价</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当</w:t>
            </w:r>
            <w:r>
              <w:rPr>
                <w:rFonts w:ascii="宋体" w:hAnsi="宋体" w:cs="宋体"/>
                <w:color w:val="auto"/>
                <w:kern w:val="0"/>
                <w:szCs w:val="21"/>
                <w:highlight w:val="none"/>
              </w:rPr>
              <w:t>B&gt;A时，修正后报价与原报价的差额；当B≤A时,R=0</w:t>
            </w: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1</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[单位工程1]</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2</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[单位工程2]</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n</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[单位工程n]</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93"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A=A</w:t>
            </w:r>
            <w:r>
              <w:rPr>
                <w:rFonts w:ascii="宋体" w:hAnsi="宋体" w:cs="宋体"/>
                <w:color w:val="auto"/>
                <w:kern w:val="0"/>
                <w:szCs w:val="21"/>
                <w:highlight w:val="none"/>
                <w:vertAlign w:val="subscript"/>
              </w:rPr>
              <w:t>1</w:t>
            </w:r>
            <w:r>
              <w:rPr>
                <w:rFonts w:ascii="宋体" w:hAnsi="宋体" w:cs="宋体"/>
                <w:color w:val="auto"/>
                <w:kern w:val="0"/>
                <w:szCs w:val="21"/>
                <w:highlight w:val="none"/>
              </w:rPr>
              <w:t>+A</w:t>
            </w:r>
            <w:r>
              <w:rPr>
                <w:rFonts w:ascii="宋体" w:hAnsi="宋体" w:cs="宋体"/>
                <w:color w:val="auto"/>
                <w:kern w:val="0"/>
                <w:szCs w:val="21"/>
                <w:highlight w:val="none"/>
                <w:vertAlign w:val="subscript"/>
              </w:rPr>
              <w:t>2</w:t>
            </w:r>
            <w:r>
              <w:rPr>
                <w:rFonts w:ascii="宋体" w:hAnsi="宋体" w:cs="宋体"/>
                <w:color w:val="auto"/>
                <w:kern w:val="0"/>
                <w:szCs w:val="21"/>
                <w:highlight w:val="none"/>
              </w:rPr>
              <w:t>+…An；∑B=B</w:t>
            </w:r>
            <w:r>
              <w:rPr>
                <w:rFonts w:ascii="宋体" w:hAnsi="宋体" w:cs="宋体"/>
                <w:color w:val="auto"/>
                <w:kern w:val="0"/>
                <w:szCs w:val="21"/>
                <w:highlight w:val="none"/>
                <w:vertAlign w:val="subscript"/>
              </w:rPr>
              <w:t>1</w:t>
            </w:r>
            <w:r>
              <w:rPr>
                <w:rFonts w:ascii="宋体" w:hAnsi="宋体" w:cs="宋体"/>
                <w:color w:val="auto"/>
                <w:kern w:val="0"/>
                <w:szCs w:val="21"/>
                <w:highlight w:val="none"/>
              </w:rPr>
              <w:t>+B</w:t>
            </w:r>
            <w:r>
              <w:rPr>
                <w:rFonts w:ascii="宋体" w:hAnsi="宋体" w:cs="宋体"/>
                <w:color w:val="auto"/>
                <w:kern w:val="0"/>
                <w:szCs w:val="21"/>
                <w:highlight w:val="none"/>
                <w:vertAlign w:val="subscript"/>
              </w:rPr>
              <w:t>2</w:t>
            </w:r>
            <w:r>
              <w:rPr>
                <w:rFonts w:ascii="宋体" w:hAnsi="宋体" w:cs="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s="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p>
    <w:p>
      <w:pPr>
        <w:rPr>
          <w:rFonts w:ascii="宋体" w:hAnsi="宋体" w:cs="宋体"/>
          <w:color w:val="auto"/>
          <w:kern w:val="0"/>
          <w:szCs w:val="21"/>
          <w:highlight w:val="none"/>
        </w:rPr>
      </w:pPr>
      <w:r>
        <w:rPr>
          <w:rFonts w:hint="eastAsia" w:ascii="宋体" w:hAnsi="宋体" w:cs="宋体"/>
          <w:color w:val="auto"/>
          <w:kern w:val="0"/>
          <w:szCs w:val="21"/>
          <w:highlight w:val="none"/>
        </w:rPr>
        <w:t>评委签名：</w:t>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hint="eastAsia" w:ascii="宋体" w:hAnsi="宋体" w:cs="宋体"/>
          <w:color w:val="auto"/>
          <w:kern w:val="0"/>
          <w:szCs w:val="21"/>
          <w:highlight w:val="none"/>
        </w:rPr>
        <w:t>日期：</w:t>
      </w:r>
    </w:p>
    <w:p>
      <w:pPr>
        <w:rPr>
          <w:rFonts w:ascii="宋体" w:hAnsi="宋体" w:cs="宋体"/>
          <w:color w:val="auto"/>
          <w:highlight w:val="none"/>
        </w:rPr>
      </w:pPr>
    </w:p>
    <w:p>
      <w:pPr>
        <w:rPr>
          <w:rFonts w:ascii="宋体" w:hAnsi="宋体" w:cs="宋体"/>
          <w:color w:val="auto"/>
          <w:highlight w:val="none"/>
        </w:rPr>
      </w:pPr>
      <w:r>
        <w:rPr>
          <w:rFonts w:ascii="宋体" w:hAnsi="宋体" w:cs="宋体"/>
          <w:color w:val="auto"/>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4446"/>
        <w:gridCol w:w="2330"/>
        <w:gridCol w:w="3101"/>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编号</w:t>
            </w:r>
          </w:p>
        </w:tc>
        <w:tc>
          <w:tcPr>
            <w:tcW w:w="4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投标人名称</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原投标报价（</w:t>
            </w:r>
            <w:r>
              <w:rPr>
                <w:rFonts w:ascii="宋体" w:hAnsi="宋体" w:cs="宋体"/>
                <w:b/>
                <w:color w:val="auto"/>
                <w:sz w:val="24"/>
                <w:szCs w:val="24"/>
                <w:highlight w:val="none"/>
              </w:rPr>
              <w:t>A）</w:t>
            </w:r>
          </w:p>
        </w:tc>
        <w:tc>
          <w:tcPr>
            <w:tcW w:w="3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算数复核后投标报价（</w:t>
            </w:r>
            <w:r>
              <w:rPr>
                <w:rFonts w:ascii="宋体" w:hAnsi="宋体" w:cs="宋体"/>
                <w:b/>
                <w:color w:val="auto"/>
                <w:sz w:val="24"/>
                <w:szCs w:val="24"/>
                <w:highlight w:val="none"/>
              </w:rPr>
              <w:t>B）</w:t>
            </w:r>
          </w:p>
        </w:tc>
        <w:tc>
          <w:tcPr>
            <w:tcW w:w="3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误差率（</w:t>
            </w:r>
            <w:r>
              <w:rPr>
                <w:rFonts w:ascii="宋体" w:hAnsi="宋体" w:cs="宋体"/>
                <w:b/>
                <w:color w:val="auto"/>
                <w:sz w:val="24"/>
                <w:szCs w:val="24"/>
                <w:highlight w:val="none"/>
              </w:rPr>
              <w:t>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spacing w:line="360" w:lineRule="auto"/>
        <w:jc w:val="center"/>
        <w:rPr>
          <w:rFonts w:ascii="宋体" w:hAnsi="宋体" w:cs="宋体"/>
          <w:color w:val="auto"/>
          <w:szCs w:val="21"/>
          <w:highlight w:val="none"/>
        </w:rPr>
        <w:sectPr>
          <w:headerReference r:id="rId13" w:type="first"/>
          <w:headerReference r:id="rId11" w:type="default"/>
          <w:headerReference r:id="rId12" w:type="even"/>
          <w:footerReference r:id="rId14" w:type="even"/>
          <w:endnotePr>
            <w:numFmt w:val="decimal"/>
          </w:endnotePr>
          <w:pgSz w:w="16838" w:h="11906" w:orient="landscape"/>
          <w:pgMar w:top="1418" w:right="1247" w:bottom="1418" w:left="1134" w:header="851" w:footer="907" w:gutter="0"/>
          <w:pgNumType w:fmt="decimal"/>
          <w:cols w:space="720" w:num="1"/>
          <w:titlePg/>
          <w:docGrid w:type="lines" w:linePitch="312" w:charSpace="0"/>
        </w:sectPr>
      </w:pPr>
    </w:p>
    <w:p>
      <w:pPr>
        <w:pStyle w:val="6"/>
        <w:rPr>
          <w:rFonts w:hint="eastAsia"/>
          <w:color w:val="auto"/>
          <w:highlight w:val="none"/>
        </w:rPr>
      </w:pPr>
      <w:bookmarkStart w:id="123" w:name="_Toc17261"/>
      <w:bookmarkStart w:id="124" w:name="_Toc26958"/>
      <w:bookmarkStart w:id="125" w:name="_Toc1597"/>
      <w:bookmarkStart w:id="126" w:name="_Toc6246"/>
      <w:bookmarkStart w:id="127" w:name="_Toc112397826"/>
      <w:bookmarkStart w:id="128" w:name="_Toc2272566"/>
      <w:r>
        <w:rPr>
          <w:rFonts w:hint="eastAsia"/>
          <w:color w:val="auto"/>
          <w:highlight w:val="none"/>
        </w:rPr>
        <w:t>附表七</w:t>
      </w:r>
      <w:bookmarkEnd w:id="123"/>
      <w:bookmarkEnd w:id="124"/>
      <w:bookmarkEnd w:id="125"/>
      <w:bookmarkEnd w:id="126"/>
    </w:p>
    <w:p>
      <w:pPr>
        <w:rPr>
          <w:color w:val="auto"/>
        </w:rPr>
      </w:pP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定标因素表（定标阶段）</w:t>
      </w:r>
    </w:p>
    <w:p>
      <w:pPr>
        <w:rPr>
          <w:rFonts w:hint="eastAsia"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项目名称：</w:t>
      </w:r>
    </w:p>
    <w:tbl>
      <w:tblPr>
        <w:tblStyle w:val="49"/>
        <w:tblW w:w="8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63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ascii="宋体" w:hAnsi="宋体" w:cs="宋体"/>
                <w:b/>
                <w:bCs/>
                <w:color w:val="auto"/>
                <w:szCs w:val="21"/>
                <w:highlight w:val="none"/>
              </w:rPr>
              <w:br w:type="page"/>
            </w:r>
            <w:r>
              <w:rPr>
                <w:rFonts w:hint="eastAsia" w:ascii="宋体" w:hAnsi="宋体" w:cs="宋体"/>
                <w:b/>
                <w:bCs/>
                <w:color w:val="auto"/>
                <w:szCs w:val="21"/>
                <w:highlight w:val="none"/>
              </w:rPr>
              <w:t>序号</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评价项目</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定标评价的内容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方案因素</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highlight w:val="none"/>
              </w:rPr>
            </w:pPr>
            <w:r>
              <w:rPr>
                <w:rFonts w:hint="eastAsia" w:ascii="宋体" w:hAnsi="宋体" w:cs="宋体"/>
                <w:color w:val="auto"/>
                <w:szCs w:val="21"/>
              </w:rPr>
              <w:t>定标委员会对合格的中标候选人的方案进行评审，方案包括：安全控制措施、质量控制措施、绿色节能控制措施、进度控制措施等，鼓励将建筑业科技创新应用在项目中。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价格因素</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highlight w:val="none"/>
              </w:rPr>
            </w:pPr>
            <w:r>
              <w:rPr>
                <w:rFonts w:hint="eastAsia" w:ascii="宋体" w:hAnsi="宋体" w:cs="宋体"/>
                <w:color w:val="auto"/>
                <w:szCs w:val="21"/>
              </w:rPr>
              <w:t>定标委员会对各合格中标候选人的投标报价进行横向对比。</w:t>
            </w:r>
          </w:p>
        </w:tc>
      </w:tr>
    </w:tbl>
    <w:p>
      <w:pPr>
        <w:spacing w:line="400" w:lineRule="exact"/>
        <w:ind w:left="315" w:hanging="315" w:hangingChars="150"/>
        <w:rPr>
          <w:rFonts w:ascii="宋体" w:hAnsi="宋体" w:cs="宋体"/>
          <w:color w:val="auto"/>
          <w:szCs w:val="21"/>
          <w:highlight w:val="none"/>
        </w:rPr>
      </w:pPr>
    </w:p>
    <w:p>
      <w:pPr>
        <w:spacing w:line="360" w:lineRule="auto"/>
        <w:jc w:val="center"/>
        <w:rPr>
          <w:rFonts w:ascii="宋体" w:hAnsi="宋体" w:cs="宋体"/>
          <w:color w:val="auto"/>
          <w:sz w:val="24"/>
          <w:szCs w:val="24"/>
          <w:highlight w:val="none"/>
        </w:rPr>
        <w:sectPr>
          <w:pgSz w:w="11906" w:h="16838"/>
          <w:pgMar w:top="1440" w:right="1514" w:bottom="1440" w:left="1514" w:header="851" w:footer="992" w:gutter="0"/>
          <w:pgNumType w:fmt="decimal"/>
          <w:cols w:space="720" w:num="1"/>
          <w:docGrid w:type="linesAndChars" w:linePitch="312" w:charSpace="0"/>
        </w:sectPr>
      </w:pPr>
    </w:p>
    <w:p>
      <w:pPr>
        <w:pStyle w:val="6"/>
        <w:rPr>
          <w:color w:val="auto"/>
          <w:highlight w:val="none"/>
        </w:rPr>
      </w:pPr>
      <w:bookmarkStart w:id="129" w:name="_Toc9391"/>
      <w:bookmarkStart w:id="130" w:name="_Toc9682"/>
      <w:bookmarkStart w:id="131" w:name="_Toc22967"/>
      <w:bookmarkStart w:id="132" w:name="_Toc14064"/>
      <w:r>
        <w:rPr>
          <w:rFonts w:hint="eastAsia"/>
          <w:color w:val="auto"/>
          <w:highlight w:val="none"/>
        </w:rPr>
        <w:t>附表八</w:t>
      </w:r>
      <w:bookmarkEnd w:id="129"/>
      <w:bookmarkEnd w:id="130"/>
      <w:bookmarkEnd w:id="131"/>
      <w:bookmarkEnd w:id="132"/>
    </w:p>
    <w:p>
      <w:pPr>
        <w:pStyle w:val="5"/>
        <w:tabs>
          <w:tab w:val="right" w:leader="dot" w:pos="9060"/>
        </w:tabs>
        <w:jc w:val="left"/>
        <w:rPr>
          <w:rFonts w:hint="eastAsia" w:ascii="宋体" w:hAnsi="宋体" w:cs="宋体"/>
          <w:b/>
          <w:i w:val="0"/>
          <w:iCs w:val="0"/>
          <w:color w:val="auto"/>
          <w:kern w:val="0"/>
          <w:sz w:val="24"/>
          <w:szCs w:val="24"/>
          <w:highlight w:val="none"/>
        </w:rPr>
      </w:pPr>
      <w:bookmarkStart w:id="133" w:name="_Toc2424"/>
      <w:bookmarkStart w:id="134" w:name="_Toc7287"/>
      <w:bookmarkStart w:id="135" w:name="_Toc20049"/>
      <w:bookmarkStart w:id="136" w:name="_Toc13007"/>
      <w:r>
        <w:rPr>
          <w:rFonts w:hint="eastAsia" w:ascii="宋体" w:hAnsi="宋体" w:cs="宋体"/>
          <w:b/>
          <w:i w:val="0"/>
          <w:iCs w:val="0"/>
          <w:color w:val="auto"/>
          <w:kern w:val="0"/>
          <w:sz w:val="24"/>
          <w:szCs w:val="24"/>
          <w:highlight w:val="none"/>
        </w:rPr>
        <w:t>（本页发给定标委员会成员，本轮投票结束时收回）</w:t>
      </w:r>
      <w:bookmarkEnd w:id="133"/>
      <w:bookmarkEnd w:id="134"/>
      <w:bookmarkEnd w:id="135"/>
      <w:bookmarkEnd w:id="136"/>
    </w:p>
    <w:p>
      <w:pPr>
        <w:spacing w:line="360" w:lineRule="auto"/>
        <w:rPr>
          <w:rFonts w:hint="eastAsia" w:ascii="宋体" w:hAnsi="宋体" w:cs="宋体"/>
          <w:color w:val="auto"/>
          <w:sz w:val="24"/>
          <w:szCs w:val="24"/>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定标选票表（定标阶段）</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名称：</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4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支持的</w:t>
            </w:r>
            <w:r>
              <w:rPr>
                <w:rFonts w:hint="eastAsia" w:ascii="宋体" w:hAnsi="宋体" w:eastAsia="宋体" w:cs="宋体"/>
                <w:b/>
                <w:color w:val="auto"/>
                <w:kern w:val="0"/>
                <w:sz w:val="24"/>
                <w:szCs w:val="24"/>
                <w:highlight w:val="none"/>
                <w:lang w:val="en-US" w:eastAsia="zh-CN"/>
              </w:rPr>
              <w:t>中标候选人</w:t>
            </w:r>
            <w:r>
              <w:rPr>
                <w:rFonts w:hint="eastAsia" w:ascii="宋体" w:hAnsi="宋体" w:cs="宋体"/>
                <w:b/>
                <w:color w:val="auto"/>
                <w:kern w:val="0"/>
                <w:sz w:val="24"/>
                <w:szCs w:val="24"/>
                <w:highlight w:val="none"/>
              </w:rPr>
              <w:t>名称</w:t>
            </w:r>
          </w:p>
        </w:tc>
        <w:tc>
          <w:tcPr>
            <w:tcW w:w="45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kern w:val="0"/>
                <w:sz w:val="24"/>
                <w:szCs w:val="24"/>
                <w:highlight w:val="none"/>
                <w:lang w:eastAsia="zh-CN"/>
              </w:rPr>
            </w:pPr>
            <w:r>
              <w:rPr>
                <w:rFonts w:hint="eastAsia" w:ascii="宋体" w:hAnsi="宋体" w:cs="宋体"/>
                <w:b/>
                <w:color w:val="auto"/>
                <w:kern w:val="0"/>
                <w:sz w:val="24"/>
                <w:szCs w:val="24"/>
                <w:highlight w:val="none"/>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4"/>
                <w:highlight w:val="none"/>
              </w:rPr>
            </w:pPr>
          </w:p>
        </w:tc>
        <w:tc>
          <w:tcPr>
            <w:tcW w:w="45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4"/>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正式投票规则：</w:t>
      </w:r>
    </w:p>
    <w:p>
      <w:pPr>
        <w:numPr>
          <w:ilvl w:val="0"/>
          <w:numId w:val="0"/>
        </w:numPr>
        <w:spacing w:line="360" w:lineRule="auto"/>
        <w:ind w:firstLine="420" w:firstLineChars="200"/>
        <w:rPr>
          <w:rFonts w:hint="eastAsia" w:ascii="宋体" w:hAnsi="宋体"/>
          <w:color w:val="auto"/>
          <w:szCs w:val="21"/>
          <w:highlight w:val="none"/>
        </w:rPr>
      </w:pPr>
      <w:r>
        <w:rPr>
          <w:rFonts w:hint="eastAsia" w:ascii="宋体" w:hAnsi="宋体" w:eastAsia="宋体" w:cs="Times New Roman"/>
          <w:color w:val="auto"/>
          <w:kern w:val="2"/>
          <w:sz w:val="21"/>
          <w:szCs w:val="21"/>
          <w:highlight w:val="none"/>
          <w:lang w:val="en-US" w:eastAsia="zh-CN" w:bidi="ar-SA"/>
        </w:rPr>
        <w:t>（1）</w:t>
      </w:r>
      <w:r>
        <w:rPr>
          <w:rFonts w:hint="eastAsia" w:ascii="宋体" w:hAnsi="宋体"/>
          <w:color w:val="auto"/>
          <w:szCs w:val="21"/>
          <w:highlight w:val="none"/>
        </w:rPr>
        <w:t>以上表格用于正式投票，投票时须注明支持的</w:t>
      </w:r>
      <w:r>
        <w:rPr>
          <w:rFonts w:hint="eastAsia" w:ascii="宋体" w:hAnsi="宋体" w:eastAsia="宋体" w:cs="Times New Roman"/>
          <w:b w:val="0"/>
          <w:color w:val="auto"/>
          <w:kern w:val="2"/>
          <w:sz w:val="21"/>
          <w:szCs w:val="21"/>
          <w:highlight w:val="none"/>
          <w:lang w:val="en-US" w:eastAsia="zh-CN"/>
        </w:rPr>
        <w:t>中标候选人</w:t>
      </w:r>
      <w:r>
        <w:rPr>
          <w:rFonts w:hint="eastAsia" w:ascii="宋体" w:hAnsi="宋体"/>
          <w:color w:val="auto"/>
          <w:szCs w:val="21"/>
          <w:highlight w:val="none"/>
        </w:rPr>
        <w:t>及支持理由。</w:t>
      </w:r>
    </w:p>
    <w:p>
      <w:pPr>
        <w:numPr>
          <w:ilvl w:val="0"/>
          <w:numId w:val="0"/>
        </w:numPr>
        <w:spacing w:line="360" w:lineRule="auto"/>
        <w:ind w:firstLine="420" w:firstLineChars="200"/>
        <w:rPr>
          <w:rFonts w:hint="eastAsia" w:ascii="宋体" w:hAnsi="宋体" w:eastAsia="宋体" w:cs="Times New Roman"/>
          <w:b w:val="0"/>
          <w:bCs w:val="0"/>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w:t>
      </w:r>
      <w:r>
        <w:rPr>
          <w:rFonts w:hint="eastAsia" w:ascii="宋体" w:hAnsi="宋体" w:eastAsia="宋体" w:cs="Times New Roman"/>
          <w:b w:val="0"/>
          <w:bCs w:val="0"/>
          <w:color w:val="auto"/>
          <w:szCs w:val="21"/>
          <w:highlight w:val="none"/>
        </w:rPr>
        <w:t>由定标委员会成员进行投票，各定标委员会成员只能支持一家</w:t>
      </w:r>
      <w:r>
        <w:rPr>
          <w:rFonts w:hint="eastAsia" w:ascii="宋体" w:hAnsi="宋体" w:eastAsia="宋体" w:cs="Times New Roman"/>
          <w:b w:val="0"/>
          <w:bCs w:val="0"/>
          <w:color w:val="auto"/>
          <w:szCs w:val="21"/>
          <w:highlight w:val="none"/>
          <w:lang w:val="en-US" w:eastAsia="zh-CN"/>
        </w:rPr>
        <w:t>中标候选人。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s="Arial"/>
          <w:color w:val="auto"/>
          <w:szCs w:val="21"/>
          <w:highlight w:val="none"/>
        </w:rPr>
        <w:t>投票结束后，</w:t>
      </w:r>
      <w:r>
        <w:rPr>
          <w:rFonts w:hint="eastAsia" w:ascii="宋体" w:hAnsi="宋体"/>
          <w:color w:val="auto"/>
          <w:szCs w:val="21"/>
          <w:highlight w:val="none"/>
        </w:rPr>
        <w:t>点票人员</w:t>
      </w:r>
      <w:r>
        <w:rPr>
          <w:rFonts w:hint="eastAsia" w:ascii="宋体" w:hAnsi="宋体" w:cs="Arial"/>
          <w:color w:val="auto"/>
          <w:szCs w:val="21"/>
          <w:highlight w:val="none"/>
        </w:rPr>
        <w:t>对投票人数、票数和</w:t>
      </w:r>
      <w:r>
        <w:rPr>
          <w:rFonts w:hint="eastAsia" w:ascii="宋体" w:hAnsi="宋体" w:cs="宋体"/>
          <w:color w:val="auto"/>
          <w:szCs w:val="21"/>
        </w:rPr>
        <w:t>每票对应的合格中标候选人总数</w:t>
      </w:r>
      <w:r>
        <w:rPr>
          <w:rFonts w:hint="eastAsia" w:ascii="宋体" w:hAnsi="宋体" w:cs="Arial"/>
          <w:color w:val="auto"/>
          <w:szCs w:val="21"/>
          <w:highlight w:val="none"/>
        </w:rPr>
        <w:t>加以核对和统计，作废的选票不得统计，并向</w:t>
      </w:r>
      <w:r>
        <w:rPr>
          <w:rFonts w:hint="eastAsia" w:ascii="宋体" w:hAnsi="宋体"/>
          <w:color w:val="auto"/>
          <w:szCs w:val="21"/>
          <w:highlight w:val="none"/>
        </w:rPr>
        <w:t>定标委员会</w:t>
      </w:r>
      <w:r>
        <w:rPr>
          <w:rFonts w:hint="eastAsia" w:ascii="宋体" w:hAnsi="宋体" w:cs="Arial"/>
          <w:color w:val="auto"/>
          <w:szCs w:val="21"/>
          <w:highlight w:val="none"/>
        </w:rPr>
        <w:t>报告。</w:t>
      </w:r>
    </w:p>
    <w:p>
      <w:pPr>
        <w:spacing w:line="360" w:lineRule="auto"/>
        <w:ind w:firstLine="48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）定标委员会成员应当独立投票，自投票开始至最终排名统计结果公布期间，任何人不得非法干预、影响投票过程，不得透露、协商、改变投票结果，不得使用通信联络工具。</w:t>
      </w:r>
    </w:p>
    <w:p>
      <w:pPr>
        <w:spacing w:line="360" w:lineRule="auto"/>
        <w:rPr>
          <w:rFonts w:hint="eastAsia" w:ascii="宋体" w:hAnsi="宋体"/>
          <w:color w:val="auto"/>
          <w:szCs w:val="21"/>
          <w:highlight w:val="none"/>
        </w:rPr>
      </w:pPr>
    </w:p>
    <w:p>
      <w:pPr>
        <w:keepNext w:val="0"/>
        <w:keepLines w:val="0"/>
        <w:pageBreakBefore w:val="0"/>
        <w:kinsoku/>
        <w:wordWrap/>
        <w:overflowPunct/>
        <w:bidi w:val="0"/>
        <w:snapToGrid w:val="0"/>
        <w:spacing w:line="360" w:lineRule="auto"/>
        <w:textAlignment w:val="auto"/>
        <w:rPr>
          <w:rFonts w:hint="eastAsia" w:ascii="宋体" w:hAnsi="宋体"/>
          <w:color w:val="auto"/>
          <w:szCs w:val="21"/>
          <w:highlight w:val="none"/>
        </w:rPr>
      </w:pPr>
      <w:r>
        <w:rPr>
          <w:rFonts w:hint="eastAsia" w:ascii="宋体" w:hAnsi="宋体"/>
          <w:color w:val="auto"/>
          <w:szCs w:val="21"/>
          <w:highlight w:val="none"/>
        </w:rPr>
        <w:t xml:space="preserve">定标委员签名：                                 </w:t>
      </w:r>
    </w:p>
    <w:p>
      <w:pPr>
        <w:keepNext w:val="0"/>
        <w:keepLines w:val="0"/>
        <w:pageBreakBefore w:val="0"/>
        <w:kinsoku/>
        <w:wordWrap/>
        <w:overflowPunct/>
        <w:bidi w:val="0"/>
        <w:snapToGrid w:val="0"/>
        <w:spacing w:line="360" w:lineRule="auto"/>
        <w:jc w:val="right"/>
        <w:textAlignment w:val="auto"/>
        <w:rPr>
          <w:rFonts w:hint="eastAsia" w:ascii="宋体" w:hAnsi="宋体"/>
          <w:color w:val="auto"/>
          <w:szCs w:val="21"/>
          <w:highlight w:val="none"/>
        </w:rPr>
        <w:sectPr>
          <w:footerReference r:id="rId15" w:type="default"/>
          <w:pgSz w:w="11900" w:h="16820"/>
          <w:pgMar w:top="1440" w:right="1497" w:bottom="1474" w:left="1497" w:header="720" w:footer="720" w:gutter="0"/>
          <w:pgNumType w:fmt="decimal"/>
          <w:cols w:space="720" w:num="1"/>
          <w:docGrid w:linePitch="326" w:charSpace="0"/>
        </w:sectPr>
      </w:pPr>
      <w:r>
        <w:rPr>
          <w:rFonts w:hint="eastAsia" w:ascii="宋体" w:hAnsi="宋体"/>
          <w:color w:val="auto"/>
          <w:szCs w:val="21"/>
          <w:highlight w:val="none"/>
        </w:rPr>
        <w:t>日期：     年    月    日</w:t>
      </w:r>
    </w:p>
    <w:p>
      <w:pPr>
        <w:pStyle w:val="6"/>
        <w:rPr>
          <w:rFonts w:hint="eastAsia"/>
          <w:color w:val="auto"/>
          <w:highlight w:val="none"/>
          <w:lang w:val="en-US" w:eastAsia="zh-CN"/>
        </w:rPr>
      </w:pPr>
      <w:bookmarkStart w:id="137" w:name="_Toc15777"/>
      <w:bookmarkStart w:id="138" w:name="_Toc7439"/>
      <w:bookmarkStart w:id="139" w:name="_Toc9045"/>
      <w:bookmarkStart w:id="140" w:name="_Toc27522"/>
      <w:r>
        <w:rPr>
          <w:rFonts w:hint="eastAsia"/>
          <w:color w:val="auto"/>
          <w:highlight w:val="none"/>
        </w:rPr>
        <w:t>附表</w:t>
      </w:r>
      <w:r>
        <w:rPr>
          <w:rFonts w:hint="eastAsia"/>
          <w:color w:val="auto"/>
          <w:highlight w:val="none"/>
          <w:lang w:val="en-US" w:eastAsia="zh-CN"/>
        </w:rPr>
        <w:t>九</w:t>
      </w:r>
      <w:bookmarkEnd w:id="137"/>
      <w:bookmarkEnd w:id="138"/>
      <w:bookmarkEnd w:id="139"/>
      <w:bookmarkEnd w:id="140"/>
    </w:p>
    <w:p>
      <w:pPr>
        <w:rPr>
          <w:rFonts w:hint="eastAsia"/>
          <w:color w:val="auto"/>
          <w:lang w:eastAsia="zh-CN"/>
        </w:rPr>
      </w:pP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投票汇总表格（定标阶段）</w:t>
      </w:r>
    </w:p>
    <w:p>
      <w:pPr>
        <w:pStyle w:val="8"/>
        <w:rPr>
          <w:rFonts w:hint="eastAsia"/>
          <w:color w:val="auto"/>
          <w:highlight w:val="none"/>
        </w:rPr>
      </w:pPr>
    </w:p>
    <w:p>
      <w:pPr>
        <w:jc w:val="left"/>
        <w:rPr>
          <w:rFonts w:hint="eastAsia" w:ascii="宋体" w:hAnsi="宋体"/>
          <w:color w:val="auto"/>
          <w:szCs w:val="21"/>
          <w:highlight w:val="none"/>
        </w:rPr>
      </w:pP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名称</w:t>
      </w:r>
      <w:r>
        <w:rPr>
          <w:rFonts w:hint="eastAsia" w:ascii="宋体" w:hAnsi="宋体"/>
          <w:color w:val="auto"/>
          <w:szCs w:val="21"/>
          <w:highlight w:val="none"/>
        </w:rPr>
        <w:t xml:space="preserve">：                                         日期：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年   月   日</w:t>
      </w:r>
    </w:p>
    <w:tbl>
      <w:tblPr>
        <w:tblStyle w:val="49"/>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462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5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462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投标人名称</w:t>
            </w:r>
          </w:p>
        </w:tc>
        <w:tc>
          <w:tcPr>
            <w:tcW w:w="21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c>
          <w:tcPr>
            <w:tcW w:w="4624" w:type="dxa"/>
            <w:vMerge w:val="continue"/>
            <w:tcBorders>
              <w:left w:val="single" w:color="auto" w:sz="4" w:space="0"/>
              <w:bottom w:val="single" w:color="auto" w:sz="4" w:space="0"/>
              <w:right w:val="single" w:color="auto" w:sz="4" w:space="0"/>
            </w:tcBorders>
            <w:noWrap w:val="0"/>
            <w:vAlign w:val="top"/>
          </w:tcPr>
          <w:p>
            <w:pPr>
              <w:widowControl/>
              <w:jc w:val="center"/>
              <w:rPr>
                <w:rFonts w:ascii="宋体" w:hAnsi="宋体"/>
                <w:color w:val="auto"/>
                <w:szCs w:val="21"/>
                <w:highlight w:val="none"/>
              </w:rPr>
            </w:pPr>
          </w:p>
        </w:tc>
        <w:tc>
          <w:tcPr>
            <w:tcW w:w="2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cs="宋体"/>
                <w:color w:val="auto"/>
                <w:sz w:val="24"/>
                <w:highlight w:val="none"/>
                <w:lang w:val="en-US" w:eastAsia="zh-CN"/>
              </w:rPr>
              <w:t>7</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p>
    <w:p>
      <w:pPr>
        <w:jc w:val="left"/>
        <w:outlineLvl w:val="9"/>
        <w:rPr>
          <w:rFonts w:ascii="宋体" w:hAnsi="宋体"/>
          <w:b/>
          <w:bCs/>
          <w:color w:val="auto"/>
          <w:szCs w:val="20"/>
          <w:highlight w:val="none"/>
        </w:rPr>
      </w:pPr>
      <w:r>
        <w:rPr>
          <w:rFonts w:hint="eastAsia" w:ascii="宋体" w:hAnsi="宋体"/>
          <w:color w:val="auto"/>
          <w:szCs w:val="21"/>
          <w:highlight w:val="none"/>
        </w:rPr>
        <w:t>定标委员会全体成员签字</w:t>
      </w:r>
      <w:r>
        <w:rPr>
          <w:rFonts w:hint="eastAsia" w:ascii="宋体" w:hAnsi="宋体"/>
          <w:color w:val="auto"/>
          <w:szCs w:val="21"/>
          <w:highlight w:val="none"/>
          <w:lang w:val="en-US" w:eastAsia="zh-CN"/>
        </w:rPr>
        <w:t>：</w:t>
      </w:r>
      <w:r>
        <w:rPr>
          <w:rFonts w:ascii="宋体" w:hAnsi="宋体" w:cs="宋体"/>
          <w:color w:val="auto"/>
          <w:szCs w:val="21"/>
        </w:rPr>
        <w:t xml:space="preserve">    </w:t>
      </w:r>
      <w:r>
        <w:rPr>
          <w:rFonts w:hint="eastAsia" w:ascii="宋体" w:hAnsi="宋体" w:cs="宋体"/>
          <w:color w:val="auto"/>
          <w:szCs w:val="21"/>
          <w:lang w:val="en-US" w:eastAsia="zh-CN"/>
        </w:rPr>
        <w:t xml:space="preserve">  </w:t>
      </w:r>
      <w:r>
        <w:rPr>
          <w:rFonts w:ascii="宋体" w:hAnsi="宋体" w:cs="宋体"/>
          <w:color w:val="auto"/>
          <w:szCs w:val="21"/>
        </w:rPr>
        <w:t xml:space="preserve">                 </w:t>
      </w:r>
      <w:r>
        <w:rPr>
          <w:rFonts w:hint="eastAsia" w:ascii="宋体" w:hAnsi="宋体" w:cs="宋体"/>
          <w:color w:val="auto"/>
          <w:szCs w:val="21"/>
        </w:rPr>
        <w:t>日期：</w:t>
      </w:r>
    </w:p>
    <w:p>
      <w:pPr>
        <w:rPr>
          <w:rFonts w:ascii="宋体" w:hAnsi="宋体"/>
          <w:color w:val="auto"/>
          <w:highlight w:val="none"/>
        </w:rPr>
      </w:pPr>
    </w:p>
    <w:p>
      <w:pPr>
        <w:rPr>
          <w:rFonts w:ascii="宋体" w:hAnsi="宋体"/>
          <w:color w:val="auto"/>
          <w:highlight w:val="none"/>
        </w:rPr>
      </w:pPr>
      <w:r>
        <w:rPr>
          <w:rFonts w:ascii="宋体" w:hAnsi="宋体"/>
          <w:color w:val="auto"/>
          <w:highlight w:val="none"/>
        </w:rPr>
        <w:br w:type="page"/>
      </w:r>
    </w:p>
    <w:p>
      <w:pPr>
        <w:widowControl/>
        <w:spacing w:line="360" w:lineRule="auto"/>
        <w:jc w:val="left"/>
        <w:outlineLvl w:val="2"/>
        <w:rPr>
          <w:rFonts w:hint="eastAsia" w:ascii="宋体" w:hAnsi="宋体" w:cs="宋体"/>
          <w:color w:val="auto"/>
          <w:kern w:val="0"/>
          <w:sz w:val="24"/>
          <w:szCs w:val="24"/>
        </w:rPr>
      </w:pPr>
      <w:bookmarkStart w:id="141" w:name="_Toc11776"/>
      <w:bookmarkStart w:id="142" w:name="_Toc154575295"/>
      <w:bookmarkStart w:id="143" w:name="_Toc28100"/>
      <w:bookmarkStart w:id="144" w:name="_Toc25062"/>
      <w:bookmarkStart w:id="145" w:name="_Toc153802892"/>
      <w:bookmarkStart w:id="146" w:name="_Toc27119"/>
      <w:r>
        <w:rPr>
          <w:rFonts w:hint="eastAsia" w:ascii="宋体" w:hAnsi="宋体" w:cs="宋体"/>
          <w:color w:val="auto"/>
          <w:kern w:val="0"/>
          <w:sz w:val="24"/>
          <w:szCs w:val="24"/>
        </w:rPr>
        <w:t>附表十</w:t>
      </w:r>
      <w:bookmarkEnd w:id="141"/>
      <w:bookmarkEnd w:id="142"/>
      <w:bookmarkEnd w:id="143"/>
      <w:bookmarkEnd w:id="144"/>
      <w:bookmarkEnd w:id="145"/>
      <w:bookmarkEnd w:id="146"/>
    </w:p>
    <w:p>
      <w:pPr>
        <w:pStyle w:val="2"/>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附加投票的合格中标候选人名单（定标阶段）（如有）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9"/>
        <w:tblW w:w="8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合格中标候选人</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r>
              <w:rPr>
                <w:rFonts w:hint="eastAsia" w:ascii="宋体" w:hAnsi="宋体" w:cs="宋体"/>
                <w:color w:val="auto"/>
                <w:sz w:val="24"/>
                <w:szCs w:val="24"/>
              </w:rPr>
              <w:t>……</w:t>
            </w:r>
          </w:p>
        </w:tc>
      </w:tr>
    </w:tbl>
    <w:p>
      <w:pPr>
        <w:spacing w:line="360" w:lineRule="auto"/>
        <w:ind w:left="275" w:hanging="275" w:hangingChars="131"/>
        <w:rPr>
          <w:rFonts w:ascii="宋体" w:hAnsi="宋体" w:cs="宋体"/>
          <w:color w:val="auto"/>
          <w:szCs w:val="21"/>
        </w:rPr>
      </w:pPr>
      <w:r>
        <w:rPr>
          <w:rFonts w:hint="eastAsia" w:ascii="宋体" w:hAnsi="宋体" w:cs="宋体"/>
          <w:color w:val="auto"/>
          <w:szCs w:val="21"/>
        </w:rPr>
        <w:t>注：本表用于投票出现票数相同的情况。</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定标委员会全体成员签名：</w:t>
      </w:r>
      <w:r>
        <w:rPr>
          <w:rFonts w:ascii="宋体" w:hAnsi="宋体" w:cs="宋体"/>
          <w:color w:val="auto"/>
          <w:szCs w:val="21"/>
        </w:rPr>
        <w:t xml:space="preserve">                     </w:t>
      </w:r>
      <w:r>
        <w:rPr>
          <w:rFonts w:hint="eastAsia" w:ascii="宋体" w:hAnsi="宋体" w:cs="宋体"/>
          <w:color w:val="auto"/>
          <w:szCs w:val="21"/>
        </w:rPr>
        <w:t>日期：</w:t>
      </w:r>
    </w:p>
    <w:p>
      <w:pPr>
        <w:widowControl/>
        <w:jc w:val="left"/>
        <w:rPr>
          <w:rFonts w:ascii="宋体" w:hAnsi="宋体" w:cs="宋体"/>
          <w:color w:val="auto"/>
          <w:szCs w:val="21"/>
        </w:rPr>
      </w:pPr>
      <w:r>
        <w:rPr>
          <w:rFonts w:ascii="宋体" w:hAnsi="宋体" w:cs="宋体"/>
          <w:color w:val="auto"/>
          <w:szCs w:val="21"/>
        </w:rPr>
        <w:br w:type="page"/>
      </w:r>
    </w:p>
    <w:p>
      <w:pPr>
        <w:widowControl/>
        <w:spacing w:line="360" w:lineRule="auto"/>
        <w:jc w:val="left"/>
        <w:outlineLvl w:val="2"/>
        <w:rPr>
          <w:rFonts w:hint="eastAsia" w:ascii="宋体" w:hAnsi="宋体" w:cs="宋体"/>
          <w:color w:val="auto"/>
          <w:kern w:val="0"/>
          <w:sz w:val="24"/>
          <w:szCs w:val="24"/>
        </w:rPr>
      </w:pPr>
      <w:bookmarkStart w:id="147" w:name="_Toc7909"/>
      <w:bookmarkStart w:id="148" w:name="_Toc154575296"/>
      <w:bookmarkStart w:id="149" w:name="_Toc12922"/>
      <w:bookmarkStart w:id="150" w:name="_Toc18392"/>
      <w:bookmarkStart w:id="151" w:name="_Toc23499"/>
      <w:bookmarkStart w:id="152" w:name="_Toc153802893"/>
      <w:r>
        <w:rPr>
          <w:rFonts w:hint="eastAsia" w:ascii="宋体" w:hAnsi="宋体" w:cs="宋体"/>
          <w:color w:val="auto"/>
          <w:kern w:val="0"/>
          <w:sz w:val="24"/>
          <w:szCs w:val="24"/>
        </w:rPr>
        <w:t>附表十一</w:t>
      </w:r>
      <w:bookmarkEnd w:id="147"/>
      <w:bookmarkEnd w:id="148"/>
      <w:bookmarkEnd w:id="149"/>
      <w:bookmarkEnd w:id="150"/>
      <w:bookmarkEnd w:id="151"/>
      <w:bookmarkEnd w:id="152"/>
    </w:p>
    <w:p>
      <w:pPr>
        <w:pStyle w:val="2"/>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附加定标选票表（定标阶段）（如有）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71"/>
        <w:tblW w:w="48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5" w:type="pct"/>
            <w:vAlign w:val="center"/>
          </w:tcPr>
          <w:p>
            <w:pPr>
              <w:jc w:val="center"/>
              <w:rPr>
                <w:rFonts w:ascii="宋体" w:hAnsi="宋体"/>
                <w:b/>
                <w:color w:val="auto"/>
                <w:sz w:val="24"/>
                <w:szCs w:val="24"/>
              </w:rPr>
            </w:pPr>
            <w:r>
              <w:rPr>
                <w:rFonts w:hint="eastAsia" w:ascii="宋体" w:hAnsi="宋体" w:cs="宋体"/>
                <w:b/>
                <w:bCs/>
                <w:color w:val="auto"/>
                <w:sz w:val="24"/>
                <w:szCs w:val="24"/>
              </w:rPr>
              <w:t>支持的合格中标候选人</w:t>
            </w:r>
          </w:p>
        </w:tc>
        <w:tc>
          <w:tcPr>
            <w:tcW w:w="2955" w:type="pct"/>
            <w:vAlign w:val="center"/>
          </w:tcPr>
          <w:p>
            <w:pPr>
              <w:jc w:val="center"/>
              <w:rPr>
                <w:rFonts w:ascii="宋体" w:hAnsi="宋体" w:cs="宋体"/>
                <w:b/>
                <w:bCs/>
                <w:color w:val="auto"/>
                <w:sz w:val="24"/>
                <w:szCs w:val="24"/>
              </w:rPr>
            </w:pPr>
            <w:r>
              <w:rPr>
                <w:rFonts w:hint="eastAsia" w:ascii="宋体" w:hAnsi="宋体"/>
                <w:b/>
                <w:color w:val="auto"/>
                <w:sz w:val="24"/>
                <w:szCs w:val="24"/>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5" w:type="pct"/>
            <w:vAlign w:val="center"/>
          </w:tcPr>
          <w:p>
            <w:pPr>
              <w:ind w:right="-162" w:rightChars="-77"/>
              <w:jc w:val="center"/>
              <w:rPr>
                <w:rFonts w:ascii="宋体" w:hAnsi="宋体" w:cs="宋体"/>
                <w:b/>
                <w:bCs/>
                <w:color w:val="auto"/>
                <w:sz w:val="24"/>
                <w:szCs w:val="24"/>
              </w:rPr>
            </w:pPr>
          </w:p>
        </w:tc>
        <w:tc>
          <w:tcPr>
            <w:tcW w:w="2955" w:type="pct"/>
            <w:vAlign w:val="center"/>
          </w:tcPr>
          <w:p>
            <w:pPr>
              <w:jc w:val="center"/>
              <w:rPr>
                <w:rFonts w:ascii="宋体" w:hAnsi="宋体" w:cs="宋体"/>
                <w:color w:val="auto"/>
                <w:sz w:val="24"/>
                <w:szCs w:val="24"/>
              </w:rPr>
            </w:pPr>
          </w:p>
        </w:tc>
      </w:tr>
    </w:tbl>
    <w:p>
      <w:pPr>
        <w:rPr>
          <w:rFonts w:ascii="宋体" w:hAnsi="宋体" w:cs="宋体"/>
          <w:color w:val="auto"/>
          <w:szCs w:val="21"/>
        </w:rPr>
      </w:pPr>
      <w:r>
        <w:rPr>
          <w:rFonts w:hint="eastAsia" w:ascii="宋体" w:hAnsi="宋体" w:cs="宋体"/>
          <w:color w:val="auto"/>
          <w:szCs w:val="21"/>
        </w:rPr>
        <w:t>正式投票规则：</w:t>
      </w:r>
    </w:p>
    <w:p>
      <w:pPr>
        <w:rPr>
          <w:rFonts w:ascii="宋体" w:hAnsi="宋体" w:cs="宋体"/>
          <w:color w:val="auto"/>
          <w:szCs w:val="21"/>
        </w:rPr>
      </w:pPr>
      <w:r>
        <w:rPr>
          <w:rFonts w:hint="eastAsia" w:ascii="宋体" w:hAnsi="宋体" w:cs="宋体"/>
          <w:color w:val="auto"/>
          <w:szCs w:val="21"/>
        </w:rPr>
        <w:t>（1）以上表格用于正式投票，投票时须注明支持的合格中标候选人及支持理由。</w:t>
      </w:r>
    </w:p>
    <w:p>
      <w:pPr>
        <w:rPr>
          <w:rFonts w:ascii="宋体" w:hAnsi="宋体" w:cs="宋体"/>
          <w:color w:val="auto"/>
          <w:szCs w:val="21"/>
        </w:rPr>
      </w:pPr>
      <w:r>
        <w:rPr>
          <w:rFonts w:hint="eastAsia" w:ascii="宋体" w:hAnsi="宋体" w:cs="宋体"/>
          <w:color w:val="auto"/>
          <w:szCs w:val="21"/>
        </w:rPr>
        <w:t>（2）由定标委员会成员进行投票，各定标委员会成员只能支持一家合格中标候选人。</w:t>
      </w:r>
    </w:p>
    <w:p>
      <w:pPr>
        <w:rPr>
          <w:rFonts w:ascii="宋体" w:hAnsi="宋体" w:cs="宋体"/>
          <w:color w:val="auto"/>
          <w:szCs w:val="21"/>
        </w:rPr>
      </w:pPr>
      <w:r>
        <w:rPr>
          <w:rFonts w:hint="eastAsia" w:ascii="宋体" w:hAnsi="宋体" w:cs="宋体"/>
          <w:color w:val="auto"/>
          <w:szCs w:val="21"/>
        </w:rPr>
        <w:t>（3）投票结束后，点票人员对投票人数、票数和每票对应的合格中标候选人总数加以核对和统计，作废的选票不得统计，并向定标委员会报告。</w:t>
      </w:r>
    </w:p>
    <w:p>
      <w:pPr>
        <w:rPr>
          <w:rFonts w:ascii="宋体" w:hAnsi="宋体" w:cs="宋体"/>
          <w:color w:val="auto"/>
          <w:szCs w:val="21"/>
        </w:rPr>
      </w:pPr>
      <w:r>
        <w:rPr>
          <w:rFonts w:hint="eastAsia" w:ascii="宋体" w:hAnsi="宋体" w:cs="宋体"/>
          <w:color w:val="auto"/>
          <w:szCs w:val="21"/>
        </w:rPr>
        <w:t>（4）定标委员会成员应当独立投票，自投票开始至最终排名统计结果公布期间，任何人不得非法干预、影响投票过程，不得透露、协商、改变投票结果，不得使用通信联络工具。</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定标委员会成员签名：</w:t>
      </w:r>
      <w:r>
        <w:rPr>
          <w:rFonts w:ascii="宋体" w:hAnsi="宋体" w:cs="宋体"/>
          <w:color w:val="auto"/>
          <w:szCs w:val="21"/>
        </w:rPr>
        <w:t xml:space="preserve">                         </w:t>
      </w:r>
      <w:r>
        <w:rPr>
          <w:rFonts w:hint="eastAsia" w:ascii="宋体" w:hAnsi="宋体" w:cs="宋体"/>
          <w:color w:val="auto"/>
          <w:szCs w:val="21"/>
        </w:rPr>
        <w:t>日期：</w:t>
      </w:r>
    </w:p>
    <w:p>
      <w:pPr>
        <w:rPr>
          <w:rFonts w:ascii="宋体" w:hAnsi="宋体" w:cs="宋体"/>
          <w:color w:val="auto"/>
          <w:szCs w:val="21"/>
        </w:rPr>
      </w:pPr>
    </w:p>
    <w:p>
      <w:pPr>
        <w:widowControl/>
        <w:jc w:val="left"/>
        <w:rPr>
          <w:rFonts w:ascii="宋体" w:hAnsi="宋体" w:cs="宋体"/>
          <w:color w:val="auto"/>
          <w:szCs w:val="21"/>
        </w:rPr>
      </w:pPr>
      <w:r>
        <w:rPr>
          <w:rFonts w:ascii="宋体" w:hAnsi="宋体" w:cs="宋体"/>
          <w:color w:val="auto"/>
          <w:szCs w:val="21"/>
        </w:rPr>
        <w:br w:type="page"/>
      </w:r>
    </w:p>
    <w:p>
      <w:pPr>
        <w:widowControl/>
        <w:spacing w:line="360" w:lineRule="auto"/>
        <w:jc w:val="left"/>
        <w:outlineLvl w:val="2"/>
        <w:rPr>
          <w:rFonts w:hint="eastAsia" w:ascii="宋体" w:hAnsi="宋体" w:cs="宋体"/>
          <w:color w:val="auto"/>
          <w:kern w:val="0"/>
          <w:sz w:val="24"/>
          <w:szCs w:val="24"/>
        </w:rPr>
      </w:pPr>
      <w:bookmarkStart w:id="153" w:name="_Toc26197"/>
      <w:bookmarkStart w:id="154" w:name="_Toc19469"/>
      <w:bookmarkStart w:id="155" w:name="_Toc154575297"/>
      <w:bookmarkStart w:id="156" w:name="_Toc28528"/>
      <w:bookmarkStart w:id="157" w:name="_Toc3096"/>
      <w:bookmarkStart w:id="158" w:name="_Toc153802894"/>
      <w:r>
        <w:rPr>
          <w:rFonts w:hint="eastAsia" w:ascii="宋体" w:hAnsi="宋体" w:cs="宋体"/>
          <w:color w:val="auto"/>
          <w:kern w:val="0"/>
          <w:sz w:val="24"/>
          <w:szCs w:val="24"/>
        </w:rPr>
        <w:t>附表十二</w:t>
      </w:r>
      <w:bookmarkEnd w:id="153"/>
      <w:bookmarkEnd w:id="154"/>
      <w:bookmarkEnd w:id="155"/>
      <w:bookmarkEnd w:id="156"/>
      <w:bookmarkEnd w:id="157"/>
      <w:bookmarkEnd w:id="158"/>
    </w:p>
    <w:p>
      <w:pPr>
        <w:pStyle w:val="2"/>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附加投票汇总表（定标阶段）（如有）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515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序号</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合格中标候选人</w:t>
            </w: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ascii="宋体" w:hAnsi="宋体" w:cs="宋体"/>
                <w:color w:val="auto"/>
                <w:sz w:val="24"/>
                <w:szCs w:val="24"/>
              </w:rPr>
              <w:t>1</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ascii="宋体" w:hAnsi="宋体" w:cs="宋体"/>
                <w:color w:val="auto"/>
                <w:sz w:val="24"/>
                <w:szCs w:val="24"/>
              </w:rPr>
              <w:t>2</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r>
    </w:tbl>
    <w:p>
      <w:pPr>
        <w:spacing w:line="360" w:lineRule="auto"/>
        <w:ind w:left="275" w:hanging="275" w:hangingChars="131"/>
        <w:rPr>
          <w:rFonts w:ascii="宋体" w:hAnsi="宋体" w:cs="宋体"/>
          <w:color w:val="auto"/>
          <w:szCs w:val="21"/>
        </w:rPr>
      </w:pPr>
      <w:r>
        <w:rPr>
          <w:rFonts w:hint="eastAsia" w:ascii="宋体" w:hAnsi="宋体" w:cs="宋体"/>
          <w:color w:val="auto"/>
          <w:szCs w:val="21"/>
        </w:rPr>
        <w:t>注：本表用于投票出现票数相同的情况。</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定标委员会全体成员签名：</w:t>
      </w:r>
      <w:r>
        <w:rPr>
          <w:rFonts w:ascii="宋体" w:hAnsi="宋体" w:cs="宋体"/>
          <w:color w:val="auto"/>
          <w:szCs w:val="21"/>
        </w:rPr>
        <w:t xml:space="preserve">                     </w:t>
      </w:r>
      <w:r>
        <w:rPr>
          <w:rFonts w:hint="eastAsia" w:ascii="宋体" w:hAnsi="宋体" w:cs="宋体"/>
          <w:color w:val="auto"/>
          <w:szCs w:val="21"/>
        </w:rPr>
        <w:t>日期：</w:t>
      </w:r>
    </w:p>
    <w:p>
      <w:pPr>
        <w:rPr>
          <w:rFonts w:hint="default"/>
          <w:color w:val="auto"/>
          <w:highlight w:val="none"/>
          <w:lang w:val="en-US" w:eastAsia="zh-CN"/>
        </w:rPr>
      </w:pPr>
    </w:p>
    <w:p>
      <w:pPr>
        <w:pStyle w:val="469"/>
        <w:rPr>
          <w:rFonts w:ascii="宋体" w:hAnsi="宋体"/>
          <w:color w:val="auto"/>
          <w:highlight w:val="none"/>
        </w:rPr>
        <w:sectPr>
          <w:pgSz w:w="11906" w:h="16838"/>
          <w:pgMar w:top="1440" w:right="1800" w:bottom="1440" w:left="1800" w:header="851" w:footer="992" w:gutter="0"/>
          <w:pgNumType w:fmt="decimal"/>
          <w:cols w:space="720" w:num="1"/>
          <w:docGrid w:type="lines" w:linePitch="312" w:charSpace="0"/>
        </w:sectPr>
      </w:pPr>
    </w:p>
    <w:p>
      <w:pPr>
        <w:pStyle w:val="3"/>
        <w:rPr>
          <w:rFonts w:ascii="宋体" w:hAnsi="宋体"/>
          <w:color w:val="auto"/>
          <w:highlight w:val="none"/>
        </w:rPr>
      </w:pPr>
      <w:bookmarkStart w:id="159" w:name="_Toc24774"/>
      <w:bookmarkStart w:id="160" w:name="_Toc3330"/>
      <w:bookmarkStart w:id="161" w:name="_Toc21008"/>
      <w:bookmarkStart w:id="162" w:name="_Toc14313"/>
      <w:r>
        <w:rPr>
          <w:rFonts w:hint="eastAsia" w:ascii="宋体" w:hAnsi="宋体"/>
          <w:color w:val="auto"/>
          <w:highlight w:val="none"/>
        </w:rPr>
        <w:t>第三章</w:t>
      </w:r>
      <w:r>
        <w:rPr>
          <w:rFonts w:hint="eastAsia" w:ascii="宋体" w:hAnsi="宋体"/>
          <w:color w:val="auto"/>
          <w:highlight w:val="none"/>
          <w:lang w:val="en-US" w:eastAsia="zh-CN"/>
        </w:rPr>
        <w:t xml:space="preserve"> </w:t>
      </w:r>
      <w:r>
        <w:rPr>
          <w:rFonts w:ascii="宋体" w:hAnsi="宋体"/>
          <w:color w:val="auto"/>
          <w:highlight w:val="none"/>
        </w:rPr>
        <w:t xml:space="preserve"> </w:t>
      </w:r>
      <w:r>
        <w:rPr>
          <w:rFonts w:hint="eastAsia" w:ascii="宋体" w:hAnsi="宋体"/>
          <w:color w:val="auto"/>
          <w:highlight w:val="none"/>
        </w:rPr>
        <w:t>合同条款</w:t>
      </w:r>
      <w:bookmarkEnd w:id="127"/>
      <w:bookmarkEnd w:id="128"/>
      <w:bookmarkEnd w:id="159"/>
      <w:bookmarkEnd w:id="160"/>
      <w:bookmarkEnd w:id="161"/>
      <w:bookmarkEnd w:id="162"/>
    </w:p>
    <w:p>
      <w:pPr>
        <w:ind w:firstLine="420" w:firstLineChars="200"/>
        <w:rPr>
          <w:rFonts w:ascii="宋体" w:hAnsi="宋体"/>
          <w:color w:val="auto"/>
          <w:highlight w:val="none"/>
        </w:rPr>
      </w:pPr>
      <w:r>
        <w:rPr>
          <w:rFonts w:ascii="宋体" w:hAnsi="宋体"/>
          <w:color w:val="auto"/>
          <w:highlight w:val="none"/>
        </w:rPr>
        <w:drawing>
          <wp:anchor distT="0" distB="0" distL="114300" distR="114300" simplePos="0" relativeHeight="251662336" behindDoc="0" locked="0" layoutInCell="1" allowOverlap="1">
            <wp:simplePos x="0" y="0"/>
            <wp:positionH relativeFrom="column">
              <wp:posOffset>4003040</wp:posOffset>
            </wp:positionH>
            <wp:positionV relativeFrom="paragraph">
              <wp:posOffset>173355</wp:posOffset>
            </wp:positionV>
            <wp:extent cx="1725295" cy="1388110"/>
            <wp:effectExtent l="0" t="0" r="8255" b="2540"/>
            <wp:wrapSquare wrapText="bothSides"/>
            <wp:docPr id="43" name="图片 43" descr="C:\Users\lanxing\Desktop\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lanxing\Desktop\93b1542184114cf8b316f10d4b2d5c42.png93b1542184114cf8b316f10d4b2d5c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725295" cy="1388110"/>
                    </a:xfrm>
                    <a:prstGeom prst="rect">
                      <a:avLst/>
                    </a:prstGeom>
                    <a:noFill/>
                    <a:ln>
                      <a:noFill/>
                    </a:ln>
                  </pic:spPr>
                </pic:pic>
              </a:graphicData>
            </a:graphic>
          </wp:anchor>
        </w:drawing>
      </w:r>
    </w:p>
    <w:p>
      <w:pPr>
        <w:rPr>
          <w:rFonts w:ascii="宋体" w:hAnsi="宋体"/>
          <w:color w:val="auto"/>
          <w:highlight w:val="none"/>
        </w:rPr>
      </w:pPr>
      <w:r>
        <w:rPr>
          <w:rFonts w:ascii="宋体" w:hAnsi="宋体"/>
          <w:color w:val="auto"/>
          <w:highlight w:val="none"/>
        </w:rPr>
        <w:drawing>
          <wp:inline distT="0" distB="0" distL="0" distR="0">
            <wp:extent cx="2495550" cy="2571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95550" cy="257175"/>
                    </a:xfrm>
                    <a:prstGeom prst="rect">
                      <a:avLst/>
                    </a:prstGeom>
                    <a:noFill/>
                    <a:ln>
                      <a:noFill/>
                    </a:ln>
                  </pic:spPr>
                </pic:pic>
              </a:graphicData>
            </a:graphic>
          </wp:inline>
        </w:drawing>
      </w:r>
    </w:p>
    <w:p>
      <w:pPr>
        <w:ind w:firstLine="8400" w:firstLineChars="3500"/>
        <w:rPr>
          <w:rFonts w:ascii="宋体" w:hAnsi="宋体"/>
          <w:color w:val="auto"/>
          <w:sz w:val="24"/>
          <w:highlight w:val="none"/>
        </w:rPr>
      </w:pPr>
      <w:r>
        <w:rPr>
          <w:rFonts w:ascii="宋体" w:hAnsi="宋体"/>
          <w:color w:val="auto"/>
          <w:sz w:val="24"/>
          <w:highlight w:val="none"/>
        </w:rPr>
        <w:drawing>
          <wp:anchor distT="0" distB="0" distL="114300" distR="114300" simplePos="0" relativeHeight="251661312" behindDoc="1" locked="0" layoutInCell="1" allowOverlap="0">
            <wp:simplePos x="0" y="0"/>
            <wp:positionH relativeFrom="column">
              <wp:posOffset>0</wp:posOffset>
            </wp:positionH>
            <wp:positionV relativeFrom="paragraph">
              <wp:posOffset>198120</wp:posOffset>
            </wp:positionV>
            <wp:extent cx="790575" cy="161925"/>
            <wp:effectExtent l="0" t="0" r="9525" b="9525"/>
            <wp:wrapTight wrapText="bothSides">
              <wp:wrapPolygon>
                <wp:start x="520" y="0"/>
                <wp:lineTo x="0" y="7624"/>
                <wp:lineTo x="0" y="20329"/>
                <wp:lineTo x="21340" y="20329"/>
                <wp:lineTo x="21340" y="10165"/>
                <wp:lineTo x="18737" y="0"/>
                <wp:lineTo x="520" y="0"/>
              </wp:wrapPolygon>
            </wp:wrapTigh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90575" cy="161925"/>
                    </a:xfrm>
                    <a:prstGeom prst="rect">
                      <a:avLst/>
                    </a:prstGeom>
                    <a:noFill/>
                    <a:ln>
                      <a:noFill/>
                    </a:ln>
                  </pic:spPr>
                </pic:pic>
              </a:graphicData>
            </a:graphic>
          </wp:anchor>
        </w:drawing>
      </w:r>
      <w:r>
        <w:rPr>
          <w:rFonts w:ascii="宋体" w:hAnsi="宋体"/>
          <w:color w:val="auto"/>
          <w:sz w:val="24"/>
          <w:highlight w:val="none"/>
        </w:rPr>
        <w:t xml:space="preserve">                            </w:t>
      </w:r>
    </w:p>
    <w:p>
      <w:pPr>
        <w:rPr>
          <w:rFonts w:ascii="宋体" w:hAnsi="宋体"/>
          <w:color w:val="auto"/>
          <w:sz w:val="28"/>
          <w:szCs w:val="28"/>
          <w:highlight w:val="none"/>
        </w:rPr>
      </w:pPr>
      <w:r>
        <w:rPr>
          <w:rFonts w:ascii="宋体" w:hAnsi="宋体"/>
          <w:color w:val="auto"/>
          <w:sz w:val="28"/>
          <w:szCs w:val="28"/>
          <w:highlight w:val="none"/>
        </w:rPr>
        <w:t xml:space="preserve"> </w:t>
      </w:r>
    </w:p>
    <w:p>
      <w:pPr>
        <w:ind w:firstLine="840" w:firstLineChars="400"/>
        <w:rPr>
          <w:rFonts w:ascii="宋体" w:hAnsi="宋体"/>
          <w:color w:val="auto"/>
          <w:highlight w:val="none"/>
        </w:rPr>
      </w:pPr>
    </w:p>
    <w:p>
      <w:pPr>
        <w:ind w:firstLine="840" w:firstLineChars="400"/>
        <w:rPr>
          <w:rFonts w:ascii="宋体" w:hAnsi="宋体"/>
          <w:color w:val="auto"/>
          <w:highlight w:val="none"/>
        </w:rPr>
      </w:pPr>
      <w:r>
        <w:rPr>
          <w:rFonts w:ascii="宋体" w:hAnsi="宋体"/>
          <w:color w:val="auto"/>
          <w:highlight w:val="none"/>
        </w:rPr>
        <w:t xml:space="preserve">                                                              </w:t>
      </w:r>
    </w:p>
    <w:p>
      <w:pPr>
        <w:ind w:firstLine="840" w:firstLineChars="400"/>
        <w:rPr>
          <w:rFonts w:ascii="宋体" w:hAnsi="宋体"/>
          <w:color w:val="auto"/>
          <w:highlight w:val="none"/>
        </w:rPr>
      </w:pPr>
      <w:r>
        <w:rPr>
          <w:rFonts w:ascii="宋体" w:hAnsi="宋体"/>
          <w:color w:val="auto"/>
          <w:highlight w:val="none"/>
        </w:rPr>
        <w:t xml:space="preserve">                     </w:t>
      </w:r>
    </w:p>
    <w:p>
      <w:pPr>
        <w:snapToGrid w:val="0"/>
        <w:spacing w:line="440" w:lineRule="exact"/>
        <w:ind w:left="-197" w:leftChars="-94"/>
        <w:jc w:val="center"/>
        <w:rPr>
          <w:rFonts w:ascii="宋体" w:hAnsi="宋体"/>
          <w:color w:val="auto"/>
          <w:highlight w:val="none"/>
        </w:rPr>
      </w:pPr>
    </w:p>
    <w:p>
      <w:pPr>
        <w:snapToGrid w:val="0"/>
        <w:spacing w:line="440" w:lineRule="exact"/>
        <w:ind w:left="-197" w:leftChars="-94"/>
        <w:jc w:val="center"/>
        <w:rPr>
          <w:rFonts w:ascii="宋体" w:hAnsi="宋体"/>
          <w:color w:val="auto"/>
          <w:highlight w:val="none"/>
        </w:rPr>
      </w:pPr>
      <w:r>
        <w:rPr>
          <w:rFonts w:ascii="宋体" w:hAnsi="宋体"/>
          <w:color w:val="auto"/>
          <w:highlight w:val="none"/>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134620</wp:posOffset>
            </wp:positionV>
            <wp:extent cx="5295900" cy="590550"/>
            <wp:effectExtent l="0" t="0" r="0" b="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95900" cy="590550"/>
                    </a:xfrm>
                    <a:prstGeom prst="rect">
                      <a:avLst/>
                    </a:prstGeom>
                    <a:noFill/>
                    <a:ln>
                      <a:noFill/>
                    </a:ln>
                  </pic:spPr>
                </pic:pic>
              </a:graphicData>
            </a:graphic>
          </wp:anchor>
        </w:drawing>
      </w:r>
    </w:p>
    <w:p>
      <w:pPr>
        <w:spacing w:line="480" w:lineRule="exact"/>
        <w:jc w:val="center"/>
        <w:rPr>
          <w:rFonts w:ascii="宋体" w:hAnsi="宋体"/>
          <w:color w:val="auto"/>
          <w:sz w:val="28"/>
          <w:szCs w:val="28"/>
          <w:highlight w:val="none"/>
        </w:rPr>
      </w:pPr>
    </w:p>
    <w:p>
      <w:pPr>
        <w:spacing w:line="480" w:lineRule="exact"/>
        <w:jc w:val="center"/>
        <w:rPr>
          <w:rFonts w:ascii="宋体" w:hAnsi="宋体"/>
          <w:color w:val="auto"/>
          <w:sz w:val="28"/>
          <w:szCs w:val="28"/>
          <w:highlight w:val="none"/>
        </w:rPr>
      </w:pPr>
    </w:p>
    <w:p>
      <w:pPr>
        <w:spacing w:line="480" w:lineRule="exact"/>
        <w:rPr>
          <w:rFonts w:hint="eastAsia" w:ascii="宋体" w:hAnsi="宋体"/>
          <w:color w:val="auto"/>
          <w:sz w:val="28"/>
          <w:szCs w:val="28"/>
          <w:highlight w:val="none"/>
        </w:rPr>
      </w:pP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项目名称：</w:t>
      </w:r>
      <w:r>
        <w:rPr>
          <w:rFonts w:ascii="宋体" w:hAnsi="宋体"/>
          <w:color w:val="auto"/>
          <w:sz w:val="28"/>
          <w:szCs w:val="28"/>
          <w:highlight w:val="none"/>
          <w:u w:val="single"/>
        </w:rPr>
        <w:t xml:space="preserve">                                       </w:t>
      </w:r>
    </w:p>
    <w:p>
      <w:pPr>
        <w:spacing w:line="360" w:lineRule="auto"/>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发包人（甲方）：</w:t>
      </w:r>
      <w:r>
        <w:rPr>
          <w:rFonts w:hint="eastAsia" w:ascii="宋体" w:hAnsi="宋体" w:cs="宋体"/>
          <w:b w:val="0"/>
          <w:bCs w:val="0"/>
          <w:color w:val="auto"/>
          <w:spacing w:val="-2"/>
          <w:sz w:val="28"/>
          <w:szCs w:val="28"/>
          <w:highlight w:val="none"/>
          <w:u w:val="single"/>
          <w:lang w:val="en-US" w:eastAsia="zh-CN"/>
        </w:rPr>
        <w:t>广州东进新区开发有限公司</w:t>
      </w:r>
      <w:r>
        <w:rPr>
          <w:rFonts w:hint="eastAsia" w:ascii="宋体" w:hAnsi="宋体"/>
          <w:color w:val="auto"/>
          <w:sz w:val="28"/>
          <w:szCs w:val="28"/>
          <w:highlight w:val="none"/>
          <w:u w:val="single"/>
          <w:lang w:val="en-US" w:eastAsia="zh-CN"/>
        </w:rPr>
        <w:t xml:space="preserve"> </w:t>
      </w:r>
    </w:p>
    <w:p>
      <w:pPr>
        <w:snapToGrid w:val="0"/>
        <w:spacing w:line="360" w:lineRule="auto"/>
        <w:rPr>
          <w:rFonts w:ascii="宋体" w:hAnsi="宋体"/>
          <w:color w:val="auto"/>
          <w:sz w:val="28"/>
          <w:szCs w:val="28"/>
          <w:highlight w:val="none"/>
          <w:u w:val="single"/>
        </w:rPr>
      </w:pPr>
      <w:r>
        <w:rPr>
          <w:rFonts w:hint="eastAsia" w:ascii="宋体" w:hAnsi="宋体"/>
          <w:color w:val="auto"/>
          <w:sz w:val="28"/>
          <w:szCs w:val="28"/>
          <w:highlight w:val="none"/>
        </w:rPr>
        <w:t>承包人（乙方）：</w:t>
      </w:r>
      <w:r>
        <w:rPr>
          <w:rFonts w:ascii="宋体" w:hAnsi="宋体"/>
          <w:color w:val="auto"/>
          <w:sz w:val="28"/>
          <w:szCs w:val="28"/>
          <w:highlight w:val="none"/>
          <w:u w:val="single"/>
        </w:rPr>
        <w:t xml:space="preserve">                                   </w:t>
      </w: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合同签订日期：</w:t>
      </w:r>
      <w:r>
        <w:rPr>
          <w:rFonts w:ascii="宋体" w:hAnsi="宋体"/>
          <w:color w:val="auto"/>
          <w:sz w:val="28"/>
          <w:szCs w:val="28"/>
          <w:highlight w:val="none"/>
          <w:u w:val="single"/>
        </w:rPr>
        <w:t>202</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日</w:t>
      </w:r>
    </w:p>
    <w:p>
      <w:pPr>
        <w:spacing w:line="360" w:lineRule="auto"/>
        <w:rPr>
          <w:rFonts w:ascii="宋体" w:hAnsi="宋体"/>
          <w:color w:val="auto"/>
          <w:sz w:val="24"/>
          <w:szCs w:val="24"/>
          <w:highlight w:val="none"/>
        </w:rPr>
      </w:pPr>
      <w:r>
        <w:rPr>
          <w:rFonts w:hint="eastAsia" w:ascii="宋体" w:hAnsi="宋体"/>
          <w:color w:val="auto"/>
          <w:sz w:val="28"/>
          <w:szCs w:val="28"/>
          <w:highlight w:val="none"/>
        </w:rPr>
        <w:t>签订地点：</w:t>
      </w:r>
      <w:r>
        <w:rPr>
          <w:rFonts w:hint="eastAsia" w:ascii="宋体" w:hAnsi="宋体"/>
          <w:color w:val="auto"/>
          <w:sz w:val="28"/>
          <w:szCs w:val="28"/>
          <w:highlight w:val="none"/>
          <w:u w:val="single"/>
        </w:rPr>
        <w:t>广州市黄埔区</w:t>
      </w:r>
    </w:p>
    <w:p>
      <w:pPr>
        <w:snapToGrid w:val="0"/>
        <w:spacing w:line="440" w:lineRule="exact"/>
        <w:jc w:val="center"/>
        <w:rPr>
          <w:rFonts w:ascii="宋体" w:hAnsi="宋体"/>
          <w:b/>
          <w:bCs/>
          <w:color w:val="auto"/>
          <w:sz w:val="28"/>
          <w:szCs w:val="28"/>
          <w:highlight w:val="none"/>
        </w:rPr>
      </w:pPr>
      <w:r>
        <w:rPr>
          <w:rFonts w:ascii="宋体" w:hAnsi="宋体"/>
          <w:color w:val="auto"/>
          <w:sz w:val="24"/>
          <w:szCs w:val="24"/>
          <w:highlight w:val="none"/>
        </w:rPr>
        <w:drawing>
          <wp:anchor distT="0" distB="0" distL="114300" distR="114300" simplePos="0" relativeHeight="251663360" behindDoc="0" locked="0" layoutInCell="1" allowOverlap="0">
            <wp:simplePos x="0" y="0"/>
            <wp:positionH relativeFrom="column">
              <wp:posOffset>-895350</wp:posOffset>
            </wp:positionH>
            <wp:positionV relativeFrom="paragraph">
              <wp:posOffset>1617345</wp:posOffset>
            </wp:positionV>
            <wp:extent cx="7000240" cy="2437765"/>
            <wp:effectExtent l="0" t="0" r="10160" b="635"/>
            <wp:wrapSquare wrapText="bothSides"/>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000240" cy="2437765"/>
                    </a:xfrm>
                    <a:prstGeom prst="rect">
                      <a:avLst/>
                    </a:prstGeom>
                    <a:noFill/>
                    <a:ln>
                      <a:noFill/>
                    </a:ln>
                  </pic:spPr>
                </pic:pic>
              </a:graphicData>
            </a:graphic>
          </wp:anchor>
        </w:drawing>
      </w:r>
      <w:r>
        <w:rPr>
          <w:rFonts w:ascii="宋体" w:hAnsi="宋体"/>
          <w:color w:val="auto"/>
          <w:sz w:val="24"/>
          <w:szCs w:val="24"/>
          <w:highlight w:val="none"/>
        </w:rPr>
        <w:br w:type="page"/>
      </w: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协议书</w:t>
      </w:r>
    </w:p>
    <w:p>
      <w:pPr>
        <w:snapToGrid w:val="0"/>
        <w:spacing w:line="240" w:lineRule="auto"/>
        <w:ind w:firstLine="482"/>
        <w:rPr>
          <w:rFonts w:hint="eastAsia" w:ascii="宋体" w:hAnsi="宋体"/>
          <w:color w:val="auto"/>
          <w:sz w:val="24"/>
          <w:szCs w:val="24"/>
          <w:highlight w:val="none"/>
        </w:rPr>
      </w:pPr>
    </w:p>
    <w:p>
      <w:pPr>
        <w:snapToGrid w:val="0"/>
        <w:spacing w:line="440" w:lineRule="exact"/>
        <w:ind w:firstLine="480"/>
        <w:rPr>
          <w:rFonts w:ascii="宋体" w:hAnsi="宋体"/>
          <w:color w:val="auto"/>
          <w:sz w:val="24"/>
          <w:szCs w:val="24"/>
          <w:highlight w:val="none"/>
          <w:u w:val="single"/>
        </w:rPr>
      </w:pPr>
      <w:r>
        <w:rPr>
          <w:rFonts w:hint="eastAsia" w:ascii="宋体" w:hAnsi="宋体"/>
          <w:color w:val="auto"/>
          <w:sz w:val="24"/>
          <w:szCs w:val="24"/>
          <w:highlight w:val="none"/>
        </w:rPr>
        <w:t>发包人（甲方）：</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rPr>
          <w:rFonts w:ascii="宋体" w:hAnsi="宋体"/>
          <w:color w:val="auto"/>
          <w:sz w:val="24"/>
          <w:szCs w:val="24"/>
          <w:highlight w:val="none"/>
          <w:u w:val="single"/>
        </w:rPr>
      </w:pPr>
      <w:r>
        <w:rPr>
          <w:rFonts w:hint="eastAsia" w:ascii="宋体" w:hAnsi="宋体"/>
          <w:color w:val="auto"/>
          <w:sz w:val="24"/>
          <w:szCs w:val="24"/>
          <w:highlight w:val="none"/>
        </w:rPr>
        <w:t>承包人（乙方）：</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依照《中华人民共和国民法典》、《中华人民共和国建筑法》及其他有关法律、行政法规，遵循平等、自愿、公平和诚实信用的原则，双方就本建设工程施工事项协商一致，订立本合同。本合同为代建单位与施工单位签订，施工单位应向建设业主开具发票，发票抬头为“广州开发区财政投资建设项目管理中心”。</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一、工程概况</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工程名称：</w:t>
      </w:r>
      <w:r>
        <w:rPr>
          <w:rFonts w:ascii="宋体" w:hAnsi="宋体"/>
          <w:bCs/>
          <w:color w:val="auto"/>
          <w:sz w:val="24"/>
          <w:szCs w:val="24"/>
          <w:highlight w:val="none"/>
          <w:u w:val="single"/>
        </w:rPr>
        <w:t xml:space="preserve">                            </w:t>
      </w:r>
      <w:r>
        <w:rPr>
          <w:rFonts w:hint="eastAsia" w:ascii="宋体" w:hAnsi="宋体"/>
          <w:bCs/>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工程地点：</w:t>
      </w:r>
      <w:r>
        <w:rPr>
          <w:rFonts w:ascii="宋体" w:hAnsi="宋体"/>
          <w:bCs/>
          <w:color w:val="auto"/>
          <w:sz w:val="24"/>
          <w:szCs w:val="24"/>
          <w:highlight w:val="none"/>
          <w:u w:val="single"/>
        </w:rPr>
        <w:t xml:space="preserve">                            </w:t>
      </w:r>
      <w:r>
        <w:rPr>
          <w:rFonts w:hint="eastAsia" w:ascii="宋体" w:hAnsi="宋体"/>
          <w:bCs/>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工程内容：</w:t>
      </w:r>
      <w:r>
        <w:rPr>
          <w:rFonts w:ascii="宋体" w:hAnsi="宋体"/>
          <w:color w:val="auto"/>
          <w:sz w:val="24"/>
          <w:szCs w:val="24"/>
          <w:highlight w:val="none"/>
          <w:u w:val="single"/>
        </w:rPr>
        <w:t xml:space="preserve">                          </w:t>
      </w:r>
      <w:r>
        <w:rPr>
          <w:rFonts w:hint="eastAsia" w:ascii="宋体" w:hAnsi="宋体"/>
          <w:color w:val="auto"/>
          <w:sz w:val="24"/>
          <w:szCs w:val="24"/>
          <w:highlight w:val="none"/>
        </w:rPr>
        <w:t>。具体内容以施工图纸及工程量清单为准。</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建设业主有权根据工程实施情况，对承包人的承包范围和承包工程量进行适当调整</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工程立项批准文号：</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jc w:val="left"/>
        <w:rPr>
          <w:rFonts w:ascii="宋体" w:hAnsi="宋体"/>
          <w:color w:val="auto"/>
          <w:sz w:val="24"/>
          <w:szCs w:val="24"/>
          <w:highlight w:val="none"/>
          <w:u w:val="single"/>
        </w:rPr>
      </w:pPr>
      <w:r>
        <w:rPr>
          <w:rFonts w:hint="eastAsia" w:ascii="宋体" w:hAnsi="宋体"/>
          <w:color w:val="auto"/>
          <w:sz w:val="24"/>
          <w:szCs w:val="24"/>
          <w:highlight w:val="none"/>
        </w:rPr>
        <w:t>资金来源：</w:t>
      </w:r>
      <w:r>
        <w:rPr>
          <w:rFonts w:hint="eastAsia" w:ascii="宋体" w:hAnsi="宋体"/>
          <w:color w:val="auto"/>
          <w:sz w:val="24"/>
          <w:szCs w:val="24"/>
          <w:highlight w:val="none"/>
          <w:u w:val="single"/>
        </w:rPr>
        <w:t>财政投资</w:t>
      </w:r>
      <w:r>
        <w:rPr>
          <w:rFonts w:hint="eastAsia" w:ascii="宋体" w:hAnsi="宋体"/>
          <w:color w:val="auto"/>
          <w:sz w:val="24"/>
          <w:szCs w:val="24"/>
          <w:highlight w:val="none"/>
        </w:rPr>
        <w:t>。</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二、工程承包范围及承包方式</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（一）承包范围：</w:t>
      </w:r>
      <w:r>
        <w:rPr>
          <w:rFonts w:hint="eastAsia" w:ascii="宋体" w:hAnsi="宋体"/>
          <w:color w:val="auto"/>
          <w:sz w:val="24"/>
          <w:szCs w:val="24"/>
          <w:highlight w:val="none"/>
          <w:u w:val="single"/>
        </w:rPr>
        <w:t>按发包人确认的施工图纸、图纸会审纪录和有关变更文件、资料、招标文件、承包人投标文件以及双方签订的有关协议所包含的内容</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（二）承包方式：</w:t>
      </w:r>
      <w:r>
        <w:rPr>
          <w:rFonts w:ascii="宋体" w:hAnsi="宋体"/>
          <w:color w:val="auto"/>
          <w:sz w:val="24"/>
          <w:szCs w:val="24"/>
          <w:highlight w:val="none"/>
          <w:u w:val="single"/>
        </w:rPr>
        <w:t>包工、包料、包工期、包质量、包安全、包文</w:t>
      </w:r>
      <w:r>
        <w:rPr>
          <w:rFonts w:hint="eastAsia" w:ascii="宋体" w:hAnsi="宋体"/>
          <w:color w:val="auto"/>
          <w:sz w:val="24"/>
          <w:szCs w:val="24"/>
          <w:highlight w:val="none"/>
          <w:u w:val="single"/>
        </w:rPr>
        <w:t>明施工、包验收、包保修、综合单价包干，</w:t>
      </w:r>
      <w:r>
        <w:rPr>
          <w:rFonts w:ascii="宋体" w:hAnsi="宋体"/>
          <w:color w:val="auto"/>
          <w:sz w:val="24"/>
          <w:szCs w:val="24"/>
          <w:highlight w:val="none"/>
          <w:u w:val="single"/>
        </w:rPr>
        <w:t>措施项目费（除施工围蔽费用外）包干，施工围蔽清单综合单价包干，工程量按实计量</w:t>
      </w:r>
      <w:r>
        <w:rPr>
          <w:rFonts w:hint="eastAsia" w:ascii="宋体" w:hAnsi="宋体"/>
          <w:color w:val="auto"/>
          <w:sz w:val="24"/>
          <w:szCs w:val="24"/>
          <w:highlight w:val="none"/>
        </w:rPr>
        <w:t>。</w:t>
      </w:r>
    </w:p>
    <w:p>
      <w:pPr>
        <w:snapToGrid w:val="0"/>
        <w:spacing w:line="440" w:lineRule="exact"/>
        <w:ind w:firstLine="482" w:firstLineChars="200"/>
        <w:rPr>
          <w:rFonts w:ascii="宋体" w:hAnsi="宋体"/>
          <w:b/>
          <w:bCs/>
          <w:color w:val="auto"/>
          <w:sz w:val="24"/>
          <w:szCs w:val="24"/>
          <w:highlight w:val="none"/>
          <w:u w:val="single"/>
        </w:rPr>
      </w:pPr>
      <w:r>
        <w:rPr>
          <w:rFonts w:hint="eastAsia" w:ascii="宋体" w:hAnsi="宋体"/>
          <w:b/>
          <w:bCs/>
          <w:color w:val="auto"/>
          <w:sz w:val="24"/>
          <w:szCs w:val="24"/>
          <w:highlight w:val="none"/>
        </w:rPr>
        <w:t>三、合同工期</w:t>
      </w:r>
    </w:p>
    <w:p>
      <w:pPr>
        <w:snapToGrid w:val="0"/>
        <w:spacing w:line="440" w:lineRule="exact"/>
        <w:ind w:left="480"/>
        <w:rPr>
          <w:rFonts w:ascii="宋体" w:hAnsi="宋体"/>
          <w:color w:val="auto"/>
          <w:sz w:val="24"/>
          <w:szCs w:val="24"/>
          <w:highlight w:val="none"/>
          <w:u w:val="single"/>
        </w:rPr>
      </w:pPr>
      <w:r>
        <w:rPr>
          <w:rFonts w:hint="eastAsia" w:ascii="宋体" w:hAnsi="宋体"/>
          <w:color w:val="auto"/>
          <w:sz w:val="24"/>
          <w:szCs w:val="24"/>
          <w:highlight w:val="none"/>
        </w:rPr>
        <w:t>暂定开工日期：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left="480"/>
        <w:rPr>
          <w:rFonts w:ascii="宋体" w:hAnsi="宋体"/>
          <w:color w:val="auto"/>
          <w:sz w:val="24"/>
          <w:szCs w:val="24"/>
          <w:highlight w:val="none"/>
          <w:u w:val="single"/>
        </w:rPr>
      </w:pPr>
      <w:r>
        <w:rPr>
          <w:rFonts w:hint="eastAsia" w:ascii="宋体" w:hAnsi="宋体"/>
          <w:color w:val="auto"/>
          <w:sz w:val="24"/>
          <w:szCs w:val="24"/>
          <w:highlight w:val="none"/>
        </w:rPr>
        <w:t>暂定竣工日期：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left="480"/>
        <w:rPr>
          <w:rFonts w:ascii="宋体" w:hAnsi="宋体"/>
          <w:color w:val="auto"/>
          <w:sz w:val="24"/>
          <w:szCs w:val="24"/>
          <w:highlight w:val="none"/>
        </w:rPr>
      </w:pPr>
      <w:r>
        <w:rPr>
          <w:rFonts w:hint="eastAsia" w:ascii="宋体" w:hAnsi="宋体"/>
          <w:color w:val="auto"/>
          <w:sz w:val="24"/>
          <w:szCs w:val="24"/>
          <w:highlight w:val="none"/>
        </w:rPr>
        <w:t>合同工期为</w:t>
      </w:r>
      <w:r>
        <w:rPr>
          <w:rFonts w:ascii="宋体" w:hAnsi="宋体"/>
          <w:color w:val="auto"/>
          <w:sz w:val="24"/>
          <w:szCs w:val="24"/>
          <w:highlight w:val="none"/>
          <w:u w:val="single"/>
        </w:rPr>
        <w:t xml:space="preserve">     </w:t>
      </w:r>
      <w:r>
        <w:rPr>
          <w:rFonts w:hint="eastAsia" w:ascii="宋体" w:hAnsi="宋体"/>
          <w:color w:val="auto"/>
          <w:sz w:val="24"/>
          <w:szCs w:val="24"/>
          <w:highlight w:val="none"/>
        </w:rPr>
        <w:t>日历天。实际开工日期以批准的开工报告为准。</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四、质量标准</w:t>
      </w:r>
    </w:p>
    <w:p>
      <w:pPr>
        <w:snapToGrid w:val="0"/>
        <w:spacing w:line="40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施工要求：符合设计图纸要求和国家、省、市相关法律法规规定要求及行业工程质量标准，</w:t>
      </w:r>
      <w:r>
        <w:rPr>
          <w:rFonts w:hint="eastAsia" w:ascii="宋体" w:hAnsi="宋体"/>
          <w:color w:val="auto"/>
          <w:kern w:val="0"/>
          <w:sz w:val="24"/>
          <w:szCs w:val="24"/>
          <w:highlight w:val="none"/>
          <w:u w:val="single"/>
        </w:rPr>
        <w:t>且达到投标承诺的</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标准</w:t>
      </w:r>
      <w:r>
        <w:rPr>
          <w:rFonts w:hint="eastAsia" w:ascii="宋体" w:hAnsi="宋体"/>
          <w:color w:val="auto"/>
          <w:kern w:val="0"/>
          <w:sz w:val="24"/>
          <w:szCs w:val="24"/>
          <w:highlight w:val="none"/>
        </w:rPr>
        <w:t>。</w:t>
      </w:r>
    </w:p>
    <w:p>
      <w:pPr>
        <w:spacing w:line="400" w:lineRule="exact"/>
        <w:ind w:firstLine="480" w:firstLineChars="200"/>
        <w:rPr>
          <w:rFonts w:ascii="宋体" w:hAnsi="宋体"/>
          <w:color w:val="auto"/>
          <w:kern w:val="0"/>
          <w:sz w:val="24"/>
          <w:szCs w:val="24"/>
          <w:highlight w:val="none"/>
          <w:u w:val="single"/>
        </w:rPr>
      </w:pPr>
      <w:r>
        <w:rPr>
          <w:rFonts w:hint="eastAsia" w:ascii="宋体" w:hAnsi="宋体"/>
          <w:color w:val="auto"/>
          <w:kern w:val="0"/>
          <w:sz w:val="24"/>
          <w:szCs w:val="24"/>
          <w:highlight w:val="none"/>
        </w:rPr>
        <w:t>工程质量标准：合格，</w:t>
      </w:r>
      <w:r>
        <w:rPr>
          <w:rFonts w:hint="eastAsia" w:ascii="宋体" w:hAnsi="宋体"/>
          <w:color w:val="auto"/>
          <w:kern w:val="0"/>
          <w:sz w:val="24"/>
          <w:szCs w:val="24"/>
          <w:highlight w:val="none"/>
          <w:u w:val="single"/>
        </w:rPr>
        <w:t>且达到投标承诺的</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标准。</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五、合同价款</w:t>
      </w:r>
    </w:p>
    <w:p>
      <w:pPr>
        <w:spacing w:line="440" w:lineRule="exact"/>
        <w:ind w:firstLine="480" w:firstLineChars="200"/>
        <w:rPr>
          <w:rFonts w:ascii="宋体" w:hAnsi="宋体"/>
          <w:bCs/>
          <w:snapToGrid w:val="0"/>
          <w:color w:val="auto"/>
          <w:kern w:val="0"/>
          <w:sz w:val="24"/>
          <w:szCs w:val="24"/>
          <w:highlight w:val="none"/>
        </w:rPr>
      </w:pPr>
      <w:r>
        <w:rPr>
          <w:rFonts w:hint="eastAsia" w:ascii="宋体" w:hAnsi="宋体"/>
          <w:bCs/>
          <w:snapToGrid w:val="0"/>
          <w:color w:val="auto"/>
          <w:kern w:val="0"/>
          <w:sz w:val="24"/>
          <w:szCs w:val="24"/>
          <w:highlight w:val="none"/>
        </w:rPr>
        <w:t>合同价款暂定为￥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元（大写：人民币</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），其中绿色施工安全防护措施费为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元、暂列金额为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元，人工费</w:t>
      </w:r>
      <w:r>
        <w:rPr>
          <w:rFonts w:ascii="宋体" w:hAnsi="宋体"/>
          <w:bCs/>
          <w:snapToGrid w:val="0"/>
          <w:color w:val="auto"/>
          <w:kern w:val="0"/>
          <w:sz w:val="24"/>
          <w:szCs w:val="24"/>
          <w:highlight w:val="none"/>
        </w:rPr>
        <w:t xml:space="preserve">     </w:t>
      </w:r>
      <w:r>
        <w:rPr>
          <w:rFonts w:hint="eastAsia" w:ascii="宋体" w:hAnsi="宋体"/>
          <w:bCs/>
          <w:snapToGrid w:val="0"/>
          <w:color w:val="auto"/>
          <w:kern w:val="0"/>
          <w:sz w:val="24"/>
          <w:szCs w:val="24"/>
          <w:highlight w:val="none"/>
        </w:rPr>
        <w:t>元，工人工资比例为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w:t>
      </w:r>
    </w:p>
    <w:p>
      <w:pPr>
        <w:spacing w:line="440" w:lineRule="exact"/>
        <w:ind w:firstLine="480" w:firstLineChars="200"/>
        <w:rPr>
          <w:rFonts w:ascii="宋体" w:hAnsi="宋体"/>
          <w:bCs/>
          <w:snapToGrid w:val="0"/>
          <w:color w:val="auto"/>
          <w:kern w:val="0"/>
          <w:sz w:val="24"/>
          <w:szCs w:val="24"/>
          <w:highlight w:val="none"/>
        </w:rPr>
      </w:pPr>
      <w:r>
        <w:rPr>
          <w:rFonts w:hint="eastAsia" w:ascii="宋体" w:hAnsi="宋体"/>
          <w:bCs/>
          <w:snapToGrid w:val="0"/>
          <w:color w:val="auto"/>
          <w:kern w:val="0"/>
          <w:sz w:val="24"/>
          <w:szCs w:val="24"/>
          <w:highlight w:val="none"/>
          <w:u w:val="single"/>
        </w:rPr>
        <w:t>工程结算价款以广州开发区财政局审定结算为准</w:t>
      </w:r>
      <w:r>
        <w:rPr>
          <w:rFonts w:hint="eastAsia" w:ascii="宋体" w:hAnsi="宋体"/>
          <w:bCs/>
          <w:snapToGrid w:val="0"/>
          <w:color w:val="auto"/>
          <w:kern w:val="0"/>
          <w:sz w:val="24"/>
          <w:szCs w:val="24"/>
          <w:highlight w:val="none"/>
        </w:rPr>
        <w:t>。如遇审计部门审计发现本合同结算价款存在超付的情形，发包人有权据实要求承包人返还该部分款项。</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六、组成合同的文件</w:t>
      </w:r>
    </w:p>
    <w:p>
      <w:pPr>
        <w:spacing w:line="440" w:lineRule="exact"/>
        <w:ind w:firstLine="444" w:firstLineChars="185"/>
        <w:rPr>
          <w:rFonts w:ascii="宋体" w:hAnsi="宋体"/>
          <w:color w:val="auto"/>
          <w:sz w:val="24"/>
          <w:szCs w:val="24"/>
          <w:highlight w:val="none"/>
        </w:rPr>
      </w:pPr>
      <w:r>
        <w:rPr>
          <w:rFonts w:hint="eastAsia" w:ascii="宋体" w:hAnsi="宋体"/>
          <w:color w:val="auto"/>
          <w:sz w:val="24"/>
          <w:szCs w:val="24"/>
          <w:highlight w:val="none"/>
        </w:rPr>
        <w:t>组成本合同的文件包括：</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1.本合同履行期间发包人与承包人双方签订的补充合同（协议）或修正文件；</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2.本合同协议书</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3.国家、广东省、广州市、广州开发区、</w:t>
      </w:r>
      <w:r>
        <w:rPr>
          <w:rFonts w:hint="eastAsia" w:ascii="宋体" w:hAnsi="宋体"/>
          <w:color w:val="auto"/>
          <w:sz w:val="24"/>
          <w:szCs w:val="24"/>
          <w:highlight w:val="none"/>
        </w:rPr>
        <w:t>黄埔</w:t>
      </w:r>
      <w:r>
        <w:rPr>
          <w:rFonts w:ascii="宋体" w:hAnsi="宋体"/>
          <w:color w:val="auto"/>
          <w:sz w:val="24"/>
          <w:szCs w:val="24"/>
          <w:highlight w:val="none"/>
        </w:rPr>
        <w:t>区关于本工程施工的有关文件（发包人在收到后尽快通报给承包人）；</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建设业主</w:t>
      </w:r>
      <w:r>
        <w:rPr>
          <w:rFonts w:ascii="宋体" w:hAnsi="宋体"/>
          <w:color w:val="auto"/>
          <w:sz w:val="24"/>
          <w:szCs w:val="24"/>
          <w:highlight w:val="none"/>
        </w:rPr>
        <w:t>针对本工程建设管理的各项制度、规定；</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5.中标通知书</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6.本合同专用条款</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7.招标文件及附件（包括补充、修改、澄清文件及答疑纪要等）</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8.本合同通用条款</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9.投标文件及附件</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10.标准、规范和其他有关技术文件</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11.图纸</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12.工程量清单</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13.合同附件（工程质量保修责任书、</w:t>
      </w:r>
      <w:r>
        <w:rPr>
          <w:rFonts w:hint="eastAsia" w:ascii="宋体" w:hAnsi="宋体"/>
          <w:color w:val="auto"/>
          <w:sz w:val="24"/>
          <w:szCs w:val="24"/>
          <w:highlight w:val="none"/>
        </w:rPr>
        <w:t>标函承诺书、项目负责人驻场承诺书、工程建设廉政协议书等）；</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双方有关工程的洽商、变更等书面协议或文件视为本合同的组成部分。</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七、协议书中有关词语含义与本合同第二部分《通用条款》中分别赋予它们的定义相同。</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八、承包人向发包人承诺按照合同约定进行施工、竣工并在质量保修期内承担工程质量保修责任。</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九、</w:t>
      </w:r>
      <w:r>
        <w:rPr>
          <w:rFonts w:hint="eastAsia" w:ascii="宋体" w:hAnsi="宋体" w:eastAsia="宋体" w:cs="Times New Roman"/>
          <w:b/>
          <w:bCs/>
          <w:color w:val="auto"/>
          <w:sz w:val="24"/>
          <w:szCs w:val="24"/>
          <w:highlight w:val="none"/>
        </w:rPr>
        <w:t>发包人向承包人承诺按照合同约定的期限和方式支付合同价款及其他应当支付的款项。为保证工程款专款专用和合理使用，本项目建安工程预付款（扣除工人工资款项，以下简称“工程预付款”）采用共管方式支出，在经由建设业主、发包人、承包人协商一致后选择的银行设立建设业主、承包人、银行三方共管银行账户，专用于本项目工程预付款的收支。发包人按施工合同约定支付的工程预付款应直接支付至该账户并专款专用。具体实施方式按建设业主的《共管工程款使用监管办法》及各方另行签订的《工程资金共管协议》执行。工程预付款中的工人工资部分，仍按施工合同关于工人工资支付及管理的约定执行。</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十、合同生效</w:t>
      </w:r>
    </w:p>
    <w:p>
      <w:pPr>
        <w:snapToGrid w:val="0"/>
        <w:spacing w:line="440" w:lineRule="exact"/>
        <w:ind w:firstLine="482"/>
        <w:rPr>
          <w:rFonts w:ascii="宋体" w:hAnsi="宋体"/>
          <w:color w:val="auto"/>
          <w:sz w:val="24"/>
          <w:szCs w:val="24"/>
          <w:highlight w:val="none"/>
        </w:rPr>
      </w:pPr>
      <w:r>
        <w:rPr>
          <w:rFonts w:hint="eastAsia" w:ascii="宋体" w:hAnsi="宋体"/>
          <w:color w:val="auto"/>
          <w:sz w:val="24"/>
          <w:szCs w:val="24"/>
          <w:highlight w:val="none"/>
        </w:rPr>
        <w:t>合同订立时间：</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合同订立地点：</w:t>
      </w:r>
      <w:r>
        <w:rPr>
          <w:rFonts w:hint="eastAsia" w:ascii="宋体" w:hAnsi="宋体"/>
          <w:color w:val="auto"/>
          <w:sz w:val="24"/>
          <w:szCs w:val="24"/>
          <w:highlight w:val="none"/>
          <w:u w:val="single"/>
        </w:rPr>
        <w:t>广州市黄埔区</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本合同双方约定：</w:t>
      </w:r>
      <w:r>
        <w:rPr>
          <w:rFonts w:hint="eastAsia" w:ascii="宋体" w:hAnsi="宋体"/>
          <w:color w:val="auto"/>
          <w:sz w:val="24"/>
          <w:szCs w:val="24"/>
          <w:highlight w:val="none"/>
          <w:u w:val="single"/>
        </w:rPr>
        <w:t>双方签名、盖章并在承包人提交履约担保</w:t>
      </w:r>
      <w:r>
        <w:rPr>
          <w:rFonts w:hint="eastAsia" w:ascii="宋体" w:hAnsi="宋体"/>
          <w:color w:val="auto"/>
          <w:sz w:val="24"/>
          <w:szCs w:val="24"/>
          <w:highlight w:val="none"/>
        </w:rPr>
        <w:t>后生效。</w:t>
      </w:r>
    </w:p>
    <w:p>
      <w:pPr>
        <w:snapToGrid w:val="0"/>
        <w:spacing w:line="440" w:lineRule="exact"/>
        <w:rPr>
          <w:rFonts w:ascii="宋体" w:hAnsi="宋体"/>
          <w:color w:val="auto"/>
          <w:sz w:val="24"/>
          <w:szCs w:val="24"/>
          <w:highlight w:val="none"/>
        </w:rPr>
      </w:pPr>
      <w:r>
        <w:rPr>
          <w:rFonts w:ascii="宋体" w:hAnsi="宋体"/>
          <w:color w:val="auto"/>
          <w:sz w:val="24"/>
          <w:szCs w:val="24"/>
          <w:highlight w:val="none"/>
        </w:rPr>
        <w:br w:type="page"/>
      </w:r>
    </w:p>
    <w:tbl>
      <w:tblPr>
        <w:tblStyle w:val="49"/>
        <w:tblW w:w="0" w:type="auto"/>
        <w:tblInd w:w="0" w:type="dxa"/>
        <w:tblLayout w:type="fixed"/>
        <w:tblCellMar>
          <w:top w:w="0" w:type="dxa"/>
          <w:left w:w="108" w:type="dxa"/>
          <w:bottom w:w="0" w:type="dxa"/>
          <w:right w:w="108" w:type="dxa"/>
        </w:tblCellMar>
      </w:tblPr>
      <w:tblGrid>
        <w:gridCol w:w="4839"/>
        <w:gridCol w:w="4839"/>
      </w:tblGrid>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发包人：（公章）</w:t>
            </w:r>
          </w:p>
        </w:tc>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承包人：（公章）</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住</w:t>
            </w:r>
            <w:r>
              <w:rPr>
                <w:rFonts w:ascii="宋体" w:hAnsi="宋体"/>
                <w:color w:val="auto"/>
                <w:sz w:val="24"/>
                <w:szCs w:val="24"/>
                <w:highlight w:val="none"/>
              </w:rPr>
              <w:t xml:space="preserve">  </w:t>
            </w:r>
            <w:r>
              <w:rPr>
                <w:rFonts w:hint="eastAsia" w:ascii="宋体" w:hAnsi="宋体"/>
                <w:color w:val="auto"/>
                <w:sz w:val="24"/>
                <w:szCs w:val="24"/>
                <w:highlight w:val="none"/>
              </w:rPr>
              <w:t>所：</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住</w:t>
            </w:r>
            <w:r>
              <w:rPr>
                <w:rFonts w:ascii="宋体" w:hAnsi="宋体"/>
                <w:color w:val="auto"/>
                <w:sz w:val="24"/>
                <w:szCs w:val="24"/>
                <w:highlight w:val="none"/>
              </w:rPr>
              <w:t xml:space="preserve">  </w:t>
            </w:r>
            <w:r>
              <w:rPr>
                <w:rFonts w:hint="eastAsia" w:ascii="宋体" w:hAnsi="宋体"/>
                <w:color w:val="auto"/>
                <w:sz w:val="24"/>
                <w:szCs w:val="24"/>
                <w:highlight w:val="none"/>
              </w:rPr>
              <w:t>所：</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法定代表人：</w:t>
            </w:r>
          </w:p>
        </w:tc>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法定代表人：</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委托代理人：</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委托代理人：</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话：</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话：</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传</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真：</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传</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真：</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开户银行：</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开户银行：</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帐</w:t>
            </w:r>
            <w:r>
              <w:rPr>
                <w:rFonts w:ascii="宋体" w:hAnsi="宋体"/>
                <w:color w:val="auto"/>
                <w:sz w:val="24"/>
                <w:szCs w:val="24"/>
                <w:highlight w:val="none"/>
              </w:rPr>
              <w:t xml:space="preserve">    号：</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帐</w:t>
            </w:r>
            <w:r>
              <w:rPr>
                <w:rFonts w:ascii="宋体" w:hAnsi="宋体"/>
                <w:color w:val="auto"/>
                <w:sz w:val="24"/>
                <w:szCs w:val="24"/>
                <w:highlight w:val="none"/>
              </w:rPr>
              <w:t xml:space="preserve">    号：</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邮政编码：</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邮政编码：</w:t>
            </w:r>
          </w:p>
        </w:tc>
      </w:tr>
    </w:tbl>
    <w:p>
      <w:pPr>
        <w:snapToGrid w:val="0"/>
        <w:spacing w:line="440" w:lineRule="exact"/>
        <w:ind w:firstLine="120" w:firstLineChars="50"/>
        <w:rPr>
          <w:rFonts w:ascii="宋体" w:hAnsi="宋体"/>
          <w:color w:val="auto"/>
          <w:sz w:val="24"/>
          <w:szCs w:val="24"/>
          <w:highlight w:val="none"/>
        </w:rPr>
      </w:pPr>
    </w:p>
    <w:p>
      <w:pPr>
        <w:snapToGrid w:val="0"/>
        <w:spacing w:line="440" w:lineRule="exact"/>
        <w:jc w:val="center"/>
        <w:rPr>
          <w:rFonts w:ascii="宋体" w:hAnsi="宋体"/>
          <w:color w:val="auto"/>
          <w:sz w:val="24"/>
          <w:szCs w:val="24"/>
          <w:highlight w:val="none"/>
        </w:rPr>
      </w:pPr>
      <w:r>
        <w:rPr>
          <w:rFonts w:ascii="宋体" w:hAnsi="宋体"/>
          <w:color w:val="auto"/>
          <w:sz w:val="24"/>
          <w:szCs w:val="24"/>
          <w:highlight w:val="none"/>
        </w:rPr>
        <w:br w:type="page"/>
      </w:r>
      <w:r>
        <w:rPr>
          <w:rFonts w:hint="eastAsia" w:ascii="宋体" w:hAnsi="宋体"/>
          <w:b/>
          <w:bCs/>
          <w:color w:val="auto"/>
          <w:sz w:val="28"/>
          <w:szCs w:val="28"/>
          <w:highlight w:val="none"/>
        </w:rPr>
        <w:t>第二部分</w:t>
      </w:r>
      <w:r>
        <w:rPr>
          <w:rFonts w:ascii="宋体" w:hAnsi="宋体"/>
          <w:b/>
          <w:bCs/>
          <w:color w:val="auto"/>
          <w:sz w:val="28"/>
          <w:szCs w:val="28"/>
          <w:highlight w:val="none"/>
        </w:rPr>
        <w:t xml:space="preserve"> </w:t>
      </w:r>
      <w:r>
        <w:rPr>
          <w:rFonts w:hint="eastAsia" w:ascii="宋体" w:hAnsi="宋体"/>
          <w:b/>
          <w:bCs/>
          <w:color w:val="auto"/>
          <w:sz w:val="28"/>
          <w:szCs w:val="28"/>
          <w:highlight w:val="none"/>
        </w:rPr>
        <w:t>通用条款</w:t>
      </w:r>
    </w:p>
    <w:p>
      <w:pPr>
        <w:spacing w:line="440" w:lineRule="exact"/>
        <w:jc w:val="center"/>
        <w:rPr>
          <w:rFonts w:ascii="宋体" w:hAnsi="宋体"/>
          <w:color w:val="auto"/>
          <w:sz w:val="24"/>
          <w:szCs w:val="24"/>
          <w:highlight w:val="none"/>
        </w:rPr>
      </w:pP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一、词语定义及合同文件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词语定义</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下列词语除专用条款另有约定外，应具有本条所赋予的定义：</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 通用条款：是根据法律、行政法规规定及建设工程施工的需要订立，通用于建设工程施工的条款。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 专用条款：是发包人与承包人根据法律、行政法规规定，结合具体工程实际，经协商达成一致意见的条款，是对通用条款的具体化、补充或修改。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 发包人：指在协议书中约定，具有工程发包主体资格和支付工程价款能力的当事人以及取得该当事人资格的合法继承人。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 承包人：指在协议书中约定，被发包人接受的具有工程施工承包主体资格的当事人以及取得该当事人资格的合法继承人。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 </w:t>
      </w:r>
      <w:r>
        <w:rPr>
          <w:rFonts w:hint="eastAsia" w:ascii="宋体" w:hAnsi="宋体"/>
          <w:color w:val="auto"/>
          <w:szCs w:val="21"/>
          <w:highlight w:val="none"/>
        </w:rPr>
        <w:t>项目负责人：指承包人在专用条款中指定的负责施工管理和合同履行的代表。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 设计单位：指发包人委托的负责本工程设计并取得相应工程设计资质等级证书的单位。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 监理单位：指发包人委托的负责本工程监理并取得相应在工程监理资质等级证书的单位。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1.8 工程师：指本工程监理单位委派的总监理工程师或发包人指定的履行本合同的代表，其具体身份和职权由发包人承包人在专用条款中约定。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 工程造价管理部门：指国务院有关部门、县级以上人民政府建设行政主管部门或其委托的工程造价管理机构。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1.10 工程：指发包人承包人在协议书中约定的承包范围内的工程。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1.11 合同价款：指发包人承包人在协议书中约定，发包人用以支付承包人按照合同约定完成承包范围内全部工程并承担质量保修责任的款项。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1.12 追加合同价款：指在合同履行中发生需要增加合同价款的情况，经发包人确认后按计算合同价款的方法增加的合同价款。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1.13 </w:t>
      </w:r>
      <w:r>
        <w:rPr>
          <w:rFonts w:hint="eastAsia" w:ascii="宋体" w:hAnsi="宋体"/>
          <w:color w:val="auto"/>
          <w:szCs w:val="21"/>
          <w:highlight w:val="none"/>
        </w:rPr>
        <w:t>费用：指不包含在合同价款之内的应当由发包人或承包人承担的经济支出。</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1.14 </w:t>
      </w:r>
      <w:r>
        <w:rPr>
          <w:rFonts w:hint="eastAsia" w:ascii="宋体" w:hAnsi="宋体"/>
          <w:color w:val="auto"/>
          <w:szCs w:val="21"/>
          <w:highlight w:val="none"/>
        </w:rPr>
        <w:t>工期：指发包人承包人在协议书中约定，按总日历天数（包括法定节假日）计算的承包天数。</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1.15 开工日期：指发包人承包人在协议书中约定，承包人开始施工的绝对或相对的日期。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1.16 竣工日期：指发包人承包人在协议书中约定，承包人完成承包范围内工程的绝对或相对的日期。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1.17 图纸：指由发包人提供或承包人提供并经发包人批准，满足承包人施工需要的所有图纸（包括配套说明和有关资料）。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1.18 施工场地：指由发包人提供的用于工程施工的场所以及发包人在图纸中具体指定的供施工使用的任何其他场所。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1.19 书面形式：指合同书、信件和数据电文（包括电报、电传、传真、电子数据交换和电子邮件）等可以有形地表现所载内容的形式。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1.20 违约责任：指合同一方不履行合同义务或履行合同义务不符合约定所应承担的责任。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1.21 索赔：指在合同履行过程中，对于并非自己的过错，而是应由对方承担责任的情况造成的实际损失，向对方提出经济补偿和（或）工期顺延的要求。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1.22 不可抗力：指不能预见、不能避免并不能克服的客观情况。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2、合同文件及解释顺序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 合同文件应能相互解释，互为说明。除专用条款另有约定外，组成本合同的文件及优先解释顺序如下：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1）本合同协议书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2）中标通知书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3）投标书及其附件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4）本合同专用条款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5）本合同通用条款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6）标准、规范及有关技术文件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7）图纸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8）工程量清单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9）工程报价单或预算书</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合同履行中，发包人承包人有关工程的洽商、变更等书面协议或文件视为本合同的组成部分。</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3、语言文字和适用法律、标准及规范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 语言文字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本合同文件使用汉语语言文字书写、解释和说明。如专用条款约定使用两种以上（含两种）语言文字时，汉语应为解释和说明本合同的标准语言文字。</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在少数民族地区，双方可以约定使用少数民族语言文字书写和解释、说明本合同。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 适用法律和法规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本合同文件适用国家的法律和行政法规。需要明示的法律、行政法规，由双方在专用条款中约定。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 适用标准、规范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国内没有相应标准、规范的，由发包人按专用条款约定的时间向承包人</w:t>
      </w:r>
      <w:r>
        <w:rPr>
          <w:rFonts w:hint="eastAsia" w:ascii="宋体" w:hAnsi="宋体"/>
          <w:color w:val="auto"/>
          <w:spacing w:val="4"/>
          <w:szCs w:val="21"/>
          <w:highlight w:val="none"/>
        </w:rPr>
        <w:t>提出施工技术要求，承包人按约定的时间和要求提出施工工艺，经发包人认</w:t>
      </w:r>
      <w:r>
        <w:rPr>
          <w:rFonts w:hint="eastAsia" w:ascii="宋体" w:hAnsi="宋体"/>
          <w:color w:val="auto"/>
          <w:szCs w:val="21"/>
          <w:highlight w:val="none"/>
        </w:rPr>
        <w:t>可后执行。发包人要求使用国外标准、规范的，应负责提供中文译本。</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本条所发生的购买、翻译标准、规范或制定施工工艺的费用，由发包人承担。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4、图纸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 </w:t>
      </w:r>
      <w:r>
        <w:rPr>
          <w:rFonts w:hint="eastAsia" w:ascii="宋体" w:hAnsi="宋体"/>
          <w:color w:val="auto"/>
          <w:szCs w:val="21"/>
          <w:highlight w:val="none"/>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 承包人未经发包人同意，不得将本工程图纸转给第三人。工程质量保修期满后，除承包人存档需要的图纸外，应将全部图纸退还给发包人。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 承包人应在施工现场保留一套完整图纸，供工程师及有关人员进行工程检查时使用。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二、双方一般权利和义务</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5、工程师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5.1实行工程监理的，发包人应在实施监理前将委托的监理单位名称、监理内容及监理权限以书面形式通知承包人。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5.4 </w:t>
      </w:r>
      <w:r>
        <w:rPr>
          <w:rFonts w:hint="eastAsia" w:ascii="宋体" w:hAnsi="宋体"/>
          <w:color w:val="auto"/>
          <w:szCs w:val="21"/>
          <w:highlight w:val="none"/>
        </w:rPr>
        <w:t>合同履行中，发生影响发包人承包人双方权利或义务的事件时，负责监理的工程师应依据合同在其职权范围内客观公正地进行处理。一方对工程师的处理有异议时，按本通用条款</w:t>
      </w:r>
      <w:r>
        <w:rPr>
          <w:rFonts w:ascii="宋体" w:hAnsi="宋体"/>
          <w:color w:val="auto"/>
          <w:szCs w:val="21"/>
          <w:highlight w:val="none"/>
        </w:rPr>
        <w:t xml:space="preserve">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5.5 </w:t>
      </w:r>
      <w:r>
        <w:rPr>
          <w:rFonts w:hint="eastAsia" w:ascii="宋体" w:hAnsi="宋体"/>
          <w:color w:val="auto"/>
          <w:szCs w:val="21"/>
          <w:highlight w:val="none"/>
        </w:rPr>
        <w:t>除合同内有明确约定或经发包人同意外，负责监理的工程师无权解除本合同约定的承包人的任何权利与义务。</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5.6 不实行工程监理的，本合同中工程师专指发包人派驻施工现场履行合同的代表，其具体职权由发包人在专用条款中写明。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6、工程师的委派和指令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除工程师或工程师代表外，发包人派驻工地的其他人员均无权向承包人发出任何指令。</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6.2 </w:t>
      </w:r>
      <w:r>
        <w:rPr>
          <w:rFonts w:hint="eastAsia" w:ascii="宋体" w:hAnsi="宋体"/>
          <w:color w:val="auto"/>
          <w:szCs w:val="21"/>
          <w:highlight w:val="none"/>
        </w:rPr>
        <w:t>工程师的指令、通知由其本人签字后，以书面形式交给项目负责人，项目负责人在回执上签署姓名和收到时间后生效。确有必要时，工程师可发出口头指令，并在</w:t>
      </w:r>
      <w:r>
        <w:rPr>
          <w:rFonts w:ascii="宋体" w:hAnsi="宋体"/>
          <w:color w:val="auto"/>
          <w:szCs w:val="21"/>
          <w:highlight w:val="none"/>
        </w:rPr>
        <w:t xml:space="preserve">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承包人认为工程师指令不合理，应在收到指令后</w:t>
      </w:r>
      <w:r>
        <w:rPr>
          <w:rFonts w:ascii="宋体" w:hAnsi="宋体"/>
          <w:color w:val="auto"/>
          <w:szCs w:val="21"/>
          <w:highlight w:val="none"/>
        </w:rPr>
        <w:t>24小时内向工程师提出修改指令的书面报告，工程师在收到承包人报告后24小时内</w:t>
      </w:r>
      <w:r>
        <w:rPr>
          <w:rFonts w:hint="eastAsia" w:ascii="宋体" w:hAnsi="宋体"/>
          <w:color w:val="auto"/>
          <w:szCs w:val="21"/>
          <w:highlight w:val="none"/>
        </w:rPr>
        <w:t>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本款规定同样适用于由工程师代表发出的指令、通知。</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6.3 </w:t>
      </w:r>
      <w:r>
        <w:rPr>
          <w:rFonts w:hint="eastAsia" w:ascii="宋体" w:hAnsi="宋体"/>
          <w:color w:val="auto"/>
          <w:szCs w:val="21"/>
          <w:highlight w:val="none"/>
        </w:rPr>
        <w:t>工程师应按合同约定，及时向承包人提供所需指令、批准并履行约定的</w:t>
      </w:r>
      <w:r>
        <w:rPr>
          <w:rFonts w:hint="eastAsia" w:ascii="宋体" w:hAnsi="宋体"/>
          <w:color w:val="auto"/>
          <w:spacing w:val="4"/>
          <w:szCs w:val="21"/>
          <w:highlight w:val="none"/>
        </w:rPr>
        <w:t>其他义务。由于工程师未能按合同约定履行义务造成工期延误，发包人应承</w:t>
      </w:r>
      <w:r>
        <w:rPr>
          <w:rFonts w:hint="eastAsia" w:ascii="宋体" w:hAnsi="宋体"/>
          <w:color w:val="auto"/>
          <w:szCs w:val="21"/>
          <w:highlight w:val="none"/>
        </w:rPr>
        <w:t>担延误造成的追加合同价款，并赔偿承包人有关损失，顺延延误的工期。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6.4 如需更换工程师，发包人应至少提前7天以书面形式通知承包人，后任继续行使合同文件约定的前任的职权，履行前任的义务。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项目负责人</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7.1 </w:t>
      </w:r>
      <w:r>
        <w:rPr>
          <w:rFonts w:hint="eastAsia" w:ascii="宋体" w:hAnsi="宋体"/>
          <w:color w:val="auto"/>
          <w:szCs w:val="21"/>
          <w:highlight w:val="none"/>
        </w:rPr>
        <w:t>项目负责人的姓名、职务在专用条款内写明。</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7.2 </w:t>
      </w:r>
      <w:r>
        <w:rPr>
          <w:rFonts w:hint="eastAsia" w:ascii="宋体" w:hAnsi="宋体"/>
          <w:color w:val="auto"/>
          <w:szCs w:val="21"/>
          <w:highlight w:val="none"/>
        </w:rPr>
        <w:t>承包人依据合同发出的通知，以书面形式由项目负责人签字后送交工程师，工程师在回执上签署姓名和收到时间后生效。</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7.3 </w:t>
      </w:r>
      <w:r>
        <w:rPr>
          <w:rFonts w:hint="eastAsia" w:ascii="宋体" w:hAnsi="宋体"/>
          <w:color w:val="auto"/>
          <w:szCs w:val="21"/>
          <w:highlight w:val="none"/>
        </w:rPr>
        <w:t>项目负责人按发包人认可的施工组织设计（施工方案）和工程师依据合同发出的指令组织施工。在情况紧急且无法与工程师联系时，项目负责人应当采取保证人员生命和工程、财产安全的紧急措施，并在采取措施后</w:t>
      </w:r>
      <w:r>
        <w:rPr>
          <w:rFonts w:ascii="宋体" w:hAnsi="宋体"/>
          <w:color w:val="auto"/>
          <w:szCs w:val="21"/>
          <w:highlight w:val="none"/>
        </w:rPr>
        <w:t xml:space="preserve">48小时内向工程师送交报告。责任在发包人或第三人，由发包人承担由此发生的追加合同价款，相应顺延工期；责任在承包人，由承包人承担费用，不顺延工期。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7.4 </w:t>
      </w:r>
      <w:r>
        <w:rPr>
          <w:rFonts w:hint="eastAsia" w:ascii="宋体" w:hAnsi="宋体"/>
          <w:color w:val="auto"/>
          <w:szCs w:val="21"/>
          <w:highlight w:val="none"/>
        </w:rPr>
        <w:t>承包人如需更换项目负责人，应至少提前</w:t>
      </w:r>
      <w:r>
        <w:rPr>
          <w:rFonts w:ascii="宋体" w:hAnsi="宋体"/>
          <w:color w:val="auto"/>
          <w:szCs w:val="21"/>
          <w:highlight w:val="none"/>
        </w:rPr>
        <w:t xml:space="preserve">7天以书面形式通知发包人，并征得发包人同意。后任继续行使合同文件约定的前任的职权，履行前任的义务。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7.5 </w:t>
      </w:r>
      <w:r>
        <w:rPr>
          <w:rFonts w:hint="eastAsia" w:ascii="宋体" w:hAnsi="宋体"/>
          <w:color w:val="auto"/>
          <w:szCs w:val="21"/>
          <w:highlight w:val="none"/>
        </w:rPr>
        <w:t>发包人可以与承包人协商，建议更换其认为不称职的项目负责人。</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8、发包人工作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8.1 发包人按专用条款约定的内容和时间完成以下工作: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办理土地征用、拆迁补偿、平整施工场地等工作，使施工场地具备施工条件，在开工后继续负责解决以上事项遗留问题；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将施工所需水、电、电讯线路从施工场地外部接至专用条款约定地点，保证施工期间的需要；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开通施工场地与城乡公共道路的通道，以及专用条款约定的施工场地内的主要道路，满足施工运输的需要，保证施工期间的畅通。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向承包人提供施工场地的工程地质和地下管线资料，对资料的真实准确性负责；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办理施工许可证及其他施工所需证件、批件和临时用地、停水、停电、中断道路交通、爆破作业等的申请批准文件（证明承包人自身资质的证件除外）；</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w:t>
      </w:r>
      <w:r>
        <w:rPr>
          <w:rFonts w:hint="eastAsia" w:ascii="宋体" w:hAnsi="宋体"/>
          <w:color w:val="auto"/>
          <w:szCs w:val="21"/>
          <w:highlight w:val="none"/>
        </w:rPr>
        <w:t>确定水准点与坐标控制点，以书面形式交给承包人，进行现场交验；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 </w:t>
      </w:r>
      <w:r>
        <w:rPr>
          <w:rFonts w:hint="eastAsia" w:ascii="宋体" w:hAnsi="宋体"/>
          <w:color w:val="auto"/>
          <w:szCs w:val="21"/>
          <w:highlight w:val="none"/>
        </w:rPr>
        <w:t>组织承包人和设计单位进行图纸会审和设计交底；</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 协调管理施工场地周围地下管线和邻近建筑物、构筑物（包括文物保护建筑）、古树名木的保护工作，承担有关费用；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 发包人应做的其他工作，双方在专用条款内约定。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8.2 发包人未履行8.1款各项义务，导致工期延误或给承包人造成损失的，发包人赔偿承包人有关损失，顺延延误的工期。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9、承包人工作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9.1 承包人按专用条款约定的内容和时间完成以下工作：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根据发包人委托，在其设计资质等级和业务允许的范围内，完成施工图设计或与工程配套的设计，经工程师确认后使用，发包人承担由此发生的费用；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向工程师提供年、季、月度工程进度计划及相应进度统计报表；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根据工程需要，提供和维修非夜间施工使用的照明、围栏设施，并负责安全保卫；</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按专用条款约定的数量和要求，向发包人提供施工场地办公和生活的房屋及设施，发包人承担由此发生的费用；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遵守政府有关主管部门对施工场地交通、施工噪音以及环境保护和安全生产等的管理规定，按规定办理有关手续，并以书面形式通知发包人，发包人承担由此发生的费用，因承包人责任造成的罚款除外；</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按专用条款约定做好施工场地地下管线和邻近建筑物、构筑物（包括文物保护建筑）、古树名木的保护工作；</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保证施工场地清洁符合环境卫生管理的有关规定，交工前清理现场达到专用条款约定的要求，承担因自身原因违反有关规定造成的损失和罚款；</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(9)</w:t>
      </w:r>
      <w:r>
        <w:rPr>
          <w:rFonts w:hint="eastAsia" w:ascii="宋体" w:hAnsi="宋体"/>
          <w:color w:val="auto"/>
          <w:spacing w:val="-6"/>
          <w:szCs w:val="21"/>
          <w:highlight w:val="none"/>
        </w:rPr>
        <w:t>办理施工许可证及施工所需证件、批件和临时用地、停水、停电、中断</w:t>
      </w:r>
      <w:r>
        <w:rPr>
          <w:rFonts w:hint="eastAsia" w:ascii="宋体" w:hAnsi="宋体"/>
          <w:color w:val="auto"/>
          <w:szCs w:val="21"/>
          <w:highlight w:val="none"/>
        </w:rPr>
        <w:t>道路交通、爆破作业等的申请批准手续（证明承包人自身资质的证件除外）；</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(10)承包人应做的其他工作，双方在专用条款内约定。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9.2承包人未能履行9.1款各项义务，造成发包人损失的，承包人赔偿发包人有关损失。</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三、施工组织设计和工期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10、进度计划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10.2群体工程中单位工程分期进行施工的，承包人应按照发包人提供图纸及有关资料的时间，按单位工程编制进度计划，其具体内容双方在专用条款中约定。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11、开工及延期开工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11.2因发包人原因不能按照协议书约定的开工日期开工，工程师应以书面形式通知承</w:t>
      </w:r>
      <w:r>
        <w:rPr>
          <w:rFonts w:hint="eastAsia" w:ascii="宋体" w:hAnsi="宋体"/>
          <w:color w:val="auto"/>
          <w:szCs w:val="21"/>
          <w:highlight w:val="none"/>
        </w:rPr>
        <w:t>包人，推迟开工日期。发包人赔偿承包人因延期开工造成的损失，并相应顺延工期。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12、暂停施工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工程师认为确有必要暂停施工时，应当以书面形式要求承包人暂停施工，并在提出要求后</w:t>
      </w:r>
      <w:r>
        <w:rPr>
          <w:rFonts w:ascii="宋体" w:hAnsi="宋体"/>
          <w:color w:val="auto"/>
          <w:szCs w:val="21"/>
          <w:highlight w:val="none"/>
        </w:rPr>
        <w:t xml:space="preserve">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13、工期延误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13.1因以下原因造成工期延误，经工程师确认工期相应顺延；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发包人未能按专用条款的约定提供图纸及开工条件；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发包人未能按约定日期支付工程预付款、进度款，致使施工不能正常进行；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工程师未按合同约定提供所需指令、批准等，致使施工不能正常进行；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设计变更和工程量增加；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一周内非承包人原因停水、停电、停气造成停工累计超过</w:t>
      </w:r>
      <w:r>
        <w:rPr>
          <w:rFonts w:ascii="宋体" w:hAnsi="宋体"/>
          <w:color w:val="auto"/>
          <w:szCs w:val="21"/>
          <w:highlight w:val="none"/>
        </w:rPr>
        <w:t>8小时；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w:t>
      </w:r>
      <w:r>
        <w:rPr>
          <w:rFonts w:hint="eastAsia" w:ascii="宋体" w:hAnsi="宋体"/>
          <w:color w:val="auto"/>
          <w:szCs w:val="21"/>
          <w:highlight w:val="none"/>
        </w:rPr>
        <w:t>不可抗力；</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 </w:t>
      </w:r>
      <w:r>
        <w:rPr>
          <w:rFonts w:hint="eastAsia" w:ascii="宋体" w:hAnsi="宋体"/>
          <w:color w:val="auto"/>
          <w:szCs w:val="21"/>
          <w:highlight w:val="none"/>
        </w:rPr>
        <w:t>专用条款中约定或工程师同意工期顺延的其他情况。</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13.2承包人在13.1款情况发生后14天内，就延误的工期以书面形式向工程师提出报告。工程师在收到报告后14天内予以确认，逾期不予确认也不提出修改意见，视为同意顺延工期。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14、工程竣工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14.1 承包人必须按照协议书约定的竣工日期或工程师同意顺延的工期竣工。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14.2 因承包人原因不能按照协议书约定的竣工日期或工程师同意顺延的工期竣工的，承包人承担违约责任。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四、质量与检验</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15、工程质量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ascii="宋体" w:hAnsi="宋体"/>
          <w:color w:val="auto"/>
          <w:spacing w:val="6"/>
          <w:szCs w:val="21"/>
          <w:highlight w:val="none"/>
        </w:rPr>
        <w:t xml:space="preserve">5.1 </w:t>
      </w:r>
      <w:r>
        <w:rPr>
          <w:rFonts w:hint="eastAsia" w:ascii="宋体" w:hAnsi="宋体"/>
          <w:color w:val="auto"/>
          <w:spacing w:val="6"/>
          <w:szCs w:val="21"/>
          <w:highlight w:val="none"/>
        </w:rPr>
        <w:t>工程质量应当达到协议书约定的质量标准，质量标准的评定以国家或</w:t>
      </w:r>
      <w:r>
        <w:rPr>
          <w:rFonts w:hint="eastAsia" w:ascii="宋体" w:hAnsi="宋体"/>
          <w:color w:val="auto"/>
          <w:szCs w:val="21"/>
          <w:highlight w:val="none"/>
        </w:rPr>
        <w:t>行业的质量检验评定标准为依据。因承包人原因工程质量达不到约定的质量标准，承包人承担违约责任。</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15.2 双方对工程质量有争议，由双方同意的工程质量检测机构鉴定，所需费用及因此造成的损失，由责任方承担。双方均有责任，由双方根据其责任分别承担。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16、检查和返工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16.1 承包人应认真按照标准、规范和设计图纸要求以及工程师依据合同发出的指令施工，随时接受工程师的检查检验，为检查检验提供便利条件。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16.4 因工程师指令失误或其他非承包人原因发生的追加合同价款，由发包人承担。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17、隐蔽工程和中间验收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17.1 </w:t>
      </w:r>
      <w:r>
        <w:rPr>
          <w:rFonts w:hint="eastAsia" w:ascii="宋体" w:hAnsi="宋体"/>
          <w:color w:val="auto"/>
          <w:szCs w:val="21"/>
          <w:highlight w:val="none"/>
        </w:rPr>
        <w:t>工程具备隐蔽条件或达到专用条款约定的中间验收部位，承包人进行自检，并在隐蔽或中间验收前</w:t>
      </w:r>
      <w:r>
        <w:rPr>
          <w:rFonts w:ascii="宋体" w:hAnsi="宋体"/>
          <w:color w:val="auto"/>
          <w:szCs w:val="21"/>
          <w:highlight w:val="none"/>
        </w:rPr>
        <w:t>48小时以书面形式通知工程师验收。通知包括隐蔽和中间验收的内容、验收时间和地点。承包人准备验收记录，验收合格，</w:t>
      </w:r>
      <w:r>
        <w:rPr>
          <w:rFonts w:hint="eastAsia" w:ascii="宋体" w:hAnsi="宋体"/>
          <w:color w:val="auto"/>
          <w:spacing w:val="4"/>
          <w:szCs w:val="21"/>
          <w:highlight w:val="none"/>
        </w:rPr>
        <w:t>工程师在验收记录上签字后，承包人可进行隐蔽和继续施工。验收不合格</w:t>
      </w:r>
      <w:r>
        <w:rPr>
          <w:rFonts w:hint="eastAsia" w:ascii="宋体" w:hAnsi="宋体"/>
          <w:color w:val="auto"/>
          <w:szCs w:val="21"/>
          <w:highlight w:val="none"/>
        </w:rPr>
        <w:t>，承包人在工程师限定的时间内修改后重新验收。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17.3 </w:t>
      </w:r>
      <w:r>
        <w:rPr>
          <w:rFonts w:hint="eastAsia" w:ascii="宋体" w:hAnsi="宋体"/>
          <w:color w:val="auto"/>
          <w:szCs w:val="21"/>
          <w:highlight w:val="none"/>
        </w:rPr>
        <w:t>经工程师验收，工程质量符合标准、规范和设计图纸等要求，验收</w:t>
      </w:r>
      <w:r>
        <w:rPr>
          <w:rFonts w:ascii="宋体" w:hAnsi="宋体"/>
          <w:color w:val="auto"/>
          <w:szCs w:val="21"/>
          <w:highlight w:val="none"/>
        </w:rPr>
        <w:t>24</w:t>
      </w:r>
      <w:r>
        <w:rPr>
          <w:rFonts w:hint="eastAsia" w:ascii="宋体" w:hAnsi="宋体"/>
          <w:color w:val="auto"/>
          <w:spacing w:val="4"/>
          <w:szCs w:val="21"/>
          <w:highlight w:val="none"/>
        </w:rPr>
        <w:t>小时后，工程师不在验收记录上签字，视为工程师已经认可验收记录，承包</w:t>
      </w:r>
      <w:r>
        <w:rPr>
          <w:rFonts w:hint="eastAsia" w:ascii="宋体" w:hAnsi="宋体"/>
          <w:color w:val="auto"/>
          <w:szCs w:val="21"/>
          <w:highlight w:val="none"/>
        </w:rPr>
        <w:t>人可进行隐蔽或继续施工。</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18、重新检验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19、工程试车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19.1 双方约定需要试车的，试车内容应与承包人承包的安装范围相一致。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19.3 工程师不能按时参加试车，须在开始试车前24小时以书面形式向承包人提出延期要求，延期不能超过48小时。工程师未能按以上时间提出延期要求，不参加试车，应承认试车记录。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19.5双方责任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由于设计原因试车达不到验收要求，发包人应要求设计单位修改设计，承包人按修改后的设计重新安装。发包人承担修改设计、拆除及重新安装的全部费用和追加合同价款，工期相应顺延。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由于承包人施工原因试车达不到验收要求，承包人按工程师要求重新安装和试车，并承担重新安装和试车的费用，工期不予顺延。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w:t>
      </w:r>
      <w:r>
        <w:rPr>
          <w:rFonts w:hint="eastAsia" w:ascii="宋体" w:hAnsi="宋体"/>
          <w:color w:val="auto"/>
          <w:szCs w:val="21"/>
          <w:highlight w:val="none"/>
        </w:rPr>
        <w:t>试车费用除已包括在合同价款之内或专用条款另有约定外，均由发包人承担。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工程师在试车合格后不在试车记录上签字，试车结束24小时后，视为工程师已经认可试车记录，承包人可继续施工或办理竣工手续。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19.6 投料试车应在工程竣工验收后由发包人负责，如发包人要求在工程竣工验收前进行或需要承包人配合时，应征得承包人同意，另行签订补充协议。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五、安全施工</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20、安全施工与检查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21、安全防护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21.2实施爆破作业，在放射、毒害性环境中施工（含储存、运输、使用）及使用毒害性、腐蚀性物品施工时，承包人应在施工前14天以书面形式通知工</w:t>
      </w:r>
      <w:r>
        <w:rPr>
          <w:rFonts w:hint="eastAsia" w:ascii="宋体" w:hAnsi="宋体"/>
          <w:color w:val="auto"/>
          <w:spacing w:val="2"/>
          <w:szCs w:val="21"/>
          <w:highlight w:val="none"/>
        </w:rPr>
        <w:t>程师，并提出相应的安全防护措施，经工程师认可后实施</w:t>
      </w:r>
      <w:r>
        <w:rPr>
          <w:rFonts w:ascii="宋体" w:hAnsi="宋体"/>
          <w:color w:val="auto"/>
          <w:spacing w:val="2"/>
          <w:szCs w:val="21"/>
          <w:highlight w:val="none"/>
        </w:rPr>
        <w:t>,由发包人承担安全</w:t>
      </w:r>
      <w:r>
        <w:rPr>
          <w:rFonts w:hint="eastAsia" w:ascii="宋体" w:hAnsi="宋体"/>
          <w:color w:val="auto"/>
          <w:szCs w:val="21"/>
          <w:highlight w:val="none"/>
        </w:rPr>
        <w:t>防护措施费用。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22、事故处理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22.1发生重大伤亡及其他安全事故，承包人应按有关规定立即上报有关部门并通知工程师，同时按政府有关部门要求处理，由事故责任方承担发生的费用。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22.2发包人承包人对事故责任有争议时，应按政府有关部门的认定处理。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六、合同价款与支付</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23、合同价款及调整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23.1招标工程的合同价款由发包人承包人依据中标通知书中的中标价格在协议书内约定。非招标工程的合同价款由发包人承包人依据工程预算书在协议书内约定。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23.2合同价款在协议书内约定后，任何一方不得擅自改变。下列三种确定合同价款的方式，双方可在专用条款内约定采用其中一种：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可调价格合同。合同价款可根据双方的约定而调整，双方在专用条款内约定合同价款调整方法。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成本加酬金合同。合同价款包括成本和酬金两部分，双方在专用条款内约定成本构成和酬金的计算方法。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23.3可调价格合同中合同价款的调整因素包括：</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法律、行政法规和国家有关政策变化影响合同价款；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工程造价管理部门公布的价格调整；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一周内非承包人原因停水、停电、停气造成的停工累计超过8小时；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双方约定的其他因素。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24、工程预付款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实行工程预付款的，双方应当在专用条款内约定发包人向承包人预付工程款的时间和数额，开工后按约定的时间和比例逐次扣回。预付时间应不迟于约定的开工日期前</w:t>
      </w:r>
      <w:r>
        <w:rPr>
          <w:rFonts w:ascii="宋体" w:hAnsi="宋体"/>
          <w:color w:val="auto"/>
          <w:szCs w:val="21"/>
          <w:highlight w:val="none"/>
        </w:rPr>
        <w:t xml:space="preserve">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25、工程量的确认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25.3对承包人超出设计图纸范围和因承包人原因造成返工的工程量，工程师不予计量。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26、工程款（进度款）支付。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26.1 在确认计量结果后14天内，发包人应向承包人支付工程款（进度款）。按约定时间发包人应扣回的预付款，与工程款（进度款）同期结算。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26.2 本通用条款第23条确定调整的合同价款，第31条工程变更调整的合同价款及其他条款中约定的追加合同价款，应与工程款（进度款）同期调整支付。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26.4 发包人不按合同约定支付工程款（进度款），双方又未达成延期付款协议，导致施工无法进行，承包人可停止施工，由发包人承担违约责任。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七、材料设备供应</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27、发包人供应材料设备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27.1 实行发包人供应材料设备的，双方应当约定发包人供应材料设备的一览表，作为本合同附件（附件2）。一览表包括发包人供应材料设备的品种、规格、型号、数量、单价、质量等级、提供时间和地点。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27.2 发包人按一览表约定的内容提供材料设备，并向承包人提供产品合格证明，对其质量负责。发包人在所供材料设备到货前24小时，以书面形式通知承包人，由承包人派人与发包人共同清点。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27.3 发包人供应的材料设备，承包人派人参加清点后由承包人妥善保管，发包人支付相应保管费用。因承包人原因发生丢失损坏，由承包人负责赔偿。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发包人未通知承包人清点，承包人不负责材料设备的保管，丢失损坏由发包人负责。</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27.4发包人供应的材料设备与一览表不符时，发包人承担有关责任。发包人应承担责任的具体内容，双方根据下列情况在专用条款内约定。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材料设备单价与一览表不符，由发包人承担所有价差；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材料设备的品种、规格、型号、质量等级与一览表不符，承包人可拒绝接收保管，由发包人运出施工场地并重新采购；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发包人供应的材料规格、型号与一览表不符，经发包人同意，承包人可代为调剂串换，由发包人承担相应费用；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到货地点与一览表不符，由发包人负责运至一览表指定地点：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供应数量少于一览表约定的数量时，由发包人补齐，多于一览表约定数量时，发包人负责将多出部分运出施工场地；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到货时间早于一览表约定时间，由发包人承担因此发生的保管费用；到货时间迟于一览表约定的供应时间，发包人赔偿由此造成的承包人损失，造成工期延误的，相应顺延工期。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27.5发包人供应的材料设备使用前，由承包人负责检验或试验，不合格的不得使用，检验或试验费用由发包人承担。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27.6发包人供应材料设备的结算方法，双方在专用条款内约定。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28、承包人采购材料设备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28.1 </w:t>
      </w:r>
      <w:r>
        <w:rPr>
          <w:rFonts w:hint="eastAsia" w:ascii="宋体" w:hAnsi="宋体"/>
          <w:color w:val="auto"/>
          <w:szCs w:val="21"/>
          <w:highlight w:val="none"/>
        </w:rPr>
        <w:t>承包人负责采购材料设备的，应按照专用条款约定及设计和有关标准要求采购，并提供产品合格证明，对材料设备质量负责。承包人在材料设备到货前</w:t>
      </w:r>
      <w:r>
        <w:rPr>
          <w:rFonts w:ascii="宋体" w:hAnsi="宋体"/>
          <w:color w:val="auto"/>
          <w:szCs w:val="21"/>
          <w:highlight w:val="none"/>
        </w:rPr>
        <w:t>24小时通知工程师清点。</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28.2</w:t>
      </w:r>
      <w:r>
        <w:rPr>
          <w:rFonts w:ascii="宋体" w:hAnsi="宋体"/>
          <w:color w:val="auto"/>
          <w:spacing w:val="8"/>
          <w:szCs w:val="21"/>
          <w:highlight w:val="none"/>
        </w:rPr>
        <w:t xml:space="preserve"> 承包人采购的材料设备与设计或标准要求不符时，承包人应按工程师要</w:t>
      </w:r>
      <w:r>
        <w:rPr>
          <w:rFonts w:hint="eastAsia" w:ascii="宋体" w:hAnsi="宋体"/>
          <w:color w:val="auto"/>
          <w:szCs w:val="21"/>
          <w:highlight w:val="none"/>
        </w:rPr>
        <w:t>求的时间运出施工场地，重新采购符合要求的产品，承担由此发生的费用，由此延误的工期不予顺延。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28.3 承包人采购的材料设备在使用前，承包人应按工程师的要求进行检验或试验，不合格的不得使用，检验或试验费用由承包人承担。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28.4 工程师发现承包人采购并使用不符合设计或标准要求的材料设备时，应要求由承包人负责修复、拆除或重新采购，并承担发生的费用，由此延误的工期不予顺延。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28.5 承包人需要使用代用材料时，应经工程师认可后才能使用，由此增减的合同价款双方以书面形式议定。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28.6 由承包人采购的材料设备，发包人不得指定生产厂或供应商。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八、工程变更</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29、工程设计变更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更改工程有关部分的标高、基线、位置和尺寸；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增减合同中约定的工程量；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改变有关工程的施工时间和顺序；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其他有关工程变更需要的附加工作。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因变更导致合同价款的增减及造成的承包人损失，由发包人承担，延误的工期相应顺延。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29.2施工中承包人不得对原工程设计进行变更。因承包人擅自变更设计发生的费用和由此导致发包人的直接损失，由承包人承担，延误的工期不予顺延。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工程师同意采用承包人合理化建议，所发生的费用和获得的收益，发包人承包人另行约定分担或分享。</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30、其他变更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合同履行中发包人要求变更工程质量标准及发生其他实质性变更，由双方协商解决。</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31、确定变更价款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31.1承包人在工程变更确定后14天内，提出变更工程价款的报告，经工程师确认后调整合同价款。变更合同价款按下列方法进行：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合同中已有适用于变更工程的价格，按合同已有的价格变更合同价款；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合同中只有类似于变更工程的价格，可以参照类似价格变更合同价款；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合同中没有适用或类似于变更工程的价格，由承包人提出适当的变更价格，经工程师确认后执行。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31.2承包人在双方确定变更后14天内不向工程师提出变更工程价款报告时，视为该项变更不涉及合同价款的变更。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31.3工程师应在收到变更工程价款报告之日起14天内予以确认，工程师无正当理由不确认时，自变更工程价款报告送达之日起14天后视为变更工程价款报告已被确认。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31.4工程师不同意承包人提出的变更价款，按本通用条款第37条关于争议的约定处理。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31.5工程师确认增加的工程变更价款作为追加合同价款，与工程款同期支付。</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31.6因承包人自身原因导致的工程变更，承包人无权要求追加合同价款。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九、竣工验收与结算</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32、竣工验收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32.1 </w:t>
      </w:r>
      <w:r>
        <w:rPr>
          <w:rFonts w:hint="eastAsia" w:ascii="宋体" w:hAnsi="宋体"/>
          <w:color w:val="auto"/>
          <w:szCs w:val="21"/>
          <w:highlight w:val="none"/>
        </w:rPr>
        <w:t>工程具备竣工验收条件，承包人按国家工程竣工验收有关规定，向发包人提供完整竣工资料及竣工验收报告。双方约定由承包人提供竣工图的，应当在专用条款内约定提供的日期和份数。</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32.2 </w:t>
      </w:r>
      <w:r>
        <w:rPr>
          <w:rFonts w:hint="eastAsia" w:ascii="宋体" w:hAnsi="宋体"/>
          <w:color w:val="auto"/>
          <w:szCs w:val="21"/>
          <w:highlight w:val="none"/>
        </w:rPr>
        <w:t>发包人收到竣工验收报告后</w:t>
      </w:r>
      <w:r>
        <w:rPr>
          <w:rFonts w:ascii="宋体" w:hAnsi="宋体"/>
          <w:color w:val="auto"/>
          <w:szCs w:val="21"/>
          <w:highlight w:val="none"/>
        </w:rPr>
        <w:t>28天内组织有关单位验收，并在验收后14天内给予认可或提出修改意见。承包人按要求修改，并承担由自身原因造成修改的费用。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32.3 发包人收到承包人送交的竣工验收报告后28天内不组织验收，或验收后14天内不提出修改意见，视为竣工验收报告已被认可。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32.4 工程竣工验收通过，承包人送交竣工验收报告的日期为实际竣工日期。工程按发包人要求修改后通过竣工验收的，实际竣工日期为承包人修改后提请发包人验收的日期。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32.5 发包人收到承包人竣工验收报告后28天内不组织验收，从第29天起承担工程保管及一切意外责任。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32.6 中间交工工程的范围和竣工时间，双方在专用条款内约定，其验收程序按本通用条款32.1款至32.4款办理。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32.7 因特殊原因，发包人要求部分单位工程或工程部位甩项竣工的，双方另行签订甩项竣工协议，明确双方责任和工程价款支付方法。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32.8 工程未经竣工验收或竣工验收未通过的，发包人不得使用。发包人强行使用时，由此发生的质量问题及其他问题，由发包人承担责任。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33、竣工结算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33.3 </w:t>
      </w:r>
      <w:r>
        <w:rPr>
          <w:rFonts w:hint="eastAsia" w:ascii="宋体" w:hAnsi="宋体"/>
          <w:color w:val="auto"/>
          <w:szCs w:val="21"/>
          <w:highlight w:val="none"/>
        </w:rPr>
        <w:t>发包人收到竣工结算报告及结算资料后</w:t>
      </w:r>
      <w:r>
        <w:rPr>
          <w:rFonts w:ascii="宋体" w:hAnsi="宋体"/>
          <w:color w:val="auto"/>
          <w:szCs w:val="21"/>
          <w:highlight w:val="none"/>
        </w:rPr>
        <w:t>28天内无正当理由不支付工程竣工结算价款，从第29天起按承包人同期向银行贷款利率支付拖欠工程价款的利息，并承担违约责任。</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33.4 </w:t>
      </w:r>
      <w:r>
        <w:rPr>
          <w:rFonts w:hint="eastAsia" w:ascii="宋体" w:hAnsi="宋体"/>
          <w:color w:val="auto"/>
          <w:szCs w:val="21"/>
          <w:highlight w:val="none"/>
        </w:rPr>
        <w:t>发包人收到竣工结算报告及结算资料后</w:t>
      </w:r>
      <w:r>
        <w:rPr>
          <w:rFonts w:ascii="宋体" w:hAnsi="宋体"/>
          <w:color w:val="auto"/>
          <w:szCs w:val="21"/>
          <w:highlight w:val="none"/>
        </w:rPr>
        <w:t>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33.6 发包人承包人对工程竣工结算价款发生争议时，按本通用条款37条关于争议的约定处理。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34、质量保修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34.1 承包人应按法律、行政法规或国家关于工程质量保修的有关规定，对交付发包人使用的工程在质量保修期内承担质量保修责任。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34.2 质量保修工作的实施。承包人应在工程竣工验收之前，与发包人签订质量保修书，作为本合同附件（附件3）。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34.3 质量保修书的主要内容包括：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质量保修项目内容及范围；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质量保修期；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质量保修责任；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质量保修金的支付方法。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十、违约、索赔和争议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35、违约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35.1发包人违约。当发生下列情况时：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本通用条款第24条提到的发包人不按时支付工程预付款；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本通用条款第26.4款提到的发包人不按合同约定支付工程款，导致施工无法进行；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本通用条款第</w:t>
      </w:r>
      <w:r>
        <w:rPr>
          <w:rFonts w:ascii="宋体" w:hAnsi="宋体"/>
          <w:color w:val="auto"/>
          <w:szCs w:val="21"/>
          <w:highlight w:val="none"/>
        </w:rPr>
        <w:t>33.3款提到的发包人无正当理由不支付工程竣工结算价款；</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发包人不履行合同义务或不按合同约定履行义务的其他情况。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发包人承担违约责任，赔偿因其违约给承包人造成的经济损失，顺延延误的工期。双方在专用条款内约定发包人赔偿承包人损失的计算方法或者发包人应当支付违约金的数额或计算方法。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35.2承包人违约。当发生下列情况时：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本通用条款第14.2款提到的因承包人原因不能按照协议书约定的竣工日期或工程师同意顺延的工期竣工；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本通用条款第15.1款提到的因承包人原因工程质量达不到协议书约定的质量标准；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承包人不履行合同义务或不按合同约定履行义务的其他情况。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承包人承担违约责任，赔偿因其违约给发包人造成的损失。双方在专用条款内约定承包人赔偿发包人损失的计算方法或者承包人应当支付违约金的数额或计算方法。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35.3一方违约后，另一方要求违约方继续履行合同时，违约方承担上述违约责任后仍应继续履行合同。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36.1当</w:t>
      </w:r>
      <w:r>
        <w:rPr>
          <w:rFonts w:hint="eastAsia" w:ascii="宋体" w:hAnsi="宋体"/>
          <w:color w:val="auto"/>
          <w:szCs w:val="21"/>
          <w:highlight w:val="none"/>
        </w:rPr>
        <w:t>一方向另一方提出索赔时，要有正当索赔理由，且有索赔事件发生时的有效证据。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索赔事件发生后28天内，向工程师发出索赔意向通知；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发出索赔意向通知后28天内，向工程师提出延长工期和（或）补偿经济损失的索赔报告及有关资料；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工程师在收到承包人送交的索赔报告及有关资料后，于28天内给予答复，或要求承包人进一步补充索赔理由和证据；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工程师在收到承包人送交的索赔报告和有关资料后28天内未予答复或未对承包人作进一步要求，视为该项索赔已经认可；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当该索赔事件持续进行时，承包人应当阶段性向工程师发出索赔意向，在索赔事件终了后28天内，向工程师送交索赔的有关资料和最终索赔报告。索赔答复程序与（3）、（4）规定相同。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36.3承包人未能按合同约定履行自己的各项义务或发生错误，给发包人造成经济损失，发包人可按36.2款确定的时限向承包人提出索赔。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37、争议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37.1发包人承包人在履行合同时发生争议，可以和解或者要求有关主管部门调解。当事人不愿和解、调解或者和解、调解不成的，双方可以在专用条款内约定以下一种方式解决争议：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第一种解决方式：双方达成仲裁协议，向约定的仲裁委员会申请仲裁；</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第二种解决方式：向有管辖权的人民法院起诉。</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37.2发生争议后，除非出现下列情况的，双方都应继续履行合同，保持施工连续，保护好已完工程：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单方违约导致合同确已无法履行，双方协议停止施工；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调解要求停止施工，且为双方接受；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仲裁机构要求停止施工；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法院要求停止施工。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十一、其他</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38、工程分包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38.1 承包人按专用条款的约定分包所承包的部分工程，并与分包单位签订分包合同。非经发包人同意，承包人不得将承包工程的任何部分分包。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38.2 承包人不得将其承包的全部工程转包给他人，也不得将其承包的全部工程肢解以后以分包的名义分别转包给他人。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38.4分包工程价款由承包人与分包单位结算。发包人未经承包人同意不得以任何形式向分包单位支付各种工程款项。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39、不可抗力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39.1 </w:t>
      </w:r>
      <w:r>
        <w:rPr>
          <w:rFonts w:hint="eastAsia" w:ascii="宋体" w:hAnsi="宋体"/>
          <w:color w:val="auto"/>
          <w:szCs w:val="21"/>
          <w:highlight w:val="none"/>
        </w:rPr>
        <w:t>不可抗力包括因战争、动乱、空中飞行物体坠落或其他非发包人承包人责任造成的爆炸、火灾，以及专用条款约定的风、雨、雪、洪、震等自然灾害。</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39.3 </w:t>
      </w:r>
      <w:r>
        <w:rPr>
          <w:rFonts w:hint="eastAsia" w:ascii="宋体" w:hAnsi="宋体"/>
          <w:color w:val="auto"/>
          <w:szCs w:val="21"/>
          <w:highlight w:val="none"/>
        </w:rPr>
        <w:t>因不可抗力事件导致的费用及延误的工期由双方按以下方法分别承担：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w:t>
      </w:r>
      <w:r>
        <w:rPr>
          <w:rFonts w:hint="eastAsia" w:ascii="宋体" w:hAnsi="宋体"/>
          <w:color w:val="auto"/>
          <w:szCs w:val="21"/>
          <w:highlight w:val="none"/>
        </w:rPr>
        <w:t>工程本身的损害、因工程损害导致第三人人员伤亡和财产损失以及运至施工场地用于施工的材料和待安装的设备的损害，由发包人承担；</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发包人承包人人员伤亡由其所在单位负责，并承担相应费用；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承包人机械设备损坏及停工损失，由承包人承担；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停工期间，承包人应工程师要求留在施工场地的必要的管理人员及保卫人员的费用由发包人承担；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工程所需清理、修复费用，由发包人承担；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延误的工期相应顺延。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39.4因合同一方迟延履行合同后发生不可抗力的，不能免除迟延履行方的相应责任。</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40、保险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40.1工程开工前，发包人为建设工程和施工场地内的自有人员及第三</w:t>
      </w:r>
      <w:r>
        <w:rPr>
          <w:rFonts w:hint="eastAsia" w:ascii="宋体" w:hAnsi="宋体"/>
          <w:color w:val="auto"/>
          <w:szCs w:val="21"/>
          <w:highlight w:val="none"/>
        </w:rPr>
        <w:t>人人员生命财产办理保险，支付保险费用。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40.2运至施工场内用于工程的材料和待安装设备，由发包人办理保险，并支付保险费用。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40.3发包人可以将有关保险事项委托承包人办理，费用由发包人承担。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40.4承包人必须为从事危险作业的职工办理意外伤害保险，并为施工场地内自有人员生命财产和施工机械设备办理保险，支付保险费用。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40.5保险事故发生时，发包人承包人有责任尽力采取必要的措施，防止或者减少损失。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40.6具体投保内容和相关责任，发包人承包人在专用条款中约定。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41、担保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41.1发包人、承包人为了全面履行合同，应互相提供以下担保：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发包人向承包人提供履约担保，按合同约定支付工程价款及履行合同约定的其他义务。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承包人向发包人提供履约担保，按合同约定履行自己的各项义务。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41.2 一方违约后，另一方可要求提供担保的第三人承担相应责任。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41.3 提供担保的内容、方式和相关责任，发包人承包人除在专用条款中约定外，被担保方与担保方还应签订担保合同，作为本合同附件。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42、专利技术及特殊工艺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42.1 </w:t>
      </w:r>
      <w:r>
        <w:rPr>
          <w:rFonts w:hint="eastAsia" w:ascii="宋体" w:hAnsi="宋体"/>
          <w:color w:val="auto"/>
          <w:szCs w:val="21"/>
          <w:highlight w:val="none"/>
        </w:rPr>
        <w:t>发包人要求使用专利技术或特殊工艺，应负责办理相应的申报手续，承担申报、试验、使用等费用；承包人提出使用专利技术或特殊工艺，应取得工程师认可，承包人负责办理申报手续并承担有关费用。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42.2 擅自使用专利技术侵犯他人专利权的，责任者依法承担相应责任。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43、文物和地下障碍物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43.1 </w:t>
      </w:r>
      <w:r>
        <w:rPr>
          <w:rFonts w:hint="eastAsia" w:ascii="宋体" w:hAnsi="宋体"/>
          <w:color w:val="auto"/>
          <w:szCs w:val="21"/>
          <w:highlight w:val="none"/>
        </w:rPr>
        <w:t>在施工中发现古墓、古建筑遗址等文物及化石或其他有考古、地质研究等价值的物品时，承包人应立即保护好现场并于</w:t>
      </w:r>
      <w:r>
        <w:rPr>
          <w:rFonts w:ascii="宋体" w:hAnsi="宋体"/>
          <w:color w:val="auto"/>
          <w:szCs w:val="21"/>
          <w:highlight w:val="none"/>
        </w:rPr>
        <w:t>4小时内以书面形式通知工程师，工程师应于收到书面通知后24小时内报告当地文物管理部门，发包人承包人按文物管理部门的要求采取妥善保护措施。发包人承担由此发生的费用，顺延延误的工期。</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如发现后隐瞒不报，致使文物遭受破坏，责任者依法承担相应责任。</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43.2 </w:t>
      </w:r>
      <w:r>
        <w:rPr>
          <w:rFonts w:hint="eastAsia" w:ascii="宋体" w:hAnsi="宋体"/>
          <w:color w:val="auto"/>
          <w:szCs w:val="21"/>
          <w:highlight w:val="none"/>
        </w:rPr>
        <w:t>施工中发现影响施工的地下障碍物时，承包人应于</w:t>
      </w:r>
      <w:r>
        <w:rPr>
          <w:rFonts w:ascii="宋体" w:hAnsi="宋体"/>
          <w:color w:val="auto"/>
          <w:szCs w:val="21"/>
          <w:highlight w:val="none"/>
        </w:rPr>
        <w:t>8小时内以书面形式通知工程师，同时提出处置</w:t>
      </w:r>
      <w:r>
        <w:rPr>
          <w:rFonts w:hint="eastAsia" w:ascii="宋体" w:hAnsi="宋体"/>
          <w:color w:val="auto"/>
          <w:szCs w:val="21"/>
          <w:highlight w:val="none"/>
        </w:rPr>
        <w:t>方案，工程师收到</w:t>
      </w:r>
      <w:r>
        <w:rPr>
          <w:rFonts w:ascii="宋体" w:hAnsi="宋体"/>
          <w:color w:val="auto"/>
          <w:szCs w:val="21"/>
          <w:highlight w:val="none"/>
        </w:rPr>
        <w:t>处置</w:t>
      </w:r>
      <w:r>
        <w:rPr>
          <w:rFonts w:hint="eastAsia" w:ascii="宋体" w:hAnsi="宋体"/>
          <w:color w:val="auto"/>
          <w:szCs w:val="21"/>
          <w:highlight w:val="none"/>
        </w:rPr>
        <w:t>方案后</w:t>
      </w:r>
      <w:r>
        <w:rPr>
          <w:rFonts w:ascii="宋体" w:hAnsi="宋体"/>
          <w:color w:val="auto"/>
          <w:szCs w:val="21"/>
          <w:highlight w:val="none"/>
        </w:rPr>
        <w:t>24小时内予以认可或提出修正方案。发包人承担由此发生的费用，顺延延误的工期。</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所发现的地下障碍物有归属单位时，发包人应报请有关部门协同处置。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44、合同解除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44.1 发包人承包人协商一致，可以解除合同。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44.2 发生本通用条款第26.4款情况，停止施工超过56天，发包人仍不支付工程款（进度款），承包人有权解除合同。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44.3 发生本通用条款第38.2款禁止的情况，承包人将其承包的全部工程转包给他人或者肢解以后以分包的名义分别转包给他人，发包人有权解除合同。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44.4 有下列情形之一的，发包人承包人可以解除合同：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因不可抗力致使合同无法履行；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因一方违约（包括因发包人原因造成工程停建或缓建）致使合同无法履行。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w:t>
      </w:r>
      <w:r>
        <w:rPr>
          <w:rFonts w:hint="eastAsia" w:ascii="宋体" w:hAnsi="宋体"/>
          <w:color w:val="auto"/>
          <w:szCs w:val="21"/>
          <w:highlight w:val="none"/>
        </w:rPr>
        <w:t>合同解除给对方造成的损失。</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44.7合同解除后，不影响双方在合同中约定的结算和清理条款的效力。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45、合同生效与终止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45.1双方在协议书中约定合同生效方式。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45.2除本通用条款第34条外，发包人承包人履行合同全部义务，竣工结算价款支付完毕，承包人向发包人交付竣工工程后，本合同即告终止。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45.3合同的权利义务终止后，发包人承包人应当遵循诚实信用原则，履行通知、协助、保密等义务。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46、合同份数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46.1本合同正本两份，具有同等效力，由发包人承包人分别保存一份。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46.2本合同副本份数，由双方根据需要在专用条款内约定。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47、补充条款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双方根据有关法律、行政法规规定，结合工程实际，经协商一致后，可对本通用条款内容具体化，补充或修改，在专用条款内约定。</w:t>
      </w:r>
    </w:p>
    <w:p>
      <w:pPr>
        <w:spacing w:line="440" w:lineRule="exact"/>
        <w:ind w:firstLine="359" w:firstLineChars="171"/>
        <w:jc w:val="center"/>
        <w:rPr>
          <w:rFonts w:ascii="宋体" w:hAnsi="宋体"/>
          <w:b/>
          <w:color w:val="auto"/>
          <w:sz w:val="28"/>
          <w:szCs w:val="28"/>
          <w:highlight w:val="none"/>
        </w:rPr>
      </w:pPr>
      <w:r>
        <w:rPr>
          <w:rFonts w:ascii="宋体" w:hAnsi="宋体"/>
          <w:color w:val="auto"/>
          <w:szCs w:val="21"/>
          <w:highlight w:val="none"/>
        </w:rPr>
        <w:br w:type="page"/>
      </w:r>
      <w:r>
        <w:rPr>
          <w:rFonts w:hint="eastAsia" w:ascii="宋体" w:hAnsi="宋体"/>
          <w:b/>
          <w:color w:val="auto"/>
          <w:sz w:val="28"/>
          <w:szCs w:val="28"/>
          <w:highlight w:val="none"/>
        </w:rPr>
        <w:t>第三部分</w:t>
      </w:r>
      <w:r>
        <w:rPr>
          <w:rFonts w:ascii="宋体" w:hAnsi="宋体"/>
          <w:b/>
          <w:color w:val="auto"/>
          <w:sz w:val="28"/>
          <w:szCs w:val="28"/>
          <w:highlight w:val="none"/>
        </w:rPr>
        <w:t xml:space="preserve">  </w:t>
      </w:r>
      <w:r>
        <w:rPr>
          <w:rFonts w:hint="eastAsia" w:ascii="宋体" w:hAnsi="宋体"/>
          <w:b/>
          <w:color w:val="auto"/>
          <w:sz w:val="28"/>
          <w:szCs w:val="28"/>
          <w:highlight w:val="none"/>
        </w:rPr>
        <w:t>专用条款</w:t>
      </w:r>
    </w:p>
    <w:p>
      <w:pPr>
        <w:snapToGrid w:val="0"/>
        <w:spacing w:line="440" w:lineRule="exact"/>
        <w:ind w:firstLine="397"/>
        <w:rPr>
          <w:rFonts w:ascii="宋体" w:hAnsi="宋体"/>
          <w:b/>
          <w:color w:val="auto"/>
          <w:sz w:val="24"/>
          <w:szCs w:val="24"/>
          <w:highlight w:val="none"/>
        </w:rPr>
      </w:pP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一、词语定义及合同文件</w:t>
      </w:r>
    </w:p>
    <w:p>
      <w:pPr>
        <w:snapToGrid w:val="0"/>
        <w:spacing w:line="440" w:lineRule="exact"/>
        <w:ind w:firstLine="482" w:firstLineChars="200"/>
        <w:rPr>
          <w:rFonts w:ascii="宋体" w:hAnsi="宋体" w:cs="宋体"/>
          <w:color w:val="auto"/>
          <w:sz w:val="24"/>
          <w:szCs w:val="24"/>
          <w:highlight w:val="none"/>
        </w:rPr>
      </w:pPr>
      <w:r>
        <w:rPr>
          <w:rFonts w:ascii="宋体" w:hAnsi="宋体" w:cs="宋体"/>
          <w:b/>
          <w:bCs/>
          <w:color w:val="auto"/>
          <w:sz w:val="24"/>
          <w:szCs w:val="24"/>
          <w:highlight w:val="none"/>
        </w:rPr>
        <w:t>1.词语定义</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1.6</w:t>
      </w:r>
      <w:r>
        <w:rPr>
          <w:rFonts w:hint="eastAsia" w:ascii="宋体" w:hAnsi="宋体" w:cs="宋体"/>
          <w:color w:val="auto"/>
          <w:sz w:val="24"/>
          <w:szCs w:val="24"/>
          <w:highlight w:val="none"/>
        </w:rPr>
        <w:t>设计单位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本合同工程的设计单位是：</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1.7</w:t>
      </w:r>
      <w:r>
        <w:rPr>
          <w:rFonts w:hint="eastAsia" w:ascii="宋体" w:hAnsi="宋体" w:cs="宋体"/>
          <w:color w:val="auto"/>
          <w:sz w:val="24"/>
          <w:szCs w:val="24"/>
          <w:highlight w:val="none"/>
        </w:rPr>
        <w:t>监理单位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本合同工程的监理单位是：</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1.24招标控制价：</w:t>
      </w:r>
      <w:r>
        <w:rPr>
          <w:rFonts w:hint="eastAsia" w:ascii="宋体" w:hAnsi="宋体" w:cs="宋体"/>
          <w:color w:val="auto"/>
          <w:sz w:val="24"/>
          <w:szCs w:val="24"/>
          <w:highlight w:val="none"/>
          <w:u w:val="single"/>
        </w:rPr>
        <w:t>指经招标人确定的最高投标限价，并在广州公共资源交易中心开发区、黄埔区交易部公示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1.25中标下浮率：</w:t>
      </w:r>
      <w:r>
        <w:rPr>
          <w:rFonts w:hint="eastAsia" w:ascii="宋体" w:hAnsi="宋体" w:cs="宋体"/>
          <w:color w:val="auto"/>
          <w:sz w:val="24"/>
          <w:szCs w:val="24"/>
          <w:highlight w:val="none"/>
          <w:u w:val="single"/>
        </w:rPr>
        <w:t>中标下浮率</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1-中标价格÷招标控制价</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100%,</w:t>
      </w:r>
      <w:r>
        <w:rPr>
          <w:rFonts w:hint="eastAsia" w:ascii="宋体" w:hAnsi="宋体" w:cs="宋体"/>
          <w:color w:val="auto"/>
          <w:sz w:val="24"/>
          <w:szCs w:val="24"/>
          <w:highlight w:val="none"/>
          <w:u w:val="single"/>
        </w:rPr>
        <w:t>式中的中标价格及招标控制价均不含不可竞争的绿色施工安全防护措施费及暂列金额。</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1.26工人工资比例=</w:t>
      </w:r>
      <w:r>
        <w:rPr>
          <w:rFonts w:hint="eastAsia" w:ascii="宋体" w:hAnsi="宋体" w:cs="宋体"/>
          <w:color w:val="auto"/>
          <w:sz w:val="24"/>
          <w:szCs w:val="24"/>
          <w:highlight w:val="none"/>
        </w:rPr>
        <w:t>中标的人工费金额</w:t>
      </w:r>
      <w:r>
        <w:rPr>
          <w:rFonts w:ascii="宋体" w:hAnsi="宋体" w:cs="宋体"/>
          <w:color w:val="auto"/>
          <w:sz w:val="24"/>
          <w:szCs w:val="24"/>
          <w:highlight w:val="none"/>
        </w:rPr>
        <w:t>÷</w:t>
      </w:r>
      <w:r>
        <w:rPr>
          <w:rFonts w:hint="eastAsia" w:ascii="宋体" w:hAnsi="宋体" w:cs="宋体"/>
          <w:color w:val="auto"/>
          <w:sz w:val="24"/>
          <w:szCs w:val="24"/>
          <w:highlight w:val="none"/>
        </w:rPr>
        <w:t>中标价格</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2</w:t>
      </w:r>
      <w:r>
        <w:rPr>
          <w:rFonts w:hint="eastAsia" w:ascii="宋体" w:hAnsi="宋体" w:cs="宋体"/>
          <w:b/>
          <w:color w:val="auto"/>
          <w:sz w:val="24"/>
          <w:szCs w:val="24"/>
          <w:highlight w:val="none"/>
        </w:rPr>
        <w:t>、合同文件及解释顺序</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合同文件组成及解释顺序：</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本合同履行期间发包人与承包人双方签订的补充合同（协议）或修正文件；</w:t>
      </w:r>
      <w:r>
        <w:rPr>
          <w:rFonts w:ascii="宋体" w:hAnsi="宋体" w:cs="宋体"/>
          <w:color w:val="auto"/>
          <w:sz w:val="24"/>
          <w:szCs w:val="24"/>
          <w:highlight w:val="none"/>
          <w:u w:val="single"/>
        </w:rPr>
        <w:t>2.</w:t>
      </w:r>
      <w:r>
        <w:rPr>
          <w:rFonts w:hint="eastAsia" w:ascii="宋体" w:hAnsi="宋体" w:cs="宋体"/>
          <w:color w:val="auto"/>
          <w:sz w:val="24"/>
          <w:szCs w:val="24"/>
          <w:highlight w:val="none"/>
          <w:u w:val="single"/>
        </w:rPr>
        <w:t>本合同协议书；</w:t>
      </w:r>
      <w:r>
        <w:rPr>
          <w:rFonts w:ascii="宋体" w:hAnsi="宋体" w:cs="宋体"/>
          <w:color w:val="auto"/>
          <w:sz w:val="24"/>
          <w:szCs w:val="24"/>
          <w:highlight w:val="none"/>
          <w:u w:val="single"/>
        </w:rPr>
        <w:t>3.</w:t>
      </w:r>
      <w:r>
        <w:rPr>
          <w:rFonts w:hint="eastAsia" w:ascii="宋体" w:hAnsi="宋体" w:cs="宋体"/>
          <w:color w:val="auto"/>
          <w:sz w:val="24"/>
          <w:szCs w:val="24"/>
          <w:highlight w:val="none"/>
          <w:u w:val="single"/>
        </w:rPr>
        <w:t>国家、广东省、广州市、广州开发区黄埔区关于本工程施工的有关文件（发包人在收到后尽快通报给承包人）；</w:t>
      </w:r>
      <w:r>
        <w:rPr>
          <w:rFonts w:ascii="宋体" w:hAnsi="宋体" w:cs="宋体"/>
          <w:color w:val="auto"/>
          <w:sz w:val="24"/>
          <w:szCs w:val="24"/>
          <w:highlight w:val="none"/>
          <w:u w:val="single"/>
        </w:rPr>
        <w:t>4.</w:t>
      </w:r>
      <w:r>
        <w:rPr>
          <w:rFonts w:hint="eastAsia" w:ascii="宋体" w:hAnsi="宋体" w:cs="宋体"/>
          <w:color w:val="auto"/>
          <w:sz w:val="24"/>
          <w:szCs w:val="24"/>
          <w:highlight w:val="none"/>
          <w:u w:val="single"/>
        </w:rPr>
        <w:t>发包人针对本工程建设管理的各项制度、规定；</w:t>
      </w:r>
      <w:r>
        <w:rPr>
          <w:rFonts w:ascii="宋体" w:hAnsi="宋体" w:cs="宋体"/>
          <w:color w:val="auto"/>
          <w:sz w:val="24"/>
          <w:szCs w:val="24"/>
          <w:highlight w:val="none"/>
          <w:u w:val="single"/>
        </w:rPr>
        <w:t>5.</w:t>
      </w:r>
      <w:r>
        <w:rPr>
          <w:rFonts w:hint="eastAsia" w:ascii="宋体" w:hAnsi="宋体" w:cs="宋体"/>
          <w:color w:val="auto"/>
          <w:sz w:val="24"/>
          <w:szCs w:val="24"/>
          <w:highlight w:val="none"/>
          <w:u w:val="single"/>
        </w:rPr>
        <w:t>中标通知书；</w:t>
      </w:r>
      <w:r>
        <w:rPr>
          <w:rFonts w:ascii="宋体" w:hAnsi="宋体" w:cs="宋体"/>
          <w:color w:val="auto"/>
          <w:sz w:val="24"/>
          <w:szCs w:val="24"/>
          <w:highlight w:val="none"/>
          <w:u w:val="single"/>
        </w:rPr>
        <w:t>6.</w:t>
      </w:r>
      <w:r>
        <w:rPr>
          <w:rFonts w:hint="eastAsia" w:ascii="宋体" w:hAnsi="宋体" w:cs="宋体"/>
          <w:color w:val="auto"/>
          <w:sz w:val="24"/>
          <w:szCs w:val="24"/>
          <w:highlight w:val="none"/>
          <w:u w:val="single"/>
        </w:rPr>
        <w:t>本合同专用条款；</w:t>
      </w:r>
      <w:r>
        <w:rPr>
          <w:rFonts w:ascii="宋体" w:hAnsi="宋体" w:cs="宋体"/>
          <w:color w:val="auto"/>
          <w:sz w:val="24"/>
          <w:szCs w:val="24"/>
          <w:highlight w:val="none"/>
          <w:u w:val="single"/>
        </w:rPr>
        <w:t>7.</w:t>
      </w:r>
      <w:r>
        <w:rPr>
          <w:rFonts w:hint="eastAsia" w:ascii="宋体" w:hAnsi="宋体" w:cs="宋体"/>
          <w:color w:val="auto"/>
          <w:sz w:val="24"/>
          <w:szCs w:val="24"/>
          <w:highlight w:val="none"/>
          <w:u w:val="single"/>
        </w:rPr>
        <w:t>招标文件及附件（包括补充、修改、澄清文件及答疑纪要等）；</w:t>
      </w:r>
      <w:r>
        <w:rPr>
          <w:rFonts w:ascii="宋体" w:hAnsi="宋体" w:cs="宋体"/>
          <w:color w:val="auto"/>
          <w:sz w:val="24"/>
          <w:szCs w:val="24"/>
          <w:highlight w:val="none"/>
          <w:u w:val="single"/>
        </w:rPr>
        <w:t>8.</w:t>
      </w:r>
      <w:r>
        <w:rPr>
          <w:rFonts w:hint="eastAsia" w:ascii="宋体" w:hAnsi="宋体" w:cs="宋体"/>
          <w:color w:val="auto"/>
          <w:sz w:val="24"/>
          <w:szCs w:val="24"/>
          <w:highlight w:val="none"/>
          <w:u w:val="single"/>
        </w:rPr>
        <w:t>本合同通用条款；</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投标文件及附件；</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标准、规范和其他有关技术文件；</w:t>
      </w:r>
      <w:r>
        <w:rPr>
          <w:rFonts w:ascii="宋体" w:hAnsi="宋体" w:cs="宋体"/>
          <w:color w:val="auto"/>
          <w:sz w:val="24"/>
          <w:szCs w:val="24"/>
          <w:highlight w:val="none"/>
          <w:u w:val="single"/>
        </w:rPr>
        <w:t>11.</w:t>
      </w:r>
      <w:r>
        <w:rPr>
          <w:rFonts w:hint="eastAsia" w:ascii="宋体" w:hAnsi="宋体" w:cs="宋体"/>
          <w:color w:val="auto"/>
          <w:sz w:val="24"/>
          <w:szCs w:val="24"/>
          <w:highlight w:val="none"/>
          <w:u w:val="single"/>
        </w:rPr>
        <w:t>图纸；</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工程量清单；</w:t>
      </w:r>
      <w:r>
        <w:rPr>
          <w:rFonts w:ascii="宋体" w:hAnsi="宋体" w:cs="宋体"/>
          <w:color w:val="auto"/>
          <w:sz w:val="24"/>
          <w:szCs w:val="24"/>
          <w:highlight w:val="none"/>
          <w:u w:val="single"/>
        </w:rPr>
        <w:t>13.</w:t>
      </w:r>
      <w:r>
        <w:rPr>
          <w:rFonts w:hint="eastAsia" w:ascii="宋体" w:hAnsi="宋体" w:cs="宋体"/>
          <w:color w:val="auto"/>
          <w:sz w:val="24"/>
          <w:szCs w:val="24"/>
          <w:highlight w:val="none"/>
          <w:u w:val="single"/>
        </w:rPr>
        <w:t>合同附件（工程质量保修责任书、标函承诺书、项目负责人驻场承诺书、工程建设廉政协议书等）</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w:t>
      </w:r>
      <w:r>
        <w:rPr>
          <w:rFonts w:hint="eastAsia" w:ascii="宋体" w:hAnsi="宋体" w:cs="宋体"/>
          <w:b/>
          <w:color w:val="auto"/>
          <w:sz w:val="24"/>
          <w:szCs w:val="24"/>
          <w:highlight w:val="none"/>
        </w:rPr>
        <w:t>、语言文字和适用法律、标准及规范</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本合同除使用汉语外，还使用</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语言文字。</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适用法律和法规</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需要明示的法律、行政法规：</w:t>
      </w:r>
      <w:r>
        <w:rPr>
          <w:rFonts w:hint="eastAsia" w:ascii="宋体" w:hAnsi="宋体" w:cs="宋体"/>
          <w:color w:val="auto"/>
          <w:sz w:val="24"/>
          <w:szCs w:val="24"/>
          <w:highlight w:val="none"/>
          <w:u w:val="single"/>
        </w:rPr>
        <w:t>按照现行的法律、法规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适用标准、规范</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适用标准、规范的名称：</w:t>
      </w:r>
      <w:r>
        <w:rPr>
          <w:rFonts w:hint="eastAsia" w:ascii="宋体" w:hAnsi="宋体" w:cs="宋体"/>
          <w:color w:val="auto"/>
          <w:sz w:val="24"/>
          <w:szCs w:val="24"/>
          <w:highlight w:val="none"/>
          <w:u w:val="single"/>
        </w:rPr>
        <w:t>相应工种现行施工规范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发包人提供标准、规范的时间：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国内没有相应标准、规范时的约定：</w:t>
      </w:r>
      <w:r>
        <w:rPr>
          <w:rFonts w:hint="eastAsia" w:ascii="宋体" w:hAnsi="宋体" w:cs="宋体"/>
          <w:color w:val="auto"/>
          <w:sz w:val="24"/>
          <w:szCs w:val="24"/>
          <w:highlight w:val="none"/>
          <w:u w:val="single"/>
        </w:rPr>
        <w:t>按施工图纸，招标文件和广州开发区相关规定及答疑纪要的要求执行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w:t>
      </w:r>
      <w:r>
        <w:rPr>
          <w:rFonts w:hint="eastAsia" w:ascii="宋体" w:hAnsi="宋体" w:cs="宋体"/>
          <w:b/>
          <w:color w:val="auto"/>
          <w:sz w:val="24"/>
          <w:szCs w:val="24"/>
          <w:highlight w:val="none"/>
        </w:rPr>
        <w:t>、图纸</w:t>
      </w:r>
    </w:p>
    <w:p>
      <w:pPr>
        <w:snapToGrid w:val="0"/>
        <w:spacing w:line="440" w:lineRule="exact"/>
        <w:ind w:firstLine="315"/>
        <w:rPr>
          <w:rFonts w:ascii="宋体" w:hAnsi="宋体" w:cs="宋体"/>
          <w:color w:val="auto"/>
          <w:sz w:val="24"/>
          <w:szCs w:val="24"/>
          <w:highlight w:val="none"/>
          <w:u w:val="single"/>
        </w:rPr>
      </w:pPr>
      <w:r>
        <w:rPr>
          <w:rFonts w:ascii="宋体" w:hAnsi="宋体" w:cs="宋体"/>
          <w:color w:val="auto"/>
          <w:sz w:val="24"/>
          <w:szCs w:val="24"/>
          <w:highlight w:val="none"/>
        </w:rPr>
        <w:t>4.1</w:t>
      </w:r>
      <w:r>
        <w:rPr>
          <w:rFonts w:hint="eastAsia" w:ascii="宋体" w:hAnsi="宋体" w:cs="宋体"/>
          <w:color w:val="auto"/>
          <w:sz w:val="24"/>
          <w:szCs w:val="24"/>
          <w:highlight w:val="none"/>
        </w:rPr>
        <w:t>发包人向承包人提供图纸日期和套数：</w:t>
      </w:r>
      <w:r>
        <w:rPr>
          <w:rFonts w:hint="eastAsia" w:ascii="宋体" w:hAnsi="宋体" w:cs="宋体"/>
          <w:color w:val="auto"/>
          <w:sz w:val="24"/>
          <w:szCs w:val="24"/>
          <w:highlight w:val="none"/>
          <w:u w:val="single"/>
        </w:rPr>
        <w:t>开工前提供肆套图纸</w:t>
      </w:r>
      <w:r>
        <w:rPr>
          <w:rFonts w:hint="eastAsia" w:ascii="宋体" w:hAnsi="宋体" w:cs="宋体"/>
          <w:color w:val="auto"/>
          <w:sz w:val="24"/>
          <w:szCs w:val="24"/>
          <w:highlight w:val="none"/>
        </w:rPr>
        <w:t>。</w:t>
      </w:r>
    </w:p>
    <w:p>
      <w:pPr>
        <w:snapToGrid w:val="0"/>
        <w:spacing w:line="440" w:lineRule="exact"/>
        <w:ind w:left="997" w:leftChars="132" w:hanging="720" w:hangingChars="300"/>
        <w:rPr>
          <w:rFonts w:ascii="宋体" w:hAnsi="宋体" w:cs="宋体"/>
          <w:color w:val="auto"/>
          <w:sz w:val="24"/>
          <w:szCs w:val="24"/>
          <w:highlight w:val="none"/>
          <w:u w:val="single"/>
        </w:rPr>
      </w:pPr>
      <w:r>
        <w:rPr>
          <w:rFonts w:hint="eastAsia" w:ascii="宋体" w:hAnsi="宋体" w:cs="宋体"/>
          <w:color w:val="auto"/>
          <w:sz w:val="24"/>
          <w:szCs w:val="24"/>
          <w:highlight w:val="none"/>
        </w:rPr>
        <w:t>发包人对图纸的保密要求：</w:t>
      </w:r>
      <w:r>
        <w:rPr>
          <w:rFonts w:hint="eastAsia" w:ascii="宋体" w:hAnsi="宋体" w:cs="宋体"/>
          <w:color w:val="auto"/>
          <w:sz w:val="24"/>
          <w:szCs w:val="24"/>
          <w:highlight w:val="none"/>
          <w:u w:val="single"/>
        </w:rPr>
        <w:t>按本合同通用条款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使用国外图纸的要求及费用承担：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二、双方一般权利和义务</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5</w:t>
      </w:r>
      <w:r>
        <w:rPr>
          <w:rFonts w:hint="eastAsia" w:ascii="宋体" w:hAnsi="宋体" w:cs="宋体"/>
          <w:b/>
          <w:color w:val="auto"/>
          <w:sz w:val="24"/>
          <w:szCs w:val="24"/>
          <w:highlight w:val="none"/>
        </w:rPr>
        <w:t>、工程师</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监理单位委派的工程师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总监理工程师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发包人委托的职权：</w:t>
      </w:r>
      <w:r>
        <w:rPr>
          <w:rFonts w:hint="eastAsia" w:ascii="宋体" w:hAnsi="宋体" w:cs="宋体"/>
          <w:color w:val="auto"/>
          <w:sz w:val="24"/>
          <w:szCs w:val="24"/>
          <w:highlight w:val="none"/>
          <w:u w:val="single"/>
        </w:rPr>
        <w:t>对本工程进行全过程的监理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需要取得发包人批准才能行使的职权：</w:t>
      </w:r>
      <w:r>
        <w:rPr>
          <w:rFonts w:hint="eastAsia" w:ascii="宋体" w:hAnsi="宋体" w:cs="宋体"/>
          <w:color w:val="auto"/>
          <w:sz w:val="24"/>
          <w:szCs w:val="24"/>
          <w:highlight w:val="none"/>
          <w:u w:val="single"/>
        </w:rPr>
        <w:t>按发包人与监理单位签订的监理合同有关规定执行，涉及变更签证或费用</w:t>
      </w:r>
      <w:r>
        <w:rPr>
          <w:rFonts w:hint="eastAsia" w:ascii="宋体" w:hAnsi="宋体" w:cs="宋体"/>
          <w:color w:val="auto"/>
          <w:sz w:val="24"/>
          <w:szCs w:val="24"/>
          <w:highlight w:val="none"/>
        </w:rPr>
        <w:t>调整、发布开工、停工、复工令等均需经</w:t>
      </w:r>
      <w:r>
        <w:rPr>
          <w:rFonts w:hint="eastAsia" w:ascii="宋体" w:hAnsi="宋体" w:cs="宋体"/>
          <w:color w:val="auto"/>
          <w:sz w:val="24"/>
          <w:szCs w:val="24"/>
          <w:highlight w:val="none"/>
          <w:u w:val="single"/>
        </w:rPr>
        <w:t>发包人书面认可</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常驻现场，代表监理单位履行与发包人签订的监理合同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rPr>
        <w:t>发包人派驻的工程师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发包人代表，行使发包人的权利</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rPr>
        <w:t>义务：</w:t>
      </w:r>
      <w:r>
        <w:rPr>
          <w:rFonts w:hint="eastAsia" w:ascii="宋体" w:hAnsi="宋体" w:cs="宋体"/>
          <w:color w:val="auto"/>
          <w:spacing w:val="-8"/>
          <w:sz w:val="24"/>
          <w:szCs w:val="24"/>
          <w:highlight w:val="none"/>
          <w:u w:val="single"/>
        </w:rPr>
        <w:t>常驻现场，代表发包人负责工程质量、进度、技术、投资控制等施工期间的日常管理工作，履行与承包人签订的本建设工程施工合同。</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5.6</w:t>
      </w:r>
      <w:r>
        <w:rPr>
          <w:rFonts w:hint="eastAsia" w:ascii="宋体" w:hAnsi="宋体" w:cs="宋体"/>
          <w:color w:val="auto"/>
          <w:sz w:val="24"/>
          <w:szCs w:val="24"/>
          <w:highlight w:val="none"/>
        </w:rPr>
        <w:t>不实行监理的，工程师的职权：</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7</w:t>
      </w:r>
      <w:r>
        <w:rPr>
          <w:rFonts w:hint="eastAsia" w:ascii="宋体" w:hAnsi="宋体" w:cs="宋体"/>
          <w:b/>
          <w:color w:val="auto"/>
          <w:sz w:val="24"/>
          <w:szCs w:val="24"/>
          <w:highlight w:val="none"/>
        </w:rPr>
        <w:t>、项目负责人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项目负责人</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代表承包人全权处理本工程的一切事务</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u w:val="single"/>
        </w:rPr>
        <w:t>承包人项目负责人不得兼任其他工程项目负责人，否则发包人可按单方面终止合同处理</w:t>
      </w:r>
      <w:r>
        <w:rPr>
          <w:rFonts w:hint="eastAsia" w:ascii="宋体" w:hAnsi="宋体" w:cs="宋体"/>
          <w:color w:val="auto"/>
          <w:sz w:val="24"/>
          <w:szCs w:val="24"/>
          <w:highlight w:val="none"/>
        </w:rPr>
        <w:t>。</w:t>
      </w:r>
    </w:p>
    <w:p>
      <w:pPr>
        <w:ind w:firstLine="397"/>
        <w:rPr>
          <w:rFonts w:ascii="宋体" w:hAnsi="宋体" w:cs="宋体"/>
          <w:color w:val="auto"/>
          <w:sz w:val="24"/>
          <w:szCs w:val="24"/>
          <w:highlight w:val="none"/>
        </w:rPr>
      </w:pPr>
      <w:r>
        <w:rPr>
          <w:rFonts w:ascii="宋体" w:hAnsi="宋体" w:cs="宋体"/>
          <w:color w:val="auto"/>
          <w:sz w:val="24"/>
          <w:szCs w:val="24"/>
          <w:highlight w:val="none"/>
        </w:rPr>
        <w:t>7.7现场管理机构</w:t>
      </w:r>
    </w:p>
    <w:p>
      <w:pPr>
        <w:adjustRightInd w:val="0"/>
        <w:snapToGrid w:val="0"/>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1）承包人必须按照投标文件的承诺建立现场管理机构，严格执行现行建设工程项目管理规范，并积极主动接受建设行政主管部门的监督和检查。</w:t>
      </w:r>
    </w:p>
    <w:p>
      <w:pPr>
        <w:adjustRightInd w:val="0"/>
        <w:snapToGrid w:val="0"/>
        <w:spacing w:line="440" w:lineRule="exact"/>
        <w:ind w:right="11" w:firstLine="460" w:firstLineChars="192"/>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7.8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7.9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7.10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8</w:t>
      </w:r>
      <w:r>
        <w:rPr>
          <w:rFonts w:hint="eastAsia" w:ascii="宋体" w:hAnsi="宋体" w:cs="宋体"/>
          <w:b/>
          <w:color w:val="auto"/>
          <w:sz w:val="24"/>
          <w:szCs w:val="24"/>
          <w:highlight w:val="none"/>
        </w:rPr>
        <w:t>、发包人工作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发包人应按约定的时间和要求完成以下工作：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）施工场地具备施工条件的要求及完成的时间：</w:t>
      </w:r>
      <w:r>
        <w:rPr>
          <w:rFonts w:hint="eastAsia" w:ascii="宋体" w:hAnsi="宋体" w:cs="宋体"/>
          <w:color w:val="auto"/>
          <w:sz w:val="24"/>
          <w:szCs w:val="24"/>
          <w:highlight w:val="none"/>
          <w:u w:val="single"/>
        </w:rPr>
        <w:t>土地征收、拆迁补偿工作完成时间原则上在开工前；因土地征收和拆迁补偿进度原因不能按时移交场地的，可采取分段逐步方式移交施工场地</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）将施工所需的水、电、电讯线路接至施工场地的时间、地点和供应要求：</w:t>
      </w:r>
      <w:r>
        <w:rPr>
          <w:rFonts w:hint="eastAsia" w:ascii="宋体" w:hAnsi="宋体" w:cs="宋体"/>
          <w:color w:val="auto"/>
          <w:sz w:val="24"/>
          <w:szCs w:val="24"/>
          <w:highlight w:val="none"/>
          <w:u w:val="single"/>
        </w:rPr>
        <w:t>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）施工场地与公共道路的通道开通时间和要求：</w:t>
      </w:r>
      <w:r>
        <w:rPr>
          <w:rFonts w:hint="eastAsia" w:ascii="宋体" w:hAnsi="宋体" w:cs="宋体"/>
          <w:color w:val="auto"/>
          <w:sz w:val="24"/>
          <w:szCs w:val="24"/>
          <w:highlight w:val="none"/>
          <w:u w:val="single"/>
        </w:rPr>
        <w:t>通道按现状，不论满足施工要求与否，该通道及施工便道均由承包人自行解决，费用已包在本工程中标总造价中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）工程地质和地下管线资料的提供时间：</w:t>
      </w:r>
      <w:r>
        <w:rPr>
          <w:rFonts w:hint="eastAsia" w:ascii="宋体" w:hAnsi="宋体" w:cs="宋体"/>
          <w:color w:val="auto"/>
          <w:sz w:val="24"/>
          <w:szCs w:val="24"/>
          <w:highlight w:val="none"/>
          <w:u w:val="single"/>
        </w:rPr>
        <w:t>根据施工计划提前提供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）由发包人办理的施工所需证件、批件的名称和完成时间：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）水准点与坐标控制点交验要求：</w:t>
      </w:r>
      <w:r>
        <w:rPr>
          <w:rFonts w:hint="eastAsia" w:ascii="宋体" w:hAnsi="宋体" w:cs="宋体"/>
          <w:color w:val="auto"/>
          <w:sz w:val="24"/>
          <w:szCs w:val="24"/>
          <w:highlight w:val="none"/>
          <w:u w:val="single"/>
        </w:rPr>
        <w:t>开工前交验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）图纸会审和设计交底时间：</w:t>
      </w:r>
      <w:r>
        <w:rPr>
          <w:rFonts w:hint="eastAsia" w:ascii="宋体" w:hAnsi="宋体" w:cs="宋体"/>
          <w:color w:val="auto"/>
          <w:sz w:val="24"/>
          <w:szCs w:val="24"/>
          <w:highlight w:val="none"/>
          <w:u w:val="single"/>
        </w:rPr>
        <w:t>工程施工前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）协调处理施工场地周围地下管线和邻近建筑物、构筑物（含文物保护建筑）、古树名木的保护工作：</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）双方约定发包人应做的其他工作：</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发包人按现有场地移交给承包人，承包人应无条件接受。</w:t>
      </w:r>
      <w:r>
        <w:rPr>
          <w:rFonts w:ascii="宋体" w:hAnsi="宋体" w:cs="宋体"/>
          <w:color w:val="auto"/>
          <w:sz w:val="24"/>
          <w:szCs w:val="24"/>
          <w:highlight w:val="none"/>
          <w:u w:val="single"/>
        </w:rPr>
        <w:t xml:space="preserve">   </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8.2</w:t>
      </w:r>
      <w:r>
        <w:rPr>
          <w:rFonts w:hint="eastAsia" w:ascii="宋体" w:hAnsi="宋体" w:cs="宋体"/>
          <w:color w:val="auto"/>
          <w:sz w:val="24"/>
          <w:szCs w:val="24"/>
          <w:highlight w:val="none"/>
        </w:rPr>
        <w:t>发包人委托承包人办理的工作：</w:t>
      </w:r>
      <w:r>
        <w:rPr>
          <w:rFonts w:hint="eastAsia" w:ascii="宋体" w:hAnsi="宋体" w:cs="宋体"/>
          <w:color w:val="auto"/>
          <w:sz w:val="24"/>
          <w:szCs w:val="24"/>
          <w:highlight w:val="none"/>
          <w:u w:val="single"/>
        </w:rPr>
        <w:t>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9</w:t>
      </w:r>
      <w:r>
        <w:rPr>
          <w:rFonts w:hint="eastAsia" w:ascii="宋体" w:hAnsi="宋体" w:cs="宋体"/>
          <w:b/>
          <w:color w:val="auto"/>
          <w:sz w:val="24"/>
          <w:szCs w:val="24"/>
          <w:highlight w:val="none"/>
        </w:rPr>
        <w:t>、承包人工作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9.1</w:t>
      </w:r>
      <w:r>
        <w:rPr>
          <w:rFonts w:hint="eastAsia" w:ascii="宋体" w:hAnsi="宋体" w:cs="宋体"/>
          <w:color w:val="auto"/>
          <w:sz w:val="24"/>
          <w:szCs w:val="24"/>
          <w:highlight w:val="none"/>
        </w:rPr>
        <w:t>承包人应按约定时间和要求，完成以下工作：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）需由设计资质等级和业务范围允许的承包人完成的设计文件提交时间：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）应提供计划、报表的名称及完成时间：</w:t>
      </w:r>
      <w:r>
        <w:rPr>
          <w:rFonts w:hint="eastAsia" w:ascii="宋体" w:hAnsi="宋体" w:cs="宋体"/>
          <w:color w:val="auto"/>
          <w:sz w:val="24"/>
          <w:szCs w:val="24"/>
          <w:highlight w:val="none"/>
          <w:u w:val="single"/>
        </w:rPr>
        <w:t>施工组织设计、管理人员架构表，于开工前三天报。提交工程年、季、月度计划及进度统计报表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3）承担施工安全保卫工作及非夜间施工照明的责任和要求：</w:t>
      </w:r>
      <w:r>
        <w:rPr>
          <w:rFonts w:hint="eastAsia" w:ascii="宋体" w:hAnsi="宋体" w:cs="宋体"/>
          <w:color w:val="auto"/>
          <w:sz w:val="24"/>
          <w:szCs w:val="24"/>
          <w:highlight w:val="none"/>
          <w:u w:val="single"/>
        </w:rPr>
        <w:t>按招标文件要求及国家、省、市、区相关规定执行，并满足本工程需要</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根据工程需要，提供和维护施工使用的照明、围栏设施和警卫，并负责整个现场的安全生产和绿色施工、安全保卫。</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承包人自行解决办公、交通、生活及通讯等设施，费用已包含在本工程中标总造价中；</w:t>
      </w:r>
      <w:r>
        <w:rPr>
          <w:rFonts w:ascii="宋体" w:hAnsi="宋体" w:cs="宋体"/>
          <w:color w:val="auto"/>
          <w:sz w:val="24"/>
          <w:szCs w:val="24"/>
          <w:highlight w:val="none"/>
        </w:rPr>
        <w:t>向发包人或监理工程师提供的办公、交通和生活、通讯设施的要求：</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5）需承包人办理有关施工场地交通、环卫和施工噪音管理等手续：</w:t>
      </w:r>
      <w:r>
        <w:rPr>
          <w:rFonts w:hint="eastAsia" w:ascii="宋体" w:hAnsi="宋体" w:cs="宋体"/>
          <w:color w:val="auto"/>
          <w:sz w:val="24"/>
          <w:szCs w:val="24"/>
          <w:highlight w:val="none"/>
          <w:u w:val="single"/>
        </w:rPr>
        <w:t>承包人按本合同通用条款要求执行，并承担相关费用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）已完工程成品保护的特殊要求及费用承担：</w:t>
      </w:r>
      <w:r>
        <w:rPr>
          <w:rFonts w:hint="eastAsia" w:ascii="宋体" w:hAnsi="宋体" w:cs="宋体"/>
          <w:color w:val="auto"/>
          <w:sz w:val="24"/>
          <w:szCs w:val="24"/>
          <w:highlight w:val="none"/>
          <w:u w:val="single"/>
        </w:rPr>
        <w:t>按本合同通用条款执行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）施工场地周围地下管线和邻近建筑物、构筑物（含文物保护建筑）、古树名木的保护要求及费用承担：</w:t>
      </w:r>
      <w:r>
        <w:rPr>
          <w:rFonts w:hint="eastAsia" w:ascii="宋体" w:hAnsi="宋体" w:cs="宋体"/>
          <w:color w:val="auto"/>
          <w:sz w:val="24"/>
          <w:szCs w:val="24"/>
          <w:highlight w:val="none"/>
          <w:u w:val="single"/>
        </w:rPr>
        <w:t>除文物保护外的保护费全部由承包人承担</w:t>
      </w:r>
      <w:r>
        <w:rPr>
          <w:rFonts w:hint="eastAsia" w:ascii="宋体" w:hAnsi="宋体" w:cs="宋体"/>
          <w:color w:val="auto"/>
          <w:sz w:val="24"/>
          <w:szCs w:val="24"/>
          <w:highlight w:val="none"/>
        </w:rPr>
        <w:t>。</w:t>
      </w:r>
    </w:p>
    <w:p>
      <w:pPr>
        <w:snapToGrid w:val="0"/>
        <w:spacing w:line="440" w:lineRule="exact"/>
        <w:ind w:left="0"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施工场地清洁卫生的要求：</w:t>
      </w:r>
      <w:r>
        <w:rPr>
          <w:rFonts w:hint="eastAsia" w:ascii="宋体" w:hAnsi="宋体" w:cs="宋体"/>
          <w:color w:val="auto"/>
          <w:sz w:val="24"/>
          <w:szCs w:val="24"/>
          <w:highlight w:val="none"/>
          <w:u w:val="single"/>
        </w:rPr>
        <w:t>满足</w:t>
      </w:r>
      <w:r>
        <w:rPr>
          <w:rFonts w:hint="eastAsia" w:ascii="宋体" w:hAnsi="宋体" w:cs="宋体"/>
          <w:color w:val="auto"/>
          <w:spacing w:val="-10"/>
          <w:sz w:val="24"/>
          <w:szCs w:val="24"/>
          <w:highlight w:val="none"/>
          <w:u w:val="single"/>
        </w:rPr>
        <w:t>文明施工要求及广州市、黄埔区关于扬尘治理的有关要求</w:t>
      </w:r>
      <w:r>
        <w:rPr>
          <w:rFonts w:hint="eastAsia" w:ascii="宋体" w:hAnsi="宋体" w:cs="宋体"/>
          <w:color w:val="auto"/>
          <w:spacing w:val="-10"/>
          <w:sz w:val="24"/>
          <w:szCs w:val="24"/>
          <w:highlight w:val="none"/>
        </w:rPr>
        <w:t>。</w:t>
      </w:r>
      <w:r>
        <w:rPr>
          <w:rFonts w:hint="eastAsia" w:ascii="宋体" w:hAnsi="宋体" w:cs="宋体"/>
          <w:color w:val="auto"/>
          <w:sz w:val="24"/>
          <w:szCs w:val="24"/>
          <w:highlight w:val="none"/>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9）双方约定承包人应做的其他工作：</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①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承包人应按照《广州市住房和城乡建设局关于规范房屋建筑工程施工承发包管理的通知》(穗建规字〔2019〕10号)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注：总承包工程适用本条款）</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依法分包的专业工程和劳务工程的承包人实施统一管理，督促落实实名制管理。发包人及监理单位将不定期抽查承包人实名制管理的执行情况，如发现违反本合同有关约定的，将追究承包人相应违约责任。</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③承包人应按照《广州市建设领域工人工资支付分账管理实施细则》的规定选择商业银行开立工人工资支付专用账户，在用工之日起</w:t>
      </w:r>
      <w:r>
        <w:rPr>
          <w:rFonts w:ascii="宋体" w:hAnsi="宋体" w:cs="宋体"/>
          <w:color w:val="auto"/>
          <w:sz w:val="24"/>
          <w:szCs w:val="24"/>
          <w:highlight w:val="none"/>
        </w:rPr>
        <w:t>15日内为每个工人办理工人工资个人账户，保证按时足额支付工人工资。承包人应对</w:t>
      </w:r>
      <w:r>
        <w:rPr>
          <w:rFonts w:hint="eastAsia" w:ascii="宋体" w:hAnsi="宋体" w:cs="宋体"/>
          <w:color w:val="auto"/>
          <w:sz w:val="24"/>
          <w:szCs w:val="24"/>
          <w:highlight w:val="none"/>
        </w:rPr>
        <w:t>依法分包的专业工程和劳务工程的承包人实施统一管理，严格按国家、省、市关于农民工工资实施总承包单位代发制度的相关规定代发分包单位工人工资。</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④承包人应当建立工人考勤、工资结算和支付等管理台账，存档备查，并将相关信息按月报送发包人及监理单位。</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10）承包人应在本项目中投入使用燃料电池汽车等新能源工程车,且投入数量占本项目投入的建筑垃圾自卸车（渣土车）总数比例不得低于</w:t>
      </w:r>
      <w:r>
        <w:rPr>
          <w:rFonts w:hint="eastAsia" w:ascii="宋体" w:hAnsi="宋体" w:cs="宋体"/>
          <w:color w:val="auto"/>
          <w:sz w:val="24"/>
          <w:szCs w:val="24"/>
          <w:highlight w:val="none"/>
        </w:rPr>
        <w:t>40</w:t>
      </w:r>
      <w:r>
        <w:rPr>
          <w:rFonts w:ascii="宋体" w:hAnsi="宋体" w:cs="宋体"/>
          <w:color w:val="auto"/>
          <w:sz w:val="24"/>
          <w:szCs w:val="24"/>
          <w:highlight w:val="none"/>
        </w:rPr>
        <w:t xml:space="preserve"> %（按投标承诺），相关费用已包含在合同价中，不另行计取。</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11）承包人应当建立燃料电池汽车等新能源工程车投入管理台账备查，并将投入现场的影像等相关资料按要求报送发包人及监理单位核查。</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三、施工组织设计和工期</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10</w:t>
      </w:r>
      <w:r>
        <w:rPr>
          <w:rFonts w:hint="eastAsia" w:ascii="宋体" w:hAnsi="宋体" w:cs="宋体"/>
          <w:b/>
          <w:color w:val="auto"/>
          <w:sz w:val="24"/>
          <w:szCs w:val="24"/>
          <w:highlight w:val="none"/>
        </w:rPr>
        <w:t>、进度计划</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10.1</w:t>
      </w:r>
      <w:r>
        <w:rPr>
          <w:rFonts w:hint="eastAsia" w:ascii="宋体" w:hAnsi="宋体" w:cs="宋体"/>
          <w:color w:val="auto"/>
          <w:sz w:val="24"/>
          <w:szCs w:val="24"/>
          <w:highlight w:val="none"/>
        </w:rPr>
        <w:t>承包人提供施工组织设计</w:t>
      </w:r>
      <w:r>
        <w:rPr>
          <w:rFonts w:ascii="宋体" w:hAnsi="宋体" w:cs="宋体"/>
          <w:color w:val="auto"/>
          <w:sz w:val="24"/>
          <w:szCs w:val="24"/>
          <w:highlight w:val="none"/>
        </w:rPr>
        <w:t>(施工方案)和进度计划时间：</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承包人应于接到中标通知书后</w:t>
      </w:r>
      <w:r>
        <w:rPr>
          <w:rFonts w:ascii="宋体" w:hAnsi="宋体" w:cs="宋体"/>
          <w:color w:val="auto"/>
          <w:sz w:val="24"/>
          <w:szCs w:val="24"/>
          <w:highlight w:val="none"/>
          <w:u w:val="single"/>
        </w:rPr>
        <w:t>4天内向发包人提交总体工程进度计划（网络计划），并</w:t>
      </w:r>
      <w:r>
        <w:rPr>
          <w:rFonts w:hint="eastAsia" w:ascii="宋体" w:hAnsi="宋体" w:cs="宋体"/>
          <w:color w:val="auto"/>
          <w:sz w:val="24"/>
          <w:szCs w:val="24"/>
          <w:highlight w:val="none"/>
          <w:u w:val="single"/>
        </w:rPr>
        <w:t>于开工前</w:t>
      </w:r>
      <w:r>
        <w:rPr>
          <w:rFonts w:ascii="宋体" w:hAnsi="宋体" w:cs="宋体"/>
          <w:color w:val="auto"/>
          <w:sz w:val="24"/>
          <w:szCs w:val="24"/>
          <w:highlight w:val="none"/>
          <w:u w:val="single"/>
        </w:rPr>
        <w:t>3天内提交施工组织设计（施工方案）给发包人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承包人提交的施工组织设计应当按监理工程师及国家、省、市及广州开发区关于施工承包管理的要求编制</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总监理工程师在接到承包人提交的施工组织设计和工程进度计划后，予以确认或提出修改意见</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工程师确认的时间：</w:t>
      </w:r>
      <w:r>
        <w:rPr>
          <w:rFonts w:hint="eastAsia" w:ascii="宋体" w:hAnsi="宋体" w:cs="宋体"/>
          <w:color w:val="auto"/>
          <w:sz w:val="24"/>
          <w:szCs w:val="24"/>
          <w:highlight w:val="none"/>
          <w:u w:val="single"/>
        </w:rPr>
        <w:t>开工前</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10.2</w:t>
      </w:r>
      <w:r>
        <w:rPr>
          <w:rFonts w:hint="eastAsia" w:ascii="宋体" w:hAnsi="宋体" w:cs="宋体"/>
          <w:color w:val="auto"/>
          <w:sz w:val="24"/>
          <w:szCs w:val="24"/>
          <w:highlight w:val="none"/>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10.3</w:t>
      </w:r>
      <w:r>
        <w:rPr>
          <w:rFonts w:hint="eastAsia" w:ascii="宋体" w:hAnsi="宋体" w:cs="宋体"/>
          <w:color w:val="auto"/>
          <w:sz w:val="24"/>
          <w:szCs w:val="24"/>
          <w:highlight w:val="none"/>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w:t>
      </w:r>
      <w:r>
        <w:rPr>
          <w:rFonts w:ascii="宋体" w:hAnsi="宋体" w:cs="宋体"/>
          <w:color w:val="auto"/>
          <w:sz w:val="24"/>
          <w:szCs w:val="24"/>
          <w:highlight w:val="none"/>
          <w:u w:val="single"/>
        </w:rPr>
        <w:t>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11、开工及延期开工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w:t>
      </w:r>
      <w:r>
        <w:rPr>
          <w:rFonts w:hint="eastAsia" w:ascii="宋体" w:hAnsi="宋体" w:cs="宋体"/>
          <w:color w:val="auto"/>
          <w:sz w:val="24"/>
          <w:szCs w:val="24"/>
          <w:highlight w:val="none"/>
        </w:rPr>
        <w:t>开工日期和竣工日期</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11.1.1</w:t>
      </w:r>
      <w:r>
        <w:rPr>
          <w:rFonts w:hint="eastAsia" w:ascii="宋体" w:hAnsi="宋体" w:cs="宋体"/>
          <w:color w:val="auto"/>
          <w:sz w:val="24"/>
          <w:szCs w:val="24"/>
          <w:highlight w:val="none"/>
        </w:rPr>
        <w:t>本工程工期为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日历天。其中开工时间初定为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日。（具体开工日期以发包人或监理单位开工令或批准的开工报告日期为准）</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11.1.2</w:t>
      </w:r>
      <w:r>
        <w:rPr>
          <w:rFonts w:hint="eastAsia" w:ascii="宋体" w:hAnsi="宋体" w:cs="宋体"/>
          <w:color w:val="auto"/>
          <w:sz w:val="24"/>
          <w:szCs w:val="24"/>
          <w:highlight w:val="none"/>
        </w:rPr>
        <w:t>承包人必须采取一切有效措施保证竣工日期，不得延误。除非发生了以下情形：</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政府对本工程建设项目作出停建、缓建的决定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重大设计变更导致本工程在规划、使用、功能方面有重大调整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不可抗力持续影响而延误工期超过</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天以上</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本合同专用条款约定的其他非承包人原因导致的工期延误</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11.2</w:t>
      </w:r>
      <w:r>
        <w:rPr>
          <w:rFonts w:hint="eastAsia" w:ascii="宋体" w:hAnsi="宋体" w:cs="宋体"/>
          <w:color w:val="auto"/>
          <w:sz w:val="24"/>
          <w:szCs w:val="24"/>
          <w:highlight w:val="none"/>
        </w:rPr>
        <w:t>延期开工：</w:t>
      </w:r>
    </w:p>
    <w:p>
      <w:pPr>
        <w:adjustRightInd w:val="0"/>
        <w:snapToGrid w:val="0"/>
        <w:spacing w:line="440" w:lineRule="exact"/>
        <w:ind w:right="11" w:firstLine="420" w:firstLineChars="175"/>
        <w:rPr>
          <w:rFonts w:ascii="宋体" w:hAnsi="宋体" w:cs="宋体"/>
          <w:color w:val="auto"/>
          <w:sz w:val="24"/>
          <w:szCs w:val="24"/>
          <w:highlight w:val="none"/>
          <w:u w:val="single"/>
        </w:rPr>
      </w:pPr>
      <w:r>
        <w:rPr>
          <w:rFonts w:ascii="宋体" w:hAnsi="宋体" w:cs="宋体"/>
          <w:color w:val="auto"/>
          <w:sz w:val="24"/>
          <w:szCs w:val="24"/>
          <w:highlight w:val="none"/>
        </w:rPr>
        <w:t>11.2.1</w:t>
      </w:r>
      <w:r>
        <w:rPr>
          <w:rFonts w:hint="eastAsia" w:ascii="宋体" w:hAnsi="宋体" w:cs="宋体"/>
          <w:color w:val="auto"/>
          <w:sz w:val="24"/>
          <w:szCs w:val="24"/>
          <w:highlight w:val="none"/>
          <w:u w:val="single"/>
        </w:rPr>
        <w:t>因发包人原因不能按照协议书约定的开工日期开工或暂停施工的，总监理工程师应通知承包人推迟开工日期，经监理单位、发包人确认后，工期可相应顺延，但不作费用补偿</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11.2.2</w:t>
      </w:r>
      <w:r>
        <w:rPr>
          <w:rFonts w:hint="eastAsia" w:ascii="宋体" w:hAnsi="宋体" w:cs="宋体"/>
          <w:color w:val="auto"/>
          <w:sz w:val="24"/>
          <w:szCs w:val="24"/>
          <w:highlight w:val="none"/>
          <w:u w:val="single"/>
        </w:rPr>
        <w:t>承包人未能主动及时地履行其协调、配合服务义务而造成专业承包单位无法开工，由此产生的工期延误等损失由承包人承担，并承担违约责任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12、暂停施工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12.1因下列原因，总监理工程师报经发包人同意，可通知承包人暂停施工：</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工程设计发生重大变更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不可抗力</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质量事故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安全生产事故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因承包人管理不善，可能导致现场混乱</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承包人违规施工，经监理工程师通知改正但仍不执行</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承包人不得以与发包人有争议为由或者以争议未解决为由而单方面停工。否则，应按约定承担工期延误的违约责任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因发生上述第（</w:t>
      </w:r>
      <w:r>
        <w:rPr>
          <w:rFonts w:ascii="宋体" w:hAnsi="宋体" w:cs="宋体"/>
          <w:color w:val="auto"/>
          <w:sz w:val="24"/>
          <w:szCs w:val="24"/>
          <w:highlight w:val="none"/>
          <w:u w:val="single"/>
        </w:rPr>
        <w:t>1）、（2）项原因而暂停施工</w:t>
      </w:r>
      <w:r>
        <w:rPr>
          <w:rFonts w:hint="eastAsia" w:ascii="宋体" w:hAnsi="宋体" w:cs="宋体"/>
          <w:color w:val="auto"/>
          <w:sz w:val="24"/>
          <w:szCs w:val="24"/>
          <w:highlight w:val="none"/>
          <w:u w:val="single"/>
        </w:rPr>
        <w:t>的，工期可协商调整，因发生上述第（</w:t>
      </w:r>
      <w:r>
        <w:rPr>
          <w:rFonts w:ascii="宋体" w:hAnsi="宋体" w:cs="宋体"/>
          <w:color w:val="auto"/>
          <w:sz w:val="24"/>
          <w:szCs w:val="24"/>
          <w:highlight w:val="none"/>
          <w:u w:val="single"/>
        </w:rPr>
        <w:t>3）、（4）、（5）、（6）项原因而暂停施工</w:t>
      </w:r>
      <w:r>
        <w:rPr>
          <w:rFonts w:hint="eastAsia" w:ascii="宋体" w:hAnsi="宋体" w:cs="宋体"/>
          <w:color w:val="auto"/>
          <w:sz w:val="24"/>
          <w:szCs w:val="24"/>
          <w:highlight w:val="none"/>
          <w:u w:val="single"/>
        </w:rPr>
        <w:t>的，工期不予顺延</w:t>
      </w:r>
      <w:r>
        <w:rPr>
          <w:rFonts w:ascii="宋体" w:hAnsi="宋体" w:cs="宋体"/>
          <w:color w:val="auto"/>
          <w:sz w:val="24"/>
          <w:szCs w:val="24"/>
          <w:highlight w:val="none"/>
          <w:u w:val="single"/>
        </w:rPr>
        <w:t>,承包人必须承担由此发生的费用并向发包人承担违约责任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12.2为了保证工程质量安全，凡</w:t>
      </w:r>
      <w:r>
        <w:rPr>
          <w:rFonts w:hint="eastAsia" w:ascii="宋体" w:hAnsi="宋体" w:cs="宋体"/>
          <w:color w:val="auto"/>
          <w:sz w:val="24"/>
          <w:szCs w:val="24"/>
          <w:highlight w:val="none"/>
        </w:rPr>
        <w:t>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拒绝监理单位管理</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施工组织设计（方案）未获总监理工程师批准而进行施工</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未经监理单位检验而进行下一道工序作业者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擅自采用未经监理单位及发包人认可或批准的材料的，或者使用的原材料、构配件不合格或未经检查确认的，或者擅自采用未经认可的代用材料的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擅自变更设计图纸的要求</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转包工程</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擅自让未经总监理工程师批准的专业承包单位进场作业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存在安全隐患，未按监理单位要求及时进行整改</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未按双方约定的资料上报要求上报所需资料的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12.3因不可抗力引起工程停工，工期按</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第12.1款</w:t>
      </w:r>
      <w:r>
        <w:rPr>
          <w:rFonts w:hint="eastAsia" w:ascii="宋体" w:hAnsi="宋体" w:cs="宋体"/>
          <w:color w:val="auto"/>
          <w:sz w:val="24"/>
          <w:szCs w:val="24"/>
          <w:highlight w:val="none"/>
        </w:rPr>
        <w:t>约定执行，费用承担按以下原则：</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因工程损害导致第三方人员伤亡和财产损失，如系在工程竣工验收合格移交给发包人使用前造成的，费用由承包人承担；如系在工程竣工验收合格移交给发包人使用后发生的，费用由发包人承担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运至施工场地用于施工的材料和待安装的设备的损害，属发包人供应的由发包人承担；属承包人采购的由承包人承担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发包人承包人人员伤亡由其所在单位负责，并承担相应费用</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承包人机械设备损坏及停工损失由承包人承担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停工期间，承包人应总监理工程师要求留在施工场地的必要的管理人员及保卫人员的费用由承包人承担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工程所需清理、修复费用由发包人承担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w:t>
      </w:r>
      <w:r>
        <w:rPr>
          <w:rFonts w:hint="eastAsia" w:ascii="宋体" w:hAnsi="宋体" w:cs="宋体"/>
          <w:color w:val="auto"/>
          <w:sz w:val="24"/>
          <w:szCs w:val="24"/>
          <w:highlight w:val="none"/>
          <w:u w:val="single"/>
        </w:rPr>
        <w:t>由于承包人自身原因或施工承包管理、配合及协调不力，而导致专业承包工程停工，产生的费用由承包人承担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13、工期延误</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13.2</w:t>
      </w:r>
      <w:r>
        <w:rPr>
          <w:rFonts w:hint="eastAsia" w:ascii="宋体" w:hAnsi="宋体" w:cs="宋体"/>
          <w:color w:val="auto"/>
          <w:sz w:val="24"/>
          <w:szCs w:val="24"/>
          <w:highlight w:val="none"/>
          <w:u w:val="single"/>
        </w:rPr>
        <w:t>对于非因承包人原因发生的工期延误，承包人应当在工期延误事件发生后</w:t>
      </w:r>
      <w:r>
        <w:rPr>
          <w:rFonts w:ascii="宋体" w:hAnsi="宋体" w:cs="宋体"/>
          <w:color w:val="auto"/>
          <w:sz w:val="24"/>
          <w:szCs w:val="24"/>
          <w:highlight w:val="none"/>
          <w:u w:val="single"/>
        </w:rPr>
        <w:t>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四、质量与验收</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15、工程质量</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15.3</w:t>
      </w:r>
      <w:r>
        <w:rPr>
          <w:rFonts w:hint="eastAsia" w:ascii="宋体" w:hAnsi="宋体" w:cs="宋体"/>
          <w:bCs/>
          <w:color w:val="auto"/>
          <w:sz w:val="24"/>
          <w:szCs w:val="24"/>
          <w:highlight w:val="none"/>
          <w:u w:val="single"/>
        </w:rPr>
        <w:t>承包人必须严格按照设计施工图和国家及行业颁发的现行有关设计、施工及验收规范的要求进行施工，确保工程质量，</w:t>
      </w:r>
      <w:r>
        <w:rPr>
          <w:rFonts w:hint="eastAsia" w:ascii="宋体" w:hAnsi="宋体" w:cs="宋体"/>
          <w:bCs/>
          <w:color w:val="auto"/>
          <w:sz w:val="24"/>
          <w:szCs w:val="24"/>
          <w:highlight w:val="none"/>
        </w:rPr>
        <w:t>工程的质量标准要求合格，且达到投标承诺的质量标准</w:t>
      </w:r>
      <w:r>
        <w:rPr>
          <w:rFonts w:hint="eastAsia" w:ascii="宋体" w:hAnsi="宋体" w:cs="宋体"/>
          <w:bCs/>
          <w:color w:val="auto"/>
          <w:sz w:val="24"/>
          <w:szCs w:val="24"/>
          <w:highlight w:val="none"/>
          <w:u w:val="single"/>
        </w:rPr>
        <w:t>。承包人对图纸中存在的问题有责任和义务提前以书面形式报告工程师及发包人，以供发包人同监理人核实并及时要求设计方修改设计图纸</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15.4</w:t>
      </w:r>
      <w:r>
        <w:rPr>
          <w:rFonts w:hint="eastAsia" w:ascii="宋体" w:hAnsi="宋体" w:cs="宋体"/>
          <w:bCs/>
          <w:color w:val="auto"/>
          <w:sz w:val="24"/>
          <w:szCs w:val="24"/>
          <w:highlight w:val="none"/>
          <w:u w:val="single"/>
        </w:rPr>
        <w:t>本工程项目的所有材料、设备及配件须达到现行中华人民共和国以及省、自治区、直辖市或行业的工程建设标准、规范的要求，产品应有生产许可证书、出厂合格证书，经监理工程师和发包人代表认可后方可使用</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15.5</w:t>
      </w:r>
      <w:r>
        <w:rPr>
          <w:rFonts w:hint="eastAsia" w:ascii="宋体" w:hAnsi="宋体" w:cs="宋体"/>
          <w:bCs/>
          <w:color w:val="auto"/>
          <w:sz w:val="24"/>
          <w:szCs w:val="24"/>
          <w:highlight w:val="none"/>
          <w:u w:val="single"/>
        </w:rPr>
        <w:t>工程质量不符合设计要求、质量不合格者，监理工程师可指令承包人停工或返工，返工费用由承包人承担，工期不予顺延</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15.6</w:t>
      </w:r>
      <w:r>
        <w:rPr>
          <w:rFonts w:hint="eastAsia" w:ascii="宋体" w:hAnsi="宋体" w:cs="宋体"/>
          <w:bCs/>
          <w:color w:val="auto"/>
          <w:sz w:val="24"/>
          <w:szCs w:val="24"/>
          <w:highlight w:val="none"/>
          <w:u w:val="single"/>
        </w:rPr>
        <w:t>发生须紧急抢修事故，承包人接到通知后，应立即到达事故现场抢修；否则，发包人可以另委托单位抢修，属承包人施工质量问题造成的修复等费用全部由承包人承担</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15.7</w:t>
      </w:r>
      <w:r>
        <w:rPr>
          <w:rFonts w:hint="eastAsia" w:ascii="宋体" w:hAnsi="宋体" w:cs="宋体"/>
          <w:bCs/>
          <w:color w:val="auto"/>
          <w:sz w:val="24"/>
          <w:szCs w:val="24"/>
          <w:highlight w:val="none"/>
          <w:u w:val="single"/>
        </w:rPr>
        <w:t>本工程按照本合同专用条款</w:t>
      </w:r>
      <w:r>
        <w:rPr>
          <w:rFonts w:ascii="宋体" w:hAnsi="宋体" w:cs="宋体"/>
          <w:bCs/>
          <w:color w:val="auto"/>
          <w:sz w:val="24"/>
          <w:szCs w:val="24"/>
          <w:highlight w:val="none"/>
          <w:u w:val="single"/>
        </w:rPr>
        <w:t>3.3的约定进行质量验收。若承包人有违反操作规程和标准或施工质量不符合规定的，发包人及监理工程师有权令其停止（或暂停）施工，由此造成的损失均由承包人负责。如在施工过程中颁发新的</w:t>
      </w:r>
      <w:r>
        <w:rPr>
          <w:rFonts w:hint="eastAsia" w:ascii="宋体" w:hAnsi="宋体" w:cs="宋体"/>
          <w:bCs/>
          <w:color w:val="auto"/>
          <w:sz w:val="24"/>
          <w:szCs w:val="24"/>
          <w:highlight w:val="none"/>
          <w:u w:val="single"/>
        </w:rPr>
        <w:t>质量标准规范版本的，是否采用新版本规定，由监理工程师与有关各方洽商决定</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16、检查和返工</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16.3工程师的检查检验：</w:t>
      </w:r>
      <w:r>
        <w:rPr>
          <w:rFonts w:hint="eastAsia" w:ascii="宋体" w:hAnsi="宋体" w:cs="宋体"/>
          <w:bCs/>
          <w:color w:val="auto"/>
          <w:sz w:val="24"/>
          <w:szCs w:val="24"/>
          <w:highlight w:val="none"/>
          <w:u w:val="single"/>
        </w:rPr>
        <w:t>工程师按规范、标准、设计图纸要求和频率所进行的检查检测不应成为承包人工期顺延的理由</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17</w:t>
      </w:r>
      <w:r>
        <w:rPr>
          <w:rFonts w:hint="eastAsia" w:ascii="宋体" w:hAnsi="宋体" w:cs="宋体"/>
          <w:b/>
          <w:color w:val="auto"/>
          <w:sz w:val="24"/>
          <w:szCs w:val="24"/>
          <w:highlight w:val="none"/>
        </w:rPr>
        <w:t>、隐蔽工程和中间验收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17.1</w:t>
      </w:r>
      <w:r>
        <w:rPr>
          <w:rFonts w:hint="eastAsia" w:ascii="宋体" w:hAnsi="宋体" w:cs="宋体"/>
          <w:color w:val="auto"/>
          <w:sz w:val="24"/>
          <w:szCs w:val="24"/>
          <w:highlight w:val="none"/>
        </w:rPr>
        <w:t>双方约定中间验收部位：</w:t>
      </w:r>
      <w:r>
        <w:rPr>
          <w:rFonts w:hint="eastAsia" w:ascii="宋体" w:hAnsi="宋体" w:cs="宋体"/>
          <w:color w:val="auto"/>
          <w:sz w:val="24"/>
          <w:szCs w:val="24"/>
          <w:highlight w:val="none"/>
          <w:u w:val="single"/>
        </w:rPr>
        <w:t>按相应工程施工及验收规范要求执行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19</w:t>
      </w:r>
      <w:r>
        <w:rPr>
          <w:rFonts w:hint="eastAsia" w:ascii="宋体" w:hAnsi="宋体" w:cs="宋体"/>
          <w:b/>
          <w:color w:val="auto"/>
          <w:sz w:val="24"/>
          <w:szCs w:val="24"/>
          <w:highlight w:val="none"/>
        </w:rPr>
        <w:t>、工程试车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19.5</w:t>
      </w:r>
      <w:r>
        <w:rPr>
          <w:rFonts w:hint="eastAsia" w:ascii="宋体" w:hAnsi="宋体" w:cs="宋体"/>
          <w:color w:val="auto"/>
          <w:sz w:val="24"/>
          <w:szCs w:val="24"/>
          <w:highlight w:val="none"/>
        </w:rPr>
        <w:t>试车费用的承担：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b/>
          <w:color w:val="auto"/>
          <w:sz w:val="24"/>
          <w:szCs w:val="24"/>
          <w:highlight w:val="none"/>
        </w:rPr>
        <w:t>五、安全施工</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20、安全施工与检查</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20.3</w:t>
      </w:r>
      <w:r>
        <w:rPr>
          <w:rFonts w:hint="eastAsia" w:ascii="宋体" w:hAnsi="宋体" w:cs="宋体"/>
          <w:color w:val="auto"/>
          <w:sz w:val="24"/>
          <w:szCs w:val="24"/>
          <w:highlight w:val="none"/>
          <w:u w:val="single"/>
        </w:rPr>
        <w:t>承包人应建立安全责任制，明确各部门安全工作的岗位责任人，建立健全正常运转的各种安全工作保证体系和规章制度，将安全生产目标分解落实到实处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20.4</w:t>
      </w:r>
      <w:r>
        <w:rPr>
          <w:rFonts w:hint="eastAsia" w:ascii="宋体" w:hAnsi="宋体" w:cs="宋体"/>
          <w:color w:val="auto"/>
          <w:sz w:val="24"/>
          <w:szCs w:val="24"/>
          <w:highlight w:val="none"/>
          <w:u w:val="single"/>
        </w:rPr>
        <w:t>承包人按规定数量配置安全员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20.5</w:t>
      </w:r>
      <w:r>
        <w:rPr>
          <w:rFonts w:hint="eastAsia" w:ascii="宋体" w:hAnsi="宋体" w:cs="宋体"/>
          <w:color w:val="auto"/>
          <w:sz w:val="24"/>
          <w:szCs w:val="24"/>
          <w:highlight w:val="none"/>
          <w:u w:val="single"/>
        </w:rPr>
        <w:t>承包人在开工前须向质量安全监督机构提交备案的书面资料</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20.6</w:t>
      </w:r>
      <w:r>
        <w:rPr>
          <w:rFonts w:hint="eastAsia" w:ascii="宋体" w:hAnsi="宋体" w:cs="宋体"/>
          <w:color w:val="auto"/>
          <w:sz w:val="24"/>
          <w:szCs w:val="24"/>
          <w:highlight w:val="none"/>
          <w:u w:val="single"/>
        </w:rPr>
        <w:t>承包人在编制施工组织设计时，应当根据工程的特点编制相应的安全技术措施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20.7</w:t>
      </w:r>
      <w:r>
        <w:rPr>
          <w:rFonts w:hint="eastAsia" w:ascii="宋体" w:hAnsi="宋体" w:cs="宋体"/>
          <w:color w:val="auto"/>
          <w:sz w:val="24"/>
          <w:szCs w:val="24"/>
          <w:highlight w:val="none"/>
          <w:u w:val="single"/>
        </w:rPr>
        <w:t>承包人按有关安全和防护的规定组织施工生产，不得使用不合标准的防护器材、机具和材料</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20.8</w:t>
      </w:r>
      <w:r>
        <w:rPr>
          <w:rFonts w:hint="eastAsia" w:ascii="宋体" w:hAnsi="宋体" w:cs="宋体"/>
          <w:color w:val="auto"/>
          <w:sz w:val="24"/>
          <w:szCs w:val="24"/>
          <w:highlight w:val="none"/>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21、安全防护</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21.3</w:t>
      </w:r>
      <w:r>
        <w:rPr>
          <w:rFonts w:hint="eastAsia" w:ascii="宋体" w:hAnsi="宋体" w:cs="宋体"/>
          <w:color w:val="auto"/>
          <w:sz w:val="24"/>
          <w:szCs w:val="24"/>
          <w:highlight w:val="none"/>
          <w:u w:val="single"/>
        </w:rPr>
        <w:t>承包人应在施工现场采取维护安全、防范危险、预防火灾等措施，在特殊作业环境应对作业人员采取劳动保护措施</w:t>
      </w:r>
      <w:r>
        <w:rPr>
          <w:rFonts w:hint="eastAsia" w:ascii="宋体" w:hAnsi="宋体" w:cs="宋体"/>
          <w:color w:val="auto"/>
          <w:sz w:val="24"/>
          <w:szCs w:val="24"/>
          <w:highlight w:val="none"/>
        </w:rPr>
        <w:t>。</w:t>
      </w:r>
    </w:p>
    <w:p>
      <w:pPr>
        <w:tabs>
          <w:tab w:val="left" w:pos="2340"/>
        </w:tabs>
        <w:spacing w:line="44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21.4</w:t>
      </w:r>
      <w:r>
        <w:rPr>
          <w:rFonts w:hint="eastAsia" w:ascii="宋体" w:hAnsi="宋体" w:cs="宋体"/>
          <w:color w:val="auto"/>
          <w:sz w:val="24"/>
          <w:szCs w:val="24"/>
          <w:highlight w:val="none"/>
          <w:u w:val="single"/>
        </w:rPr>
        <w:t>承包人应加强周边学校、居民住宅的环境保护，制定绿色施工安全防护措施（包括防尘、防噪音、施工围蔽等），施工现场严格按照</w:t>
      </w:r>
      <w:r>
        <w:rPr>
          <w:rFonts w:hint="eastAsia" w:ascii="宋体" w:hAnsi="宋体"/>
          <w:color w:val="auto"/>
          <w:kern w:val="0"/>
          <w:sz w:val="24"/>
          <w:szCs w:val="24"/>
          <w:highlight w:val="none"/>
        </w:rPr>
        <w:t>《广东省建设工程施工扬尘污染防治管理办法（试行）》（粤办函〔2017〕708号）、</w:t>
      </w:r>
      <w:r>
        <w:rPr>
          <w:rFonts w:hint="eastAsia" w:ascii="宋体" w:hAnsi="宋体" w:cs="宋体"/>
          <w:color w:val="auto"/>
          <w:sz w:val="24"/>
          <w:szCs w:val="24"/>
          <w:highlight w:val="none"/>
          <w:u w:val="single"/>
        </w:rPr>
        <w:t>《广州市建设工程文明施工管理规定》（广州市人民政府令第</w:t>
      </w:r>
      <w:r>
        <w:rPr>
          <w:rFonts w:ascii="宋体" w:hAnsi="宋体" w:cs="宋体"/>
          <w:color w:val="auto"/>
          <w:sz w:val="24"/>
          <w:szCs w:val="24"/>
          <w:highlight w:val="none"/>
          <w:u w:val="single"/>
        </w:rPr>
        <w:t>158</w:t>
      </w:r>
      <w:r>
        <w:rPr>
          <w:rFonts w:hint="eastAsia" w:ascii="宋体" w:hAnsi="宋体" w:cs="宋体"/>
          <w:color w:val="auto"/>
          <w:sz w:val="24"/>
          <w:szCs w:val="24"/>
          <w:highlight w:val="none"/>
          <w:u w:val="single"/>
        </w:rPr>
        <w:t>号）、《广州市建设工程现场文明施工管理办法》（</w:t>
      </w:r>
      <w:r>
        <w:rPr>
          <w:rFonts w:hint="eastAsia" w:ascii="宋体" w:hAnsi="宋体" w:cs="宋体"/>
          <w:bCs/>
          <w:smallCaps/>
          <w:color w:val="auto"/>
          <w:sz w:val="24"/>
          <w:szCs w:val="24"/>
          <w:highlight w:val="none"/>
          <w:u w:val="single"/>
        </w:rPr>
        <w:t>穗建质</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2008〕</w:t>
      </w:r>
      <w:r>
        <w:rPr>
          <w:rFonts w:ascii="宋体" w:hAnsi="宋体" w:cs="宋体"/>
          <w:bCs/>
          <w:smallCaps/>
          <w:color w:val="auto"/>
          <w:sz w:val="24"/>
          <w:szCs w:val="24"/>
          <w:highlight w:val="none"/>
          <w:u w:val="single"/>
        </w:rPr>
        <w:t>937号）</w:t>
      </w:r>
      <w:r>
        <w:rPr>
          <w:rFonts w:hint="eastAsia" w:ascii="宋体" w:hAnsi="宋体" w:cs="宋体"/>
          <w:color w:val="auto"/>
          <w:sz w:val="24"/>
          <w:szCs w:val="24"/>
          <w:highlight w:val="none"/>
          <w:u w:val="single"/>
        </w:rPr>
        <w:t>、《关于进一步加强我区建设工地文明施工管理的通知》（穗开规建〔</w:t>
      </w:r>
      <w:r>
        <w:rPr>
          <w:rFonts w:ascii="宋体" w:hAnsi="宋体" w:cs="宋体"/>
          <w:color w:val="auto"/>
          <w:sz w:val="24"/>
          <w:szCs w:val="24"/>
          <w:highlight w:val="none"/>
          <w:u w:val="single"/>
        </w:rPr>
        <w:t>2006〕74号）、《广州市住房和城乡建设委员会关于印发建设工程扬尘防治“6个100%”管理标准细化措施的通知》（穗建质〔2018〕1394号）及其他相关规定实施，施工围蔽严格按照</w:t>
      </w:r>
      <w:r>
        <w:rPr>
          <w:rFonts w:hint="eastAsia" w:ascii="宋体" w:hAnsi="宋体" w:cs="宋体"/>
          <w:color w:val="auto"/>
          <w:sz w:val="24"/>
          <w:szCs w:val="24"/>
          <w:highlight w:val="none"/>
          <w:u w:val="single"/>
        </w:rPr>
        <w:t>《关于进一步加强规范建设施工现场围蔽的通知》（穗建质〔</w:t>
      </w:r>
      <w:r>
        <w:rPr>
          <w:rFonts w:ascii="宋体" w:hAnsi="宋体" w:cs="宋体"/>
          <w:color w:val="auto"/>
          <w:sz w:val="24"/>
          <w:szCs w:val="24"/>
          <w:highlight w:val="none"/>
          <w:u w:val="single"/>
        </w:rPr>
        <w:t>2018〕1008号）</w:t>
      </w:r>
      <w:r>
        <w:rPr>
          <w:rFonts w:hint="eastAsia" w:ascii="宋体" w:hAnsi="宋体" w:cs="宋体"/>
          <w:color w:val="auto"/>
          <w:sz w:val="24"/>
          <w:szCs w:val="24"/>
          <w:highlight w:val="none"/>
          <w:u w:val="single"/>
        </w:rPr>
        <w:t>、《广州市建设工程绿色施工围蔽指导图集（</w:t>
      </w:r>
      <w:r>
        <w:rPr>
          <w:rFonts w:ascii="宋体" w:hAnsi="宋体" w:cs="宋体"/>
          <w:color w:val="auto"/>
          <w:sz w:val="24"/>
          <w:szCs w:val="24"/>
          <w:highlight w:val="none"/>
          <w:u w:val="single"/>
        </w:rPr>
        <w:t>V2.0版）》(穗建质〔2020〕1号）</w:t>
      </w:r>
      <w:r>
        <w:rPr>
          <w:rFonts w:hint="eastAsia" w:ascii="宋体" w:hAnsi="宋体" w:cs="宋体"/>
          <w:color w:val="auto"/>
          <w:sz w:val="24"/>
          <w:szCs w:val="24"/>
          <w:highlight w:val="none"/>
          <w:u w:val="single"/>
        </w:rPr>
        <w:t>、</w:t>
      </w:r>
      <w:r>
        <w:rPr>
          <w:rFonts w:hint="eastAsia" w:ascii="宋体" w:hAnsi="宋体"/>
          <w:color w:val="auto"/>
          <w:kern w:val="0"/>
          <w:sz w:val="24"/>
          <w:szCs w:val="24"/>
          <w:highlight w:val="none"/>
        </w:rPr>
        <w:t>《关于在全区建设项目推广使用封闭式外脚手架金属防护网的通知》（穗埔建﹝2019﹞66号）、</w:t>
      </w:r>
      <w:r>
        <w:rPr>
          <w:rFonts w:hint="eastAsia" w:ascii="宋体" w:hAnsi="宋体" w:cs="宋体"/>
          <w:color w:val="auto"/>
          <w:sz w:val="24"/>
          <w:szCs w:val="24"/>
          <w:highlight w:val="none"/>
          <w:u w:val="single"/>
        </w:rPr>
        <w:t>《关于进一步落实我区市政建设项目施工围蔽提升工作的通知》（穗埔建</w:t>
      </w:r>
      <w:r>
        <w:rPr>
          <w:rFonts w:ascii="宋体" w:hAnsi="宋体" w:cs="宋体"/>
          <w:color w:val="auto"/>
          <w:sz w:val="24"/>
          <w:szCs w:val="24"/>
          <w:highlight w:val="none"/>
          <w:u w:val="single"/>
        </w:rPr>
        <w:t>[2019]123号）</w:t>
      </w:r>
      <w:r>
        <w:rPr>
          <w:rFonts w:hint="eastAsia" w:ascii="宋体" w:hAnsi="宋体" w:cs="宋体"/>
          <w:color w:val="auto"/>
          <w:sz w:val="24"/>
          <w:szCs w:val="24"/>
          <w:highlight w:val="none"/>
          <w:u w:val="single"/>
        </w:rPr>
        <w:t>及《黄埔区住房和城乡建设局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广州开发区建设和交通局关于进一步规范全区建设工程施工围蔽标准的通知》（穗埔建﹝</w:t>
      </w:r>
      <w:r>
        <w:rPr>
          <w:rFonts w:ascii="宋体" w:hAnsi="宋体" w:cs="宋体"/>
          <w:color w:val="auto"/>
          <w:sz w:val="24"/>
          <w:szCs w:val="24"/>
          <w:highlight w:val="none"/>
          <w:u w:val="single"/>
        </w:rPr>
        <w:t>2020﹞183号）实施。</w:t>
      </w:r>
      <w:r>
        <w:rPr>
          <w:rFonts w:ascii="宋体" w:hAnsi="宋体" w:cs="宋体"/>
          <w:color w:val="auto"/>
          <w:sz w:val="24"/>
          <w:szCs w:val="24"/>
          <w:highlight w:val="none"/>
        </w:rPr>
        <w:t>以上文件要求不一致的，以后发布文件为准，若相关部门发布有关施工围蔽新文件规定的，按新规定执行。</w:t>
      </w:r>
      <w:r>
        <w:rPr>
          <w:rFonts w:hint="eastAsia" w:ascii="宋体" w:hAnsi="宋体" w:cs="宋体"/>
          <w:color w:val="auto"/>
          <w:sz w:val="24"/>
          <w:szCs w:val="24"/>
          <w:highlight w:val="none"/>
          <w:u w:val="single"/>
        </w:rPr>
        <w:t>如承包人未及时按要求做好围蔽、落实工地扬尘防治等绿色施工安全防护措施，业主可另行委托单位实施，业主在工程款中扣减相应措施费用。承包人应当在项目施工前编制扬尘污染防治专项方案和扬尘污染防治费用使用计划，明确扬尘控制目标、防治部位、控制措施，并将扬尘污染防治费用专项使用。</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21.5</w:t>
      </w:r>
      <w:r>
        <w:rPr>
          <w:rFonts w:hint="eastAsia" w:ascii="宋体" w:hAnsi="宋体" w:cs="宋体"/>
          <w:color w:val="auto"/>
          <w:sz w:val="24"/>
          <w:szCs w:val="24"/>
          <w:highlight w:val="none"/>
          <w:u w:val="single"/>
        </w:rPr>
        <w:t>承包人应按规定对工程施工人员进行安全教育和管理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21.6</w:t>
      </w:r>
      <w:r>
        <w:rPr>
          <w:rFonts w:hint="eastAsia" w:ascii="宋体" w:hAnsi="宋体" w:cs="宋体"/>
          <w:color w:val="auto"/>
          <w:sz w:val="24"/>
          <w:szCs w:val="24"/>
          <w:highlight w:val="none"/>
          <w:u w:val="single"/>
        </w:rPr>
        <w:t>承包人应书面记录专项安全施工组织设计方案审查、安全检查、安全技术交底、安全隐患整改、安全教育等重要安全管理活动</w:t>
      </w:r>
      <w:r>
        <w:rPr>
          <w:rFonts w:hint="eastAsia" w:ascii="宋体" w:hAnsi="宋体" w:cs="宋体"/>
          <w:color w:val="auto"/>
          <w:sz w:val="24"/>
          <w:szCs w:val="24"/>
          <w:highlight w:val="none"/>
        </w:rPr>
        <w:t>。</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21.7承包人用于本项目的非标起重机械设备须严格执行</w:t>
      </w:r>
      <w:r>
        <w:rPr>
          <w:rFonts w:hint="eastAsia" w:ascii="宋体" w:hAnsi="宋体" w:cs="宋体"/>
          <w:color w:val="auto"/>
          <w:sz w:val="24"/>
          <w:szCs w:val="24"/>
          <w:highlight w:val="none"/>
          <w:u w:val="single"/>
        </w:rPr>
        <w:t>《关于印发</w:t>
      </w:r>
      <w:r>
        <w:rPr>
          <w:rFonts w:ascii="宋体" w:hAnsi="宋体" w:cs="宋体"/>
          <w:color w:val="auto"/>
          <w:sz w:val="24"/>
          <w:szCs w:val="24"/>
          <w:highlight w:val="none"/>
          <w:u w:val="single"/>
        </w:rPr>
        <w:t>&lt;广州市非标建筑起重机械管理办法&gt;的通知》(穗建质[2010]999号)</w:t>
      </w:r>
      <w:r>
        <w:rPr>
          <w:rFonts w:hint="eastAsia" w:ascii="宋体" w:hAnsi="宋体" w:cs="宋体"/>
          <w:color w:val="auto"/>
          <w:sz w:val="24"/>
          <w:szCs w:val="24"/>
          <w:highlight w:val="none"/>
          <w:u w:val="single"/>
        </w:rPr>
        <w:t>的相关规定，非标起重机械设备是指没有国家或行业制造标准的各类起重机械设备，如非标架桥设备、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竖井提升设备、非标龙门吊、贝雷架式或扒杆式起重装置等。</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21.8承包人用于本项目的起重设备须严格执行《关于建筑起重机械设备安全监督管理的通知》【穗建安监字[2006]24号】、《关于加强建设工地塔式起重机安全管理的若干规定》【穗建安监字[2006]5号】、《关于加强塔式起重机等垂直运输设备及附着升降脚手架施工安全监督管理的通知》</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穗建筑[2003]84号</w:t>
      </w:r>
      <w:r>
        <w:rPr>
          <w:rFonts w:hint="eastAsia" w:ascii="宋体" w:hAnsi="宋体" w:cs="宋体"/>
          <w:color w:val="auto"/>
          <w:sz w:val="24"/>
          <w:szCs w:val="24"/>
          <w:highlight w:val="none"/>
          <w:u w:val="single"/>
        </w:rPr>
        <w:t>】等相关规定。</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21.9承包人在工程实施过程中，按照国家、省、市的相关规定制定相关的专项安全施工方案（如高支模、基坑支护、沉井等），组织专家评审通过后，报监理人、发包人审批后方可开展专项工程的施工。</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35.2.6</w:t>
      </w:r>
      <w:r>
        <w:rPr>
          <w:rFonts w:hint="eastAsia" w:ascii="宋体" w:hAnsi="宋体" w:cs="宋体"/>
          <w:color w:val="auto"/>
          <w:sz w:val="24"/>
          <w:szCs w:val="24"/>
          <w:highlight w:val="none"/>
        </w:rPr>
        <w:t>款（</w:t>
      </w:r>
      <w:r>
        <w:rPr>
          <w:rFonts w:ascii="宋体" w:hAnsi="宋体" w:cs="宋体"/>
          <w:color w:val="auto"/>
          <w:sz w:val="24"/>
          <w:szCs w:val="24"/>
          <w:highlight w:val="none"/>
        </w:rPr>
        <w:t>2）项承担违约责任。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21.12承包人必须考虑安全、环保等因素在局部施工范围进行施工，现场围蔽不符合国家有关安全措施及技术要求的，不得开展施工作业，由此造成的工期延长，由承包人自己负责，当作延误工期处理。</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22、事故处理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w:t>
      </w:r>
      <w:r>
        <w:rPr>
          <w:rFonts w:hint="eastAsia" w:ascii="宋体" w:hAnsi="宋体" w:cs="宋体"/>
          <w:color w:val="auto"/>
          <w:sz w:val="24"/>
          <w:szCs w:val="24"/>
          <w:highlight w:val="none"/>
        </w:rPr>
        <w:t>如发生安全事故，除按法定程序办理有关事宜外，还必须按以下程序进行处理：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22.3.1</w:t>
      </w:r>
      <w:r>
        <w:rPr>
          <w:rFonts w:hint="eastAsia" w:ascii="宋体" w:hAnsi="宋体" w:cs="宋体"/>
          <w:color w:val="auto"/>
          <w:sz w:val="24"/>
          <w:szCs w:val="24"/>
          <w:highlight w:val="none"/>
          <w:u w:val="single"/>
        </w:rPr>
        <w:t>报告安全事故：安全事故发生后，承包人应在</w:t>
      </w:r>
      <w:r>
        <w:rPr>
          <w:rFonts w:ascii="宋体" w:hAnsi="宋体" w:cs="宋体"/>
          <w:color w:val="auto"/>
          <w:sz w:val="24"/>
          <w:szCs w:val="24"/>
          <w:highlight w:val="none"/>
          <w:u w:val="single"/>
        </w:rPr>
        <w:t>1小时内用最快的信息传递手段，将发生事故的时间、地点、伤亡人数、事故原因等情况，报工程师和发包人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22.3.2</w:t>
      </w:r>
      <w:r>
        <w:rPr>
          <w:rFonts w:hint="eastAsia" w:ascii="宋体" w:hAnsi="宋体" w:cs="宋体"/>
          <w:color w:val="auto"/>
          <w:sz w:val="24"/>
          <w:szCs w:val="24"/>
          <w:highlight w:val="none"/>
          <w:u w:val="single"/>
        </w:rPr>
        <w:t>事故处理：承包人负责抢救伤员、排除险情，防止事故扩大蔓延，保护好现场，并做好标志，启动保险理赔程序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22.3.3</w:t>
      </w:r>
      <w:r>
        <w:rPr>
          <w:rFonts w:hint="eastAsia" w:ascii="宋体" w:hAnsi="宋体" w:cs="宋体"/>
          <w:color w:val="auto"/>
          <w:sz w:val="24"/>
          <w:szCs w:val="24"/>
          <w:highlight w:val="none"/>
          <w:u w:val="single"/>
        </w:rPr>
        <w:t>事故调查：承包人应组织内部技术安全、质量部门的人员组成调查组，开展调查，并配合做好发包人或政府有关部门组织的调查工作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22.3.4</w:t>
      </w:r>
      <w:r>
        <w:rPr>
          <w:rFonts w:hint="eastAsia" w:ascii="宋体" w:hAnsi="宋体" w:cs="宋体"/>
          <w:color w:val="auto"/>
          <w:sz w:val="24"/>
          <w:szCs w:val="24"/>
          <w:highlight w:val="none"/>
          <w:u w:val="single"/>
        </w:rPr>
        <w:t>调查报告：承包人应把事故发生经过、原因、性质、损失、责任、处理意见、纠正和预防措施撰写成调查报告，送工程师会审后报发包人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六、合同价款与支付</w:t>
      </w:r>
    </w:p>
    <w:p>
      <w:pPr>
        <w:snapToGrid w:val="0"/>
        <w:spacing w:line="440" w:lineRule="exact"/>
        <w:ind w:firstLine="397"/>
        <w:rPr>
          <w:rFonts w:ascii="宋体" w:hAnsi="宋体" w:cs="宋体"/>
          <w:color w:val="auto"/>
          <w:sz w:val="24"/>
          <w:szCs w:val="24"/>
          <w:highlight w:val="none"/>
          <w:u w:val="single"/>
        </w:rPr>
      </w:pPr>
      <w:r>
        <w:rPr>
          <w:rFonts w:ascii="宋体" w:hAnsi="宋体" w:cs="宋体"/>
          <w:b/>
          <w:color w:val="auto"/>
          <w:sz w:val="24"/>
          <w:szCs w:val="24"/>
          <w:highlight w:val="none"/>
        </w:rPr>
        <w:t>23</w:t>
      </w:r>
      <w:r>
        <w:rPr>
          <w:rFonts w:hint="eastAsia" w:ascii="宋体" w:hAnsi="宋体" w:cs="宋体"/>
          <w:b/>
          <w:color w:val="auto"/>
          <w:sz w:val="24"/>
          <w:szCs w:val="24"/>
          <w:highlight w:val="none"/>
        </w:rPr>
        <w:t>、合同价款及调整</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t>23.2</w:t>
      </w:r>
      <w:r>
        <w:rPr>
          <w:rFonts w:hint="eastAsia" w:ascii="宋体" w:hAnsi="宋体" w:cs="宋体"/>
          <w:color w:val="auto"/>
          <w:sz w:val="24"/>
          <w:szCs w:val="24"/>
          <w:highlight w:val="none"/>
        </w:rPr>
        <w:t>本合同价款按照</w:t>
      </w:r>
      <w:r>
        <w:rPr>
          <w:rFonts w:hint="eastAsia" w:ascii="宋体" w:hAnsi="宋体" w:cs="宋体"/>
          <w:color w:val="auto"/>
          <w:sz w:val="24"/>
          <w:szCs w:val="24"/>
          <w:highlight w:val="none"/>
          <w:u w:val="single"/>
        </w:rPr>
        <w:t>协议书第五条、专用条款</w:t>
      </w:r>
      <w:r>
        <w:rPr>
          <w:rFonts w:ascii="宋体" w:hAnsi="宋体" w:cs="宋体"/>
          <w:color w:val="auto"/>
          <w:sz w:val="24"/>
          <w:szCs w:val="24"/>
          <w:highlight w:val="none"/>
          <w:u w:val="single"/>
        </w:rPr>
        <w:t>23.3款</w:t>
      </w:r>
      <w:r>
        <w:rPr>
          <w:rFonts w:hint="eastAsia" w:ascii="宋体" w:hAnsi="宋体" w:cs="宋体"/>
          <w:color w:val="auto"/>
          <w:sz w:val="24"/>
          <w:szCs w:val="24"/>
          <w:highlight w:val="none"/>
          <w:u w:val="single"/>
        </w:rPr>
        <w:t>和专用条款</w:t>
      </w:r>
      <w:r>
        <w:rPr>
          <w:rFonts w:ascii="宋体" w:hAnsi="宋体" w:cs="宋体"/>
          <w:color w:val="auto"/>
          <w:sz w:val="24"/>
          <w:szCs w:val="24"/>
          <w:highlight w:val="none"/>
          <w:u w:val="single"/>
        </w:rPr>
        <w:t>23.5款</w:t>
      </w:r>
      <w:r>
        <w:rPr>
          <w:rFonts w:ascii="宋体" w:hAnsi="宋体" w:cs="宋体"/>
          <w:color w:val="auto"/>
          <w:sz w:val="24"/>
          <w:szCs w:val="24"/>
          <w:highlight w:val="none"/>
        </w:rPr>
        <w:t>约定</w:t>
      </w:r>
      <w:r>
        <w:rPr>
          <w:rFonts w:hint="eastAsia" w:ascii="宋体" w:hAnsi="宋体" w:cs="宋体"/>
          <w:color w:val="auto"/>
          <w:sz w:val="24"/>
          <w:szCs w:val="24"/>
          <w:highlight w:val="none"/>
        </w:rPr>
        <w:t>执行，最终按结算终审部门审定价结算。</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本合同价款采用分部分项工程量清单固定综合单价方式确定，具体办法如下：</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分部分项工程量清单费：</w:t>
      </w:r>
      <w:r>
        <w:rPr>
          <w:rFonts w:hint="eastAsia" w:ascii="宋体" w:hAnsi="宋体" w:cs="宋体"/>
          <w:color w:val="auto"/>
          <w:sz w:val="24"/>
          <w:szCs w:val="24"/>
          <w:highlight w:val="none"/>
          <w:u w:val="single"/>
        </w:rPr>
        <w:t>除专用条款</w:t>
      </w:r>
      <w:r>
        <w:rPr>
          <w:rFonts w:ascii="宋体" w:hAnsi="宋体" w:cs="宋体"/>
          <w:color w:val="auto"/>
          <w:sz w:val="24"/>
          <w:szCs w:val="24"/>
          <w:highlight w:val="none"/>
          <w:u w:val="single"/>
        </w:rPr>
        <w:t>23.5.1及</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23.5.2规定情况外，分部分项工程量清单综合单价固定不变，工程量按实计量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措施项目费：</w:t>
      </w:r>
      <w:r>
        <w:rPr>
          <w:rFonts w:hint="eastAsia" w:ascii="宋体" w:hAnsi="宋体" w:cs="宋体"/>
          <w:color w:val="auto"/>
          <w:sz w:val="24"/>
          <w:szCs w:val="24"/>
          <w:highlight w:val="none"/>
          <w:u w:val="single"/>
        </w:rPr>
        <w:t>措施项目费（除施工围蔽费用外）固定不变，包干使用，结算时不予调整，施工围蔽清单综合单价固定不变，工程量按实计量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其他项目部分：</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,1)</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招标人部分为暂定价，按实际签订的专业承包合同或预留金使用情况进行调整和结算</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,2)</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投标人部分为固定价格，结算时不作调整。（若实际没有发生，在结算时扣除未发生项目的费用）</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③</w:t>
      </w:r>
      <w:r>
        <w:rPr>
          <w:rFonts w:hint="eastAsia" w:ascii="宋体" w:hAnsi="宋体" w:cs="宋体"/>
          <w:color w:val="auto"/>
          <w:sz w:val="24"/>
          <w:szCs w:val="24"/>
          <w:highlight w:val="none"/>
          <w:u w:val="single"/>
        </w:rPr>
        <w:t>投标人预算包干费部分按投标人报价中的费率取费，费率结算时不作调整。</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税金：税金按实计取，费率固定不变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23.3</w:t>
      </w:r>
      <w:r>
        <w:rPr>
          <w:rFonts w:hint="eastAsia" w:ascii="宋体" w:hAnsi="宋体" w:cs="宋体"/>
          <w:color w:val="auto"/>
          <w:sz w:val="24"/>
          <w:szCs w:val="24"/>
          <w:highlight w:val="none"/>
        </w:rPr>
        <w:t>双方约定合同价款的调整因素：</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发包人及监理单位共同确认工程量偏差</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发包人及监理单位共同确认工程变更、签证和新增工程</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物价变化</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费用索赔事件或发包人负责的其他情况</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以上调整事项涉及的价款计价原则按专用条款</w:t>
      </w:r>
      <w:r>
        <w:rPr>
          <w:rFonts w:ascii="宋体" w:hAnsi="宋体" w:cs="宋体"/>
          <w:color w:val="auto"/>
          <w:sz w:val="24"/>
          <w:szCs w:val="24"/>
          <w:highlight w:val="none"/>
        </w:rPr>
        <w:t>23.5款约定执行。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23.4</w:t>
      </w:r>
      <w:r>
        <w:rPr>
          <w:rFonts w:hint="eastAsia" w:ascii="宋体" w:hAnsi="宋体" w:cs="宋体"/>
          <w:color w:val="auto"/>
          <w:sz w:val="24"/>
          <w:szCs w:val="24"/>
          <w:highlight w:val="none"/>
        </w:rPr>
        <w:t>承包人应在专用条款</w:t>
      </w:r>
      <w:r>
        <w:rPr>
          <w:rFonts w:ascii="宋体" w:hAnsi="宋体" w:cs="宋体"/>
          <w:color w:val="auto"/>
          <w:sz w:val="24"/>
          <w:szCs w:val="24"/>
          <w:highlight w:val="none"/>
        </w:rPr>
        <w:t>23.3款情况发生后</w:t>
      </w:r>
      <w:r>
        <w:rPr>
          <w:rFonts w:ascii="宋体" w:hAnsi="宋体" w:cs="宋体"/>
          <w:color w:val="auto"/>
          <w:sz w:val="24"/>
          <w:szCs w:val="24"/>
          <w:highlight w:val="none"/>
          <w:u w:val="single"/>
        </w:rPr>
        <w:t>3天</w:t>
      </w:r>
      <w:r>
        <w:rPr>
          <w:rFonts w:ascii="宋体" w:hAnsi="宋体" w:cs="宋体"/>
          <w:color w:val="auto"/>
          <w:sz w:val="24"/>
          <w:szCs w:val="24"/>
          <w:highlight w:val="none"/>
        </w:rPr>
        <w:t>内，将调整原因、金额以书面形式通知监理单位，必须经监理单位和发包人书面批准后作为调整合同价款的依据</w:t>
      </w:r>
      <w:r>
        <w:rPr>
          <w:rFonts w:hint="eastAsia" w:ascii="宋体" w:hAnsi="宋体" w:cs="宋体"/>
          <w:color w:val="auto"/>
          <w:sz w:val="24"/>
          <w:szCs w:val="24"/>
          <w:highlight w:val="none"/>
        </w:rPr>
        <w:t>。对承包人在没有得到发包人的同意和正式盖章书面函件的前提下进行的调整，发包人不予认可，一切责任和后果由承包人承担。</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w:t>
      </w:r>
      <w:r>
        <w:rPr>
          <w:rFonts w:hint="eastAsia" w:ascii="宋体" w:hAnsi="宋体" w:cs="宋体"/>
          <w:color w:val="auto"/>
          <w:sz w:val="24"/>
          <w:szCs w:val="24"/>
          <w:highlight w:val="none"/>
          <w:u w:val="single"/>
        </w:rPr>
        <w:t>合同价款调整原则</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23.5.1</w:t>
      </w:r>
      <w:r>
        <w:rPr>
          <w:rFonts w:hint="eastAsia" w:ascii="宋体" w:hAnsi="宋体" w:cs="宋体"/>
          <w:color w:val="auto"/>
          <w:sz w:val="24"/>
          <w:szCs w:val="24"/>
          <w:highlight w:val="none"/>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合同工程量清单中有相同适用项目的，则采用该项目投标综合单价；合同工程量清单中相同适用项目有多个的，取最有利于发包人的相同适用项目的投标综合单价。但新增工程量超过</w:t>
      </w:r>
      <w:r>
        <w:rPr>
          <w:rFonts w:ascii="宋体" w:hAnsi="宋体" w:cs="宋体"/>
          <w:color w:val="auto"/>
          <w:sz w:val="24"/>
          <w:szCs w:val="24"/>
          <w:highlight w:val="none"/>
          <w:u w:val="single"/>
        </w:rPr>
        <w:t>15%的，比较招标控制价对应的综合单价并执行中标下浮率和投标综合单价，取两者的较小值作为超出15%的新增工程量的综合单价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合同工程量清单报价中没有相同或类似适用项目的，按以下原则计价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由承包人依据变更工程资料，计量原则，按《广东省市政工程综合定额》（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合同工程量清单没有相同或相类似且无相关定额的项目，承包人参照《广东省市政工程综合定额》（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adjustRightInd w:val="0"/>
        <w:snapToGrid w:val="0"/>
        <w:spacing w:line="440" w:lineRule="exact"/>
        <w:ind w:right="11"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按上述原则确定价格时，措施项目费用（除施工围蔽外）不计取</w:t>
      </w:r>
      <w:r>
        <w:rPr>
          <w:rFonts w:ascii="宋体" w:hAnsi="宋体" w:cs="宋体"/>
          <w:color w:val="auto"/>
          <w:sz w:val="24"/>
          <w:szCs w:val="24"/>
          <w:highlight w:val="none"/>
          <w:u w:val="single"/>
        </w:rPr>
        <w:t>,清单计价及</w:t>
      </w:r>
      <w:r>
        <w:rPr>
          <w:rFonts w:hint="eastAsia" w:ascii="宋体" w:hAnsi="宋体" w:cs="宋体"/>
          <w:color w:val="auto"/>
          <w:sz w:val="24"/>
          <w:szCs w:val="24"/>
          <w:highlight w:val="none"/>
          <w:u w:val="single"/>
        </w:rPr>
        <w:t>税金的计取，应符合《广东省住房和城乡建设厅关于营业税改征增值税后调整广东省建设工程计价依据的通知》（粤建市【</w:t>
      </w:r>
      <w:r>
        <w:rPr>
          <w:rFonts w:ascii="宋体" w:hAnsi="宋体" w:cs="宋体"/>
          <w:color w:val="auto"/>
          <w:sz w:val="24"/>
          <w:szCs w:val="24"/>
          <w:highlight w:val="none"/>
          <w:u w:val="single"/>
        </w:rPr>
        <w:t>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w:t>
      </w:r>
      <w:r>
        <w:rPr>
          <w:rFonts w:hint="eastAsia" w:ascii="宋体" w:hAnsi="宋体" w:cs="宋体"/>
          <w:color w:val="auto"/>
          <w:sz w:val="24"/>
          <w:szCs w:val="24"/>
          <w:highlight w:val="none"/>
          <w:u w:val="single"/>
        </w:rPr>
        <w:t>、《广东省住房和城乡建设厅关于印发</w:t>
      </w:r>
      <w:r>
        <w:rPr>
          <w:rFonts w:ascii="宋体" w:hAnsi="宋体" w:cs="宋体"/>
          <w:color w:val="auto"/>
          <w:sz w:val="24"/>
          <w:szCs w:val="24"/>
          <w:highlight w:val="none"/>
          <w:u w:val="single"/>
        </w:rPr>
        <w:t>&lt;广东省建设工程计价依据（2018)&gt;的通知》（穗建市〔2019〕6号）</w:t>
      </w:r>
      <w:r>
        <w:rPr>
          <w:rFonts w:hint="eastAsia" w:ascii="宋体" w:hAnsi="宋体" w:cs="宋体"/>
          <w:color w:val="auto"/>
          <w:sz w:val="24"/>
          <w:szCs w:val="24"/>
          <w:highlight w:val="none"/>
          <w:u w:val="single"/>
        </w:rPr>
        <w:t>等相关文件的规定。</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23.5.2 </w:t>
      </w:r>
      <w:r>
        <w:rPr>
          <w:rFonts w:hint="eastAsia" w:ascii="宋体" w:hAnsi="宋体" w:cs="宋体"/>
          <w:color w:val="auto"/>
          <w:sz w:val="24"/>
          <w:szCs w:val="24"/>
          <w:highlight w:val="none"/>
          <w:u w:val="single"/>
        </w:rPr>
        <w:t>工程量发生变化时，如项目综合单价与招标控制价对应的综合单价×（</w:t>
      </w:r>
      <w:r>
        <w:rPr>
          <w:rFonts w:ascii="宋体" w:hAnsi="宋体" w:cs="宋体"/>
          <w:color w:val="auto"/>
          <w:sz w:val="24"/>
          <w:szCs w:val="24"/>
          <w:highlight w:val="none"/>
          <w:u w:val="single"/>
        </w:rPr>
        <w:t>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23.5.3</w:t>
      </w:r>
      <w:r>
        <w:rPr>
          <w:rFonts w:hint="eastAsia" w:ascii="宋体" w:hAnsi="宋体" w:cs="宋体"/>
          <w:color w:val="auto"/>
          <w:sz w:val="24"/>
          <w:szCs w:val="24"/>
          <w:highlight w:val="none"/>
          <w:u w:val="single"/>
        </w:rPr>
        <w:t>物价涨跌的价格调整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1）合同履行期间，出现工程造价管理机构发布的人工、材料、工程设备和施工设备、机械台班单价涨跌超过本工程招标文件规定的投标截止日期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时广州市建设工程造价管理部门发布的人工、材料、工程设备和施工设备、机械台班相应单价且符合以下规定的，应调整合同价款。</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承包人承担工料机价格涨跌幅度在</w:t>
      </w:r>
      <w:r>
        <w:rPr>
          <w:rFonts w:ascii="宋体" w:hAnsi="宋体" w:cs="宋体"/>
          <w:color w:val="auto"/>
          <w:sz w:val="24"/>
          <w:szCs w:val="24"/>
          <w:highlight w:val="none"/>
          <w:u w:val="single"/>
        </w:rPr>
        <w:t xml:space="preserve">10%以内（含10%）的风险，不予调整合同价款；工料机价格涨跌幅度超过10%时，可以调整合同价款, </w:t>
      </w:r>
      <w:r>
        <w:rPr>
          <w:rFonts w:hint="eastAsia" w:ascii="宋体" w:hAnsi="宋体" w:cs="宋体"/>
          <w:color w:val="auto"/>
          <w:sz w:val="24"/>
          <w:szCs w:val="24"/>
          <w:highlight w:val="none"/>
          <w:u w:val="single"/>
        </w:rPr>
        <w:t>调整范围为人工、机械台班、砂、碎石、石屑，及《印发</w:t>
      </w:r>
      <w:r>
        <w:rPr>
          <w:rFonts w:ascii="宋体" w:hAnsi="宋体" w:cs="宋体"/>
          <w:color w:val="auto"/>
          <w:sz w:val="24"/>
          <w:szCs w:val="24"/>
          <w:highlight w:val="none"/>
          <w:u w:val="single"/>
        </w:rPr>
        <w:t>&lt;关于区财政投资工程人工、材料（设备）、机械价格调整的意见&gt;的通知》（穗开环建〔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2）价款调整的方法</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①当人工、机械台班、可调价格的材料设备价格上涨幅度超过</w:t>
      </w:r>
      <w:r>
        <w:rPr>
          <w:rFonts w:ascii="宋体" w:hAnsi="宋体" w:cs="宋体"/>
          <w:color w:val="auto"/>
          <w:sz w:val="24"/>
          <w:szCs w:val="24"/>
          <w:highlight w:val="none"/>
          <w:u w:val="single"/>
        </w:rPr>
        <w:t>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②</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价款调整以各调价工料机的数量乘以单价价差，再乘以（</w:t>
      </w:r>
      <w:r>
        <w:rPr>
          <w:rFonts w:ascii="宋体" w:hAnsi="宋体" w:cs="宋体"/>
          <w:color w:val="auto"/>
          <w:sz w:val="24"/>
          <w:szCs w:val="24"/>
          <w:highlight w:val="none"/>
          <w:u w:val="single"/>
        </w:rPr>
        <w:t>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时广州市建设工程造价管理部门发布的人工、材料、工程设备和施工设备、机械台班信息价格差值计取。</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③</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价款调整以月为单位计算，结算时一次性调整，如施工期间需调整价款的，经发包人、承包人协商一致后可签订价差补充协议，作为追加（减）合同价款和支付工程进度款的依据。</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④</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各调价材料、设备的信息价格按广州市建设工程造价管理部门发布的当月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“综合价格”计取，综合价格中没有的材料、设备单价，价差不予调整。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3）由于承包人原因导致工期延误的，所延误时段内物价上涨的风险全部由承包人承担，不予调整；如物价下跌，则仍按第（2）款约定计算及扣回相应价款。</w:t>
      </w:r>
    </w:p>
    <w:p>
      <w:pPr>
        <w:snapToGrid w:val="0"/>
        <w:spacing w:line="440" w:lineRule="exact"/>
        <w:ind w:firstLine="338" w:firstLineChars="141"/>
        <w:rPr>
          <w:rFonts w:ascii="宋体" w:hAnsi="宋体" w:cs="宋体"/>
          <w:b/>
          <w:color w:val="auto"/>
          <w:sz w:val="24"/>
          <w:szCs w:val="24"/>
          <w:highlight w:val="none"/>
        </w:rPr>
      </w:pPr>
      <w:r>
        <w:rPr>
          <w:rFonts w:ascii="宋体" w:hAnsi="宋体" w:cs="宋体"/>
          <w:color w:val="auto"/>
          <w:sz w:val="24"/>
          <w:szCs w:val="24"/>
          <w:highlight w:val="none"/>
        </w:rPr>
        <w:t>24</w:t>
      </w:r>
      <w:r>
        <w:rPr>
          <w:rFonts w:hint="eastAsia" w:ascii="宋体" w:hAnsi="宋体" w:cs="宋体"/>
          <w:b/>
          <w:color w:val="auto"/>
          <w:sz w:val="24"/>
          <w:szCs w:val="24"/>
          <w:highlight w:val="none"/>
        </w:rPr>
        <w:t>、工程预付款、工人工资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24.1工程预付款</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olor w:val="auto"/>
          <w:sz w:val="24"/>
          <w:szCs w:val="24"/>
          <w:highlight w:val="none"/>
        </w:rPr>
        <w:t>24.1.1发包人向承包人预付工程款的时间和金额或占合同价款总额的比例：</w:t>
      </w:r>
      <w:r>
        <w:rPr>
          <w:rFonts w:hint="eastAsia" w:ascii="宋体" w:hAnsi="宋体"/>
          <w:b/>
          <w:bCs/>
          <w:color w:val="auto"/>
          <w:sz w:val="24"/>
          <w:szCs w:val="24"/>
          <w:highlight w:val="none"/>
        </w:rPr>
        <w:t>合同生效、满足26.4款约定条件及财政拨款到位后，</w:t>
      </w:r>
      <w:r>
        <w:rPr>
          <w:rFonts w:hint="eastAsia" w:ascii="宋体" w:hAnsi="宋体"/>
          <w:b/>
          <w:bCs/>
          <w:color w:val="auto"/>
          <w:sz w:val="24"/>
          <w:szCs w:val="24"/>
          <w:highlight w:val="none"/>
          <w:u w:val="single"/>
        </w:rPr>
        <w:t>发包人预付合同价【扣除绿色施工安全防护措施费，若工程量清单中有暂定金则扣除暂定金（含暂列金额和暂估价）部分】的20%作为预付款。</w:t>
      </w:r>
      <w:r>
        <w:rPr>
          <w:rFonts w:hint="eastAsia" w:ascii="宋体" w:hAnsi="宋体"/>
          <w:color w:val="auto"/>
          <w:sz w:val="24"/>
          <w:szCs w:val="24"/>
          <w:highlight w:val="none"/>
        </w:rPr>
        <w:t>并将预付款支付至承包人按本合同第一部分协议书中第九款相关约定开设的共管银行账户。预付款中，（预付款×工人工资比例）的部分需支付至工人工资专用账户。</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24.1.2承包人收取预付款后，应优先用于按有关规定缴纳工伤保险和办理建筑意外伤害险，专款专用。</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24.1.3扣回预付款的时间、比例：按本合同专用条款26条约定执行。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24.2.1</w:t>
      </w:r>
      <w:r>
        <w:rPr>
          <w:rFonts w:hint="eastAsia" w:ascii="宋体" w:hAnsi="宋体" w:cs="宋体"/>
          <w:color w:val="auto"/>
          <w:sz w:val="24"/>
          <w:szCs w:val="24"/>
          <w:highlight w:val="none"/>
        </w:rPr>
        <w:t>承包人需按有关规定与商业银行另行签订广州市建设领域工人工资支付专用账户管理协议、开设专用账户并报发包人备案</w:t>
      </w:r>
      <w:r>
        <w:rPr>
          <w:rFonts w:ascii="宋体" w:hAnsi="宋体" w:cs="宋体"/>
          <w:color w:val="auto"/>
          <w:sz w:val="24"/>
          <w:szCs w:val="24"/>
          <w:highlight w:val="none"/>
        </w:rPr>
        <w:t>,工人工资支付至专用账户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24.2.2工人工资进度款与工程进度款同步支付，其中每期需支付的工程进度款×工人工资比例为该期工人工资进度款，支付至工人工资专用账户。</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t>25</w:t>
      </w:r>
      <w:r>
        <w:rPr>
          <w:rFonts w:hint="eastAsia" w:ascii="宋体" w:hAnsi="宋体" w:cs="宋体"/>
          <w:b/>
          <w:color w:val="auto"/>
          <w:sz w:val="24"/>
          <w:szCs w:val="24"/>
          <w:highlight w:val="none"/>
        </w:rPr>
        <w:t>、工程量确认</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25.1</w:t>
      </w:r>
      <w:r>
        <w:rPr>
          <w:rFonts w:hint="eastAsia" w:ascii="宋体" w:hAnsi="宋体" w:cs="宋体"/>
          <w:color w:val="auto"/>
          <w:sz w:val="24"/>
          <w:szCs w:val="24"/>
          <w:highlight w:val="none"/>
        </w:rPr>
        <w:t>承包人向工程师提交已完工程量报告的时间：</w:t>
      </w:r>
      <w:r>
        <w:rPr>
          <w:rFonts w:hint="eastAsia" w:ascii="宋体" w:hAnsi="宋体" w:cs="宋体"/>
          <w:color w:val="auto"/>
          <w:sz w:val="24"/>
          <w:szCs w:val="24"/>
          <w:highlight w:val="none"/>
          <w:u w:val="single"/>
        </w:rPr>
        <w:t>自开工之日起每周及每月报告已完成工程状况</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25.2双方一致同意不适用通用条款25.2款</w:t>
      </w:r>
      <w:r>
        <w:rPr>
          <w:rFonts w:hint="eastAsia" w:ascii="宋体" w:hAnsi="宋体" w:cs="宋体"/>
          <w:color w:val="auto"/>
          <w:sz w:val="24"/>
          <w:szCs w:val="24"/>
          <w:highlight w:val="none"/>
        </w:rPr>
        <w:t>，承包人完成工程量必须经发包人书面确认。</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26</w:t>
      </w:r>
      <w:r>
        <w:rPr>
          <w:rFonts w:hint="eastAsia" w:ascii="宋体" w:hAnsi="宋体" w:cs="宋体"/>
          <w:color w:val="auto"/>
          <w:sz w:val="24"/>
          <w:szCs w:val="24"/>
          <w:highlight w:val="none"/>
        </w:rPr>
        <w:t>、</w:t>
      </w:r>
      <w:r>
        <w:rPr>
          <w:rFonts w:hint="eastAsia" w:ascii="宋体" w:hAnsi="宋体" w:cs="宋体"/>
          <w:b/>
          <w:color w:val="auto"/>
          <w:sz w:val="24"/>
          <w:szCs w:val="24"/>
          <w:highlight w:val="none"/>
        </w:rPr>
        <w:t>工程款（进度款）支付</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26.1双方约定的工程款（进度款）支付采取如下的</w:t>
      </w:r>
      <w:r>
        <w:rPr>
          <w:rFonts w:hint="eastAsia" w:ascii="宋体" w:hAnsi="宋体" w:cs="宋体"/>
          <w:color w:val="auto"/>
          <w:sz w:val="24"/>
          <w:szCs w:val="24"/>
          <w:highlight w:val="none"/>
          <w:u w:val="single"/>
          <w:lang w:val="en-US" w:eastAsia="zh-CN"/>
        </w:rPr>
        <w:t xml:space="preserve"> 26.1.2 </w:t>
      </w:r>
      <w:r>
        <w:rPr>
          <w:rFonts w:hint="eastAsia" w:ascii="宋体" w:hAnsi="宋体" w:cs="宋体"/>
          <w:color w:val="auto"/>
          <w:sz w:val="24"/>
          <w:szCs w:val="24"/>
          <w:highlight w:val="none"/>
        </w:rPr>
        <w:t>方式进行：</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26.1.1</w:t>
      </w:r>
      <w:r>
        <w:rPr>
          <w:rFonts w:hint="eastAsia" w:ascii="宋体" w:hAnsi="宋体" w:cs="宋体"/>
          <w:color w:val="auto"/>
          <w:sz w:val="24"/>
          <w:szCs w:val="24"/>
          <w:highlight w:val="none"/>
        </w:rPr>
        <w:t>按累计完成工作量百分率支付工程款（进度款）方式：</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当完成工作量达到</w:t>
      </w:r>
      <w:r>
        <w:rPr>
          <w:rFonts w:ascii="宋体" w:hAnsi="宋体" w:cs="宋体"/>
          <w:color w:val="auto"/>
          <w:sz w:val="24"/>
          <w:szCs w:val="24"/>
          <w:highlight w:val="none"/>
          <w:u w:val="single"/>
        </w:rPr>
        <w:t>60%</w:t>
      </w:r>
      <w:r>
        <w:rPr>
          <w:rFonts w:hint="eastAsia" w:ascii="宋体" w:hAnsi="宋体" w:cs="宋体"/>
          <w:color w:val="auto"/>
          <w:sz w:val="24"/>
          <w:szCs w:val="24"/>
          <w:highlight w:val="none"/>
          <w:u w:val="single"/>
        </w:rPr>
        <w:t>时，支付工程进度款</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累计付款(含已支付的</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55%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工程完工，并通过初验后支付合同价款</w:t>
      </w:r>
      <w:r>
        <w:rPr>
          <w:rFonts w:ascii="宋体" w:hAnsi="宋体" w:cs="宋体"/>
          <w:color w:val="auto"/>
          <w:sz w:val="24"/>
          <w:szCs w:val="24"/>
          <w:highlight w:val="none"/>
          <w:u w:val="single"/>
        </w:rPr>
        <w:t>30%</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26.1.2按月度支付工程款（进度款）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承包人每月上报完成工程量报表，经监理审核及发包人确认后，发包人按经审定月度完成工程量的</w:t>
      </w:r>
      <w:r>
        <w:rPr>
          <w:rFonts w:ascii="宋体" w:hAnsi="宋体" w:cs="宋体"/>
          <w:color w:val="auto"/>
          <w:sz w:val="24"/>
          <w:szCs w:val="24"/>
          <w:highlight w:val="none"/>
          <w:u w:val="single"/>
        </w:rPr>
        <w:t>85%支付工程进度款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从本工程发生的第一次进度款支付起，发包人每次按审定月度完成工程量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hint="eastAsia" w:ascii="宋体" w:hAnsi="宋体" w:cs="宋体"/>
          <w:color w:val="auto"/>
          <w:sz w:val="24"/>
          <w:szCs w:val="24"/>
          <w:highlight w:val="none"/>
          <w:u w:val="single"/>
        </w:rPr>
        <w:t>的</w:t>
      </w:r>
      <w:r>
        <w:rPr>
          <w:rFonts w:ascii="宋体" w:hAnsi="宋体" w:cs="宋体"/>
          <w:color w:val="auto"/>
          <w:sz w:val="24"/>
          <w:szCs w:val="24"/>
          <w:highlight w:val="none"/>
          <w:u w:val="single"/>
        </w:rPr>
        <w:t>85%中之50%扣回预付款，每次按审定月度完成工程量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ascii="宋体" w:hAnsi="宋体" w:cs="宋体"/>
          <w:color w:val="auto"/>
          <w:sz w:val="24"/>
          <w:szCs w:val="24"/>
          <w:highlight w:val="none"/>
          <w:u w:val="single"/>
        </w:rPr>
        <w:t>的85%扣除应扣回的预付款后支付承包人当次的工程进度款，直至预付款全部扣回完毕止。预付款扣回完毕后，发包人按审定月度完成工程量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ascii="宋体" w:hAnsi="宋体" w:cs="宋体"/>
          <w:color w:val="auto"/>
          <w:sz w:val="24"/>
          <w:szCs w:val="24"/>
          <w:highlight w:val="none"/>
          <w:u w:val="single"/>
        </w:rPr>
        <w:t>的85%支付工程进度款；工程完工，累计支付</w:t>
      </w:r>
      <w:r>
        <w:rPr>
          <w:rFonts w:hint="eastAsia" w:ascii="宋体" w:hAnsi="宋体" w:cs="宋体"/>
          <w:color w:val="auto"/>
          <w:sz w:val="24"/>
          <w:szCs w:val="24"/>
          <w:highlight w:val="none"/>
          <w:u w:val="single"/>
        </w:rPr>
        <w:t>工程款（含绿色施工安全防护措施费）至合同价若有暂定金（含暂列金额及暂估价）则扣除未计量部分暂定金后的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adjustRightInd w:val="0"/>
        <w:snapToGrid w:val="0"/>
        <w:spacing w:line="440" w:lineRule="exact"/>
        <w:ind w:right="11" w:firstLine="420" w:firstLineChars="175"/>
        <w:rPr>
          <w:rFonts w:ascii="宋体" w:hAnsi="宋体" w:cs="宋体"/>
          <w:color w:val="auto"/>
          <w:sz w:val="24"/>
          <w:szCs w:val="24"/>
          <w:highlight w:val="none"/>
        </w:rPr>
      </w:pPr>
      <w:r>
        <w:rPr>
          <w:rFonts w:ascii="宋体" w:hAnsi="宋体" w:cs="宋体"/>
          <w:color w:val="auto"/>
          <w:sz w:val="24"/>
          <w:szCs w:val="24"/>
          <w:highlight w:val="none"/>
        </w:rPr>
        <w:t>26.2所有因变更、签证及价格调整等原因所调整增加的工程价款均应由承包人按广州开发区、</w:t>
      </w:r>
      <w:r>
        <w:rPr>
          <w:rFonts w:hint="eastAsia" w:ascii="宋体" w:hAnsi="宋体" w:cs="宋体"/>
          <w:color w:val="auto"/>
          <w:sz w:val="24"/>
          <w:szCs w:val="24"/>
          <w:highlight w:val="none"/>
        </w:rPr>
        <w:t>黄埔</w:t>
      </w:r>
      <w:r>
        <w:rPr>
          <w:rFonts w:ascii="宋体" w:hAnsi="宋体" w:cs="宋体"/>
          <w:color w:val="auto"/>
          <w:sz w:val="24"/>
          <w:szCs w:val="24"/>
          <w:highlight w:val="none"/>
        </w:rPr>
        <w:t>区及发包人相关规定程序，报监理初审，并经发包人审批同意后，按审定金额另行签订补充协议支付，或在工程结算中一并支付。</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26.4</w:t>
      </w:r>
      <w:r>
        <w:rPr>
          <w:rFonts w:hint="eastAsia" w:ascii="宋体" w:hAnsi="宋体" w:cs="宋体"/>
          <w:color w:val="auto"/>
          <w:sz w:val="24"/>
          <w:szCs w:val="24"/>
          <w:highlight w:val="none"/>
        </w:rPr>
        <w:t>工程价款的支付条件：</w:t>
      </w:r>
    </w:p>
    <w:p>
      <w:pPr>
        <w:snapToGrid w:val="0"/>
        <w:spacing w:line="440" w:lineRule="exact"/>
        <w:ind w:firstLine="240" w:firstLineChars="1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1）支付</w:t>
      </w:r>
      <w:r>
        <w:rPr>
          <w:rFonts w:hint="eastAsia" w:ascii="宋体" w:hAnsi="宋体" w:cs="宋体"/>
          <w:color w:val="auto"/>
          <w:sz w:val="24"/>
          <w:szCs w:val="24"/>
          <w:highlight w:val="none"/>
        </w:rPr>
        <w:t>预付</w:t>
      </w:r>
      <w:r>
        <w:rPr>
          <w:rFonts w:ascii="宋体" w:hAnsi="宋体" w:cs="宋体"/>
          <w:color w:val="auto"/>
          <w:sz w:val="24"/>
          <w:szCs w:val="24"/>
          <w:highlight w:val="none"/>
        </w:rPr>
        <w:t>款：</w:t>
      </w:r>
      <w:r>
        <w:rPr>
          <w:rFonts w:hint="eastAsia" w:ascii="宋体" w:hAnsi="宋体" w:cs="宋体"/>
          <w:color w:val="auto"/>
          <w:sz w:val="24"/>
          <w:szCs w:val="24"/>
          <w:highlight w:val="none"/>
          <w:u w:val="single"/>
        </w:rPr>
        <w:t>承包人已与发包人签订工程施工合同，承包人承诺的项目管理人员、机械设备到位。已生效的履约担保已按发包人要求准时提交发包人，工程已经监理工程师批准动工，该工程财政拨款已到位。如工程因用地、拆迁等原因导致不能全面开工，则预付款的支付按可开工部分的工程量占总工程量的比例做相应调整。</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2）支付工程款（进度款）：</w:t>
      </w:r>
      <w:r>
        <w:rPr>
          <w:rFonts w:hint="eastAsia" w:ascii="宋体" w:hAnsi="宋体" w:cs="宋体"/>
          <w:color w:val="auto"/>
          <w:sz w:val="24"/>
          <w:szCs w:val="24"/>
          <w:highlight w:val="none"/>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（3）支付质量保修金：</w:t>
      </w:r>
      <w:r>
        <w:rPr>
          <w:rFonts w:hint="eastAsia" w:ascii="宋体" w:hAnsi="宋体" w:cs="宋体"/>
          <w:color w:val="auto"/>
          <w:sz w:val="24"/>
          <w:szCs w:val="24"/>
          <w:highlight w:val="none"/>
          <w:u w:val="single"/>
        </w:rPr>
        <w:t>缺陷责任期满且承包人向发包人提交满足第32.1条要求的工程竣工资料</w:t>
      </w:r>
      <w:r>
        <w:rPr>
          <w:rFonts w:hint="eastAsia" w:ascii="宋体" w:hAnsi="宋体" w:cs="宋体"/>
          <w:color w:val="auto"/>
          <w:sz w:val="24"/>
          <w:szCs w:val="24"/>
          <w:highlight w:val="none"/>
          <w:u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26.5</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支付的支付条件：</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按在工程投标最高报价中的</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用计取，专款专用，并从本施工合同价款中提取（</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已包含在本工程中标价即施工合同价中）。</w:t>
      </w:r>
      <w:r>
        <w:rPr>
          <w:rFonts w:hint="eastAsia" w:ascii="宋体" w:hAnsi="宋体" w:eastAsia="宋体" w:cs="宋体"/>
          <w:color w:val="auto"/>
          <w:sz w:val="24"/>
          <w:szCs w:val="24"/>
          <w:highlight w:val="none"/>
        </w:rPr>
        <w:t>该费用根据《广州开发区财政投资建设项目管理中心建设项目绿色施工安全防护措施费支付管理实施细则（2024年修订）》（穗开建管〔2024〕47号）及“穗建筑【2008】967号”文及“穗建筑【2018】981号”规定</w:t>
      </w:r>
      <w:r>
        <w:rPr>
          <w:rFonts w:hint="eastAsia" w:ascii="宋体" w:hAnsi="宋体" w:cs="宋体"/>
          <w:color w:val="auto"/>
          <w:sz w:val="24"/>
          <w:szCs w:val="24"/>
          <w:highlight w:val="none"/>
        </w:rPr>
        <w:t>，分阶段支付</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1、</w:t>
      </w:r>
      <w:r>
        <w:rPr>
          <w:rFonts w:hint="eastAsia" w:ascii="宋体" w:hAnsi="宋体" w:cs="宋体"/>
          <w:color w:val="auto"/>
          <w:sz w:val="24"/>
          <w:szCs w:val="24"/>
          <w:highlight w:val="none"/>
          <w:lang w:bidi="ar"/>
        </w:rPr>
        <w:t>工程项目开工日一个月内，由承包人主动向发包人提出申请，预付绿色施工安全防护措施费的50%。</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lang w:bidi="ar"/>
        </w:rPr>
        <w:t>2</w:t>
      </w:r>
      <w:r>
        <w:rPr>
          <w:rFonts w:hint="eastAsia" w:ascii="宋体" w:hAnsi="宋体" w:cs="宋体"/>
          <w:color w:val="auto"/>
          <w:sz w:val="24"/>
          <w:szCs w:val="24"/>
          <w:highlight w:val="none"/>
          <w:lang w:bidi="ar"/>
        </w:rPr>
        <w:t>、</w:t>
      </w:r>
      <w:r>
        <w:rPr>
          <w:rFonts w:hint="eastAsia" w:ascii="宋体" w:hAnsi="宋体" w:eastAsia="宋体" w:cs="宋体"/>
          <w:color w:val="auto"/>
          <w:sz w:val="24"/>
          <w:szCs w:val="24"/>
          <w:highlight w:val="none"/>
        </w:rPr>
        <w:t>承包人进场完成工地围墙、大门、办公用房或临舍、消防设施、临时设施、洗车槽、水枪、场内道路硬化、绿化、钢筋堆放点及加工场、垃圾收集点等部位的建设或布置，且房建工程完成主体结构封顶、市政工程完成路基工作、其它工程完成合同约定工程量的60%，《检查记录表》评定等级为合格或以上且财政拨款到位后，支付绿色施工安全防护措施费的40%</w:t>
      </w:r>
      <w:r>
        <w:rPr>
          <w:rFonts w:hint="eastAsia" w:ascii="宋体" w:hAnsi="宋体" w:cs="宋体"/>
          <w:color w:val="auto"/>
          <w:sz w:val="24"/>
          <w:szCs w:val="24"/>
          <w:highlight w:val="none"/>
          <w:lang w:bidi="ar"/>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lang w:bidi="ar"/>
        </w:rPr>
        <w:t>3</w:t>
      </w:r>
      <w:r>
        <w:rPr>
          <w:rFonts w:hint="eastAsia" w:ascii="宋体" w:hAnsi="宋体" w:cs="宋体"/>
          <w:color w:val="auto"/>
          <w:sz w:val="24"/>
          <w:szCs w:val="24"/>
          <w:highlight w:val="none"/>
          <w:lang w:bidi="ar"/>
        </w:rPr>
        <w:t>、工程完工，</w:t>
      </w:r>
      <w:r>
        <w:rPr>
          <w:rFonts w:hint="eastAsia" w:ascii="宋体" w:hAnsi="宋体" w:eastAsia="宋体" w:cs="宋体"/>
          <w:color w:val="auto"/>
          <w:sz w:val="24"/>
          <w:szCs w:val="24"/>
          <w:highlight w:val="none"/>
        </w:rPr>
        <w:t>《建设工程施工安全评价书》评定等级为合格或以上且财政拨款到位后，支付相应绿色施工安全防护措施费的10%</w:t>
      </w:r>
      <w:r>
        <w:rPr>
          <w:rFonts w:hint="eastAsia" w:ascii="宋体" w:hAnsi="宋体" w:cs="宋体"/>
          <w:color w:val="auto"/>
          <w:sz w:val="24"/>
          <w:szCs w:val="24"/>
          <w:highlight w:val="none"/>
          <w:lang w:bidi="ar"/>
        </w:rPr>
        <w:t>。</w:t>
      </w:r>
    </w:p>
    <w:p>
      <w:pPr>
        <w:snapToGrid w:val="0"/>
        <w:spacing w:line="440" w:lineRule="exact"/>
        <w:ind w:firstLine="480" w:firstLineChars="2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如存在特殊情况的，绿色施工安全防护措施费具体支付方式及条件以《广州开发区财政投资建设项目管理中心建设项目绿色施工安全防护措施费支付管理实施细则（2024年修订）》（穗开建管〔2024〕47号）为准。</w:t>
      </w:r>
    </w:p>
    <w:p>
      <w:pPr>
        <w:snapToGrid w:val="0"/>
        <w:spacing w:line="440" w:lineRule="exact"/>
        <w:ind w:firstLine="480" w:firstLineChars="2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26.6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七、材料设备供应</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27</w:t>
      </w:r>
      <w:r>
        <w:rPr>
          <w:rFonts w:hint="eastAsia" w:ascii="宋体" w:hAnsi="宋体" w:cs="宋体"/>
          <w:b/>
          <w:color w:val="auto"/>
          <w:sz w:val="24"/>
          <w:szCs w:val="24"/>
          <w:highlight w:val="none"/>
        </w:rPr>
        <w:t>、发包人供应材料设备</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27.4</w:t>
      </w:r>
      <w:r>
        <w:rPr>
          <w:rFonts w:hint="eastAsia" w:ascii="宋体" w:hAnsi="宋体" w:cs="宋体"/>
          <w:color w:val="auto"/>
          <w:sz w:val="24"/>
          <w:szCs w:val="24"/>
          <w:highlight w:val="none"/>
        </w:rPr>
        <w:t>发包人供应的材料设备与一览表不符时，双方约定发包人承担责任如下：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材料设备单价与一览表不符：</w:t>
      </w:r>
      <w:r>
        <w:rPr>
          <w:rFonts w:ascii="宋体" w:hAnsi="宋体" w:cs="宋体"/>
          <w:color w:val="auto"/>
          <w:sz w:val="24"/>
          <w:szCs w:val="24"/>
          <w:highlight w:val="none"/>
          <w:u w:val="single"/>
        </w:rPr>
        <mc:AlternateContent>
          <mc:Choice Requires="wps">
            <w:drawing>
              <wp:anchor distT="0" distB="0" distL="114300" distR="114300" simplePos="0" relativeHeight="251664384" behindDoc="0" locked="0" layoutInCell="0" allowOverlap="1">
                <wp:simplePos x="0" y="0"/>
                <wp:positionH relativeFrom="column">
                  <wp:posOffset>3556000</wp:posOffset>
                </wp:positionH>
                <wp:positionV relativeFrom="paragraph">
                  <wp:posOffset>0</wp:posOffset>
                </wp:positionV>
                <wp:extent cx="635" cy="0"/>
                <wp:effectExtent l="0" t="4445" r="0" b="5080"/>
                <wp:wrapNone/>
                <wp:docPr id="5" name="_x0000_s103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30" o:spid="_x0000_s1026" o:spt="20" style="position:absolute;left:0pt;margin-left:280pt;margin-top:0pt;height:0pt;width:0.05pt;z-index:251664384;mso-width-relative:page;mso-height-relative:page;" filled="f" stroked="t"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85eQQ0wAAAAUBAAAPAAAAAAAAAAEAIAAAACIAAABk&#10;cnMvZG93bnJldi54bWxQSwECFAAUAAAACACHTuJA0s7TkNIBAADPAwAADgAAAAAAAAABACAAAAAi&#10;AQAAZHJzL2Uyb0RvYy54bWxQSwUGAAAAAAYABgBZAQAAZgUAAAAA&#10;">
                <v:fill on="f" focussize="0,0"/>
                <v:stroke color="#000000" joinstyle="round"/>
                <v:imagedata o:title=""/>
                <o:lock v:ext="edit" aspectratio="f"/>
              </v:line>
            </w:pict>
          </mc:Fallback>
        </mc:AlternateConten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材料设备的品种、规格、型号、质量等级与一览表不符：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承包人可代为调剂串换的材料：</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到货地点与一览表不符：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供应数量与一览表不符：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）到货时间与一览表不符；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27.6</w:t>
      </w:r>
      <w:r>
        <w:rPr>
          <w:rFonts w:hint="eastAsia" w:ascii="宋体" w:hAnsi="宋体" w:cs="宋体"/>
          <w:color w:val="auto"/>
          <w:sz w:val="24"/>
          <w:szCs w:val="24"/>
          <w:highlight w:val="none"/>
        </w:rPr>
        <w:t>发包人供应材料设备的结算方法：</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28</w:t>
      </w:r>
      <w:r>
        <w:rPr>
          <w:rFonts w:hint="eastAsia" w:ascii="宋体" w:hAnsi="宋体" w:cs="宋体"/>
          <w:b/>
          <w:color w:val="auto"/>
          <w:sz w:val="24"/>
          <w:szCs w:val="24"/>
          <w:highlight w:val="none"/>
        </w:rPr>
        <w:t>、承包人采购材料设备</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rPr>
        <w:t>28.1</w:t>
      </w:r>
      <w:r>
        <w:rPr>
          <w:rFonts w:hint="eastAsia" w:ascii="宋体" w:hAnsi="宋体" w:cs="宋体"/>
          <w:color w:val="auto"/>
          <w:sz w:val="24"/>
          <w:szCs w:val="24"/>
          <w:highlight w:val="none"/>
        </w:rPr>
        <w:t>承包人采购材料设备的约定：</w:t>
      </w:r>
      <w:r>
        <w:rPr>
          <w:rFonts w:hint="eastAsia" w:ascii="宋体" w:hAnsi="宋体" w:cs="宋体"/>
          <w:color w:val="auto"/>
          <w:sz w:val="24"/>
          <w:szCs w:val="24"/>
          <w:highlight w:val="none"/>
          <w:u w:val="single"/>
        </w:rPr>
        <w:t>由承包人负责采购材料设备的，按招标文件规定和本合同专用条款第</w:t>
      </w:r>
      <w:r>
        <w:rPr>
          <w:rFonts w:ascii="宋体" w:hAnsi="宋体" w:cs="宋体"/>
          <w:color w:val="auto"/>
          <w:sz w:val="24"/>
          <w:szCs w:val="24"/>
          <w:highlight w:val="none"/>
          <w:u w:val="single"/>
        </w:rPr>
        <w:t>47.28</w:t>
      </w:r>
      <w:r>
        <w:rPr>
          <w:rFonts w:hint="eastAsia" w:ascii="宋体" w:hAnsi="宋体" w:cs="宋体"/>
          <w:color w:val="auto"/>
          <w:sz w:val="24"/>
          <w:szCs w:val="24"/>
          <w:highlight w:val="none"/>
          <w:u w:val="single"/>
        </w:rPr>
        <w:t>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w:t>
      </w:r>
      <w:r>
        <w:rPr>
          <w:rFonts w:ascii="宋体" w:hAnsi="宋体" w:cs="宋体"/>
          <w:color w:val="auto"/>
          <w:sz w:val="24"/>
          <w:szCs w:val="24"/>
          <w:highlight w:val="none"/>
          <w:u w:val="single"/>
        </w:rPr>
        <w:t>24小时通知工程师清点。</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28.2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检验或试验费用由承包人承担。</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28.3所有材料、设备报价必须报监理、业主同意后方可使用。</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八、工程变更</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29、工程设计变更</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29.4</w:t>
      </w:r>
      <w:r>
        <w:rPr>
          <w:rFonts w:hint="eastAsia" w:ascii="宋体" w:hAnsi="宋体" w:cs="宋体"/>
          <w:color w:val="auto"/>
          <w:sz w:val="24"/>
          <w:szCs w:val="24"/>
          <w:highlight w:val="none"/>
          <w:u w:val="single"/>
        </w:rPr>
        <w:t>开工前，发包人组织承包人、监理单位、设计单位对施工图纸进行会审。如需实施工程变更签证，承包人需在实施相应变更签证</w:t>
      </w:r>
      <w:r>
        <w:rPr>
          <w:rFonts w:ascii="宋体" w:hAnsi="宋体" w:cs="宋体"/>
          <w:color w:val="auto"/>
          <w:sz w:val="24"/>
          <w:szCs w:val="24"/>
          <w:highlight w:val="none"/>
          <w:u w:val="single"/>
        </w:rPr>
        <w:t>2个月前向发包人提出（确属不可预见因素除外）。否则工程实施过程中每实施一项变更签证，承包人须按该变更签证工程价款的3%向发包人支付违约金，引起的工期延误不予顺延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同时，如实施工程变更，承包人应以书面形式通知发包人和监理工程师，经监理工程师审查并报发包人同意后，由发包人与设计单位商定修改或变更设计方案进行实施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29.5</w:t>
      </w:r>
      <w:r>
        <w:rPr>
          <w:rFonts w:hint="eastAsia" w:ascii="宋体" w:hAnsi="宋体" w:cs="宋体"/>
          <w:color w:val="auto"/>
          <w:sz w:val="24"/>
          <w:szCs w:val="24"/>
          <w:highlight w:val="none"/>
          <w:u w:val="single"/>
        </w:rPr>
        <w:t>变更应由监理工程师发出变更指令，没有监理工程师的指令，承包人不得进行上述变更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29.6</w:t>
      </w:r>
      <w:r>
        <w:rPr>
          <w:rFonts w:hint="eastAsia" w:ascii="宋体" w:hAnsi="宋体" w:cs="宋体"/>
          <w:color w:val="auto"/>
          <w:sz w:val="24"/>
          <w:szCs w:val="24"/>
          <w:highlight w:val="none"/>
          <w:u w:val="single"/>
        </w:rPr>
        <w:t>按施工图纸实施使得工程量少于施工合同工程量清单中已确定或有规定的数量的，则该项工程量减少不需要任何指令</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29.7</w:t>
      </w:r>
      <w:r>
        <w:rPr>
          <w:rFonts w:hint="eastAsia" w:ascii="宋体" w:hAnsi="宋体" w:cs="宋体"/>
          <w:color w:val="auto"/>
          <w:sz w:val="24"/>
          <w:szCs w:val="24"/>
          <w:highlight w:val="none"/>
          <w:u w:val="single"/>
        </w:rPr>
        <w:t>所有涉及工期和工程量的变更均应获得发包人书面批准才能生效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29.8</w:t>
      </w:r>
      <w:r>
        <w:rPr>
          <w:rFonts w:hint="eastAsia" w:ascii="宋体" w:hAnsi="宋体" w:cs="宋体"/>
          <w:color w:val="auto"/>
          <w:sz w:val="24"/>
          <w:szCs w:val="24"/>
          <w:highlight w:val="none"/>
          <w:u w:val="single"/>
        </w:rPr>
        <w:t>当发包人提出变更通知，承包人认为产生了增加费用，承包人应在发包人提出通知要求后</w:t>
      </w:r>
      <w:r>
        <w:rPr>
          <w:rFonts w:ascii="宋体" w:hAnsi="宋体" w:cs="宋体"/>
          <w:color w:val="auto"/>
          <w:sz w:val="24"/>
          <w:szCs w:val="24"/>
          <w:highlight w:val="none"/>
          <w:u w:val="single"/>
        </w:rPr>
        <w:t>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29.9</w:t>
      </w:r>
      <w:r>
        <w:rPr>
          <w:rFonts w:hint="eastAsia" w:ascii="宋体" w:hAnsi="宋体" w:cs="宋体"/>
          <w:color w:val="auto"/>
          <w:sz w:val="24"/>
          <w:szCs w:val="24"/>
          <w:highlight w:val="none"/>
          <w:u w:val="single"/>
        </w:rPr>
        <w:t>工程变更申报程序按广州开发区、黄埔区以及建设业主的有关规定执行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29.10</w:t>
      </w:r>
      <w:r>
        <w:rPr>
          <w:rFonts w:ascii="宋体" w:hAnsi="宋体" w:cs="宋体"/>
          <w:color w:val="auto"/>
          <w:sz w:val="24"/>
          <w:szCs w:val="24"/>
          <w:highlight w:val="none"/>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30、其它变更</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30.1工程现场签证：</w:t>
      </w:r>
      <w:r>
        <w:rPr>
          <w:rFonts w:hint="eastAsia" w:ascii="宋体" w:hAnsi="宋体" w:cs="宋体"/>
          <w:color w:val="auto"/>
          <w:sz w:val="24"/>
          <w:szCs w:val="24"/>
          <w:highlight w:val="none"/>
          <w:u w:val="single"/>
        </w:rPr>
        <w:t>工程现场签证是指施工生产活动中用以证实在施工中遇到的某些特殊情况的一种书面证明资料，一般指按承发包合同约定，由承发包双方代表就施工过程中涉及合同价款之外的责任事件所作的签认证明</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承包人需对施工图纸进行会审，如需对工程量清单错漏进行确认，承包人需在前四分之一工期阶段内且最长不得超过中标通知书发出之日起</w:t>
      </w:r>
      <w:r>
        <w:rPr>
          <w:rFonts w:ascii="宋体" w:hAnsi="宋体" w:cs="宋体"/>
          <w:color w:val="auto"/>
          <w:sz w:val="24"/>
          <w:szCs w:val="24"/>
          <w:highlight w:val="none"/>
          <w:u w:val="single"/>
        </w:rPr>
        <w:t>6个月内向发包人提出，</w:t>
      </w:r>
      <w:r>
        <w:rPr>
          <w:rFonts w:hint="eastAsia" w:ascii="宋体" w:hAnsi="宋体" w:cs="宋体"/>
          <w:color w:val="auto"/>
          <w:sz w:val="24"/>
          <w:szCs w:val="24"/>
          <w:highlight w:val="none"/>
          <w:u w:val="single"/>
        </w:rPr>
        <w:t>并按《广州开发区财政投资建设项目管理中心工程量清单错漏申报管理办法（2021年）》（穗开建管〔2021〕78号）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30.2签证的计价：</w:t>
      </w:r>
      <w:r>
        <w:rPr>
          <w:rFonts w:hint="eastAsia" w:ascii="宋体" w:hAnsi="宋体" w:cs="宋体"/>
          <w:color w:val="auto"/>
          <w:sz w:val="24"/>
          <w:szCs w:val="24"/>
          <w:highlight w:val="none"/>
          <w:u w:val="single"/>
        </w:rPr>
        <w:t>按招标文件及合同中关于工程变更的计价有关规定执行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30.3签证实施前所需的施工方案：</w:t>
      </w:r>
      <w:r>
        <w:rPr>
          <w:rFonts w:hint="eastAsia" w:ascii="宋体" w:hAnsi="宋体" w:cs="宋体"/>
          <w:color w:val="auto"/>
          <w:sz w:val="24"/>
          <w:szCs w:val="24"/>
          <w:highlight w:val="none"/>
          <w:u w:val="single"/>
        </w:rPr>
        <w:t>若签证事件发生时，需使用没有被监理工程师批准过的施工方案，则必须将该施工方案提前报监理工程师和发包人批准，经批准后才能实施，否则发包人将按最经济的施工方案对该签证进行计价</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30.4</w:t>
      </w:r>
      <w:r>
        <w:rPr>
          <w:rFonts w:hint="eastAsia" w:ascii="宋体" w:hAnsi="宋体" w:cs="宋体"/>
          <w:color w:val="auto"/>
          <w:sz w:val="24"/>
          <w:szCs w:val="24"/>
          <w:highlight w:val="none"/>
          <w:u w:val="single"/>
        </w:rPr>
        <w:t>工程现场签证申报程序按广州开发区、黄埔区以及建设业主的有关规定执行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31、确定变更价款</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31.1</w:t>
      </w:r>
      <w:r>
        <w:rPr>
          <w:rFonts w:ascii="宋体" w:hAnsi="宋体" w:cs="宋体"/>
          <w:color w:val="auto"/>
          <w:sz w:val="24"/>
          <w:szCs w:val="24"/>
          <w:highlight w:val="none"/>
          <w:u w:val="single"/>
        </w:rPr>
        <w:t>承包人在工程变更确定后14天内，提出变更工程价款的报告，经工程师确认后调整合同价款。</w:t>
      </w:r>
      <w:r>
        <w:rPr>
          <w:rFonts w:hint="eastAsia" w:ascii="宋体" w:hAnsi="宋体" w:cs="宋体"/>
          <w:color w:val="auto"/>
          <w:sz w:val="24"/>
          <w:szCs w:val="24"/>
          <w:highlight w:val="none"/>
          <w:u w:val="single"/>
        </w:rPr>
        <w:t>变更合同价款确定原则按本合同相关约定执行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31.3</w:t>
      </w:r>
      <w:r>
        <w:rPr>
          <w:rFonts w:ascii="宋体" w:hAnsi="宋体" w:cs="宋体"/>
          <w:color w:val="auto"/>
          <w:sz w:val="24"/>
          <w:szCs w:val="24"/>
          <w:highlight w:val="none"/>
          <w:u w:val="single"/>
        </w:rPr>
        <w:t>所有变更工程价款的报告必须按规定程序报发包人审核确认</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31.5</w:t>
      </w:r>
      <w:r>
        <w:rPr>
          <w:rFonts w:ascii="宋体" w:hAnsi="宋体" w:cs="宋体"/>
          <w:color w:val="auto"/>
          <w:sz w:val="24"/>
          <w:szCs w:val="24"/>
          <w:highlight w:val="none"/>
          <w:u w:val="single"/>
        </w:rPr>
        <w:t>工程变更价款的支付按本合同相关约定支付</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31.7</w:t>
      </w:r>
      <w:r>
        <w:rPr>
          <w:rFonts w:hint="eastAsia" w:ascii="宋体" w:hAnsi="宋体" w:cs="宋体"/>
          <w:color w:val="auto"/>
          <w:sz w:val="24"/>
          <w:szCs w:val="24"/>
          <w:highlight w:val="none"/>
          <w:u w:val="single"/>
        </w:rPr>
        <w:t>发生上述规定的变更后，承包人在收到发包人变更通知的</w:t>
      </w:r>
      <w:r>
        <w:rPr>
          <w:rFonts w:ascii="宋体" w:hAnsi="宋体" w:cs="宋体"/>
          <w:color w:val="auto"/>
          <w:sz w:val="24"/>
          <w:szCs w:val="24"/>
          <w:highlight w:val="none"/>
          <w:u w:val="single"/>
        </w:rPr>
        <w:t>7天内按合同文件规定的计价方式内容编出变更工程建议送交监理单位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31.8</w:t>
      </w:r>
      <w:r>
        <w:rPr>
          <w:rFonts w:hint="eastAsia" w:ascii="宋体" w:hAnsi="宋体" w:cs="宋体"/>
          <w:color w:val="auto"/>
          <w:sz w:val="24"/>
          <w:szCs w:val="24"/>
          <w:highlight w:val="none"/>
          <w:u w:val="single"/>
        </w:rPr>
        <w:t>在工程变更价款计算时，承包人应按招标文件相关规定编制变更工程的预算，提供变更依据及详细的计算资料，报监理单位和发包人批准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31.9</w:t>
      </w:r>
      <w:r>
        <w:rPr>
          <w:rFonts w:hint="eastAsia" w:ascii="宋体" w:hAnsi="宋体" w:cs="宋体"/>
          <w:color w:val="auto"/>
          <w:sz w:val="24"/>
          <w:szCs w:val="24"/>
          <w:highlight w:val="none"/>
          <w:u w:val="single"/>
        </w:rPr>
        <w:t>工程变更、签证申报程序按广州开发区、黄埔区以及建设业主的有关规定执行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九、竣工验收与结算</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32</w:t>
      </w:r>
      <w:r>
        <w:rPr>
          <w:rFonts w:hint="eastAsia" w:ascii="宋体" w:hAnsi="宋体" w:cs="宋体"/>
          <w:b/>
          <w:color w:val="auto"/>
          <w:sz w:val="24"/>
          <w:szCs w:val="24"/>
          <w:highlight w:val="none"/>
        </w:rPr>
        <w:t>、竣工验收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32.1</w:t>
      </w:r>
      <w:r>
        <w:rPr>
          <w:rFonts w:hint="eastAsia" w:ascii="宋体" w:hAnsi="宋体" w:cs="宋体"/>
          <w:color w:val="auto"/>
          <w:sz w:val="24"/>
          <w:szCs w:val="24"/>
          <w:highlight w:val="none"/>
        </w:rPr>
        <w:t>承包人提供竣工图纸的约定：</w:t>
      </w:r>
      <w:r>
        <w:rPr>
          <w:rFonts w:hint="eastAsia" w:ascii="宋体" w:hAnsi="宋体" w:cs="宋体"/>
          <w:color w:val="auto"/>
          <w:sz w:val="24"/>
          <w:szCs w:val="24"/>
          <w:highlight w:val="none"/>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32.6</w:t>
      </w:r>
      <w:r>
        <w:rPr>
          <w:rFonts w:hint="eastAsia" w:ascii="宋体" w:hAnsi="宋体" w:cs="宋体"/>
          <w:color w:val="auto"/>
          <w:sz w:val="24"/>
          <w:szCs w:val="24"/>
          <w:highlight w:val="none"/>
        </w:rPr>
        <w:t>中间交工工程的范围和竣工时间：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33、竣工结算</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承发包双方一致同意不适用</w:t>
      </w:r>
      <w:r>
        <w:rPr>
          <w:rFonts w:hint="eastAsia" w:ascii="宋体" w:hAnsi="宋体" w:cs="宋体"/>
          <w:color w:val="auto"/>
          <w:sz w:val="24"/>
          <w:szCs w:val="24"/>
          <w:highlight w:val="none"/>
          <w:u w:val="single"/>
        </w:rPr>
        <w:t>通用条款</w:t>
      </w:r>
      <w:r>
        <w:rPr>
          <w:rFonts w:ascii="宋体" w:hAnsi="宋体" w:cs="宋体"/>
          <w:color w:val="auto"/>
          <w:sz w:val="24"/>
          <w:szCs w:val="24"/>
          <w:highlight w:val="none"/>
          <w:u w:val="single"/>
        </w:rPr>
        <w:t>33.2款、33.3款、33.4款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竣工结算办法：</w:t>
      </w:r>
      <w:r>
        <w:rPr>
          <w:rFonts w:hint="eastAsia" w:ascii="宋体" w:hAnsi="宋体" w:cs="宋体"/>
          <w:color w:val="auto"/>
          <w:sz w:val="24"/>
          <w:szCs w:val="24"/>
          <w:highlight w:val="none"/>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竣工结算提交时间：</w:t>
      </w:r>
      <w:r>
        <w:rPr>
          <w:rFonts w:hint="eastAsia" w:ascii="宋体" w:hAnsi="宋体" w:cs="宋体"/>
          <w:color w:val="auto"/>
          <w:sz w:val="24"/>
          <w:szCs w:val="24"/>
          <w:highlight w:val="none"/>
          <w:u w:val="single"/>
        </w:rPr>
        <w:t>承包人须按《广州开发区财政投资建设项目管理中心施工类合同结算编审指引（试行）》及区有关规定编制及办理建设项目工程结算</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承包人未按前款规定的期限和内容编制及办理建设项目工程结算（非承包人原因无法办理工程结算的情况除外），经发包人或代建单位或监理人书面通知之日起</w:t>
      </w:r>
      <w:r>
        <w:rPr>
          <w:rFonts w:ascii="宋体" w:hAnsi="宋体" w:cs="宋体"/>
          <w:color w:val="auto"/>
          <w:sz w:val="24"/>
          <w:szCs w:val="24"/>
          <w:highlight w:val="none"/>
          <w:u w:val="single"/>
        </w:rPr>
        <w:t>2个月内（最长期限不得超过6个月）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十、违约、索赔和争议</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35</w:t>
      </w:r>
      <w:r>
        <w:rPr>
          <w:rFonts w:hint="eastAsia" w:ascii="宋体" w:hAnsi="宋体" w:cs="宋体"/>
          <w:b/>
          <w:color w:val="auto"/>
          <w:sz w:val="24"/>
          <w:szCs w:val="24"/>
          <w:highlight w:val="none"/>
        </w:rPr>
        <w:t>、违约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35.1</w:t>
      </w:r>
      <w:r>
        <w:rPr>
          <w:rFonts w:hint="eastAsia" w:ascii="宋体" w:hAnsi="宋体" w:cs="宋体"/>
          <w:color w:val="auto"/>
          <w:sz w:val="24"/>
          <w:szCs w:val="24"/>
          <w:highlight w:val="none"/>
        </w:rPr>
        <w:t>本合同中关于发包人违约的具体责任如下：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本合同通用条款第</w:t>
      </w:r>
      <w:r>
        <w:rPr>
          <w:rFonts w:ascii="宋体" w:hAnsi="宋体" w:cs="宋体"/>
          <w:color w:val="auto"/>
          <w:sz w:val="24"/>
          <w:szCs w:val="24"/>
          <w:highlight w:val="none"/>
        </w:rPr>
        <w:t>35.1条约定发包人违约应承担的责任：</w:t>
      </w:r>
      <w:r>
        <w:rPr>
          <w:rFonts w:hint="eastAsia" w:ascii="宋体" w:hAnsi="宋体" w:cs="宋体"/>
          <w:color w:val="auto"/>
          <w:sz w:val="24"/>
          <w:szCs w:val="24"/>
          <w:highlight w:val="none"/>
          <w:u w:val="single"/>
        </w:rPr>
        <w:t>顺延工期，但不作费用赔偿</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双方约定的发包人其他违约责任：</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w:t>
      </w:r>
      <w:r>
        <w:rPr>
          <w:rFonts w:hint="eastAsia" w:ascii="宋体" w:hAnsi="宋体" w:cs="宋体"/>
          <w:color w:val="auto"/>
          <w:sz w:val="24"/>
          <w:szCs w:val="24"/>
          <w:highlight w:val="none"/>
        </w:rPr>
        <w:t>本合同中关于承包人违约的具体责任如下：</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35.2.1工期延误的违约责任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承包人未按发包人或监理单位开工令要求时间开工的，每迟延开工</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天，应向发包人支付违约金</w:t>
      </w:r>
      <w:r>
        <w:rPr>
          <w:rFonts w:ascii="宋体" w:hAnsi="宋体" w:cs="宋体"/>
          <w:color w:val="auto"/>
          <w:sz w:val="24"/>
          <w:szCs w:val="24"/>
          <w:highlight w:val="none"/>
          <w:u w:val="single"/>
        </w:rPr>
        <w:t>5000元；迟延开工超过20</w:t>
      </w:r>
      <w:r>
        <w:rPr>
          <w:rFonts w:hint="eastAsia" w:ascii="宋体" w:hAnsi="宋体" w:cs="宋体"/>
          <w:color w:val="auto"/>
          <w:sz w:val="24"/>
          <w:szCs w:val="24"/>
          <w:highlight w:val="none"/>
          <w:u w:val="single"/>
        </w:rPr>
        <w:t>天的，发包人有权根据实际情况单方面解除合同</w:t>
      </w:r>
      <w:r>
        <w:rPr>
          <w:rFonts w:hint="eastAsia" w:ascii="宋体" w:hAnsi="宋体" w:cs="宋体"/>
          <w:color w:val="auto"/>
          <w:sz w:val="24"/>
          <w:szCs w:val="24"/>
          <w:highlight w:val="none"/>
        </w:rPr>
        <w:t>。</w:t>
      </w:r>
    </w:p>
    <w:p>
      <w:pPr>
        <w:spacing w:line="440" w:lineRule="exact"/>
        <w:ind w:firstLine="5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因承包人的原因造成工期延误，其中属节点工期延误，从延误的第一天起，每天支付违约金</w:t>
      </w:r>
      <w:r>
        <w:rPr>
          <w:rFonts w:ascii="宋体" w:hAnsi="宋体" w:cs="宋体"/>
          <w:color w:val="auto"/>
          <w:sz w:val="24"/>
          <w:szCs w:val="24"/>
          <w:highlight w:val="none"/>
          <w:u w:val="single"/>
        </w:rPr>
        <w:t>5000</w:t>
      </w:r>
      <w:r>
        <w:rPr>
          <w:rFonts w:hint="eastAsia" w:ascii="宋体" w:hAnsi="宋体" w:cs="宋体"/>
          <w:color w:val="auto"/>
          <w:sz w:val="24"/>
          <w:szCs w:val="24"/>
          <w:highlight w:val="none"/>
          <w:u w:val="single"/>
        </w:rPr>
        <w:t>元，如在下一个节点赶回工期，可免除上述违约金。属总工期延误，从总工期延误的第一天起，每天支付违约金</w:t>
      </w:r>
      <w:r>
        <w:rPr>
          <w:rFonts w:ascii="宋体" w:hAnsi="宋体" w:cs="宋体"/>
          <w:color w:val="auto"/>
          <w:sz w:val="24"/>
          <w:szCs w:val="24"/>
          <w:highlight w:val="none"/>
          <w:u w:val="single"/>
        </w:rPr>
        <w:t>20000元</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延误工期超过</w:t>
      </w:r>
      <w:r>
        <w:rPr>
          <w:rFonts w:ascii="宋体" w:hAnsi="宋体" w:cs="宋体"/>
          <w:color w:val="auto"/>
          <w:sz w:val="24"/>
          <w:szCs w:val="24"/>
          <w:highlight w:val="none"/>
          <w:u w:val="single"/>
        </w:rPr>
        <w:t>20天的，发包人可视情况终止合同。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承包人必须按期完成主要工序的施工任务，若属承包人原因逾期达</w:t>
      </w:r>
      <w:r>
        <w:rPr>
          <w:rFonts w:ascii="宋体" w:hAnsi="宋体" w:cs="宋体"/>
          <w:color w:val="auto"/>
          <w:sz w:val="24"/>
          <w:szCs w:val="24"/>
          <w:highlight w:val="none"/>
          <w:u w:val="single"/>
        </w:rPr>
        <w:t>10天未完成主要节点的施工任务时，</w:t>
      </w:r>
      <w:r>
        <w:rPr>
          <w:rFonts w:hint="eastAsia" w:ascii="宋体" w:hAnsi="宋体" w:cs="宋体"/>
          <w:color w:val="auto"/>
          <w:sz w:val="24"/>
          <w:szCs w:val="24"/>
          <w:highlight w:val="none"/>
          <w:u w:val="single"/>
        </w:rPr>
        <w:t>除按第（</w:t>
      </w:r>
      <w:r>
        <w:rPr>
          <w:rFonts w:ascii="宋体" w:hAnsi="宋体" w:cs="宋体"/>
          <w:color w:val="auto"/>
          <w:sz w:val="24"/>
          <w:szCs w:val="24"/>
          <w:highlight w:val="none"/>
          <w:u w:val="single"/>
        </w:rPr>
        <w:t>2）项约定承担违约责任外，</w:t>
      </w:r>
      <w:r>
        <w:rPr>
          <w:rFonts w:hint="eastAsia" w:ascii="宋体" w:hAnsi="宋体" w:cs="宋体"/>
          <w:color w:val="auto"/>
          <w:sz w:val="24"/>
          <w:szCs w:val="24"/>
          <w:highlight w:val="none"/>
          <w:u w:val="single"/>
        </w:rPr>
        <w:t>发包人可要求撤换项目负责人，承包人应予以执行，并在总工期不调整的前提下自行消化节点工期的延误。逾期</w:t>
      </w:r>
      <w:r>
        <w:rPr>
          <w:rFonts w:ascii="宋体" w:hAnsi="宋体" w:cs="宋体"/>
          <w:color w:val="auto"/>
          <w:sz w:val="24"/>
          <w:szCs w:val="24"/>
          <w:highlight w:val="none"/>
          <w:u w:val="single"/>
        </w:rPr>
        <w:t>20天未完成主要节点的施工任务时，属承包人进度严重违约行为，发包人可</w:t>
      </w:r>
      <w:r>
        <w:rPr>
          <w:rFonts w:hint="eastAsia" w:ascii="宋体" w:hAnsi="宋体" w:cs="宋体"/>
          <w:color w:val="auto"/>
          <w:sz w:val="24"/>
          <w:szCs w:val="24"/>
          <w:highlight w:val="none"/>
          <w:u w:val="single"/>
        </w:rPr>
        <w:t>单方面终止合同，将承包人作不良纪录报区建设行政主管部门备案。并由承包人承担相应的进度严重违约责任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承包人承担的进度严重违约责任为：如果承包人出现进度严重违约事件，则须无条件接受发包人终止合同，并在接到终止合同通知书之日起</w:t>
      </w:r>
      <w:r>
        <w:rPr>
          <w:rFonts w:ascii="宋体" w:hAnsi="宋体" w:cs="宋体"/>
          <w:color w:val="auto"/>
          <w:sz w:val="24"/>
          <w:szCs w:val="24"/>
          <w:highlight w:val="none"/>
          <w:u w:val="single"/>
        </w:rPr>
        <w:t>5个</w:t>
      </w:r>
      <w:r>
        <w:rPr>
          <w:rFonts w:hint="eastAsia" w:ascii="宋体" w:hAnsi="宋体" w:cs="宋体"/>
          <w:color w:val="auto"/>
          <w:sz w:val="24"/>
          <w:szCs w:val="24"/>
          <w:highlight w:val="none"/>
          <w:u w:val="single"/>
        </w:rPr>
        <w:t>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w:t>
      </w:r>
      <w:r>
        <w:rPr>
          <w:rFonts w:ascii="宋体" w:hAnsi="宋体" w:cs="宋体"/>
          <w:color w:val="auto"/>
          <w:sz w:val="24"/>
          <w:szCs w:val="24"/>
          <w:highlight w:val="none"/>
          <w:u w:val="single"/>
        </w:rPr>
        <w:t>5000元违约金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w:t>
      </w:r>
      <w:r>
        <w:rPr>
          <w:rFonts w:ascii="宋体" w:hAnsi="宋体" w:cs="宋体"/>
          <w:snapToGrid w:val="0"/>
          <w:color w:val="auto"/>
          <w:kern w:val="0"/>
          <w:sz w:val="24"/>
          <w:szCs w:val="24"/>
          <w:highlight w:val="none"/>
        </w:rPr>
        <w:t>6</w:t>
      </w:r>
      <w:r>
        <w:rPr>
          <w:rFonts w:hint="eastAsia" w:ascii="宋体" w:hAnsi="宋体" w:cs="宋体"/>
          <w:snapToGrid w:val="0"/>
          <w:color w:val="auto"/>
          <w:kern w:val="0"/>
          <w:sz w:val="24"/>
          <w:szCs w:val="24"/>
          <w:highlight w:val="none"/>
        </w:rPr>
        <w:t>）</w:t>
      </w:r>
      <w:r>
        <w:rPr>
          <w:rFonts w:hint="eastAsia" w:ascii="宋体" w:hAnsi="宋体" w:cs="宋体"/>
          <w:snapToGrid w:val="0"/>
          <w:color w:val="auto"/>
          <w:kern w:val="0"/>
          <w:sz w:val="24"/>
          <w:szCs w:val="24"/>
          <w:highlight w:val="none"/>
          <w:u w:val="single"/>
        </w:rPr>
        <w:t>承包人违反合同专用条款的约定和发包人的规定，逾期完成竣工档案的整理、移交、送审备案工作的，每逾期</w:t>
      </w:r>
      <w:r>
        <w:rPr>
          <w:rFonts w:ascii="宋体" w:hAnsi="宋体" w:cs="宋体"/>
          <w:snapToGrid w:val="0"/>
          <w:color w:val="auto"/>
          <w:kern w:val="0"/>
          <w:sz w:val="24"/>
          <w:szCs w:val="24"/>
          <w:highlight w:val="none"/>
          <w:u w:val="single"/>
        </w:rPr>
        <w:t>1天，承包人支付违约金5000元</w:t>
      </w:r>
      <w:r>
        <w:rPr>
          <w:rFonts w:hint="eastAsia" w:ascii="宋体" w:hAnsi="宋体" w:cs="宋体"/>
          <w:snapToGrid w:val="0"/>
          <w:color w:val="auto"/>
          <w:kern w:val="0"/>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35.2.2</w:t>
      </w:r>
      <w:r>
        <w:rPr>
          <w:rFonts w:hint="eastAsia" w:ascii="宋体" w:hAnsi="宋体" w:cs="宋体"/>
          <w:color w:val="auto"/>
          <w:sz w:val="24"/>
          <w:szCs w:val="24"/>
          <w:highlight w:val="none"/>
        </w:rPr>
        <w:t>安全、文明施工要求及违约处理：</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w:t>
      </w:r>
      <w:r>
        <w:rPr>
          <w:rFonts w:ascii="宋体" w:hAnsi="宋体" w:cs="宋体"/>
          <w:color w:val="auto"/>
          <w:sz w:val="24"/>
          <w:szCs w:val="24"/>
          <w:highlight w:val="none"/>
          <w:u w:val="single"/>
        </w:rPr>
        <w:t>10000</w:t>
      </w:r>
      <w:r>
        <w:rPr>
          <w:rFonts w:hint="eastAsia" w:ascii="宋体" w:hAnsi="宋体" w:cs="宋体"/>
          <w:color w:val="auto"/>
          <w:sz w:val="24"/>
          <w:szCs w:val="24"/>
          <w:highlight w:val="none"/>
          <w:u w:val="single"/>
        </w:rPr>
        <w:t>元人民币违约金给发包人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w:t>
      </w:r>
      <w:r>
        <w:rPr>
          <w:rFonts w:ascii="宋体" w:hAnsi="宋体" w:cs="宋体"/>
          <w:color w:val="auto"/>
          <w:sz w:val="24"/>
          <w:szCs w:val="24"/>
          <w:highlight w:val="none"/>
          <w:u w:val="single"/>
        </w:rPr>
        <w:t>10000元违约金</w:t>
      </w:r>
      <w:r>
        <w:rPr>
          <w:rFonts w:hint="eastAsia" w:ascii="宋体" w:hAnsi="宋体" w:cs="宋体"/>
          <w:color w:val="auto"/>
          <w:sz w:val="24"/>
          <w:szCs w:val="24"/>
          <w:highlight w:val="none"/>
          <w:u w:val="single"/>
        </w:rPr>
        <w:t>，如发包人因此被相关部门处罚的，罚金由承包人承担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如果承包人未按招投标文件及本合同要求做好安全、文明施工相关措施，经监理工程师或发包人检查发现的，每发现一次，承包人支付</w:t>
      </w:r>
      <w:r>
        <w:rPr>
          <w:rFonts w:ascii="宋体" w:hAnsi="宋体" w:cs="宋体"/>
          <w:color w:val="auto"/>
          <w:sz w:val="24"/>
          <w:szCs w:val="24"/>
          <w:highlight w:val="none"/>
          <w:u w:val="single"/>
        </w:rPr>
        <w:t>5000元违约金，并按发包人或监理单位要求限期整改，未在限期内完成整改的，每延期一天，承包人支付10000元违约金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在施工过程中发生安全事故的，除按照国家、省、市规定进行处理外。若导致人员伤亡的，承包人按下列办法支付违约金：如发生死亡事故，死亡</w:t>
      </w:r>
      <w:r>
        <w:rPr>
          <w:rFonts w:ascii="宋体" w:hAnsi="宋体" w:cs="宋体"/>
          <w:color w:val="auto"/>
          <w:sz w:val="24"/>
          <w:szCs w:val="24"/>
          <w:highlight w:val="none"/>
          <w:u w:val="single"/>
        </w:rPr>
        <w:t>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20万元；死亡2人，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40万元；死亡3人或以上，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80万元。如发生重伤事故，重伤1人，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10万元；重伤2人，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20万元；重伤3人或以上，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40万元。因承包人原因发生一般安全事故，未造成人员伤亡</w:t>
      </w:r>
      <w:r>
        <w:rPr>
          <w:rFonts w:hint="eastAsia" w:ascii="宋体" w:hAnsi="宋体" w:cs="宋体"/>
          <w:color w:val="auto"/>
          <w:sz w:val="24"/>
          <w:szCs w:val="24"/>
          <w:highlight w:val="none"/>
          <w:u w:val="single"/>
        </w:rPr>
        <w:t>或造成人员轻伤及轻微财产损失的，每发生一次，承包人支付违约金</w:t>
      </w:r>
      <w:r>
        <w:rPr>
          <w:rFonts w:ascii="宋体" w:hAnsi="宋体" w:cs="宋体"/>
          <w:color w:val="auto"/>
          <w:sz w:val="24"/>
          <w:szCs w:val="24"/>
          <w:highlight w:val="none"/>
          <w:u w:val="single"/>
        </w:rPr>
        <w:t>5000元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在本工程余泥渣土清运施工和建筑垃圾排放运输时，承包人必须严格执行《广州市建筑废弃物管理条例（</w:t>
      </w:r>
      <w:r>
        <w:rPr>
          <w:rFonts w:ascii="宋体" w:hAnsi="宋体" w:cs="宋体"/>
          <w:color w:val="auto"/>
          <w:sz w:val="24"/>
          <w:szCs w:val="24"/>
          <w:highlight w:val="none"/>
          <w:u w:val="single"/>
        </w:rPr>
        <w:t>2015年修正本）》</w:t>
      </w:r>
      <w:r>
        <w:rPr>
          <w:rFonts w:hint="eastAsia" w:ascii="宋体" w:hAnsi="宋体" w:cs="宋体"/>
          <w:color w:val="auto"/>
          <w:sz w:val="24"/>
          <w:szCs w:val="24"/>
          <w:highlight w:val="none"/>
          <w:u w:val="single"/>
        </w:rPr>
        <w:t>、《广州市市容环境卫生管理规定》、《广州市建设工程现场文明施工管理办法》《关于加强施工现场余泥渣土排放管理工作的通知》（穗建筑【</w:t>
      </w:r>
      <w:r>
        <w:rPr>
          <w:rFonts w:ascii="宋体" w:hAnsi="宋体" w:cs="宋体"/>
          <w:color w:val="auto"/>
          <w:sz w:val="24"/>
          <w:szCs w:val="24"/>
          <w:highlight w:val="none"/>
          <w:u w:val="single"/>
        </w:rPr>
        <w:t>2008】60号）等广州市、</w:t>
      </w:r>
      <w:r>
        <w:rPr>
          <w:rFonts w:hint="eastAsia" w:ascii="宋体" w:hAnsi="宋体" w:cs="宋体"/>
          <w:color w:val="auto"/>
          <w:sz w:val="24"/>
          <w:szCs w:val="24"/>
          <w:highlight w:val="none"/>
          <w:u w:val="single"/>
        </w:rPr>
        <w:t>黄埔</w:t>
      </w:r>
      <w:r>
        <w:rPr>
          <w:rFonts w:ascii="宋体" w:hAnsi="宋体" w:cs="宋体"/>
          <w:color w:val="auto"/>
          <w:sz w:val="24"/>
          <w:szCs w:val="24"/>
          <w:highlight w:val="none"/>
          <w:u w:val="single"/>
        </w:rPr>
        <w:t>区相关管理规定的标准和要求，保证落实“</w:t>
      </w:r>
      <w:r>
        <w:rPr>
          <w:rFonts w:hint="eastAsia" w:ascii="宋体" w:hAnsi="宋体" w:cs="宋体"/>
          <w:color w:val="auto"/>
          <w:sz w:val="24"/>
          <w:szCs w:val="24"/>
          <w:highlight w:val="none"/>
          <w:u w:val="single"/>
        </w:rPr>
        <w:t>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w:t>
      </w:r>
      <w:r>
        <w:rPr>
          <w:rFonts w:ascii="宋体" w:hAnsi="宋体" w:cs="宋体"/>
          <w:color w:val="auto"/>
          <w:sz w:val="24"/>
          <w:szCs w:val="24"/>
          <w:highlight w:val="none"/>
          <w:u w:val="single"/>
        </w:rPr>
        <w:t>5000元违约金。同时，发包人将根据承包人</w:t>
      </w:r>
      <w:r>
        <w:rPr>
          <w:rFonts w:hint="eastAsia" w:ascii="宋体" w:hAnsi="宋体" w:cs="宋体"/>
          <w:color w:val="auto"/>
          <w:sz w:val="24"/>
          <w:szCs w:val="24"/>
          <w:highlight w:val="none"/>
          <w:u w:val="single"/>
        </w:rPr>
        <w:t>违反余泥渣土运输管理有关规定而造成的不良后果的严重程度，上报区建设行政主管部门进行处理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35.2.3工程质量方面的违约责任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3）对施工质量问题存在争议，应请国家认可的第三方机构出具检测报告，检测费用由责任方承担。</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lang w:bidi="ar"/>
        </w:rPr>
        <w:t>35.2.4关于第三方质量安全评估的违约责任：</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承包人应严格遵守中心制定的建设工程第三方质量安全评估服务相关管理办法，配合完成第三方质量安全评估工作。根据每次评估结果，经评估确定为一般违约情况的，承包人每次应支付</w:t>
      </w:r>
      <w:r>
        <w:rPr>
          <w:rFonts w:ascii="宋体" w:hAnsi="宋体" w:cs="宋体"/>
          <w:color w:val="auto"/>
          <w:sz w:val="24"/>
          <w:szCs w:val="24"/>
          <w:highlight w:val="none"/>
          <w:u w:val="single"/>
          <w:lang w:bidi="ar"/>
        </w:rPr>
        <w:t>10000元违约金给发包人；经评估确定为严重违约情况的，承包人每次应支付50000元违约金给发包人。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35.2.5关于农民工工资支付的违约责任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承包人拖欠农民工工资（含代发的分包单位工人工资），被农民工投诉属实的，承包人必须在</w:t>
      </w:r>
      <w:r>
        <w:rPr>
          <w:rFonts w:ascii="宋体" w:hAnsi="宋体" w:cs="宋体"/>
          <w:color w:val="auto"/>
          <w:sz w:val="24"/>
          <w:szCs w:val="24"/>
          <w:highlight w:val="none"/>
          <w:u w:val="single"/>
        </w:rPr>
        <w:t>3天内发放拖欠的款项。若继续拖延被投诉2次及以上，经查实，承包人除应立即支付拖欠款项外，还应支付10000</w:t>
      </w:r>
      <w:r>
        <w:rPr>
          <w:rFonts w:hint="eastAsia" w:ascii="宋体" w:hAnsi="宋体" w:cs="宋体"/>
          <w:color w:val="auto"/>
          <w:sz w:val="24"/>
          <w:szCs w:val="24"/>
          <w:highlight w:val="none"/>
          <w:u w:val="single"/>
        </w:rPr>
        <w:t>违约金给发包人。因承包人拖欠农民工工资，导致农民工采取停工、集聚围阻发包人办公地点甚至政府办公部门等过激行动的，承包人应支付</w:t>
      </w:r>
      <w:r>
        <w:rPr>
          <w:rFonts w:ascii="宋体" w:hAnsi="宋体" w:cs="宋体"/>
          <w:color w:val="auto"/>
          <w:sz w:val="24"/>
          <w:szCs w:val="24"/>
          <w:highlight w:val="none"/>
          <w:u w:val="single"/>
        </w:rPr>
        <w:t>50000</w:t>
      </w:r>
      <w:r>
        <w:rPr>
          <w:rFonts w:hint="eastAsia" w:ascii="宋体" w:hAnsi="宋体" w:cs="宋体"/>
          <w:color w:val="auto"/>
          <w:sz w:val="24"/>
          <w:szCs w:val="24"/>
          <w:highlight w:val="none"/>
          <w:u w:val="single"/>
        </w:rPr>
        <w:t>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35.2.6</w:t>
      </w:r>
      <w:r>
        <w:rPr>
          <w:rFonts w:hint="eastAsia" w:ascii="宋体" w:hAnsi="宋体" w:cs="宋体"/>
          <w:color w:val="auto"/>
          <w:sz w:val="24"/>
          <w:szCs w:val="24"/>
          <w:highlight w:val="none"/>
        </w:rPr>
        <w:t>项目管理机构人员、机械设备、劳动力到位方面的违约责任：</w:t>
      </w:r>
    </w:p>
    <w:p>
      <w:pPr>
        <w:numPr>
          <w:ilvl w:val="0"/>
          <w:numId w:val="4"/>
        </w:num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w:t>
      </w:r>
      <w:r>
        <w:rPr>
          <w:rFonts w:ascii="宋体" w:hAnsi="宋体" w:cs="宋体"/>
          <w:color w:val="auto"/>
          <w:sz w:val="24"/>
          <w:szCs w:val="24"/>
          <w:highlight w:val="none"/>
          <w:u w:val="single"/>
        </w:rPr>
        <w:t>50000元违约金给发包人，擅自更换主要施工管理人员的，每更换一人次，承包人需支付30000元违约金给发包人</w:t>
      </w:r>
      <w:r>
        <w:rPr>
          <w:rFonts w:hint="eastAsia" w:ascii="宋体" w:hAnsi="宋体" w:cs="宋体"/>
          <w:color w:val="auto"/>
          <w:sz w:val="24"/>
          <w:szCs w:val="24"/>
          <w:highlight w:val="none"/>
        </w:rPr>
        <w:t>。但征得</w:t>
      </w:r>
      <w:r>
        <w:rPr>
          <w:rFonts w:hint="eastAsia" w:ascii="宋体" w:hAnsi="宋体" w:cs="宋体"/>
          <w:color w:val="auto"/>
          <w:sz w:val="24"/>
          <w:szCs w:val="24"/>
          <w:highlight w:val="none"/>
          <w:u w:val="single"/>
        </w:rPr>
        <w:t>发包人书面同意更换或因发包人按本协议要求更换仍需支付违约金，具体为：更换项目负责人或项目技术负责人的，承包人每更换一人次，需支付</w:t>
      </w:r>
      <w:r>
        <w:rPr>
          <w:rFonts w:ascii="宋体" w:hAnsi="宋体" w:cs="宋体"/>
          <w:color w:val="auto"/>
          <w:sz w:val="24"/>
          <w:szCs w:val="24"/>
          <w:highlight w:val="none"/>
          <w:u w:val="single"/>
        </w:rPr>
        <w:t>30000元违约金给发包人，更换主要施工管理人员的，每更换一人次，承包人需支付10000元违约金给发包人</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如果承包人未按投标文件中的《拟投入本工程施工的主要机械设备配备表》投入机械设备，经监理工程师或发包人代表检查发现的，将书面告知限期整改，未在限期内完成整改的，每延期一天，承包人需支付</w:t>
      </w:r>
      <w:r>
        <w:rPr>
          <w:rFonts w:ascii="宋体" w:hAnsi="宋体" w:cs="宋体"/>
          <w:color w:val="auto"/>
          <w:sz w:val="24"/>
          <w:szCs w:val="24"/>
          <w:highlight w:val="none"/>
          <w:u w:val="single"/>
        </w:rPr>
        <w:t>10000元违约金给发包人。且承包人应按照本合同相关约定投入相应比例的新能源工程车，否则发包人有权要求其限期整改，逾期不整改的，每缺少提供一台，承包人支付违约金20000元/台。</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如果承包人未投标文件中的人力投入计划投入人力，经监理工程师和发包人代表检查发现的，每发现一次，承包人支付</w:t>
      </w:r>
      <w:r>
        <w:rPr>
          <w:rFonts w:ascii="宋体" w:hAnsi="宋体" w:cs="宋体"/>
          <w:color w:val="auto"/>
          <w:sz w:val="24"/>
          <w:szCs w:val="24"/>
          <w:highlight w:val="none"/>
          <w:u w:val="single"/>
        </w:rPr>
        <w:t>10000元违约金给发包人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检查发现承包人超过三次未按承诺投入的人力、机械、物力组织施工，发包人将作为不良纪录报区建设行政主管部门备案。如果检查发现承包人没有按施工组织设计的进度安排推进工程建设，使主要工序的工期延误超过</w:t>
      </w:r>
      <w:r>
        <w:rPr>
          <w:rFonts w:ascii="宋体" w:hAnsi="宋体" w:cs="宋体"/>
          <w:color w:val="auto"/>
          <w:sz w:val="24"/>
          <w:szCs w:val="24"/>
          <w:highlight w:val="none"/>
          <w:u w:val="single"/>
        </w:rPr>
        <w:t>10天，没有按发包人的意见撤换现场负责人；或者按发包人的意见撤换现场负责人后，仍然无法有效控制工程进度，</w:t>
      </w:r>
      <w:r>
        <w:rPr>
          <w:rFonts w:hint="eastAsia" w:ascii="宋体" w:hAnsi="宋体" w:cs="宋体"/>
          <w:color w:val="auto"/>
          <w:sz w:val="24"/>
          <w:szCs w:val="24"/>
          <w:highlight w:val="none"/>
          <w:u w:val="single"/>
        </w:rPr>
        <w:t>承包人除需按本条第（</w:t>
      </w:r>
      <w:r>
        <w:rPr>
          <w:rFonts w:ascii="宋体" w:hAnsi="宋体" w:cs="宋体"/>
          <w:color w:val="auto"/>
          <w:sz w:val="24"/>
          <w:szCs w:val="24"/>
          <w:highlight w:val="none"/>
          <w:u w:val="single"/>
        </w:rPr>
        <w:t>1）项支付违约金外，发包人将发出书面警告，警告发出后15</w:t>
      </w:r>
      <w:r>
        <w:rPr>
          <w:rFonts w:hint="eastAsia" w:ascii="宋体" w:hAnsi="宋体" w:cs="宋体"/>
          <w:color w:val="auto"/>
          <w:sz w:val="24"/>
          <w:szCs w:val="24"/>
          <w:highlight w:val="none"/>
          <w:u w:val="single"/>
        </w:rPr>
        <w:t>天内，主要工序的工期延误仍然超过</w:t>
      </w:r>
      <w:r>
        <w:rPr>
          <w:rFonts w:ascii="宋体" w:hAnsi="宋体" w:cs="宋体"/>
          <w:color w:val="auto"/>
          <w:sz w:val="24"/>
          <w:szCs w:val="24"/>
          <w:highlight w:val="none"/>
          <w:u w:val="single"/>
        </w:rPr>
        <w:t>10天，发包人将作为不良纪录报区建</w:t>
      </w:r>
      <w:r>
        <w:rPr>
          <w:rFonts w:hint="eastAsia" w:ascii="宋体" w:hAnsi="宋体" w:cs="宋体"/>
          <w:color w:val="auto"/>
          <w:sz w:val="24"/>
          <w:szCs w:val="24"/>
          <w:highlight w:val="none"/>
          <w:u w:val="single"/>
        </w:rPr>
        <w:t>设行政主管部门备案。对此，承包人不得有异议</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承包人的项目负责人、技术负责人、安全负责人、质量负责人、防火负责人等必须常驻施工现场，且须无条件参加每周的工地例会以及发包人书面通知的其它会议，如有缺席，则每人每缺席一次，承包人需支付</w:t>
      </w:r>
      <w:r>
        <w:rPr>
          <w:rFonts w:ascii="宋体" w:hAnsi="宋体" w:cs="宋体"/>
          <w:color w:val="auto"/>
          <w:sz w:val="24"/>
          <w:szCs w:val="24"/>
          <w:highlight w:val="none"/>
          <w:u w:val="single"/>
        </w:rPr>
        <w:t>5000元人民币违约金</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35.2.7工程转包违约责任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承包人在本工程中有转包、转让、出借资质证书或者以其他方式允许他人以本企业的名义承揽工程的，发包人将解除合同，承包人按合同价的</w:t>
      </w:r>
      <w:r>
        <w:rPr>
          <w:rFonts w:ascii="宋体" w:hAnsi="宋体" w:cs="宋体"/>
          <w:color w:val="auto"/>
          <w:sz w:val="24"/>
          <w:szCs w:val="24"/>
          <w:highlight w:val="none"/>
          <w:u w:val="single"/>
        </w:rPr>
        <w:t>10%承担违约金。因此导致发包人损失超出违约金的部分，承包人应负责赔偿。</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35.2.8解除合同的违约责任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35.2.8.1因承包人严重违约</w:t>
      </w:r>
      <w:r>
        <w:rPr>
          <w:rFonts w:hint="eastAsia" w:ascii="宋体" w:hAnsi="宋体" w:cs="宋体"/>
          <w:color w:val="auto"/>
          <w:sz w:val="24"/>
          <w:szCs w:val="24"/>
          <w:highlight w:val="none"/>
          <w:u w:val="single"/>
        </w:rPr>
        <w:t>导致发包人单方面解除合同或承包人违约擅自解除合同的，承包人应向发包人支付本合同价款</w:t>
      </w:r>
      <w:r>
        <w:rPr>
          <w:rFonts w:ascii="宋体" w:hAnsi="宋体" w:cs="宋体"/>
          <w:color w:val="auto"/>
          <w:sz w:val="24"/>
          <w:szCs w:val="24"/>
          <w:highlight w:val="none"/>
          <w:u w:val="single"/>
        </w:rPr>
        <w:t>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35.2.8.2不适用通用条款44.6条的约定。</w:t>
      </w:r>
    </w:p>
    <w:p>
      <w:pPr>
        <w:tabs>
          <w:tab w:val="left" w:pos="828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35.2.9</w:t>
      </w:r>
      <w:r>
        <w:rPr>
          <w:rFonts w:hint="eastAsia" w:ascii="宋体" w:hAnsi="宋体" w:cs="宋体"/>
          <w:color w:val="auto"/>
          <w:sz w:val="24"/>
          <w:szCs w:val="24"/>
          <w:highlight w:val="none"/>
        </w:rPr>
        <w:t>办理结算的违约责任：</w:t>
      </w:r>
    </w:p>
    <w:p>
      <w:pPr>
        <w:tabs>
          <w:tab w:val="left" w:pos="8280"/>
        </w:tabs>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承包人不执行《广州开发区财政投资建设项目管理中心施工类合同结算编审指引（试行）》有关规定的，须按该指引有关规定承担违约责任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35.2.10</w:t>
      </w:r>
      <w:r>
        <w:rPr>
          <w:rFonts w:hint="eastAsia" w:ascii="宋体" w:hAnsi="宋体" w:cs="宋体"/>
          <w:color w:val="auto"/>
          <w:sz w:val="24"/>
          <w:szCs w:val="24"/>
          <w:highlight w:val="none"/>
          <w:u w:val="single"/>
        </w:rPr>
        <w:t>除上述违约责任外，因承包人履行本合同不符合约定或相关规定，发包人可根据实际情况，给予承包人通报批评及作不良记录等处罚措施；情节严重的，可报请上级行政主管部门给予相应处罚</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35.2.11</w:t>
      </w:r>
      <w:r>
        <w:rPr>
          <w:rFonts w:hint="eastAsia" w:ascii="宋体" w:hAnsi="宋体" w:cs="宋体"/>
          <w:color w:val="auto"/>
          <w:sz w:val="24"/>
          <w:szCs w:val="24"/>
          <w:highlight w:val="none"/>
          <w:u w:val="single"/>
        </w:rPr>
        <w:t>承包人违约责任的认定方式、送达程序及违约金的处理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1）认定方式：以发包人发出的通知、通报、会议纪要等书面文件确定的内容为准。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2）送达程序：发包人以下列方式之一将书面违约处理决定送达承包人：</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1）承包人现场管理机构工作人员签收。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2）承包人其他工作人员签收。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3）发包人邮寄送达。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37</w:t>
      </w:r>
      <w:r>
        <w:rPr>
          <w:rFonts w:hint="eastAsia" w:ascii="宋体" w:hAnsi="宋体" w:cs="宋体"/>
          <w:b/>
          <w:color w:val="auto"/>
          <w:sz w:val="24"/>
          <w:szCs w:val="24"/>
          <w:highlight w:val="none"/>
        </w:rPr>
        <w:t>、争议</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37.1</w:t>
      </w:r>
      <w:r>
        <w:rPr>
          <w:rFonts w:hint="eastAsia" w:ascii="宋体" w:hAnsi="宋体" w:cs="宋体"/>
          <w:color w:val="auto"/>
          <w:sz w:val="24"/>
          <w:szCs w:val="24"/>
          <w:highlight w:val="none"/>
        </w:rPr>
        <w:t>双方约定，在履行合同过程中产生争议时：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）由双方协商解决；</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）协商不成的，向</w:t>
      </w:r>
      <w:r>
        <w:rPr>
          <w:rFonts w:hint="eastAsia" w:ascii="宋体" w:hAnsi="宋体" w:cs="宋体"/>
          <w:color w:val="auto"/>
          <w:sz w:val="24"/>
          <w:szCs w:val="24"/>
          <w:highlight w:val="none"/>
          <w:u w:val="single"/>
        </w:rPr>
        <w:t>工程所在地</w:t>
      </w:r>
      <w:r>
        <w:rPr>
          <w:rFonts w:hint="eastAsia" w:ascii="宋体" w:hAnsi="宋体" w:cs="宋体"/>
          <w:color w:val="auto"/>
          <w:sz w:val="24"/>
          <w:szCs w:val="24"/>
          <w:highlight w:val="none"/>
        </w:rPr>
        <w:t>人民法院提起诉讼。</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十一、其他</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38</w:t>
      </w:r>
      <w:r>
        <w:rPr>
          <w:rFonts w:hint="eastAsia" w:ascii="宋体" w:hAnsi="宋体" w:cs="宋体"/>
          <w:b/>
          <w:color w:val="auto"/>
          <w:sz w:val="24"/>
          <w:szCs w:val="24"/>
          <w:highlight w:val="none"/>
        </w:rPr>
        <w:t>、工程分包</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38.1（1）本工程发包人同意承包人分包的工程：</w:t>
      </w:r>
      <w:r>
        <w:rPr>
          <w:rFonts w:hint="eastAsia" w:ascii="宋体" w:hAnsi="宋体" w:cs="宋体"/>
          <w:color w:val="auto"/>
          <w:sz w:val="24"/>
          <w:szCs w:val="24"/>
          <w:highlight w:val="none"/>
        </w:rPr>
        <w:t>非主体非关键工程。承包人分包工程的，需先报发包人同意，分包合同签订后必须报发包人备案。承包人与分包单位签订的分包合同中应明确工人工资比例及支付期限。</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39</w:t>
      </w:r>
      <w:r>
        <w:rPr>
          <w:rFonts w:hint="eastAsia" w:ascii="宋体" w:hAnsi="宋体" w:cs="宋体"/>
          <w:b/>
          <w:color w:val="auto"/>
          <w:sz w:val="24"/>
          <w:szCs w:val="24"/>
          <w:highlight w:val="none"/>
        </w:rPr>
        <w:t>、不可抗力</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39.1</w:t>
      </w:r>
      <w:r>
        <w:rPr>
          <w:rFonts w:hint="eastAsia" w:ascii="宋体" w:hAnsi="宋体" w:cs="宋体"/>
          <w:color w:val="auto"/>
          <w:sz w:val="24"/>
          <w:szCs w:val="24"/>
          <w:highlight w:val="none"/>
        </w:rPr>
        <w:t>双方关于不可抗力的约定：按本合同通用条款执行，自然灾害的范围及其认定方式，按下述约定执行：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异常天气：仅指</w:t>
      </w:r>
      <w:r>
        <w:rPr>
          <w:rFonts w:ascii="宋体" w:hAnsi="宋体" w:cs="宋体"/>
          <w:color w:val="auto"/>
          <w:sz w:val="24"/>
          <w:szCs w:val="24"/>
          <w:highlight w:val="none"/>
          <w:u w:val="single"/>
        </w:rPr>
        <w:t>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里氏</w:t>
      </w:r>
      <w:r>
        <w:rPr>
          <w:rFonts w:ascii="宋体" w:hAnsi="宋体" w:cs="宋体"/>
          <w:color w:val="auto"/>
          <w:sz w:val="24"/>
          <w:szCs w:val="24"/>
          <w:highlight w:val="none"/>
          <w:u w:val="single"/>
        </w:rPr>
        <w:t>5级（含本数）以上地震</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39.3双方关于不可抗力事件导致的</w:t>
      </w:r>
      <w:r>
        <w:rPr>
          <w:rFonts w:hint="eastAsia" w:ascii="宋体" w:hAnsi="宋体" w:cs="宋体"/>
          <w:color w:val="auto"/>
          <w:sz w:val="24"/>
          <w:szCs w:val="24"/>
          <w:highlight w:val="none"/>
        </w:rPr>
        <w:t>费用承担</w:t>
      </w:r>
      <w:r>
        <w:rPr>
          <w:rFonts w:hint="eastAsia" w:ascii="宋体" w:hAnsi="宋体" w:cs="宋体"/>
          <w:color w:val="auto"/>
          <w:sz w:val="24"/>
          <w:szCs w:val="24"/>
          <w:highlight w:val="none"/>
          <w:u w:val="single"/>
        </w:rPr>
        <w:t>按本专用条款</w:t>
      </w:r>
      <w:r>
        <w:rPr>
          <w:rFonts w:ascii="宋体" w:hAnsi="宋体" w:cs="宋体"/>
          <w:color w:val="auto"/>
          <w:sz w:val="24"/>
          <w:szCs w:val="24"/>
          <w:highlight w:val="none"/>
          <w:u w:val="single"/>
        </w:rPr>
        <w:t>12.3款约定</w:t>
      </w:r>
      <w:r>
        <w:rPr>
          <w:rFonts w:ascii="宋体" w:hAnsi="宋体" w:cs="宋体"/>
          <w:color w:val="auto"/>
          <w:sz w:val="24"/>
          <w:szCs w:val="24"/>
          <w:highlight w:val="none"/>
        </w:rPr>
        <w:t>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40</w:t>
      </w:r>
      <w:r>
        <w:rPr>
          <w:rFonts w:hint="eastAsia" w:ascii="宋体" w:hAnsi="宋体" w:cs="宋体"/>
          <w:b/>
          <w:color w:val="auto"/>
          <w:sz w:val="24"/>
          <w:szCs w:val="24"/>
          <w:highlight w:val="none"/>
        </w:rPr>
        <w:t>、保险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40.2承包人对其运至施工场地内用于工程的材料和待安装设备办理保险并支付保险费</w:t>
      </w:r>
      <w:r>
        <w:rPr>
          <w:rFonts w:hint="eastAsia" w:ascii="宋体" w:hAnsi="宋体" w:cs="宋体"/>
          <w:color w:val="auto"/>
          <w:sz w:val="24"/>
          <w:szCs w:val="24"/>
          <w:highlight w:val="none"/>
        </w:rPr>
        <w:t>用。</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40.6</w:t>
      </w:r>
      <w:r>
        <w:rPr>
          <w:rFonts w:hint="eastAsia" w:ascii="宋体" w:hAnsi="宋体" w:cs="宋体"/>
          <w:color w:val="auto"/>
          <w:sz w:val="24"/>
          <w:szCs w:val="24"/>
          <w:highlight w:val="none"/>
        </w:rPr>
        <w:t>本工程双方约定投保内容如下：</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发包人投保内容：</w:t>
      </w:r>
      <w:r>
        <w:rPr>
          <w:rFonts w:hint="eastAsia" w:ascii="宋体" w:hAnsi="宋体" w:cs="宋体"/>
          <w:color w:val="auto"/>
          <w:sz w:val="24"/>
          <w:szCs w:val="24"/>
          <w:highlight w:val="none"/>
          <w:u w:val="single"/>
        </w:rPr>
        <w:t>按广州市建设项目劳动保险相关规定投保</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发包人委托承包人办理的保险事项：</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承包人投保内容：</w:t>
      </w:r>
      <w:r>
        <w:rPr>
          <w:rFonts w:hint="eastAsia" w:ascii="宋体" w:hAnsi="宋体" w:cs="宋体"/>
          <w:color w:val="auto"/>
          <w:sz w:val="24"/>
          <w:szCs w:val="24"/>
          <w:highlight w:val="none"/>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41</w:t>
      </w:r>
      <w:r>
        <w:rPr>
          <w:rFonts w:hint="eastAsia" w:ascii="宋体" w:hAnsi="宋体" w:cs="宋体"/>
          <w:b/>
          <w:color w:val="auto"/>
          <w:sz w:val="24"/>
          <w:szCs w:val="24"/>
          <w:highlight w:val="none"/>
        </w:rPr>
        <w:t>、担保</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41.1</w:t>
      </w:r>
      <w:r>
        <w:rPr>
          <w:rFonts w:hint="eastAsia" w:ascii="宋体" w:hAnsi="宋体" w:cs="宋体"/>
          <w:color w:val="auto"/>
          <w:sz w:val="24"/>
          <w:szCs w:val="24"/>
          <w:highlight w:val="none"/>
        </w:rPr>
        <w:t>本工程双方约定担保事项如下：</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发包人向承包人提供履约担保，担保方式为：</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，担保合同作为本合同附件。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承包人按如下方式向发包人提供履约担保：</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w:t>
      </w:r>
      <w:r>
        <w:rPr>
          <w:rFonts w:hint="eastAsia" w:ascii="宋体" w:hAnsi="宋体" w:cs="宋体"/>
          <w:color w:val="auto"/>
          <w:sz w:val="24"/>
          <w:szCs w:val="24"/>
          <w:highlight w:val="none"/>
          <w:u w:val="single"/>
        </w:rPr>
        <w:t>承包人向发包人提交担保金额为中标价</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首次办理履约保函，如合同工期低于</w:t>
      </w:r>
      <w:r>
        <w:rPr>
          <w:rFonts w:ascii="宋体" w:hAnsi="宋体" w:cs="宋体"/>
          <w:color w:val="auto"/>
          <w:sz w:val="24"/>
          <w:szCs w:val="24"/>
          <w:highlight w:val="none"/>
        </w:rPr>
        <w:t>1年的，担保期限可按合同工期，如合同工期高于1年的，担保期限不低于1年。</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履约保函</w:t>
      </w:r>
      <w:r>
        <w:rPr>
          <w:rFonts w:hint="eastAsia" w:ascii="宋体" w:hAnsi="宋体" w:cs="宋体"/>
          <w:color w:val="auto"/>
          <w:sz w:val="24"/>
          <w:szCs w:val="24"/>
          <w:highlight w:val="none"/>
          <w:u w:val="single"/>
        </w:rPr>
        <w:t>办理延期手续</w:t>
      </w:r>
      <w:r>
        <w:rPr>
          <w:rFonts w:hint="eastAsia" w:ascii="宋体" w:hAnsi="宋体" w:cs="宋体"/>
          <w:color w:val="auto"/>
          <w:sz w:val="24"/>
          <w:szCs w:val="24"/>
          <w:highlight w:val="none"/>
        </w:rPr>
        <w:t>时，若项目的完成工程量不足一半，担保金额按中标价的</w:t>
      </w:r>
      <w:r>
        <w:rPr>
          <w:rFonts w:ascii="宋体" w:hAnsi="宋体" w:cs="宋体"/>
          <w:color w:val="auto"/>
          <w:sz w:val="24"/>
          <w:szCs w:val="24"/>
          <w:highlight w:val="none"/>
        </w:rPr>
        <w:t>10%；若项目的完成工程量超过一半，担保金额可按中标价的5%；其他特殊情况需调整的，需报发包人审议同意。</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履约担保的返还方式：</w:t>
      </w:r>
      <w:r>
        <w:rPr>
          <w:rFonts w:ascii="宋体" w:hAnsi="宋体" w:cs="宋体"/>
          <w:color w:val="auto"/>
          <w:sz w:val="24"/>
          <w:szCs w:val="24"/>
          <w:highlight w:val="none"/>
          <w:u w:val="single"/>
        </w:rPr>
        <w:t>履约担保为银行保函的，在工程验收合格</w:t>
      </w:r>
      <w:r>
        <w:rPr>
          <w:rFonts w:hint="eastAsia" w:ascii="宋体" w:hAnsi="宋体" w:cs="宋体"/>
          <w:color w:val="auto"/>
          <w:sz w:val="24"/>
          <w:szCs w:val="24"/>
          <w:highlight w:val="none"/>
          <w:u w:val="single"/>
        </w:rPr>
        <w:t>后返还承包人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银行保函的管理和格式按《广州开发区财政投资建设项目管理中心建设工程保函管理细则》执行</w:t>
      </w:r>
      <w:r>
        <w:rPr>
          <w:rFonts w:hint="eastAsia" w:ascii="宋体" w:hAnsi="宋体" w:cs="宋体"/>
          <w:color w:val="auto"/>
          <w:sz w:val="24"/>
          <w:szCs w:val="24"/>
          <w:highlight w:val="none"/>
        </w:rPr>
        <w:t>。</w:t>
      </w:r>
    </w:p>
    <w:p>
      <w:pPr>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46</w:t>
      </w:r>
      <w:r>
        <w:rPr>
          <w:rFonts w:hint="eastAsia" w:ascii="宋体" w:hAnsi="宋体" w:cs="宋体"/>
          <w:b/>
          <w:color w:val="auto"/>
          <w:sz w:val="24"/>
          <w:szCs w:val="24"/>
          <w:highlight w:val="none"/>
        </w:rPr>
        <w:t>、合同份数</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46.1</w:t>
      </w:r>
      <w:r>
        <w:rPr>
          <w:rFonts w:hint="eastAsia" w:ascii="宋体" w:hAnsi="宋体" w:cs="宋体"/>
          <w:color w:val="auto"/>
          <w:sz w:val="24"/>
          <w:szCs w:val="24"/>
          <w:highlight w:val="none"/>
        </w:rPr>
        <w:t>双方约定合同正副本份数：</w:t>
      </w:r>
      <w:r>
        <w:rPr>
          <w:rFonts w:hint="eastAsia" w:ascii="宋体" w:hAnsi="宋体" w:cs="宋体"/>
          <w:color w:val="auto"/>
          <w:sz w:val="24"/>
          <w:szCs w:val="24"/>
          <w:highlight w:val="none"/>
          <w:u w:val="single"/>
        </w:rPr>
        <w:t>共拾份，正本一式贰份，发包人承包人各执壹份；副本捌份，发包人肆份，承包人叁份，监理人壹份</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47</w:t>
      </w:r>
      <w:r>
        <w:rPr>
          <w:rFonts w:hint="eastAsia" w:ascii="宋体" w:hAnsi="宋体" w:cs="宋体"/>
          <w:b/>
          <w:color w:val="auto"/>
          <w:sz w:val="24"/>
          <w:szCs w:val="24"/>
          <w:highlight w:val="none"/>
        </w:rPr>
        <w:t>、补充条款</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安全、文明、科学、规范的施工要求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w:t>
      </w:r>
      <w:r>
        <w:rPr>
          <w:rFonts w:hint="eastAsia" w:ascii="宋体" w:hAnsi="宋体" w:cs="宋体"/>
          <w:color w:val="auto"/>
          <w:sz w:val="24"/>
          <w:szCs w:val="24"/>
          <w:highlight w:val="none"/>
          <w:u w:val="single"/>
        </w:rPr>
        <w:t>承包人在开工前，必须按照广州市、开发区有关要求办理好相应的施工手续方可开工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w:t>
      </w:r>
      <w:r>
        <w:rPr>
          <w:rFonts w:hint="eastAsia" w:ascii="宋体" w:hAnsi="宋体" w:cs="宋体"/>
          <w:color w:val="auto"/>
          <w:sz w:val="24"/>
          <w:szCs w:val="24"/>
          <w:highlight w:val="none"/>
          <w:u w:val="single"/>
        </w:rPr>
        <w:t>施工范围的具体位置及可交付承包人施工安排的用地范围，由承包人根据现场勘察情况报发包人同意确定，建筑轴线控制基点由承包人联系规划局提供</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w:t>
      </w:r>
      <w:r>
        <w:rPr>
          <w:rFonts w:hint="eastAsia" w:ascii="宋体" w:hAnsi="宋体" w:cs="宋体"/>
          <w:color w:val="auto"/>
          <w:sz w:val="24"/>
          <w:szCs w:val="24"/>
          <w:highlight w:val="none"/>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47.4</w:t>
      </w:r>
      <w:r>
        <w:rPr>
          <w:rFonts w:hint="eastAsia" w:ascii="宋体" w:hAnsi="宋体" w:cs="宋体"/>
          <w:color w:val="auto"/>
          <w:sz w:val="24"/>
          <w:szCs w:val="24"/>
          <w:highlight w:val="none"/>
          <w:u w:val="single"/>
        </w:rPr>
        <w:t>承包人在施工期间要确保工程外场地清洁及道路畅通，如须使用他方道路，则还必须负责养护、保洁责任，否则责任自负。施工和警示标志明显，因施工造成人身损害和财产损失的，由承包人承担责任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47.5</w:t>
      </w:r>
      <w:r>
        <w:rPr>
          <w:rFonts w:hint="eastAsia" w:ascii="宋体" w:hAnsi="宋体" w:cs="宋体"/>
          <w:color w:val="auto"/>
          <w:sz w:val="24"/>
          <w:szCs w:val="24"/>
          <w:highlight w:val="none"/>
          <w:u w:val="single"/>
        </w:rPr>
        <w:t>承包人必须考虑安全、环保等因素在局部施工范围进行围蔽施工，现场围蔽不符合国家有关安全措施及技术要求的，不得开展施工作业，由此造成的工期延长，由承包人自己负责，当作延误工期处理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47.6</w:t>
      </w:r>
      <w:r>
        <w:rPr>
          <w:rFonts w:hint="eastAsia" w:ascii="宋体" w:hAnsi="宋体" w:cs="宋体"/>
          <w:color w:val="auto"/>
          <w:sz w:val="24"/>
          <w:szCs w:val="24"/>
          <w:highlight w:val="none"/>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47.7</w:t>
      </w:r>
      <w:r>
        <w:rPr>
          <w:rFonts w:hint="eastAsia" w:ascii="宋体" w:hAnsi="宋体" w:cs="宋体"/>
          <w:color w:val="auto"/>
          <w:sz w:val="24"/>
          <w:szCs w:val="24"/>
          <w:highlight w:val="none"/>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47.8</w:t>
      </w:r>
      <w:r>
        <w:rPr>
          <w:rFonts w:hint="eastAsia" w:ascii="宋体" w:hAnsi="宋体" w:cs="宋体"/>
          <w:color w:val="auto"/>
          <w:sz w:val="24"/>
          <w:szCs w:val="24"/>
          <w:highlight w:val="none"/>
          <w:u w:val="single"/>
        </w:rPr>
        <w:t>若遇阻碍施工需拆迁的旧建（构）筑物、地下孤石等障碍物，由承包人负责清障，所需清障费用经监理、发包人现场签证调整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47.9</w:t>
      </w:r>
      <w:r>
        <w:rPr>
          <w:rFonts w:hint="eastAsia" w:ascii="宋体" w:hAnsi="宋体" w:cs="宋体"/>
          <w:color w:val="auto"/>
          <w:sz w:val="24"/>
          <w:szCs w:val="24"/>
          <w:highlight w:val="none"/>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47.10</w:t>
      </w:r>
      <w:r>
        <w:rPr>
          <w:rFonts w:hint="eastAsia" w:ascii="宋体" w:hAnsi="宋体" w:cs="宋体"/>
          <w:color w:val="auto"/>
          <w:sz w:val="24"/>
          <w:szCs w:val="24"/>
          <w:highlight w:val="none"/>
          <w:u w:val="single"/>
        </w:rPr>
        <w:t>双方根据国家有关规定，结合具体工程约定质量缺陷责任期如下</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基础设施工程、房屋建筑的地基基础工程和主体结构工程为</w:t>
      </w:r>
      <w:r>
        <w:rPr>
          <w:rFonts w:ascii="宋体" w:hAnsi="宋体" w:cs="宋体"/>
          <w:color w:val="auto"/>
          <w:sz w:val="24"/>
          <w:szCs w:val="24"/>
          <w:highlight w:val="none"/>
          <w:u w:val="single"/>
        </w:rPr>
        <w:t>2年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屋面防水工程为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年，室外装饰工程为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电力管线、上下水管线安装工程为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供热及供冷为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个采暖期及供冷期</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室外的上下水和小区道路等市政公用工程为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市政道路排水工程为</w:t>
      </w:r>
      <w:r>
        <w:rPr>
          <w:rFonts w:ascii="宋体" w:hAnsi="宋体" w:cs="宋体"/>
          <w:color w:val="auto"/>
          <w:sz w:val="24"/>
          <w:szCs w:val="24"/>
          <w:highlight w:val="none"/>
          <w:u w:val="single"/>
        </w:rPr>
        <w:t xml:space="preserve"> 2 年，市政供水工程为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市政供电工程为</w:t>
      </w:r>
      <w:r>
        <w:rPr>
          <w:rFonts w:ascii="宋体" w:hAnsi="宋体" w:cs="宋体"/>
          <w:color w:val="auto"/>
          <w:sz w:val="24"/>
          <w:szCs w:val="24"/>
          <w:highlight w:val="none"/>
          <w:u w:val="single"/>
        </w:rPr>
        <w:t xml:space="preserve"> 2 年，市政道路照明工程 2 年，市政交通设施工程为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园林建筑工程为</w:t>
      </w:r>
      <w:r>
        <w:rPr>
          <w:rFonts w:ascii="宋体" w:hAnsi="宋体" w:cs="宋体"/>
          <w:color w:val="auto"/>
          <w:sz w:val="24"/>
          <w:szCs w:val="24"/>
          <w:highlight w:val="none"/>
          <w:u w:val="single"/>
        </w:rPr>
        <w:t>1年，喷淋工程为2年，胸径15cm</w:t>
      </w:r>
      <w:r>
        <w:rPr>
          <w:rFonts w:hint="eastAsia" w:ascii="宋体" w:hAnsi="宋体" w:cs="宋体"/>
          <w:color w:val="auto"/>
          <w:sz w:val="24"/>
          <w:szCs w:val="24"/>
          <w:highlight w:val="none"/>
          <w:u w:val="single"/>
        </w:rPr>
        <w:t>以内（含</w:t>
      </w:r>
      <w:r>
        <w:rPr>
          <w:rFonts w:ascii="宋体" w:hAnsi="宋体" w:cs="宋体"/>
          <w:color w:val="auto"/>
          <w:sz w:val="24"/>
          <w:szCs w:val="24"/>
          <w:highlight w:val="none"/>
          <w:u w:val="single"/>
        </w:rPr>
        <w:t>15cm</w:t>
      </w:r>
      <w:r>
        <w:rPr>
          <w:rFonts w:hint="eastAsia" w:ascii="宋体" w:hAnsi="宋体" w:cs="宋体"/>
          <w:color w:val="auto"/>
          <w:sz w:val="24"/>
          <w:szCs w:val="24"/>
          <w:highlight w:val="none"/>
          <w:u w:val="single"/>
        </w:rPr>
        <w:t>）的苗木养护期为</w:t>
      </w:r>
      <w:r>
        <w:rPr>
          <w:rFonts w:ascii="宋体" w:hAnsi="宋体" w:cs="宋体"/>
          <w:color w:val="auto"/>
          <w:sz w:val="24"/>
          <w:szCs w:val="24"/>
          <w:highlight w:val="none"/>
          <w:u w:val="single"/>
        </w:rPr>
        <w:t>3个月，胸径15cm</w:t>
      </w:r>
      <w:r>
        <w:rPr>
          <w:rFonts w:hint="eastAsia" w:ascii="宋体" w:hAnsi="宋体" w:cs="宋体"/>
          <w:color w:val="auto"/>
          <w:sz w:val="24"/>
          <w:szCs w:val="24"/>
          <w:highlight w:val="none"/>
          <w:u w:val="single"/>
        </w:rPr>
        <w:t>以上的苗木养护期为</w:t>
      </w:r>
      <w:r>
        <w:rPr>
          <w:rFonts w:ascii="宋体" w:hAnsi="宋体" w:cs="宋体"/>
          <w:color w:val="auto"/>
          <w:sz w:val="24"/>
          <w:szCs w:val="24"/>
          <w:highlight w:val="none"/>
          <w:u w:val="single"/>
        </w:rPr>
        <w:t>1年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除上述专业工程外其它工程的质量缺陷责任期按相关规定或经双方另行协商确定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本工程质量缺陷责任期从广州开发区管委会或其相关职能部门批准的提前移交之日或者正式通过竣工验收之日（以先发生日期为准）算起。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47.11</w:t>
      </w:r>
      <w:r>
        <w:rPr>
          <w:rFonts w:hint="eastAsia" w:ascii="宋体" w:hAnsi="宋体" w:cs="宋体"/>
          <w:color w:val="auto"/>
          <w:sz w:val="24"/>
          <w:szCs w:val="24"/>
          <w:highlight w:val="none"/>
          <w:u w:val="single"/>
        </w:rPr>
        <w:t>本工程的保修期按本合同《工程质量保修责任书》规定的保修期限实行。在保修期内因施工质量而造成返修，其费用由承包人负责。工程质量按市政工程现行验评标准组织验收认定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47.12施工现场生活区应设置信息公示栏，每月10日前将上月作业工人考勤和工资结算和支付信息在信息公示栏进行公示，公示期不少于5天。</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农民工佣工要求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47.13</w:t>
      </w:r>
      <w:r>
        <w:rPr>
          <w:rFonts w:hint="eastAsia" w:ascii="宋体" w:hAnsi="宋体" w:cs="宋体"/>
          <w:color w:val="auto"/>
          <w:sz w:val="24"/>
          <w:szCs w:val="24"/>
          <w:highlight w:val="none"/>
          <w:u w:val="single"/>
        </w:rPr>
        <w:t>承包人必须按照穗开规『</w:t>
      </w:r>
      <w:r>
        <w:rPr>
          <w:rFonts w:ascii="宋体" w:hAnsi="宋体" w:cs="宋体"/>
          <w:color w:val="auto"/>
          <w:sz w:val="24"/>
          <w:szCs w:val="24"/>
          <w:highlight w:val="none"/>
          <w:u w:val="single"/>
        </w:rPr>
        <w:t>2004』58号文的有关要求及规定优先使用广州开发区的农民工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47.14</w:t>
      </w:r>
      <w:r>
        <w:rPr>
          <w:rFonts w:hint="eastAsia" w:ascii="宋体" w:hAnsi="宋体" w:cs="宋体"/>
          <w:color w:val="auto"/>
          <w:sz w:val="24"/>
          <w:szCs w:val="24"/>
          <w:highlight w:val="none"/>
          <w:u w:val="single"/>
        </w:rPr>
        <w:t>承包人必须严格执行穗开纪</w:t>
      </w:r>
      <w:r>
        <w:rPr>
          <w:rFonts w:ascii="宋体" w:hAnsi="宋体" w:cs="宋体"/>
          <w:color w:val="auto"/>
          <w:sz w:val="24"/>
          <w:szCs w:val="24"/>
          <w:highlight w:val="none"/>
          <w:u w:val="single"/>
        </w:rPr>
        <w:t>[2005]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47.15</w:t>
      </w:r>
      <w:r>
        <w:rPr>
          <w:rFonts w:hint="eastAsia" w:ascii="宋体" w:hAnsi="宋体" w:cs="宋体"/>
          <w:color w:val="auto"/>
          <w:sz w:val="24"/>
          <w:szCs w:val="24"/>
          <w:highlight w:val="none"/>
          <w:u w:val="single"/>
        </w:rPr>
        <w:t>承包人应按照《广州市住房和城乡建设委员会关于印发</w:t>
      </w:r>
      <w:r>
        <w:rPr>
          <w:rFonts w:ascii="宋体" w:hAnsi="宋体" w:cs="宋体"/>
          <w:color w:val="auto"/>
          <w:sz w:val="24"/>
          <w:szCs w:val="24"/>
          <w:highlight w:val="none"/>
          <w:u w:val="single"/>
        </w:rPr>
        <w:t>&lt;广州市建筑施工实名制管理办法&gt;的通知》（穗建规字[2017]4号）、《关于印发广州市建设领域工人工资支付分帐管理实施细则的通知》（穗建规字[2020]37号）、《广州市根治拖欠农民工工资工作领导小组办公室关于广州市建设领域工程项目全面实施农民工工资总包代发制度的通知》及广州市黄埔区、开发区对应出台的相关文件规定办理建筑工地实名制管理和工人工资支付分帐管理事宜；防止出现拖欠工人工资情况。承包人违法转包、分包工程的或其他承包人原因导致相应工程出现拖欠工人工资情况的，承包人对拖欠工人工资承担清偿责任，对此引起的纠纷负全责，造成</w:t>
      </w:r>
      <w:r>
        <w:rPr>
          <w:rFonts w:hint="eastAsia" w:ascii="宋体" w:hAnsi="宋体" w:cs="宋体"/>
          <w:color w:val="auto"/>
          <w:sz w:val="24"/>
          <w:szCs w:val="24"/>
          <w:highlight w:val="none"/>
          <w:u w:val="single"/>
        </w:rPr>
        <w:t>发包人损失（包括但不限于发包人因此而支付的赔偿款、律师费、诉讼费、保全费、公证费、鉴定费等）的，承包人须承担全部责任。</w:t>
      </w:r>
    </w:p>
    <w:p>
      <w:pPr>
        <w:spacing w:line="440" w:lineRule="exact"/>
        <w:ind w:firstLine="480" w:firstLineChars="200"/>
        <w:rPr>
          <w:rFonts w:ascii="宋体" w:hAnsi="宋体" w:cs="宋体"/>
          <w:b/>
          <w:color w:val="auto"/>
          <w:sz w:val="24"/>
          <w:szCs w:val="24"/>
          <w:highlight w:val="none"/>
        </w:rPr>
      </w:pPr>
      <w:r>
        <w:rPr>
          <w:rFonts w:ascii="宋体" w:hAnsi="宋体" w:cs="宋体"/>
          <w:color w:val="auto"/>
          <w:sz w:val="24"/>
          <w:szCs w:val="24"/>
          <w:highlight w:val="none"/>
        </w:rPr>
        <w:t>47.16</w:t>
      </w:r>
      <w:r>
        <w:rPr>
          <w:rFonts w:hint="eastAsia" w:ascii="宋体" w:hAnsi="宋体" w:cs="宋体"/>
          <w:color w:val="auto"/>
          <w:sz w:val="24"/>
          <w:szCs w:val="24"/>
          <w:highlight w:val="none"/>
          <w:u w:val="single"/>
        </w:rPr>
        <w:t>若承包人在本工程内发生无故拖欠农民工工资现象，将被作不良记录，上报区建设行政主管部门</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若承包人转包或者违法分包造成拖欠工人工资的，除上报区建设行政主管部门外，还将提请省建设行业主管部门禁止在广东省行政区域范围内承包工程。</w:t>
      </w:r>
    </w:p>
    <w:p>
      <w:pPr>
        <w:snapToGrid w:val="0"/>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项目管理机构人员、机械设备、劳动力到位方面的要求</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47.17</w:t>
      </w:r>
      <w:r>
        <w:rPr>
          <w:rFonts w:hint="eastAsia" w:ascii="宋体" w:hAnsi="宋体" w:cs="宋体"/>
          <w:color w:val="auto"/>
          <w:sz w:val="24"/>
          <w:szCs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47.18</w:t>
      </w:r>
      <w:r>
        <w:rPr>
          <w:rFonts w:hint="eastAsia" w:ascii="宋体" w:hAnsi="宋体" w:cs="宋体"/>
          <w:color w:val="auto"/>
          <w:sz w:val="24"/>
          <w:szCs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47.19</w:t>
      </w:r>
      <w:r>
        <w:rPr>
          <w:rFonts w:hint="eastAsia" w:ascii="宋体" w:hAnsi="宋体" w:cs="宋体"/>
          <w:color w:val="auto"/>
          <w:sz w:val="24"/>
          <w:szCs w:val="24"/>
          <w:highlight w:val="none"/>
          <w:u w:val="single"/>
        </w:rPr>
        <w:t>现场施工时，施工员（技术员）不在施工现场不得施工，否则发包人可随时要求停工，工期延误由承包人负责</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47.20</w:t>
      </w:r>
      <w:r>
        <w:rPr>
          <w:rFonts w:hint="eastAsia" w:ascii="宋体" w:hAnsi="宋体" w:cs="宋体"/>
          <w:color w:val="auto"/>
          <w:sz w:val="24"/>
          <w:szCs w:val="24"/>
          <w:highlight w:val="none"/>
          <w:u w:val="single"/>
        </w:rPr>
        <w:t>承包人派往现场的管理人员若因不负责任、或玩忽职守、或严重失职等给发包人造成经济损失，承包人承担相应的经济责任和连带法律责任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投标报价及造价承包和变更结算方式的要求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47.21</w:t>
      </w:r>
      <w:r>
        <w:rPr>
          <w:rFonts w:hint="eastAsia" w:ascii="宋体" w:hAnsi="宋体" w:cs="宋体"/>
          <w:color w:val="auto"/>
          <w:sz w:val="24"/>
          <w:szCs w:val="24"/>
          <w:highlight w:val="none"/>
          <w:u w:val="single"/>
        </w:rPr>
        <w:t>工程量清单报价中有关问题的说明：</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①工程量清单中的标志杆基础中的土方开挖、运输、外运等费用包含在相应项目中，不包含在土石方工程的相关项目中。</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②场地平整单位工程中的土方单价，参照《广州开发区、萝岗区财政投资土地平整工程实施细则》（穗开环建〔2012〕197 号）及广州开发区管委会办公室《关于调整我区土地平整项目土方单价的复函》（穗开内收〔2016〕58 号）设置最高限价：（1）土地平整综合单价按 3 公里内 13.2 元/立方米进行控制，运距超出 3 公里后每增加 1 公里运距的运土综合单价为 2.14 元/立方米，运距最高计算至 15 公里，若选定的弃土点超岀该地块 15 公里范围之外的，仍按 15 公里计算的综合单价 38.88 元/立方米包干。此综合单价包含挖填、运输、推平、压实、地块内清表、临时排水、临时道路、修坡工程费用及措施费、规费、税金。在项目实施过程中，如果上级部门重新出具新的土方限价文件，则在相应实施期按照相应文件对土方单价进行计取。（2）场地平整单位工程内的石方工程，距离厂房、民 房、桥梁及高速公路等建、构筑物 50 米范围内的控制爆破炸石综合单价按 70 元/立方米进行控制，50 米至 300 米范围内的控制爆破炸石综合单价按 60元/立方米进行控制；在高压线（1 万伏以上供电线路）周围 300 米范围内控制爆破炸石综合单价按 70 元/ 立方米进行控制，在高压线（1 万伏以上供电线路）周围 300 至 500 米范围内控制爆破 炸石综合单价按 60 元</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/立方米进行控制，其他范围内的炸石综合单价按 40 元/立方米进行控制，此综合单价包含挖土露石、炸石及土石方清运等综合费用，石方工程量按爆破前的天然密实体积计算。（因清表、树木砍伐和地上附着物的清理及土方工程中不能利用产生的余泥渣土排放由承包人按照有关规定进行外运，费用不另行计算）；石方工程单位工程内的石方静力爆破综合单价按 </w:t>
      </w:r>
      <w:r>
        <w:rPr>
          <w:rFonts w:hint="eastAsia" w:ascii="宋体" w:hAnsi="宋体" w:cs="宋体"/>
          <w:color w:val="auto"/>
          <w:sz w:val="24"/>
          <w:szCs w:val="24"/>
          <w:highlight w:val="none"/>
          <w:u w:val="single"/>
          <w:lang w:val="en-US" w:eastAsia="zh-CN"/>
        </w:rPr>
        <w:t>176.58</w:t>
      </w:r>
      <w:r>
        <w:rPr>
          <w:rFonts w:hint="eastAsia" w:ascii="宋体" w:hAnsi="宋体" w:cs="宋体"/>
          <w:color w:val="auto"/>
          <w:sz w:val="24"/>
          <w:szCs w:val="24"/>
          <w:highlight w:val="none"/>
          <w:u w:val="single"/>
        </w:rPr>
        <w:t xml:space="preserve"> 元／立方米进行控制，此综合单价包含挖土露石、炸石及土石方清运及措施费、预算包干费、税金等综合费用。（3）其他单位工程中：土方的挖运单价按定额计算，土方的弃运距离暂按 15 公里内考虑，超过 15 公里按 15 公里计算，结算时按招标人确认的实际运距计算,实际运距超过 15 公里时，按 15 公里包干。（4）在项目实施过程中，如果区政府、管委会重新修订了新的土方平整工程土石方限价文件，则按新的文件执行。</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③工程量清单中措施项目清单费计价表中的绿色施工安全防护措施费执行《广东省住房和城乡建设厅关于印发&lt;广东省建设工程计价依据（2018)&gt;的通知》（穗建市〔2019〕6 号）文，绿色施工安全防护措施费按发包人公布的本工程招标控制价中的绿色施工安全防护措施费计取，作为非竞争费用，在投标报价中单列，不参与投标竞价，该费用从工程施工中标价中提取，专款专用。</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47.22</w:t>
      </w:r>
      <w:r>
        <w:rPr>
          <w:rFonts w:hint="eastAsia" w:ascii="宋体" w:hAnsi="宋体" w:cs="宋体"/>
          <w:color w:val="auto"/>
          <w:sz w:val="24"/>
          <w:szCs w:val="24"/>
          <w:highlight w:val="none"/>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使用（施工围蔽费用除外），且承包人不得以任何理由要求发包人另行增加该部分费用（承包人要充分考虑最不利因素影响而采用的施工方案所需的费用）</w:t>
      </w:r>
      <w:r>
        <w:rPr>
          <w:rFonts w:hint="eastAsia" w:ascii="宋体" w:hAnsi="宋体" w:cs="宋体"/>
          <w:color w:val="auto"/>
          <w:sz w:val="24"/>
          <w:szCs w:val="24"/>
          <w:highlight w:val="none"/>
        </w:rPr>
        <w:t>。</w:t>
      </w:r>
    </w:p>
    <w:p>
      <w:pPr>
        <w:pBdr>
          <w:top w:val="single" w:color="auto" w:sz="4" w:space="1"/>
          <w:bottom w:val="single" w:color="auto" w:sz="6" w:space="1"/>
        </w:pBd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47.23</w:t>
      </w:r>
      <w:r>
        <w:rPr>
          <w:rFonts w:hint="eastAsia" w:ascii="宋体" w:hAnsi="宋体" w:cs="宋体"/>
          <w:color w:val="auto"/>
          <w:sz w:val="24"/>
          <w:szCs w:val="24"/>
          <w:highlight w:val="none"/>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47.24</w:t>
      </w:r>
      <w:r>
        <w:rPr>
          <w:rFonts w:hint="eastAsia" w:ascii="宋体" w:hAnsi="宋体" w:cs="宋体"/>
          <w:color w:val="auto"/>
          <w:sz w:val="24"/>
          <w:szCs w:val="24"/>
          <w:highlight w:val="none"/>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47.25</w:t>
      </w:r>
      <w:r>
        <w:rPr>
          <w:rFonts w:hint="eastAsia" w:ascii="宋体" w:hAnsi="宋体" w:cs="宋体"/>
          <w:color w:val="auto"/>
          <w:sz w:val="24"/>
          <w:szCs w:val="24"/>
          <w:highlight w:val="none"/>
          <w:u w:val="single"/>
        </w:rPr>
        <w:t>承包人应使用绿色生产达标企业生产的混凝土，若不遵守承诺，自愿按不履行合同约定处理。</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47.26</w:t>
      </w:r>
      <w:r>
        <w:rPr>
          <w:rFonts w:hint="eastAsia" w:ascii="宋体" w:hAnsi="宋体" w:cs="宋体"/>
          <w:color w:val="auto"/>
          <w:sz w:val="24"/>
          <w:szCs w:val="24"/>
          <w:highlight w:val="none"/>
          <w:u w:val="single"/>
        </w:rPr>
        <w:t>承包人人应按有关规定协助发包人完成公共排水设施竣工图纸备案工作。</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47.27</w:t>
      </w:r>
      <w:r>
        <w:rPr>
          <w:rFonts w:hint="eastAsia" w:ascii="宋体" w:hAnsi="宋体" w:cs="宋体"/>
          <w:color w:val="auto"/>
          <w:sz w:val="24"/>
          <w:szCs w:val="24"/>
          <w:highlight w:val="none"/>
          <w:u w:val="single"/>
        </w:rPr>
        <w:t>在整个合同执行期间发包人如发现有不合理投标报价的，发包人有权按有关规定和合同约定进行调整，并将书面通知承包人，并以此作为结算依据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47.28</w:t>
      </w:r>
      <w:r>
        <w:rPr>
          <w:rFonts w:hint="eastAsia" w:ascii="宋体" w:hAnsi="宋体" w:cs="宋体"/>
          <w:color w:val="auto"/>
          <w:sz w:val="24"/>
          <w:szCs w:val="24"/>
          <w:highlight w:val="none"/>
          <w:u w:val="single"/>
        </w:rPr>
        <w:t>所有材料品牌选择均须报发包人、监理工程师确认，且经检验合格后方能使用。</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47.29</w:t>
      </w:r>
      <w:r>
        <w:rPr>
          <w:rFonts w:hint="eastAsia" w:ascii="宋体" w:hAnsi="宋体" w:cs="宋体"/>
          <w:color w:val="auto"/>
          <w:sz w:val="24"/>
          <w:szCs w:val="24"/>
          <w:highlight w:val="none"/>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47.30</w:t>
      </w:r>
      <w:r>
        <w:rPr>
          <w:rFonts w:hint="eastAsia" w:ascii="宋体" w:hAnsi="宋体" w:cs="宋体"/>
          <w:color w:val="auto"/>
          <w:sz w:val="24"/>
          <w:szCs w:val="24"/>
          <w:highlight w:val="none"/>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47.31</w:t>
      </w:r>
      <w:r>
        <w:rPr>
          <w:rFonts w:hint="eastAsia" w:ascii="宋体" w:hAnsi="宋体" w:cs="宋体"/>
          <w:color w:val="auto"/>
          <w:sz w:val="24"/>
          <w:szCs w:val="24"/>
          <w:highlight w:val="none"/>
          <w:u w:val="single"/>
        </w:rPr>
        <w:t>承包人须按照发包人与监理人签订的委托监理合同接受监理人的全过程监理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47.32</w:t>
      </w:r>
      <w:r>
        <w:rPr>
          <w:rFonts w:hint="eastAsia" w:ascii="宋体" w:hAnsi="宋体" w:cs="宋体"/>
          <w:color w:val="auto"/>
          <w:sz w:val="24"/>
          <w:szCs w:val="24"/>
          <w:highlight w:val="none"/>
          <w:u w:val="single"/>
        </w:rPr>
        <w:t>如广州开发区、黄埔区对工程竣工验收及备案有相关规定，则本合同执行该规定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47.33</w:t>
      </w:r>
      <w:r>
        <w:rPr>
          <w:rFonts w:hint="eastAsia" w:ascii="宋体" w:hAnsi="宋体" w:cs="宋体"/>
          <w:color w:val="auto"/>
          <w:sz w:val="24"/>
          <w:szCs w:val="24"/>
          <w:highlight w:val="none"/>
          <w:u w:val="single"/>
        </w:rPr>
        <w:t>如果审计机关依法对本工程实施审计，发包人、承包人及监理单位应积极配合</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47.34</w:t>
      </w:r>
      <w:r>
        <w:rPr>
          <w:rFonts w:hint="eastAsia" w:ascii="宋体" w:hAnsi="宋体" w:cs="宋体"/>
          <w:color w:val="auto"/>
          <w:sz w:val="24"/>
          <w:szCs w:val="24"/>
          <w:highlight w:val="none"/>
          <w:u w:val="single"/>
        </w:rPr>
        <w:t>本合同在实施过程中所发生的文件来往，双方不得拒绝签收。如果发生类似事件，发文一方可以监理工程师签收为准，视为送达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47.35</w:t>
      </w:r>
      <w:r>
        <w:rPr>
          <w:rFonts w:hint="eastAsia" w:ascii="宋体" w:hAnsi="宋体" w:cs="宋体"/>
          <w:color w:val="auto"/>
          <w:sz w:val="24"/>
          <w:szCs w:val="24"/>
          <w:highlight w:val="none"/>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47.36</w:t>
      </w:r>
      <w:r>
        <w:rPr>
          <w:rFonts w:hint="eastAsia" w:ascii="宋体" w:hAnsi="宋体" w:cs="宋体"/>
          <w:color w:val="auto"/>
          <w:sz w:val="24"/>
          <w:szCs w:val="24"/>
          <w:highlight w:val="none"/>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47.37</w:t>
      </w:r>
      <w:r>
        <w:rPr>
          <w:rFonts w:hint="eastAsia" w:ascii="宋体" w:hAnsi="宋体" w:cs="宋体"/>
          <w:color w:val="auto"/>
          <w:sz w:val="24"/>
          <w:szCs w:val="24"/>
          <w:highlight w:val="none"/>
          <w:u w:val="single"/>
        </w:rPr>
        <w:t>承包人施工过程中不得侵犯他人的专利权或者其他合法权益，否则由承包人承担相关责任，并保证不因该侵权行为影响工程建设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47.38</w:t>
      </w:r>
      <w:r>
        <w:rPr>
          <w:rFonts w:hint="eastAsia" w:ascii="宋体" w:hAnsi="宋体" w:cs="宋体"/>
          <w:color w:val="auto"/>
          <w:sz w:val="24"/>
          <w:szCs w:val="24"/>
          <w:highlight w:val="none"/>
          <w:u w:val="single"/>
        </w:rPr>
        <w:t>承包人与发包人签订合同时所提供的开户银行名称及帐号不得擅自变更，如需变更必须征得发包人的书面同意，否则发包人有权停止工程款的拨付，所造成的一切后果由承包人承担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47.39</w:t>
      </w:r>
      <w:r>
        <w:rPr>
          <w:rFonts w:hint="eastAsia" w:ascii="宋体" w:hAnsi="宋体" w:cs="宋体"/>
          <w:color w:val="auto"/>
          <w:sz w:val="24"/>
          <w:szCs w:val="24"/>
          <w:highlight w:val="none"/>
          <w:u w:val="single"/>
        </w:rPr>
        <w:t>如发包人为本工程的代建单位，则本工程建设业主同时享有本合同项下属发包人的权利，并且合同中约定需发包人审批的事项，必须经建设业主审批同意后方可实施</w:t>
      </w:r>
      <w:r>
        <w:rPr>
          <w:rFonts w:hint="eastAsia" w:ascii="宋体" w:hAnsi="宋体" w:cs="宋体"/>
          <w:color w:val="auto"/>
          <w:sz w:val="24"/>
          <w:szCs w:val="24"/>
          <w:highlight w:val="none"/>
        </w:rPr>
        <w:t>。</w:t>
      </w:r>
    </w:p>
    <w:p>
      <w:pPr>
        <w:spacing w:line="440" w:lineRule="exact"/>
        <w:ind w:firstLine="480" w:firstLineChars="200"/>
        <w:rPr>
          <w:rFonts w:ascii="宋体" w:hAnsi="宋体" w:cs="宋体"/>
          <w:i/>
          <w:color w:val="auto"/>
          <w:sz w:val="24"/>
          <w:szCs w:val="24"/>
          <w:highlight w:val="none"/>
        </w:rPr>
      </w:pPr>
      <w:r>
        <w:rPr>
          <w:rFonts w:ascii="宋体" w:hAnsi="宋体" w:cs="宋体"/>
          <w:color w:val="auto"/>
          <w:sz w:val="24"/>
          <w:szCs w:val="24"/>
          <w:highlight w:val="none"/>
        </w:rPr>
        <w:t>47.40</w:t>
      </w:r>
      <w:r>
        <w:rPr>
          <w:rFonts w:hint="eastAsia" w:ascii="宋体" w:hAnsi="宋体" w:cs="宋体"/>
          <w:color w:val="auto"/>
          <w:sz w:val="24"/>
          <w:szCs w:val="24"/>
          <w:highlight w:val="none"/>
          <w:u w:val="single"/>
        </w:rPr>
        <w:t>《广州开发区财政投资建设项目管理中心</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绿化景观工程计量管理办法》将作为合同附件，各相关单位须遵照执行</w:t>
      </w:r>
      <w:r>
        <w:rPr>
          <w:rFonts w:hint="eastAsia" w:ascii="宋体" w:hAnsi="宋体" w:cs="宋体"/>
          <w:color w:val="auto"/>
          <w:sz w:val="24"/>
          <w:szCs w:val="24"/>
          <w:highlight w:val="none"/>
        </w:rPr>
        <w:t>。</w:t>
      </w:r>
      <w:r>
        <w:rPr>
          <w:rFonts w:ascii="宋体" w:hAnsi="宋体" w:cs="宋体"/>
          <w:i/>
          <w:color w:val="auto"/>
          <w:sz w:val="24"/>
          <w:szCs w:val="24"/>
          <w:highlight w:val="none"/>
        </w:rPr>
        <w:t>(</w:t>
      </w:r>
      <w:r>
        <w:rPr>
          <w:rFonts w:hint="eastAsia" w:ascii="宋体" w:hAnsi="宋体" w:cs="宋体"/>
          <w:i/>
          <w:color w:val="auto"/>
          <w:sz w:val="24"/>
          <w:szCs w:val="24"/>
          <w:highlight w:val="none"/>
        </w:rPr>
        <w:t>注：该条款适用于绿化施工工程</w:t>
      </w:r>
      <w:r>
        <w:rPr>
          <w:rFonts w:ascii="宋体" w:hAnsi="宋体" w:cs="宋体"/>
          <w:i/>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47.41</w:t>
      </w:r>
      <w:r>
        <w:rPr>
          <w:rFonts w:hint="eastAsia" w:ascii="宋体" w:hAnsi="宋体" w:cs="宋体"/>
          <w:color w:val="auto"/>
          <w:sz w:val="24"/>
          <w:szCs w:val="24"/>
          <w:highlight w:val="none"/>
          <w:u w:val="single"/>
        </w:rPr>
        <w:t>工程获得国家、省级、市级所发奖项的，可给予通报表彰，但不给予任何物质奖励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47.42</w:t>
      </w:r>
      <w:r>
        <w:rPr>
          <w:rFonts w:hint="eastAsia" w:ascii="宋体" w:hAnsi="宋体" w:cs="宋体"/>
          <w:color w:val="auto"/>
          <w:sz w:val="24"/>
          <w:szCs w:val="24"/>
          <w:highlight w:val="none"/>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47.43</w:t>
      </w:r>
      <w:r>
        <w:rPr>
          <w:rFonts w:hint="eastAsia" w:ascii="宋体" w:hAnsi="宋体" w:cs="宋体"/>
          <w:color w:val="auto"/>
          <w:sz w:val="24"/>
          <w:szCs w:val="24"/>
          <w:highlight w:val="none"/>
          <w:u w:val="single"/>
        </w:rPr>
        <w:t>如承包人为联合体的，本合同由联合体的主办方负责签订。并由联合体主办方负责开具合同价款全额发票、收取合同款项，联合体主办方收取合同款项后由联合体各方自行分配相应款项，或由联合体各方负责开具其对应价款的全额发票，具体分配事宜与发包人无关。</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47.44</w:t>
      </w:r>
      <w:r>
        <w:rPr>
          <w:rFonts w:hint="eastAsia" w:ascii="宋体" w:hAnsi="宋体" w:cs="宋体"/>
          <w:color w:val="auto"/>
          <w:sz w:val="24"/>
          <w:szCs w:val="24"/>
          <w:highlight w:val="none"/>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47.45</w:t>
      </w:r>
      <w:r>
        <w:rPr>
          <w:rFonts w:hint="eastAsia" w:ascii="宋体" w:hAnsi="宋体" w:cs="宋体"/>
          <w:color w:val="auto"/>
          <w:sz w:val="24"/>
          <w:szCs w:val="24"/>
          <w:highlight w:val="none"/>
          <w:u w:val="single"/>
        </w:rPr>
        <w:t>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47.46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47.47</w:t>
      </w:r>
      <w:r>
        <w:rPr>
          <w:rFonts w:hint="eastAsia" w:ascii="宋体" w:hAnsi="宋体" w:cs="宋体"/>
          <w:color w:val="auto"/>
          <w:sz w:val="24"/>
          <w:szCs w:val="24"/>
          <w:highlight w:val="none"/>
          <w:u w:val="single"/>
        </w:rPr>
        <w:t xml:space="preserve">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47.48 </w:t>
      </w:r>
      <w:r>
        <w:rPr>
          <w:rFonts w:hint="eastAsia" w:ascii="宋体" w:hAnsi="宋体" w:cs="宋体"/>
          <w:color w:val="auto"/>
          <w:sz w:val="24"/>
          <w:szCs w:val="24"/>
          <w:highlight w:val="none"/>
          <w:u w:val="single"/>
        </w:rPr>
        <w:t>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47.49 承包人应切实遵守《中华人民共和国文物保护法》、《中华人民共和国文物保护法实施条例》、《广州市文物保护规定》等文物保护相关法律、法规规定，在工程施工前，协助发包人按规定履行文物保护相关审批手续，及配合相关单位完成考古调查、勘探相关工作。不得因施工发生损毁文物的情况。承包人应加强对其施工队伍及分包单位（如有）关于文物保护相关法律、法规的宣传教育，保证施工全过程不违反文物保护相关规定。如因承包人原因发生未履行文物考古调查、勘探等前置工作擅自开工建设的，由承包人承担全部法律责任，发包人将上报文物行政主管部门，视情节轻重给予相应处罚，构成犯罪的将依法移交相关机关追究刑事责任。</w:t>
      </w:r>
    </w:p>
    <w:p>
      <w:pPr>
        <w:spacing w:line="440" w:lineRule="exact"/>
        <w:ind w:firstLine="480" w:firstLineChars="200"/>
        <w:rPr>
          <w:rFonts w:ascii="宋体" w:hAnsi="宋体"/>
          <w:color w:val="auto"/>
          <w:szCs w:val="21"/>
          <w:highlight w:val="none"/>
          <w:u w:val="single"/>
        </w:rPr>
      </w:pPr>
      <w:r>
        <w:rPr>
          <w:rFonts w:ascii="宋体" w:hAnsi="宋体" w:cs="宋体"/>
          <w:color w:val="auto"/>
          <w:sz w:val="24"/>
          <w:szCs w:val="24"/>
          <w:highlight w:val="none"/>
          <w:u w:val="single"/>
        </w:rPr>
        <w:t xml:space="preserve">47.50 </w:t>
      </w:r>
      <w:r>
        <w:rPr>
          <w:rFonts w:hint="eastAsia" w:ascii="宋体" w:hAnsi="宋体" w:cs="宋体"/>
          <w:color w:val="auto"/>
          <w:sz w:val="24"/>
          <w:szCs w:val="24"/>
          <w:highlight w:val="none"/>
          <w:u w:val="single"/>
        </w:rPr>
        <w:t>未尽事宜，经双方友好协商解决。</w:t>
      </w:r>
    </w:p>
    <w:p>
      <w:pPr>
        <w:widowControl/>
        <w:jc w:val="left"/>
        <w:rPr>
          <w:rFonts w:ascii="宋体" w:hAnsi="宋体"/>
          <w:color w:val="auto"/>
          <w:szCs w:val="21"/>
          <w:highlight w:val="none"/>
          <w:u w:val="single"/>
        </w:rPr>
      </w:pPr>
      <w:r>
        <w:rPr>
          <w:rFonts w:ascii="宋体" w:hAnsi="宋体"/>
          <w:color w:val="auto"/>
          <w:szCs w:val="21"/>
          <w:highlight w:val="none"/>
          <w:u w:val="single"/>
        </w:rPr>
        <w:br w:type="page"/>
      </w:r>
    </w:p>
    <w:p>
      <w:pPr>
        <w:numPr>
          <w:ilvl w:val="0"/>
          <w:numId w:val="5"/>
        </w:numPr>
        <w:jc w:val="center"/>
        <w:rPr>
          <w:rFonts w:ascii="宋体" w:hAnsi="宋体" w:cs="宋体"/>
          <w:b/>
          <w:bCs/>
          <w:color w:val="auto"/>
          <w:sz w:val="28"/>
          <w:szCs w:val="28"/>
          <w:highlight w:val="none"/>
        </w:rPr>
      </w:pPr>
      <w:r>
        <w:rPr>
          <w:rFonts w:ascii="宋体" w:hAnsi="宋体" w:cs="宋体"/>
          <w:b/>
          <w:color w:val="auto"/>
          <w:sz w:val="28"/>
          <w:szCs w:val="28"/>
          <w:highlight w:val="none"/>
        </w:rPr>
        <w:t xml:space="preserve"> </w:t>
      </w:r>
      <w:r>
        <w:rPr>
          <w:rFonts w:hint="eastAsia" w:ascii="宋体" w:hAnsi="宋体" w:cs="宋体"/>
          <w:b/>
          <w:bCs/>
          <w:color w:val="auto"/>
          <w:sz w:val="28"/>
          <w:szCs w:val="28"/>
          <w:highlight w:val="none"/>
        </w:rPr>
        <w:t>绿化种植专篇</w:t>
      </w:r>
    </w:p>
    <w:p>
      <w:pPr>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（本专篇适用于绿化建设项目、房建及道路配套绿化项目。）</w:t>
      </w:r>
    </w:p>
    <w:p>
      <w:pPr>
        <w:spacing w:line="440" w:lineRule="exact"/>
        <w:rPr>
          <w:rFonts w:ascii="宋体" w:hAnsi="宋体" w:cs="宋体"/>
          <w:color w:val="auto"/>
          <w:sz w:val="24"/>
          <w:szCs w:val="24"/>
          <w:highlight w:val="none"/>
        </w:rPr>
      </w:pPr>
    </w:p>
    <w:p>
      <w:pPr>
        <w:spacing w:line="44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发包人（甲方）：</w:t>
      </w:r>
      <w:r>
        <w:rPr>
          <w:rFonts w:hint="eastAsia" w:ascii="宋体" w:hAnsi="宋体" w:cs="宋体"/>
          <w:color w:val="auto"/>
          <w:sz w:val="24"/>
          <w:szCs w:val="24"/>
          <w:highlight w:val="none"/>
          <w:u w:val="single"/>
          <w:lang w:val="en-US" w:eastAsia="zh-CN"/>
        </w:rPr>
        <w:t xml:space="preserve">                       </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承包人（乙方）：</w:t>
      </w:r>
      <w:r>
        <w:rPr>
          <w:rFonts w:ascii="宋体" w:hAnsi="宋体" w:cs="宋体"/>
          <w:color w:val="auto"/>
          <w:sz w:val="24"/>
          <w:szCs w:val="24"/>
          <w:highlight w:val="none"/>
          <w:u w:val="single"/>
        </w:rPr>
        <w:t xml:space="preserve">                    </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为提高绿化苗木选取和种植苗木质量，加强科学绿化建设和管理，提升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项目绿化种植和养护管理标准，制订本项目绿化种植专篇。</w:t>
      </w:r>
    </w:p>
    <w:p>
      <w:pPr>
        <w:spacing w:line="440" w:lineRule="exact"/>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一、绿化种植、养护内容及范围</w:t>
      </w:r>
    </w:p>
    <w:p>
      <w:pPr>
        <w:spacing w:line="440" w:lineRule="exact"/>
        <w:ind w:firstLine="480" w:firstLineChars="200"/>
        <w:jc w:val="left"/>
        <w:rPr>
          <w:rFonts w:ascii="宋体" w:hAnsi="宋体" w:cs="宋体"/>
          <w:color w:val="auto"/>
          <w:kern w:val="0"/>
          <w:sz w:val="24"/>
          <w:szCs w:val="24"/>
          <w:highlight w:val="none"/>
        </w:rPr>
      </w:pPr>
      <w:r>
        <w:rPr>
          <w:rFonts w:ascii="宋体" w:hAnsi="宋体" w:cs="宋体"/>
          <w:color w:val="auto"/>
          <w:kern w:val="0"/>
          <w:sz w:val="24"/>
          <w:szCs w:val="24"/>
          <w:highlight w:val="none"/>
        </w:rPr>
        <w:t>1、本项目绿化工程</w:t>
      </w:r>
      <w:r>
        <w:rPr>
          <w:rFonts w:hint="eastAsia" w:ascii="宋体" w:hAnsi="宋体" w:cs="宋体"/>
          <w:color w:val="auto"/>
          <w:kern w:val="0"/>
          <w:sz w:val="24"/>
          <w:szCs w:val="24"/>
          <w:highlight w:val="none"/>
        </w:rPr>
        <w:t>范围：</w:t>
      </w:r>
      <w:r>
        <w:rPr>
          <w:rFonts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本项目施工合同约定的承包范围内的全部绿化工程内容</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after="120" w:line="440" w:lineRule="exact"/>
        <w:rPr>
          <w:rFonts w:ascii="宋体" w:hAnsi="宋体" w:cs="宋体"/>
          <w:color w:val="auto"/>
          <w:sz w:val="24"/>
          <w:szCs w:val="24"/>
          <w:highlight w:val="none"/>
        </w:rPr>
      </w:pPr>
      <w:r>
        <w:rPr>
          <w:rFonts w:ascii="宋体" w:hAnsi="宋体" w:cs="宋体"/>
          <w:color w:val="auto"/>
          <w:kern w:val="0"/>
          <w:sz w:val="24"/>
          <w:szCs w:val="24"/>
          <w:highlight w:val="none"/>
        </w:rPr>
        <w:t xml:space="preserve">    2、本项目《苗木供应清单》：详见本专篇附表</w:t>
      </w:r>
      <w:r>
        <w:rPr>
          <w:rFonts w:hint="eastAsia" w:ascii="宋体" w:hAnsi="宋体" w:cs="宋体"/>
          <w:color w:val="auto"/>
          <w:kern w:val="0"/>
          <w:sz w:val="24"/>
          <w:szCs w:val="24"/>
          <w:highlight w:val="none"/>
        </w:rPr>
        <w:t>。</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二、质量要求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要求符合国家、省、市园林绿化规程、检评标准、相关要求及行业标准，包括但不限于以下：</w:t>
      </w:r>
      <w:r>
        <w:rPr>
          <w:rFonts w:ascii="宋体" w:hAnsi="宋体" w:cs="宋体"/>
          <w:color w:val="auto"/>
          <w:sz w:val="24"/>
          <w:szCs w:val="24"/>
          <w:highlight w:val="none"/>
        </w:rPr>
        <w:t xml:space="preserve"> </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 xml:space="preserve">1、 </w:t>
      </w:r>
      <w:r>
        <w:rPr>
          <w:rFonts w:hint="eastAsia" w:ascii="宋体" w:hAnsi="宋体" w:cs="宋体"/>
          <w:b/>
          <w:bCs/>
          <w:color w:val="auto"/>
          <w:sz w:val="24"/>
          <w:szCs w:val="24"/>
          <w:highlight w:val="none"/>
        </w:rPr>
        <w:t>相关法律法规与政策文件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《城市绿化条例》（</w:t>
      </w:r>
      <w:r>
        <w:rPr>
          <w:rFonts w:ascii="宋体" w:hAnsi="宋体" w:cs="宋体"/>
          <w:color w:val="auto"/>
          <w:sz w:val="24"/>
          <w:szCs w:val="24"/>
          <w:highlight w:val="none"/>
        </w:rPr>
        <w:t xml:space="preserve">2017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《广东省城市绿化条例》（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《广州市绿化条例》（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《国务院办公厅关于科学绿化的指导意见》（国办发〔</w:t>
      </w:r>
      <w:r>
        <w:rPr>
          <w:rFonts w:ascii="宋体" w:hAnsi="宋体" w:cs="宋体"/>
          <w:color w:val="auto"/>
          <w:sz w:val="24"/>
          <w:szCs w:val="24"/>
          <w:highlight w:val="none"/>
        </w:rPr>
        <w:t xml:space="preserve">2021〕19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）《中共广东省委关于深入推进绿美广东生态建设的决定》（</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12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8 </w:t>
      </w:r>
      <w:r>
        <w:rPr>
          <w:rFonts w:hint="eastAsia" w:ascii="宋体" w:hAnsi="宋体" w:cs="宋体"/>
          <w:color w:val="auto"/>
          <w:sz w:val="24"/>
          <w:szCs w:val="24"/>
          <w:highlight w:val="none"/>
        </w:rPr>
        <w:t>日中国共产党广东省第十三届委员会第二次全体会议通过）</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）《广东省人民政府办公厅关于科学绿化的实施意见》（粤府办〔</w:t>
      </w:r>
      <w:r>
        <w:rPr>
          <w:rFonts w:ascii="宋体" w:hAnsi="宋体" w:cs="宋体"/>
          <w:color w:val="auto"/>
          <w:sz w:val="24"/>
          <w:szCs w:val="24"/>
          <w:highlight w:val="none"/>
        </w:rPr>
        <w:t xml:space="preserve">2021〕48 </w:t>
      </w:r>
      <w:r>
        <w:rPr>
          <w:rFonts w:hint="eastAsia" w:ascii="宋体" w:hAnsi="宋体" w:cs="宋体"/>
          <w:color w:val="auto"/>
          <w:sz w:val="24"/>
          <w:szCs w:val="24"/>
          <w:highlight w:val="none"/>
        </w:rPr>
        <w:t>号）</w:t>
      </w:r>
    </w:p>
    <w:p>
      <w:pPr>
        <w:spacing w:after="120" w:line="4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）中共广州市委办公厅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广州市人民政府办公厅印发《广州市关于科学绿化的实施意见》的通知（穗办〔</w:t>
      </w:r>
      <w:r>
        <w:rPr>
          <w:rFonts w:ascii="宋体" w:hAnsi="宋体" w:cs="宋体"/>
          <w:color w:val="auto"/>
          <w:sz w:val="24"/>
          <w:szCs w:val="24"/>
          <w:highlight w:val="none"/>
        </w:rPr>
        <w:t>2021〕11号</w:t>
      </w:r>
      <w:r>
        <w:rPr>
          <w:rFonts w:hint="eastAsia" w:ascii="宋体" w:hAnsi="宋体" w:cs="宋体"/>
          <w:color w:val="auto"/>
          <w:sz w:val="24"/>
          <w:szCs w:val="24"/>
          <w:highlight w:val="none"/>
        </w:rPr>
        <w:t>）</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）《广州市林业和园林局关于印发广州市树木修剪技术指引（试行）的通知》（穗林业园林通〔</w:t>
      </w:r>
      <w:r>
        <w:rPr>
          <w:rFonts w:ascii="宋体" w:hAnsi="宋体" w:cs="宋体"/>
          <w:color w:val="auto"/>
          <w:sz w:val="24"/>
          <w:szCs w:val="24"/>
          <w:highlight w:val="none"/>
        </w:rPr>
        <w:t xml:space="preserve">2021〕153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）《广州市林业和园林局关于规范提升全市树木支撑的通知》（穗林业园林通〔</w:t>
      </w:r>
      <w:r>
        <w:rPr>
          <w:rFonts w:ascii="宋体" w:hAnsi="宋体" w:cs="宋体"/>
          <w:color w:val="auto"/>
          <w:sz w:val="24"/>
          <w:szCs w:val="24"/>
          <w:highlight w:val="none"/>
        </w:rPr>
        <w:t xml:space="preserve">2019〕100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w:t>
      </w:r>
      <w:r>
        <w:rPr>
          <w:rFonts w:hint="eastAsia" w:ascii="宋体" w:hAnsi="宋体" w:cs="宋体"/>
          <w:color w:val="auto"/>
          <w:sz w:val="24"/>
          <w:szCs w:val="24"/>
          <w:highlight w:val="none"/>
        </w:rPr>
        <w:t>黄埔区住房和城乡建设局 广州开发区建设和交通局关于印发《黄埔区绿化苗木选用及种植技术指引（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》的通知（穗埔建〔</w:t>
      </w:r>
      <w:r>
        <w:rPr>
          <w:rFonts w:ascii="宋体" w:hAnsi="宋体" w:cs="宋体"/>
          <w:color w:val="auto"/>
          <w:sz w:val="24"/>
          <w:szCs w:val="24"/>
          <w:highlight w:val="none"/>
        </w:rPr>
        <w:t>2023</w:t>
      </w:r>
      <w:r>
        <w:rPr>
          <w:rFonts w:hint="eastAsia" w:ascii="宋体" w:hAnsi="宋体" w:cs="宋体"/>
          <w:color w:val="auto"/>
          <w:sz w:val="24"/>
          <w:szCs w:val="24"/>
          <w:highlight w:val="none"/>
        </w:rPr>
        <w:t>〕</w:t>
      </w:r>
      <w:r>
        <w:rPr>
          <w:rFonts w:ascii="宋体" w:hAnsi="宋体" w:cs="宋体"/>
          <w:color w:val="auto"/>
          <w:sz w:val="24"/>
          <w:szCs w:val="24"/>
          <w:highlight w:val="none"/>
        </w:rPr>
        <w:t>93 号</w:t>
      </w:r>
      <w:r>
        <w:rPr>
          <w:rFonts w:hint="eastAsia" w:ascii="宋体" w:hAnsi="宋体" w:cs="宋体"/>
          <w:color w:val="auto"/>
          <w:sz w:val="24"/>
          <w:szCs w:val="24"/>
          <w:highlight w:val="none"/>
        </w:rPr>
        <w:t>）</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 </w:t>
      </w:r>
      <w:r>
        <w:rPr>
          <w:rFonts w:hint="eastAsia" w:ascii="宋体" w:hAnsi="宋体" w:cs="宋体"/>
          <w:color w:val="auto"/>
          <w:sz w:val="24"/>
          <w:szCs w:val="24"/>
          <w:highlight w:val="none"/>
        </w:rPr>
        <w:t>《黄埔区住房和城乡建设局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广州开发区建设和交通局关于加强科学绿化工作的提醒函》（穗埔建函</w:t>
      </w:r>
      <w:r>
        <w:rPr>
          <w:rFonts w:ascii="宋体" w:hAnsi="宋体" w:cs="宋体"/>
          <w:color w:val="auto"/>
          <w:sz w:val="24"/>
          <w:szCs w:val="24"/>
          <w:highlight w:val="none"/>
        </w:rPr>
        <w:t>[2023]2767号）</w:t>
      </w:r>
    </w:p>
    <w:p>
      <w:pPr>
        <w:spacing w:line="440" w:lineRule="exact"/>
        <w:jc w:val="left"/>
        <w:rPr>
          <w:rFonts w:ascii="宋体" w:hAnsi="宋体" w:cs="宋体"/>
          <w:b/>
          <w:bCs/>
          <w:color w:val="auto"/>
          <w:sz w:val="24"/>
          <w:szCs w:val="24"/>
          <w:highlight w:val="none"/>
        </w:rPr>
      </w:pPr>
      <w:r>
        <w:rPr>
          <w:rFonts w:ascii="宋体" w:hAnsi="宋体" w:cs="宋体"/>
          <w:b/>
          <w:bCs/>
          <w:color w:val="auto"/>
          <w:sz w:val="24"/>
          <w:szCs w:val="24"/>
          <w:highlight w:val="none"/>
        </w:rPr>
        <w:t>2、 相关标准规范</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1）《园林绿化工程项目规范》（GB55014-2021）；</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2）《城市园林绿化评价标准》GBT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3）《城市绿地草坪建植与管理技术规程》GBT 19535.2-2004；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4）《城市园林绿化评价标准》[附条文说明]GB/T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5）《地表水环境质量标准》GB 3838-2002</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6）《园林树木安全性评价技术规范》DB4401/T17—2019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7）《广东城市绿化工程施工和验收规范》DBBT581-2009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8）《城市园林绿化工程施工及验收规范》DB11/T 212-2017；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9）《城市园林绿化用苗-木本苗木分级》DB440300/T 28—2006。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10）《城市绿化和园林绿地用植物材料-木本苗》CJT 24-1999；</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11）《城市绿化和园林绿地用植物材料- </w:t>
      </w:r>
      <w:r>
        <w:rPr>
          <w:rFonts w:hint="eastAsia" w:ascii="宋体" w:hAnsi="宋体" w:cs="宋体"/>
          <w:color w:val="auto"/>
          <w:sz w:val="24"/>
          <w:szCs w:val="24"/>
          <w:highlight w:val="none"/>
        </w:rPr>
        <w:t>球根花卉种球》</w:t>
      </w:r>
      <w:r>
        <w:rPr>
          <w:rFonts w:ascii="宋体" w:hAnsi="宋体" w:cs="宋体"/>
          <w:color w:val="auto"/>
          <w:sz w:val="24"/>
          <w:szCs w:val="24"/>
          <w:highlight w:val="none"/>
        </w:rPr>
        <w:t>CJT</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 xml:space="preserve">135-2001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12）《绿化种植土壤》CJ/T340-2016；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13）《园林植物筛选通用技术要求》CJT 512-2017；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14）《城市主要绿化竹种苗木等级》LYT 2345-2014；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15）《绿化全冠苗木栽植技术规程》LYT 2632-2016；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16）《森林植物检疫技术规程》</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17）《广州市主要乡土和适生植物名录》</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18</w:t>
      </w:r>
      <w:r>
        <w:rPr>
          <w:rFonts w:hint="eastAsia" w:ascii="宋体" w:hAnsi="宋体" w:cs="宋体"/>
          <w:color w:val="auto"/>
          <w:sz w:val="24"/>
          <w:szCs w:val="24"/>
          <w:highlight w:val="none"/>
        </w:rPr>
        <w:t>）《城市道路绿化规划与设计规范》</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三、绿化种植、养护要求</w:t>
      </w:r>
    </w:p>
    <w:p>
      <w:pPr>
        <w:numPr>
          <w:ilvl w:val="0"/>
          <w:numId w:val="6"/>
        </w:numPr>
        <w:spacing w:line="440" w:lineRule="exact"/>
        <w:ind w:firstLine="549" w:firstLineChars="228"/>
        <w:rPr>
          <w:rFonts w:ascii="宋体" w:hAnsi="宋体" w:cs="宋体"/>
          <w:b/>
          <w:bCs/>
          <w:color w:val="auto"/>
          <w:sz w:val="24"/>
          <w:szCs w:val="24"/>
          <w:highlight w:val="none"/>
        </w:rPr>
      </w:pPr>
      <w:r>
        <w:rPr>
          <w:rFonts w:hint="eastAsia" w:ascii="宋体" w:hAnsi="宋体" w:cs="宋体"/>
          <w:b/>
          <w:bCs/>
          <w:color w:val="auto"/>
          <w:sz w:val="24"/>
          <w:szCs w:val="24"/>
          <w:highlight w:val="none"/>
        </w:rPr>
        <w:t>绿化苗木选用和种植过程要求</w:t>
      </w:r>
      <w:r>
        <w:rPr>
          <w:rFonts w:ascii="宋体" w:hAnsi="宋体" w:cs="宋体"/>
          <w:b/>
          <w:bCs/>
          <w:color w:val="auto"/>
          <w:sz w:val="24"/>
          <w:szCs w:val="24"/>
          <w:highlight w:val="none"/>
        </w:rPr>
        <w:t xml:space="preserve"> </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承包人应严格按照本项目《苗木供应清单》要求选用苗木，执行《黄埔区绿化苗木选用及种植技术指引（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加强对绿化种植全过程的监管监控，严格把控好绿化苗木品质，精细化深翻整理绿地，因地制宜塑造地形，保证土质营养成分及酸碱度，高标准高质量开挖种植穴，严格控制种植穴的尺寸，确保做到深挖浅埋的要求，规范绿化苗木选苗、起苗、包扎、修剪，做足做全绿化苗木运输保护措施，标准化进行绿化种植、淋水、支撑、挂牌等工作，提高绿化种植成活率，促进绿化苗木健康茁壮成长，并在规定时间内整理好苗木种植资料。项目中使用的苗木，应来自珠三角地区正规苗圃场生产培育苗木，不应使用古树名木或从森林中移栽的大树。因改造而需迁移的树木应通过有效截枝、控根等技术措施进行迁地抚育，达到种植标准后，方可作为大规格苗木重新应用于园林绿化中。</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2、绿化养护技术及时间要求</w:t>
      </w:r>
    </w:p>
    <w:p>
      <w:pPr>
        <w:spacing w:line="440" w:lineRule="exact"/>
        <w:ind w:firstLine="560"/>
        <w:rPr>
          <w:rFonts w:ascii="宋体" w:hAnsi="宋体" w:cs="宋体"/>
          <w:color w:val="auto"/>
          <w:sz w:val="24"/>
          <w:szCs w:val="24"/>
          <w:highlight w:val="none"/>
        </w:rPr>
      </w:pPr>
      <w:r>
        <w:rPr>
          <w:rFonts w:ascii="宋体" w:hAnsi="宋体" w:cs="宋体"/>
          <w:color w:val="auto"/>
          <w:sz w:val="24"/>
          <w:szCs w:val="24"/>
          <w:highlight w:val="none"/>
        </w:rPr>
        <w:t>承包人应认真学习并执行《黄埔区园林绿化养护技术指引（1.0版）》的具体要求，规范项目中绿化灌溉、施肥、修剪、病虫害综合防治、日常养护管理工作。</w:t>
      </w:r>
    </w:p>
    <w:p>
      <w:pPr>
        <w:spacing w:line="440" w:lineRule="exact"/>
        <w:ind w:firstLine="560"/>
        <w:rPr>
          <w:rFonts w:ascii="宋体" w:hAnsi="宋体" w:cs="宋体"/>
          <w:color w:val="auto"/>
          <w:sz w:val="24"/>
          <w:szCs w:val="24"/>
          <w:highlight w:val="none"/>
        </w:rPr>
      </w:pPr>
      <w:r>
        <w:rPr>
          <w:rFonts w:ascii="宋体" w:hAnsi="宋体" w:cs="宋体"/>
          <w:b/>
          <w:bCs/>
          <w:color w:val="auto"/>
          <w:sz w:val="24"/>
          <w:szCs w:val="24"/>
          <w:highlight w:val="none"/>
        </w:rPr>
        <w:t>养护期：胸径15CM（含）以上苗木养护期，</w:t>
      </w:r>
      <w:r>
        <w:rPr>
          <w:rFonts w:ascii="宋体" w:hAnsi="宋体" w:cs="宋体"/>
          <w:color w:val="auto"/>
          <w:sz w:val="24"/>
          <w:szCs w:val="24"/>
          <w:highlight w:val="none"/>
        </w:rPr>
        <w:t>自本项目绿化工程通过竣工验收之日起</w:t>
      </w:r>
      <w:r>
        <w:rPr>
          <w:rFonts w:ascii="宋体" w:hAnsi="宋体" w:cs="宋体"/>
          <w:color w:val="auto"/>
          <w:sz w:val="24"/>
          <w:szCs w:val="24"/>
          <w:highlight w:val="none"/>
          <w:u w:val="single"/>
        </w:rPr>
        <w:t xml:space="preserve"> 1 </w:t>
      </w:r>
      <w:r>
        <w:rPr>
          <w:rFonts w:ascii="宋体" w:hAnsi="宋体" w:cs="宋体"/>
          <w:color w:val="auto"/>
          <w:sz w:val="24"/>
          <w:szCs w:val="24"/>
          <w:highlight w:val="none"/>
        </w:rPr>
        <w:t>年，其他苗木养护期为3个月。</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养护期内，承包人需负责项目中绿化灌溉、施肥、修剪、病虫害综合防治、日常养护管理工作，及时更换不符合清单要求的苗木，提高绿化种植成活率，确保绿化移交时符合《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1.0版）》及发包人要求。</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四、责任与义务</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1、承包人应严格按照本项目《苗木供应清单》执行苗木选用、种植和养护工作。</w:t>
      </w:r>
      <w:r>
        <w:rPr>
          <w:rFonts w:hint="eastAsia" w:ascii="宋体" w:hAnsi="宋体" w:cs="宋体"/>
          <w:color w:val="auto"/>
          <w:sz w:val="24"/>
          <w:szCs w:val="24"/>
          <w:highlight w:val="none"/>
        </w:rPr>
        <w:t>如经发包人</w:t>
      </w:r>
      <w:r>
        <w:rPr>
          <w:rFonts w:hint="eastAsia" w:ascii="宋体" w:hAnsi="宋体" w:cs="宋体"/>
          <w:color w:val="auto"/>
          <w:kern w:val="0"/>
          <w:sz w:val="24"/>
          <w:szCs w:val="24"/>
          <w:highlight w:val="none"/>
        </w:rPr>
        <w:t>或本项目监理单位</w:t>
      </w:r>
      <w:r>
        <w:rPr>
          <w:rFonts w:hint="eastAsia" w:ascii="宋体" w:hAnsi="宋体" w:cs="宋体"/>
          <w:color w:val="auto"/>
          <w:sz w:val="24"/>
          <w:szCs w:val="24"/>
          <w:highlight w:val="none"/>
        </w:rPr>
        <w:t>巡查发现苗木不符合清单要求的，应按照发包人或者监理单位的要求及时更换；每逾期一天，由发包人扣减绿化工程造价的万分之一作为违约金。同时，发包人有权另行委托其他服务单位实施整改，以保证按时按质按量完成整改，所需费用从承包人工程款中全额扣除。</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2、承包人应规范苗木种植过程及绿化灌溉、施肥、修剪、病虫害综合防治、日常养护管理等工作，发包人应不定期对承包人绿化种植成效进行抽查、加强对绿化种植全过程的监管监控，如承包人绿化种植效果达不到项目要求，发包人有权要求其限期整改。</w:t>
      </w:r>
      <w:r>
        <w:rPr>
          <w:rFonts w:hint="eastAsia" w:ascii="宋体" w:hAnsi="宋体" w:cs="宋体"/>
          <w:color w:val="auto"/>
          <w:sz w:val="24"/>
          <w:szCs w:val="24"/>
          <w:highlight w:val="none"/>
        </w:rPr>
        <w:t>每逾期一天，由发包人扣减绿化工程造价的万分之一作为违约金。同时，发包人有权另行委托其他服务单位实施整改，以保证按时按质按量完成整改，所需费用从承包人工程款中全额扣除。</w:t>
      </w:r>
    </w:p>
    <w:p>
      <w:pPr>
        <w:spacing w:after="120" w:line="440" w:lineRule="exact"/>
        <w:ind w:firstLine="241" w:firstLineChars="100"/>
        <w:rPr>
          <w:rFonts w:ascii="宋体" w:hAnsi="宋体" w:cs="宋体"/>
          <w:b/>
          <w:bCs/>
          <w:color w:val="auto"/>
          <w:sz w:val="24"/>
          <w:szCs w:val="24"/>
          <w:highlight w:val="none"/>
        </w:rPr>
      </w:pPr>
      <w:r>
        <w:rPr>
          <w:rFonts w:hint="eastAsia" w:ascii="宋体" w:hAnsi="宋体" w:cs="宋体"/>
          <w:b/>
          <w:bCs/>
          <w:color w:val="auto"/>
          <w:sz w:val="24"/>
          <w:szCs w:val="24"/>
          <w:highlight w:val="none"/>
        </w:rPr>
        <w:t>五、其它</w:t>
      </w:r>
    </w:p>
    <w:p>
      <w:pPr>
        <w:spacing w:after="120" w:line="4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本专篇是为规范本项目绿化工程种植、养护工作制定，未提及的内容均按施工合同专用条款的约定执行。</w:t>
      </w:r>
    </w:p>
    <w:p>
      <w:pPr>
        <w:spacing w:line="520" w:lineRule="exact"/>
        <w:rPr>
          <w:rFonts w:ascii="宋体" w:hAnsi="宋体" w:cs="宋体"/>
          <w:color w:val="auto"/>
          <w:sz w:val="24"/>
          <w:szCs w:val="24"/>
          <w:highlight w:val="none"/>
        </w:rPr>
      </w:pPr>
      <w:r>
        <w:rPr>
          <w:rFonts w:hint="eastAsia" w:ascii="宋体" w:hAnsi="宋体" w:cs="宋体"/>
          <w:color w:val="auto"/>
          <w:sz w:val="24"/>
          <w:szCs w:val="24"/>
          <w:highlight w:val="none"/>
        </w:rPr>
        <w:t>附表：</w:t>
      </w:r>
    </w:p>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苗木供应清单</w:t>
      </w:r>
    </w:p>
    <w:p>
      <w:pPr>
        <w:spacing w:line="520" w:lineRule="exact"/>
        <w:rPr>
          <w:rFonts w:ascii="宋体" w:hAnsi="宋体" w:cs="宋体"/>
          <w:color w:val="auto"/>
          <w:sz w:val="24"/>
          <w:szCs w:val="24"/>
          <w:highlight w:val="none"/>
        </w:rPr>
      </w:pPr>
      <w:r>
        <w:rPr>
          <w:rFonts w:hint="eastAsia" w:ascii="宋体" w:hAnsi="宋体" w:cs="宋体"/>
          <w:color w:val="auto"/>
          <w:sz w:val="24"/>
          <w:szCs w:val="24"/>
          <w:highlight w:val="none"/>
        </w:rPr>
        <w:t>项目名称：</w:t>
      </w:r>
    </w:p>
    <w:tbl>
      <w:tblPr>
        <w:tblStyle w:val="49"/>
        <w:tblW w:w="9352" w:type="dxa"/>
        <w:tblInd w:w="93" w:type="dxa"/>
        <w:tblLayout w:type="fixed"/>
        <w:tblCellMar>
          <w:top w:w="0" w:type="dxa"/>
          <w:left w:w="108" w:type="dxa"/>
          <w:bottom w:w="0" w:type="dxa"/>
          <w:right w:w="108" w:type="dxa"/>
        </w:tblCellMar>
      </w:tblPr>
      <w:tblGrid>
        <w:gridCol w:w="549"/>
        <w:gridCol w:w="750"/>
        <w:gridCol w:w="1080"/>
        <w:gridCol w:w="1003"/>
        <w:gridCol w:w="1006"/>
        <w:gridCol w:w="884"/>
        <w:gridCol w:w="1080"/>
        <w:gridCol w:w="1080"/>
        <w:gridCol w:w="953"/>
        <w:gridCol w:w="967"/>
      </w:tblGrid>
      <w:tr>
        <w:tblPrEx>
          <w:tblCellMar>
            <w:top w:w="0" w:type="dxa"/>
            <w:left w:w="108" w:type="dxa"/>
            <w:bottom w:w="0" w:type="dxa"/>
            <w:right w:w="108" w:type="dxa"/>
          </w:tblCellMar>
        </w:tblPrEx>
        <w:trPr>
          <w:trHeight w:val="435"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苗木名称</w:t>
            </w:r>
          </w:p>
        </w:tc>
        <w:tc>
          <w:tcPr>
            <w:tcW w:w="6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规格（ 单位：CM）</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规格（ 单位：个）</w:t>
            </w:r>
          </w:p>
        </w:tc>
      </w:tr>
      <w:tr>
        <w:tblPrEx>
          <w:tblCellMar>
            <w:top w:w="0" w:type="dxa"/>
            <w:left w:w="108" w:type="dxa"/>
            <w:bottom w:w="0" w:type="dxa"/>
            <w:right w:w="108" w:type="dxa"/>
          </w:tblCellMar>
        </w:tblPrEx>
        <w:trPr>
          <w:trHeight w:val="42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szCs w:val="24"/>
                <w:highlight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胸（地）径(Ф)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株高（H）</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分枝点高(</w:t>
            </w:r>
            <w:r>
              <w:rPr>
                <w:rFonts w:ascii="MS Gothic" w:hAnsi="MS Gothic" w:eastAsia="MS Gothic" w:cs="MS Gothic"/>
                <w:color w:val="auto"/>
                <w:sz w:val="24"/>
                <w:szCs w:val="16"/>
                <w:highlight w:val="none"/>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 xml:space="preserve"> 冠幅（P）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土球规格直径* 高度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种植穴直径* 高度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层托数(T)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分枝数量</w:t>
            </w: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r>
    </w:tbl>
    <w:p>
      <w:pPr>
        <w:spacing w:line="480" w:lineRule="exact"/>
        <w:rPr>
          <w:rFonts w:ascii="宋体" w:hAnsi="宋体"/>
          <w:color w:val="auto"/>
          <w:sz w:val="24"/>
          <w:szCs w:val="24"/>
          <w:highlight w:val="none"/>
        </w:rPr>
      </w:pPr>
    </w:p>
    <w:p>
      <w:pPr>
        <w:pStyle w:val="26"/>
        <w:rPr>
          <w:color w:val="auto"/>
          <w:highlight w:val="none"/>
        </w:rPr>
      </w:pPr>
      <w:r>
        <w:rPr>
          <w:color w:val="auto"/>
          <w:highlight w:val="none"/>
        </w:rPr>
        <w:br w:type="page"/>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第五部分</w:t>
      </w:r>
      <w:r>
        <w:rPr>
          <w:rFonts w:ascii="宋体" w:hAnsi="宋体"/>
          <w:b/>
          <w:color w:val="auto"/>
          <w:sz w:val="28"/>
          <w:szCs w:val="28"/>
          <w:highlight w:val="none"/>
        </w:rPr>
        <w:t xml:space="preserve">  </w:t>
      </w:r>
      <w:r>
        <w:rPr>
          <w:rFonts w:hint="eastAsia" w:ascii="宋体" w:hAnsi="宋体"/>
          <w:b/>
          <w:color w:val="auto"/>
          <w:sz w:val="28"/>
          <w:szCs w:val="28"/>
          <w:highlight w:val="none"/>
        </w:rPr>
        <w:t>工程质量保修责任书</w:t>
      </w:r>
    </w:p>
    <w:p>
      <w:pPr>
        <w:snapToGrid w:val="0"/>
        <w:spacing w:line="240" w:lineRule="auto"/>
        <w:rPr>
          <w:rFonts w:hint="eastAsia" w:ascii="宋体" w:hAnsi="宋体"/>
          <w:color w:val="auto"/>
          <w:sz w:val="24"/>
          <w:szCs w:val="24"/>
          <w:highlight w:val="none"/>
        </w:rPr>
      </w:pPr>
    </w:p>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发包人（全称）：</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承包人（全称）：</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为保证</w:t>
      </w:r>
      <w:r>
        <w:rPr>
          <w:rFonts w:ascii="宋体" w:hAnsi="宋体"/>
          <w:color w:val="auto"/>
          <w:sz w:val="24"/>
          <w:szCs w:val="24"/>
          <w:highlight w:val="none"/>
          <w:u w:val="single"/>
        </w:rPr>
        <w:t xml:space="preserve">                工程</w:t>
      </w:r>
      <w:r>
        <w:rPr>
          <w:rFonts w:hint="eastAsia" w:ascii="宋体" w:hAnsi="宋体"/>
          <w:color w:val="auto"/>
          <w:sz w:val="24"/>
          <w:szCs w:val="24"/>
          <w:highlight w:val="none"/>
        </w:rPr>
        <w:t>在合理使用期限内正常使用，发包人承包人协商一致签订工程质量保修责任书。承包人在质量保修期内按照有关管理规定及双方约定承担本工程质量保修责任。</w:t>
      </w:r>
    </w:p>
    <w:p>
      <w:pPr>
        <w:numPr>
          <w:ilvl w:val="0"/>
          <w:numId w:val="7"/>
        </w:numPr>
        <w:tabs>
          <w:tab w:val="left" w:pos="1120"/>
        </w:tabs>
        <w:snapToGrid w:val="0"/>
        <w:spacing w:line="440" w:lineRule="exact"/>
        <w:ind w:hanging="240"/>
        <w:rPr>
          <w:rFonts w:ascii="宋体" w:hAnsi="宋体"/>
          <w:b/>
          <w:bCs/>
          <w:color w:val="auto"/>
          <w:sz w:val="24"/>
          <w:szCs w:val="24"/>
          <w:highlight w:val="none"/>
        </w:rPr>
      </w:pPr>
      <w:r>
        <w:rPr>
          <w:rFonts w:hint="eastAsia" w:ascii="宋体" w:hAnsi="宋体"/>
          <w:b/>
          <w:bCs/>
          <w:color w:val="auto"/>
          <w:sz w:val="24"/>
          <w:szCs w:val="24"/>
          <w:highlight w:val="none"/>
        </w:rPr>
        <w:t>工程质量保修范围和内容</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质量保修范围包括基础工程、主体路基、路面、桥涵构造物工程、给排水、防护工程以及本建设工程施工合同中所含的其它项目。具体质量保修内容双方约定如下：</w:t>
      </w:r>
    </w:p>
    <w:p>
      <w:pPr>
        <w:snapToGrid w:val="0"/>
        <w:spacing w:line="440" w:lineRule="exact"/>
        <w:ind w:firstLine="578" w:firstLineChars="241"/>
        <w:rPr>
          <w:rFonts w:ascii="宋体" w:hAnsi="宋体"/>
          <w:color w:val="auto"/>
          <w:sz w:val="24"/>
          <w:szCs w:val="24"/>
          <w:highlight w:val="none"/>
          <w:u w:val="single"/>
        </w:rPr>
      </w:pPr>
      <w:r>
        <w:rPr>
          <w:rFonts w:hint="eastAsia" w:ascii="宋体" w:hAnsi="宋体"/>
          <w:color w:val="auto"/>
          <w:sz w:val="24"/>
          <w:szCs w:val="24"/>
          <w:highlight w:val="none"/>
          <w:u w:val="single"/>
        </w:rPr>
        <w:t>按施工合同约定的承包范围内的全部工程内容</w:t>
      </w:r>
      <w:r>
        <w:rPr>
          <w:rFonts w:hint="eastAsia" w:ascii="宋体" w:hAnsi="宋体"/>
          <w:color w:val="auto"/>
          <w:sz w:val="24"/>
          <w:szCs w:val="24"/>
          <w:highlight w:val="none"/>
        </w:rPr>
        <w:t>。</w:t>
      </w:r>
    </w:p>
    <w:p>
      <w:pPr>
        <w:numPr>
          <w:ilvl w:val="0"/>
          <w:numId w:val="7"/>
        </w:numPr>
        <w:tabs>
          <w:tab w:val="left" w:pos="1120"/>
        </w:tabs>
        <w:snapToGrid w:val="0"/>
        <w:spacing w:line="440" w:lineRule="exact"/>
        <w:ind w:hanging="240"/>
        <w:rPr>
          <w:rFonts w:ascii="宋体" w:hAnsi="宋体"/>
          <w:b/>
          <w:bCs/>
          <w:color w:val="auto"/>
          <w:sz w:val="24"/>
          <w:szCs w:val="24"/>
          <w:highlight w:val="none"/>
        </w:rPr>
      </w:pPr>
      <w:r>
        <w:rPr>
          <w:rFonts w:hint="eastAsia" w:ascii="宋体" w:hAnsi="宋体"/>
          <w:b/>
          <w:bCs/>
          <w:color w:val="auto"/>
          <w:sz w:val="24"/>
          <w:szCs w:val="24"/>
          <w:highlight w:val="none"/>
        </w:rPr>
        <w:t>质量保修期</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质量保修期从广州开发区管委会或其相关职能部门批准的提前移交之日或者正式通过竣工验收之日（以先发生日期为准）算起。</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双方根据国家有关规定，结合具体工程约定质量保修期如下：</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基础设施工程、房屋建筑的地基基础和主体结构工程为设计文件规定的该工程合理使用年限；</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2、电力管线、上下水管线安装工程为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3、供热及供冷为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个采暖期及供冷期；</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4、室外的上下水和小区道路等市政公用工程为</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u w:val="single"/>
        </w:rPr>
      </w:pPr>
      <w:r>
        <w:rPr>
          <w:rFonts w:ascii="宋体" w:hAnsi="宋体"/>
          <w:color w:val="auto"/>
          <w:sz w:val="24"/>
          <w:szCs w:val="24"/>
          <w:highlight w:val="none"/>
        </w:rPr>
        <w:t>5、市政道</w:t>
      </w:r>
      <w:r>
        <w:rPr>
          <w:rFonts w:hint="eastAsia" w:ascii="宋体" w:hAnsi="宋体"/>
          <w:color w:val="auto"/>
          <w:sz w:val="24"/>
          <w:szCs w:val="24"/>
          <w:highlight w:val="none"/>
        </w:rPr>
        <w:t>路</w:t>
      </w:r>
      <w:r>
        <w:rPr>
          <w:rFonts w:ascii="宋体" w:hAnsi="宋体"/>
          <w:color w:val="auto"/>
          <w:sz w:val="24"/>
          <w:szCs w:val="24"/>
          <w:highlight w:val="none"/>
        </w:rPr>
        <w:t>排水工程为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年，市政供水工程为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6、市政供电工程为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年，市政道路照明工程</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年，市政交通设施工程为</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7、园林建筑工程为</w:t>
      </w:r>
      <w:r>
        <w:rPr>
          <w:rFonts w:ascii="宋体" w:hAnsi="宋体"/>
          <w:color w:val="auto"/>
          <w:sz w:val="24"/>
          <w:szCs w:val="24"/>
          <w:highlight w:val="none"/>
          <w:u w:val="single"/>
        </w:rPr>
        <w:t xml:space="preserve"> 1 </w:t>
      </w:r>
      <w:r>
        <w:rPr>
          <w:rFonts w:hint="eastAsia" w:ascii="宋体" w:hAnsi="宋体"/>
          <w:color w:val="auto"/>
          <w:sz w:val="24"/>
          <w:szCs w:val="24"/>
          <w:highlight w:val="none"/>
        </w:rPr>
        <w:t>年，喷淋工程为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年，胸径</w:t>
      </w:r>
      <w:r>
        <w:rPr>
          <w:rFonts w:ascii="宋体" w:hAnsi="宋体"/>
          <w:color w:val="auto"/>
          <w:sz w:val="24"/>
          <w:szCs w:val="24"/>
          <w:highlight w:val="none"/>
        </w:rPr>
        <w:t>15cm</w:t>
      </w:r>
      <w:r>
        <w:rPr>
          <w:rFonts w:hint="eastAsia" w:ascii="宋体" w:hAnsi="宋体"/>
          <w:color w:val="auto"/>
          <w:sz w:val="24"/>
          <w:szCs w:val="24"/>
          <w:highlight w:val="none"/>
        </w:rPr>
        <w:t>以内（含</w:t>
      </w:r>
      <w:r>
        <w:rPr>
          <w:rFonts w:ascii="宋体" w:hAnsi="宋体"/>
          <w:color w:val="auto"/>
          <w:sz w:val="24"/>
          <w:szCs w:val="24"/>
          <w:highlight w:val="none"/>
        </w:rPr>
        <w:t>15cm</w:t>
      </w:r>
      <w:r>
        <w:rPr>
          <w:rFonts w:hint="eastAsia" w:ascii="宋体" w:hAnsi="宋体"/>
          <w:color w:val="auto"/>
          <w:sz w:val="24"/>
          <w:szCs w:val="24"/>
          <w:highlight w:val="none"/>
        </w:rPr>
        <w:t>）的苗木养护期为</w:t>
      </w:r>
      <w:r>
        <w:rPr>
          <w:rFonts w:ascii="宋体" w:hAnsi="宋体"/>
          <w:color w:val="auto"/>
          <w:sz w:val="24"/>
          <w:szCs w:val="24"/>
          <w:highlight w:val="none"/>
          <w:u w:val="single"/>
        </w:rPr>
        <w:t xml:space="preserve"> 3 </w:t>
      </w:r>
      <w:r>
        <w:rPr>
          <w:rFonts w:hint="eastAsia" w:ascii="宋体" w:hAnsi="宋体"/>
          <w:color w:val="auto"/>
          <w:sz w:val="24"/>
          <w:szCs w:val="24"/>
          <w:highlight w:val="none"/>
        </w:rPr>
        <w:t>个月，胸径</w:t>
      </w:r>
      <w:r>
        <w:rPr>
          <w:rFonts w:ascii="宋体" w:hAnsi="宋体"/>
          <w:color w:val="auto"/>
          <w:sz w:val="24"/>
          <w:szCs w:val="24"/>
          <w:highlight w:val="none"/>
        </w:rPr>
        <w:t>15cm</w:t>
      </w:r>
      <w:r>
        <w:rPr>
          <w:rFonts w:hint="eastAsia" w:ascii="宋体" w:hAnsi="宋体"/>
          <w:color w:val="auto"/>
          <w:sz w:val="24"/>
          <w:szCs w:val="24"/>
          <w:highlight w:val="none"/>
        </w:rPr>
        <w:t>以上的苗木养护期为</w:t>
      </w:r>
      <w:r>
        <w:rPr>
          <w:rFonts w:ascii="宋体" w:hAnsi="宋体"/>
          <w:color w:val="auto"/>
          <w:sz w:val="24"/>
          <w:szCs w:val="24"/>
          <w:highlight w:val="none"/>
          <w:u w:val="single"/>
        </w:rPr>
        <w:t xml:space="preserve"> 1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8、其他约定：</w:t>
      </w:r>
      <w:r>
        <w:rPr>
          <w:rFonts w:hint="eastAsia" w:ascii="宋体" w:hAnsi="宋体"/>
          <w:color w:val="auto"/>
          <w:sz w:val="24"/>
          <w:szCs w:val="24"/>
          <w:highlight w:val="none"/>
          <w:u w:val="single"/>
        </w:rPr>
        <w:t>按相关规定执行</w:t>
      </w:r>
      <w:r>
        <w:rPr>
          <w:rFonts w:hint="eastAsia" w:ascii="宋体" w:hAnsi="宋体"/>
          <w:color w:val="auto"/>
          <w:sz w:val="24"/>
          <w:szCs w:val="24"/>
          <w:highlight w:val="none"/>
        </w:rPr>
        <w:t>。</w:t>
      </w:r>
    </w:p>
    <w:p>
      <w:pPr>
        <w:numPr>
          <w:ilvl w:val="0"/>
          <w:numId w:val="7"/>
        </w:numPr>
        <w:tabs>
          <w:tab w:val="left" w:pos="1120"/>
        </w:tabs>
        <w:snapToGrid w:val="0"/>
        <w:spacing w:line="440" w:lineRule="exact"/>
        <w:ind w:hanging="420"/>
        <w:rPr>
          <w:rFonts w:ascii="宋体" w:hAnsi="宋体"/>
          <w:b/>
          <w:color w:val="auto"/>
          <w:sz w:val="24"/>
          <w:szCs w:val="24"/>
          <w:highlight w:val="none"/>
        </w:rPr>
      </w:pPr>
      <w:r>
        <w:rPr>
          <w:rFonts w:hint="eastAsia" w:ascii="宋体" w:hAnsi="宋体"/>
          <w:b/>
          <w:color w:val="auto"/>
          <w:sz w:val="24"/>
          <w:szCs w:val="24"/>
          <w:highlight w:val="none"/>
        </w:rPr>
        <w:t>质量保修责任</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bCs/>
          <w:color w:val="auto"/>
          <w:sz w:val="24"/>
          <w:szCs w:val="24"/>
          <w:highlight w:val="none"/>
        </w:rPr>
        <w:t>1、</w:t>
      </w:r>
      <w:r>
        <w:rPr>
          <w:rFonts w:hint="eastAsia" w:ascii="宋体" w:hAnsi="宋体"/>
          <w:color w:val="auto"/>
          <w:sz w:val="24"/>
          <w:szCs w:val="24"/>
          <w:highlight w:val="none"/>
        </w:rPr>
        <w:t>属于保修范围的内容项目，承包人应在接到修理通知之日后七天内派人员修理。承包人不在约定期内派人修理，发包人可委托其他人员修理，修理费用从质量保修金内扣除。</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2、发生须紧急抢修事故（如给水管道破裂，排水管道严重堵塞，构造物破坏、损坏，路面严重坍塌等），承包人接到事故通知后，应立即到达事故现场抢修。非承包人施工质量引起的事故，抢修费用由发包人承担。</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3、国家规定的土木、土建、市政工程合理使用期限内，承包人确保主体工程和桥涵构造物的质量和安全。因承包人原因致使工程在合理使用期限内因质量或安全方面的缺陷造成人身和财产损害的，承包人应承担损害赔偿责任。</w:t>
      </w:r>
    </w:p>
    <w:p>
      <w:pPr>
        <w:numPr>
          <w:ilvl w:val="0"/>
          <w:numId w:val="7"/>
        </w:numPr>
        <w:tabs>
          <w:tab w:val="left" w:pos="1120"/>
        </w:tabs>
        <w:snapToGrid w:val="0"/>
        <w:spacing w:line="440" w:lineRule="exact"/>
        <w:ind w:hanging="420"/>
        <w:rPr>
          <w:rFonts w:ascii="宋体" w:hAnsi="宋体"/>
          <w:b/>
          <w:bCs/>
          <w:color w:val="auto"/>
          <w:sz w:val="24"/>
          <w:szCs w:val="24"/>
          <w:highlight w:val="none"/>
        </w:rPr>
      </w:pPr>
      <w:r>
        <w:rPr>
          <w:rFonts w:hint="eastAsia" w:ascii="宋体" w:hAnsi="宋体"/>
          <w:b/>
          <w:bCs/>
          <w:color w:val="auto"/>
          <w:sz w:val="24"/>
          <w:szCs w:val="24"/>
          <w:highlight w:val="none"/>
        </w:rPr>
        <w:t>质量保修金的支付</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本工程约定的工程质量保修金为施工合同结算总价款的</w:t>
      </w:r>
      <w:r>
        <w:rPr>
          <w:rFonts w:ascii="宋体" w:hAnsi="宋体"/>
          <w:color w:val="auto"/>
          <w:sz w:val="24"/>
          <w:szCs w:val="24"/>
          <w:highlight w:val="none"/>
          <w:u w:val="single"/>
        </w:rPr>
        <w:t>3</w:t>
      </w:r>
      <w:r>
        <w:rPr>
          <w:rFonts w:ascii="宋体" w:hAnsi="宋体"/>
          <w:color w:val="auto"/>
          <w:sz w:val="24"/>
          <w:szCs w:val="24"/>
          <w:highlight w:val="none"/>
        </w:rPr>
        <w:t>%。</w:t>
      </w:r>
    </w:p>
    <w:p>
      <w:pPr>
        <w:snapToGrid w:val="0"/>
        <w:spacing w:line="440" w:lineRule="exact"/>
        <w:ind w:firstLine="520" w:firstLineChars="250"/>
        <w:rPr>
          <w:rFonts w:ascii="宋体" w:hAnsi="宋体"/>
          <w:color w:val="auto"/>
          <w:spacing w:val="-32"/>
          <w:sz w:val="24"/>
          <w:szCs w:val="24"/>
          <w:highlight w:val="none"/>
        </w:rPr>
      </w:pPr>
      <w:r>
        <w:rPr>
          <w:rFonts w:hint="eastAsia" w:ascii="宋体" w:hAnsi="宋体"/>
          <w:color w:val="auto"/>
          <w:spacing w:val="-16"/>
          <w:sz w:val="24"/>
          <w:szCs w:val="24"/>
          <w:highlight w:val="none"/>
        </w:rPr>
        <w:t>本工程双方约定工程质量保修金金额为</w:t>
      </w:r>
      <w:r>
        <w:rPr>
          <w:rFonts w:ascii="宋体" w:hAnsi="宋体"/>
          <w:color w:val="auto"/>
          <w:sz w:val="24"/>
          <w:szCs w:val="24"/>
          <w:highlight w:val="none"/>
          <w:u w:val="single"/>
        </w:rPr>
        <w:t xml:space="preserve">(大写)    /      </w:t>
      </w:r>
      <w:r>
        <w:rPr>
          <w:rFonts w:hint="eastAsia" w:ascii="宋体" w:hAnsi="宋体"/>
          <w:color w:val="auto"/>
          <w:spacing w:val="-32"/>
          <w:sz w:val="24"/>
          <w:szCs w:val="24"/>
          <w:highlight w:val="none"/>
        </w:rPr>
        <w:t>。</w:t>
      </w:r>
    </w:p>
    <w:p>
      <w:pPr>
        <w:snapToGrid w:val="0"/>
        <w:spacing w:line="440" w:lineRule="exact"/>
        <w:ind w:firstLine="480" w:firstLineChars="200"/>
        <w:rPr>
          <w:rFonts w:ascii="宋体" w:hAnsi="宋体"/>
          <w:bCs/>
          <w:color w:val="auto"/>
          <w:sz w:val="24"/>
          <w:szCs w:val="24"/>
          <w:highlight w:val="none"/>
        </w:rPr>
      </w:pPr>
      <w:r>
        <w:rPr>
          <w:rFonts w:hint="eastAsia" w:ascii="宋体" w:hAnsi="宋体"/>
          <w:color w:val="auto"/>
          <w:sz w:val="24"/>
          <w:szCs w:val="24"/>
          <w:highlight w:val="none"/>
        </w:rPr>
        <w:t>质量保修金银行利率为</w:t>
      </w:r>
      <w:r>
        <w:rPr>
          <w:rFonts w:ascii="宋体" w:hAnsi="宋体"/>
          <w:color w:val="auto"/>
          <w:sz w:val="24"/>
          <w:szCs w:val="24"/>
          <w:highlight w:val="none"/>
          <w:u w:val="single"/>
        </w:rPr>
        <w:t xml:space="preserve">      /     </w:t>
      </w:r>
      <w:r>
        <w:rPr>
          <w:rFonts w:ascii="宋体" w:hAnsi="宋体"/>
          <w:color w:val="auto"/>
          <w:sz w:val="24"/>
          <w:szCs w:val="24"/>
          <w:highlight w:val="none"/>
        </w:rPr>
        <w:t>。</w:t>
      </w:r>
    </w:p>
    <w:p>
      <w:pPr>
        <w:numPr>
          <w:ilvl w:val="0"/>
          <w:numId w:val="7"/>
        </w:numPr>
        <w:tabs>
          <w:tab w:val="left" w:pos="1120"/>
        </w:tabs>
        <w:snapToGrid w:val="0"/>
        <w:spacing w:line="440" w:lineRule="exact"/>
        <w:ind w:hanging="420"/>
        <w:rPr>
          <w:rFonts w:ascii="宋体" w:hAnsi="宋体"/>
          <w:b/>
          <w:color w:val="auto"/>
          <w:sz w:val="24"/>
          <w:szCs w:val="24"/>
          <w:highlight w:val="none"/>
        </w:rPr>
      </w:pPr>
      <w:r>
        <w:rPr>
          <w:rFonts w:hint="eastAsia" w:ascii="宋体" w:hAnsi="宋体"/>
          <w:b/>
          <w:color w:val="auto"/>
          <w:sz w:val="24"/>
          <w:szCs w:val="24"/>
          <w:highlight w:val="none"/>
        </w:rPr>
        <w:t>其他</w:t>
      </w:r>
    </w:p>
    <w:p>
      <w:pPr>
        <w:tabs>
          <w:tab w:val="left" w:pos="980"/>
        </w:tabs>
        <w:spacing w:line="44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双方约定的其他工程质量保修事项：</w:t>
      </w:r>
      <w:r>
        <w:rPr>
          <w:rFonts w:hint="eastAsia" w:ascii="宋体" w:hAnsi="宋体"/>
          <w:color w:val="auto"/>
          <w:sz w:val="24"/>
          <w:szCs w:val="24"/>
          <w:highlight w:val="none"/>
          <w:u w:val="single"/>
        </w:rPr>
        <w:t>保留经广州开发区财政局核定的结算总造价的</w:t>
      </w:r>
      <w:r>
        <w:rPr>
          <w:rFonts w:ascii="宋体" w:hAnsi="宋体"/>
          <w:color w:val="auto"/>
          <w:sz w:val="24"/>
          <w:szCs w:val="24"/>
          <w:highlight w:val="none"/>
          <w:u w:val="single"/>
        </w:rPr>
        <w:t>3%作为保修金，在</w:t>
      </w:r>
      <w:r>
        <w:rPr>
          <w:rFonts w:hint="eastAsia" w:ascii="宋体" w:hAnsi="宋体"/>
          <w:color w:val="auto"/>
          <w:sz w:val="24"/>
          <w:szCs w:val="24"/>
          <w:highlight w:val="none"/>
          <w:u w:val="single"/>
        </w:rPr>
        <w:t>质量缺陷责任</w:t>
      </w:r>
      <w:r>
        <w:rPr>
          <w:rFonts w:ascii="宋体" w:hAnsi="宋体"/>
          <w:color w:val="auto"/>
          <w:sz w:val="24"/>
          <w:szCs w:val="24"/>
          <w:highlight w:val="none"/>
          <w:u w:val="single"/>
        </w:rPr>
        <w:t>期满后结清（不计利息）。</w:t>
      </w:r>
    </w:p>
    <w:p>
      <w:pPr>
        <w:tabs>
          <w:tab w:val="left" w:pos="980"/>
        </w:tabs>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本工程质量保修责任书作为施工合同附件，由施工合同发包人与承包人双方共同签署。</w:t>
      </w: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发包人（公章）：</w:t>
      </w:r>
      <w:r>
        <w:rPr>
          <w:rFonts w:ascii="宋体" w:hAnsi="宋体"/>
          <w:color w:val="auto"/>
          <w:sz w:val="24"/>
          <w:szCs w:val="24"/>
          <w:highlight w:val="none"/>
        </w:rPr>
        <w:t xml:space="preserve">                       </w:t>
      </w:r>
      <w:r>
        <w:rPr>
          <w:rFonts w:hint="eastAsia" w:ascii="宋体" w:hAnsi="宋体"/>
          <w:color w:val="auto"/>
          <w:sz w:val="24"/>
          <w:szCs w:val="24"/>
          <w:highlight w:val="none"/>
        </w:rPr>
        <w:t>承包人（公章）：</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法定代表人：</w:t>
      </w:r>
      <w:r>
        <w:rPr>
          <w:rFonts w:ascii="宋体" w:hAnsi="宋体"/>
          <w:color w:val="auto"/>
          <w:sz w:val="24"/>
          <w:szCs w:val="24"/>
          <w:highlight w:val="none"/>
        </w:rPr>
        <w:t xml:space="preserve">                          </w:t>
      </w:r>
      <w:r>
        <w:rPr>
          <w:rFonts w:hint="eastAsia" w:ascii="宋体" w:hAnsi="宋体"/>
          <w:color w:val="auto"/>
          <w:sz w:val="24"/>
          <w:szCs w:val="24"/>
          <w:highlight w:val="none"/>
        </w:rPr>
        <w:t>法定代表人：</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委托代理人：</w:t>
      </w:r>
      <w:r>
        <w:rPr>
          <w:rFonts w:ascii="宋体" w:hAnsi="宋体"/>
          <w:color w:val="auto"/>
          <w:sz w:val="24"/>
          <w:szCs w:val="24"/>
          <w:highlight w:val="none"/>
        </w:rPr>
        <w:t xml:space="preserve">                          </w:t>
      </w:r>
      <w:r>
        <w:rPr>
          <w:rFonts w:hint="eastAsia" w:ascii="宋体" w:hAnsi="宋体"/>
          <w:color w:val="auto"/>
          <w:sz w:val="24"/>
          <w:szCs w:val="24"/>
          <w:highlight w:val="none"/>
        </w:rPr>
        <w:t>委托代理人：</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签订时间：</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p>
      <w:pPr>
        <w:adjustRightInd w:val="0"/>
        <w:snapToGrid w:val="0"/>
        <w:rPr>
          <w:rFonts w:ascii="宋体" w:hAnsi="宋体" w:cs="宋体"/>
          <w:snapToGrid w:val="0"/>
          <w:color w:val="auto"/>
          <w:kern w:val="0"/>
          <w:sz w:val="28"/>
          <w:szCs w:val="28"/>
          <w:highlight w:val="none"/>
        </w:rPr>
      </w:pPr>
      <w:r>
        <w:rPr>
          <w:rFonts w:ascii="宋体" w:hAnsi="宋体" w:cs="宋体"/>
          <w:b/>
          <w:bCs/>
          <w:snapToGrid w:val="0"/>
          <w:color w:val="auto"/>
          <w:kern w:val="0"/>
          <w:sz w:val="28"/>
          <w:szCs w:val="28"/>
          <w:highlight w:val="none"/>
        </w:rPr>
        <w:t>附件：</w:t>
      </w:r>
    </w:p>
    <w:p>
      <w:pPr>
        <w:adjustRightInd w:val="0"/>
        <w:snapToGrid w:val="0"/>
        <w:jc w:val="center"/>
        <w:rPr>
          <w:rFonts w:ascii="宋体" w:hAnsi="宋体" w:cs="宋体"/>
          <w:b/>
          <w:bCs/>
          <w:snapToGrid w:val="0"/>
          <w:color w:val="auto"/>
          <w:kern w:val="0"/>
          <w:sz w:val="28"/>
          <w:szCs w:val="28"/>
          <w:highlight w:val="none"/>
        </w:rPr>
      </w:pPr>
      <w:r>
        <w:rPr>
          <w:rFonts w:hint="eastAsia" w:ascii="宋体" w:hAnsi="宋体" w:cs="宋体"/>
          <w:b/>
          <w:bCs/>
          <w:snapToGrid w:val="0"/>
          <w:color w:val="auto"/>
          <w:kern w:val="0"/>
          <w:sz w:val="28"/>
          <w:szCs w:val="28"/>
          <w:highlight w:val="none"/>
        </w:rPr>
        <w:t>工程建设项目廉政责任书</w:t>
      </w:r>
    </w:p>
    <w:p>
      <w:pPr>
        <w:adjustRightInd w:val="0"/>
        <w:snapToGrid w:val="0"/>
        <w:spacing w:line="400" w:lineRule="exact"/>
        <w:ind w:left="495" w:hanging="495"/>
        <w:rPr>
          <w:rFonts w:ascii="宋体" w:hAnsi="宋体" w:cs="宋体"/>
          <w:snapToGrid w:val="0"/>
          <w:color w:val="auto"/>
          <w:kern w:val="0"/>
          <w:sz w:val="24"/>
          <w:szCs w:val="32"/>
          <w:highlight w:val="none"/>
          <w:u w:val="single"/>
        </w:rPr>
      </w:pPr>
      <w:r>
        <w:rPr>
          <w:rFonts w:hint="eastAsia" w:ascii="宋体" w:hAnsi="宋体" w:cs="宋体"/>
          <w:snapToGrid w:val="0"/>
          <w:color w:val="auto"/>
          <w:kern w:val="0"/>
          <w:sz w:val="24"/>
          <w:szCs w:val="32"/>
          <w:highlight w:val="none"/>
        </w:rPr>
        <w:t>工程项目名称：</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ind w:left="495" w:hanging="495"/>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工程项目地址：</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u w:val="single"/>
        </w:rPr>
      </w:pPr>
      <w:r>
        <w:rPr>
          <w:rFonts w:hint="eastAsia" w:ascii="宋体" w:hAnsi="宋体" w:cs="宋体"/>
          <w:snapToGrid w:val="0"/>
          <w:color w:val="auto"/>
          <w:kern w:val="0"/>
          <w:sz w:val="24"/>
          <w:szCs w:val="32"/>
          <w:highlight w:val="none"/>
        </w:rPr>
        <w:t xml:space="preserve">甲方： </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乙方： </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rPr>
      </w:pP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第一条</w:t>
      </w:r>
      <w:r>
        <w:rPr>
          <w:rFonts w:hint="eastAsia" w:ascii="宋体" w:hAnsi="宋体" w:cs="宋体"/>
          <w:snapToGrid w:val="0"/>
          <w:color w:val="auto"/>
          <w:kern w:val="0"/>
          <w:sz w:val="24"/>
          <w:szCs w:val="24"/>
          <w:highlight w:val="none"/>
          <w:lang w:bidi="ar"/>
        </w:rPr>
        <w:t>甲、乙双方的责任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（一）应严格遵守国家关于市场准入、项目招标投标、</w:t>
      </w:r>
      <w:r>
        <w:rPr>
          <w:rFonts w:hint="eastAsia" w:ascii="宋体" w:hAnsi="宋体" w:cs="宋体"/>
          <w:color w:val="auto"/>
          <w:kern w:val="0"/>
          <w:sz w:val="24"/>
          <w:szCs w:val="24"/>
          <w:highlight w:val="none"/>
          <w:lang w:bidi="ar"/>
        </w:rPr>
        <w:t>工程建设和市场活动</w:t>
      </w:r>
      <w:r>
        <w:rPr>
          <w:rFonts w:hint="eastAsia" w:ascii="宋体" w:hAnsi="宋体" w:cs="宋体"/>
          <w:snapToGrid w:val="0"/>
          <w:color w:val="auto"/>
          <w:kern w:val="0"/>
          <w:sz w:val="24"/>
          <w:szCs w:val="24"/>
          <w:highlight w:val="none"/>
          <w:lang w:bidi="ar"/>
        </w:rPr>
        <w:t>等有关法律、法规、相关政策，以及廉政建设的各项规定。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（二）严格执行建设工程项目承发包合同文件，自觉按合同办事。</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（三）业务活动必须坚持公开、公平、公正、诚信、透明的原则（除法律法规另有规定者外），不得为获取不正当的利益，损害国家、集体和对方利益，不得</w:t>
      </w:r>
      <w:r>
        <w:rPr>
          <w:rFonts w:hint="eastAsia" w:ascii="宋体" w:hAnsi="宋体" w:cs="宋体"/>
          <w:color w:val="auto"/>
          <w:kern w:val="0"/>
          <w:sz w:val="24"/>
          <w:szCs w:val="24"/>
          <w:highlight w:val="none"/>
          <w:lang w:bidi="ar"/>
        </w:rPr>
        <w:t>违反工程建设过程管理的规章制度。</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第二条</w:t>
      </w:r>
      <w:r>
        <w:rPr>
          <w:rFonts w:hint="eastAsia" w:ascii="宋体" w:hAnsi="宋体" w:cs="宋体"/>
          <w:snapToGrid w:val="0"/>
          <w:color w:val="auto"/>
          <w:kern w:val="0"/>
          <w:sz w:val="24"/>
          <w:szCs w:val="24"/>
          <w:highlight w:val="none"/>
          <w:lang w:bidi="ar"/>
        </w:rPr>
        <w:t>甲方的责任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甲方的领导和从事本建设工程项目的工作人员，在工程建设的事前、事中、事后应遵守以下规定：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（一）不准向乙方和相关单位索要或接受回扣、礼金、有价证券、贵重物品和好处费、感谢费等。</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（二）不准在乙方和相关单位报销任何应由甲方或个人支付的费用。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（三）不准要求、暗示或接受乙方和相关单位为个人装修住房、婚丧嫁娶、配偶子女的工作安排以及出国（境）、旅游等提供方便。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（四）不准参加有可能影响公正执行公务的乙方及相关单位的宴请、健身、娱乐等活动。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（五）不准向乙方介绍或为配偶、子女、亲属参与同甲方项目工程合同有关的设备、材料、工程分包、劳务等经济活动。不得以任何理由向乙方和相关单位推荐分包单位。</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第三条</w:t>
      </w:r>
      <w:r>
        <w:rPr>
          <w:rFonts w:hint="eastAsia" w:ascii="宋体" w:hAnsi="宋体" w:cs="宋体"/>
          <w:snapToGrid w:val="0"/>
          <w:color w:val="auto"/>
          <w:kern w:val="0"/>
          <w:sz w:val="24"/>
          <w:szCs w:val="24"/>
          <w:highlight w:val="none"/>
          <w:lang w:bidi="ar"/>
        </w:rPr>
        <w:t>乙方的责任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应与甲方保持正常的业务交往，按照有关法律法规和程序开展业务工作，严格执行</w:t>
      </w:r>
      <w:r>
        <w:rPr>
          <w:rFonts w:hint="eastAsia" w:ascii="宋体" w:hAnsi="宋体" w:cs="宋体"/>
          <w:color w:val="auto"/>
          <w:kern w:val="0"/>
          <w:sz w:val="24"/>
          <w:szCs w:val="24"/>
          <w:highlight w:val="none"/>
          <w:lang w:bidi="ar"/>
        </w:rPr>
        <w:t>工程建设过程管理的有关方针、政策，尤其是强制性标准和规范</w:t>
      </w:r>
      <w:r>
        <w:rPr>
          <w:rFonts w:hint="eastAsia" w:ascii="宋体" w:hAnsi="宋体" w:cs="宋体"/>
          <w:snapToGrid w:val="0"/>
          <w:color w:val="auto"/>
          <w:kern w:val="0"/>
          <w:sz w:val="24"/>
          <w:szCs w:val="24"/>
          <w:highlight w:val="none"/>
          <w:lang w:bidi="ar"/>
        </w:rPr>
        <w:t>，并遵守以下规定：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（一）不准以任何理由向甲方、相关单位及其工作人员索要、接受或赠送礼金、有价证券、贵重物品及回扣、好处费、感谢费等。</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（二）不准以任何理由为甲方和相关单位报销应由对方或个人支付的费用。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（三）不准接受或暗示为甲方、相关单位或个人装修住房、婚丧嫁娶、配偶子女的工作安排以及出国（境）、旅游等提供方便。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（四）不准以任何理由为甲方、相关单位或个人组织有可能影响公正执行公务的宴请、健身、娱乐等活动。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第四条</w:t>
      </w:r>
      <w:r>
        <w:rPr>
          <w:rFonts w:hint="eastAsia" w:ascii="宋体" w:hAnsi="宋体" w:cs="宋体"/>
          <w:snapToGrid w:val="0"/>
          <w:color w:val="auto"/>
          <w:kern w:val="0"/>
          <w:sz w:val="24"/>
          <w:szCs w:val="24"/>
          <w:highlight w:val="none"/>
          <w:lang w:bidi="ar"/>
        </w:rPr>
        <w:t>违约责任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第五条</w:t>
      </w:r>
      <w:r>
        <w:rPr>
          <w:rFonts w:hint="eastAsia" w:ascii="宋体" w:hAnsi="宋体" w:cs="宋体"/>
          <w:snapToGrid w:val="0"/>
          <w:color w:val="auto"/>
          <w:kern w:val="0"/>
          <w:sz w:val="24"/>
          <w:szCs w:val="24"/>
          <w:highlight w:val="none"/>
          <w:lang w:bidi="ar"/>
        </w:rPr>
        <w:t>本廉政责任书作为合同的附件，与合同具有同等法律效力。经双方签署后立即生效。</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第六条</w:t>
      </w:r>
      <w:r>
        <w:rPr>
          <w:rFonts w:hint="eastAsia" w:ascii="宋体" w:hAnsi="宋体" w:cs="宋体"/>
          <w:snapToGrid w:val="0"/>
          <w:color w:val="auto"/>
          <w:kern w:val="0"/>
          <w:sz w:val="24"/>
          <w:szCs w:val="24"/>
          <w:highlight w:val="none"/>
          <w:lang w:bidi="ar"/>
        </w:rPr>
        <w:t>本廉政责任书的有效期与合同的有效期相同。</w:t>
      </w:r>
    </w:p>
    <w:p>
      <w:pPr>
        <w:adjustRightInd w:val="0"/>
        <w:snapToGrid w:val="0"/>
        <w:spacing w:line="440" w:lineRule="exact"/>
        <w:rPr>
          <w:rFonts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 xml:space="preserve">    </w:t>
      </w:r>
      <w:r>
        <w:rPr>
          <w:rFonts w:hint="eastAsia" w:ascii="宋体" w:hAnsi="宋体" w:cs="宋体"/>
          <w:b/>
          <w:snapToGrid w:val="0"/>
          <w:color w:val="auto"/>
          <w:kern w:val="0"/>
          <w:sz w:val="24"/>
          <w:szCs w:val="24"/>
          <w:highlight w:val="none"/>
          <w:lang w:bidi="ar"/>
        </w:rPr>
        <w:t>第七条</w:t>
      </w:r>
      <w:r>
        <w:rPr>
          <w:rFonts w:hint="eastAsia" w:ascii="宋体" w:hAnsi="宋体" w:cs="宋体"/>
          <w:snapToGrid w:val="0"/>
          <w:color w:val="auto"/>
          <w:kern w:val="0"/>
          <w:sz w:val="24"/>
          <w:szCs w:val="24"/>
          <w:highlight w:val="none"/>
          <w:lang w:bidi="ar"/>
        </w:rPr>
        <w:t>本廉政责任书份数和合同份数一致</w:t>
      </w:r>
      <w:r>
        <w:rPr>
          <w:rFonts w:hint="eastAsia" w:ascii="宋体" w:hAnsi="宋体" w:cs="宋体"/>
          <w:bCs/>
          <w:color w:val="auto"/>
          <w:kern w:val="0"/>
          <w:sz w:val="24"/>
          <w:szCs w:val="24"/>
          <w:highlight w:val="none"/>
          <w:lang w:bidi="ar"/>
        </w:rPr>
        <w:t>。</w:t>
      </w:r>
    </w:p>
    <w:p>
      <w:pPr>
        <w:adjustRightInd w:val="0"/>
        <w:snapToGrid w:val="0"/>
        <w:spacing w:line="380" w:lineRule="exact"/>
        <w:ind w:right="11"/>
        <w:rPr>
          <w:rFonts w:ascii="宋体" w:hAnsi="宋体" w:cs="宋体"/>
          <w:snapToGrid w:val="0"/>
          <w:color w:val="auto"/>
          <w:kern w:val="0"/>
          <w:sz w:val="24"/>
          <w:szCs w:val="24"/>
          <w:highlight w:val="none"/>
        </w:rPr>
      </w:pPr>
    </w:p>
    <w:p>
      <w:pPr>
        <w:adjustRightInd w:val="0"/>
        <w:snapToGrid w:val="0"/>
        <w:spacing w:line="360" w:lineRule="auto"/>
        <w:ind w:left="1920" w:right="11" w:hanging="1920" w:hangingChars="800"/>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甲方：                                 乙方： </w:t>
      </w:r>
    </w:p>
    <w:p>
      <w:pPr>
        <w:adjustRightInd w:val="0"/>
        <w:snapToGrid w:val="0"/>
        <w:spacing w:line="360" w:lineRule="auto"/>
        <w:ind w:left="1917" w:leftChars="513" w:right="11" w:hanging="840" w:hangingChars="350"/>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                          </w:t>
      </w:r>
    </w:p>
    <w:p>
      <w:pPr>
        <w:adjustRightInd w:val="0"/>
        <w:snapToGrid w:val="0"/>
        <w:spacing w:line="360" w:lineRule="auto"/>
        <w:ind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法定代表人：                           法定代表人：</w:t>
      </w:r>
    </w:p>
    <w:p>
      <w:pPr>
        <w:tabs>
          <w:tab w:val="left" w:pos="5460"/>
        </w:tabs>
        <w:adjustRightInd w:val="0"/>
        <w:snapToGrid w:val="0"/>
        <w:spacing w:line="360" w:lineRule="auto"/>
        <w:ind w:left="-2" w:leftChars="-1" w:right="11"/>
        <w:rPr>
          <w:rFonts w:ascii="宋体" w:hAnsi="宋体" w:cs="宋体"/>
          <w:snapToGrid w:val="0"/>
          <w:color w:val="auto"/>
          <w:kern w:val="0"/>
          <w:sz w:val="24"/>
          <w:szCs w:val="32"/>
          <w:highlight w:val="none"/>
        </w:rPr>
      </w:pPr>
    </w:p>
    <w:p>
      <w:pPr>
        <w:tabs>
          <w:tab w:val="left" w:pos="5460"/>
        </w:tabs>
        <w:adjustRightInd w:val="0"/>
        <w:snapToGrid w:val="0"/>
        <w:spacing w:line="360" w:lineRule="auto"/>
        <w:ind w:left="-2" w:leftChars="-1"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委托代理人：                           委托代理人：</w:t>
      </w:r>
    </w:p>
    <w:p>
      <w:pPr>
        <w:tabs>
          <w:tab w:val="left" w:pos="5460"/>
        </w:tabs>
        <w:adjustRightInd w:val="0"/>
        <w:snapToGrid w:val="0"/>
        <w:spacing w:line="400" w:lineRule="exact"/>
        <w:ind w:left="-2" w:leftChars="-1"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签约日期：</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年</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月</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日</w:t>
      </w:r>
    </w:p>
    <w:p>
      <w:pPr>
        <w:widowControl/>
        <w:tabs>
          <w:tab w:val="left" w:pos="5460"/>
        </w:tabs>
        <w:adjustRightInd w:val="0"/>
        <w:snapToGrid w:val="0"/>
        <w:spacing w:line="400" w:lineRule="exact"/>
        <w:ind w:left="-2" w:leftChars="-1" w:right="11"/>
        <w:jc w:val="left"/>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签约地点：广东省广州市黄埔区。</w:t>
      </w:r>
    </w:p>
    <w:p>
      <w:pPr>
        <w:widowControl/>
        <w:jc w:val="left"/>
        <w:rPr>
          <w:rFonts w:ascii="宋体" w:hAnsi="宋体" w:cs="宋体"/>
          <w:snapToGrid w:val="0"/>
          <w:color w:val="auto"/>
          <w:kern w:val="0"/>
          <w:sz w:val="24"/>
          <w:szCs w:val="32"/>
          <w:highlight w:val="none"/>
        </w:rPr>
      </w:pPr>
    </w:p>
    <w:p>
      <w:pPr>
        <w:widowControl/>
        <w:jc w:val="left"/>
        <w:rPr>
          <w:rFonts w:ascii="仿宋_GB2312" w:hAnsi="Calisto MT" w:eastAsia="仿宋_GB2312"/>
          <w:color w:val="auto"/>
          <w:kern w:val="0"/>
          <w:sz w:val="32"/>
          <w:szCs w:val="20"/>
          <w:highlight w:val="none"/>
        </w:rPr>
      </w:pPr>
      <w:r>
        <w:rPr>
          <w:color w:val="auto"/>
          <w:highlight w:val="none"/>
        </w:rPr>
        <w:br w:type="page"/>
      </w:r>
    </w:p>
    <w:p>
      <w:pPr>
        <w:wordWrap/>
        <w:adjustRightInd w:val="0"/>
        <w:snapToGrid w:val="0"/>
        <w:jc w:val="center"/>
        <w:rPr>
          <w:rFonts w:ascii="宋体" w:hAnsi="宋体" w:cs="宋体"/>
          <w:b/>
          <w:bCs/>
          <w:snapToGrid w:val="0"/>
          <w:color w:val="auto"/>
          <w:kern w:val="0"/>
          <w:sz w:val="28"/>
          <w:szCs w:val="28"/>
          <w:highlight w:val="none"/>
        </w:rPr>
      </w:pPr>
      <w:r>
        <w:rPr>
          <w:rFonts w:hint="eastAsia" w:ascii="宋体" w:hAnsi="宋体" w:cs="宋体"/>
          <w:b/>
          <w:bCs/>
          <w:snapToGrid w:val="0"/>
          <w:color w:val="auto"/>
          <w:kern w:val="0"/>
          <w:sz w:val="28"/>
          <w:szCs w:val="28"/>
          <w:highlight w:val="none"/>
        </w:rPr>
        <w:t>工程预付款资金共管协议</w:t>
      </w:r>
    </w:p>
    <w:p>
      <w:pPr>
        <w:rPr>
          <w:color w:val="auto"/>
          <w:sz w:val="30"/>
          <w:szCs w:val="24"/>
          <w:highlight w:val="none"/>
        </w:rPr>
      </w:pPr>
    </w:p>
    <w:p>
      <w:pPr>
        <w:rPr>
          <w:color w:val="auto"/>
          <w:sz w:val="30"/>
          <w:szCs w:val="24"/>
          <w:highlight w:val="none"/>
        </w:rPr>
      </w:pPr>
    </w:p>
    <w:p>
      <w:pPr>
        <w:jc w:val="center"/>
        <w:rPr>
          <w:rFonts w:ascii="宋体" w:hAnsi="宋体" w:cs="宋体"/>
          <w:b/>
          <w:color w:val="auto"/>
          <w:szCs w:val="21"/>
          <w:highlight w:val="none"/>
        </w:rPr>
      </w:pPr>
    </w:p>
    <w:p>
      <w:pPr>
        <w:wordWrap w:val="0"/>
        <w:jc w:val="center"/>
        <w:rPr>
          <w:rFonts w:ascii="宋体" w:hAnsi="宋体" w:cs="宋体"/>
          <w:b/>
          <w:color w:val="auto"/>
          <w:szCs w:val="21"/>
          <w:highlight w:val="none"/>
        </w:rPr>
      </w:pPr>
      <w:r>
        <w:rPr>
          <w:rFonts w:hint="eastAsia" w:ascii="宋体" w:hAnsi="宋体" w:cs="宋体"/>
          <w:b/>
          <w:color w:val="auto"/>
          <w:szCs w:val="21"/>
          <w:highlight w:val="none"/>
        </w:rPr>
        <w:t xml:space="preserve">                                             协议编号：建管共管协议[  ]号</w:t>
      </w:r>
    </w:p>
    <w:p>
      <w:pPr>
        <w:jc w:val="center"/>
        <w:rPr>
          <w:rFonts w:ascii="宋体" w:hAnsi="宋体" w:cs="仿宋_GB2312"/>
          <w:b/>
          <w:color w:val="auto"/>
          <w:szCs w:val="21"/>
          <w:highlight w:val="none"/>
        </w:rPr>
      </w:pPr>
      <w:r>
        <w:rPr>
          <w:rFonts w:ascii="宋体" w:hAnsi="宋体" w:cs="仿宋_GB2312"/>
          <w:b/>
          <w:color w:val="auto"/>
          <w:szCs w:val="21"/>
          <w:highlight w:val="none"/>
        </w:rPr>
        <w:t xml:space="preserve"> </w:t>
      </w:r>
    </w:p>
    <w:p>
      <w:pPr>
        <w:snapToGrid w:val="0"/>
        <w:spacing w:line="520" w:lineRule="exact"/>
        <w:rPr>
          <w:rFonts w:ascii="宋体" w:hAnsi="宋体"/>
          <w:color w:val="auto"/>
          <w:szCs w:val="21"/>
          <w:highlight w:val="none"/>
        </w:rPr>
      </w:pPr>
      <w:bookmarkStart w:id="163" w:name="_Hlk105681375"/>
      <w:r>
        <w:rPr>
          <w:rFonts w:hint="eastAsia" w:ascii="宋体" w:hAnsi="宋体" w:cs="仿宋_GB2312"/>
          <w:b/>
          <w:color w:val="auto"/>
          <w:szCs w:val="21"/>
          <w:highlight w:val="none"/>
        </w:rPr>
        <w:t>甲      方</w:t>
      </w:r>
      <w:r>
        <w:rPr>
          <w:rFonts w:ascii="宋体" w:hAnsi="宋体" w:cs="仿宋_GB2312"/>
          <w:color w:val="auto"/>
          <w:szCs w:val="21"/>
          <w:highlight w:val="none"/>
        </w:rPr>
        <w:t>(</w:t>
      </w:r>
      <w:r>
        <w:rPr>
          <w:rFonts w:hint="eastAsia" w:ascii="宋体" w:hAnsi="宋体" w:cs="仿宋_GB2312"/>
          <w:color w:val="auto"/>
          <w:szCs w:val="21"/>
          <w:highlight w:val="none"/>
        </w:rPr>
        <w:t>建设业主</w:t>
      </w:r>
      <w:r>
        <w:rPr>
          <w:rFonts w:ascii="宋体" w:hAnsi="宋体" w:cs="仿宋_GB2312"/>
          <w:color w:val="auto"/>
          <w:szCs w:val="21"/>
          <w:highlight w:val="none"/>
        </w:rPr>
        <w:t>)</w:t>
      </w:r>
      <w:bookmarkEnd w:id="163"/>
      <w:r>
        <w:rPr>
          <w:rFonts w:hint="eastAsia" w:ascii="宋体" w:hAnsi="宋体" w:cs="仿宋_GB2312"/>
          <w:color w:val="auto"/>
          <w:szCs w:val="21"/>
          <w:highlight w:val="none"/>
        </w:rPr>
        <w:t xml:space="preserve">： </w:t>
      </w:r>
    </w:p>
    <w:p>
      <w:pPr>
        <w:rPr>
          <w:rFonts w:ascii="宋体" w:hAnsi="宋体" w:cs="仿宋_GB2312"/>
          <w:b/>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地      址：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rPr>
          <w:rFonts w:ascii="宋体" w:hAnsi="宋体" w:cs="仿宋_GB2312"/>
          <w:color w:val="auto"/>
          <w:szCs w:val="21"/>
          <w:highlight w:val="none"/>
        </w:rPr>
      </w:pPr>
      <w:r>
        <w:rPr>
          <w:rFonts w:ascii="宋体" w:hAnsi="宋体" w:cs="仿宋_GB2312"/>
          <w:color w:val="auto"/>
          <w:szCs w:val="21"/>
          <w:highlight w:val="none"/>
        </w:rPr>
        <w:t xml:space="preserve"> </w:t>
      </w:r>
    </w:p>
    <w:p>
      <w:pPr>
        <w:rPr>
          <w:rFonts w:ascii="宋体" w:hAnsi="宋体" w:cs="仿宋_GB2312"/>
          <w:color w:val="auto"/>
          <w:szCs w:val="21"/>
          <w:highlight w:val="none"/>
        </w:rPr>
      </w:pPr>
      <w:r>
        <w:rPr>
          <w:rFonts w:hint="eastAsia" w:ascii="宋体" w:hAnsi="宋体" w:cs="仿宋_GB2312"/>
          <w:color w:val="auto"/>
          <w:szCs w:val="21"/>
          <w:highlight w:val="none"/>
        </w:rPr>
        <w:t>乙      方：</w:t>
      </w:r>
    </w:p>
    <w:p>
      <w:pPr>
        <w:snapToGrid w:val="0"/>
        <w:spacing w:line="520" w:lineRule="exact"/>
        <w:rPr>
          <w:rFonts w:ascii="宋体" w:hAnsi="宋体"/>
          <w:color w:val="auto"/>
          <w:szCs w:val="21"/>
          <w:highlight w:val="none"/>
        </w:rPr>
      </w:pPr>
      <w:r>
        <w:rPr>
          <w:rFonts w:hint="eastAsia" w:ascii="宋体" w:hAnsi="宋体" w:cs="仿宋_GB2312"/>
          <w:color w:val="auto"/>
          <w:szCs w:val="21"/>
          <w:highlight w:val="none"/>
        </w:rPr>
        <w:t>地      址：</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丙    方（共管银行）：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地      址：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snapToGrid w:val="0"/>
        <w:spacing w:line="500" w:lineRule="atLeast"/>
        <w:ind w:left="210" w:leftChars="100" w:firstLine="210" w:firstLineChars="100"/>
        <w:rPr>
          <w:rFonts w:ascii="宋体" w:hAnsi="宋体" w:cs="仿宋_GB2312"/>
          <w:color w:val="auto"/>
          <w:szCs w:val="21"/>
          <w:highlight w:val="none"/>
        </w:rPr>
      </w:pPr>
      <w:r>
        <w:rPr>
          <w:rFonts w:hint="eastAsia" w:ascii="宋体" w:hAnsi="宋体" w:cs="仿宋_GB2312"/>
          <w:color w:val="auto"/>
          <w:szCs w:val="21"/>
          <w:highlight w:val="none"/>
        </w:rPr>
        <w:t>根据</w:t>
      </w:r>
      <w:r>
        <w:rPr>
          <w:rFonts w:hint="eastAsia" w:ascii="宋体" w:hAnsi="宋体" w:cs="仿宋_GB2312"/>
          <w:color w:val="auto"/>
          <w:szCs w:val="21"/>
          <w:highlight w:val="none"/>
          <w:u w:val="single"/>
        </w:rPr>
        <w:t xml:space="preserve"> </w:t>
      </w:r>
      <w:r>
        <w:rPr>
          <w:rFonts w:ascii="宋体" w:hAnsi="宋体" w:cs="仿宋_GB2312"/>
          <w:color w:val="auto"/>
          <w:szCs w:val="21"/>
          <w:highlight w:val="none"/>
          <w:u w:val="single"/>
        </w:rPr>
        <w:t xml:space="preserve">     </w:t>
      </w:r>
      <w:r>
        <w:rPr>
          <w:rFonts w:ascii="宋体" w:hAnsi="宋体" w:cs="仿宋_GB2312"/>
          <w:color w:val="auto"/>
          <w:szCs w:val="21"/>
          <w:highlight w:val="none"/>
        </w:rPr>
        <w:t xml:space="preserve"> </w:t>
      </w:r>
      <w:r>
        <w:rPr>
          <w:rFonts w:hint="eastAsia" w:ascii="宋体" w:hAnsi="宋体" w:cs="仿宋_GB2312"/>
          <w:color w:val="auto"/>
          <w:szCs w:val="21"/>
          <w:highlight w:val="none"/>
        </w:rPr>
        <w:t>工程的代建单位</w:t>
      </w:r>
      <w:r>
        <w:rPr>
          <w:rFonts w:hint="eastAsia" w:ascii="宋体" w:hAnsi="宋体" w:cs="仿宋_GB2312"/>
          <w:color w:val="auto"/>
          <w:szCs w:val="21"/>
          <w:highlight w:val="none"/>
          <w:u w:val="single"/>
        </w:rPr>
        <w:t xml:space="preserve"> </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rPr>
        <w:t xml:space="preserve">与乙方签署的《    施工总承包合同 》（合同编号：    </w:t>
      </w:r>
    </w:p>
    <w:p>
      <w:pPr>
        <w:snapToGrid w:val="0"/>
        <w:spacing w:line="500" w:lineRule="atLeast"/>
        <w:rPr>
          <w:rFonts w:ascii="宋体" w:hAnsi="宋体"/>
          <w:bCs/>
          <w:color w:val="auto"/>
          <w:szCs w:val="21"/>
          <w:highlight w:val="none"/>
          <w:u w:val="single"/>
        </w:rPr>
      </w:pPr>
      <w:r>
        <w:rPr>
          <w:rFonts w:hint="eastAsia" w:ascii="宋体" w:hAnsi="宋体" w:cs="仿宋_GB2312"/>
          <w:color w:val="auto"/>
          <w:szCs w:val="21"/>
          <w:highlight w:val="none"/>
        </w:rPr>
        <w:t>（以下</w:t>
      </w:r>
      <w:r>
        <w:rPr>
          <w:rFonts w:hint="eastAsia" w:ascii="宋体" w:hAnsi="宋体" w:cs="仿宋_GB2312"/>
          <w:color w:val="auto"/>
          <w:szCs w:val="21"/>
          <w:highlight w:val="none"/>
          <w:lang w:val="en-US" w:eastAsia="zh-CN"/>
        </w:rPr>
        <w:t>统</w:t>
      </w:r>
      <w:r>
        <w:rPr>
          <w:rFonts w:hint="eastAsia" w:ascii="宋体" w:hAnsi="宋体" w:cs="仿宋_GB2312"/>
          <w:color w:val="auto"/>
          <w:szCs w:val="21"/>
          <w:highlight w:val="none"/>
        </w:rPr>
        <w:t>称“《施工合同》”）。为加强和规范该施工合同下工程建设资金使用的控制管理，防范和化解资金风险，确保建设资金安全和专款专用，确保合同的顺利履行，以满足工程建设资金需要，进一步提高工程投资效益，根据《中华人民共和国民法典》、《中华人民共和国建筑法》、《人民币银行结算账户管理办法》、《</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》等有关规定，经甲、乙、丙三方在平等、自愿基础上协商一致，特订立本协议。</w:t>
      </w:r>
    </w:p>
    <w:p>
      <w:pPr>
        <w:rPr>
          <w:rFonts w:ascii="宋体" w:hAnsi="宋体" w:cs="仿宋_GB2312"/>
          <w:color w:val="auto"/>
          <w:szCs w:val="21"/>
          <w:highlight w:val="none"/>
        </w:rPr>
      </w:pPr>
      <w:r>
        <w:rPr>
          <w:rFonts w:ascii="宋体" w:hAnsi="宋体" w:cs="仿宋_GB2312"/>
          <w:color w:val="auto"/>
          <w:szCs w:val="21"/>
          <w:highlight w:val="none"/>
        </w:rPr>
        <w:t xml:space="preserve">    </w:t>
      </w:r>
    </w:p>
    <w:p>
      <w:pPr>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第一条 共管资金及共管账户</w:t>
      </w:r>
    </w:p>
    <w:p>
      <w:pPr>
        <w:spacing w:line="500" w:lineRule="exact"/>
        <w:ind w:left="0"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共管资金：指依据《施工合同》及《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相关约定，甲、乙、丙三方约定共同管理在本协议有效期内转入共管账户的专项资金，且委托丙方对共管资金进行保管，并遵循专款专用原则，在符合约定划款程序的情况下按甲、乙双方的指令要求进行资金的使用划转。</w:t>
      </w:r>
    </w:p>
    <w:p>
      <w:pPr>
        <w:numPr>
          <w:ilvl w:val="0"/>
          <w:numId w:val="8"/>
        </w:numPr>
        <w:spacing w:line="500" w:lineRule="exact"/>
        <w:ind w:left="0" w:firstLine="298" w:firstLineChars="142"/>
        <w:rPr>
          <w:rFonts w:ascii="宋体" w:hAnsi="宋体" w:cs="仿宋_GB2312"/>
          <w:color w:val="auto"/>
          <w:szCs w:val="21"/>
          <w:highlight w:val="none"/>
        </w:rPr>
      </w:pPr>
      <w:r>
        <w:rPr>
          <w:rFonts w:hint="eastAsia" w:ascii="宋体" w:hAnsi="宋体" w:cs="仿宋_GB2312"/>
          <w:color w:val="auto"/>
          <w:szCs w:val="21"/>
          <w:highlight w:val="none"/>
        </w:rPr>
        <w:t>共管账户：乙方应在本协议签订之日起五个工作日内，持本协议及其他开户资料在</w:t>
      </w:r>
      <w:r>
        <w:rPr>
          <w:rFonts w:hint="eastAsia" w:ascii="宋体" w:hAnsi="宋体" w:cs="仿宋_GB2312"/>
          <w:color w:val="auto"/>
          <w:szCs w:val="21"/>
          <w:highlight w:val="none"/>
          <w:u w:val="single"/>
        </w:rPr>
        <w:t>丙方辖区内分支机构开立资金共管账户，</w:t>
      </w:r>
      <w:r>
        <w:rPr>
          <w:rFonts w:hint="eastAsia" w:ascii="宋体" w:hAnsi="宋体" w:cs="仿宋_GB2312"/>
          <w:color w:val="auto"/>
          <w:szCs w:val="21"/>
          <w:highlight w:val="none"/>
        </w:rPr>
        <w:t>用于共管资金的转入及划转。</w:t>
      </w:r>
    </w:p>
    <w:p>
      <w:pPr>
        <w:numPr>
          <w:ilvl w:val="0"/>
          <w:numId w:val="8"/>
        </w:numPr>
        <w:spacing w:line="500" w:lineRule="exact"/>
        <w:ind w:left="0" w:firstLine="298" w:firstLineChars="142"/>
        <w:rPr>
          <w:rFonts w:ascii="宋体" w:hAnsi="宋体" w:cs="仿宋_GB2312"/>
          <w:color w:val="auto"/>
          <w:szCs w:val="21"/>
          <w:highlight w:val="none"/>
        </w:rPr>
      </w:pPr>
      <w:r>
        <w:rPr>
          <w:rFonts w:hint="eastAsia" w:ascii="宋体" w:hAnsi="宋体" w:cs="仿宋_GB2312"/>
          <w:color w:val="auto"/>
          <w:szCs w:val="21"/>
          <w:highlight w:val="none"/>
        </w:rPr>
        <w:t>该账户仅限于本协议约定之专项资金的共管和清算使用，不得用于除此之外的其它任何活动。共管账户由丙方管理，账户资金不得提现、通兑及透支，仅可开通查询版网银。</w:t>
      </w:r>
    </w:p>
    <w:p>
      <w:pPr>
        <w:ind w:firstLine="420" w:firstLineChars="200"/>
        <w:rPr>
          <w:rFonts w:ascii="宋体" w:hAnsi="宋体" w:cs="仿宋_GB2312"/>
          <w:color w:val="auto"/>
          <w:szCs w:val="21"/>
          <w:highlight w:val="none"/>
        </w:rPr>
      </w:pPr>
    </w:p>
    <w:p>
      <w:pPr>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第二条 合同各方的权利与义务</w:t>
      </w:r>
    </w:p>
    <w:p>
      <w:pPr>
        <w:spacing w:line="500" w:lineRule="exact"/>
        <w:ind w:left="1"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甲方的权利与义务</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1）本协议约定之共管资金，甲方划拨至本协议约定的共管账户。甲方有权审核乙方提出的共管账户资金的《用款申请书》（格式见附件一）、《管理人员工资发放明细表》（含经乙方盖章核实的上期实际支付及本期支付计划）（格式见附件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》规定的其他所需材料，并出具《共管账户划款通知书》（格式见附件三）；</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（2）甲方向丙方提交预留关于《共管账户划款通知》中的印鉴样式。</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（3）</w:t>
      </w:r>
      <w:r>
        <w:rPr>
          <w:rFonts w:hint="eastAsia" w:ascii="宋体" w:hAnsi="宋体" w:cs="仿宋_GB2312"/>
          <w:color w:val="auto"/>
          <w:szCs w:val="21"/>
          <w:highlight w:val="none"/>
        </w:rPr>
        <w:t>甲方有权按本协议约定查阅该共管账户的收支情况；甲方有权依本协议要求乙方提供资金流向支付凭证（包括但不仅限于合同、发票、采购清单等）和银行存款日记账等，要求丙方提供该账户余额、流水等信息。</w:t>
      </w:r>
    </w:p>
    <w:p>
      <w:pPr>
        <w:spacing w:line="500" w:lineRule="exact"/>
        <w:ind w:left="1"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2. </w:t>
      </w:r>
      <w:r>
        <w:rPr>
          <w:rFonts w:hint="eastAsia" w:ascii="宋体" w:hAnsi="宋体" w:cs="仿宋_GB2312"/>
          <w:color w:val="auto"/>
          <w:szCs w:val="21"/>
          <w:highlight w:val="none"/>
        </w:rPr>
        <w:t>乙方的权利与义务</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1</w:t>
      </w:r>
      <w:r>
        <w:rPr>
          <w:rFonts w:hint="eastAsia" w:ascii="宋体" w:hAnsi="宋体" w:cs="仿宋_GB2312"/>
          <w:color w:val="auto"/>
          <w:szCs w:val="21"/>
          <w:highlight w:val="none"/>
        </w:rPr>
        <w:t>）乙方依据本协议约定向甲方提交《用款申请书》（格式见附件一）、《管理人员工资发放明细表》（含经乙方盖章核实的上期实际支付及本期支付计划）（格式见附件二）及相关文件凭证，相关材料必须真实、准确、合法；</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2</w:t>
      </w:r>
      <w:r>
        <w:rPr>
          <w:rFonts w:hint="eastAsia" w:ascii="宋体" w:hAnsi="宋体" w:cs="仿宋_GB2312"/>
          <w:color w:val="auto"/>
          <w:szCs w:val="21"/>
          <w:highlight w:val="none"/>
        </w:rPr>
        <w:t>）按照专款专用的原则使用共管资金，不得将资金挪作他用，未经甲方同意不得转入乙方其他银行账户。乙方接受甲方对共管资金使用情况的检查和监督，接受丙方对共管资金支出的监督；</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（3）向丙方支付共管资金划转所产生的业务手续费。</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（4）乙方应向丙方留存其预留印鉴样式。</w:t>
      </w:r>
    </w:p>
    <w:p>
      <w:pPr>
        <w:spacing w:line="500" w:lineRule="exact"/>
        <w:ind w:firstLine="422" w:firstLineChars="200"/>
        <w:rPr>
          <w:rFonts w:ascii="宋体" w:hAnsi="宋体" w:cs="仿宋_GB2312"/>
          <w:b/>
          <w:bCs/>
          <w:color w:val="auto"/>
          <w:szCs w:val="21"/>
          <w:highlight w:val="none"/>
        </w:rPr>
      </w:pPr>
      <w:r>
        <w:rPr>
          <w:rFonts w:hint="eastAsia" w:ascii="宋体" w:hAnsi="宋体" w:cs="仿宋_GB2312"/>
          <w:b/>
          <w:bCs/>
          <w:color w:val="auto"/>
          <w:szCs w:val="21"/>
          <w:highlight w:val="none"/>
        </w:rPr>
        <w:t>（5）区相关职能部门要求乙方退回预付款的，乙方同意按甲方通知的时间全额退回预付款项给甲方，乙方逾期退款的，对因此造成的损失甲方有权向乙方索赔。</w:t>
      </w:r>
    </w:p>
    <w:p>
      <w:pPr>
        <w:spacing w:line="500" w:lineRule="exact"/>
        <w:ind w:left="1" w:firstLine="298" w:firstLineChars="142"/>
        <w:rPr>
          <w:rFonts w:ascii="宋体" w:hAnsi="宋体" w:cs="仿宋_GB2312"/>
          <w:color w:val="auto"/>
          <w:szCs w:val="21"/>
          <w:highlight w:val="none"/>
        </w:rPr>
      </w:pPr>
    </w:p>
    <w:p>
      <w:pPr>
        <w:spacing w:line="500" w:lineRule="exact"/>
        <w:ind w:left="1" w:firstLine="403" w:firstLineChars="192"/>
        <w:rPr>
          <w:rFonts w:ascii="宋体" w:hAnsi="宋体" w:cs="仿宋_GB2312"/>
          <w:color w:val="auto"/>
          <w:szCs w:val="21"/>
          <w:highlight w:val="none"/>
        </w:rPr>
      </w:pPr>
      <w:r>
        <w:rPr>
          <w:rFonts w:hint="eastAsia" w:ascii="宋体" w:hAnsi="宋体" w:cs="仿宋_GB2312"/>
          <w:color w:val="auto"/>
          <w:szCs w:val="21"/>
          <w:highlight w:val="none"/>
        </w:rPr>
        <w:t>3.丙方权利与义务</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（1）依法为乙方开立工程款共管账户，</w:t>
      </w:r>
      <w:r>
        <w:rPr>
          <w:rFonts w:ascii="宋体" w:hAnsi="宋体" w:cs="仿宋_GB2312"/>
          <w:color w:val="auto"/>
          <w:szCs w:val="21"/>
          <w:highlight w:val="none"/>
        </w:rPr>
        <w:t>提供便捷有效的银行业务服务，</w:t>
      </w:r>
      <w:r>
        <w:rPr>
          <w:rFonts w:hint="eastAsia" w:ascii="宋体" w:hAnsi="宋体" w:cs="仿宋_GB2312"/>
          <w:color w:val="auto"/>
          <w:szCs w:val="21"/>
          <w:highlight w:val="none"/>
        </w:rPr>
        <w:t xml:space="preserve">保管共管资金，确保资金安全。在没有征得甲乙双方同意情况下 ，丙方不得擅自以任何方式向乙方上级管理单位归集资金，如丙方擅自向乙方上级管理单位归集资金，视同丙方违规处理，对因此造成的损失甲乙双方有权向丙方索赔。 </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（2）协助甲方审核用款申请文件，并出具意见。</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（3）对《用款申请书》、《共管资金划款通知书》等文件和预留印鉴进行一致性形式性的审查，并按约定将共管资金划入收款方。</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第三条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共管资金的使用</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共管资金指定用途为</w:t>
      </w:r>
      <w:r>
        <w:rPr>
          <w:rFonts w:hint="eastAsia" w:ascii="宋体" w:hAnsi="宋体"/>
          <w:bCs/>
          <w:color w:val="auto"/>
          <w:szCs w:val="21"/>
          <w:highlight w:val="none"/>
        </w:rPr>
        <w:t>《施工合同》</w:t>
      </w:r>
      <w:r>
        <w:rPr>
          <w:rFonts w:hint="eastAsia" w:ascii="宋体" w:hAnsi="宋体" w:cs="仿宋_GB2312"/>
          <w:color w:val="auto"/>
          <w:szCs w:val="21"/>
          <w:highlight w:val="none"/>
        </w:rPr>
        <w:t>工程实施支出；</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2.乙方申请支付共管资金，应在用款前按《</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》规定，向甲、丙方提交《用款申请书》（格式见附件一）和《管理人员工资发放明细表》（含经乙方盖章核实的上期实际支付及本期支付计划）（格式见附件二）及《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的其他资料。甲方应在预付款审批完成且双方确认金额和达成一致意见后5个工作日内出具《共管资金划款通知书》给乙方，由乙方送丙方柜台办理付款手续。《用款申请书》应正确清楚地列明收取托管资金的收款账户，乙方应自行承担因提供账户错误信息导致资金划转延误或发生损失的后果；</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3. 甲、丙方根据乙方提出的用款申请进行审核，如因乙方指令不合规或者提供的其它支付证明材料未符合甲、丙方要求，甲方有权拒绝支付；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4. 丙方对乙方提供的经甲方审核同意的《用款申请书》、《共管账户划款通知书》以及约定的其它相关支付证明文件进行一致性形式性的审查。审查通过后，将共管账户中的资金划转至乙方申请并经甲方审核同意的指定账户；</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5. 乙方办理共管资金支付每一笔款项，仅可通过丙方柜台转账方式，不能通过他行进行提出票处理，如未能遵守该约定造成损失及不良影响，则乙方自行承担。</w:t>
      </w:r>
    </w:p>
    <w:p>
      <w:pPr>
        <w:spacing w:line="500" w:lineRule="exact"/>
        <w:ind w:firstLine="315" w:firstLineChars="150"/>
        <w:rPr>
          <w:rFonts w:ascii="宋体" w:hAnsi="宋体" w:cs="仿宋_GB2312"/>
          <w:color w:val="auto"/>
          <w:szCs w:val="21"/>
          <w:highlight w:val="none"/>
        </w:rPr>
      </w:pP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第四条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共管资金的拒付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具备下列情形之一的，丙方有权拒绝乙方从共管账户划款的请求，由此造成的后果由乙方承担：</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1.</w:t>
      </w:r>
      <w:r>
        <w:rPr>
          <w:rFonts w:hint="eastAsia" w:ascii="宋体" w:hAnsi="宋体" w:cs="仿宋_GB2312"/>
          <w:color w:val="auto"/>
          <w:szCs w:val="21"/>
          <w:highlight w:val="none"/>
        </w:rPr>
        <w:t>《用款申请书》付款金额超出共管资金余额；</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2.</w:t>
      </w:r>
      <w:r>
        <w:rPr>
          <w:rFonts w:hint="eastAsia" w:ascii="宋体" w:hAnsi="宋体" w:cs="仿宋_GB2312"/>
          <w:color w:val="auto"/>
          <w:szCs w:val="21"/>
          <w:highlight w:val="none"/>
        </w:rPr>
        <w:t>乙方提交的资料或证明文件不符合法律法规规定和本协议约定；</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3.</w:t>
      </w:r>
      <w:r>
        <w:rPr>
          <w:rFonts w:hint="eastAsia" w:ascii="宋体" w:hAnsi="宋体" w:cs="仿宋_GB2312"/>
          <w:color w:val="auto"/>
          <w:szCs w:val="21"/>
          <w:highlight w:val="none"/>
        </w:rPr>
        <w:t>乙方应经甲、丙方等相关方同意而未经相关方出具同意意见或资金用途不符合相关约定或共管要求；</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 xml:space="preserve"> 4.收款方与本工程项目没有直接的联系，与实际的施工方和材料的供应商不一致。</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5.乙方提供的《用款申请书》与甲方出具的《共管账户划款通知书》所载内容不一致。</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第</w:t>
      </w:r>
      <w:r>
        <w:rPr>
          <w:rFonts w:hint="eastAsia" w:ascii="宋体" w:hAnsi="宋体" w:cs="仿宋_GB2312"/>
          <w:color w:val="auto"/>
          <w:szCs w:val="21"/>
          <w:highlight w:val="none"/>
        </w:rPr>
        <w:t>五</w:t>
      </w:r>
      <w:r>
        <w:rPr>
          <w:rFonts w:ascii="宋体" w:hAnsi="宋体" w:cs="仿宋_GB2312"/>
          <w:color w:val="auto"/>
          <w:szCs w:val="21"/>
          <w:highlight w:val="none"/>
        </w:rPr>
        <w:t>条</w:t>
      </w:r>
      <w:r>
        <w:rPr>
          <w:rFonts w:hint="eastAsia" w:ascii="宋体" w:hAnsi="宋体" w:cs="仿宋_GB2312"/>
          <w:color w:val="auto"/>
          <w:szCs w:val="21"/>
          <w:highlight w:val="none"/>
        </w:rPr>
        <w:t xml:space="preserve">  共管资金的冻结和止付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1.本协议生效之日起，甲方</w:t>
      </w:r>
      <w:r>
        <w:rPr>
          <w:rFonts w:ascii="宋体" w:hAnsi="宋体" w:cs="仿宋_GB2312"/>
          <w:color w:val="auto"/>
          <w:szCs w:val="21"/>
          <w:highlight w:val="none"/>
        </w:rPr>
        <w:t>发现乙方将本项目资金挪用、转移或资金流向异常时，</w:t>
      </w:r>
      <w:r>
        <w:rPr>
          <w:rFonts w:hint="eastAsia" w:ascii="宋体" w:hAnsi="宋体" w:cs="仿宋_GB2312"/>
          <w:color w:val="auto"/>
          <w:szCs w:val="21"/>
          <w:highlight w:val="none"/>
        </w:rPr>
        <w:t>有权授权丙方在共管期间中止支付共管账户资金，直至乙方改正为止。</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2.共管账户资金只用于向乙方支付本协议中涉及的款项或退款，不得用于其他用途。</w:t>
      </w:r>
    </w:p>
    <w:p>
      <w:pPr>
        <w:spacing w:line="500" w:lineRule="exact"/>
        <w:ind w:left="567"/>
        <w:rPr>
          <w:rFonts w:ascii="宋体" w:hAnsi="宋体" w:cs="仿宋_GB2312"/>
          <w:color w:val="auto"/>
          <w:szCs w:val="21"/>
          <w:highlight w:val="none"/>
        </w:rPr>
      </w:pPr>
      <w:r>
        <w:rPr>
          <w:rFonts w:hint="eastAsia" w:ascii="宋体" w:hAnsi="宋体" w:cs="仿宋_GB2312"/>
          <w:color w:val="auto"/>
          <w:szCs w:val="21"/>
          <w:highlight w:val="none"/>
        </w:rPr>
        <w:t>第六条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共管期间及协议终止</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共管期间为共管资金转入共管账户直至《施工合同》工程预付款抵扣完毕止。甲、乙、丙三方可协商缩短或延展共管期间或提前终止共管，但须达成书面补充协议。</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第七条  违约责任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甲、乙、丙三方均应遵守并履行本协议约定的义务与责任，不得设置任何妨碍其他各方履行本协议的事实上或法律上的障碍，任何一方违反本协议的约定，应承担由此造成相应的经济损失的赔偿责任。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第八条</w:t>
      </w:r>
      <w:r>
        <w:rPr>
          <w:rFonts w:ascii="宋体" w:hAnsi="宋体" w:cs="仿宋_GB2312"/>
          <w:color w:val="auto"/>
          <w:szCs w:val="21"/>
          <w:highlight w:val="none"/>
        </w:rPr>
        <w:t xml:space="preserve">  </w:t>
      </w:r>
      <w:r>
        <w:rPr>
          <w:rFonts w:hint="eastAsia" w:ascii="宋体" w:hAnsi="宋体" w:cs="仿宋_GB2312"/>
          <w:color w:val="auto"/>
          <w:szCs w:val="21"/>
          <w:highlight w:val="none"/>
        </w:rPr>
        <w:t>特别声明</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1.</w:t>
      </w:r>
      <w:r>
        <w:rPr>
          <w:rFonts w:hint="eastAsia" w:ascii="宋体" w:hAnsi="宋体" w:cs="仿宋_GB2312"/>
          <w:color w:val="auto"/>
          <w:szCs w:val="21"/>
          <w:highlight w:val="none"/>
        </w:rPr>
        <w:t>乙方与其交易对象在签订和履行交易合同过程中出现任何问题和纠纷，均应自行协商或通过法律途径解决；</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2.</w:t>
      </w:r>
      <w:r>
        <w:rPr>
          <w:rFonts w:hint="eastAsia" w:ascii="宋体" w:hAnsi="宋体" w:cs="仿宋_GB2312"/>
          <w:color w:val="auto"/>
          <w:szCs w:val="21"/>
          <w:highlight w:val="none"/>
        </w:rPr>
        <w:t xml:space="preserve"> 因国家政策或相关法律法规限制，或者共管资金在由丙方保管期间被有权机关托管、查封、止付、冻结、扣划，或存在其他情况，致使资金无法按协议约定划转的，甲方及（或）丙方不承担任何法律责任；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3. 乙方承诺并保证共管资金的用途合法，乙方与其交易对象所从事的任何与本协议相关的活动均应符合法律法规，因违反法律法规并给甲方及（或）丙方造成任何损失的，应对甲方及（或）丙方的损失承担赔偿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4</w:t>
      </w:r>
      <w:r>
        <w:rPr>
          <w:rFonts w:ascii="宋体" w:hAnsi="宋体" w:cs="仿宋_GB2312"/>
          <w:color w:val="auto"/>
          <w:szCs w:val="21"/>
          <w:highlight w:val="none"/>
        </w:rPr>
        <w:t>.</w:t>
      </w:r>
      <w:r>
        <w:rPr>
          <w:rFonts w:hint="eastAsia" w:ascii="宋体" w:hAnsi="宋体" w:cs="仿宋_GB2312"/>
          <w:color w:val="auto"/>
          <w:szCs w:val="21"/>
          <w:highlight w:val="none"/>
        </w:rPr>
        <w:t xml:space="preserve"> 除法律、法规规定，以及因本项目专项资金共管业务的需要和三方特别约定外，未经三方一致同意，任何一方不得向外提供涉及三方商业秘密的资料。</w:t>
      </w:r>
    </w:p>
    <w:p>
      <w:pPr>
        <w:adjustRightInd w:val="0"/>
        <w:snapToGrid w:val="0"/>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第九条</w:t>
      </w:r>
      <w:r>
        <w:rPr>
          <w:rFonts w:ascii="宋体" w:hAnsi="宋体" w:cs="仿宋_GB2312"/>
          <w:color w:val="auto"/>
          <w:szCs w:val="21"/>
          <w:highlight w:val="none"/>
        </w:rPr>
        <w:t xml:space="preserve">  </w:t>
      </w:r>
      <w:r>
        <w:rPr>
          <w:rFonts w:hint="eastAsia" w:ascii="宋体" w:hAnsi="宋体" w:cs="仿宋_GB2312"/>
          <w:color w:val="auto"/>
          <w:szCs w:val="21"/>
          <w:highlight w:val="none"/>
        </w:rPr>
        <w:t>争议解决</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本协议在履行过程中需对协议进行修订、或需解除本协议时，均须三方协商一致，并达成书面协议。书面协议达成之前，不影响本协议条款效力。</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本协议未尽事宜，由三方协商解决，未能友好协商解决的，任何一方均有权向甲方所在地人民法院提起诉讼。</w:t>
      </w:r>
    </w:p>
    <w:p>
      <w:pPr>
        <w:adjustRightInd w:val="0"/>
        <w:snapToGrid w:val="0"/>
        <w:spacing w:line="500" w:lineRule="exact"/>
        <w:ind w:firstLine="310" w:firstLineChars="148"/>
        <w:rPr>
          <w:rFonts w:ascii="宋体" w:hAnsi="宋体" w:cs="仿宋_GB2312"/>
          <w:color w:val="auto"/>
          <w:szCs w:val="21"/>
          <w:highlight w:val="none"/>
        </w:rPr>
      </w:pPr>
      <w:r>
        <w:rPr>
          <w:rFonts w:hint="eastAsia" w:ascii="宋体" w:hAnsi="宋体" w:cs="仿宋_GB2312"/>
          <w:color w:val="auto"/>
          <w:szCs w:val="21"/>
          <w:highlight w:val="none"/>
        </w:rPr>
        <w:t>第十条 本协议的生效</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本协议自甲、乙、丙三方法定代表人（或负责人）或其授权代理人签字并加盖公章之日起生效。</w:t>
      </w:r>
    </w:p>
    <w:p>
      <w:pPr>
        <w:spacing w:line="500" w:lineRule="exact"/>
        <w:ind w:left="602"/>
        <w:rPr>
          <w:rFonts w:ascii="宋体" w:hAnsi="宋体" w:cs="仿宋_GB2312"/>
          <w:color w:val="auto"/>
          <w:szCs w:val="21"/>
          <w:highlight w:val="none"/>
        </w:rPr>
      </w:pPr>
      <w:r>
        <w:rPr>
          <w:rFonts w:hint="eastAsia" w:ascii="宋体" w:hAnsi="宋体" w:cs="仿宋_GB2312"/>
          <w:color w:val="auto"/>
          <w:szCs w:val="21"/>
          <w:highlight w:val="none"/>
        </w:rPr>
        <w:t>第十一条 附则</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本协议一式捌份，甲方执肆份，乙方、丙方各执贰份，具有同等法律效力。</w:t>
      </w:r>
    </w:p>
    <w:p>
      <w:pPr>
        <w:ind w:firstLine="420" w:firstLineChars="200"/>
        <w:rPr>
          <w:rFonts w:ascii="宋体" w:hAnsi="宋体" w:cs="仿宋_GB2312"/>
          <w:color w:val="auto"/>
          <w:szCs w:val="21"/>
          <w:highlight w:val="none"/>
        </w:rPr>
      </w:pP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附件:</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一、《用款申请书》;</w:t>
      </w:r>
    </w:p>
    <w:p>
      <w:pPr>
        <w:spacing w:line="480" w:lineRule="auto"/>
        <w:ind w:firstLine="420" w:firstLineChars="200"/>
        <w:rPr>
          <w:rFonts w:ascii="宋体" w:hAnsi="宋体" w:cs="仿宋_GB2312"/>
          <w:b/>
          <w:bCs/>
          <w:color w:val="auto"/>
          <w:szCs w:val="21"/>
          <w:highlight w:val="none"/>
        </w:rPr>
      </w:pPr>
      <w:r>
        <w:rPr>
          <w:rFonts w:hint="eastAsia" w:ascii="宋体" w:hAnsi="宋体" w:cs="仿宋_GB2312"/>
          <w:color w:val="auto"/>
          <w:szCs w:val="21"/>
          <w:highlight w:val="none"/>
        </w:rPr>
        <w:t>二、《上期实际发放管理人员工资明细表》、《本期计划发放管理人员工资明细表</w:t>
      </w:r>
      <w:r>
        <w:rPr>
          <w:rFonts w:hint="eastAsia" w:ascii="宋体" w:hAnsi="宋体" w:cs="仿宋_GB2312"/>
          <w:b/>
          <w:bCs/>
          <w:color w:val="auto"/>
          <w:szCs w:val="21"/>
          <w:highlight w:val="none"/>
        </w:rPr>
        <w:t>》;</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三、《共管账户划款通知书》;</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四、项目资金支付审批流程概览;</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五、《共管工程预付款使用监管办法》</w:t>
      </w:r>
    </w:p>
    <w:p>
      <w:pPr>
        <w:rPr>
          <w:rFonts w:ascii="宋体" w:hAnsi="宋体" w:cs="仿宋_GB2312"/>
          <w:color w:val="auto"/>
          <w:szCs w:val="21"/>
          <w:highlight w:val="none"/>
        </w:rPr>
      </w:pPr>
      <w:r>
        <w:rPr>
          <w:rFonts w:ascii="宋体" w:hAnsi="宋体" w:cs="仿宋_GB2312"/>
          <w:color w:val="auto"/>
          <w:szCs w:val="21"/>
          <w:highlight w:val="none"/>
        </w:rPr>
        <w:t>以下无正文</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甲方（盖公章）：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p>
    <w:p>
      <w:pPr>
        <w:rPr>
          <w:rFonts w:ascii="宋体" w:hAnsi="宋体" w:cs="仿宋_GB2312"/>
          <w:color w:val="auto"/>
          <w:szCs w:val="21"/>
          <w:highlight w:val="none"/>
        </w:rPr>
      </w:pPr>
    </w:p>
    <w:p>
      <w:pPr>
        <w:ind w:right="-867" w:rightChars="-413"/>
        <w:rPr>
          <w:rFonts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ascii="宋体" w:hAnsi="宋体" w:cs="仿宋_GB2312"/>
          <w:color w:val="auto"/>
          <w:szCs w:val="21"/>
          <w:highlight w:val="none"/>
        </w:rPr>
      </w:pPr>
      <w:r>
        <w:rPr>
          <w:rFonts w:hint="eastAsia" w:ascii="宋体" w:hAnsi="宋体" w:cs="仿宋_GB2312"/>
          <w:color w:val="auto"/>
          <w:szCs w:val="21"/>
          <w:highlight w:val="none"/>
        </w:rPr>
        <w:t>乙方（盖公章）：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p>
    <w:p>
      <w:pPr>
        <w:rPr>
          <w:rFonts w:ascii="宋体" w:hAnsi="宋体" w:cs="仿宋_GB2312"/>
          <w:color w:val="auto"/>
          <w:szCs w:val="21"/>
          <w:highlight w:val="none"/>
        </w:rPr>
      </w:pPr>
    </w:p>
    <w:p>
      <w:pPr>
        <w:ind w:right="-867" w:rightChars="-413"/>
        <w:rPr>
          <w:rFonts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ascii="宋体" w:hAnsi="宋体" w:cs="仿宋_GB2312"/>
          <w:color w:val="auto"/>
          <w:szCs w:val="21"/>
          <w:highlight w:val="none"/>
        </w:rPr>
      </w:pPr>
      <w:r>
        <w:rPr>
          <w:rFonts w:hint="eastAsia" w:ascii="宋体" w:hAnsi="宋体" w:cs="仿宋_GB2312"/>
          <w:color w:val="auto"/>
          <w:szCs w:val="21"/>
          <w:highlight w:val="none"/>
        </w:rPr>
        <w:t>丙方（盖公章）：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sectPr>
          <w:headerReference r:id="rId16" w:type="default"/>
          <w:footerReference r:id="rId17" w:type="default"/>
          <w:pgSz w:w="11907" w:h="16840"/>
          <w:pgMar w:top="1134" w:right="1418" w:bottom="1134" w:left="1418" w:header="851" w:footer="992" w:gutter="0"/>
          <w:pgNumType w:fmt="decimal"/>
          <w:cols w:space="720" w:num="1"/>
          <w:docGrid w:linePitch="312" w:charSpace="0"/>
        </w:sect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bookmarkStart w:id="164" w:name="_Toc101777645"/>
      <w:bookmarkStart w:id="165" w:name="_Toc447620668"/>
      <w:bookmarkStart w:id="166" w:name="_Toc85854822"/>
    </w:p>
    <w:bookmarkEnd w:id="164"/>
    <w:bookmarkEnd w:id="165"/>
    <w:bookmarkEnd w:id="166"/>
    <w:tbl>
      <w:tblPr>
        <w:tblStyle w:val="49"/>
        <w:tblW w:w="5000" w:type="pct"/>
        <w:jc w:val="center"/>
        <w:tblLayout w:type="autofit"/>
        <w:tblCellMar>
          <w:top w:w="0" w:type="dxa"/>
          <w:left w:w="108" w:type="dxa"/>
          <w:bottom w:w="0" w:type="dxa"/>
          <w:right w:w="108" w:type="dxa"/>
        </w:tblCellMar>
      </w:tblPr>
      <w:tblGrid>
        <w:gridCol w:w="450"/>
        <w:gridCol w:w="859"/>
        <w:gridCol w:w="499"/>
        <w:gridCol w:w="921"/>
        <w:gridCol w:w="391"/>
        <w:gridCol w:w="493"/>
        <w:gridCol w:w="167"/>
        <w:gridCol w:w="284"/>
        <w:gridCol w:w="142"/>
        <w:gridCol w:w="1092"/>
        <w:gridCol w:w="272"/>
        <w:gridCol w:w="1055"/>
        <w:gridCol w:w="604"/>
        <w:gridCol w:w="1165"/>
        <w:gridCol w:w="644"/>
        <w:gridCol w:w="757"/>
        <w:gridCol w:w="37"/>
        <w:gridCol w:w="329"/>
        <w:gridCol w:w="326"/>
        <w:gridCol w:w="1293"/>
        <w:gridCol w:w="516"/>
        <w:gridCol w:w="1880"/>
      </w:tblGrid>
      <w:tr>
        <w:tblPrEx>
          <w:tblCellMar>
            <w:top w:w="0" w:type="dxa"/>
            <w:left w:w="108" w:type="dxa"/>
            <w:bottom w:w="0" w:type="dxa"/>
            <w:right w:w="108" w:type="dxa"/>
          </w:tblCellMar>
        </w:tblPrEx>
        <w:trPr>
          <w:trHeight w:val="315" w:hRule="atLeast"/>
          <w:jc w:val="center"/>
        </w:trPr>
        <w:tc>
          <w:tcPr>
            <w:tcW w:w="638" w:type="pct"/>
            <w:gridSpan w:val="3"/>
            <w:tcBorders>
              <w:top w:val="nil"/>
              <w:left w:val="nil"/>
              <w:bottom w:val="nil"/>
              <w:right w:val="nil"/>
            </w:tcBorders>
            <w:vAlign w:val="center"/>
          </w:tcPr>
          <w:p>
            <w:pPr>
              <w:widowControl/>
              <w:jc w:val="left"/>
              <w:rPr>
                <w:rFonts w:ascii="宋体" w:hAnsi="宋体" w:cs="宋体"/>
                <w:color w:val="auto"/>
                <w:highlight w:val="none"/>
              </w:rPr>
            </w:pPr>
            <w:r>
              <w:rPr>
                <w:rFonts w:hint="eastAsia" w:ascii="宋体" w:hAnsi="宋体" w:cs="宋体"/>
                <w:color w:val="auto"/>
                <w:highlight w:val="none"/>
              </w:rPr>
              <w:t>附件一：</w:t>
            </w:r>
          </w:p>
        </w:tc>
        <w:tc>
          <w:tcPr>
            <w:tcW w:w="46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23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150"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385" w:type="pct"/>
            <w:tcBorders>
              <w:top w:val="nil"/>
              <w:left w:val="nil"/>
              <w:bottom w:val="nil"/>
              <w:right w:val="nil"/>
            </w:tcBorders>
            <w:vAlign w:val="center"/>
          </w:tcPr>
          <w:p>
            <w:pPr>
              <w:widowControl/>
              <w:jc w:val="center"/>
              <w:rPr>
                <w:rFonts w:ascii="宋体" w:hAnsi="宋体" w:cs="宋体"/>
                <w:color w:val="auto"/>
                <w:highlight w:val="none"/>
              </w:rPr>
            </w:pPr>
          </w:p>
        </w:tc>
        <w:tc>
          <w:tcPr>
            <w:tcW w:w="468"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62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507" w:type="pct"/>
            <w:gridSpan w:val="3"/>
            <w:tcBorders>
              <w:top w:val="nil"/>
              <w:left w:val="nil"/>
              <w:bottom w:val="nil"/>
              <w:right w:val="nil"/>
            </w:tcBorders>
            <w:vAlign w:val="center"/>
          </w:tcPr>
          <w:p>
            <w:pPr>
              <w:widowControl/>
              <w:jc w:val="center"/>
              <w:rPr>
                <w:rFonts w:ascii="宋体" w:hAnsi="宋体" w:cs="宋体"/>
                <w:color w:val="auto"/>
                <w:highlight w:val="none"/>
              </w:rPr>
            </w:pPr>
          </w:p>
        </w:tc>
        <w:tc>
          <w:tcPr>
            <w:tcW w:w="116" w:type="pct"/>
            <w:tcBorders>
              <w:top w:val="nil"/>
              <w:left w:val="nil"/>
              <w:bottom w:val="nil"/>
              <w:right w:val="nil"/>
            </w:tcBorders>
            <w:vAlign w:val="center"/>
          </w:tcPr>
          <w:p>
            <w:pPr>
              <w:widowControl/>
              <w:jc w:val="center"/>
              <w:rPr>
                <w:rFonts w:ascii="宋体" w:hAnsi="宋体" w:cs="宋体"/>
                <w:color w:val="auto"/>
                <w:highlight w:val="none"/>
              </w:rPr>
            </w:pPr>
          </w:p>
        </w:tc>
        <w:tc>
          <w:tcPr>
            <w:tcW w:w="571"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841" w:type="pct"/>
            <w:gridSpan w:val="2"/>
            <w:tcBorders>
              <w:top w:val="nil"/>
              <w:left w:val="nil"/>
              <w:bottom w:val="nil"/>
              <w:right w:val="nil"/>
            </w:tcBorders>
            <w:vAlign w:val="center"/>
          </w:tcPr>
          <w:p>
            <w:pPr>
              <w:widowControl/>
              <w:jc w:val="center"/>
              <w:rPr>
                <w:rFonts w:ascii="宋体" w:hAnsi="宋体" w:cs="宋体"/>
                <w:color w:val="auto"/>
                <w:highlight w:val="none"/>
              </w:rPr>
            </w:pPr>
          </w:p>
        </w:tc>
      </w:tr>
      <w:tr>
        <w:tblPrEx>
          <w:tblCellMar>
            <w:top w:w="0" w:type="dxa"/>
            <w:left w:w="108" w:type="dxa"/>
            <w:bottom w:w="0" w:type="dxa"/>
            <w:right w:w="108" w:type="dxa"/>
          </w:tblCellMar>
        </w:tblPrEx>
        <w:trPr>
          <w:trHeight w:val="510" w:hRule="atLeast"/>
          <w:jc w:val="center"/>
        </w:trPr>
        <w:tc>
          <w:tcPr>
            <w:tcW w:w="5000" w:type="pct"/>
            <w:gridSpan w:val="22"/>
            <w:tcBorders>
              <w:top w:val="nil"/>
              <w:left w:val="nil"/>
              <w:bottom w:val="nil"/>
              <w:right w:val="nil"/>
            </w:tcBorders>
            <w:vAlign w:val="center"/>
          </w:tcPr>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工程</w:t>
            </w:r>
          </w:p>
        </w:tc>
      </w:tr>
      <w:tr>
        <w:tblPrEx>
          <w:tblCellMar>
            <w:top w:w="0" w:type="dxa"/>
            <w:left w:w="108" w:type="dxa"/>
            <w:bottom w:w="0" w:type="dxa"/>
            <w:right w:w="108" w:type="dxa"/>
          </w:tblCellMar>
        </w:tblPrEx>
        <w:trPr>
          <w:trHeight w:val="510" w:hRule="atLeast"/>
          <w:jc w:val="center"/>
        </w:trPr>
        <w:tc>
          <w:tcPr>
            <w:tcW w:w="5000" w:type="pct"/>
            <w:gridSpan w:val="22"/>
            <w:tcBorders>
              <w:top w:val="nil"/>
              <w:left w:val="nil"/>
              <w:bottom w:val="single" w:color="auto" w:sz="4" w:space="0"/>
              <w:right w:val="nil"/>
            </w:tcBorders>
            <w:vAlign w:val="center"/>
          </w:tcPr>
          <w:p>
            <w:pPr>
              <w:widowControl/>
              <w:rPr>
                <w:rFonts w:ascii="宋体" w:hAnsi="宋体" w:cs="宋体"/>
                <w:b/>
                <w:bCs/>
                <w:color w:val="auto"/>
                <w:sz w:val="22"/>
                <w:highlight w:val="none"/>
              </w:rPr>
            </w:pPr>
            <w:r>
              <w:rPr>
                <w:rFonts w:hint="eastAsia" w:ascii="宋体" w:hAnsi="宋体" w:cs="宋体"/>
                <w:b/>
                <w:bCs/>
                <w:color w:val="auto"/>
                <w:sz w:val="22"/>
                <w:highlight w:val="none"/>
              </w:rPr>
              <w:t>申请编号：20  年第  次申请</w:t>
            </w:r>
            <w:r>
              <w:rPr>
                <w:rFonts w:hint="eastAsia" w:ascii="宋体" w:hAnsi="宋体" w:cs="宋体"/>
                <w:b/>
                <w:bCs/>
                <w:color w:val="auto"/>
                <w:sz w:val="40"/>
                <w:szCs w:val="40"/>
                <w:highlight w:val="none"/>
              </w:rPr>
              <w:t xml:space="preserve">                  用款申请书              </w:t>
            </w:r>
            <w:r>
              <w:rPr>
                <w:rFonts w:hint="eastAsia" w:ascii="宋体" w:hAnsi="宋体" w:cs="宋体"/>
                <w:b/>
                <w:bCs/>
                <w:color w:val="auto"/>
                <w:sz w:val="22"/>
                <w:highlight w:val="none"/>
              </w:rPr>
              <w:t>申请日期：    年   月   日</w:t>
            </w:r>
          </w:p>
        </w:tc>
      </w:tr>
      <w:tr>
        <w:tblPrEx>
          <w:tblCellMar>
            <w:top w:w="0" w:type="dxa"/>
            <w:left w:w="108" w:type="dxa"/>
            <w:bottom w:w="0" w:type="dxa"/>
            <w:right w:w="108" w:type="dxa"/>
          </w:tblCellMar>
        </w:tblPrEx>
        <w:trPr>
          <w:trHeight w:val="485" w:hRule="atLeast"/>
          <w:jc w:val="center"/>
        </w:trPr>
        <w:tc>
          <w:tcPr>
            <w:tcW w:w="46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申请单位全称</w:t>
            </w:r>
          </w:p>
        </w:tc>
        <w:tc>
          <w:tcPr>
            <w:tcW w:w="972"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共管账户开户银行</w:t>
            </w:r>
          </w:p>
        </w:tc>
        <w:tc>
          <w:tcPr>
            <w:tcW w:w="1222"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共管账户银行账号</w:t>
            </w:r>
          </w:p>
        </w:tc>
        <w:tc>
          <w:tcPr>
            <w:tcW w:w="1300"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r>
      <w:tr>
        <w:tblPrEx>
          <w:tblCellMar>
            <w:top w:w="0" w:type="dxa"/>
            <w:left w:w="108" w:type="dxa"/>
            <w:bottom w:w="0" w:type="dxa"/>
            <w:right w:w="108" w:type="dxa"/>
          </w:tblCellMar>
        </w:tblPrEx>
        <w:trPr>
          <w:trHeight w:val="461" w:hRule="atLeast"/>
          <w:jc w:val="center"/>
        </w:trPr>
        <w:tc>
          <w:tcPr>
            <w:tcW w:w="638" w:type="pct"/>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本期审定应付金额（元）</w:t>
            </w:r>
          </w:p>
        </w:tc>
        <w:tc>
          <w:tcPr>
            <w:tcW w:w="796" w:type="pct"/>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共管帐户余额（元）</w:t>
            </w:r>
          </w:p>
        </w:tc>
        <w:tc>
          <w:tcPr>
            <w:tcW w:w="1222"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149"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本次支付后共管账户余额（元）</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81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用款单位</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用款单位开户银行和账号</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            编号</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合同名称</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合同或结算金额（元）</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本次申请划款金额（元）</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划款用途</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至本次止累计划款（元）</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备注</w:t>
            </w:r>
          </w:p>
        </w:tc>
      </w:tr>
      <w:tr>
        <w:tblPrEx>
          <w:tblCellMar>
            <w:top w:w="0" w:type="dxa"/>
            <w:left w:w="108" w:type="dxa"/>
            <w:bottom w:w="0" w:type="dxa"/>
            <w:right w:w="108" w:type="dxa"/>
          </w:tblCellMar>
        </w:tblPrEx>
        <w:trPr>
          <w:trHeight w:val="463"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工程建设费用</w:t>
            </w:r>
          </w:p>
        </w:tc>
      </w:tr>
      <w:tr>
        <w:tblPrEx>
          <w:tblCellMar>
            <w:top w:w="0" w:type="dxa"/>
            <w:left w:w="108" w:type="dxa"/>
            <w:bottom w:w="0" w:type="dxa"/>
            <w:right w:w="108" w:type="dxa"/>
          </w:tblCellMar>
        </w:tblPrEx>
        <w:trPr>
          <w:trHeight w:val="452"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一</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专业分包工程款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89"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二</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大型设备、大宗材料款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453"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三</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劳务班组费用款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615"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四</w:t>
            </w:r>
          </w:p>
        </w:tc>
        <w:tc>
          <w:tcPr>
            <w:tcW w:w="4178" w:type="pct"/>
            <w:gridSpan w:val="20"/>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一般材料费用、管理费、税金及其他费用</w:t>
            </w:r>
          </w:p>
        </w:tc>
        <w:tc>
          <w:tcPr>
            <w:tcW w:w="662" w:type="pct"/>
            <w:tcBorders>
              <w:top w:val="nil"/>
              <w:left w:val="nil"/>
              <w:bottom w:val="single" w:color="auto" w:sz="4" w:space="0"/>
              <w:right w:val="single" w:color="auto"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原则上不超过申请款的30%</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auto"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2550" w:type="pct"/>
            <w:gridSpan w:val="13"/>
            <w:tcBorders>
              <w:top w:val="single" w:color="auto" w:sz="4" w:space="0"/>
              <w:left w:val="single" w:color="auto" w:sz="4" w:space="0"/>
              <w:bottom w:val="single" w:color="auto" w:sz="4" w:space="0"/>
              <w:right w:val="single" w:color="auto" w:sz="4" w:space="0"/>
            </w:tcBorders>
            <w:shd w:val="clear" w:color="auto" w:fill="FFFF99"/>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本次申请划款合计（元）</w:t>
            </w:r>
          </w:p>
        </w:tc>
        <w:tc>
          <w:tcPr>
            <w:tcW w:w="638" w:type="pct"/>
            <w:gridSpan w:val="2"/>
            <w:tcBorders>
              <w:top w:val="nil"/>
              <w:left w:val="nil"/>
              <w:bottom w:val="single" w:color="auto" w:sz="4" w:space="0"/>
              <w:right w:val="single" w:color="auto" w:sz="4" w:space="0"/>
            </w:tcBorders>
            <w:shd w:val="clear" w:color="auto" w:fill="FFFF99"/>
            <w:vAlign w:val="center"/>
          </w:tcPr>
          <w:p>
            <w:pPr>
              <w:widowControl/>
              <w:jc w:val="center"/>
              <w:rPr>
                <w:rFonts w:ascii="宋体" w:hAnsi="宋体" w:cs="宋体"/>
                <w:b/>
                <w:bCs/>
                <w:color w:val="auto"/>
                <w:sz w:val="22"/>
                <w:highlight w:val="none"/>
                <w:u w:val="single"/>
              </w:rPr>
            </w:pPr>
            <w:r>
              <w:rPr>
                <w:rFonts w:hint="eastAsia" w:ascii="宋体" w:hAnsi="宋体" w:cs="宋体"/>
                <w:b/>
                <w:bCs/>
                <w:color w:val="auto"/>
                <w:sz w:val="22"/>
                <w:highlight w:val="none"/>
                <w:u w:val="singl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r>
      <w:tr>
        <w:tblPrEx>
          <w:tblCellMar>
            <w:top w:w="0" w:type="dxa"/>
            <w:left w:w="108" w:type="dxa"/>
            <w:bottom w:w="0" w:type="dxa"/>
            <w:right w:w="108" w:type="dxa"/>
          </w:tblCellMar>
        </w:tblPrEx>
        <w:trPr>
          <w:trHeight w:val="285" w:hRule="atLeast"/>
          <w:jc w:val="center"/>
        </w:trPr>
        <w:tc>
          <w:tcPr>
            <w:tcW w:w="963" w:type="pct"/>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申请单位经办人及手机：</w:t>
            </w:r>
          </w:p>
        </w:tc>
        <w:tc>
          <w:tcPr>
            <w:tcW w:w="1002" w:type="pct"/>
            <w:gridSpan w:val="7"/>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监理单位审核人：</w:t>
            </w:r>
          </w:p>
        </w:tc>
        <w:tc>
          <w:tcPr>
            <w:tcW w:w="1490" w:type="pct"/>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代业主单位审核人：</w:t>
            </w:r>
          </w:p>
        </w:tc>
        <w:tc>
          <w:tcPr>
            <w:tcW w:w="1543"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建设业主审核人：</w:t>
            </w:r>
          </w:p>
        </w:tc>
      </w:tr>
      <w:tr>
        <w:tblPrEx>
          <w:tblCellMar>
            <w:top w:w="0" w:type="dxa"/>
            <w:left w:w="108" w:type="dxa"/>
            <w:bottom w:w="0" w:type="dxa"/>
            <w:right w:w="108" w:type="dxa"/>
          </w:tblCellMar>
        </w:tblPrEx>
        <w:trPr>
          <w:trHeight w:val="810" w:hRule="atLeast"/>
          <w:jc w:val="center"/>
        </w:trPr>
        <w:tc>
          <w:tcPr>
            <w:tcW w:w="963" w:type="pct"/>
            <w:gridSpan w:val="4"/>
            <w:tcBorders>
              <w:top w:val="single" w:color="auto" w:sz="4" w:space="0"/>
              <w:left w:val="single" w:color="auto" w:sz="4" w:space="0"/>
              <w:bottom w:val="nil"/>
              <w:right w:val="single" w:color="000000"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　</w:t>
            </w:r>
          </w:p>
        </w:tc>
        <w:tc>
          <w:tcPr>
            <w:tcW w:w="1002" w:type="pct"/>
            <w:gridSpan w:val="7"/>
            <w:tcBorders>
              <w:top w:val="single" w:color="auto" w:sz="4" w:space="0"/>
              <w:left w:val="nil"/>
              <w:bottom w:val="nil"/>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490" w:type="pct"/>
            <w:gridSpan w:val="5"/>
            <w:vMerge w:val="restart"/>
            <w:tcBorders>
              <w:top w:val="single" w:color="auto" w:sz="4" w:space="0"/>
              <w:left w:val="nil"/>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p>
            <w:pPr>
              <w:widowControl/>
              <w:jc w:val="left"/>
              <w:rPr>
                <w:rFonts w:ascii="宋体" w:hAnsi="宋体" w:cs="宋体"/>
                <w:color w:val="auto"/>
                <w:sz w:val="22"/>
                <w:highlight w:val="none"/>
              </w:rPr>
            </w:pPr>
          </w:p>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p>
            <w:pPr>
              <w:widowControl/>
              <w:jc w:val="left"/>
              <w:rPr>
                <w:rFonts w:ascii="宋体" w:hAnsi="宋体" w:cs="宋体"/>
                <w:b/>
                <w:bCs/>
                <w:color w:val="auto"/>
                <w:sz w:val="22"/>
                <w:highlight w:val="none"/>
              </w:rPr>
            </w:pPr>
          </w:p>
          <w:p>
            <w:pPr>
              <w:widowControl/>
              <w:jc w:val="left"/>
              <w:rPr>
                <w:rFonts w:ascii="宋体" w:hAnsi="宋体" w:cs="宋体"/>
                <w:color w:val="auto"/>
                <w:sz w:val="22"/>
                <w:highlight w:val="none"/>
              </w:rPr>
            </w:pPr>
            <w:r>
              <w:rPr>
                <w:rFonts w:hint="eastAsia" w:ascii="宋体" w:hAnsi="宋体" w:cs="宋体"/>
                <w:b/>
                <w:bCs/>
                <w:color w:val="auto"/>
                <w:sz w:val="22"/>
                <w:highlight w:val="none"/>
              </w:rPr>
              <w:t>日期：  年  月  日</w:t>
            </w:r>
          </w:p>
        </w:tc>
        <w:tc>
          <w:tcPr>
            <w:tcW w:w="1543" w:type="pct"/>
            <w:gridSpan w:val="6"/>
            <w:tcBorders>
              <w:top w:val="single" w:color="auto" w:sz="4" w:space="0"/>
              <w:left w:val="nil"/>
              <w:bottom w:val="nil"/>
              <w:right w:val="single" w:color="000000"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87" w:hRule="atLeast"/>
          <w:jc w:val="center"/>
        </w:trPr>
        <w:tc>
          <w:tcPr>
            <w:tcW w:w="963" w:type="pct"/>
            <w:gridSpan w:val="4"/>
            <w:tcBorders>
              <w:top w:val="nil"/>
              <w:left w:val="single" w:color="auto" w:sz="4" w:space="0"/>
              <w:bottom w:val="nil"/>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c>
          <w:tcPr>
            <w:tcW w:w="1002" w:type="pct"/>
            <w:gridSpan w:val="7"/>
            <w:tcBorders>
              <w:top w:val="nil"/>
              <w:left w:val="nil"/>
              <w:bottom w:val="nil"/>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c>
          <w:tcPr>
            <w:tcW w:w="1490" w:type="pct"/>
            <w:gridSpan w:val="5"/>
            <w:vMerge w:val="continue"/>
            <w:tcBorders>
              <w:left w:val="nil"/>
              <w:right w:val="single" w:color="000000" w:sz="4" w:space="0"/>
            </w:tcBorders>
            <w:noWrap/>
            <w:vAlign w:val="bottom"/>
          </w:tcPr>
          <w:p>
            <w:pPr>
              <w:jc w:val="left"/>
              <w:rPr>
                <w:rFonts w:ascii="宋体" w:hAnsi="宋体" w:cs="宋体"/>
                <w:b/>
                <w:bCs/>
                <w:color w:val="auto"/>
                <w:sz w:val="22"/>
                <w:highlight w:val="none"/>
              </w:rPr>
            </w:pPr>
          </w:p>
        </w:tc>
        <w:tc>
          <w:tcPr>
            <w:tcW w:w="1543" w:type="pct"/>
            <w:gridSpan w:val="6"/>
            <w:tcBorders>
              <w:top w:val="nil"/>
              <w:left w:val="nil"/>
              <w:bottom w:val="nil"/>
              <w:right w:val="single" w:color="000000" w:sz="4" w:space="0"/>
            </w:tcBorders>
            <w:noWrap/>
            <w:vAlign w:val="bottom"/>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r>
      <w:tr>
        <w:tblPrEx>
          <w:tblCellMar>
            <w:top w:w="0" w:type="dxa"/>
            <w:left w:w="108" w:type="dxa"/>
            <w:bottom w:w="0" w:type="dxa"/>
            <w:right w:w="108" w:type="dxa"/>
          </w:tblCellMar>
        </w:tblPrEx>
        <w:trPr>
          <w:trHeight w:val="314" w:hRule="atLeast"/>
          <w:jc w:val="center"/>
        </w:trPr>
        <w:tc>
          <w:tcPr>
            <w:tcW w:w="963" w:type="pct"/>
            <w:gridSpan w:val="4"/>
            <w:tcBorders>
              <w:top w:val="nil"/>
              <w:left w:val="single" w:color="auto" w:sz="4" w:space="0"/>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c>
          <w:tcPr>
            <w:tcW w:w="1002" w:type="pct"/>
            <w:gridSpan w:val="7"/>
            <w:tcBorders>
              <w:top w:val="nil"/>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c>
          <w:tcPr>
            <w:tcW w:w="1490" w:type="pct"/>
            <w:gridSpan w:val="5"/>
            <w:vMerge w:val="continue"/>
            <w:tcBorders>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p>
        </w:tc>
        <w:tc>
          <w:tcPr>
            <w:tcW w:w="1543" w:type="pct"/>
            <w:gridSpan w:val="6"/>
            <w:tcBorders>
              <w:top w:val="nil"/>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r>
      <w:tr>
        <w:tblPrEx>
          <w:tblCellMar>
            <w:top w:w="0" w:type="dxa"/>
            <w:left w:w="108" w:type="dxa"/>
            <w:bottom w:w="0" w:type="dxa"/>
            <w:right w:w="108" w:type="dxa"/>
          </w:tblCellMar>
        </w:tblPrEx>
        <w:trPr>
          <w:trHeight w:val="1335" w:hRule="atLeast"/>
          <w:jc w:val="center"/>
        </w:trPr>
        <w:tc>
          <w:tcPr>
            <w:tcW w:w="5000" w:type="pct"/>
            <w:gridSpan w:val="22"/>
            <w:tcBorders>
              <w:top w:val="single" w:color="auto" w:sz="4" w:space="0"/>
              <w:left w:val="nil"/>
              <w:bottom w:val="nil"/>
              <w:right w:val="nil"/>
            </w:tcBorders>
            <w:vAlign w:val="bottom"/>
          </w:tcPr>
          <w:p>
            <w:pPr>
              <w:widowControl/>
              <w:spacing w:after="240"/>
              <w:jc w:val="left"/>
              <w:rPr>
                <w:rFonts w:ascii="宋体" w:hAnsi="宋体" w:cs="宋体"/>
                <w:b/>
                <w:bCs/>
                <w:color w:val="auto"/>
                <w:highlight w:val="none"/>
              </w:rPr>
            </w:pPr>
            <w:r>
              <w:rPr>
                <w:rFonts w:hint="eastAsia" w:ascii="宋体" w:hAnsi="宋体" w:cs="宋体"/>
                <w:b/>
                <w:bCs/>
                <w:color w:val="auto"/>
                <w:highlight w:val="none"/>
              </w:rPr>
              <w:t xml:space="preserve">备注：本表根据本期审定资金额编制用款计划，加盖单位公章、一式六份         </w:t>
            </w:r>
          </w:p>
        </w:tc>
      </w:tr>
    </w:tbl>
    <w:p>
      <w:pPr>
        <w:rPr>
          <w:rFonts w:ascii="宋体" w:hAnsi="宋体" w:cs="宋体"/>
          <w:color w:val="auto"/>
          <w:szCs w:val="21"/>
          <w:highlight w:val="none"/>
        </w:rPr>
      </w:pPr>
      <w:r>
        <w:rPr>
          <w:rFonts w:hint="eastAsia" w:ascii="宋体" w:hAnsi="宋体" w:cs="宋体"/>
          <w:color w:val="auto"/>
          <w:szCs w:val="21"/>
          <w:highlight w:val="none"/>
        </w:rPr>
        <w:br w:type="page"/>
      </w:r>
    </w:p>
    <w:tbl>
      <w:tblPr>
        <w:tblStyle w:val="49"/>
        <w:tblW w:w="5000" w:type="pct"/>
        <w:jc w:val="center"/>
        <w:tblLayout w:type="autofit"/>
        <w:tblCellMar>
          <w:top w:w="0" w:type="dxa"/>
          <w:left w:w="108" w:type="dxa"/>
          <w:bottom w:w="0" w:type="dxa"/>
          <w:right w:w="108" w:type="dxa"/>
        </w:tblCellMar>
      </w:tblPr>
      <w:tblGrid>
        <w:gridCol w:w="1060"/>
        <w:gridCol w:w="1060"/>
        <w:gridCol w:w="723"/>
        <w:gridCol w:w="505"/>
        <w:gridCol w:w="1092"/>
        <w:gridCol w:w="255"/>
        <w:gridCol w:w="972"/>
        <w:gridCol w:w="88"/>
        <w:gridCol w:w="794"/>
        <w:gridCol w:w="267"/>
        <w:gridCol w:w="451"/>
        <w:gridCol w:w="876"/>
        <w:gridCol w:w="187"/>
        <w:gridCol w:w="1060"/>
        <w:gridCol w:w="2030"/>
        <w:gridCol w:w="624"/>
        <w:gridCol w:w="1060"/>
        <w:gridCol w:w="1072"/>
      </w:tblGrid>
      <w:tr>
        <w:tblPrEx>
          <w:tblCellMar>
            <w:top w:w="0" w:type="dxa"/>
            <w:left w:w="108" w:type="dxa"/>
            <w:bottom w:w="0" w:type="dxa"/>
            <w:right w:w="108" w:type="dxa"/>
          </w:tblCellMar>
        </w:tblPrEx>
        <w:trPr>
          <w:trHeight w:val="397" w:hRule="atLeast"/>
          <w:jc w:val="center"/>
        </w:trPr>
        <w:tc>
          <w:tcPr>
            <w:tcW w:w="5000" w:type="pct"/>
            <w:gridSpan w:val="18"/>
            <w:noWrap/>
            <w:vAlign w:val="center"/>
          </w:tcPr>
          <w:p>
            <w:pPr>
              <w:widowControl/>
              <w:jc w:val="left"/>
              <w:rPr>
                <w:rFonts w:ascii="宋体" w:hAnsi="宋体" w:cs="宋体"/>
                <w:b w:val="0"/>
                <w:bCs w:val="0"/>
                <w:color w:val="auto"/>
                <w:sz w:val="21"/>
                <w:szCs w:val="22"/>
                <w:highlight w:val="none"/>
              </w:rPr>
            </w:pPr>
            <w:r>
              <w:rPr>
                <w:rFonts w:hint="eastAsia" w:ascii="宋体" w:hAnsi="宋体" w:cs="宋体"/>
                <w:b w:val="0"/>
                <w:bCs w:val="0"/>
                <w:color w:val="auto"/>
                <w:sz w:val="21"/>
                <w:szCs w:val="22"/>
                <w:highlight w:val="none"/>
              </w:rPr>
              <w:t>附件二：</w:t>
            </w:r>
          </w:p>
          <w:p>
            <w:pPr>
              <w:widowControl/>
              <w:jc w:val="center"/>
              <w:rPr>
                <w:rFonts w:ascii="宋体" w:hAnsi="宋体" w:cs="宋体"/>
                <w:b/>
                <w:bCs/>
                <w:snapToGrid w:val="0"/>
                <w:color w:val="auto"/>
                <w:sz w:val="44"/>
                <w:szCs w:val="44"/>
                <w:highlight w:val="none"/>
              </w:rPr>
            </w:pPr>
            <w:r>
              <w:rPr>
                <w:rFonts w:hint="eastAsia" w:ascii="宋体" w:hAnsi="宋体" w:cs="宋体"/>
                <w:b/>
                <w:bCs/>
                <w:color w:val="auto"/>
                <w:sz w:val="28"/>
                <w:szCs w:val="28"/>
                <w:highlight w:val="none"/>
              </w:rPr>
              <w:t>工程</w:t>
            </w:r>
          </w:p>
          <w:p>
            <w:pPr>
              <w:widowControl/>
              <w:jc w:val="center"/>
              <w:rPr>
                <w:rFonts w:ascii="宋体" w:hAnsi="宋体" w:cs="宋体"/>
                <w:b/>
                <w:bCs/>
                <w:snapToGrid w:val="0"/>
                <w:color w:val="auto"/>
                <w:sz w:val="44"/>
                <w:szCs w:val="44"/>
                <w:highlight w:val="none"/>
              </w:rPr>
            </w:pPr>
            <w:r>
              <w:rPr>
                <w:rFonts w:hint="eastAsia" w:ascii="宋体" w:hAnsi="宋体" w:cs="宋体"/>
                <w:b/>
                <w:bCs/>
                <w:snapToGrid w:val="0"/>
                <w:color w:val="auto"/>
                <w:sz w:val="44"/>
                <w:szCs w:val="44"/>
                <w:highlight w:val="none"/>
              </w:rPr>
              <w:t>上期实际发放管理人员工资明细表</w:t>
            </w: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施工单位名称（盖公章）：</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873" w:type="pct"/>
            <w:gridSpan w:val="5"/>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制表日期：</w:t>
            </w: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所属月份：</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311" w:type="pct"/>
            <w:gridSpan w:val="2"/>
            <w:noWrap/>
            <w:vAlign w:val="center"/>
          </w:tcPr>
          <w:p>
            <w:pPr>
              <w:widowControl/>
              <w:jc w:val="left"/>
              <w:rPr>
                <w:rFonts w:ascii="宋体" w:hAnsi="宋体" w:cs="宋体"/>
                <w:snapToGrid w:val="0"/>
                <w:color w:val="auto"/>
                <w:highlight w:val="none"/>
              </w:rPr>
            </w:pPr>
          </w:p>
        </w:tc>
        <w:tc>
          <w:tcPr>
            <w:tcW w:w="561" w:type="pct"/>
            <w:gridSpan w:val="3"/>
            <w:noWrap/>
            <w:vAlign w:val="center"/>
          </w:tcPr>
          <w:p>
            <w:pPr>
              <w:widowControl/>
              <w:jc w:val="left"/>
              <w:rPr>
                <w:rFonts w:ascii="宋体" w:hAnsi="宋体" w:cs="宋体"/>
                <w:snapToGrid w:val="0"/>
                <w:color w:val="auto"/>
                <w:highlight w:val="none"/>
              </w:rPr>
            </w:pP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285" w:hRule="atLeast"/>
          <w:jc w:val="center"/>
        </w:trPr>
        <w:tc>
          <w:tcPr>
            <w:tcW w:w="374" w:type="pct"/>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08" w:type="pct"/>
            <w:gridSpan w:val="4"/>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374" w:type="pct"/>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374"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签  名</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36"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374" w:type="pct"/>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376"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签  名</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429" w:hRule="atLeast"/>
          <w:jc w:val="center"/>
        </w:trPr>
        <w:tc>
          <w:tcPr>
            <w:tcW w:w="5000" w:type="pct"/>
            <w:gridSpan w:val="18"/>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工资发放总额合计：</w:t>
            </w:r>
          </w:p>
        </w:tc>
      </w:tr>
      <w:tr>
        <w:tblPrEx>
          <w:tblCellMar>
            <w:top w:w="0" w:type="dxa"/>
            <w:left w:w="108" w:type="dxa"/>
            <w:bottom w:w="0" w:type="dxa"/>
            <w:right w:w="108" w:type="dxa"/>
          </w:tblCellMar>
        </w:tblPrEx>
        <w:trPr>
          <w:trHeight w:val="525" w:hRule="atLeast"/>
          <w:jc w:val="center"/>
        </w:trPr>
        <w:tc>
          <w:tcPr>
            <w:tcW w:w="5000" w:type="pct"/>
            <w:gridSpan w:val="18"/>
            <w:tcBorders>
              <w:top w:val="single" w:color="auto" w:sz="4" w:space="0"/>
              <w:left w:val="nil"/>
              <w:bottom w:val="single" w:color="auto" w:sz="4" w:space="0"/>
              <w:right w:val="nil"/>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备注：本工资发放表按实际发放完成后，把本表复印一式六份并加盖公章，并提供一份原件核对。</w:t>
            </w:r>
          </w:p>
        </w:tc>
      </w:tr>
    </w:tbl>
    <w:p>
      <w:pPr>
        <w:rPr>
          <w:rFonts w:ascii="宋体" w:hAnsi="宋体" w:cs="宋体"/>
          <w:color w:val="auto"/>
          <w:szCs w:val="21"/>
          <w:highlight w:val="none"/>
        </w:rPr>
      </w:pPr>
      <w:r>
        <w:rPr>
          <w:rFonts w:hint="eastAsia" w:ascii="宋体" w:hAnsi="宋体" w:cs="宋体"/>
          <w:color w:val="auto"/>
          <w:szCs w:val="21"/>
          <w:highlight w:val="none"/>
        </w:rPr>
        <w:br w:type="page"/>
      </w:r>
    </w:p>
    <w:tbl>
      <w:tblPr>
        <w:tblStyle w:val="49"/>
        <w:tblW w:w="5000" w:type="pct"/>
        <w:jc w:val="center"/>
        <w:tblLayout w:type="autofit"/>
        <w:tblCellMar>
          <w:top w:w="0" w:type="dxa"/>
          <w:left w:w="108" w:type="dxa"/>
          <w:bottom w:w="0" w:type="dxa"/>
          <w:right w:w="108" w:type="dxa"/>
        </w:tblCellMar>
      </w:tblPr>
      <w:tblGrid>
        <w:gridCol w:w="1060"/>
        <w:gridCol w:w="1060"/>
        <w:gridCol w:w="723"/>
        <w:gridCol w:w="505"/>
        <w:gridCol w:w="1092"/>
        <w:gridCol w:w="255"/>
        <w:gridCol w:w="972"/>
        <w:gridCol w:w="882"/>
        <w:gridCol w:w="267"/>
        <w:gridCol w:w="451"/>
        <w:gridCol w:w="876"/>
        <w:gridCol w:w="184"/>
        <w:gridCol w:w="1060"/>
        <w:gridCol w:w="2033"/>
        <w:gridCol w:w="621"/>
        <w:gridCol w:w="1060"/>
        <w:gridCol w:w="1075"/>
      </w:tblGrid>
      <w:tr>
        <w:tblPrEx>
          <w:tblCellMar>
            <w:top w:w="0" w:type="dxa"/>
            <w:left w:w="108" w:type="dxa"/>
            <w:bottom w:w="0" w:type="dxa"/>
            <w:right w:w="108" w:type="dxa"/>
          </w:tblCellMar>
        </w:tblPrEx>
        <w:trPr>
          <w:trHeight w:val="397" w:hRule="atLeast"/>
          <w:jc w:val="center"/>
        </w:trPr>
        <w:tc>
          <w:tcPr>
            <w:tcW w:w="5000" w:type="pct"/>
            <w:gridSpan w:val="17"/>
            <w:noWrap/>
            <w:vAlign w:val="center"/>
          </w:tcPr>
          <w:p>
            <w:pPr>
              <w:widowControl/>
              <w:jc w:val="center"/>
              <w:rPr>
                <w:rFonts w:ascii="宋体" w:hAnsi="宋体" w:cs="宋体"/>
                <w:b/>
                <w:bCs/>
                <w:snapToGrid w:val="0"/>
                <w:color w:val="auto"/>
                <w:sz w:val="44"/>
                <w:szCs w:val="44"/>
                <w:highlight w:val="none"/>
              </w:rPr>
            </w:pPr>
            <w:r>
              <w:rPr>
                <w:rFonts w:hint="eastAsia" w:ascii="宋体" w:hAnsi="宋体" w:cs="宋体"/>
                <w:b/>
                <w:bCs/>
                <w:color w:val="auto"/>
                <w:sz w:val="28"/>
                <w:szCs w:val="28"/>
                <w:highlight w:val="none"/>
              </w:rPr>
              <w:t>工程</w:t>
            </w:r>
          </w:p>
          <w:p>
            <w:pPr>
              <w:widowControl/>
              <w:jc w:val="center"/>
              <w:rPr>
                <w:rFonts w:ascii="宋体" w:hAnsi="宋体" w:cs="宋体"/>
                <w:b/>
                <w:bCs/>
                <w:snapToGrid w:val="0"/>
                <w:color w:val="auto"/>
                <w:sz w:val="44"/>
                <w:szCs w:val="44"/>
                <w:highlight w:val="none"/>
              </w:rPr>
            </w:pPr>
            <w:r>
              <w:rPr>
                <w:rFonts w:hint="eastAsia" w:ascii="宋体" w:hAnsi="宋体" w:cs="宋体"/>
                <w:b/>
                <w:bCs/>
                <w:snapToGrid w:val="0"/>
                <w:color w:val="auto"/>
                <w:sz w:val="44"/>
                <w:szCs w:val="44"/>
                <w:highlight w:val="none"/>
              </w:rPr>
              <w:t>本期计划发放管理人员工资明细表</w:t>
            </w: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施工单位名称（盖公章）：</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873" w:type="pct"/>
            <w:gridSpan w:val="4"/>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制表日期：</w:t>
            </w: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所属月份：</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311" w:type="pct"/>
            <w:noWrap/>
            <w:vAlign w:val="center"/>
          </w:tcPr>
          <w:p>
            <w:pPr>
              <w:widowControl/>
              <w:jc w:val="left"/>
              <w:rPr>
                <w:rFonts w:ascii="宋体" w:hAnsi="宋体" w:cs="宋体"/>
                <w:snapToGrid w:val="0"/>
                <w:color w:val="auto"/>
                <w:highlight w:val="none"/>
              </w:rPr>
            </w:pPr>
          </w:p>
        </w:tc>
        <w:tc>
          <w:tcPr>
            <w:tcW w:w="561" w:type="pct"/>
            <w:gridSpan w:val="3"/>
            <w:noWrap/>
            <w:vAlign w:val="center"/>
          </w:tcPr>
          <w:p>
            <w:pPr>
              <w:widowControl/>
              <w:jc w:val="left"/>
              <w:rPr>
                <w:rFonts w:ascii="宋体" w:hAnsi="宋体" w:cs="宋体"/>
                <w:snapToGrid w:val="0"/>
                <w:color w:val="auto"/>
                <w:highlight w:val="none"/>
              </w:rPr>
            </w:pP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285" w:hRule="atLeast"/>
          <w:jc w:val="center"/>
        </w:trPr>
        <w:tc>
          <w:tcPr>
            <w:tcW w:w="374" w:type="pct"/>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08" w:type="pct"/>
            <w:gridSpan w:val="4"/>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748" w:type="pct"/>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36"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750" w:type="pct"/>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05"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工资发放总额合计：</w:t>
            </w:r>
          </w:p>
        </w:tc>
      </w:tr>
      <w:tr>
        <w:tblPrEx>
          <w:tblCellMar>
            <w:top w:w="0" w:type="dxa"/>
            <w:left w:w="108" w:type="dxa"/>
            <w:bottom w:w="0" w:type="dxa"/>
            <w:right w:w="108" w:type="dxa"/>
          </w:tblCellMar>
        </w:tblPrEx>
        <w:trPr>
          <w:trHeight w:val="525" w:hRule="atLeast"/>
          <w:jc w:val="center"/>
        </w:trPr>
        <w:tc>
          <w:tcPr>
            <w:tcW w:w="5000" w:type="pct"/>
            <w:gridSpan w:val="17"/>
            <w:tcBorders>
              <w:top w:val="single" w:color="auto" w:sz="4" w:space="0"/>
              <w:left w:val="nil"/>
              <w:bottom w:val="nil"/>
              <w:right w:val="nil"/>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注：本表一式六份并加盖公章。</w:t>
            </w:r>
          </w:p>
        </w:tc>
      </w:tr>
    </w:tbl>
    <w:p>
      <w:pPr>
        <w:rPr>
          <w:rFonts w:ascii="宋体" w:hAnsi="宋体" w:cs="宋体"/>
          <w:color w:val="auto"/>
          <w:szCs w:val="21"/>
          <w:highlight w:val="none"/>
        </w:rPr>
        <w:sectPr>
          <w:headerReference r:id="rId18" w:type="default"/>
          <w:pgSz w:w="16840" w:h="11907" w:orient="landscape"/>
          <w:pgMar w:top="1440" w:right="1440" w:bottom="1440" w:left="1440" w:header="851" w:footer="992" w:gutter="0"/>
          <w:pgNumType w:fmt="decimal"/>
          <w:cols w:space="720" w:num="1"/>
          <w:docGrid w:linePitch="312" w:charSpace="0"/>
        </w:sectPr>
      </w:pPr>
    </w:p>
    <w:p>
      <w:pPr>
        <w:rPr>
          <w:rFonts w:ascii="宋体" w:hAnsi="宋体" w:cs="宋体"/>
          <w:color w:val="auto"/>
          <w:highlight w:val="none"/>
        </w:rPr>
      </w:pPr>
      <w:r>
        <w:rPr>
          <w:rFonts w:hint="eastAsia" w:ascii="宋体" w:hAnsi="宋体" w:cs="宋体"/>
          <w:color w:val="auto"/>
          <w:highlight w:val="none"/>
        </w:rPr>
        <w:t>附件三：</w:t>
      </w:r>
    </w:p>
    <w:p>
      <w:pPr>
        <w:jc w:val="center"/>
        <w:rPr>
          <w:rFonts w:ascii="宋体" w:hAnsi="宋体" w:cs="宋体"/>
          <w:color w:val="auto"/>
          <w:sz w:val="28"/>
          <w:szCs w:val="21"/>
          <w:highlight w:val="none"/>
        </w:rPr>
      </w:pPr>
      <w:r>
        <w:rPr>
          <w:rFonts w:hint="eastAsia" w:ascii="宋体" w:hAnsi="宋体" w:cs="宋体"/>
          <w:b/>
          <w:color w:val="auto"/>
          <w:sz w:val="32"/>
          <w:szCs w:val="21"/>
          <w:highlight w:val="none"/>
        </w:rPr>
        <w:t>共管账户划款通知</w:t>
      </w:r>
    </w:p>
    <w:p>
      <w:pPr>
        <w:jc w:val="center"/>
        <w:rPr>
          <w:rFonts w:ascii="宋体" w:hAnsi="宋体" w:cs="宋体"/>
          <w:color w:val="auto"/>
          <w:sz w:val="28"/>
          <w:szCs w:val="21"/>
          <w:highlight w:val="none"/>
        </w:rPr>
      </w:pPr>
      <w:r>
        <w:rPr>
          <w:rFonts w:hint="eastAsia" w:ascii="宋体" w:hAnsi="宋体" w:cs="宋体"/>
          <w:color w:val="auto"/>
          <w:sz w:val="28"/>
          <w:szCs w:val="21"/>
          <w:highlight w:val="none"/>
        </w:rPr>
        <w:t>年   月    日</w:t>
      </w:r>
    </w:p>
    <w:tbl>
      <w:tblPr>
        <w:tblStyle w:val="49"/>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账户名称</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账户账号</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工程项目名称</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本次申请使用款项金额</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本次用途</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累计用款额（万元）</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3888" w:type="dxa"/>
            <w:vMerge w:val="restart"/>
          </w:tcPr>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广州开发区财政投资建设项目管理中心审批意见</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jc w:val="center"/>
              <w:rPr>
                <w:rFonts w:ascii="宋体" w:hAnsi="宋体" w:cs="宋体"/>
                <w:color w:val="auto"/>
                <w:sz w:val="28"/>
                <w:szCs w:val="21"/>
                <w:highlight w:val="none"/>
              </w:rPr>
            </w:pPr>
            <w:r>
              <w:rPr>
                <w:rFonts w:hint="eastAsia" w:ascii="宋体" w:hAnsi="宋体" w:cs="宋体"/>
                <w:color w:val="auto"/>
                <w:sz w:val="28"/>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888" w:type="dxa"/>
            <w:vMerge w:val="continue"/>
          </w:tcPr>
          <w:p>
            <w:pPr>
              <w:rPr>
                <w:rFonts w:ascii="宋体" w:hAnsi="宋体" w:cs="宋体"/>
                <w:color w:val="auto"/>
                <w:sz w:val="28"/>
                <w:szCs w:val="21"/>
                <w:highlight w:val="none"/>
              </w:rPr>
            </w:pP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 xml:space="preserve">经办人： </w:t>
            </w: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(联系电话及手机号码：)</w:t>
            </w: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负责人：</w:t>
            </w:r>
          </w:p>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开户银行审批意见</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 xml:space="preserve">经办人： </w:t>
            </w: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负责人：</w:t>
            </w:r>
          </w:p>
        </w:tc>
      </w:tr>
    </w:tbl>
    <w:p>
      <w:pPr>
        <w:rPr>
          <w:rFonts w:ascii="宋体" w:hAnsi="宋体" w:cs="宋体"/>
          <w:color w:val="auto"/>
          <w:szCs w:val="21"/>
          <w:highlight w:val="none"/>
        </w:rPr>
      </w:pPr>
    </w:p>
    <w:p>
      <w:pPr>
        <w:ind w:left="1136" w:hanging="1136" w:hangingChars="539"/>
        <w:rPr>
          <w:rFonts w:ascii="宋体" w:hAnsi="宋体" w:cs="宋体"/>
          <w:b/>
          <w:snapToGrid w:val="0"/>
          <w:color w:val="auto"/>
          <w:szCs w:val="21"/>
          <w:highlight w:val="none"/>
        </w:rPr>
      </w:pPr>
      <w:r>
        <w:rPr>
          <w:rFonts w:hint="eastAsia" w:ascii="宋体" w:hAnsi="宋体" w:cs="宋体"/>
          <w:b/>
          <w:snapToGrid w:val="0"/>
          <w:color w:val="auto"/>
          <w:szCs w:val="21"/>
          <w:highlight w:val="none"/>
        </w:rPr>
        <w:t>备注： 1、本表适用甲方、乙方，一式六份。</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szCs w:val="21"/>
          <w:highlight w:val="none"/>
        </w:rPr>
        <w:br w:type="page"/>
      </w:r>
      <w:r>
        <w:rPr>
          <w:rFonts w:hint="eastAsia" w:ascii="宋体" w:hAnsi="宋体" w:cs="宋体"/>
          <w:color w:val="auto"/>
          <w:highlight w:val="none"/>
        </w:rPr>
        <w:t>附件四：</w:t>
      </w:r>
    </w:p>
    <w:p>
      <w:pPr>
        <w:jc w:val="center"/>
        <w:rPr>
          <w:rFonts w:ascii="宋体" w:hAnsi="宋体" w:cs="宋体"/>
          <w:color w:val="auto"/>
          <w:highlight w:val="none"/>
        </w:rPr>
      </w:pPr>
      <w:r>
        <w:rPr>
          <w:rFonts w:hint="eastAsia" w:ascii="宋体" w:hAnsi="宋体" w:cs="宋体"/>
          <w:color w:val="auto"/>
          <w:highlight w:val="none"/>
        </w:rPr>
        <w:t>项目资金支付审批流程概览</w:t>
      </w:r>
    </w:p>
    <w:p>
      <w:pPr>
        <w:rPr>
          <w:rFonts w:ascii="宋体" w:hAnsi="宋体" w:cs="宋体"/>
          <w:color w:val="auto"/>
          <w:szCs w:val="21"/>
          <w:highlight w:val="none"/>
        </w:rPr>
      </w:pPr>
    </w:p>
    <w:p>
      <w:pPr>
        <w:rPr>
          <w:rFonts w:ascii="宋体" w:hAnsi="宋体" w:cs="宋体"/>
          <w:color w:val="auto"/>
          <w:szCs w:val="21"/>
          <w:highlight w:val="none"/>
        </w:rPr>
        <w:sectPr>
          <w:pgSz w:w="11907" w:h="16840"/>
          <w:pgMar w:top="1134" w:right="1418" w:bottom="1134" w:left="1418" w:header="851" w:footer="992" w:gutter="0"/>
          <w:pgNumType w:fmt="decimal"/>
          <w:cols w:space="720" w:num="1"/>
          <w:docGrid w:linePitch="312" w:charSpace="0"/>
        </w:sectPr>
      </w:pPr>
      <w:r>
        <w:rPr>
          <w:rFonts w:hint="eastAsia" w:ascii="宋体" w:hAnsi="宋体" w:cs="宋体"/>
          <w:color w:val="auto"/>
          <w:highlight w:val="none"/>
        </w:rPr>
        <mc:AlternateContent>
          <mc:Choice Requires="wpc">
            <w:drawing>
              <wp:inline distT="0" distB="0" distL="0" distR="0">
                <wp:extent cx="5875020" cy="8321040"/>
                <wp:effectExtent l="0" t="0" r="0" b="0"/>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4"/>
                        <wps:cNvSpPr txBox="1">
                          <a:spLocks noChangeArrowheads="1"/>
                        </wps:cNvSpPr>
                        <wps:spPr bwMode="auto">
                          <a:xfrm>
                            <a:off x="3086100" y="495300"/>
                            <a:ext cx="1257300" cy="82677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呈交每期资金使用计划</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800099" y="495300"/>
                            <a:ext cx="10287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施工单位</w:t>
                              </w:r>
                            </w:p>
                          </w:txbxContent>
                        </wps:txbx>
                        <wps:bodyPr rot="0" vert="horz" wrap="square" lIns="91440" tIns="72000" rIns="91440" bIns="45720" anchor="t" anchorCtr="0" upright="1">
                          <a:noAutofit/>
                        </wps:bodyPr>
                      </wps:wsp>
                      <wps:wsp>
                        <wps:cNvPr id="55" name="Line 6"/>
                        <wps:cNvCnPr>
                          <a:cxnSpLocks noChangeShapeType="1"/>
                        </wps:cNvCnPr>
                        <wps:spPr bwMode="auto">
                          <a:xfrm>
                            <a:off x="1257300" y="891540"/>
                            <a:ext cx="635" cy="693420"/>
                          </a:xfrm>
                          <a:prstGeom prst="line">
                            <a:avLst/>
                          </a:prstGeom>
                          <a:noFill/>
                          <a:ln w="9525">
                            <a:solidFill>
                              <a:srgbClr val="000000"/>
                            </a:solidFill>
                            <a:round/>
                            <a:tailEnd type="triangle" w="med" len="med"/>
                          </a:ln>
                          <a:effectLst/>
                        </wps:spPr>
                        <wps:bodyPr/>
                      </wps:wsp>
                      <wps:wsp>
                        <wps:cNvPr id="56" name="Text Box 7"/>
                        <wps:cNvSpPr txBox="1">
                          <a:spLocks noChangeArrowheads="1"/>
                        </wps:cNvSpPr>
                        <wps:spPr bwMode="auto">
                          <a:xfrm>
                            <a:off x="685800" y="1584960"/>
                            <a:ext cx="10287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监理单位</w:t>
                              </w:r>
                            </w:p>
                          </w:txbxContent>
                        </wps:txbx>
                        <wps:bodyPr rot="0" vert="horz" wrap="square" lIns="91440" tIns="72000" rIns="91440" bIns="45720" anchor="t" anchorCtr="0" upright="1">
                          <a:noAutofit/>
                        </wps:bodyPr>
                      </wps:wsp>
                      <wps:wsp>
                        <wps:cNvPr id="57" name="Text Box 8"/>
                        <wps:cNvSpPr txBox="1">
                          <a:spLocks noChangeArrowheads="1"/>
                        </wps:cNvSpPr>
                        <wps:spPr bwMode="auto">
                          <a:xfrm>
                            <a:off x="461645" y="2872740"/>
                            <a:ext cx="1481455" cy="51308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代业主单位（若有时）</w:t>
                              </w:r>
                            </w:p>
                            <w:p>
                              <w:pPr>
                                <w:rPr>
                                  <w:rFonts w:ascii="宋体" w:hAnsi="宋体"/>
                                </w:rPr>
                              </w:pPr>
                            </w:p>
                          </w:txbxContent>
                        </wps:txbx>
                        <wps:bodyPr rot="0" vert="horz" wrap="square" lIns="91440" tIns="72000" rIns="91440" bIns="45720" anchor="t" anchorCtr="0" upright="1">
                          <a:noAutofit/>
                        </wps:bodyPr>
                      </wps:wsp>
                      <wps:wsp>
                        <wps:cNvPr id="58" name="Line 9"/>
                        <wps:cNvCnPr>
                          <a:cxnSpLocks noChangeShapeType="1"/>
                        </wps:cNvCnPr>
                        <wps:spPr bwMode="auto">
                          <a:xfrm>
                            <a:off x="1257300" y="3268980"/>
                            <a:ext cx="635" cy="693420"/>
                          </a:xfrm>
                          <a:prstGeom prst="line">
                            <a:avLst/>
                          </a:prstGeom>
                          <a:noFill/>
                          <a:ln w="9525">
                            <a:solidFill>
                              <a:srgbClr val="000000"/>
                            </a:solidFill>
                            <a:round/>
                            <a:tailEnd type="triangle" w="med" len="med"/>
                          </a:ln>
                          <a:effectLst/>
                        </wps:spPr>
                        <wps:bodyPr/>
                      </wps:wsp>
                      <wps:wsp>
                        <wps:cNvPr id="59" name="Line 10"/>
                        <wps:cNvCnPr>
                          <a:cxnSpLocks noChangeShapeType="1"/>
                        </wps:cNvCnPr>
                        <wps:spPr bwMode="auto">
                          <a:xfrm flipH="1">
                            <a:off x="1257300" y="1981200"/>
                            <a:ext cx="635" cy="891540"/>
                          </a:xfrm>
                          <a:prstGeom prst="line">
                            <a:avLst/>
                          </a:prstGeom>
                          <a:noFill/>
                          <a:ln w="9525">
                            <a:solidFill>
                              <a:srgbClr val="000000"/>
                            </a:solidFill>
                            <a:round/>
                            <a:tailEnd type="triangle" w="med" len="med"/>
                          </a:ln>
                          <a:effectLst/>
                        </wps:spPr>
                        <wps:bodyPr/>
                      </wps:wsp>
                      <wps:wsp>
                        <wps:cNvPr id="60" name="Line 11"/>
                        <wps:cNvCnPr>
                          <a:cxnSpLocks noChangeShapeType="1"/>
                        </wps:cNvCnPr>
                        <wps:spPr bwMode="auto">
                          <a:xfrm>
                            <a:off x="1714500" y="1882140"/>
                            <a:ext cx="1074420" cy="635"/>
                          </a:xfrm>
                          <a:prstGeom prst="line">
                            <a:avLst/>
                          </a:prstGeom>
                          <a:noFill/>
                          <a:ln w="9525">
                            <a:solidFill>
                              <a:srgbClr val="000000"/>
                            </a:solidFill>
                            <a:round/>
                            <a:tailEnd type="triangle" w="med" len="med"/>
                          </a:ln>
                          <a:effectLst/>
                        </wps:spPr>
                        <wps:bodyPr/>
                      </wps:wsp>
                      <wps:wsp>
                        <wps:cNvPr id="61" name="Line 12"/>
                        <wps:cNvCnPr>
                          <a:cxnSpLocks noChangeShapeType="1"/>
                        </wps:cNvCnPr>
                        <wps:spPr bwMode="auto">
                          <a:xfrm>
                            <a:off x="1714500" y="693420"/>
                            <a:ext cx="1371600" cy="635"/>
                          </a:xfrm>
                          <a:prstGeom prst="line">
                            <a:avLst/>
                          </a:prstGeom>
                          <a:noFill/>
                          <a:ln w="9525">
                            <a:solidFill>
                              <a:srgbClr val="000000"/>
                            </a:solidFill>
                            <a:round/>
                            <a:tailEnd type="triangle" w="med" len="med"/>
                          </a:ln>
                          <a:effectLst/>
                        </wps:spPr>
                        <wps:bodyPr/>
                      </wps:wsp>
                      <wps:wsp>
                        <wps:cNvPr id="62" name="Text Box 13"/>
                        <wps:cNvSpPr txBox="1">
                          <a:spLocks noChangeArrowheads="1"/>
                        </wps:cNvSpPr>
                        <wps:spPr bwMode="auto">
                          <a:xfrm>
                            <a:off x="2788920" y="1684020"/>
                            <a:ext cx="1501775" cy="64770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按照工程进度对资金使用计划初审</w:t>
                              </w:r>
                            </w:p>
                            <w:p>
                              <w:pPr>
                                <w:rPr>
                                  <w:rFonts w:ascii="宋体" w:hAnsi="宋体"/>
                                </w:rPr>
                              </w:pPr>
                            </w:p>
                            <w:p>
                              <w:pPr>
                                <w:rPr>
                                  <w:rFonts w:ascii="宋体" w:hAnsi="宋体"/>
                                </w:rPr>
                              </w:pPr>
                            </w:p>
                          </w:txbxContent>
                        </wps:txbx>
                        <wps:bodyPr rot="0" vert="horz" wrap="square" lIns="91440" tIns="45720" rIns="91440" bIns="45720" anchor="t" anchorCtr="0" upright="1">
                          <a:noAutofit/>
                        </wps:bodyPr>
                      </wps:wsp>
                      <wps:wsp>
                        <wps:cNvPr id="63" name="Text Box 14"/>
                        <wps:cNvSpPr txBox="1">
                          <a:spLocks noChangeArrowheads="1"/>
                        </wps:cNvSpPr>
                        <wps:spPr bwMode="auto">
                          <a:xfrm>
                            <a:off x="571500" y="3962400"/>
                            <a:ext cx="13716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区建管中心</w:t>
                              </w:r>
                            </w:p>
                          </w:txbxContent>
                        </wps:txbx>
                        <wps:bodyPr rot="0" vert="horz" wrap="square" lIns="91440" tIns="72000" rIns="91440" bIns="45720" anchor="t" anchorCtr="0" upright="1">
                          <a:noAutofit/>
                        </wps:bodyPr>
                      </wps:wsp>
                      <wps:wsp>
                        <wps:cNvPr id="64" name="Line 15"/>
                        <wps:cNvCnPr>
                          <a:cxnSpLocks noChangeShapeType="1"/>
                        </wps:cNvCnPr>
                        <wps:spPr bwMode="auto">
                          <a:xfrm>
                            <a:off x="1257300" y="4358640"/>
                            <a:ext cx="635" cy="891540"/>
                          </a:xfrm>
                          <a:prstGeom prst="line">
                            <a:avLst/>
                          </a:prstGeom>
                          <a:noFill/>
                          <a:ln w="9525">
                            <a:solidFill>
                              <a:srgbClr val="000000"/>
                            </a:solidFill>
                            <a:round/>
                            <a:tailEnd type="triangle" w="med" len="med"/>
                          </a:ln>
                          <a:effectLst/>
                        </wps:spPr>
                        <wps:bodyPr/>
                      </wps:wsp>
                      <wps:wsp>
                        <wps:cNvPr id="65" name="Line 17"/>
                        <wps:cNvCnPr>
                          <a:cxnSpLocks noChangeShapeType="1"/>
                        </wps:cNvCnPr>
                        <wps:spPr bwMode="auto">
                          <a:xfrm>
                            <a:off x="1943100" y="3070860"/>
                            <a:ext cx="1371600" cy="635"/>
                          </a:xfrm>
                          <a:prstGeom prst="line">
                            <a:avLst/>
                          </a:prstGeom>
                          <a:noFill/>
                          <a:ln w="9525">
                            <a:solidFill>
                              <a:srgbClr val="000000"/>
                            </a:solidFill>
                            <a:round/>
                            <a:tailEnd type="triangle" w="med" len="med"/>
                          </a:ln>
                          <a:effectLst/>
                        </wps:spPr>
                        <wps:bodyPr/>
                      </wps:wsp>
                      <wps:wsp>
                        <wps:cNvPr id="66" name="Line 18"/>
                        <wps:cNvCnPr>
                          <a:cxnSpLocks noChangeShapeType="1"/>
                        </wps:cNvCnPr>
                        <wps:spPr bwMode="auto">
                          <a:xfrm>
                            <a:off x="1257300" y="4754880"/>
                            <a:ext cx="1257300" cy="635"/>
                          </a:xfrm>
                          <a:prstGeom prst="line">
                            <a:avLst/>
                          </a:prstGeom>
                          <a:noFill/>
                          <a:ln w="9525">
                            <a:solidFill>
                              <a:srgbClr val="000000"/>
                            </a:solidFill>
                            <a:round/>
                            <a:tailEnd type="triangle" w="med" len="med"/>
                          </a:ln>
                          <a:effectLst/>
                        </wps:spPr>
                        <wps:bodyPr/>
                      </wps:wsp>
                      <wps:wsp>
                        <wps:cNvPr id="67" name="Text Box 19"/>
                        <wps:cNvSpPr txBox="1">
                          <a:spLocks noChangeArrowheads="1"/>
                        </wps:cNvSpPr>
                        <wps:spPr bwMode="auto">
                          <a:xfrm>
                            <a:off x="3314700" y="2872740"/>
                            <a:ext cx="121158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资金使用审批</w:t>
                              </w:r>
                            </w:p>
                          </w:txbxContent>
                        </wps:txbx>
                        <wps:bodyPr rot="0" vert="horz" wrap="square" lIns="91440" tIns="72000" rIns="91440" bIns="45720" anchor="t" anchorCtr="0" upright="1">
                          <a:noAutofit/>
                        </wps:bodyPr>
                      </wps:wsp>
                      <wps:wsp>
                        <wps:cNvPr id="68" name="Line 20"/>
                        <wps:cNvCnPr>
                          <a:cxnSpLocks noChangeShapeType="1"/>
                        </wps:cNvCnPr>
                        <wps:spPr bwMode="auto">
                          <a:xfrm>
                            <a:off x="1943100" y="5448300"/>
                            <a:ext cx="1371600" cy="635"/>
                          </a:xfrm>
                          <a:prstGeom prst="line">
                            <a:avLst/>
                          </a:prstGeom>
                          <a:noFill/>
                          <a:ln w="12700">
                            <a:solidFill>
                              <a:srgbClr val="000000"/>
                            </a:solidFill>
                            <a:round/>
                            <a:tailEnd type="triangle" w="med" len="med"/>
                          </a:ln>
                          <a:effectLst/>
                        </wps:spPr>
                        <wps:bodyPr/>
                      </wps:wsp>
                      <wps:wsp>
                        <wps:cNvPr id="69" name="Text Box 21"/>
                        <wps:cNvSpPr txBox="1">
                          <a:spLocks noChangeArrowheads="1"/>
                        </wps:cNvSpPr>
                        <wps:spPr bwMode="auto">
                          <a:xfrm>
                            <a:off x="3657600" y="6637020"/>
                            <a:ext cx="121158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资金支付</w:t>
                              </w:r>
                            </w:p>
                          </w:txbxContent>
                        </wps:txbx>
                        <wps:bodyPr rot="0" vert="horz" wrap="square" lIns="91440" tIns="72000" rIns="91440" bIns="45720" anchor="t" anchorCtr="0" upright="1">
                          <a:noAutofit/>
                        </wps:bodyPr>
                      </wps:wsp>
                      <wps:wsp>
                        <wps:cNvPr id="70" name="Text Box 22"/>
                        <wps:cNvSpPr txBox="1">
                          <a:spLocks noChangeArrowheads="1"/>
                        </wps:cNvSpPr>
                        <wps:spPr bwMode="auto">
                          <a:xfrm>
                            <a:off x="3314700" y="5052060"/>
                            <a:ext cx="2286000" cy="118872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监管银行实时监控施工单位资金流向，如出现异常，将反馈至业主单位，业主单位将要求参建单位纠正并采取补救措施</w:t>
                              </w:r>
                            </w:p>
                          </w:txbxContent>
                        </wps:txbx>
                        <wps:bodyPr rot="0" vert="horz" wrap="square" lIns="91440" tIns="118800" rIns="91440" bIns="45720" anchor="t" anchorCtr="0" upright="1">
                          <a:noAutofit/>
                        </wps:bodyPr>
                      </wps:wsp>
                      <wps:wsp>
                        <wps:cNvPr id="71" name="Rectangle 26"/>
                        <wps:cNvSpPr>
                          <a:spLocks noChangeArrowheads="1"/>
                        </wps:cNvSpPr>
                        <wps:spPr bwMode="auto">
                          <a:xfrm>
                            <a:off x="571500" y="5250180"/>
                            <a:ext cx="1371600" cy="396240"/>
                          </a:xfrm>
                          <a:prstGeom prst="rect">
                            <a:avLst/>
                          </a:prstGeom>
                          <a:solidFill>
                            <a:srgbClr val="FFFFFF"/>
                          </a:solidFill>
                          <a:ln w="9525">
                            <a:solidFill>
                              <a:srgbClr val="000000"/>
                            </a:solidFill>
                            <a:miter lim="800000"/>
                          </a:ln>
                          <a:effectLst/>
                        </wps:spPr>
                        <wps:txbx>
                          <w:txbxContent>
                            <w:p>
                              <w:pPr>
                                <w:ind w:firstLine="525" w:firstLineChars="250"/>
                                <w:rPr>
                                  <w:rFonts w:ascii="宋体" w:hAnsi="宋体"/>
                                </w:rPr>
                              </w:pPr>
                              <w:r>
                                <w:rPr>
                                  <w:rFonts w:hint="eastAsia" w:ascii="宋体" w:hAnsi="宋体"/>
                                </w:rPr>
                                <w:t>开户行</w:t>
                              </w:r>
                            </w:p>
                          </w:txbxContent>
                        </wps:txbx>
                        <wps:bodyPr rot="0" vert="horz" wrap="square" lIns="91440" tIns="45720" rIns="91440" bIns="45720" anchor="t" anchorCtr="0" upright="1">
                          <a:noAutofit/>
                        </wps:bodyPr>
                      </wps:wsp>
                      <wps:wsp>
                        <wps:cNvPr id="72" name="Line 27"/>
                        <wps:cNvCnPr>
                          <a:cxnSpLocks noChangeShapeType="1"/>
                        </wps:cNvCnPr>
                        <wps:spPr bwMode="auto">
                          <a:xfrm>
                            <a:off x="4343400" y="6240780"/>
                            <a:ext cx="635" cy="396240"/>
                          </a:xfrm>
                          <a:prstGeom prst="line">
                            <a:avLst/>
                          </a:prstGeom>
                          <a:noFill/>
                          <a:ln w="9525">
                            <a:solidFill>
                              <a:srgbClr val="000000"/>
                            </a:solidFill>
                            <a:round/>
                            <a:tailEnd type="triangle" w="med" len="med"/>
                          </a:ln>
                          <a:effectLst/>
                        </wps:spPr>
                        <wps:bodyPr/>
                      </wps:wsp>
                      <wps:wsp>
                        <wps:cNvPr id="73" name="Rectangle 28"/>
                        <wps:cNvSpPr>
                          <a:spLocks noChangeArrowheads="1"/>
                        </wps:cNvSpPr>
                        <wps:spPr bwMode="auto">
                          <a:xfrm>
                            <a:off x="2514600" y="4506098"/>
                            <a:ext cx="1365422" cy="446902"/>
                          </a:xfrm>
                          <a:prstGeom prst="rect">
                            <a:avLst/>
                          </a:prstGeom>
                          <a:solidFill>
                            <a:srgbClr val="FFFFFF"/>
                          </a:solidFill>
                          <a:ln w="9525">
                            <a:solidFill>
                              <a:srgbClr val="000000"/>
                            </a:solidFill>
                            <a:miter lim="800000"/>
                          </a:ln>
                          <a:effectLst/>
                        </wps:spPr>
                        <wps:txbx>
                          <w:txbxContent>
                            <w:p>
                              <w:pPr>
                                <w:rPr>
                                  <w:rFonts w:asciiTheme="minorEastAsia" w:hAnsiTheme="minorEastAsia" w:eastAsiaTheme="minorEastAsia"/>
                                </w:rPr>
                              </w:pPr>
                              <w:r>
                                <w:rPr>
                                  <w:rFonts w:hint="eastAsia" w:asciiTheme="minorEastAsia" w:hAnsiTheme="minorEastAsia" w:eastAsiaTheme="minorEastAsia"/>
                                </w:rPr>
                                <w:t>出具划款通知书</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655.2pt;width:462.6pt;" coordsize="5875020,8321040" editas="canvas" o:gfxdata="UEsDBAoAAAAAAIdO4kAAAAAAAAAAAAAAAAAEAAAAZHJzL1BLAwQUAAAACACHTuJAdTqsRt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">
                <o:lock v:ext="edit" aspectratio="f"/>
                <v:shape id="_x0000_s1026" o:spid="_x0000_s1026" style="position:absolute;left:0;top:0;height:8321040;width:5875020;" filled="f" stroked="f" coordsize="21600,21600" o:gfxdata="UEsDBAoAAAAAAIdO4kAAAAAAAAAAAAAAAAAEAAAAZHJzL1BLAwQUAAAACACHTuJAdTqsRt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">
                  <v:fill on="f" focussize="0,0"/>
                  <v:stroke on="f"/>
                  <v:imagedata o:title=""/>
                  <o:lock v:ext="edit" aspectratio="t"/>
                </v:shape>
                <v:shape id="Text Box 4" o:spid="_x0000_s1026" o:spt="202" type="#_x0000_t202" style="position:absolute;left:3086100;top:495300;height:826770;width:1257300;" fillcolor="#FFFFFF" filled="t" stroked="t" coordsize="21600,21600" o:gfxdata="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MHvdcAAAAGAQAADwAAAAAAAAABACAAAAAiAAAA&#10;ZHJzL2Rvd25yZXYueG1sUEsBAhQAFAAAAAgAh07iQA3+hoBBAgAAoAQAAA4AAAAAAAAAAQAgAAAA&#10;JgEAAGRycy9lMm9Eb2MueG1sUEsFBgAAAAAGAAYAWQEAANkFAAAAAA==&#10;">
                  <v:fill on="t" focussize="0,0"/>
                  <v:stroke color="#000000" miterlimit="8" joinstyle="miter"/>
                  <v:imagedata o:title=""/>
                  <o:lock v:ext="edit" aspectratio="f"/>
                  <v:textbox>
                    <w:txbxContent>
                      <w:p>
                        <w:pPr>
                          <w:rPr>
                            <w:rFonts w:ascii="宋体" w:hAnsi="宋体"/>
                          </w:rPr>
                        </w:pPr>
                        <w:r>
                          <w:rPr>
                            <w:rFonts w:hint="eastAsia" w:ascii="宋体" w:hAnsi="宋体"/>
                          </w:rPr>
                          <w:t>呈交每期资金使用计划</w:t>
                        </w:r>
                      </w:p>
                    </w:txbxContent>
                  </v:textbox>
                </v:shape>
                <v:shape id="Text Box 5" o:spid="_x0000_s1026" o:spt="202" type="#_x0000_t202" style="position:absolute;left:800099;top:495300;height:396240;width:10287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wopCdQAAAAGAQAADwAAAAAAAAABACAAAAAiAAAA&#10;ZHJzL2Rvd25yZXYueG1sUEsBAhQAFAAAAAgAh07iQMjjeT9EAgAAnwQAAA4AAAAAAAAAAQAgAAAA&#10;IwEAAGRycy9lMm9Eb2MueG1sUEsFBgAAAAAGAAYAWQEAANkFA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施工单位</w:t>
                        </w:r>
                      </w:p>
                    </w:txbxContent>
                  </v:textbox>
                </v:shape>
                <v:line id="Line 6" o:spid="_x0000_s1026" o:spt="20" style="position:absolute;left:1257300;top:891540;height:69342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sxljI/cBAADoAwAADgAAAAAAAAABACAAAAAnAQAAZHJzL2Uyb0RvYy54&#10;bWxQSwUGAAAAAAYABgBZAQAAkAUAAAAA&#10;">
                  <v:fill on="f" focussize="0,0"/>
                  <v:stroke color="#000000" joinstyle="round" endarrow="block"/>
                  <v:imagedata o:title=""/>
                  <o:lock v:ext="edit" aspectratio="f"/>
                </v:line>
                <v:shape id="Text Box 7" o:spid="_x0000_s1026" o:spt="202" type="#_x0000_t202" style="position:absolute;left:685800;top:1584960;height:396240;width:10287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Cdp7HWRQIAAKA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监理单位</w:t>
                        </w:r>
                      </w:p>
                    </w:txbxContent>
                  </v:textbox>
                </v:shape>
                <v:shape id="Text Box 8" o:spid="_x0000_s1026" o:spt="202" type="#_x0000_t202" style="position:absolute;left:461645;top:2872740;height:513080;width:1481455;"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B6DSPWRQIAAKA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代业主单位（若有时）</w:t>
                        </w:r>
                      </w:p>
                      <w:p>
                        <w:pPr>
                          <w:rPr>
                            <w:rFonts w:ascii="宋体" w:hAnsi="宋体"/>
                          </w:rPr>
                        </w:pPr>
                      </w:p>
                    </w:txbxContent>
                  </v:textbox>
                </v:shape>
                <v:line id="Line 9" o:spid="_x0000_s1026" o:spt="20" style="position:absolute;left:1257300;top:3268980;height:69342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YutXYAAAABgEAAA8AAAAAAAAAAQAgAAAAIgAAAGRycy9kb3ducmV2Lnht&#10;bFBLAQIUABQAAAAIAIdO4kBOasfm+QEAAOkDAAAOAAAAAAAAAAEAIAAAACcBAABkcnMvZTJvRG9j&#10;LnhtbFBLBQYAAAAABgAGAFkBAACSBQAAAAA=&#10;">
                  <v:fill on="f" focussize="0,0"/>
                  <v:stroke color="#000000" joinstyle="round" endarrow="block"/>
                  <v:imagedata o:title=""/>
                  <o:lock v:ext="edit" aspectratio="f"/>
                </v:line>
                <v:line id="Line 10" o:spid="_x0000_s1026" o:spt="20" style="position:absolute;left:1257300;top:1981200;flip:x;height:891540;width:635;" filled="f" stroked="t" coordsize="21600,21600" o:gfxdata="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dWQNcAAAAGAQAADwAAAAAAAAABACAAAAAiAAAAZHJzL2Rvd25y&#10;ZXYueG1sUEsBAhQAFAAAAAgAh07iQBFfxBX/AQAA9AMAAA4AAAAAAAAAAQAgAAAAJgEAAGRycy9l&#10;Mm9Eb2MueG1sUEsFBgAAAAAGAAYAWQEAAJcFAAAAAA==&#10;">
                  <v:fill on="f" focussize="0,0"/>
                  <v:stroke color="#000000" joinstyle="round" endarrow="block"/>
                  <v:imagedata o:title=""/>
                  <o:lock v:ext="edit" aspectratio="f"/>
                </v:line>
                <v:line id="Line 11" o:spid="_x0000_s1026" o:spt="20" style="position:absolute;left:1714500;top:1882140;height:635;width:107442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Fi61dgAAAAGAQAADwAAAAAAAAABACAAAAAiAAAAZHJzL2Rvd25yZXYueG1sUEsB&#10;AhQAFAAAAAgAh07iQDSlp9f1AQAA6wMAAA4AAAAAAAAAAQAgAAAAJwEAAGRycy9lMm9Eb2MueG1s&#10;UEsFBgAAAAAGAAYAWQEAAI4FAAAAAA==&#10;">
                  <v:fill on="f" focussize="0,0"/>
                  <v:stroke color="#000000" joinstyle="round" endarrow="block"/>
                  <v:imagedata o:title=""/>
                  <o:lock v:ext="edit" aspectratio="f"/>
                </v:line>
                <v:line id="Line 12" o:spid="_x0000_s1026" o:spt="20" style="position:absolute;left:1714500;top:693420;height:635;width:13716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Fi61dgAAAAGAQAADwAAAAAAAAABACAAAAAiAAAAZHJzL2Rvd25yZXYueG1sUEsB&#10;AhQAFAAAAAgAh07iQNDa7j71AQAA6gMAAA4AAAAAAAAAAQAgAAAAJwEAAGRycy9lMm9Eb2MueG1s&#10;UEsFBgAAAAAGAAYAWQEAAI4FAAAAAA==&#10;">
                  <v:fill on="f" focussize="0,0"/>
                  <v:stroke color="#000000" joinstyle="round" endarrow="block"/>
                  <v:imagedata o:title=""/>
                  <o:lock v:ext="edit" aspectratio="f"/>
                </v:line>
                <v:shape id="Text Box 13" o:spid="_x0000_s1026" o:spt="202" type="#_x0000_t202" style="position:absolute;left:2788920;top:1684020;height:647700;width:1501775;" fillcolor="#FFFFFF" filled="t" stroked="t" coordsize="21600,21600" o:gfxdata="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MHvdcAAAAGAQAADwAAAAAAAAABACAAAAAi&#10;AAAAZHJzL2Rvd25yZXYueG1sUEsBAhQAFAAAAAgAh07iQKk5KthEAgAAogQAAA4AAAAAAAAAAQAg&#10;AAAAJgEAAGRycy9lMm9Eb2MueG1sUEsFBgAAAAAGAAYAWQEAANwFAAAAAA==&#10;">
                  <v:fill on="t" focussize="0,0"/>
                  <v:stroke color="#000000" miterlimit="8" joinstyle="miter"/>
                  <v:imagedata o:title=""/>
                  <o:lock v:ext="edit" aspectratio="f"/>
                  <v:textbox>
                    <w:txbxContent>
                      <w:p>
                        <w:pPr>
                          <w:rPr>
                            <w:rFonts w:ascii="宋体" w:hAnsi="宋体"/>
                          </w:rPr>
                        </w:pPr>
                        <w:r>
                          <w:rPr>
                            <w:rFonts w:hint="eastAsia" w:ascii="宋体" w:hAnsi="宋体"/>
                          </w:rPr>
                          <w:t>按照工程进度对资金使用计划初审</w:t>
                        </w:r>
                      </w:p>
                      <w:p>
                        <w:pPr>
                          <w:rPr>
                            <w:rFonts w:ascii="宋体" w:hAnsi="宋体"/>
                          </w:rPr>
                        </w:pPr>
                      </w:p>
                      <w:p>
                        <w:pPr>
                          <w:rPr>
                            <w:rFonts w:ascii="宋体" w:hAnsi="宋体"/>
                          </w:rPr>
                        </w:pPr>
                      </w:p>
                    </w:txbxContent>
                  </v:textbox>
                </v:shape>
                <v:shape id="Text Box 14" o:spid="_x0000_s1026" o:spt="202" type="#_x0000_t202" style="position:absolute;left:571500;top:3962400;height:396240;width:13716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wopCdQAAAAGAQAADwAAAAAAAAABACAAAAAiAAAAZHJz&#10;L2Rvd25yZXYueG1sUEsBAhQAFAAAAAgAh07iQGl6lVNBAgAAoQQAAA4AAAAAAAAAAQAgAAAAIwEA&#10;AGRycy9lMm9Eb2MueG1sUEsFBgAAAAAGAAYAWQEAANYFA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区建管中心</w:t>
                        </w:r>
                      </w:p>
                    </w:txbxContent>
                  </v:textbox>
                </v:shape>
                <v:line id="Line 15" o:spid="_x0000_s1026" o:spt="20" style="position:absolute;left:1257300;top:4358640;height:89154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YutXYAAAABgEAAA8AAAAAAAAAAQAgAAAAIgAAAGRycy9kb3ducmV2Lnht&#10;bFBLAQIUABQAAAAIAIdO4kDpLSh++QEAAOoDAAAOAAAAAAAAAAEAIAAAACcBAABkcnMvZTJvRG9j&#10;LnhtbFBLBQYAAAAABgAGAFkBAACSBQAAAAA=&#10;">
                  <v:fill on="f" focussize="0,0"/>
                  <v:stroke color="#000000" joinstyle="round" endarrow="block"/>
                  <v:imagedata o:title=""/>
                  <o:lock v:ext="edit" aspectratio="f"/>
                </v:line>
                <v:line id="Line 17" o:spid="_x0000_s1026" o:spt="20" style="position:absolute;left:1943100;top:3070860;height:635;width:13716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oE72RfcBAADrAwAADgAAAAAAAAABACAAAAAnAQAAZHJzL2Uyb0RvYy54&#10;bWxQSwUGAAAAAAYABgBZAQAAkAUAAAAA&#10;">
                  <v:fill on="f" focussize="0,0"/>
                  <v:stroke color="#000000" joinstyle="round" endarrow="block"/>
                  <v:imagedata o:title=""/>
                  <o:lock v:ext="edit" aspectratio="f"/>
                </v:line>
                <v:line id="Line 18" o:spid="_x0000_s1026" o:spt="20" style="position:absolute;left:1257300;top:4754880;height:635;width:12573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Fi61dgAAAAGAQAADwAAAAAAAAABACAAAAAiAAAAZHJzL2Rvd25yZXYueG1sUEsBAhQA&#10;FAAAAAgAh07iQD7iCozyAQAA6wMAAA4AAAAAAAAAAQAgAAAAJwEAAGRycy9lMm9Eb2MueG1sUEsF&#10;BgAAAAAGAAYAWQEAAIsFAAAAAA==&#10;">
                  <v:fill on="f" focussize="0,0"/>
                  <v:stroke color="#000000" joinstyle="round" endarrow="block"/>
                  <v:imagedata o:title=""/>
                  <o:lock v:ext="edit" aspectratio="f"/>
                </v:line>
                <v:shape id="Text Box 19" o:spid="_x0000_s1026" o:spt="202" type="#_x0000_t202" style="position:absolute;left:3314700;top:2872740;height:396240;width:121158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Afuuc+RQIAAKI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资金使用审批</w:t>
                        </w:r>
                      </w:p>
                    </w:txbxContent>
                  </v:textbox>
                </v:shape>
                <v:line id="Line 20" o:spid="_x0000_s1026" o:spt="20" style="position:absolute;left:1943100;top:5448300;height:635;width:1371600;" filled="f" stroked="t" coordsize="21600,21600" o:gfxdata="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TaQf1gAAAAYBAAAPAAAAAAAAAAEAIAAAACIAAABkcnMvZG93bnJldi54bWxQSwEC&#10;FAAUAAAACACHTuJAhsTV5vYBAADsAwAADgAAAAAAAAABACAAAAAlAQAAZHJzL2Uyb0RvYy54bWxQ&#10;SwUGAAAAAAYABgBZAQAAjQUAAAAA&#10;">
                  <v:fill on="f" focussize="0,0"/>
                  <v:stroke weight="1pt" color="#000000" joinstyle="round" endarrow="block"/>
                  <v:imagedata o:title=""/>
                  <o:lock v:ext="edit" aspectratio="f"/>
                </v:line>
                <v:shape id="Text Box 21" o:spid="_x0000_s1026" o:spt="202" type="#_x0000_t202" style="position:absolute;left:3657600;top:6637020;height:396240;width:121158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8KKQnUAAAABgEAAA8AAAAAAAAAAQAgAAAA&#10;IgAAAGRycy9kb3ducmV2LnhtbFBLAQIUABQAAAAIAIdO4kAULIvASAIAAKIEAAAOAAAAAAAAAAEA&#10;IAAAACMBAABkcnMvZTJvRG9jLnhtbFBLBQYAAAAABgAGAFkBAADd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资金支付</w:t>
                        </w:r>
                      </w:p>
                    </w:txbxContent>
                  </v:textbox>
                </v:shape>
                <v:shape id="Text Box 22" o:spid="_x0000_s1026" o:spt="202" type="#_x0000_t202" style="position:absolute;left:3314700;top:5052060;height:1188720;width:2286000;" fillcolor="#FFFFFF" filled="t" stroked="t" coordsize="21600,21600" o:gfxdata="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cJ0QrTAAAABgEAAA8AAAAAAAAAAQAgAAAA&#10;IgAAAGRycy9kb3ducmV2LnhtbFBLAQIUABQAAAAIAIdO4kCZ/7AOSQIAAKQEAAAOAAAAAAAAAAEA&#10;IAAAACIBAABkcnMvZTJvRG9jLnhtbFBLBQYAAAAABgAGAFkBAADdBQAAAAA=&#10;">
                  <v:fill on="t" focussize="0,0"/>
                  <v:stroke color="#000000" miterlimit="8" joinstyle="miter"/>
                  <v:imagedata o:title=""/>
                  <o:lock v:ext="edit" aspectratio="f"/>
                  <v:textbox inset="2.54mm,3.3mm,2.54mm,1.27mm">
                    <w:txbxContent>
                      <w:p>
                        <w:pPr>
                          <w:rPr>
                            <w:rFonts w:ascii="宋体" w:hAnsi="宋体"/>
                          </w:rPr>
                        </w:pPr>
                        <w:r>
                          <w:rPr>
                            <w:rFonts w:hint="eastAsia" w:ascii="宋体" w:hAnsi="宋体"/>
                          </w:rPr>
                          <w:t>监管银行实时监控施工单位资金流向，如出现异常，将反馈至业主单位，业主单位将要求参建单位纠正并采取补救措施</w:t>
                        </w:r>
                      </w:p>
                    </w:txbxContent>
                  </v:textbox>
                </v:shape>
                <v:rect id="Rectangle 26" o:spid="_x0000_s1026" o:spt="1" style="position:absolute;left:571500;top:5250180;height:396240;width:1371600;" fillcolor="#FFFFFF" filled="t" stroked="t" coordsize="21600,21600" o:gfxdata="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qFnet1QAAAAYBAAAPAAAAAAAAAAEAIAAAACIAAABkcnMv&#10;ZG93bnJldi54bWxQSwECFAAUAAAACACHTuJApNUY1T8CAACYBAAADgAAAAAAAAABACAAAAAkAQAA&#10;ZHJzL2Uyb0RvYy54bWxQSwUGAAAAAAYABgBZAQAA1QUAAAAA&#10;">
                  <v:fill on="t" focussize="0,0"/>
                  <v:stroke color="#000000" miterlimit="8" joinstyle="miter"/>
                  <v:imagedata o:title=""/>
                  <o:lock v:ext="edit" aspectratio="f"/>
                  <v:textbox>
                    <w:txbxContent>
                      <w:p>
                        <w:pPr>
                          <w:ind w:firstLine="525" w:firstLineChars="250"/>
                          <w:rPr>
                            <w:rFonts w:ascii="宋体" w:hAnsi="宋体"/>
                          </w:rPr>
                        </w:pPr>
                        <w:r>
                          <w:rPr>
                            <w:rFonts w:hint="eastAsia" w:ascii="宋体" w:hAnsi="宋体"/>
                          </w:rPr>
                          <w:t>开户行</w:t>
                        </w:r>
                      </w:p>
                    </w:txbxContent>
                  </v:textbox>
                </v:rect>
                <v:line id="Line 27" o:spid="_x0000_s1026" o:spt="20" style="position:absolute;left:4343400;top:6240780;height:39624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Zb9ec/cBAADqAwAADgAAAAAAAAABACAAAAAnAQAAZHJzL2Uyb0RvYy54&#10;bWxQSwUGAAAAAAYABgBZAQAAkAUAAAAA&#10;">
                  <v:fill on="f" focussize="0,0"/>
                  <v:stroke color="#000000" joinstyle="round" endarrow="block"/>
                  <v:imagedata o:title=""/>
                  <o:lock v:ext="edit" aspectratio="f"/>
                </v:line>
                <v:rect id="Rectangle 28" o:spid="_x0000_s1026" o:spt="1" style="position:absolute;left:2514600;top:4506098;height:446902;width:1365422;" fillcolor="#FFFFFF" filled="t" stroked="t" coordsize="21600,21600" o:gfxdata="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Fnet1QAAAAYBAAAPAAAAAAAAAAEAIAAAACIAAABk&#10;cnMvZG93bnJldi54bWxQSwECFAAUAAAACACHTuJAeHS9ykICAACZBAAADgAAAAAAAAABACAAAAAk&#10;AQAAZHJzL2Uyb0RvYy54bWxQSwUGAAAAAAYABgBZAQAA2AUAAAAA&#10;">
                  <v:fill on="t" focussize="0,0"/>
                  <v:stroke color="#000000" miterlimit="8" joinstyle="miter"/>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出具划款通知书</w:t>
                        </w:r>
                      </w:p>
                    </w:txbxContent>
                  </v:textbox>
                </v:rect>
                <w10:wrap type="none"/>
                <w10:anchorlock/>
              </v:group>
            </w:pict>
          </mc:Fallback>
        </mc:AlternateContent>
      </w:r>
    </w:p>
    <w:p>
      <w:pPr>
        <w:wordWrap w:val="0"/>
        <w:rPr>
          <w:rFonts w:ascii="宋体" w:hAnsi="宋体" w:cs="宋体"/>
          <w:color w:val="auto"/>
          <w:highlight w:val="none"/>
        </w:rPr>
      </w:pPr>
      <w:r>
        <w:rPr>
          <w:rFonts w:hint="eastAsia" w:ascii="宋体" w:hAnsi="宋体" w:cs="宋体"/>
          <w:color w:val="auto"/>
          <w:highlight w:val="none"/>
        </w:rPr>
        <w:t>附件五：</w:t>
      </w:r>
    </w:p>
    <w:p>
      <w:pPr>
        <w:wordWrap w:val="0"/>
        <w:autoSpaceDN w:val="0"/>
        <w:spacing w:line="360" w:lineRule="auto"/>
        <w:jc w:val="center"/>
        <w:rPr>
          <w:rFonts w:ascii="宋体" w:hAnsi="宋体" w:cs="宋体"/>
          <w:b/>
          <w:bCs/>
          <w:color w:val="auto"/>
          <w:sz w:val="30"/>
          <w:szCs w:val="30"/>
          <w:highlight w:val="none"/>
        </w:rPr>
      </w:pPr>
    </w:p>
    <w:p>
      <w:pPr>
        <w:wordWrap w:val="0"/>
        <w:autoSpaceDN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共管工程预付款使用监管办法（适用于无代建项目）</w:t>
      </w:r>
    </w:p>
    <w:p>
      <w:pPr>
        <w:wordWrap w:val="0"/>
        <w:autoSpaceDN w:val="0"/>
        <w:spacing w:line="360" w:lineRule="auto"/>
        <w:ind w:firstLine="555"/>
        <w:rPr>
          <w:rFonts w:ascii="宋体" w:hAnsi="宋体" w:cs="宋体"/>
          <w:color w:val="auto"/>
          <w:sz w:val="32"/>
          <w:szCs w:val="32"/>
          <w:highlight w:val="none"/>
        </w:rPr>
      </w:pP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鉴于</w:t>
      </w:r>
      <w:r>
        <w:rPr>
          <w:rFonts w:hint="eastAsia" w:ascii="宋体" w:hAnsi="宋体" w:cs="宋体"/>
          <w:color w:val="auto"/>
          <w:highlight w:val="none"/>
          <w:u w:val="single"/>
        </w:rPr>
        <w:t xml:space="preserve">       </w:t>
      </w:r>
      <w:r>
        <w:rPr>
          <w:rFonts w:hint="eastAsia" w:ascii="宋体" w:hAnsi="宋体" w:cs="宋体"/>
          <w:color w:val="auto"/>
          <w:highlight w:val="none"/>
        </w:rPr>
        <w:t>（下称“本工程”）建设业主（即发包人）支付给承包人的建安工程预付款（扣除工人工资款项）（以下简称“工程预付款”）采用在经由建设业主、承包人双方协商一致后选择的银行（以下简称“共管银行”）设立共管账户，以建设业主、承包人共管方式支出。为保证工程预付款的专款专用和合理使用，现就共管账户内资金支出监管事宜制订本办法。</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一、共管原则</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本工程建设业主、施工承包人及共管银行签订三方资金共管账户合同，在共管银行设立户名为施工承包人的资金结算共管账户。建设业主按《》（以下简称施工合同）约定支付的工程预付款直接支付至上述共管账户（款项支付至共管账户，即视为发包人已按合同约定履行付款义务）。承包人就本工程需从上述账户中对外支付款项的，应按本办法规定报建设业主审核。建设业主审批同意承包人用款申请后，向银行出具书面同意支付通知，银行根据前述书面支付通知及承包人的申请，将相应资金从共管账户划转至指定收款方。</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二、工程预付款对外支付审批流程</w:t>
      </w:r>
    </w:p>
    <w:p>
      <w:pPr>
        <w:wordWrap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建设业主按施工合同约定支付工程预付款至共管账户后，承包人即可申请支出，每次支出金额不得超过帐户中工程预付款，且累计支出金额不得超过按本工程可开工部分工程量占本工程总工程量比例计算的预付款金额，直至预付款支出完毕。</w:t>
      </w:r>
    </w:p>
    <w:p>
      <w:pPr>
        <w:wordWrap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 （注：具体预付款支付次数及条件由工程部门结合项目实际确定。）</w:t>
      </w:r>
    </w:p>
    <w:p>
      <w:pPr>
        <w:wordWrap w:val="0"/>
        <w:autoSpaceDN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支付前置条件：签订施工合同，工程本次交地范围完成临时设施、安全文明措施，具备开工条件。</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申请支付审批流程为：承包人提交申请材料→监理审核→建设业主审核并出具同意支付通知。</w:t>
      </w:r>
    </w:p>
    <w:p>
      <w:pPr>
        <w:wordWrap w:val="0"/>
        <w:autoSpaceDN w:val="0"/>
        <w:spacing w:line="360" w:lineRule="auto"/>
        <w:ind w:firstLine="315" w:firstLineChars="150"/>
        <w:rPr>
          <w:rFonts w:ascii="宋体" w:hAnsi="宋体" w:cs="宋体"/>
          <w:color w:val="auto"/>
          <w:highlight w:val="none"/>
        </w:rPr>
      </w:pPr>
      <w:r>
        <w:rPr>
          <w:rFonts w:hint="eastAsia" w:ascii="宋体" w:hAnsi="宋体" w:cs="宋体"/>
          <w:color w:val="auto"/>
          <w:highlight w:val="none"/>
        </w:rPr>
        <w:t xml:space="preserve"> 承包人申请款项支出应提供材料包括但不限于：</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1、填写建设业主统一提供的付款申请书；</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2、用款计划（内容包括款项用途、金额等）。</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三、监理单位、建设业主在审核承包人支付申请时，如发现支付申请不满足工程节点要求、支出金额不符合工程实际或有弄虚作假情况的，应拒绝承包人的支出申请。</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承包人的支出申请因上述情况被拒绝的，监理单位、建设业主不承担任何责任，承包人不得因此延误工程进度、或向相关方索赔。</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四、建设业主可不定期采取到银行对账等方式对共管账户资金使用情况（包括支付金额、支付单位等）进行检查，并有权要求承包人定期或不定期编制共管账户资金支出汇总表交建设业主审核及对账，前述汇总表应列明每笔用款的具体日期、金额、用途等要素。</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建设业主如发现账户资金支付有不符合工程实际、弄虚作假情况的，或发现本工程建设资金存在外借、挪用、转移、权益转让、抵押、质押、担保等情况的，有权停止后续工程款项的支付、并要求承包人限期返还违规支出的资金。上述权利不因建设业主审核同意承包人具体支出申请或暂定、停止审核支出申请而排除。</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五、监理单位、建设业主审核同意承包人的支出申请，不表示其对承包人提供资料的真实性、合法性承担责任，不表示其与承包人的供应商建立了合同关系，也不表示其同意承担承包人与供应商的任何权利义务。承包人与其供应商之间的任何纠纷与监理单位、建设业主无关。</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六、本办法是本工程施工合同的组成部分，建设业主及承包人均应按本办法执行。</w:t>
      </w:r>
    </w:p>
    <w:p>
      <w:pPr>
        <w:wordWrap w:val="0"/>
        <w:autoSpaceDN w:val="0"/>
        <w:spacing w:line="360" w:lineRule="auto"/>
        <w:jc w:val="center"/>
        <w:rPr>
          <w:rFonts w:ascii="宋体" w:hAnsi="宋体" w:cs="宋体"/>
          <w:b/>
          <w:bCs/>
          <w:color w:val="auto"/>
          <w:sz w:val="30"/>
          <w:szCs w:val="30"/>
          <w:highlight w:val="none"/>
        </w:rPr>
      </w:pPr>
    </w:p>
    <w:p>
      <w:pPr>
        <w:widowControl/>
        <w:jc w:val="left"/>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wordWrap w:val="0"/>
        <w:autoSpaceDN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共管工程预付款使用监管办法（适用于代建项目）</w:t>
      </w:r>
    </w:p>
    <w:p>
      <w:pPr>
        <w:wordWrap w:val="0"/>
        <w:autoSpaceDN w:val="0"/>
        <w:spacing w:line="360" w:lineRule="auto"/>
        <w:ind w:firstLine="555"/>
        <w:rPr>
          <w:rFonts w:ascii="宋体" w:hAnsi="宋体" w:cs="宋体"/>
          <w:color w:val="auto"/>
          <w:sz w:val="32"/>
          <w:szCs w:val="32"/>
          <w:highlight w:val="none"/>
        </w:rPr>
      </w:pPr>
    </w:p>
    <w:p>
      <w:pPr>
        <w:wordWrap w:val="0"/>
        <w:autoSpaceDN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 xml:space="preserve">  鉴于</w:t>
      </w:r>
      <w:r>
        <w:rPr>
          <w:rFonts w:hint="eastAsia" w:ascii="宋体" w:hAnsi="宋体" w:cs="宋体"/>
          <w:color w:val="auto"/>
          <w:highlight w:val="none"/>
          <w:u w:val="single"/>
        </w:rPr>
        <w:t xml:space="preserve">       </w:t>
      </w:r>
      <w:r>
        <w:rPr>
          <w:rFonts w:hint="eastAsia" w:ascii="宋体" w:hAnsi="宋体" w:cs="宋体"/>
          <w:color w:val="auto"/>
          <w:highlight w:val="none"/>
        </w:rPr>
        <w:t>（下称“本工程”）建设业主支付给承包人的建安工程预付款（扣除工人工资款项）（以下简称“工程预付款”）采用在经由建设业主、承包人双方协商一致后选择的银行（以下简称“共管银行”）设立共管账户，以建设业主、承包人共管方式支出。为保证工程预付款的专款专用和合理使用，现就共管账户内资金支出监管事宜制订本办法。</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一、共管原则</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本工程建设业主、施工承包人及共管银行签订三方资金共管账户合同，在共管银行设立户名为施工承包人的资金结算共管账户。建设业主按《     合同》（以下简称施工合同）约定支付的工程预付款直接支付至上述共管账户（款项支付至共管账户，即视为建设业主已按合同约定履行付款义务）。施工承包人就本工程需从上述账户中对外支付款项的，应按本办法规定报建设业主审核。建设业主审批同意施工承包人用款申请后，向银行出具书面同意支付通知，银行根据前述书面支付通知及施工承包人的申请，将相应资金从共管账户划转至指定收款方。</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二、工程预付款对外支付审批流程</w:t>
      </w:r>
    </w:p>
    <w:p>
      <w:pPr>
        <w:wordWrap w:val="0"/>
        <w:autoSpaceDN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建设业主按施工合同约定支付工程预付款至共管账户后，承包人即可申请支出，每次支出金额不得超过帐户中工程预付款，且累计支出金额不得超过按本工程可开工部分工程量占本工程总工程量比例计算的预付款金额，直至工程预付款支出完毕。</w:t>
      </w:r>
    </w:p>
    <w:p>
      <w:pPr>
        <w:wordWrap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rPr>
        <w:t xml:space="preserve"> （注：具体预付款支付次数及条件由工程部门结合项目实际确定。）</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u w:val="single"/>
        </w:rPr>
        <w:t>支付前置条件：签订施工合同，工程本次交地范围完成临时设施、安全文明措施，具备开工条件</w:t>
      </w:r>
      <w:r>
        <w:rPr>
          <w:rFonts w:hint="eastAsia" w:ascii="宋体" w:hAnsi="宋体" w:cs="宋体"/>
          <w:color w:val="auto"/>
          <w:highlight w:val="none"/>
        </w:rPr>
        <w:t>。</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申请支付审批流程为：承包人提交申请材料→监理审核→代建单位审核→建设业主审核并出具同意支付通知。</w:t>
      </w:r>
    </w:p>
    <w:p>
      <w:pPr>
        <w:wordWrap w:val="0"/>
        <w:autoSpaceDN w:val="0"/>
        <w:spacing w:line="360" w:lineRule="auto"/>
        <w:ind w:firstLine="315" w:firstLineChars="150"/>
        <w:rPr>
          <w:rFonts w:ascii="宋体" w:hAnsi="宋体" w:cs="宋体"/>
          <w:color w:val="auto"/>
          <w:highlight w:val="none"/>
        </w:rPr>
      </w:pPr>
      <w:r>
        <w:rPr>
          <w:rFonts w:hint="eastAsia" w:ascii="宋体" w:hAnsi="宋体" w:cs="宋体"/>
          <w:color w:val="auto"/>
          <w:highlight w:val="none"/>
        </w:rPr>
        <w:t xml:space="preserve"> 承包人申请款项支出应提供材料包括但不限于：</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1、填写建设业主统一提供的付款申请书；</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2、用款计划（内容包括款项用途、金额等）。</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三、监理单位、代建单位、建设业主在审核承包人支付申请时，如发现支付申请不满足工程节点要求、支出金额不符合工程实际或有弄虚作假情况的，应拒绝承包人的支出申请。</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承包人的支出申请因上述情况被拒绝的，监理单位、代建单位、建设业主不承担任何责任，承包人不得因此延误工程进度、或向相关方索赔。</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四、建设业主可不定期采取到银行对账等方式对共管账户资金使用情况（包括支付金额、支付单位等）进行检查，并有权要求承包人定期或不定期编制共管账户资金支出汇总表交建设业主审核及对账，前述汇总表应列明每笔用款的具体日期、金额、用途等要素。</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建设业主如发现账户资金支付有不符合工程实际、弄虚作假情况的，或发现本工程建设资金存在外借、挪用、转移、权益转让、抵押、质押、担保等情况的，有权停止后续工程款项的支付、并要求承包人限期返还违规支出的资金。上述权利不因建设业主审核同意承包人具体支出申请或暂定、停止审核支出申请而排除。</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五、监理单位、代建单位、建设业主审核同意承包人的支出申请，不表示其对承包人提供资料的真实性、合法性承担责任，不表示其与承包人的供应商建立了合同关系，也不表示其同意承担承包人与供应商的任何权利义务。承包人与其供应商之间的任何纠纷与监理单位、代建单位、建设业主无关。</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六、本办法是本工程施工合同的组成部分，建设业主、代建单位及承包人均应按本办法执行。</w:t>
      </w:r>
    </w:p>
    <w:p>
      <w:pPr>
        <w:widowControl/>
        <w:jc w:val="left"/>
        <w:rPr>
          <w:rFonts w:ascii="宋体" w:hAnsi="宋体" w:cs="宋体"/>
          <w:snapToGrid w:val="0"/>
          <w:color w:val="auto"/>
          <w:kern w:val="0"/>
          <w:sz w:val="24"/>
          <w:szCs w:val="32"/>
          <w:highlight w:val="none"/>
        </w:rPr>
      </w:pPr>
      <w:r>
        <w:rPr>
          <w:rFonts w:ascii="宋体" w:hAnsi="宋体"/>
          <w:b/>
          <w:color w:val="auto"/>
          <w:sz w:val="28"/>
          <w:szCs w:val="28"/>
          <w:highlight w:val="none"/>
        </w:rPr>
        <w:br w:type="page"/>
      </w:r>
    </w:p>
    <w:p>
      <w:pPr>
        <w:pStyle w:val="3"/>
        <w:rPr>
          <w:rFonts w:ascii="宋体" w:hAnsi="宋体"/>
          <w:color w:val="auto"/>
          <w:highlight w:val="none"/>
        </w:rPr>
      </w:pPr>
      <w:bookmarkStart w:id="167" w:name="_Toc8692"/>
      <w:bookmarkStart w:id="168" w:name="_Toc26989"/>
      <w:bookmarkStart w:id="169" w:name="_Toc2272567"/>
      <w:bookmarkStart w:id="170" w:name="_Toc4135"/>
      <w:bookmarkStart w:id="171" w:name="_Toc112397827"/>
      <w:bookmarkStart w:id="172" w:name="_Toc22795"/>
      <w:r>
        <w:rPr>
          <w:rFonts w:hint="eastAsia" w:ascii="宋体" w:hAnsi="宋体"/>
          <w:color w:val="auto"/>
          <w:highlight w:val="none"/>
        </w:rPr>
        <w:t>第四章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投标文件格式</w:t>
      </w:r>
      <w:bookmarkEnd w:id="167"/>
      <w:bookmarkEnd w:id="168"/>
      <w:bookmarkEnd w:id="169"/>
      <w:bookmarkEnd w:id="170"/>
      <w:bookmarkEnd w:id="171"/>
      <w:bookmarkEnd w:id="172"/>
    </w:p>
    <w:p>
      <w:pPr>
        <w:pStyle w:val="5"/>
        <w:rPr>
          <w:rFonts w:ascii="宋体" w:hAnsi="宋体"/>
          <w:color w:val="auto"/>
          <w:highlight w:val="none"/>
        </w:rPr>
      </w:pPr>
      <w:bookmarkStart w:id="173" w:name="_Toc1070"/>
      <w:bookmarkStart w:id="174" w:name="_Toc17211"/>
      <w:bookmarkStart w:id="175" w:name="_Toc8010"/>
      <w:bookmarkStart w:id="176" w:name="_Toc24679"/>
      <w:bookmarkStart w:id="177" w:name="_Toc112397828"/>
      <w:r>
        <w:rPr>
          <w:rFonts w:hint="eastAsia" w:ascii="宋体" w:hAnsi="宋体"/>
          <w:color w:val="auto"/>
          <w:highlight w:val="none"/>
        </w:rPr>
        <w:t>一、技术标投标文件格式</w:t>
      </w:r>
      <w:bookmarkEnd w:id="173"/>
      <w:bookmarkEnd w:id="174"/>
      <w:bookmarkEnd w:id="175"/>
      <w:bookmarkEnd w:id="176"/>
      <w:bookmarkEnd w:id="177"/>
    </w:p>
    <w:p>
      <w:pPr>
        <w:pStyle w:val="6"/>
        <w:rPr>
          <w:color w:val="auto"/>
          <w:highlight w:val="none"/>
        </w:rPr>
      </w:pPr>
      <w:bookmarkStart w:id="178" w:name="_Toc25534"/>
      <w:bookmarkStart w:id="179" w:name="_Toc112397829"/>
      <w:bookmarkStart w:id="180" w:name="_Toc1634"/>
      <w:bookmarkStart w:id="181" w:name="_Toc32604"/>
      <w:bookmarkStart w:id="182" w:name="_Toc60070621"/>
      <w:bookmarkStart w:id="183" w:name="_Toc781"/>
      <w:r>
        <w:rPr>
          <w:rFonts w:hint="eastAsia"/>
          <w:color w:val="auto"/>
          <w:highlight w:val="none"/>
        </w:rPr>
        <w:t>格式一：</w:t>
      </w:r>
      <w:bookmarkEnd w:id="178"/>
      <w:bookmarkEnd w:id="179"/>
      <w:bookmarkEnd w:id="180"/>
      <w:bookmarkEnd w:id="181"/>
      <w:bookmarkEnd w:id="182"/>
      <w:bookmarkEnd w:id="183"/>
    </w:p>
    <w:p>
      <w:pPr>
        <w:jc w:val="center"/>
        <w:rPr>
          <w:rFonts w:ascii="宋体" w:hAnsi="宋体" w:cs="宋体"/>
          <w:b/>
          <w:color w:val="auto"/>
          <w:sz w:val="36"/>
          <w:szCs w:val="36"/>
          <w:highlight w:val="none"/>
        </w:rPr>
      </w:pPr>
      <w:bookmarkStart w:id="184" w:name="_Toc58838587"/>
      <w:r>
        <w:rPr>
          <w:rFonts w:hint="eastAsia" w:ascii="宋体" w:hAnsi="宋体" w:cs="宋体"/>
          <w:b/>
          <w:color w:val="auto"/>
          <w:sz w:val="36"/>
          <w:szCs w:val="36"/>
          <w:highlight w:val="none"/>
        </w:rPr>
        <w:t>广州建设工程施工招标投标书（技术标）</w:t>
      </w:r>
      <w:bookmarkEnd w:id="184"/>
    </w:p>
    <w:tbl>
      <w:tblPr>
        <w:tblStyle w:val="4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s="宋体"/>
                <w:color w:val="auto"/>
                <w:sz w:val="24"/>
                <w:szCs w:val="24"/>
                <w:highlight w:val="none"/>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保修期限</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姓</w:t>
            </w:r>
            <w:r>
              <w:rPr>
                <w:rFonts w:ascii="宋体" w:hAnsi="宋体"/>
                <w:color w:val="auto"/>
                <w:sz w:val="24"/>
                <w:szCs w:val="24"/>
                <w:highlight w:val="none"/>
              </w:rPr>
              <w:t xml:space="preserve">   </w:t>
            </w:r>
            <w:r>
              <w:rPr>
                <w:rFonts w:hint="eastAsia" w:ascii="宋体" w:hAnsi="宋体"/>
                <w:color w:val="auto"/>
                <w:sz w:val="24"/>
                <w:szCs w:val="24"/>
                <w:highlight w:val="none"/>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姓</w:t>
            </w:r>
            <w:r>
              <w:rPr>
                <w:rFonts w:ascii="宋体" w:hAnsi="宋体" w:cs="宋体"/>
                <w:bCs/>
                <w:color w:val="auto"/>
                <w:sz w:val="24"/>
                <w:szCs w:val="24"/>
                <w:highlight w:val="none"/>
                <w:lang w:val="zh-CN"/>
              </w:rPr>
              <w:t xml:space="preserve">   </w:t>
            </w:r>
            <w:r>
              <w:rPr>
                <w:rFonts w:hint="eastAsia" w:ascii="宋体" w:hAnsi="宋体" w:cs="宋体"/>
                <w:bCs/>
                <w:color w:val="auto"/>
                <w:sz w:val="24"/>
                <w:szCs w:val="24"/>
                <w:highlight w:val="none"/>
                <w:lang w:val="zh-CN"/>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bl>
    <w:p>
      <w:pPr>
        <w:autoSpaceDE w:val="0"/>
        <w:autoSpaceDN w:val="0"/>
        <w:adjustRightInd w:val="0"/>
        <w:spacing w:line="360" w:lineRule="auto"/>
        <w:rPr>
          <w:rFonts w:ascii="宋体" w:hAnsi="宋体" w:cs="宋体"/>
          <w:color w:val="auto"/>
          <w:sz w:val="24"/>
          <w:szCs w:val="24"/>
          <w:highlight w:val="none"/>
        </w:rPr>
      </w:pPr>
      <w:r>
        <w:rPr>
          <w:rFonts w:ascii="宋体" w:hAnsi="宋体"/>
          <w:b/>
          <w:color w:val="auto"/>
          <w:highlight w:val="none"/>
        </w:rPr>
        <w:br w:type="page"/>
      </w:r>
    </w:p>
    <w:p>
      <w:pPr>
        <w:pStyle w:val="6"/>
        <w:rPr>
          <w:color w:val="auto"/>
          <w:highlight w:val="none"/>
        </w:rPr>
      </w:pPr>
      <w:bookmarkStart w:id="185" w:name="_Toc5394"/>
      <w:bookmarkStart w:id="186" w:name="_Toc60070622"/>
      <w:bookmarkStart w:id="187" w:name="_Toc112397830"/>
      <w:bookmarkStart w:id="188" w:name="_Toc9148"/>
      <w:bookmarkStart w:id="189" w:name="_Toc10062"/>
      <w:bookmarkStart w:id="190" w:name="_Toc23821"/>
      <w:r>
        <w:rPr>
          <w:rFonts w:hint="eastAsia"/>
          <w:color w:val="auto"/>
          <w:highlight w:val="none"/>
        </w:rPr>
        <w:t>格式二：</w:t>
      </w:r>
      <w:bookmarkEnd w:id="185"/>
      <w:bookmarkEnd w:id="186"/>
      <w:bookmarkEnd w:id="187"/>
      <w:bookmarkEnd w:id="188"/>
      <w:bookmarkEnd w:id="189"/>
      <w:bookmarkEnd w:id="190"/>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投标函</w:t>
      </w:r>
    </w:p>
    <w:p>
      <w:pPr>
        <w:topLinePunct/>
        <w:adjustRightInd w:val="0"/>
        <w:snapToGrid w:val="0"/>
        <w:spacing w:line="360" w:lineRule="auto"/>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致：</w:t>
      </w:r>
      <w:r>
        <w:rPr>
          <w:rFonts w:ascii="宋体" w:hAnsi="宋体" w:cs="宋体"/>
          <w:snapToGrid w:val="0"/>
          <w:color w:val="auto"/>
          <w:spacing w:val="4"/>
          <w:kern w:val="0"/>
          <w:sz w:val="24"/>
          <w:szCs w:val="24"/>
          <w:highlight w:val="none"/>
          <w:u w:val="single"/>
        </w:rPr>
        <w:t xml:space="preserve"> （招标人名称） </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1.根据已收到贵方的项目编号为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ascii="宋体" w:hAnsi="宋体" w:cs="宋体"/>
          <w:color w:val="auto"/>
          <w:sz w:val="24"/>
          <w:szCs w:val="24"/>
          <w:highlight w:val="none"/>
          <w:u w:val="single"/>
        </w:rPr>
        <w:t xml:space="preserve">          项目</w:t>
      </w:r>
      <w:r>
        <w:rPr>
          <w:rFonts w:hint="eastAsia" w:ascii="宋体" w:hAnsi="宋体" w:cs="宋体"/>
          <w:color w:val="auto"/>
          <w:sz w:val="24"/>
          <w:szCs w:val="24"/>
          <w:highlight w:val="none"/>
        </w:rPr>
        <w:t>的招标文件，并已详细审核了全部招标文件及有关附件。</w:t>
      </w:r>
    </w:p>
    <w:p>
      <w:pPr>
        <w:snapToGrid w:val="0"/>
        <w:spacing w:line="360" w:lineRule="auto"/>
        <w:ind w:firstLine="523" w:firstLineChars="218"/>
        <w:rPr>
          <w:rFonts w:ascii="宋体" w:hAnsi="宋体" w:cs="宋体"/>
          <w:color w:val="auto"/>
          <w:sz w:val="24"/>
          <w:szCs w:val="24"/>
          <w:highlight w:val="none"/>
        </w:rPr>
      </w:pPr>
      <w:r>
        <w:rPr>
          <w:rFonts w:ascii="宋体" w:hAnsi="宋体" w:cs="宋体"/>
          <w:color w:val="auto"/>
          <w:sz w:val="24"/>
          <w:szCs w:val="24"/>
          <w:highlight w:val="none"/>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愿以经济标中的投标报价并按上述合同条款、标准和技术规范、图纸、工程量清单等的要求承包上述工程的施工、竣工并修补其任何缺陷。</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 xml:space="preserve">    3.我方同意所递交的投标文件在投标须知规定的投标有效期内有效，在此期间内我方的投标有可能中标，我方将受此约束。如果在投标有效期内撤回投标或放弃中标资格，</w:t>
      </w:r>
      <w:r>
        <w:rPr>
          <w:rFonts w:hint="eastAsia" w:ascii="宋体" w:hAnsi="宋体" w:cs="宋体"/>
          <w:color w:val="auto"/>
          <w:sz w:val="24"/>
          <w:szCs w:val="24"/>
          <w:highlight w:val="none"/>
        </w:rPr>
        <w:t>给贵方造成的损失，贵方还有权要求我方进行赔偿。</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 xml:space="preserve">    4.我方理解贵方将不受必须接受你们所收到的最低标价或其它任何投标文件的约束。</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5.如果我方中标，我方保证按招标文件中规定的工期，</w:t>
      </w:r>
      <w:r>
        <w:rPr>
          <w:rFonts w:hint="eastAsia" w:ascii="宋体" w:hAnsi="宋体" w:cs="宋体"/>
          <w:b/>
          <w:color w:val="auto"/>
          <w:sz w:val="24"/>
          <w:szCs w:val="24"/>
          <w:highlight w:val="none"/>
        </w:rPr>
        <w:t>在</w:t>
      </w:r>
      <w:r>
        <w:rPr>
          <w:rFonts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日历天</w:t>
      </w:r>
      <w:r>
        <w:rPr>
          <w:rFonts w:hint="eastAsia" w:ascii="宋体" w:hAnsi="宋体" w:cs="宋体"/>
          <w:color w:val="auto"/>
          <w:sz w:val="24"/>
          <w:szCs w:val="24"/>
          <w:highlight w:val="none"/>
        </w:rPr>
        <w:t>内完成并移交本工程，质量标准达到招标文件中的要求。</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6.如果我方中标，我方将按照规定递交由招标人认可，并在招标文件中规定金额的履约保函。</w:t>
      </w:r>
    </w:p>
    <w:p>
      <w:pPr>
        <w:spacing w:line="360" w:lineRule="auto"/>
        <w:ind w:firstLine="480"/>
        <w:rPr>
          <w:rFonts w:ascii="宋体" w:hAnsi="宋体" w:cs="宋体"/>
          <w:color w:val="auto"/>
          <w:sz w:val="24"/>
          <w:szCs w:val="24"/>
          <w:highlight w:val="none"/>
        </w:rPr>
      </w:pPr>
      <w:r>
        <w:rPr>
          <w:rFonts w:ascii="宋体" w:hAnsi="宋体" w:cs="宋体"/>
          <w:color w:val="auto"/>
          <w:sz w:val="24"/>
          <w:szCs w:val="24"/>
          <w:highlight w:val="none"/>
        </w:rPr>
        <w:t>7.除非另外达成协议并生效，贵方的中标通知书和本投标文件将成为约束双方的合同文件的组成部分。</w:t>
      </w:r>
    </w:p>
    <w:p>
      <w:pPr>
        <w:spacing w:line="360" w:lineRule="auto"/>
        <w:ind w:firstLine="480"/>
        <w:rPr>
          <w:rFonts w:ascii="宋体" w:hAnsi="宋体" w:cs="宋体"/>
          <w:color w:val="auto"/>
          <w:sz w:val="24"/>
          <w:szCs w:val="24"/>
          <w:highlight w:val="none"/>
        </w:rPr>
      </w:pPr>
      <w:r>
        <w:rPr>
          <w:rFonts w:ascii="宋体" w:hAnsi="宋体" w:cs="宋体"/>
          <w:color w:val="auto"/>
          <w:sz w:val="24"/>
          <w:szCs w:val="24"/>
          <w:highlight w:val="none"/>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360" w:lineRule="auto"/>
        <w:ind w:firstLine="480"/>
        <w:rPr>
          <w:rFonts w:ascii="宋体" w:hAnsi="宋体" w:cs="宋体"/>
          <w:color w:val="auto"/>
          <w:sz w:val="24"/>
          <w:szCs w:val="24"/>
          <w:highlight w:val="none"/>
        </w:rPr>
      </w:pPr>
      <w:r>
        <w:rPr>
          <w:rFonts w:ascii="宋体" w:hAnsi="宋体" w:cs="宋体"/>
          <w:b/>
          <w:bCs/>
          <w:color w:val="auto"/>
          <w:sz w:val="24"/>
          <w:szCs w:val="24"/>
          <w:highlight w:val="none"/>
        </w:rPr>
        <w:t>9、</w:t>
      </w:r>
      <w:r>
        <w:rPr>
          <w:rFonts w:hint="eastAsia" w:ascii="宋体" w:hAnsi="宋体" w:cs="宋体"/>
          <w:b/>
          <w:bCs/>
          <w:color w:val="auto"/>
          <w:kern w:val="0"/>
          <w:sz w:val="24"/>
          <w:szCs w:val="24"/>
          <w:highlight w:val="none"/>
        </w:rPr>
        <w:t>如我方中标</w:t>
      </w:r>
      <w:r>
        <w:rPr>
          <w:rFonts w:ascii="宋体" w:hAnsi="宋体" w:cs="宋体"/>
          <w:b/>
          <w:bCs/>
          <w:color w:val="auto"/>
          <w:kern w:val="0"/>
          <w:sz w:val="24"/>
          <w:szCs w:val="24"/>
          <w:highlight w:val="none"/>
        </w:rPr>
        <w:t>,我方承诺：须按《广州开发区财政投资建设项目管理中心施工类合同结算编审指引（试行）》及广州开发区有关规</w:t>
      </w:r>
      <w:r>
        <w:rPr>
          <w:rFonts w:hint="eastAsia" w:ascii="宋体" w:hAnsi="宋体" w:cs="宋体"/>
          <w:b/>
          <w:bCs/>
          <w:color w:val="auto"/>
          <w:kern w:val="0"/>
          <w:sz w:val="24"/>
          <w:szCs w:val="24"/>
          <w:highlight w:val="none"/>
        </w:rPr>
        <w:t>定编制及办理建设项目工程结算。本公司未按上述规定的期限和内容编制及办理建设项目工程结算，经建设业主或代建单位或监理人书面通知之日起</w:t>
      </w:r>
      <w:r>
        <w:rPr>
          <w:rFonts w:ascii="宋体" w:hAnsi="宋体" w:cs="宋体"/>
          <w:b/>
          <w:bCs/>
          <w:color w:val="auto"/>
          <w:kern w:val="0"/>
          <w:sz w:val="24"/>
          <w:szCs w:val="24"/>
          <w:highlight w:val="none"/>
        </w:rPr>
        <w:t>2个月内（最长期限不得超过6个月）仍未提交编制及办理建设项目工程结算的相关文件的，监理人和建设业主有权根据建设业主已有资料进行审核并报财政部门审定，财政部门审定的竣工结算合同总价视同是经我方认可的工程竣工结算合同总价。</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spacing w:line="360" w:lineRule="auto"/>
        <w:ind w:firstLine="691" w:firstLineChars="279"/>
        <w:jc w:val="left"/>
        <w:rPr>
          <w:rFonts w:ascii="宋体" w:hAnsi="宋体" w:cs="宋体"/>
          <w:color w:val="auto"/>
          <w:sz w:val="24"/>
          <w:szCs w:val="20"/>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autoSpaceDN w:val="0"/>
        <w:jc w:val="center"/>
        <w:rPr>
          <w:rFonts w:ascii="宋体" w:hAnsi="宋体" w:cs="宋体"/>
          <w:color w:val="auto"/>
          <w:szCs w:val="20"/>
          <w:highlight w:val="none"/>
        </w:rPr>
      </w:pPr>
      <w:r>
        <w:rPr>
          <w:rFonts w:ascii="宋体" w:hAnsi="宋体" w:cs="宋体"/>
          <w:color w:val="auto"/>
          <w:szCs w:val="20"/>
          <w:highlight w:val="none"/>
        </w:rPr>
        <w:br w:type="page"/>
      </w:r>
    </w:p>
    <w:p>
      <w:pPr>
        <w:pStyle w:val="6"/>
        <w:rPr>
          <w:snapToGrid w:val="0"/>
          <w:color w:val="auto"/>
          <w:spacing w:val="4"/>
          <w:highlight w:val="none"/>
        </w:rPr>
      </w:pPr>
      <w:bookmarkStart w:id="191" w:name="_Toc32518"/>
      <w:bookmarkStart w:id="192" w:name="_Toc21214"/>
      <w:bookmarkStart w:id="193" w:name="_Toc60070623"/>
      <w:bookmarkStart w:id="194" w:name="_Toc18235"/>
      <w:bookmarkStart w:id="195" w:name="_Toc10082"/>
      <w:bookmarkStart w:id="196" w:name="_Toc112397831"/>
      <w:r>
        <w:rPr>
          <w:rFonts w:hint="eastAsia"/>
          <w:color w:val="auto"/>
          <w:highlight w:val="none"/>
        </w:rPr>
        <w:t>格式三：</w:t>
      </w:r>
      <w:bookmarkEnd w:id="191"/>
      <w:bookmarkEnd w:id="192"/>
      <w:bookmarkEnd w:id="193"/>
      <w:bookmarkEnd w:id="194"/>
      <w:bookmarkEnd w:id="195"/>
      <w:bookmarkEnd w:id="196"/>
    </w:p>
    <w:p>
      <w:pPr>
        <w:jc w:val="center"/>
        <w:rPr>
          <w:rFonts w:ascii="宋体" w:hAnsi="宋体"/>
          <w:b/>
          <w:color w:val="auto"/>
          <w:sz w:val="36"/>
          <w:szCs w:val="36"/>
          <w:highlight w:val="none"/>
        </w:rPr>
      </w:pPr>
      <w:r>
        <w:rPr>
          <w:rFonts w:hint="eastAsia" w:ascii="宋体" w:hAnsi="宋体"/>
          <w:b/>
          <w:color w:val="auto"/>
          <w:sz w:val="36"/>
          <w:szCs w:val="36"/>
          <w:highlight w:val="none"/>
        </w:rPr>
        <w:t>标函承诺书</w:t>
      </w:r>
    </w:p>
    <w:p>
      <w:pPr>
        <w:pStyle w:val="309"/>
        <w:spacing w:line="360" w:lineRule="auto"/>
        <w:ind w:left="339" w:leftChars="101" w:hanging="127" w:hangingChars="53"/>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致：（招标人）</w:t>
      </w:r>
    </w:p>
    <w:p>
      <w:pPr>
        <w:pStyle w:val="309"/>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如果在本招标工程中我司中标，我司将积极响应贵单位提出的合同条件及招标文件的要求，并做出如下承诺：</w:t>
      </w:r>
    </w:p>
    <w:p>
      <w:pPr>
        <w:pStyle w:val="309"/>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1、若我公司中标，我公司承诺按时交纳履约保证金。</w:t>
      </w:r>
    </w:p>
    <w:p>
      <w:pPr>
        <w:pStyle w:val="309"/>
        <w:spacing w:after="156" w:afterLines="50" w:line="360" w:lineRule="auto"/>
        <w:ind w:left="357" w:leftChars="170" w:firstLine="480" w:firstLineChars="200"/>
        <w:jc w:val="lef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2、在本工程施工期间，拟投入的人力不少于下表中的人数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pStyle w:val="113"/>
              <w:spacing w:line="240" w:lineRule="auto"/>
              <w:ind w:left="357" w:leftChars="170" w:firstLine="420" w:firstLineChars="200"/>
              <w:rPr>
                <w:rFonts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rPr>
              <w:t>工种</w:t>
            </w: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r>
              <w:rPr>
                <w:rFonts w:hint="eastAsia" w:ascii="宋体" w:hAnsi="宋体" w:cs="宋体"/>
                <w:color w:val="auto"/>
                <w:szCs w:val="21"/>
                <w:highlight w:val="none"/>
                <w:u w:val="single"/>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bl>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3、在工程施工期间，拟投入的主要机械设备按投标文件所附的《拟投入本工程施工的主要机械设备配备表》</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4、所选用的主要材料品牌符合招标文件的要求。</w:t>
      </w:r>
    </w:p>
    <w:p>
      <w:pPr>
        <w:spacing w:line="360" w:lineRule="auto"/>
        <w:ind w:left="420" w:leftChars="200" w:firstLine="480" w:firstLineChars="200"/>
        <w:rPr>
          <w:rFonts w:hint="eastAsia" w:ascii="宋体" w:hAnsi="宋体" w:eastAsia="宋体" w:cs="宋体"/>
          <w:color w:val="auto"/>
          <w:sz w:val="24"/>
          <w:szCs w:val="24"/>
          <w:highlight w:val="none"/>
          <w:u w:val="single"/>
          <w:lang w:eastAsia="zh-CN"/>
        </w:rPr>
      </w:pPr>
      <w:r>
        <w:rPr>
          <w:rFonts w:ascii="宋体" w:hAnsi="宋体" w:cs="宋体"/>
          <w:color w:val="auto"/>
          <w:sz w:val="24"/>
          <w:szCs w:val="24"/>
          <w:highlight w:val="none"/>
          <w:u w:val="single"/>
        </w:rPr>
        <w:t>5、拟投入到本工程的主要技术人员、经济和管理人员如表：详见《施工项目管理团队人员信息表》</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lang w:val="en-US" w:eastAsia="zh-CN"/>
        </w:rPr>
        <w:t>中标后，拟投入到本工程安全员人数不得低于住建部相关文件的最低要求。</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6、我公司保证拟派项目负责人符合《广州市住房和城乡建设局关于加强建筑工程项目负责人管理的通知》（穗建规字〔2020〕32号）文的要求，并将严格按照招标文件要求，自签订合同之日起至工程竣工验收将常驻现场，严格按照有关工程项目管理的要求进行项目管理，如果不能够按照此要求实施，我方自愿接受贵中心的处罚措施。</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7、本工程施工过程中，我司将严格按照国家、省、市有关施工及验收规范、标准进行施工，确保本工程质量</w:t>
      </w:r>
      <w:r>
        <w:rPr>
          <w:rFonts w:hint="eastAsia" w:ascii="宋体" w:hAnsi="宋体" w:cs="宋体"/>
          <w:b/>
          <w:color w:val="auto"/>
          <w:sz w:val="24"/>
          <w:szCs w:val="24"/>
          <w:highlight w:val="none"/>
          <w:u w:val="single"/>
        </w:rPr>
        <w:t>达到</w:t>
      </w:r>
      <w:r>
        <w:rPr>
          <w:rFonts w:ascii="宋体" w:hAnsi="宋体" w:cs="宋体"/>
          <w:b/>
          <w:color w:val="auto"/>
          <w:sz w:val="24"/>
          <w:szCs w:val="24"/>
          <w:highlight w:val="none"/>
          <w:u w:val="single"/>
        </w:rPr>
        <w:t xml:space="preserve">      </w:t>
      </w:r>
      <w:r>
        <w:rPr>
          <w:rFonts w:hint="eastAsia" w:ascii="宋体" w:hAnsi="宋体" w:cs="宋体"/>
          <w:color w:val="auto"/>
          <w:sz w:val="24"/>
          <w:szCs w:val="24"/>
          <w:highlight w:val="none"/>
          <w:u w:val="single"/>
        </w:rPr>
        <w:t>（要按本工程投标文件承诺的等级填写）等级。</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8、在确保工程质量的前提下，我司严格控制工程工期，确保工程      </w:t>
      </w:r>
      <w:r>
        <w:rPr>
          <w:rFonts w:hint="eastAsia" w:ascii="宋体" w:hAnsi="宋体" w:cs="宋体"/>
          <w:b/>
          <w:color w:val="auto"/>
          <w:sz w:val="24"/>
          <w:szCs w:val="24"/>
          <w:highlight w:val="none"/>
          <w:u w:val="single"/>
        </w:rPr>
        <w:t>在</w:t>
      </w:r>
      <w:r>
        <w:rPr>
          <w:rFonts w:ascii="宋体" w:hAnsi="宋体" w:cs="宋体"/>
          <w:b/>
          <w:color w:val="auto"/>
          <w:sz w:val="24"/>
          <w:szCs w:val="24"/>
          <w:highlight w:val="none"/>
          <w:u w:val="single"/>
        </w:rPr>
        <w:t xml:space="preserve">      </w:t>
      </w:r>
      <w:r>
        <w:rPr>
          <w:rFonts w:hint="eastAsia" w:ascii="宋体" w:hAnsi="宋体" w:cs="宋体"/>
          <w:b/>
          <w:color w:val="auto"/>
          <w:sz w:val="24"/>
          <w:szCs w:val="24"/>
          <w:highlight w:val="none"/>
          <w:u w:val="single"/>
        </w:rPr>
        <w:t>日历天</w:t>
      </w:r>
      <w:r>
        <w:rPr>
          <w:rFonts w:hint="eastAsia" w:ascii="宋体" w:hAnsi="宋体" w:cs="宋体"/>
          <w:color w:val="auto"/>
          <w:sz w:val="24"/>
          <w:szCs w:val="24"/>
          <w:highlight w:val="none"/>
          <w:u w:val="single"/>
        </w:rPr>
        <w:t>内完成。</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9、严格按照国家、省、市有关安全生产、文明施工要求，积极制定安全生产、文明施工措施，并严格执行，确保施工中符合安全生产、文明施工要求。在施工过程中,若发生重大伤亡事故，我方自愿接受贵中心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10、按照发包人、监理工程师的要求及时为各专业工程（电信、电力管线、电力走廊、煤气、道路绿化、路灯、交通设施等）提供工作面，并为专业工程穿插施工所需各项配合工作给予方便。</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11、将按照招标过程中确定的范围，除了下表所列专业工程外，其余全部工程由我司自行施工。对工程分包，我司承诺按照招标文件的要求和有关规定履行总包单位的职责，在中标后提供分包单位的资质证明材料（如有必须分包的专业工程，请填入下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序号</w:t>
            </w: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bl>
    <w:p>
      <w:pPr>
        <w:tabs>
          <w:tab w:val="left" w:pos="645"/>
          <w:tab w:val="left" w:pos="930"/>
        </w:tabs>
        <w:spacing w:line="360" w:lineRule="auto"/>
        <w:ind w:left="420" w:leftChars="200" w:firstLine="480" w:firstLineChars="200"/>
        <w:rPr>
          <w:rFonts w:ascii="宋体" w:hAnsi="宋体" w:cs="宋体"/>
          <w:bCs/>
          <w:color w:val="auto"/>
          <w:sz w:val="24"/>
          <w:szCs w:val="24"/>
          <w:highlight w:val="none"/>
          <w:u w:val="single"/>
        </w:rPr>
      </w:pPr>
      <w:r>
        <w:rPr>
          <w:rFonts w:ascii="宋体" w:hAnsi="宋体"/>
          <w:color w:val="auto"/>
          <w:sz w:val="24"/>
          <w:szCs w:val="24"/>
          <w:highlight w:val="none"/>
          <w:u w:val="single"/>
        </w:rPr>
        <w:t xml:space="preserve">12、我司保证在中标后，严格按照 </w:t>
      </w:r>
      <w:r>
        <w:rPr>
          <w:rFonts w:hint="eastAsia" w:ascii="宋体" w:hAnsi="宋体"/>
          <w:color w:val="auto"/>
          <w:sz w:val="24"/>
          <w:szCs w:val="24"/>
          <w:highlight w:val="none"/>
          <w:u w:val="single"/>
        </w:rPr>
        <w:t>《广州市住房和城乡建设局关于印发广州市建筑施工实名制管理办法的通知》（穗建规字</w:t>
      </w:r>
      <w:r>
        <w:rPr>
          <w:rFonts w:ascii="宋体" w:hAnsi="宋体"/>
          <w:color w:val="auto"/>
          <w:sz w:val="24"/>
          <w:szCs w:val="24"/>
          <w:highlight w:val="none"/>
          <w:u w:val="single"/>
        </w:rPr>
        <w:t>[2020]18号）、《关于印发广州市建设领域工人工资支付分账管理实施细则的通知》（穗建规字[2020]37号）等最新规定及广州市黄埔区、开发区对应出台的相关文件规定办理建筑工地实名制管理和工人工资支付分账管理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w:t>
      </w:r>
      <w:r>
        <w:rPr>
          <w:rFonts w:hint="eastAsia" w:ascii="宋体" w:hAnsi="宋体"/>
          <w:color w:val="auto"/>
          <w:sz w:val="24"/>
          <w:szCs w:val="24"/>
          <w:highlight w:val="none"/>
          <w:u w:val="single"/>
        </w:rPr>
        <w:t>将对拖欠工人工资承担清偿责任，对此引起的纠纷负全责，造成发包人损失（包括但不限于发包人因此而支付的赔偿款、律师费、诉讼费、保全费、公证费、鉴定费等）的，我司将承担全部责任。</w:t>
      </w:r>
    </w:p>
    <w:p>
      <w:pPr>
        <w:tabs>
          <w:tab w:val="left" w:pos="315"/>
        </w:tabs>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13、我司保证在中标后，根据工程特点，编制本工程详细的施工组织设计和施工方案，并报监理和发包人审核批准，并严格按审批的意见和要求组织施工。</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14、我司承诺积极响应并接受招标文件中合同专用专款关于合同价款的调整办法。</w:t>
      </w:r>
    </w:p>
    <w:p>
      <w:pPr>
        <w:pStyle w:val="296"/>
        <w:spacing w:line="360" w:lineRule="auto"/>
        <w:ind w:left="420" w:leftChars="200" w:firstLine="480" w:firstLineChars="200"/>
        <w:rPr>
          <w:rFonts w:ascii="宋体" w:hAnsi="宋体"/>
          <w:color w:val="auto"/>
          <w:sz w:val="24"/>
          <w:szCs w:val="24"/>
          <w:highlight w:val="none"/>
          <w:u w:val="single"/>
        </w:rPr>
      </w:pPr>
      <w:r>
        <w:rPr>
          <w:rFonts w:ascii="宋体" w:hAnsi="宋体"/>
          <w:color w:val="auto"/>
          <w:sz w:val="24"/>
          <w:szCs w:val="24"/>
          <w:highlight w:val="none"/>
          <w:u w:val="single"/>
        </w:rPr>
        <w:t>15、我司保证在中标后，施工现场严格按照《广州市建设工程文明施工管理规定》（广州市人民政府令第62号</w:t>
      </w:r>
      <w:r>
        <w:rPr>
          <w:rFonts w:hint="eastAsia" w:ascii="宋体" w:hAnsi="宋体"/>
          <w:color w:val="auto"/>
          <w:sz w:val="24"/>
          <w:szCs w:val="24"/>
          <w:highlight w:val="none"/>
          <w:u w:val="single"/>
        </w:rPr>
        <w:t>、第158号</w:t>
      </w:r>
      <w:r>
        <w:rPr>
          <w:rFonts w:ascii="宋体" w:hAnsi="宋体"/>
          <w:color w:val="auto"/>
          <w:sz w:val="24"/>
          <w:szCs w:val="24"/>
          <w:highlight w:val="none"/>
          <w:u w:val="single"/>
        </w:rPr>
        <w:t xml:space="preserve">）、《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2018〕1008号）、《广州市建设工程绿色施工围蔽指导图集（V2.0版）的通知》(穂建质〔2020〕1号)、《关于进一步落实我区市政建设项目施工围蔽提升工作的通知》（穗埔建[2019]123号）及《黄埔区住房和城乡建设局 </w:t>
      </w:r>
      <w:r>
        <w:rPr>
          <w:rFonts w:hint="eastAsia" w:ascii="宋体" w:hAnsi="宋体"/>
          <w:color w:val="auto"/>
          <w:sz w:val="24"/>
          <w:szCs w:val="24"/>
          <w:highlight w:val="none"/>
          <w:u w:val="single"/>
        </w:rPr>
        <w:t>广州开发区建设和交通局关于进一步规范全区建设工程施工围蔽标准的通知》（穗埔建﹝</w:t>
      </w:r>
      <w:r>
        <w:rPr>
          <w:rFonts w:ascii="宋体" w:hAnsi="宋体"/>
          <w:color w:val="auto"/>
          <w:sz w:val="24"/>
          <w:szCs w:val="24"/>
          <w:highlight w:val="none"/>
          <w:u w:val="single"/>
        </w:rPr>
        <w:t>2020﹞183号）实施。以上文件要求不一致的，以后发布文件为准，若相关部门发布有关施工围蔽新文件规定的，按新规定执行。我司随时接受监理、业主、安监机构等相关部门监督和检查，对在检查中发现不符合绿色施工、安全文明施工要求的，无条件进行整改。如不及时按要求整改，发包人有权不支付绿色施工安全防护措施费，或另行委托单位实施，所发生的费用在本工程绿色施工安全防护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投标单位：（公章）</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法人代表：（签字或盖章）</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ascii="宋体" w:hAnsi="宋体" w:eastAsia="宋体" w:cs="宋体"/>
          <w:color w:val="auto"/>
          <w:sz w:val="24"/>
          <w:szCs w:val="24"/>
          <w:highlight w:val="none"/>
          <w:u w:val="single"/>
        </w:rPr>
        <w:t xml:space="preserve"> 年  月  日</w:t>
      </w:r>
    </w:p>
    <w:p>
      <w:pPr>
        <w:tabs>
          <w:tab w:val="left" w:pos="720"/>
        </w:tabs>
        <w:snapToGrid w:val="0"/>
        <w:spacing w:line="360" w:lineRule="auto"/>
        <w:rPr>
          <w:rFonts w:hint="eastAsia" w:ascii="宋体" w:hAnsi="宋体" w:cs="宋体"/>
          <w:color w:val="auto"/>
          <w:sz w:val="24"/>
          <w:szCs w:val="24"/>
          <w:highlight w:val="none"/>
          <w:u w:val="single"/>
        </w:rPr>
      </w:pPr>
    </w:p>
    <w:p>
      <w:pPr>
        <w:tabs>
          <w:tab w:val="left" w:pos="720"/>
        </w:tabs>
        <w:snapToGrid w:val="0"/>
        <w:spacing w:line="360"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注：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pStyle w:val="6"/>
        <w:rPr>
          <w:color w:val="auto"/>
          <w:highlight w:val="none"/>
        </w:rPr>
      </w:pPr>
      <w:r>
        <w:rPr>
          <w:color w:val="auto"/>
          <w:highlight w:val="none"/>
        </w:rPr>
        <w:br w:type="page"/>
      </w:r>
      <w:bookmarkStart w:id="197" w:name="_Toc60070624"/>
      <w:bookmarkStart w:id="198" w:name="_Toc9762"/>
      <w:bookmarkStart w:id="199" w:name="_Toc29333"/>
      <w:bookmarkStart w:id="200" w:name="_Toc25559"/>
      <w:bookmarkStart w:id="201" w:name="_Toc112397832"/>
      <w:bookmarkStart w:id="202" w:name="_Toc12877"/>
      <w:r>
        <w:rPr>
          <w:rFonts w:hint="eastAsia"/>
          <w:color w:val="auto"/>
          <w:highlight w:val="none"/>
        </w:rPr>
        <w:t>格式四</w:t>
      </w:r>
      <w:r>
        <w:rPr>
          <w:rFonts w:hint="eastAsia"/>
          <w:snapToGrid w:val="0"/>
          <w:color w:val="auto"/>
          <w:spacing w:val="4"/>
          <w:highlight w:val="none"/>
        </w:rPr>
        <w:t>：</w:t>
      </w:r>
      <w:bookmarkEnd w:id="197"/>
      <w:bookmarkEnd w:id="198"/>
      <w:bookmarkEnd w:id="199"/>
      <w:bookmarkEnd w:id="200"/>
      <w:bookmarkEnd w:id="201"/>
      <w:bookmarkEnd w:id="202"/>
    </w:p>
    <w:p>
      <w:pPr>
        <w:jc w:val="center"/>
        <w:rPr>
          <w:rFonts w:ascii="宋体" w:hAnsi="宋体"/>
          <w:b/>
          <w:color w:val="auto"/>
          <w:sz w:val="36"/>
          <w:szCs w:val="36"/>
          <w:highlight w:val="none"/>
        </w:rPr>
      </w:pPr>
      <w:r>
        <w:rPr>
          <w:rFonts w:hint="eastAsia" w:ascii="宋体" w:hAnsi="宋体"/>
          <w:b/>
          <w:color w:val="auto"/>
          <w:sz w:val="36"/>
          <w:szCs w:val="36"/>
          <w:highlight w:val="none"/>
        </w:rPr>
        <w:t>项目负责人驻场承诺书</w:t>
      </w:r>
    </w:p>
    <w:p>
      <w:pPr>
        <w:pStyle w:val="47"/>
        <w:spacing w:after="0" w:line="336" w:lineRule="auto"/>
        <w:ind w:left="-2" w:leftChars="-1" w:firstLineChars="175"/>
        <w:jc w:val="center"/>
        <w:rPr>
          <w:rFonts w:ascii="宋体" w:hAnsi="宋体" w:cs="宋体"/>
          <w:color w:val="auto"/>
          <w:sz w:val="24"/>
          <w:szCs w:val="24"/>
          <w:highlight w:val="none"/>
          <w:u w:val="single"/>
        </w:rPr>
      </w:pPr>
    </w:p>
    <w:p>
      <w:pPr>
        <w:spacing w:line="336"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致（业主</w:t>
      </w:r>
      <w:r>
        <w:rPr>
          <w:rFonts w:ascii="宋体" w:hAnsi="宋体" w:cs="宋体"/>
          <w:color w:val="auto"/>
          <w:sz w:val="24"/>
          <w:szCs w:val="24"/>
          <w:highlight w:val="none"/>
          <w:u w:val="single"/>
        </w:rPr>
        <w:t xml:space="preserve">/监理）                                           </w:t>
      </w:r>
      <w:r>
        <w:rPr>
          <w:rFonts w:hint="eastAsia" w:ascii="宋体" w:hAnsi="宋体" w:cs="宋体"/>
          <w:color w:val="auto"/>
          <w:sz w:val="24"/>
          <w:szCs w:val="24"/>
          <w:highlight w:val="none"/>
          <w:u w:val="single"/>
        </w:rPr>
        <w:t>：</w:t>
      </w:r>
    </w:p>
    <w:p>
      <w:pPr>
        <w:spacing w:line="336" w:lineRule="auto"/>
        <w:rPr>
          <w:rFonts w:ascii="宋体" w:hAnsi="宋体" w:cs="宋体"/>
          <w:color w:val="auto"/>
          <w:sz w:val="24"/>
          <w:szCs w:val="24"/>
          <w:highlight w:val="none"/>
          <w:u w:val="single"/>
        </w:rPr>
      </w:pPr>
    </w:p>
    <w:p>
      <w:pPr>
        <w:spacing w:line="336" w:lineRule="auto"/>
        <w:ind w:firstLine="523" w:firstLineChars="218"/>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本人（姓名）</w:t>
      </w:r>
      <w:r>
        <w:rPr>
          <w:rFonts w:ascii="宋体" w:hAnsi="宋体" w:cs="宋体"/>
          <w:color w:val="auto"/>
          <w:sz w:val="24"/>
          <w:szCs w:val="24"/>
          <w:highlight w:val="none"/>
          <w:u w:val="single"/>
        </w:rPr>
        <w:t xml:space="preserve">              ，项目负责人证书注册编号：                       </w:t>
      </w:r>
    </w:p>
    <w:p>
      <w:pPr>
        <w:spacing w:line="336" w:lineRule="auto"/>
        <w:ind w:left="1"/>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受（投标人）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委派，拟在（项目名称）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担任项目负责人一职。为加强本工程项目管理，保证我公司在中标后严格履行与业主签定的工程建设承包合同，圆满的完成本项工程，我愿就此做出以下承诺；</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本人作为公司选派的本项目的项目负责人，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spacing w:line="336" w:lineRule="auto"/>
        <w:ind w:firstLine="480" w:firstLineChars="200"/>
        <w:rPr>
          <w:rFonts w:hint="eastAsia" w:ascii="宋体" w:hAnsi="宋体" w:cs="宋体"/>
          <w:color w:val="auto"/>
          <w:sz w:val="24"/>
          <w:szCs w:val="24"/>
          <w:highlight w:val="none"/>
          <w:u w:val="single"/>
        </w:rPr>
      </w:pPr>
      <w:r>
        <w:rPr>
          <w:rFonts w:ascii="宋体" w:hAnsi="宋体" w:cs="宋体"/>
          <w:color w:val="auto"/>
          <w:sz w:val="24"/>
          <w:szCs w:val="24"/>
          <w:highlight w:val="none"/>
          <w:u w:val="single"/>
        </w:rPr>
        <w:t>2．如果本招标工程我公司中标，我本人保证在工程签订合同之日起至工程竣工验收完成期间只担任此工程的项目经理，不参加其他任何工程的登记和任何工作，不在其他任何工程担任</w:t>
      </w:r>
      <w:r>
        <w:rPr>
          <w:rFonts w:hint="eastAsia" w:ascii="宋体" w:hAnsi="宋体" w:cs="宋体"/>
          <w:color w:val="auto"/>
          <w:sz w:val="24"/>
          <w:szCs w:val="24"/>
          <w:highlight w:val="none"/>
          <w:u w:val="single"/>
        </w:rPr>
        <w:t>本职务。</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3．除非征得业主的书面批准，否则如果违背以上承诺，不能常驻施工现场，我自愿接受业主给予我本人的批评和处罚，并同意业主就此作为我个人的不良纪录进一步上报区行业主管部门，项目负责人证书注册、备案、审批机构，直至广州市建设管理等有关部门并接受上述部门给予的通报和相关职能部门给予的扣证等处罚。</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4．项目负责人本人身份证</w:t>
      </w:r>
      <w:r>
        <w:rPr>
          <w:rFonts w:hint="eastAsia" w:ascii="宋体" w:hAnsi="宋体" w:cs="宋体"/>
          <w:color w:val="auto"/>
          <w:sz w:val="24"/>
          <w:szCs w:val="24"/>
          <w:highlight w:val="none"/>
          <w:u w:val="single"/>
          <w:lang w:eastAsia="zh-CN"/>
        </w:rPr>
        <w:t>扫描</w:t>
      </w:r>
      <w:r>
        <w:rPr>
          <w:rFonts w:ascii="宋体" w:hAnsi="宋体" w:cs="宋体"/>
          <w:color w:val="auto"/>
          <w:sz w:val="24"/>
          <w:szCs w:val="24"/>
          <w:highlight w:val="none"/>
          <w:u w:val="single"/>
        </w:rPr>
        <w:t>件和相片：</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043"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r>
              <w:rPr>
                <w:rFonts w:hint="eastAsia" w:ascii="宋体" w:hAnsi="宋体" w:cs="宋体"/>
                <w:color w:val="auto"/>
                <w:szCs w:val="21"/>
                <w:highlight w:val="none"/>
                <w:u w:val="single"/>
              </w:rPr>
              <w:t>身份证</w:t>
            </w:r>
            <w:r>
              <w:rPr>
                <w:rFonts w:hint="eastAsia" w:ascii="宋体" w:hAnsi="宋体" w:cs="宋体"/>
                <w:color w:val="auto"/>
                <w:szCs w:val="21"/>
                <w:highlight w:val="none"/>
                <w:u w:val="single"/>
                <w:lang w:eastAsia="zh-CN"/>
              </w:rPr>
              <w:t>扫描</w:t>
            </w:r>
            <w:r>
              <w:rPr>
                <w:rFonts w:hint="eastAsia" w:ascii="宋体" w:hAnsi="宋体" w:cs="宋体"/>
                <w:color w:val="auto"/>
                <w:szCs w:val="21"/>
                <w:highlight w:val="none"/>
                <w:u w:val="single"/>
              </w:rPr>
              <w:t>件</w:t>
            </w:r>
          </w:p>
        </w:tc>
        <w:tc>
          <w:tcPr>
            <w:tcW w:w="2492"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b/>
                <w:bCs/>
                <w:color w:val="auto"/>
                <w:szCs w:val="21"/>
                <w:highlight w:val="none"/>
                <w:u w:val="single"/>
              </w:rPr>
            </w:pPr>
            <w:r>
              <w:rPr>
                <w:rFonts w:hint="eastAsia" w:ascii="宋体" w:hAnsi="宋体" w:cs="宋体"/>
                <w:color w:val="auto"/>
                <w:szCs w:val="21"/>
                <w:highlight w:val="none"/>
                <w:u w:val="single"/>
              </w:rPr>
              <w:t>相片</w:t>
            </w:r>
            <w:r>
              <w:rPr>
                <w:rFonts w:hint="eastAsia" w:ascii="宋体" w:hAnsi="宋体" w:cs="宋体"/>
                <w:color w:val="auto"/>
                <w:szCs w:val="21"/>
                <w:highlight w:val="none"/>
                <w:u w:val="single"/>
                <w:lang w:eastAsia="zh-CN"/>
              </w:rPr>
              <w:t>扫描</w:t>
            </w:r>
            <w:r>
              <w:rPr>
                <w:rFonts w:hint="eastAsia" w:ascii="宋体" w:hAnsi="宋体" w:cs="宋体"/>
                <w:color w:val="auto"/>
                <w:szCs w:val="21"/>
                <w:highlight w:val="none"/>
                <w:u w:val="single"/>
              </w:rPr>
              <w:t>件</w:t>
            </w:r>
          </w:p>
        </w:tc>
      </w:tr>
    </w:tbl>
    <w:p>
      <w:pPr>
        <w:spacing w:line="336" w:lineRule="auto"/>
        <w:ind w:firstLine="3840" w:firstLineChars="1600"/>
        <w:jc w:val="righ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投标人：（盖章）</w:t>
      </w:r>
    </w:p>
    <w:p>
      <w:pPr>
        <w:spacing w:line="336" w:lineRule="auto"/>
        <w:ind w:firstLine="3840" w:firstLineChars="1600"/>
        <w:jc w:val="righ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项目负责人：（签字）</w:t>
      </w:r>
    </w:p>
    <w:p>
      <w:pPr>
        <w:tabs>
          <w:tab w:val="left" w:pos="720"/>
        </w:tabs>
        <w:snapToGrid w:val="0"/>
        <w:spacing w:line="336" w:lineRule="auto"/>
        <w:jc w:val="right"/>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     年   月    日</w:t>
      </w:r>
    </w:p>
    <w:p>
      <w:pPr>
        <w:pStyle w:val="26"/>
        <w:rPr>
          <w:rFonts w:hAnsi="宋体" w:cs="宋体"/>
          <w:color w:val="auto"/>
          <w:kern w:val="0"/>
          <w:sz w:val="27"/>
          <w:szCs w:val="27"/>
          <w:highlight w:val="none"/>
        </w:rPr>
      </w:pPr>
      <w:bookmarkStart w:id="203" w:name="_Toc60070625"/>
      <w:r>
        <w:rPr>
          <w:rFonts w:hAnsi="宋体"/>
          <w:color w:val="auto"/>
          <w:highlight w:val="none"/>
        </w:rPr>
        <w:br w:type="page"/>
      </w:r>
    </w:p>
    <w:p>
      <w:pPr>
        <w:pStyle w:val="6"/>
        <w:rPr>
          <w:color w:val="auto"/>
          <w:highlight w:val="none"/>
        </w:rPr>
      </w:pPr>
      <w:bookmarkStart w:id="204" w:name="_Toc112397833"/>
      <w:bookmarkStart w:id="205" w:name="_Toc31628"/>
      <w:bookmarkStart w:id="206" w:name="_Toc23755"/>
      <w:bookmarkStart w:id="207" w:name="_Toc5390"/>
      <w:bookmarkStart w:id="208" w:name="_Toc1355"/>
      <w:r>
        <w:rPr>
          <w:rFonts w:hint="eastAsia"/>
          <w:color w:val="auto"/>
          <w:highlight w:val="none"/>
        </w:rPr>
        <w:t>格式五：</w:t>
      </w:r>
      <w:bookmarkEnd w:id="203"/>
      <w:bookmarkEnd w:id="204"/>
      <w:bookmarkEnd w:id="205"/>
      <w:bookmarkEnd w:id="206"/>
      <w:bookmarkEnd w:id="207"/>
      <w:bookmarkEnd w:id="208"/>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施工项目管理团队人员信息表</w:t>
      </w:r>
    </w:p>
    <w:tbl>
      <w:tblPr>
        <w:tblStyle w:val="49"/>
        <w:tblW w:w="8472" w:type="dxa"/>
        <w:tblInd w:w="0" w:type="dxa"/>
        <w:tblLayout w:type="fixed"/>
        <w:tblCellMar>
          <w:top w:w="0" w:type="dxa"/>
          <w:left w:w="108" w:type="dxa"/>
          <w:bottom w:w="0" w:type="dxa"/>
          <w:right w:w="108" w:type="dxa"/>
        </w:tblCellMar>
      </w:tblPr>
      <w:tblGrid>
        <w:gridCol w:w="959"/>
        <w:gridCol w:w="1744"/>
        <w:gridCol w:w="1549"/>
        <w:gridCol w:w="1417"/>
        <w:gridCol w:w="2803"/>
      </w:tblGrid>
      <w:tr>
        <w:tblPrEx>
          <w:tblCellMar>
            <w:top w:w="0" w:type="dxa"/>
            <w:left w:w="108" w:type="dxa"/>
            <w:bottom w:w="0" w:type="dxa"/>
            <w:right w:w="108" w:type="dxa"/>
          </w:tblCellMar>
        </w:tblPrEx>
        <w:trPr>
          <w:trHeight w:val="97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姓名</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岗位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w:t>
            </w:r>
          </w:p>
        </w:tc>
        <w:tc>
          <w:tcPr>
            <w:tcW w:w="28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职称证书或资格证书编号</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4</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787" w:hRule="atLeast"/>
        </w:trPr>
        <w:tc>
          <w:tcPr>
            <w:tcW w:w="84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备注：</w:t>
            </w:r>
            <w:r>
              <w:rPr>
                <w:rFonts w:ascii="宋体" w:hAnsi="宋体" w:cs="宋体"/>
                <w:color w:val="auto"/>
                <w:kern w:val="0"/>
                <w:szCs w:val="21"/>
                <w:highlight w:val="none"/>
              </w:rPr>
              <w:br w:type="textWrapping"/>
            </w:r>
            <w:r>
              <w:rPr>
                <w:rFonts w:ascii="宋体" w:hAnsi="宋体" w:cs="宋体"/>
                <w:color w:val="auto"/>
                <w:kern w:val="0"/>
                <w:szCs w:val="21"/>
                <w:highlight w:val="none"/>
              </w:rPr>
              <w:t>1、“岗位”要求</w:t>
            </w:r>
            <w:r>
              <w:rPr>
                <w:rFonts w:hint="eastAsia" w:ascii="宋体" w:hAnsi="宋体" w:cs="宋体"/>
                <w:b/>
                <w:bCs/>
                <w:color w:val="auto"/>
                <w:kern w:val="0"/>
                <w:szCs w:val="21"/>
                <w:highlight w:val="none"/>
              </w:rPr>
              <w:t>（除项目负责人和专职安全员外）</w:t>
            </w:r>
            <w:r>
              <w:rPr>
                <w:rFonts w:hint="eastAsia" w:ascii="宋体" w:hAnsi="宋体" w:cs="宋体"/>
                <w:color w:val="auto"/>
                <w:kern w:val="0"/>
                <w:szCs w:val="21"/>
                <w:highlight w:val="none"/>
              </w:rPr>
              <w:t>由招标人根据项目管理需要在本表备注中明确提出，如：拟派驻施工现场的指挥长、技术负责人、质量负责人、安全负责人、造价负责人、土建工程师、机电工程师、给排水工程师、装饰装修工程师、造价工程师、质量工程师、施工员、质量员、安全员、资料员等。以上项目管理团队人员信息将由交易系统提取后供各相关单位在履约时比对、查核。</w:t>
            </w:r>
            <w:r>
              <w:rPr>
                <w:rFonts w:ascii="宋体" w:hAnsi="宋体" w:cs="宋体"/>
                <w:color w:val="auto"/>
                <w:kern w:val="0"/>
                <w:szCs w:val="21"/>
                <w:highlight w:val="none"/>
              </w:rPr>
              <w:br w:type="textWrapping"/>
            </w:r>
            <w:r>
              <w:rPr>
                <w:rFonts w:ascii="宋体" w:hAnsi="宋体" w:cs="宋体"/>
                <w:color w:val="auto"/>
                <w:kern w:val="0"/>
                <w:szCs w:val="21"/>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r>
              <w:rPr>
                <w:rFonts w:ascii="宋体" w:hAnsi="宋体" w:cs="宋体"/>
                <w:color w:val="auto"/>
                <w:kern w:val="0"/>
                <w:szCs w:val="21"/>
                <w:highlight w:val="none"/>
              </w:rPr>
              <w:br w:type="textWrapping"/>
            </w:r>
            <w:r>
              <w:rPr>
                <w:rFonts w:ascii="宋体" w:hAnsi="宋体" w:cs="宋体"/>
                <w:color w:val="auto"/>
                <w:kern w:val="0"/>
                <w:szCs w:val="21"/>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181"/>
        <w:spacing w:line="240" w:lineRule="auto"/>
        <w:ind w:firstLine="0" w:firstLineChars="0"/>
        <w:rPr>
          <w:rFonts w:eastAsia="宋体"/>
          <w:color w:val="auto"/>
          <w:highlight w:val="none"/>
        </w:rPr>
      </w:pPr>
      <w:r>
        <w:rPr>
          <w:rFonts w:hint="eastAsia" w:eastAsia="宋体"/>
          <w:color w:val="auto"/>
          <w:highlight w:val="none"/>
        </w:rPr>
        <w:t>注：附相</w:t>
      </w:r>
      <w:r>
        <w:rPr>
          <w:rFonts w:hint="eastAsia" w:eastAsia="宋体"/>
          <w:color w:val="auto"/>
          <w:sz w:val="21"/>
          <w:szCs w:val="21"/>
          <w:highlight w:val="none"/>
        </w:rPr>
        <w:t>关的证明材</w:t>
      </w:r>
      <w:r>
        <w:rPr>
          <w:rFonts w:hint="eastAsia" w:eastAsia="宋体"/>
          <w:color w:val="auto"/>
          <w:highlight w:val="none"/>
        </w:rPr>
        <w:t>料。</w:t>
      </w:r>
    </w:p>
    <w:p>
      <w:pPr>
        <w:topLinePunct/>
        <w:adjustRightInd w:val="0"/>
        <w:snapToGrid w:val="0"/>
        <w:rPr>
          <w:rFonts w:ascii="宋体" w:hAnsi="宋体" w:cs="宋体"/>
          <w:color w:val="auto"/>
          <w:spacing w:val="4"/>
          <w:kern w:val="0"/>
          <w:szCs w:val="21"/>
          <w:highlight w:val="none"/>
        </w:rPr>
      </w:pPr>
    </w:p>
    <w:p>
      <w:pPr>
        <w:topLinePunct/>
        <w:adjustRightInd w:val="0"/>
        <w:snapToGri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投标人：　　（盖章）</w:t>
      </w:r>
    </w:p>
    <w:p>
      <w:pPr>
        <w:topLinePunct/>
        <w:adjustRightInd w:val="0"/>
        <w:snapToGri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法定代表人或授权代理人</w:t>
      </w:r>
      <w:r>
        <w:rPr>
          <w:rFonts w:ascii="宋体" w:hAnsi="宋体" w:cs="宋体"/>
          <w:color w:val="auto"/>
          <w:spacing w:val="4"/>
          <w:kern w:val="0"/>
          <w:sz w:val="24"/>
          <w:szCs w:val="24"/>
          <w:highlight w:val="none"/>
        </w:rPr>
        <w:t>(签字或盖章)：</w:t>
      </w:r>
    </w:p>
    <w:p>
      <w:pPr>
        <w:autoSpaceDE w:val="0"/>
        <w:autoSpaceDN w:val="0"/>
        <w:adjustRightIn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日</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期：</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年</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月</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日</w:t>
      </w:r>
    </w:p>
    <w:p>
      <w:pPr>
        <w:jc w:val="center"/>
        <w:rPr>
          <w:rFonts w:ascii="宋体" w:hAnsi="宋体" w:cs="宋体"/>
          <w:b/>
          <w:color w:val="auto"/>
          <w:sz w:val="36"/>
          <w:szCs w:val="36"/>
          <w:highlight w:val="none"/>
        </w:rPr>
      </w:pPr>
      <w:r>
        <w:rPr>
          <w:rFonts w:ascii="宋体" w:hAnsi="宋体"/>
          <w:color w:val="auto"/>
          <w:spacing w:val="4"/>
          <w:highlight w:val="none"/>
        </w:rPr>
        <w:br w:type="page"/>
      </w:r>
      <w:r>
        <w:rPr>
          <w:rFonts w:hint="eastAsia" w:ascii="宋体" w:hAnsi="宋体" w:cs="宋体"/>
          <w:b/>
          <w:color w:val="auto"/>
          <w:sz w:val="36"/>
          <w:szCs w:val="36"/>
          <w:highlight w:val="none"/>
        </w:rPr>
        <w:t>主要人员简历表</w:t>
      </w:r>
    </w:p>
    <w:tbl>
      <w:tblPr>
        <w:tblStyle w:val="4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1334"/>
        <w:gridCol w:w="1488"/>
        <w:gridCol w:w="1534"/>
        <w:gridCol w:w="1911"/>
        <w:gridCol w:w="136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0"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488" w:type="dxa"/>
            <w:vAlign w:val="center"/>
          </w:tcPr>
          <w:p>
            <w:pPr>
              <w:spacing w:line="360" w:lineRule="auto"/>
              <w:jc w:val="center"/>
              <w:rPr>
                <w:rFonts w:ascii="宋体" w:hAnsi="宋体" w:cs="宋体"/>
                <w:color w:val="auto"/>
                <w:szCs w:val="21"/>
                <w:highlight w:val="none"/>
              </w:rPr>
            </w:pP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1911" w:type="dxa"/>
            <w:vAlign w:val="center"/>
          </w:tcPr>
          <w:p>
            <w:pPr>
              <w:spacing w:line="360" w:lineRule="auto"/>
              <w:jc w:val="center"/>
              <w:rPr>
                <w:rFonts w:ascii="宋体" w:hAnsi="宋体" w:cs="宋体"/>
                <w:color w:val="auto"/>
                <w:szCs w:val="21"/>
                <w:highlight w:val="none"/>
              </w:rPr>
            </w:pP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1582"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1488" w:type="dxa"/>
            <w:vAlign w:val="center"/>
          </w:tcPr>
          <w:p>
            <w:pPr>
              <w:spacing w:line="360" w:lineRule="auto"/>
              <w:jc w:val="center"/>
              <w:rPr>
                <w:rFonts w:ascii="宋体" w:hAnsi="宋体" w:cs="宋体"/>
                <w:color w:val="auto"/>
                <w:szCs w:val="21"/>
                <w:highlight w:val="none"/>
              </w:rPr>
            </w:pP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1911" w:type="dxa"/>
            <w:vAlign w:val="center"/>
          </w:tcPr>
          <w:p>
            <w:pPr>
              <w:spacing w:line="360" w:lineRule="auto"/>
              <w:jc w:val="center"/>
              <w:rPr>
                <w:rFonts w:ascii="宋体" w:hAnsi="宋体" w:cs="宋体"/>
                <w:color w:val="auto"/>
                <w:szCs w:val="21"/>
                <w:highlight w:val="none"/>
              </w:rPr>
            </w:pP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582"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1534" w:type="dxa"/>
            <w:vAlign w:val="center"/>
          </w:tcPr>
          <w:p>
            <w:pPr>
              <w:spacing w:line="360" w:lineRule="auto"/>
              <w:jc w:val="center"/>
              <w:rPr>
                <w:rFonts w:ascii="宋体" w:hAnsi="宋体" w:cs="宋体"/>
                <w:color w:val="auto"/>
                <w:szCs w:val="21"/>
                <w:highlight w:val="none"/>
              </w:rPr>
            </w:pPr>
          </w:p>
        </w:tc>
        <w:tc>
          <w:tcPr>
            <w:tcW w:w="191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担任相应职务年限</w:t>
            </w:r>
          </w:p>
        </w:tc>
        <w:tc>
          <w:tcPr>
            <w:tcW w:w="2943" w:type="dxa"/>
            <w:gridSpan w:val="2"/>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资格证书号</w:t>
            </w:r>
          </w:p>
        </w:tc>
        <w:tc>
          <w:tcPr>
            <w:tcW w:w="6388" w:type="dxa"/>
            <w:gridSpan w:val="4"/>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9210" w:type="dxa"/>
            <w:gridSpan w:val="6"/>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建设单位</w:t>
            </w:r>
          </w:p>
        </w:tc>
        <w:tc>
          <w:tcPr>
            <w:tcW w:w="148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建设规模</w:t>
            </w:r>
          </w:p>
        </w:tc>
        <w:tc>
          <w:tcPr>
            <w:tcW w:w="191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开、竣工日期</w:t>
            </w: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在建或已完工程质量</w:t>
            </w:r>
          </w:p>
        </w:tc>
        <w:tc>
          <w:tcPr>
            <w:tcW w:w="158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bl>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p>
    <w:p>
      <w:pPr>
        <w:autoSpaceDE w:val="0"/>
        <w:autoSpaceDN w:val="0"/>
        <w:adjustRightInd w:val="0"/>
        <w:spacing w:line="360" w:lineRule="auto"/>
        <w:ind w:firstLine="565" w:firstLineChars="228"/>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投标人：　　（盖章）</w:t>
      </w:r>
    </w:p>
    <w:p>
      <w:pPr>
        <w:autoSpaceDE w:val="0"/>
        <w:autoSpaceDN w:val="0"/>
        <w:adjustRightInd w:val="0"/>
        <w:spacing w:line="360" w:lineRule="auto"/>
        <w:ind w:firstLine="565" w:firstLineChars="228"/>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法定代表人或授权代理人</w:t>
      </w:r>
      <w:r>
        <w:rPr>
          <w:rFonts w:ascii="宋体" w:hAnsi="宋体" w:cs="宋体"/>
          <w:color w:val="auto"/>
          <w:spacing w:val="4"/>
          <w:kern w:val="0"/>
          <w:sz w:val="24"/>
          <w:szCs w:val="24"/>
          <w:highlight w:val="none"/>
        </w:rPr>
        <w:t>(签字或盖章)：</w:t>
      </w:r>
    </w:p>
    <w:p>
      <w:pPr>
        <w:autoSpaceDE w:val="0"/>
        <w:autoSpaceDN w:val="0"/>
        <w:adjustRightInd w:val="0"/>
        <w:spacing w:line="360" w:lineRule="auto"/>
        <w:ind w:firstLine="565" w:firstLineChars="228"/>
        <w:jc w:val="left"/>
        <w:rPr>
          <w:rFonts w:ascii="宋体" w:hAnsi="宋体" w:cs="宋体"/>
          <w:color w:val="auto"/>
          <w:sz w:val="24"/>
          <w:szCs w:val="24"/>
          <w:highlight w:val="none"/>
        </w:rPr>
      </w:pPr>
      <w:r>
        <w:rPr>
          <w:rFonts w:hint="eastAsia" w:ascii="宋体" w:hAnsi="宋体" w:cs="宋体"/>
          <w:color w:val="auto"/>
          <w:spacing w:val="4"/>
          <w:kern w:val="0"/>
          <w:sz w:val="24"/>
          <w:szCs w:val="24"/>
          <w:highlight w:val="none"/>
        </w:rPr>
        <w:t>日</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期：</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年</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月</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日</w:t>
      </w:r>
    </w:p>
    <w:p>
      <w:pPr>
        <w:pStyle w:val="6"/>
        <w:rPr>
          <w:color w:val="auto"/>
          <w:highlight w:val="none"/>
        </w:rPr>
      </w:pPr>
      <w:r>
        <w:rPr>
          <w:color w:val="auto"/>
          <w:highlight w:val="none"/>
        </w:rPr>
        <w:br w:type="page"/>
      </w:r>
    </w:p>
    <w:p>
      <w:pPr>
        <w:pStyle w:val="6"/>
        <w:rPr>
          <w:color w:val="auto"/>
          <w:highlight w:val="none"/>
        </w:rPr>
      </w:pPr>
      <w:bookmarkStart w:id="209" w:name="_Toc60070626"/>
      <w:bookmarkStart w:id="210" w:name="_Toc13170"/>
      <w:bookmarkStart w:id="211" w:name="_Toc4104"/>
      <w:bookmarkStart w:id="212" w:name="_Toc1436"/>
      <w:bookmarkStart w:id="213" w:name="_Toc18790"/>
      <w:bookmarkStart w:id="214" w:name="_Toc112397834"/>
      <w:r>
        <w:rPr>
          <w:rFonts w:hint="eastAsia"/>
          <w:color w:val="auto"/>
          <w:highlight w:val="none"/>
        </w:rPr>
        <w:t>格式六：</w:t>
      </w:r>
      <w:bookmarkEnd w:id="209"/>
      <w:bookmarkEnd w:id="210"/>
      <w:bookmarkEnd w:id="211"/>
      <w:bookmarkEnd w:id="212"/>
      <w:bookmarkEnd w:id="213"/>
      <w:bookmarkEnd w:id="214"/>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企业业绩信息表</w:t>
      </w:r>
    </w:p>
    <w:p>
      <w:pPr>
        <w:rPr>
          <w:rFonts w:ascii="宋体" w:hAnsi="宋体"/>
          <w:color w:val="auto"/>
          <w:sz w:val="24"/>
          <w:szCs w:val="24"/>
          <w:highlight w:val="none"/>
        </w:rPr>
      </w:pPr>
    </w:p>
    <w:tbl>
      <w:tblPr>
        <w:tblStyle w:val="49"/>
        <w:tblpPr w:leftFromText="180" w:rightFromText="180" w:vertAnchor="text" w:horzAnchor="margin" w:tblpXSpec="center" w:tblpY="-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163"/>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类似工程业绩</w:t>
            </w:r>
          </w:p>
        </w:tc>
        <w:tc>
          <w:tcPr>
            <w:tcW w:w="2163"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ascii="宋体" w:hAnsi="宋体" w:cs="宋体"/>
                <w:bCs/>
                <w:color w:val="auto"/>
                <w:sz w:val="24"/>
                <w:szCs w:val="24"/>
                <w:highlight w:val="none"/>
                <w:lang w:val="zh-CN"/>
              </w:rPr>
              <w:t xml:space="preserve"> 金额</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获奖情况</w:t>
            </w: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所获奖项</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bl>
    <w:p>
      <w:pPr>
        <w:pStyle w:val="6"/>
        <w:rPr>
          <w:color w:val="auto"/>
          <w:highlight w:val="none"/>
        </w:rPr>
      </w:pPr>
      <w:r>
        <w:rPr>
          <w:color w:val="auto"/>
          <w:highlight w:val="none"/>
        </w:rPr>
        <w:br w:type="page"/>
      </w:r>
    </w:p>
    <w:p>
      <w:pPr>
        <w:pStyle w:val="6"/>
        <w:rPr>
          <w:bCs/>
          <w:color w:val="auto"/>
          <w:highlight w:val="none"/>
          <w:lang w:val="zh-CN"/>
        </w:rPr>
      </w:pPr>
      <w:bookmarkStart w:id="215" w:name="_Toc20669"/>
      <w:bookmarkStart w:id="216" w:name="_Toc60070629"/>
      <w:bookmarkStart w:id="217" w:name="_Toc26225"/>
      <w:bookmarkStart w:id="218" w:name="_Toc30435"/>
      <w:bookmarkStart w:id="219" w:name="_Toc31520"/>
      <w:bookmarkStart w:id="220" w:name="_Toc112397835"/>
      <w:r>
        <w:rPr>
          <w:rFonts w:hint="eastAsia"/>
          <w:color w:val="auto"/>
          <w:highlight w:val="none"/>
        </w:rPr>
        <w:t>格式七：</w:t>
      </w:r>
      <w:bookmarkEnd w:id="215"/>
      <w:bookmarkEnd w:id="216"/>
      <w:bookmarkEnd w:id="217"/>
      <w:bookmarkEnd w:id="218"/>
      <w:bookmarkEnd w:id="219"/>
      <w:bookmarkEnd w:id="220"/>
    </w:p>
    <w:p>
      <w:pPr>
        <w:autoSpaceDE w:val="0"/>
        <w:autoSpaceDN w:val="0"/>
        <w:adjustRightIn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拟投入本工程施工的主要机械设备配备表</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563"/>
        <w:gridCol w:w="2024"/>
        <w:gridCol w:w="1559"/>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3"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设备名称</w:t>
            </w: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投入总数量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来源</w:t>
            </w:r>
            <w:r>
              <w:rPr>
                <w:rFonts w:ascii="宋体" w:hAnsi="宋体" w:cs="宋体"/>
                <w:color w:val="auto"/>
                <w:sz w:val="24"/>
                <w:szCs w:val="24"/>
                <w:highlight w:val="none"/>
              </w:rPr>
              <w:t>(自有/</w:t>
            </w:r>
            <w:r>
              <w:rPr>
                <w:rFonts w:hint="eastAsia" w:ascii="宋体" w:hAnsi="宋体" w:cs="宋体"/>
                <w:color w:val="auto"/>
                <w:sz w:val="24"/>
                <w:szCs w:val="24"/>
                <w:highlight w:val="none"/>
              </w:rPr>
              <w:t>租赁</w:t>
            </w:r>
            <w:r>
              <w:rPr>
                <w:rFonts w:ascii="宋体" w:hAnsi="宋体" w:cs="宋体"/>
                <w:color w:val="auto"/>
                <w:sz w:val="24"/>
                <w:szCs w:val="24"/>
                <w:highlight w:val="none"/>
              </w:rPr>
              <w:t>)</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bl>
    <w:p>
      <w:pPr>
        <w:topLinePunct/>
        <w:adjustRightInd w:val="0"/>
        <w:snapToGrid w:val="0"/>
        <w:spacing w:line="240" w:lineRule="auto"/>
        <w:ind w:firstLine="0" w:firstLineChars="0"/>
        <w:jc w:val="left"/>
        <w:rPr>
          <w:rFonts w:ascii="宋体" w:hAnsi="宋体" w:cs="宋体"/>
          <w:snapToGrid w:val="0"/>
          <w:color w:val="auto"/>
          <w:spacing w:val="4"/>
          <w:kern w:val="0"/>
          <w:sz w:val="21"/>
          <w:szCs w:val="21"/>
          <w:highlight w:val="none"/>
        </w:rPr>
      </w:pPr>
      <w:r>
        <w:rPr>
          <w:rFonts w:hint="eastAsia" w:ascii="宋体" w:hAnsi="宋体" w:cs="宋体"/>
          <w:snapToGrid w:val="0"/>
          <w:color w:val="auto"/>
          <w:spacing w:val="4"/>
          <w:kern w:val="0"/>
          <w:sz w:val="21"/>
          <w:szCs w:val="21"/>
          <w:highlight w:val="none"/>
        </w:rPr>
        <w:t>注：</w:t>
      </w:r>
      <w:r>
        <w:rPr>
          <w:rFonts w:ascii="宋体" w:hAnsi="宋体" w:cs="宋体"/>
          <w:snapToGrid w:val="0"/>
          <w:color w:val="auto"/>
          <w:spacing w:val="4"/>
          <w:kern w:val="0"/>
          <w:sz w:val="21"/>
          <w:szCs w:val="21"/>
          <w:highlight w:val="none"/>
        </w:rPr>
        <w:t>1</w:t>
      </w:r>
      <w:r>
        <w:rPr>
          <w:rFonts w:hint="eastAsia" w:ascii="宋体" w:hAnsi="宋体" w:cs="宋体"/>
          <w:snapToGrid w:val="0"/>
          <w:color w:val="auto"/>
          <w:spacing w:val="4"/>
          <w:kern w:val="0"/>
          <w:sz w:val="21"/>
          <w:szCs w:val="21"/>
          <w:highlight w:val="none"/>
        </w:rPr>
        <w:t>、设备名称及要求数量由投标人视本工程具体情况结合招标人对本工程的具体要求自行配备。</w:t>
      </w:r>
    </w:p>
    <w:p>
      <w:pPr>
        <w:ind w:right="-130" w:rightChars="-62"/>
        <w:rPr>
          <w:rFonts w:ascii="宋体" w:hAnsi="宋体"/>
          <w:color w:val="auto"/>
          <w:highlight w:val="none"/>
        </w:rPr>
      </w:pPr>
      <w:r>
        <w:rPr>
          <w:rFonts w:ascii="宋体" w:hAnsi="宋体" w:cs="宋体"/>
          <w:snapToGrid w:val="0"/>
          <w:color w:val="auto"/>
          <w:spacing w:val="4"/>
          <w:kern w:val="0"/>
          <w:sz w:val="21"/>
          <w:szCs w:val="21"/>
          <w:highlight w:val="none"/>
        </w:rPr>
        <w:t>2</w:t>
      </w:r>
      <w:r>
        <w:rPr>
          <w:rFonts w:hint="eastAsia" w:ascii="宋体" w:hAnsi="宋体" w:cs="宋体"/>
          <w:snapToGrid w:val="0"/>
          <w:color w:val="auto"/>
          <w:spacing w:val="4"/>
          <w:kern w:val="0"/>
          <w:sz w:val="21"/>
          <w:szCs w:val="21"/>
          <w:highlight w:val="none"/>
        </w:rPr>
        <w:t>、为贯彻绿色发展理念，本项目应积极使用燃料电池汽车等新能源工程车，要求投标人投入的新能源工程车占投入的建筑垃圾自卸车（渣土车）总数比例不低于</w:t>
      </w:r>
      <w:r>
        <w:rPr>
          <w:rFonts w:ascii="宋体" w:hAnsi="宋体" w:cs="宋体"/>
          <w:snapToGrid w:val="0"/>
          <w:color w:val="auto"/>
          <w:spacing w:val="4"/>
          <w:kern w:val="0"/>
          <w:sz w:val="21"/>
          <w:szCs w:val="21"/>
          <w:highlight w:val="none"/>
        </w:rPr>
        <w:t>40%</w:t>
      </w:r>
      <w:r>
        <w:rPr>
          <w:rFonts w:hint="eastAsia" w:ascii="宋体" w:hAnsi="宋体" w:cs="宋体"/>
          <w:snapToGrid w:val="0"/>
          <w:color w:val="auto"/>
          <w:spacing w:val="4"/>
          <w:kern w:val="0"/>
          <w:sz w:val="21"/>
          <w:szCs w:val="21"/>
          <w:highlight w:val="none"/>
        </w:rPr>
        <w:t>。一旦中标，必须全部到位，否则按合同违约处理。</w:t>
      </w:r>
    </w:p>
    <w:p>
      <w:pPr>
        <w:topLinePunct/>
        <w:adjustRightInd w:val="0"/>
        <w:snapToGrid w:val="0"/>
        <w:spacing w:line="360" w:lineRule="auto"/>
        <w:ind w:firstLine="3161" w:firstLineChars="1450"/>
        <w:rPr>
          <w:rFonts w:ascii="宋体" w:hAnsi="宋体"/>
          <w:snapToGrid w:val="0"/>
          <w:color w:val="auto"/>
          <w:spacing w:val="4"/>
          <w:kern w:val="0"/>
          <w:szCs w:val="21"/>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691" w:firstLineChars="279"/>
        <w:jc w:val="left"/>
        <w:rPr>
          <w:rFonts w:ascii="宋体" w:hAnsi="宋体"/>
          <w:snapToGrid w:val="0"/>
          <w:color w:val="auto"/>
          <w:spacing w:val="4"/>
          <w:kern w:val="0"/>
          <w:szCs w:val="21"/>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6"/>
        <w:rPr>
          <w:color w:val="auto"/>
          <w:highlight w:val="none"/>
        </w:rPr>
      </w:pPr>
      <w:bookmarkStart w:id="221" w:name="_Toc112397836"/>
      <w:bookmarkStart w:id="222" w:name="_Toc32271"/>
      <w:bookmarkStart w:id="223" w:name="_Toc60070630"/>
      <w:bookmarkStart w:id="224" w:name="_Toc11542"/>
      <w:bookmarkStart w:id="225" w:name="_Toc27175"/>
      <w:bookmarkStart w:id="226" w:name="_Toc17793"/>
      <w:bookmarkStart w:id="227" w:name="_Toc58838602"/>
      <w:r>
        <w:rPr>
          <w:rFonts w:hint="eastAsia"/>
          <w:color w:val="auto"/>
          <w:highlight w:val="none"/>
        </w:rPr>
        <w:t>格式八：</w:t>
      </w:r>
      <w:bookmarkEnd w:id="221"/>
      <w:bookmarkEnd w:id="222"/>
      <w:bookmarkEnd w:id="223"/>
      <w:bookmarkEnd w:id="224"/>
      <w:bookmarkEnd w:id="225"/>
      <w:bookmarkEnd w:id="226"/>
    </w:p>
    <w:p>
      <w:pPr>
        <w:jc w:val="center"/>
        <w:rPr>
          <w:rFonts w:ascii="宋体" w:hAnsi="宋体"/>
          <w:b/>
          <w:color w:val="auto"/>
          <w:sz w:val="36"/>
          <w:szCs w:val="36"/>
          <w:highlight w:val="none"/>
        </w:rPr>
      </w:pPr>
      <w:r>
        <w:rPr>
          <w:rFonts w:hint="eastAsia" w:ascii="宋体" w:hAnsi="宋体"/>
          <w:b/>
          <w:color w:val="auto"/>
          <w:sz w:val="36"/>
          <w:szCs w:val="36"/>
          <w:highlight w:val="none"/>
        </w:rPr>
        <w:t>危险性较大的分部分项工程安全管理措施</w:t>
      </w:r>
      <w:bookmarkEnd w:id="227"/>
    </w:p>
    <w:p>
      <w:pPr>
        <w:numPr>
          <w:ilvl w:val="0"/>
          <w:numId w:val="9"/>
        </w:numPr>
        <w:autoSpaceDE w:val="0"/>
        <w:autoSpaceDN w:val="0"/>
        <w:adjustRightInd w:val="0"/>
        <w:spacing w:line="360" w:lineRule="auto"/>
        <w:jc w:val="left"/>
        <w:rPr>
          <w:rFonts w:ascii="宋体" w:hAnsi="宋体"/>
          <w:snapToGrid w:val="0"/>
          <w:color w:val="auto"/>
          <w:spacing w:val="4"/>
          <w:kern w:val="0"/>
          <w:sz w:val="24"/>
          <w:szCs w:val="24"/>
          <w:highlight w:val="none"/>
        </w:rPr>
      </w:pPr>
      <w:r>
        <w:rPr>
          <w:rFonts w:hint="eastAsia" w:ascii="宋体" w:hAnsi="宋体"/>
          <w:color w:val="auto"/>
          <w:sz w:val="24"/>
          <w:szCs w:val="28"/>
          <w:highlight w:val="none"/>
        </w:rPr>
        <w:t>根据中华人民共和国住房和城乡建设部令第</w:t>
      </w:r>
      <w:r>
        <w:rPr>
          <w:rFonts w:ascii="宋体" w:hAnsi="宋体"/>
          <w:color w:val="auto"/>
          <w:sz w:val="24"/>
          <w:szCs w:val="28"/>
          <w:highlight w:val="none"/>
        </w:rPr>
        <w:t>37号《危险性较大的分部分项工程安全管理规定》（以下简称“37号文”），投标人在投标时须补充完善危大工程清单并</w:t>
      </w:r>
      <w:r>
        <w:rPr>
          <w:rFonts w:hint="eastAsia" w:ascii="宋体" w:hAnsi="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招标人根据设计文件的要求及</w:t>
      </w:r>
      <w:r>
        <w:rPr>
          <w:rFonts w:ascii="宋体" w:hAnsi="宋体"/>
          <w:color w:val="auto"/>
          <w:sz w:val="24"/>
          <w:szCs w:val="28"/>
          <w:highlight w:val="none"/>
        </w:rPr>
        <w:t>37号文的规定列出“危险性较大的分部分项工程清单及超过一定规模的危险性较大的分部分项工程清单”中与本招标项目相关的清单项，具体详见第5点“打</w:t>
      </w:r>
      <w:r>
        <w:rPr>
          <w:rFonts w:hint="eastAsia" w:ascii="宋体" w:hAnsi="宋体"/>
          <w:color w:val="auto"/>
          <w:sz w:val="24"/>
          <w:szCs w:val="36"/>
          <w:highlight w:val="none"/>
        </w:rPr>
        <w:t>√”标识。</w:t>
      </w:r>
    </w:p>
    <w:p>
      <w:pPr>
        <w:numPr>
          <w:ilvl w:val="0"/>
          <w:numId w:val="10"/>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投标单位同意招标人在清单中标识的该项请在对应项打“</w:t>
      </w:r>
      <w:r>
        <w:rPr>
          <w:rFonts w:hint="eastAsia" w:ascii="宋体" w:hAnsi="宋体"/>
          <w:color w:val="auto"/>
          <w:sz w:val="24"/>
          <w:szCs w:val="36"/>
          <w:highlight w:val="none"/>
        </w:rPr>
        <w:t>√”标识，并在投标文件中提供相应的安全管理措施。</w:t>
      </w:r>
    </w:p>
    <w:p>
      <w:pPr>
        <w:numPr>
          <w:ilvl w:val="0"/>
          <w:numId w:val="10"/>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投标单位对清单中认为需要补充的该项请在对应项打“</w:t>
      </w:r>
      <w:r>
        <w:rPr>
          <w:rFonts w:hint="eastAsia" w:ascii="宋体" w:hAnsi="宋体"/>
          <w:color w:val="auto"/>
          <w:sz w:val="24"/>
          <w:szCs w:val="36"/>
          <w:highlight w:val="none"/>
        </w:rPr>
        <w:t>√”标识，并在投标文件中提供相应的安全管理措施。</w:t>
      </w:r>
    </w:p>
    <w:p>
      <w:pPr>
        <w:numPr>
          <w:ilvl w:val="0"/>
          <w:numId w:val="10"/>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36"/>
          <w:highlight w:val="none"/>
        </w:rPr>
        <w:t>投标单位不同意招标人</w:t>
      </w:r>
      <w:r>
        <w:rPr>
          <w:rFonts w:hint="eastAsia" w:ascii="宋体" w:hAnsi="宋体"/>
          <w:color w:val="auto"/>
          <w:sz w:val="24"/>
          <w:szCs w:val="28"/>
          <w:highlight w:val="none"/>
        </w:rPr>
        <w:t>在清单中标识的该项</w:t>
      </w:r>
      <w:r>
        <w:rPr>
          <w:rFonts w:hint="eastAsia" w:ascii="宋体" w:hAnsi="宋体"/>
          <w:color w:val="auto"/>
          <w:sz w:val="24"/>
          <w:szCs w:val="36"/>
          <w:highlight w:val="none"/>
        </w:rPr>
        <w:t>请在对应项打“×”标识，并在备注栏填上相关说明。</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投标单位应当在投标时根据招标人提供的下述第</w:t>
      </w:r>
      <w:r>
        <w:rPr>
          <w:rFonts w:ascii="宋体" w:hAnsi="宋体"/>
          <w:color w:val="auto"/>
          <w:sz w:val="24"/>
          <w:szCs w:val="28"/>
          <w:highlight w:val="none"/>
        </w:rPr>
        <w:t>5点清单，在投标文件中编制专项施工方案。</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危险性较大的分部分项工程清单及超过一定规模的危险性较大的分部分项工程清单：</w:t>
      </w:r>
    </w:p>
    <w:p>
      <w:pPr>
        <w:widowControl/>
        <w:jc w:val="left"/>
        <w:rPr>
          <w:rFonts w:ascii="宋体" w:hAnsi="宋体"/>
          <w:color w:val="auto"/>
          <w:sz w:val="24"/>
          <w:szCs w:val="28"/>
          <w:highlight w:val="none"/>
        </w:rPr>
      </w:pPr>
      <w:r>
        <w:rPr>
          <w:rFonts w:ascii="宋体" w:hAnsi="宋体"/>
          <w:color w:val="auto"/>
          <w:sz w:val="24"/>
          <w:szCs w:val="28"/>
          <w:highlight w:val="none"/>
        </w:rPr>
        <w:br w:type="page"/>
      </w:r>
    </w:p>
    <w:tbl>
      <w:tblPr>
        <w:tblStyle w:val="49"/>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361"/>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6" w:type="dxa"/>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（一）开挖深度超过</w:t>
            </w:r>
            <w:r>
              <w:rPr>
                <w:rFonts w:ascii="宋体" w:hAnsi="宋体"/>
                <w:color w:val="auto"/>
                <w:highlight w:val="none"/>
              </w:rPr>
              <w:t>3m（含3m）的基坑（槽）的土方开挖、支护、降水工程。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（二）开挖深度虽未超过</w:t>
            </w:r>
            <w:r>
              <w:rPr>
                <w:rFonts w:ascii="宋体" w:hAnsi="宋体"/>
                <w:color w:val="auto"/>
                <w:highlight w:val="none"/>
              </w:rPr>
              <w:t>3m，但地质条件、周围环境和地下管线复杂，或影响毗邻建、构筑物安全的基坑（槽）的土方开挖、支护、降水工程。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w:t>
            </w:r>
            <w:r>
              <w:rPr>
                <w:rFonts w:ascii="宋体" w:hAnsi="宋体"/>
                <w:color w:val="auto"/>
                <w:highlight w:val="none"/>
              </w:rPr>
              <w:t>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（三）承重支撑体系：用于钢结构安装等满堂支撑体系。</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（一）采用非常规起重设备、方法，且单件起吊重量在</w:t>
            </w:r>
            <w:r>
              <w:rPr>
                <w:rFonts w:ascii="宋体" w:hAnsi="宋体"/>
                <w:color w:val="auto"/>
                <w:highlight w:val="none"/>
              </w:rPr>
              <w:t>10kN及以上的起重吊装工程。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green"/>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（二）采用起重机械进行安装的工程。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olor w:val="auto"/>
                <w:highlight w:val="none"/>
              </w:rPr>
              <w:t>（三）起重机械安装和拆卸工程。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w:t>
            </w:r>
            <w:r>
              <w:rPr>
                <w:rFonts w:ascii="宋体" w:hAnsi="宋体"/>
                <w:color w:val="auto"/>
                <w:highlight w:val="none"/>
              </w:rPr>
              <w:t>24m及以上的落地式钢管脚手架工程（包括采光井、电梯井脚手架）。</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（二）附着式升降脚手架工程。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（四）高处作业吊篮。</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（五）卸料平台、操作平台工程。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（六）异型脚手架工程。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可能影响行人、交通、电力设施、通讯设施或其它建、构筑物安全的拆除工程。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（二）钢结构、网架和索膜结构安装工程。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（五）装配式建筑混凝土预制构件安装工程。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786" w:type="dxa"/>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超过一定规模的危险性较大的分部分项工程清单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一、深基坑工程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开挖深度超过</w:t>
            </w:r>
            <w:r>
              <w:rPr>
                <w:rFonts w:ascii="宋体" w:hAnsi="宋体"/>
                <w:color w:val="auto"/>
                <w:highlight w:val="none"/>
              </w:rPr>
              <w:t>5m（含5m）的基坑（槽）的土方开挖、支护、降水工程。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w:t>
            </w:r>
            <w:r>
              <w:rPr>
                <w:rFonts w:ascii="宋体" w:hAnsi="宋体"/>
                <w:color w:val="auto"/>
                <w:highlight w:val="none"/>
              </w:rPr>
              <w:t>8m及以上，或搭设跨度18m及以上，或施工总荷载（设计值）15kN/m2及以上，或集中线荷载（设计值）20kN/m及以上。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（三）承重支撑体系：用于钢结构安装等满堂支撑体系，承受单点集中荷载</w:t>
            </w:r>
            <w:r>
              <w:rPr>
                <w:rFonts w:ascii="宋体" w:hAnsi="宋体"/>
                <w:color w:val="auto"/>
                <w:highlight w:val="none"/>
              </w:rPr>
              <w:t>7kN及以上。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（一）采用非常规起重设备、方法，且单件起吊重量在</w:t>
            </w:r>
            <w:r>
              <w:rPr>
                <w:rFonts w:ascii="宋体" w:hAnsi="宋体"/>
                <w:color w:val="auto"/>
                <w:highlight w:val="none"/>
              </w:rPr>
              <w:t>100kN及以上的起重吊装工程。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（二）起重量</w:t>
            </w:r>
            <w:r>
              <w:rPr>
                <w:rFonts w:ascii="宋体" w:hAnsi="宋体"/>
                <w:color w:val="auto"/>
                <w:highlight w:val="none"/>
              </w:rPr>
              <w:t>300kN及以上，或搭设总高度200m及以上，或搭设基础标高在200m及以上的起重机械安装和拆卸工程。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w:t>
            </w:r>
            <w:r>
              <w:rPr>
                <w:rFonts w:ascii="宋体" w:hAnsi="宋体"/>
                <w:color w:val="auto"/>
                <w:highlight w:val="none"/>
              </w:rPr>
              <w:t>50m及以上的落地式钢管脚手架工程。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（二）提升高度在</w:t>
            </w:r>
            <w:r>
              <w:rPr>
                <w:rFonts w:ascii="宋体" w:hAnsi="宋体"/>
                <w:color w:val="auto"/>
                <w:highlight w:val="none"/>
              </w:rPr>
              <w:t>150m及以上的附着式升降脚手架工程或附着式升降操作平台工程。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（三）分段架体搭设高度</w:t>
            </w:r>
            <w:r>
              <w:rPr>
                <w:rFonts w:ascii="宋体" w:hAnsi="宋体"/>
                <w:color w:val="auto"/>
                <w:highlight w:val="none"/>
              </w:rPr>
              <w:t>20m及以上的悬挑式脚手架工程。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（一）码头、桥梁、高架、烟囱、水塔或拆除中容易引起有毒有害气（液）体或粉尘扩散、易燃易爆事故发生的特殊建、构筑物的拆除工程。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（二）文物保护建筑、优秀历史建筑或历史文化风貌区影响范围内的拆除工程。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（一）施工高度</w:t>
            </w:r>
            <w:r>
              <w:rPr>
                <w:rFonts w:ascii="宋体" w:hAnsi="宋体"/>
                <w:color w:val="auto"/>
                <w:highlight w:val="none"/>
              </w:rPr>
              <w:t>50m及以上的建筑幕墙安装工程。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（二）跨度</w:t>
            </w:r>
            <w:r>
              <w:rPr>
                <w:rFonts w:ascii="宋体" w:hAnsi="宋体"/>
                <w:color w:val="auto"/>
                <w:highlight w:val="none"/>
              </w:rPr>
              <w:t>36m及以上的钢结构安装工程，或跨度60m及以上的网架和索膜结构安装工程。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（三）开挖深度</w:t>
            </w:r>
            <w:r>
              <w:rPr>
                <w:rFonts w:ascii="宋体" w:hAnsi="宋体"/>
                <w:color w:val="auto"/>
                <w:highlight w:val="none"/>
              </w:rPr>
              <w:t>16m及以上的人工挖孔桩工程。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（五）重量</w:t>
            </w:r>
            <w:r>
              <w:rPr>
                <w:rFonts w:ascii="宋体" w:hAnsi="宋体"/>
                <w:color w:val="auto"/>
                <w:highlight w:val="none"/>
              </w:rPr>
              <w:t>1000kN及以上的大型结构整体顶升、平移、转体等施工工艺。</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bl>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autoSpaceDE w:val="0"/>
        <w:autoSpaceDN w:val="0"/>
        <w:adjustRightInd w:val="0"/>
        <w:spacing w:line="360" w:lineRule="auto"/>
        <w:ind w:firstLine="691" w:firstLineChars="279"/>
        <w:rPr>
          <w:rFonts w:ascii="宋体" w:hAnsi="宋体" w:cs="宋体"/>
          <w:bCs/>
          <w:color w:val="auto"/>
          <w:sz w:val="24"/>
          <w:szCs w:val="24"/>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ind w:right="-130" w:rightChars="-62"/>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6"/>
        <w:rPr>
          <w:color w:val="auto"/>
          <w:highlight w:val="none"/>
        </w:rPr>
      </w:pPr>
      <w:bookmarkStart w:id="228" w:name="_Toc15618"/>
      <w:bookmarkStart w:id="229" w:name="_Toc112397837"/>
      <w:bookmarkStart w:id="230" w:name="_Toc60070631"/>
      <w:bookmarkStart w:id="231" w:name="_Toc11051"/>
      <w:bookmarkStart w:id="232" w:name="_Toc58838603"/>
      <w:bookmarkStart w:id="233" w:name="_Toc31390"/>
      <w:bookmarkStart w:id="234" w:name="_Toc31223"/>
      <w:r>
        <w:rPr>
          <w:rFonts w:hint="eastAsia"/>
          <w:color w:val="auto"/>
          <w:highlight w:val="none"/>
        </w:rPr>
        <w:t>格式九：</w:t>
      </w:r>
      <w:bookmarkEnd w:id="228"/>
      <w:bookmarkEnd w:id="229"/>
      <w:bookmarkEnd w:id="230"/>
      <w:bookmarkEnd w:id="231"/>
      <w:bookmarkEnd w:id="232"/>
      <w:bookmarkEnd w:id="233"/>
      <w:bookmarkEnd w:id="234"/>
    </w:p>
    <w:p>
      <w:pPr>
        <w:jc w:val="center"/>
        <w:rPr>
          <w:rFonts w:ascii="宋体" w:hAnsi="宋体"/>
          <w:b/>
          <w:color w:val="auto"/>
          <w:sz w:val="36"/>
          <w:szCs w:val="36"/>
          <w:highlight w:val="none"/>
        </w:rPr>
      </w:pPr>
      <w:r>
        <w:rPr>
          <w:rFonts w:hint="eastAsia" w:ascii="宋体" w:hAnsi="宋体"/>
          <w:b/>
          <w:color w:val="auto"/>
          <w:sz w:val="36"/>
          <w:szCs w:val="36"/>
          <w:highlight w:val="none"/>
        </w:rPr>
        <w:t>参与编制技术标投标文件人员名单</w:t>
      </w:r>
    </w:p>
    <w:tbl>
      <w:tblPr>
        <w:tblStyle w:val="49"/>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86"/>
        <w:gridCol w:w="2377"/>
        <w:gridCol w:w="227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00"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bl>
    <w:p>
      <w:pPr>
        <w:autoSpaceDE w:val="0"/>
        <w:autoSpaceDN w:val="0"/>
        <w:adjustRightInd w:val="0"/>
        <w:spacing w:line="240" w:lineRule="auto"/>
        <w:rPr>
          <w:rFonts w:ascii="宋体" w:hAnsi="宋体" w:cs="宋体"/>
          <w:bCs/>
          <w:color w:val="auto"/>
          <w:sz w:val="21"/>
          <w:szCs w:val="21"/>
          <w:highlight w:val="none"/>
        </w:rPr>
      </w:pPr>
      <w:r>
        <w:rPr>
          <w:rFonts w:hint="eastAsia" w:ascii="宋体" w:hAnsi="宋体" w:cs="宋体"/>
          <w:color w:val="auto"/>
          <w:sz w:val="21"/>
          <w:szCs w:val="21"/>
          <w:highlight w:val="none"/>
        </w:rPr>
        <w:t>注：参与编制技术标书所有人员名单应包括如编制技术投标方案、负责清样校对、负责打印及复印等所有人员在内的人员名单。</w:t>
      </w:r>
    </w:p>
    <w:p>
      <w:pP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5"/>
        <w:rPr>
          <w:rFonts w:ascii="宋体" w:hAnsi="宋体"/>
          <w:bCs/>
          <w:color w:val="auto"/>
          <w:highlight w:val="none"/>
        </w:rPr>
      </w:pPr>
      <w:bookmarkStart w:id="235" w:name="_Toc26253"/>
      <w:bookmarkStart w:id="236" w:name="_Toc11191"/>
      <w:bookmarkStart w:id="237" w:name="_Toc58838604"/>
      <w:bookmarkStart w:id="238" w:name="_Toc112397838"/>
      <w:bookmarkStart w:id="239" w:name="_Toc17848"/>
      <w:bookmarkStart w:id="240" w:name="_Toc21141"/>
      <w:r>
        <w:rPr>
          <w:rFonts w:hint="eastAsia" w:ascii="宋体" w:hAnsi="宋体"/>
          <w:color w:val="auto"/>
          <w:highlight w:val="none"/>
        </w:rPr>
        <w:t>二、经济标投标文件格式</w:t>
      </w:r>
      <w:bookmarkEnd w:id="235"/>
      <w:bookmarkEnd w:id="236"/>
      <w:bookmarkEnd w:id="237"/>
      <w:bookmarkEnd w:id="238"/>
      <w:bookmarkEnd w:id="239"/>
      <w:bookmarkEnd w:id="240"/>
    </w:p>
    <w:p>
      <w:pPr>
        <w:pStyle w:val="6"/>
        <w:rPr>
          <w:b/>
          <w:bCs/>
          <w:color w:val="auto"/>
          <w:sz w:val="44"/>
          <w:szCs w:val="44"/>
          <w:highlight w:val="none"/>
          <w:lang w:val="zh-CN"/>
        </w:rPr>
      </w:pPr>
      <w:bookmarkStart w:id="241" w:name="_Toc58838605"/>
      <w:bookmarkStart w:id="242" w:name="_Toc6493862"/>
      <w:bookmarkStart w:id="243" w:name="_Toc28555"/>
      <w:bookmarkStart w:id="244" w:name="_Toc60070633"/>
      <w:bookmarkStart w:id="245" w:name="_Toc8730"/>
      <w:bookmarkStart w:id="246" w:name="_Toc31787"/>
      <w:bookmarkStart w:id="247" w:name="_Toc28745"/>
      <w:bookmarkStart w:id="248" w:name="_Toc112397839"/>
      <w:r>
        <w:rPr>
          <w:rFonts w:hint="eastAsia"/>
          <w:snapToGrid w:val="0"/>
          <w:color w:val="auto"/>
          <w:highlight w:val="none"/>
        </w:rPr>
        <w:t>格式十</w:t>
      </w:r>
      <w:bookmarkEnd w:id="241"/>
      <w:bookmarkEnd w:id="242"/>
      <w:r>
        <w:rPr>
          <w:rFonts w:hint="eastAsia"/>
          <w:snapToGrid w:val="0"/>
          <w:color w:val="auto"/>
          <w:highlight w:val="none"/>
        </w:rPr>
        <w:t>：</w:t>
      </w:r>
      <w:bookmarkEnd w:id="243"/>
      <w:bookmarkEnd w:id="244"/>
      <w:bookmarkEnd w:id="245"/>
      <w:bookmarkEnd w:id="246"/>
      <w:bookmarkEnd w:id="247"/>
      <w:bookmarkEnd w:id="248"/>
    </w:p>
    <w:p>
      <w:pPr>
        <w:jc w:val="center"/>
        <w:rPr>
          <w:rFonts w:ascii="宋体" w:hAnsi="宋体"/>
          <w:b/>
          <w:color w:val="auto"/>
          <w:sz w:val="36"/>
          <w:szCs w:val="36"/>
          <w:highlight w:val="none"/>
        </w:rPr>
      </w:pPr>
      <w:bookmarkStart w:id="249" w:name="_Toc58838606"/>
      <w:r>
        <w:rPr>
          <w:rFonts w:hint="eastAsia" w:ascii="宋体" w:hAnsi="宋体"/>
          <w:b/>
          <w:color w:val="auto"/>
          <w:sz w:val="36"/>
          <w:szCs w:val="36"/>
          <w:highlight w:val="none"/>
        </w:rPr>
        <w:t>广州建设工程施工招标投标书（经济标）</w:t>
      </w:r>
      <w:bookmarkEnd w:id="249"/>
    </w:p>
    <w:tbl>
      <w:tblPr>
        <w:tblStyle w:val="4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投标总报价（元）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其中：</w:t>
            </w:r>
            <w:r>
              <w:rPr>
                <w:rFonts w:hint="eastAsia" w:ascii="宋体" w:hAnsi="宋体" w:cs="宋体"/>
                <w:bCs/>
                <w:color w:val="auto"/>
                <w:sz w:val="24"/>
                <w:szCs w:val="24"/>
                <w:highlight w:val="none"/>
                <w:lang w:val="zh-CN"/>
              </w:rPr>
              <w:t>人工费</w:t>
            </w:r>
            <w:r>
              <w:rPr>
                <w:rFonts w:hint="eastAsia" w:ascii="宋体" w:hAnsi="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auto"/>
                <w:sz w:val="24"/>
                <w:szCs w:val="24"/>
                <w:highlight w:val="none"/>
                <w:lang w:val="zh-CN"/>
              </w:rPr>
            </w:pPr>
            <w:r>
              <w:rPr>
                <w:rFonts w:hint="eastAsia" w:ascii="宋体" w:hAnsi="宋体" w:cs="宋体"/>
                <w:bCs/>
                <w:color w:val="auto"/>
                <w:sz w:val="24"/>
                <w:szCs w:val="24"/>
                <w:highlight w:val="none"/>
                <w:lang w:val="zh-CN"/>
              </w:rPr>
              <w:t>其中：</w:t>
            </w:r>
            <w:r>
              <w:rPr>
                <w:rFonts w:hint="eastAsia" w:ascii="宋体" w:hAnsi="宋体" w:cs="宋体"/>
                <w:color w:val="auto"/>
                <w:sz w:val="24"/>
                <w:szCs w:val="24"/>
                <w:highlight w:val="none"/>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其中：</w:t>
            </w:r>
            <w:r>
              <w:rPr>
                <w:rFonts w:ascii="宋体" w:hAnsi="宋体" w:cs="宋体"/>
                <w:bCs/>
                <w:color w:val="auto"/>
                <w:sz w:val="24"/>
                <w:szCs w:val="24"/>
                <w:highlight w:val="none"/>
                <w:lang w:val="zh-CN"/>
              </w:rPr>
              <w:t xml:space="preserve"> </w:t>
            </w:r>
            <w:r>
              <w:rPr>
                <w:rFonts w:hint="eastAsia" w:ascii="宋体" w:hAnsi="宋体" w:cs="宋体"/>
                <w:bCs/>
                <w:color w:val="auto"/>
                <w:sz w:val="24"/>
                <w:szCs w:val="24"/>
                <w:highlight w:val="none"/>
                <w:lang w:val="zh-CN"/>
              </w:rPr>
              <w:t>暂列金额</w:t>
            </w:r>
            <w:r>
              <w:rPr>
                <w:rFonts w:hint="eastAsia" w:ascii="宋体" w:hAnsi="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bl>
    <w:p>
      <w:pPr>
        <w:pStyle w:val="6"/>
        <w:rPr>
          <w:bCs/>
          <w:color w:val="auto"/>
          <w:highlight w:val="none"/>
        </w:rPr>
      </w:pPr>
      <w:r>
        <w:rPr>
          <w:color w:val="auto"/>
          <w:highlight w:val="none"/>
        </w:rPr>
        <w:br w:type="page"/>
      </w:r>
      <w:bookmarkStart w:id="250" w:name="_Toc6493863"/>
      <w:bookmarkStart w:id="251" w:name="_Toc58838607"/>
      <w:bookmarkStart w:id="252" w:name="_Toc112397840"/>
      <w:bookmarkStart w:id="253" w:name="_Toc60070634"/>
      <w:bookmarkStart w:id="254" w:name="_Toc26588"/>
      <w:bookmarkStart w:id="255" w:name="_Toc23263"/>
      <w:bookmarkStart w:id="256" w:name="_Toc12418"/>
      <w:bookmarkStart w:id="257" w:name="_Toc12639"/>
      <w:r>
        <w:rPr>
          <w:rFonts w:hint="eastAsia"/>
          <w:snapToGrid w:val="0"/>
          <w:color w:val="auto"/>
          <w:highlight w:val="none"/>
        </w:rPr>
        <w:t>格式十</w:t>
      </w:r>
      <w:bookmarkEnd w:id="250"/>
      <w:bookmarkEnd w:id="251"/>
      <w:r>
        <w:rPr>
          <w:rFonts w:hint="eastAsia"/>
          <w:snapToGrid w:val="0"/>
          <w:color w:val="auto"/>
          <w:highlight w:val="none"/>
        </w:rPr>
        <w:t>一：</w:t>
      </w:r>
      <w:bookmarkEnd w:id="252"/>
      <w:bookmarkEnd w:id="253"/>
      <w:bookmarkEnd w:id="254"/>
      <w:bookmarkEnd w:id="255"/>
      <w:bookmarkEnd w:id="256"/>
      <w:bookmarkEnd w:id="257"/>
    </w:p>
    <w:p>
      <w:pPr>
        <w:jc w:val="center"/>
        <w:rPr>
          <w:rFonts w:ascii="宋体" w:hAnsi="宋体"/>
          <w:b/>
          <w:color w:val="auto"/>
          <w:sz w:val="36"/>
          <w:szCs w:val="36"/>
          <w:highlight w:val="none"/>
        </w:rPr>
      </w:pPr>
      <w:bookmarkStart w:id="258" w:name="_Toc58838608"/>
      <w:r>
        <w:rPr>
          <w:rFonts w:hint="eastAsia" w:ascii="宋体" w:hAnsi="宋体"/>
          <w:b/>
          <w:color w:val="auto"/>
          <w:sz w:val="36"/>
          <w:szCs w:val="36"/>
          <w:highlight w:val="none"/>
        </w:rPr>
        <w:t>参与编制经济标投标文件人员名单</w:t>
      </w:r>
      <w:bookmarkEnd w:id="258"/>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919" w:type="dxa"/>
            <w:gridSpan w:val="5"/>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职务</w:t>
            </w: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所承担工作</w:t>
            </w: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身份证号码</w:t>
            </w: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bl>
    <w:p>
      <w:pPr>
        <w:rPr>
          <w:rFonts w:ascii="宋体" w:hAnsi="宋体"/>
          <w:color w:val="auto"/>
          <w:highlight w:val="none"/>
        </w:rPr>
      </w:pPr>
      <w:r>
        <w:rPr>
          <w:rFonts w:hint="eastAsia" w:ascii="宋体" w:hAnsi="宋体"/>
          <w:color w:val="auto"/>
          <w:spacing w:val="4"/>
          <w:kern w:val="0"/>
          <w:sz w:val="21"/>
          <w:szCs w:val="21"/>
          <w:highlight w:val="none"/>
        </w:rPr>
        <w:t>注：参与编制经济标书所有人员名单应包括如编制各种专业工程量清单投标报价、负责清样校对、负责打印及复印等所有人员在内的人员名单。</w:t>
      </w:r>
    </w:p>
    <w:p>
      <w:pPr>
        <w:widowControl/>
        <w:jc w:val="left"/>
        <w:rPr>
          <w:rFonts w:ascii="宋体" w:hAnsi="宋体" w:cs="宋体"/>
          <w:b/>
          <w:color w:val="auto"/>
          <w:kern w:val="0"/>
          <w:sz w:val="24"/>
          <w:szCs w:val="24"/>
          <w:highlight w:val="none"/>
        </w:rPr>
      </w:pPr>
      <w:r>
        <w:rPr>
          <w:rFonts w:ascii="宋体" w:hAnsi="宋体"/>
          <w:color w:val="auto"/>
          <w:highlight w:val="none"/>
        </w:rPr>
        <w:br w:type="page"/>
      </w:r>
    </w:p>
    <w:p>
      <w:pPr>
        <w:pStyle w:val="6"/>
        <w:rPr>
          <w:color w:val="auto"/>
          <w:highlight w:val="none"/>
        </w:rPr>
      </w:pPr>
      <w:bookmarkStart w:id="259" w:name="_Toc2827"/>
      <w:bookmarkStart w:id="260" w:name="_Toc19432"/>
      <w:bookmarkStart w:id="261" w:name="_Toc25672"/>
      <w:bookmarkStart w:id="262" w:name="_Toc112397841"/>
      <w:bookmarkStart w:id="263" w:name="_Toc2692"/>
      <w:bookmarkStart w:id="264" w:name="_Toc60070635"/>
      <w:r>
        <w:rPr>
          <w:rFonts w:hint="eastAsia"/>
          <w:color w:val="auto"/>
          <w:highlight w:val="none"/>
        </w:rPr>
        <w:t>格式</w:t>
      </w:r>
      <w:r>
        <w:rPr>
          <w:rFonts w:hint="eastAsia"/>
          <w:snapToGrid w:val="0"/>
          <w:color w:val="auto"/>
          <w:highlight w:val="none"/>
        </w:rPr>
        <w:t>十二</w:t>
      </w:r>
      <w:r>
        <w:rPr>
          <w:rFonts w:hint="eastAsia"/>
          <w:color w:val="auto"/>
          <w:kern w:val="2"/>
          <w:highlight w:val="none"/>
        </w:rPr>
        <w:t>：</w:t>
      </w:r>
      <w:bookmarkEnd w:id="259"/>
      <w:bookmarkEnd w:id="260"/>
      <w:bookmarkEnd w:id="261"/>
      <w:bookmarkEnd w:id="262"/>
      <w:bookmarkEnd w:id="263"/>
      <w:bookmarkEnd w:id="264"/>
    </w:p>
    <w:p>
      <w:pPr>
        <w:pStyle w:val="47"/>
        <w:spacing w:after="0" w:line="360" w:lineRule="auto"/>
        <w:ind w:firstLine="0"/>
        <w:jc w:val="center"/>
        <w:rPr>
          <w:rFonts w:ascii="宋体" w:hAnsi="宋体" w:cs="宋体"/>
          <w:color w:val="auto"/>
          <w:sz w:val="36"/>
          <w:szCs w:val="36"/>
          <w:highlight w:val="none"/>
        </w:rPr>
      </w:pPr>
      <w:r>
        <w:rPr>
          <w:rFonts w:hint="eastAsia" w:ascii="宋体" w:hAnsi="宋体" w:cs="宋体"/>
          <w:b/>
          <w:color w:val="auto"/>
          <w:sz w:val="36"/>
          <w:szCs w:val="36"/>
          <w:highlight w:val="none"/>
        </w:rPr>
        <w:t>对投标文件编制的承诺</w:t>
      </w:r>
    </w:p>
    <w:p>
      <w:pPr>
        <w:pStyle w:val="47"/>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本公司授权</w:t>
      </w:r>
      <w:r>
        <w:rPr>
          <w:rFonts w:ascii="宋体" w:hAnsi="宋体" w:cs="宋体"/>
          <w:color w:val="auto"/>
          <w:sz w:val="24"/>
          <w:szCs w:val="24"/>
          <w:highlight w:val="none"/>
          <w:u w:val="single"/>
        </w:rPr>
        <w:t xml:space="preserve">         （身份证号：               ）</w:t>
      </w:r>
      <w:r>
        <w:rPr>
          <w:rFonts w:hint="eastAsia" w:ascii="宋体" w:hAnsi="宋体" w:cs="宋体"/>
          <w:color w:val="auto"/>
          <w:sz w:val="24"/>
          <w:szCs w:val="24"/>
          <w:highlight w:val="none"/>
        </w:rPr>
        <w:t>负责对投标文件的编制及内容进行解释、说明，并承诺以下事项：</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1.被授权人清楚投标文件编制的具体情况，包括</w:t>
      </w:r>
      <w:r>
        <w:rPr>
          <w:rFonts w:hint="eastAsia" w:ascii="宋体" w:hAnsi="宋体"/>
          <w:color w:val="auto"/>
          <w:sz w:val="24"/>
          <w:szCs w:val="24"/>
          <w:highlight w:val="none"/>
        </w:rPr>
        <w:t>技术方案文件、</w:t>
      </w:r>
      <w:r>
        <w:rPr>
          <w:rFonts w:hint="eastAsia" w:ascii="宋体" w:hAnsi="宋体" w:cs="宋体"/>
          <w:color w:val="auto"/>
          <w:sz w:val="24"/>
          <w:szCs w:val="24"/>
          <w:highlight w:val="none"/>
        </w:rPr>
        <w:t>工程量清单、以及投标文件的加密打包的理解；</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2.在本项目开标至评标结束前，努力确保被授权人在项目评标所在地附近；</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3.从评标委员会要求澄清起二小时内，被授权人应如实地书面澄清。</w:t>
      </w:r>
    </w:p>
    <w:p>
      <w:pPr>
        <w:pStyle w:val="47"/>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如由于未遵守上述承诺内容之一导致无法进行澄清的，我公司认可和接受评标委员会作出的评审结论。</w:t>
      </w:r>
      <w:r>
        <w:rPr>
          <w:rFonts w:ascii="宋体" w:hAnsi="宋体" w:cs="宋体"/>
          <w:color w:val="auto"/>
          <w:sz w:val="24"/>
          <w:szCs w:val="24"/>
          <w:highlight w:val="none"/>
        </w:rPr>
        <w:t xml:space="preserve">                                 </w:t>
      </w:r>
    </w:p>
    <w:p>
      <w:pPr>
        <w:pStyle w:val="47"/>
        <w:spacing w:after="0" w:line="360" w:lineRule="auto"/>
        <w:ind w:firstLine="360" w:firstLineChars="150"/>
        <w:rPr>
          <w:rFonts w:ascii="宋体" w:hAnsi="宋体" w:cs="宋体"/>
          <w:color w:val="auto"/>
          <w:sz w:val="24"/>
          <w:szCs w:val="24"/>
          <w:highlight w:val="none"/>
        </w:rPr>
      </w:pPr>
    </w:p>
    <w:p>
      <w:pPr>
        <w:pStyle w:val="47"/>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附件：《投标文件编制情况》</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标</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法定代表人或授权代理人（签字或盖章）：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pStyle w:val="47"/>
        <w:spacing w:after="0" w:line="360" w:lineRule="auto"/>
        <w:ind w:firstLine="0"/>
        <w:jc w:val="center"/>
        <w:rPr>
          <w:rFonts w:ascii="宋体" w:hAnsi="宋体" w:cs="宋体"/>
          <w:color w:val="auto"/>
          <w:sz w:val="36"/>
          <w:szCs w:val="36"/>
          <w:highlight w:val="none"/>
        </w:rPr>
      </w:pPr>
      <w:r>
        <w:rPr>
          <w:rFonts w:hint="eastAsia" w:ascii="宋体" w:hAnsi="宋体" w:cs="宋体"/>
          <w:b/>
          <w:color w:val="auto"/>
          <w:sz w:val="36"/>
          <w:szCs w:val="36"/>
          <w:highlight w:val="none"/>
        </w:rPr>
        <w:t>投标文件编制情况</w:t>
      </w:r>
    </w:p>
    <w:p>
      <w:pPr>
        <w:pStyle w:val="47"/>
        <w:spacing w:after="0" w:line="360"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 xml:space="preserve">1.投标文件报价编制方式: </w:t>
      </w:r>
      <w:r>
        <w:rPr>
          <w:rFonts w:hint="eastAsia" w:ascii="宋体" w:hAnsi="宋体" w:cs="宋体"/>
          <w:color w:val="auto"/>
          <w:sz w:val="24"/>
          <w:szCs w:val="24"/>
          <w:highlight w:val="none"/>
        </w:rPr>
        <w:t>□自行编制的，编制的负责人：</w:t>
      </w:r>
      <w:r>
        <w:rPr>
          <w:rFonts w:ascii="宋体" w:hAnsi="宋体" w:cs="宋体"/>
          <w:color w:val="auto"/>
          <w:sz w:val="24"/>
          <w:szCs w:val="24"/>
          <w:highlight w:val="none"/>
          <w:u w:val="single"/>
        </w:rPr>
        <w:t xml:space="preserve"> （盖造价工程师执业专用章或全国建设工程造价员章，执业单位应与投标人一致） </w:t>
      </w:r>
      <w:r>
        <w:rPr>
          <w:rFonts w:hint="eastAsia" w:ascii="宋体" w:hAnsi="宋体" w:cs="宋体"/>
          <w:color w:val="auto"/>
          <w:sz w:val="24"/>
          <w:szCs w:val="24"/>
          <w:highlight w:val="none"/>
        </w:rPr>
        <w:t>。□委托编制的，受委托单位，编制的负责人：</w:t>
      </w:r>
      <w:r>
        <w:rPr>
          <w:rFonts w:ascii="宋体" w:hAnsi="宋体" w:cs="宋体"/>
          <w:color w:val="auto"/>
          <w:sz w:val="24"/>
          <w:szCs w:val="24"/>
          <w:highlight w:val="none"/>
          <w:u w:val="single"/>
        </w:rPr>
        <w:t xml:space="preserve"> （盖造价工程师执业专用章或全国建设工程造价员章，执业单位应与受委托单位一致） </w:t>
      </w:r>
      <w:r>
        <w:rPr>
          <w:rFonts w:hint="eastAsia" w:ascii="宋体" w:hAnsi="宋体" w:cs="宋体"/>
          <w:color w:val="auto"/>
          <w:sz w:val="24"/>
          <w:szCs w:val="24"/>
          <w:highlight w:val="none"/>
        </w:rPr>
        <w:t>。</w:t>
      </w:r>
    </w:p>
    <w:p>
      <w:pPr>
        <w:pStyle w:val="47"/>
        <w:spacing w:after="0"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2.投标文件加密打包的电脑情况</w:t>
      </w:r>
    </w:p>
    <w:tbl>
      <w:tblPr>
        <w:tblStyle w:val="49"/>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投标文件加密打包的电脑</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自有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外包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其他</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电脑类型</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电脑所属单位</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电脑所在地址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（如××市××区</w:t>
            </w:r>
            <w:r>
              <w:rPr>
                <w:rFonts w:ascii="宋体" w:hAnsi="宋体" w:cs="宋体"/>
                <w:color w:val="auto"/>
                <w:sz w:val="24"/>
                <w:szCs w:val="24"/>
                <w:highlight w:val="none"/>
              </w:rPr>
              <w:t xml:space="preserve">(县) </w:t>
            </w:r>
            <w:r>
              <w:rPr>
                <w:rFonts w:hint="eastAsia" w:ascii="宋体" w:hAnsi="宋体" w:cs="宋体"/>
                <w:color w:val="auto"/>
                <w:sz w:val="24"/>
                <w:szCs w:val="24"/>
                <w:highlight w:val="none"/>
              </w:rPr>
              <w:t>××街（路）××号××大厦××房）</w:t>
            </w:r>
          </w:p>
        </w:tc>
      </w:tr>
    </w:tbl>
    <w:p>
      <w:pPr>
        <w:pStyle w:val="3"/>
        <w:rPr>
          <w:rStyle w:val="93"/>
          <w:rFonts w:ascii="宋体" w:hAnsi="宋体"/>
          <w:b w:val="0"/>
          <w:color w:val="auto"/>
          <w:highlight w:val="none"/>
        </w:rPr>
      </w:pPr>
      <w:bookmarkStart w:id="265" w:name="_Toc21733"/>
      <w:bookmarkStart w:id="266" w:name="_Toc27222"/>
      <w:bookmarkStart w:id="267" w:name="_Toc15030"/>
      <w:bookmarkStart w:id="268" w:name="_Toc17010"/>
      <w:bookmarkStart w:id="269" w:name="_Toc112397842"/>
      <w:bookmarkStart w:id="270" w:name="_Toc2272568"/>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技术条件（工程建设标准）</w:t>
      </w:r>
      <w:bookmarkEnd w:id="265"/>
      <w:bookmarkEnd w:id="266"/>
      <w:bookmarkEnd w:id="267"/>
      <w:bookmarkEnd w:id="268"/>
      <w:bookmarkEnd w:id="269"/>
      <w:bookmarkEnd w:id="270"/>
    </w:p>
    <w:p>
      <w:pPr>
        <w:spacing w:line="360" w:lineRule="auto"/>
        <w:rPr>
          <w:rFonts w:ascii="宋体" w:hAnsi="宋体" w:cs="宋体"/>
          <w:b/>
          <w:color w:val="auto"/>
          <w:szCs w:val="21"/>
          <w:highlight w:val="none"/>
        </w:rPr>
      </w:pPr>
      <w:bookmarkStart w:id="271" w:name="_Toc112397843"/>
      <w:bookmarkStart w:id="272" w:name="_Toc60070637"/>
      <w:r>
        <w:rPr>
          <w:rFonts w:hint="eastAsia" w:ascii="宋体" w:hAnsi="宋体" w:cs="宋体"/>
          <w:b/>
          <w:color w:val="auto"/>
          <w:szCs w:val="21"/>
          <w:highlight w:val="none"/>
        </w:rPr>
        <w:t>一、标准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以现行的中华人民共和国及有关部委颁布的标准、规范、和规程。若施工时期建设主管部门颁布新的规范、标准，则按照新的规范、标准执行。</w:t>
      </w:r>
    </w:p>
    <w:p>
      <w:pPr>
        <w:spacing w:line="360" w:lineRule="auto"/>
        <w:rPr>
          <w:rFonts w:ascii="宋体" w:hAnsi="宋体" w:cs="宋体"/>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二、施工组织设计要点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如果中标，中标人应按项目的进展需求，并在规定的时间内按要点要求，编制详细的施工组织设计，作为工程施工的指导性文件，向建设单位提交一式四份的《施工组织设计方案》，内容包括（不限于）以下：</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（一）工程概况及特点</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1.1 </w:t>
      </w:r>
      <w:r>
        <w:rPr>
          <w:rFonts w:hint="eastAsia" w:ascii="宋体" w:hAnsi="宋体" w:cs="宋体"/>
          <w:color w:val="auto"/>
          <w:szCs w:val="21"/>
          <w:highlight w:val="none"/>
        </w:rPr>
        <w:t>工程概况</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工程简述，工程规模，工程承包范围，地质及地貌状况，自然环境，交通情况等。</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1.2 </w:t>
      </w:r>
      <w:r>
        <w:rPr>
          <w:rFonts w:hint="eastAsia" w:ascii="宋体" w:hAnsi="宋体" w:cs="宋体"/>
          <w:color w:val="auto"/>
          <w:szCs w:val="21"/>
          <w:highlight w:val="none"/>
        </w:rPr>
        <w:t>工程特点</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设计特点、工程特点、影响施工的主要和特殊环节分析等。</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（二）施工现场组织机构</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2.1 </w:t>
      </w:r>
      <w:r>
        <w:rPr>
          <w:rFonts w:hint="eastAsia" w:ascii="宋体" w:hAnsi="宋体" w:cs="宋体"/>
          <w:color w:val="auto"/>
          <w:szCs w:val="21"/>
          <w:highlight w:val="none"/>
        </w:rPr>
        <w:t>组织机构关系图</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2.2 </w:t>
      </w:r>
      <w:r>
        <w:rPr>
          <w:rFonts w:hint="eastAsia" w:ascii="宋体" w:hAnsi="宋体" w:cs="宋体"/>
          <w:color w:val="auto"/>
          <w:szCs w:val="21"/>
          <w:highlight w:val="none"/>
        </w:rPr>
        <w:t>工程主要负责人简介。</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（三）施工现场总平面布置图</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3.1 </w:t>
      </w:r>
      <w:r>
        <w:rPr>
          <w:rFonts w:hint="eastAsia" w:ascii="宋体" w:hAnsi="宋体" w:cs="宋体"/>
          <w:color w:val="auto"/>
          <w:szCs w:val="21"/>
          <w:highlight w:val="none"/>
        </w:rPr>
        <w:t>施工现场平面布置图</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平面布置要求内容全面，充分利用现场条件，合理布置施工队、材料站、指挥部等。确定现场指挥部（工程处）和工区的驻地，材料站的设置，施工工区与施工班驻地，主要交通道路和通讯设施。平面布置图采用</w:t>
      </w:r>
      <w:r>
        <w:rPr>
          <w:rFonts w:ascii="宋体" w:hAnsi="宋体" w:cs="宋体"/>
          <w:color w:val="auto"/>
          <w:szCs w:val="21"/>
          <w:highlight w:val="none"/>
        </w:rPr>
        <w:t>A3纸，图面要求线条清晰、标志明确。</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（四）施工方案</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4.1 </w:t>
      </w:r>
      <w:r>
        <w:rPr>
          <w:rFonts w:hint="eastAsia" w:ascii="宋体" w:hAnsi="宋体" w:cs="宋体"/>
          <w:color w:val="auto"/>
          <w:szCs w:val="21"/>
          <w:highlight w:val="none"/>
        </w:rPr>
        <w:t>施工准备</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简要叙述施工技术资料、材料、通讯、施工场地的准备，施工机械、施工力量的配置，以及生活设施等的准备情况。主要施工机械设备表。</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4.2 </w:t>
      </w:r>
      <w:r>
        <w:rPr>
          <w:rFonts w:hint="eastAsia" w:ascii="宋体" w:hAnsi="宋体" w:cs="宋体"/>
          <w:color w:val="auto"/>
          <w:szCs w:val="21"/>
          <w:highlight w:val="none"/>
        </w:rPr>
        <w:t>施工工序总体安排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4.3 </w:t>
      </w:r>
      <w:r>
        <w:rPr>
          <w:rFonts w:hint="eastAsia" w:ascii="宋体" w:hAnsi="宋体" w:cs="宋体"/>
          <w:color w:val="auto"/>
          <w:szCs w:val="21"/>
          <w:highlight w:val="none"/>
        </w:rPr>
        <w:t>主要工序和特殊工序的施工方法和施工效率估计，潜在问题的分析。</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4.4 </w:t>
      </w:r>
      <w:r>
        <w:rPr>
          <w:rFonts w:hint="eastAsia" w:ascii="宋体" w:hAnsi="宋体" w:cs="宋体"/>
          <w:color w:val="auto"/>
          <w:szCs w:val="21"/>
          <w:highlight w:val="none"/>
        </w:rPr>
        <w:t>工程成本的控制措施为控制成本，提高效益，拟采取的措施。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（五）工期及施工进度计划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5.1 </w:t>
      </w:r>
      <w:r>
        <w:rPr>
          <w:rFonts w:hint="eastAsia" w:ascii="宋体" w:hAnsi="宋体" w:cs="宋体"/>
          <w:color w:val="auto"/>
          <w:szCs w:val="21"/>
          <w:highlight w:val="none"/>
        </w:rPr>
        <w:t>工期规划及要求</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用横道图反映各主要施工过程的计划进度，深度达到全面、准确、清楚的描述工程实施过程，从中可衍生出各种施工资源计划及其过程管理信息。</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5.2 </w:t>
      </w:r>
      <w:r>
        <w:rPr>
          <w:rFonts w:hint="eastAsia" w:ascii="宋体" w:hAnsi="宋体" w:cs="宋体"/>
          <w:color w:val="auto"/>
          <w:szCs w:val="21"/>
          <w:highlight w:val="none"/>
        </w:rPr>
        <w:t>施工进度计划网络图</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施工网络图应明确工程开工、竣工日期，工程施工的关键路线，并针对关键工序，提出确保工期拟采取的措施。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5.3 </w:t>
      </w:r>
      <w:r>
        <w:rPr>
          <w:rFonts w:hint="eastAsia" w:ascii="宋体" w:hAnsi="宋体" w:cs="宋体"/>
          <w:color w:val="auto"/>
          <w:szCs w:val="21"/>
          <w:highlight w:val="none"/>
        </w:rPr>
        <w:t>施工资源（人力、材料、机具、场地及进场道路、公共关系）计划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5.4 </w:t>
      </w:r>
      <w:r>
        <w:rPr>
          <w:rFonts w:hint="eastAsia" w:ascii="宋体" w:hAnsi="宋体" w:cs="宋体"/>
          <w:color w:val="auto"/>
          <w:szCs w:val="21"/>
          <w:highlight w:val="none"/>
        </w:rPr>
        <w:t>施工进度计划分析</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计划潜在问题，计划中的潜力及其开发途径等。</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5.5 </w:t>
      </w:r>
      <w:r>
        <w:rPr>
          <w:rFonts w:hint="eastAsia" w:ascii="宋体" w:hAnsi="宋体" w:cs="宋体"/>
          <w:color w:val="auto"/>
          <w:szCs w:val="21"/>
          <w:highlight w:val="none"/>
        </w:rPr>
        <w:t>计划控制</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程序、方法及制度等。</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（六）质量目标、质量保证体系及技术组织措施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6.1 </w:t>
      </w:r>
      <w:r>
        <w:rPr>
          <w:rFonts w:hint="eastAsia" w:ascii="宋体" w:hAnsi="宋体" w:cs="宋体"/>
          <w:color w:val="auto"/>
          <w:szCs w:val="21"/>
          <w:highlight w:val="none"/>
        </w:rPr>
        <w:t>质量目标</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本工程要求的质量目标：合格。</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用单位工程和分项工程合格率、优良品率表示，欲达到的工程质量等级。</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6.2 </w:t>
      </w:r>
      <w:r>
        <w:rPr>
          <w:rFonts w:hint="eastAsia" w:ascii="宋体" w:hAnsi="宋体" w:cs="宋体"/>
          <w:color w:val="auto"/>
          <w:szCs w:val="21"/>
          <w:highlight w:val="none"/>
        </w:rPr>
        <w:t>质量管理组织机构及主要职责</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用框图表示质量管理组织机构，并简要叙述各质量管理部门的主要职责。</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6.3 </w:t>
      </w:r>
      <w:r>
        <w:rPr>
          <w:rFonts w:hint="eastAsia" w:ascii="宋体" w:hAnsi="宋体" w:cs="宋体"/>
          <w:color w:val="auto"/>
          <w:szCs w:val="21"/>
          <w:highlight w:val="none"/>
        </w:rPr>
        <w:t>质量管理的措施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简要叙述质量管理的措施和关键工序的质量控制。</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6.4 </w:t>
      </w:r>
      <w:r>
        <w:rPr>
          <w:rFonts w:hint="eastAsia" w:ascii="宋体" w:hAnsi="宋体" w:cs="宋体"/>
          <w:color w:val="auto"/>
          <w:szCs w:val="21"/>
          <w:highlight w:val="none"/>
        </w:rPr>
        <w:t>质量管理及检验的标准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执行的主要质量标准、规范。</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6.5 </w:t>
      </w:r>
      <w:r>
        <w:rPr>
          <w:rFonts w:hint="eastAsia" w:ascii="宋体" w:hAnsi="宋体" w:cs="宋体"/>
          <w:color w:val="auto"/>
          <w:szCs w:val="21"/>
          <w:highlight w:val="none"/>
        </w:rPr>
        <w:t>质量保证技术措施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针对本工程特点，分析质量薄弱环节，拟将采取的技术措施。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（七）安全目标、安全保证体系及技术组织措施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7.1 </w:t>
      </w:r>
      <w:r>
        <w:rPr>
          <w:rFonts w:hint="eastAsia" w:ascii="宋体" w:hAnsi="宋体" w:cs="宋体"/>
          <w:color w:val="auto"/>
          <w:szCs w:val="21"/>
          <w:highlight w:val="none"/>
        </w:rPr>
        <w:t>安全管理目标</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7.2 </w:t>
      </w:r>
      <w:r>
        <w:rPr>
          <w:rFonts w:hint="eastAsia" w:ascii="宋体" w:hAnsi="宋体" w:cs="宋体"/>
          <w:color w:val="auto"/>
          <w:szCs w:val="21"/>
          <w:highlight w:val="none"/>
        </w:rPr>
        <w:t>安全管理组织机构及主要职责</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用框图表示安全管理组织机构，并简要叙述各安全管理部门及人员的主要职责。</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7.3 </w:t>
      </w:r>
      <w:r>
        <w:rPr>
          <w:rFonts w:hint="eastAsia" w:ascii="宋体" w:hAnsi="宋体" w:cs="宋体"/>
          <w:color w:val="auto"/>
          <w:szCs w:val="21"/>
          <w:highlight w:val="none"/>
        </w:rPr>
        <w:t>安全管理制度及办法</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7.4 </w:t>
      </w:r>
      <w:r>
        <w:rPr>
          <w:rFonts w:hint="eastAsia" w:ascii="宋体" w:hAnsi="宋体" w:cs="宋体"/>
          <w:color w:val="auto"/>
          <w:szCs w:val="21"/>
          <w:highlight w:val="none"/>
        </w:rPr>
        <w:t>安全组织技术措施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针对本工程特点，分析安全薄弱环节，拟将采取的技术措施。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7.5 </w:t>
      </w:r>
      <w:r>
        <w:rPr>
          <w:rFonts w:hint="eastAsia" w:ascii="宋体" w:hAnsi="宋体" w:cs="宋体"/>
          <w:color w:val="auto"/>
          <w:szCs w:val="21"/>
          <w:highlight w:val="none"/>
        </w:rPr>
        <w:t>重要施工方案和特殊施工工序的安全过程控制</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7.6 </w:t>
      </w:r>
      <w:r>
        <w:rPr>
          <w:rFonts w:hint="eastAsia" w:ascii="宋体" w:hAnsi="宋体" w:cs="宋体"/>
          <w:color w:val="auto"/>
          <w:szCs w:val="21"/>
          <w:highlight w:val="none"/>
        </w:rPr>
        <w:t>严格执行《建筑施工安全检查标准》</w:t>
      </w:r>
      <w:r>
        <w:rPr>
          <w:rFonts w:ascii="宋体" w:hAnsi="宋体" w:cs="宋体"/>
          <w:color w:val="auto"/>
          <w:szCs w:val="21"/>
          <w:highlight w:val="none"/>
        </w:rPr>
        <w:t>(JGJ59-99)和省、市建设主管部门有关文明施工的规定。并按照甲方要求安排工作时间，在施工中尽量减少噪音，必要时采取有效的隔音措施，混凝土浇灌需连续不间断作业时，按有关规定申报夜间施工许可证。</w:t>
      </w:r>
    </w:p>
    <w:p>
      <w:pPr>
        <w:spacing w:line="360" w:lineRule="auto"/>
        <w:ind w:firstLine="371" w:firstLineChars="177"/>
        <w:rPr>
          <w:rFonts w:ascii="宋体" w:hAnsi="宋体" w:cs="宋体"/>
          <w:color w:val="auto"/>
          <w:szCs w:val="21"/>
          <w:highlight w:val="none"/>
        </w:rPr>
      </w:pPr>
      <w:bookmarkStart w:id="273" w:name="_Hlt531956504"/>
      <w:r>
        <w:rPr>
          <w:rFonts w:hint="eastAsia" w:ascii="宋体" w:hAnsi="宋体" w:cs="宋体"/>
          <w:color w:val="auto"/>
          <w:szCs w:val="21"/>
          <w:highlight w:val="none"/>
        </w:rPr>
        <w:t>安全生产目标：杜绝本项目施工人员重大伤亡事故。</w:t>
      </w:r>
      <w:bookmarkEnd w:id="273"/>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文明施工目标：标准化管理。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（八）环境保护及文明施工</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8.1 </w:t>
      </w:r>
      <w:r>
        <w:rPr>
          <w:rFonts w:hint="eastAsia" w:ascii="宋体" w:hAnsi="宋体" w:cs="宋体"/>
          <w:color w:val="auto"/>
          <w:szCs w:val="21"/>
          <w:highlight w:val="none"/>
        </w:rPr>
        <w:t>环境保护</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分析因施工可能引起的环境保护方面的问题。</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8.2 </w:t>
      </w:r>
      <w:r>
        <w:rPr>
          <w:rFonts w:hint="eastAsia" w:ascii="宋体" w:hAnsi="宋体" w:cs="宋体"/>
          <w:color w:val="auto"/>
          <w:szCs w:val="21"/>
          <w:highlight w:val="none"/>
        </w:rPr>
        <w:t>加强施工管理、严格保护环境</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提出环境保护的目标及采取的具体措施。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8.3 </w:t>
      </w:r>
      <w:r>
        <w:rPr>
          <w:rFonts w:hint="eastAsia" w:ascii="宋体" w:hAnsi="宋体" w:cs="宋体"/>
          <w:color w:val="auto"/>
          <w:szCs w:val="21"/>
          <w:highlight w:val="none"/>
        </w:rPr>
        <w:t>文明施工的目标、组织机构和实施方案</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8.4 </w:t>
      </w:r>
      <w:r>
        <w:rPr>
          <w:rFonts w:hint="eastAsia" w:ascii="宋体" w:hAnsi="宋体" w:cs="宋体"/>
          <w:color w:val="auto"/>
          <w:szCs w:val="21"/>
          <w:highlight w:val="none"/>
        </w:rPr>
        <w:t>文明施工考核、管理办法</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（九）计划、统计和信息管理</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9.1 </w:t>
      </w:r>
      <w:r>
        <w:rPr>
          <w:rFonts w:hint="eastAsia" w:ascii="宋体" w:hAnsi="宋体" w:cs="宋体"/>
          <w:color w:val="auto"/>
          <w:szCs w:val="21"/>
          <w:highlight w:val="none"/>
        </w:rPr>
        <w:t>计划、统计报表的编制与传递；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9.2 </w:t>
      </w:r>
      <w:r>
        <w:rPr>
          <w:rFonts w:hint="eastAsia" w:ascii="宋体" w:hAnsi="宋体" w:cs="宋体"/>
          <w:color w:val="auto"/>
          <w:szCs w:val="21"/>
          <w:highlight w:val="none"/>
        </w:rPr>
        <w:t>信息管理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提出信息管理的目标及拟将采取的措施。</w:t>
      </w:r>
    </w:p>
    <w:bookmarkEnd w:id="271"/>
    <w:bookmarkEnd w:id="272"/>
    <w:p>
      <w:pPr>
        <w:spacing w:line="360" w:lineRule="auto"/>
        <w:ind w:firstLine="240" w:firstLineChars="100"/>
        <w:rPr>
          <w:rFonts w:ascii="宋体" w:hAnsi="宋体" w:cs="宋体"/>
          <w:color w:val="auto"/>
          <w:sz w:val="24"/>
          <w:szCs w:val="24"/>
          <w:highlight w:val="none"/>
        </w:rPr>
      </w:pPr>
    </w:p>
    <w:p>
      <w:pPr>
        <w:widowControl/>
        <w:jc w:val="left"/>
        <w:rPr>
          <w:rFonts w:ascii="宋体" w:hAnsi="宋体"/>
          <w:b/>
          <w:color w:val="auto"/>
          <w:sz w:val="24"/>
          <w:szCs w:val="24"/>
          <w:highlight w:val="none"/>
        </w:rPr>
      </w:pPr>
      <w:r>
        <w:rPr>
          <w:rFonts w:ascii="宋体" w:hAnsi="宋体"/>
          <w:color w:val="auto"/>
          <w:highlight w:val="none"/>
        </w:rPr>
        <w:br w:type="page"/>
      </w:r>
    </w:p>
    <w:p>
      <w:pPr>
        <w:pStyle w:val="3"/>
        <w:rPr>
          <w:rFonts w:ascii="宋体" w:hAnsi="宋体"/>
          <w:color w:val="auto"/>
          <w:highlight w:val="none"/>
        </w:rPr>
      </w:pPr>
      <w:bookmarkStart w:id="274" w:name="_Toc2272569"/>
      <w:bookmarkStart w:id="275" w:name="_Toc6613"/>
      <w:bookmarkStart w:id="276" w:name="_Toc112397844"/>
      <w:bookmarkStart w:id="277" w:name="_Toc27309"/>
      <w:bookmarkStart w:id="278" w:name="_Toc17871"/>
      <w:bookmarkStart w:id="279" w:name="_Toc14331"/>
      <w:r>
        <w:rPr>
          <w:rFonts w:hint="eastAsia" w:ascii="宋体" w:hAnsi="宋体"/>
          <w:color w:val="auto"/>
          <w:highlight w:val="none"/>
        </w:rPr>
        <w:t>第六章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图纸及勘察资料</w:t>
      </w:r>
      <w:bookmarkEnd w:id="274"/>
      <w:bookmarkEnd w:id="275"/>
      <w:bookmarkEnd w:id="276"/>
      <w:bookmarkEnd w:id="277"/>
      <w:bookmarkEnd w:id="278"/>
      <w:bookmarkEnd w:id="279"/>
    </w:p>
    <w:p>
      <w:pPr>
        <w:rPr>
          <w:rFonts w:hint="eastAsia" w:ascii="宋体" w:hAnsi="宋体" w:cs="宋体"/>
          <w:color w:val="auto"/>
          <w:sz w:val="24"/>
          <w:szCs w:val="24"/>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注：本章由招标人自行制定，另册。</w:t>
      </w:r>
    </w:p>
    <w:p>
      <w:pPr>
        <w:pStyle w:val="2"/>
        <w:rPr>
          <w:color w:val="auto"/>
        </w:rPr>
      </w:pPr>
    </w:p>
    <w:p>
      <w:pPr>
        <w:pStyle w:val="3"/>
        <w:rPr>
          <w:rFonts w:ascii="宋体" w:hAnsi="宋体"/>
          <w:color w:val="auto"/>
          <w:highlight w:val="none"/>
        </w:rPr>
      </w:pPr>
      <w:r>
        <w:rPr>
          <w:rFonts w:ascii="宋体" w:hAnsi="宋体"/>
          <w:color w:val="auto"/>
          <w:sz w:val="24"/>
          <w:szCs w:val="24"/>
          <w:highlight w:val="none"/>
        </w:rPr>
        <w:br w:type="page"/>
      </w:r>
      <w:bookmarkStart w:id="280" w:name="_Toc31319"/>
      <w:bookmarkStart w:id="281" w:name="_Toc2050"/>
      <w:bookmarkStart w:id="282" w:name="_Toc9167"/>
      <w:bookmarkStart w:id="283" w:name="_Toc2272570"/>
      <w:bookmarkStart w:id="284" w:name="_Toc112397845"/>
      <w:bookmarkStart w:id="285" w:name="_Toc25832"/>
      <w:r>
        <w:rPr>
          <w:rFonts w:hint="eastAsia" w:ascii="宋体" w:hAnsi="宋体"/>
          <w:color w:val="auto"/>
          <w:highlight w:val="none"/>
        </w:rPr>
        <w:t>第七章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工程量清单</w:t>
      </w:r>
      <w:bookmarkEnd w:id="280"/>
      <w:bookmarkEnd w:id="281"/>
      <w:bookmarkEnd w:id="282"/>
      <w:bookmarkEnd w:id="283"/>
      <w:bookmarkEnd w:id="284"/>
      <w:bookmarkEnd w:id="285"/>
    </w:p>
    <w:p>
      <w:pPr>
        <w:rPr>
          <w:rFonts w:hint="eastAsia"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color w:val="auto"/>
          <w:sz w:val="24"/>
          <w:szCs w:val="24"/>
          <w:highlight w:val="none"/>
        </w:rPr>
        <w:t>注：本章由招标人自行制定，另册。</w:t>
      </w:r>
    </w:p>
    <w:p>
      <w:pPr>
        <w:pStyle w:val="47"/>
        <w:spacing w:after="0" w:line="360" w:lineRule="auto"/>
        <w:ind w:left="-2" w:leftChars="-1" w:firstLine="960" w:firstLineChars="400"/>
        <w:rPr>
          <w:rFonts w:ascii="宋体" w:hAnsi="宋体" w:cs="宋体"/>
          <w:color w:val="auto"/>
          <w:sz w:val="24"/>
          <w:highlight w:val="none"/>
        </w:rPr>
      </w:pPr>
    </w:p>
    <w:p>
      <w:pPr>
        <w:pStyle w:val="3"/>
        <w:rPr>
          <w:rFonts w:ascii="宋体" w:hAnsi="宋体"/>
          <w:color w:val="auto"/>
          <w:highlight w:val="none"/>
        </w:rPr>
      </w:pPr>
      <w:r>
        <w:rPr>
          <w:rFonts w:ascii="宋体" w:hAnsi="宋体"/>
          <w:color w:val="auto"/>
          <w:sz w:val="24"/>
          <w:szCs w:val="24"/>
          <w:highlight w:val="none"/>
        </w:rPr>
        <w:br w:type="page"/>
      </w:r>
      <w:bookmarkStart w:id="286" w:name="_Toc17788"/>
      <w:bookmarkStart w:id="287" w:name="_Toc112397846"/>
      <w:bookmarkStart w:id="288" w:name="_Toc2272571"/>
      <w:bookmarkStart w:id="289" w:name="_Toc19485"/>
      <w:bookmarkStart w:id="290" w:name="_Toc10732"/>
      <w:bookmarkStart w:id="291" w:name="_Toc7619"/>
      <w:r>
        <w:rPr>
          <w:rFonts w:hint="eastAsia" w:ascii="宋体" w:hAnsi="宋体"/>
          <w:color w:val="auto"/>
          <w:highlight w:val="none"/>
        </w:rPr>
        <w:t>第八章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最高投标限价</w:t>
      </w:r>
      <w:bookmarkEnd w:id="286"/>
      <w:bookmarkEnd w:id="287"/>
      <w:bookmarkEnd w:id="288"/>
      <w:bookmarkEnd w:id="289"/>
      <w:bookmarkEnd w:id="290"/>
      <w:bookmarkEnd w:id="291"/>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s="宋体"/>
          <w:color w:val="auto"/>
          <w:sz w:val="24"/>
          <w:szCs w:val="24"/>
          <w:highlight w:val="none"/>
          <w:u w:val="single"/>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5" w:hRule="atLeast"/>
        </w:trPr>
        <w:tc>
          <w:tcPr>
            <w:tcW w:w="8528" w:type="dxa"/>
          </w:tcPr>
          <w:p>
            <w:pPr>
              <w:spacing w:line="600" w:lineRule="exact"/>
              <w:jc w:val="center"/>
              <w:rPr>
                <w:rFonts w:ascii="宋体" w:hAnsi="宋体" w:cs="宋体"/>
                <w:b/>
                <w:color w:val="auto"/>
                <w:spacing w:val="60"/>
                <w:sz w:val="44"/>
                <w:szCs w:val="44"/>
                <w:highlight w:val="none"/>
              </w:rPr>
            </w:pPr>
            <w:r>
              <w:rPr>
                <w:rFonts w:hint="eastAsia" w:ascii="宋体" w:hAnsi="宋体" w:cs="宋体"/>
                <w:b/>
                <w:color w:val="auto"/>
                <w:spacing w:val="60"/>
                <w:sz w:val="44"/>
                <w:szCs w:val="44"/>
                <w:highlight w:val="none"/>
              </w:rPr>
              <w:t>最高投标限价公布函</w:t>
            </w:r>
          </w:p>
          <w:p>
            <w:pPr>
              <w:spacing w:line="600" w:lineRule="exact"/>
              <w:jc w:val="center"/>
              <w:rPr>
                <w:rFonts w:ascii="宋体" w:hAnsi="宋体" w:cs="宋体"/>
                <w:b/>
                <w:color w:val="auto"/>
                <w:spacing w:val="60"/>
                <w:sz w:val="44"/>
                <w:szCs w:val="44"/>
                <w:highlight w:val="none"/>
              </w:rPr>
            </w:pPr>
            <w:r>
              <w:rPr>
                <w:rFonts w:hint="eastAsia" w:ascii="宋体" w:hAnsi="宋体" w:cs="宋体"/>
                <w:b/>
                <w:color w:val="auto"/>
                <w:spacing w:val="60"/>
                <w:sz w:val="44"/>
                <w:szCs w:val="44"/>
                <w:highlight w:val="none"/>
              </w:rPr>
              <w:t>（参考格式）</w:t>
            </w:r>
          </w:p>
          <w:p>
            <w:pPr>
              <w:spacing w:line="360" w:lineRule="auto"/>
              <w:rPr>
                <w:rFonts w:ascii="宋体" w:hAnsi="宋体" w:cs="宋体"/>
                <w:color w:val="auto"/>
                <w:szCs w:val="21"/>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最高投标限价（元）：</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分部分项工程费（元）：</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措施项目费（元）：</w:t>
            </w:r>
          </w:p>
          <w:p>
            <w:pPr>
              <w:spacing w:line="360" w:lineRule="auto"/>
              <w:ind w:firstLine="960" w:firstLineChars="400"/>
              <w:rPr>
                <w:rFonts w:ascii="宋体" w:hAnsi="宋体" w:cs="宋体"/>
                <w:color w:val="auto"/>
                <w:sz w:val="24"/>
                <w:szCs w:val="24"/>
                <w:highlight w:val="none"/>
                <w:u w:val="single"/>
              </w:rPr>
            </w:pPr>
            <w:r>
              <w:rPr>
                <w:rFonts w:hint="eastAsia" w:ascii="宋体" w:hAnsi="宋体" w:cs="宋体"/>
                <w:color w:val="auto"/>
                <w:sz w:val="24"/>
                <w:szCs w:val="24"/>
                <w:highlight w:val="none"/>
              </w:rPr>
              <w:t>其中绿色施工安全防护措施费（元）：</w:t>
            </w:r>
          </w:p>
          <w:p>
            <w:pPr>
              <w:spacing w:line="360" w:lineRule="auto"/>
              <w:ind w:firstLine="723" w:firstLineChars="300"/>
              <w:rPr>
                <w:rFonts w:ascii="宋体" w:hAnsi="宋体" w:cs="宋体"/>
                <w:color w:val="auto"/>
                <w:sz w:val="24"/>
                <w:szCs w:val="24"/>
                <w:highlight w:val="none"/>
              </w:rPr>
            </w:pPr>
            <w:r>
              <w:rPr>
                <w:rFonts w:hint="eastAsia" w:ascii="宋体" w:hAnsi="宋体" w:cs="宋体"/>
                <w:b/>
                <w:color w:val="auto"/>
                <w:sz w:val="24"/>
                <w:szCs w:val="24"/>
                <w:highlight w:val="none"/>
              </w:rPr>
              <w:t>（详细列明各专业工程绿色施工安全防护措施费）</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其他项目费（元）：</w:t>
            </w:r>
          </w:p>
          <w:p>
            <w:pPr>
              <w:spacing w:line="360" w:lineRule="auto"/>
              <w:ind w:firstLine="960" w:firstLineChars="400"/>
              <w:rPr>
                <w:rFonts w:ascii="宋体" w:hAnsi="宋体" w:cs="宋体"/>
                <w:color w:val="auto"/>
                <w:sz w:val="24"/>
                <w:szCs w:val="24"/>
                <w:highlight w:val="none"/>
                <w:u w:val="single"/>
              </w:rPr>
            </w:pPr>
            <w:r>
              <w:rPr>
                <w:rFonts w:hint="eastAsia" w:ascii="宋体" w:hAnsi="宋体" w:cs="宋体"/>
                <w:color w:val="auto"/>
                <w:sz w:val="24"/>
                <w:szCs w:val="24"/>
                <w:highlight w:val="none"/>
              </w:rPr>
              <w:t>其中暂列金额（元）：</w:t>
            </w:r>
          </w:p>
          <w:p>
            <w:pPr>
              <w:spacing w:line="360" w:lineRule="auto"/>
              <w:ind w:firstLine="723" w:firstLineChars="300"/>
              <w:rPr>
                <w:rFonts w:ascii="宋体" w:hAnsi="宋体" w:cs="宋体"/>
                <w:color w:val="auto"/>
                <w:sz w:val="24"/>
                <w:szCs w:val="24"/>
                <w:highlight w:val="none"/>
              </w:rPr>
            </w:pPr>
            <w:r>
              <w:rPr>
                <w:rFonts w:hint="eastAsia" w:ascii="宋体" w:hAnsi="宋体" w:cs="宋体"/>
                <w:b/>
                <w:color w:val="auto"/>
                <w:sz w:val="24"/>
                <w:szCs w:val="24"/>
                <w:highlight w:val="none"/>
              </w:rPr>
              <w:t>（详细列明各专业工程暂列金额）</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规费（元）：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税金（元）：</w:t>
            </w:r>
          </w:p>
          <w:p>
            <w:pPr>
              <w:widowControl/>
              <w:spacing w:before="75" w:after="75" w:line="360" w:lineRule="auto"/>
              <w:ind w:firstLine="480" w:firstLineChars="200"/>
              <w:jc w:val="left"/>
              <w:rPr>
                <w:rFonts w:ascii="宋体" w:hAnsi="宋体" w:cs="宋体"/>
                <w:color w:val="auto"/>
                <w:kern w:val="0"/>
                <w:sz w:val="24"/>
                <w:szCs w:val="24"/>
                <w:highlight w:val="none"/>
              </w:rPr>
            </w:pPr>
          </w:p>
          <w:p>
            <w:pPr>
              <w:widowControl/>
              <w:spacing w:before="75" w:after="75" w:line="360" w:lineRule="auto"/>
              <w:ind w:firstLine="960" w:firstLineChars="4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对公开招标工程，</w:t>
            </w:r>
            <w:r>
              <w:rPr>
                <w:rFonts w:hint="eastAsia" w:ascii="宋体" w:hAnsi="宋体" w:cs="宋体"/>
                <w:color w:val="auto"/>
                <w:sz w:val="24"/>
                <w:szCs w:val="24"/>
                <w:highlight w:val="none"/>
              </w:rPr>
              <w:t>投标人须按照公布的绿色施工安全防护措施费、</w:t>
            </w:r>
            <w:r>
              <w:rPr>
                <w:rFonts w:hint="eastAsia" w:ascii="宋体" w:hAnsi="宋体" w:cs="宋体"/>
                <w:color w:val="auto"/>
                <w:kern w:val="0"/>
                <w:sz w:val="24"/>
                <w:szCs w:val="24"/>
                <w:highlight w:val="none"/>
              </w:rPr>
              <w:t>暂</w:t>
            </w:r>
          </w:p>
          <w:p>
            <w:pPr>
              <w:widowControl/>
              <w:spacing w:before="75" w:after="75"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列金额报价。</w:t>
            </w:r>
          </w:p>
          <w:p>
            <w:pPr>
              <w:widowControl/>
              <w:spacing w:before="75" w:after="75" w:line="360" w:lineRule="auto"/>
              <w:ind w:firstLine="5640" w:firstLineChars="2350"/>
              <w:jc w:val="left"/>
              <w:rPr>
                <w:rFonts w:ascii="宋体" w:hAnsi="宋体" w:cs="宋体"/>
                <w:b/>
                <w:color w:val="auto"/>
                <w:spacing w:val="60"/>
                <w:sz w:val="24"/>
                <w:szCs w:val="24"/>
                <w:highlight w:val="none"/>
              </w:rPr>
            </w:pPr>
            <w:r>
              <w:rPr>
                <w:rFonts w:hint="eastAsia" w:ascii="宋体" w:hAnsi="宋体" w:cs="宋体"/>
                <w:color w:val="auto"/>
                <w:sz w:val="24"/>
                <w:szCs w:val="24"/>
                <w:highlight w:val="none"/>
              </w:rPr>
              <w:t>招标单位（盖章）</w:t>
            </w:r>
          </w:p>
          <w:p>
            <w:pPr>
              <w:widowControl/>
              <w:spacing w:before="75" w:after="75" w:line="360" w:lineRule="auto"/>
              <w:ind w:firstLine="5880" w:firstLineChars="2450"/>
              <w:jc w:val="left"/>
              <w:rPr>
                <w:rFonts w:ascii="宋体" w:hAnsi="宋体" w:cs="宋体"/>
                <w:b/>
                <w:color w:val="auto"/>
                <w:spacing w:val="60"/>
                <w:sz w:val="44"/>
                <w:szCs w:val="44"/>
                <w:highlight w:val="none"/>
              </w:rPr>
            </w:pP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tc>
      </w:tr>
    </w:tbl>
    <w:p>
      <w:pPr>
        <w:rPr>
          <w:rFonts w:ascii="宋体" w:hAnsi="宋体"/>
          <w:color w:val="auto"/>
          <w:highlight w:val="none"/>
        </w:rPr>
      </w:pPr>
    </w:p>
    <w:sectPr>
      <w:footerReference r:id="rId21" w:type="first"/>
      <w:headerReference r:id="rId19" w:type="even"/>
      <w:footerReference r:id="rId20"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Proxy 9">
    <w:altName w:val="Segoe Print"/>
    <w:panose1 w:val="00000400000000000000"/>
    <w:charset w:val="00"/>
    <w:family w:val="auto"/>
    <w:pitch w:val="default"/>
    <w:sig w:usb0="00000000" w:usb1="00000000" w:usb2="00000000" w:usb3="00000000" w:csb0="000001F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Courier New"/>
    <w:panose1 w:val="00000000000000000000"/>
    <w:charset w:val="00"/>
    <w:family w:val="swiss"/>
    <w:pitch w:val="default"/>
    <w:sig w:usb0="00000000" w:usb1="00000000" w:usb2="0A246029" w:usb3="00000000" w:csb0="000001FF" w:csb1="00000000"/>
  </w:font>
  <w:font w:name="Helvetica Neue">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p>
    <w:pPr>
      <w:pStyle w:val="3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Style w:val="54"/>
      </w:rPr>
      <w:fldChar w:fldCharType="begin"/>
    </w:r>
    <w:r>
      <w:rPr>
        <w:rStyle w:val="54"/>
      </w:rPr>
      <w:instrText xml:space="preserve"> PAGE </w:instrText>
    </w:r>
    <w:r>
      <w:rPr>
        <w:rStyle w:val="54"/>
      </w:rPr>
      <w:fldChar w:fldCharType="separate"/>
    </w:r>
    <w:r>
      <w:rPr>
        <w:rStyle w:val="54"/>
      </w:rPr>
      <w:t>66</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2"/>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11150" cy="2120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11150" cy="2120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7pt;width:24.5pt;mso-position-horizontal:center;mso-position-horizontal-relative:margin;z-index:251666432;mso-width-relative:page;mso-height-relative:page;" filled="f" stroked="f" coordsize="21600,21600" o:gfxdata="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6aD/TAAAAAwEAAA8AAAAAAAAAAQAgAAAAIgAAAGRycy9kb3ducmV2LnhtbFBL&#10;AQIUABQAAAAIAIdO4kAiJk8kNAIAAGMEAAAOAAAAAAAAAAEAIAAAACIBAABkcnMvZTJvRG9jLnht&#10;bFBLBQYAAAAABgAGAFkBAADIBQAAAAA=&#10;">
              <v:fill on="f" focussize="0,0"/>
              <v:stroke on="f" weight="0.5pt"/>
              <v:imagedata o:title=""/>
              <o:lock v:ext="edit" aspectratio="f"/>
              <v:textbox inset="0mm,0mm,0mm,0mm">
                <w:txbxContent>
                  <w:p>
                    <w:pPr>
                      <w:pStyle w:val="3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2"/>
      <w:ind w:firstLine="392"/>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2"/>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2"/>
                          </w:pPr>
                          <w:r>
                            <w:fldChar w:fldCharType="begin"/>
                          </w:r>
                          <w:r>
                            <w:instrText xml:space="preserve"> PAGE  \* MERGEFORMAT </w:instrText>
                          </w:r>
                          <w:r>
                            <w:fldChar w:fldCharType="separate"/>
                          </w:r>
                          <w:r>
                            <w:t>0</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WgDsd5gEA&#10;AMoDAAAOAAAAAAAAAAEAIAAAACIBAABkcnMvZTJvRG9jLnhtbFBLBQYAAAAABgAGAFkBAAB6BQAA&#10;AAA=&#10;">
              <v:fill on="f" focussize="0,0"/>
              <v:stroke on="f" weight="1.25pt"/>
              <v:imagedata o:title=""/>
              <o:lock v:ext="edit" aspectratio="f"/>
              <v:textbox inset="0mm,0mm,0mm,0mm" style="mso-fit-shape-to-text:t;">
                <w:txbxContent>
                  <w:p>
                    <w:pPr>
                      <w:pStyle w:val="3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r>
      <mc:AlternateContent>
        <mc:Choice Requires="wps">
          <w:drawing>
            <wp:anchor distT="0" distB="0" distL="114300" distR="114300" simplePos="0" relativeHeight="251665408" behindDoc="0" locked="0" layoutInCell="1" allowOverlap="1">
              <wp:simplePos x="0" y="0"/>
              <wp:positionH relativeFrom="margin">
                <wp:posOffset>2588895</wp:posOffset>
              </wp:positionH>
              <wp:positionV relativeFrom="paragraph">
                <wp:posOffset>0</wp:posOffset>
              </wp:positionV>
              <wp:extent cx="53467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34670" cy="131445"/>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203.85pt;margin-top:0pt;height:10.35pt;width:42.1pt;mso-position-horizontal-relative:margin;z-index:251665408;mso-width-relative:page;mso-height-relative:page;" filled="f" stroked="f" coordsize="21600,21600" o:gfxdata="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J0VcdQAAAAHAQAADwAAAAAAAAABACAA&#10;AAAiAAAAZHJzL2Rvd25yZXYueG1sUEsBAhQAFAAAAAgAh07iQO2NHDYRAgAAEgQAAA4AAAAAAAAA&#10;AQAgAAAAIwEAAGRycy9lMm9Eb2MueG1sUEsFBgAAAAAGAAYAWQEAAKY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4"/>
      </w:rPr>
    </w:pPr>
    <w:r>
      <w:rPr>
        <w:rStyle w:val="54"/>
      </w:rPr>
      <w:fldChar w:fldCharType="begin"/>
    </w:r>
    <w:r>
      <w:rPr>
        <w:rStyle w:val="54"/>
      </w:rPr>
      <w:instrText xml:space="preserve">PAGE  </w:instrText>
    </w:r>
    <w:r>
      <w:rPr>
        <w:rStyle w:val="54"/>
      </w:rPr>
      <w:fldChar w:fldCharType="separate"/>
    </w:r>
    <w:r>
      <w:rPr>
        <w:rStyle w:val="54"/>
        <w:rFonts w:hint="eastAsia"/>
      </w:rPr>
      <w:t>一</w:t>
    </w:r>
    <w:r>
      <w:rPr>
        <w:rStyle w:val="54"/>
      </w:rPr>
      <w:t>–2</w:t>
    </w:r>
    <w:r>
      <w:rPr>
        <w:rStyle w:val="54"/>
      </w:rPr>
      <w:fldChar w:fldCharType="end"/>
    </w:r>
  </w:p>
  <w:p>
    <w:pPr>
      <w:pStyle w:val="32"/>
      <w:ind w:right="360" w:firstLine="360"/>
      <w:jc w:val="center"/>
    </w:pPr>
    <w:r>
      <w:rPr>
        <w:kern w:val="0"/>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92"/>
    </w:pPr>
    <w:r>
      <w:rPr>
        <w:rFonts w:hint="eastAsia"/>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i/>
        <w:iCs/>
      </w:rPr>
    </w:pPr>
    <w:r>
      <w:rPr>
        <w:rFonts w:hint="eastAsia"/>
        <w:i/>
        <w:iCs/>
      </w:rPr>
      <w:t>横枝岗路道路排水改造工程招标文件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8"/>
    <w:multiLevelType w:val="singleLevel"/>
    <w:tmpl w:val="00000008"/>
    <w:lvl w:ilvl="0" w:tentative="0">
      <w:start w:val="1"/>
      <w:numFmt w:val="japaneseCounting"/>
      <w:lvlText w:val="%1、"/>
      <w:lvlJc w:val="left"/>
      <w:pPr>
        <w:tabs>
          <w:tab w:val="left" w:pos="960"/>
        </w:tabs>
        <w:ind w:left="960" w:hanging="48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1BB16A0"/>
    <w:multiLevelType w:val="singleLevel"/>
    <w:tmpl w:val="01BB16A0"/>
    <w:lvl w:ilvl="0" w:tentative="0">
      <w:start w:val="4"/>
      <w:numFmt w:val="chineseCounting"/>
      <w:suff w:val="space"/>
      <w:lvlText w:val="第%1部分"/>
      <w:lvlJc w:val="left"/>
      <w:rPr>
        <w:rFonts w:hint="eastAsia"/>
      </w:rPr>
    </w:lvl>
  </w:abstractNum>
  <w:abstractNum w:abstractNumId="5">
    <w:nsid w:val="14181B7E"/>
    <w:multiLevelType w:val="singleLevel"/>
    <w:tmpl w:val="14181B7E"/>
    <w:lvl w:ilvl="0" w:tentative="0">
      <w:start w:val="1"/>
      <w:numFmt w:val="decimal"/>
      <w:suff w:val="nothing"/>
      <w:lvlText w:val="%1、"/>
      <w:lvlJc w:val="left"/>
    </w:lvl>
  </w:abstractNum>
  <w:abstractNum w:abstractNumId="6">
    <w:nsid w:val="259905B5"/>
    <w:multiLevelType w:val="multilevel"/>
    <w:tmpl w:val="259905B5"/>
    <w:lvl w:ilvl="0" w:tentative="0">
      <w:start w:val="1"/>
      <w:numFmt w:val="chineseCountingThousand"/>
      <w:pStyle w:val="116"/>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7"/>
      <w:suff w:val="space"/>
      <w:lvlText w:val="%2.%3.%4"/>
      <w:lvlJc w:val="left"/>
      <w:pPr>
        <w:ind w:left="284" w:hanging="284"/>
      </w:pPr>
      <w:rPr>
        <w:rFonts w:hint="eastAsia" w:ascii="宋体" w:eastAsia="宋体" w:cs="Times New Roman"/>
        <w:b/>
        <w:i w:val="0"/>
        <w:sz w:val="28"/>
      </w:rPr>
    </w:lvl>
    <w:lvl w:ilvl="4" w:tentative="0">
      <w:start w:val="1"/>
      <w:numFmt w:val="decimal"/>
      <w:pStyle w:val="9"/>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3AD5465A"/>
    <w:multiLevelType w:val="multilevel"/>
    <w:tmpl w:val="3AD546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4649A8"/>
    <w:multiLevelType w:val="singleLevel"/>
    <w:tmpl w:val="544649A8"/>
    <w:lvl w:ilvl="0" w:tentative="0">
      <w:start w:val="2"/>
      <w:numFmt w:val="decimal"/>
      <w:suff w:val="space"/>
      <w:lvlText w:val="%1."/>
      <w:lvlJc w:val="left"/>
    </w:lvl>
  </w:abstractNum>
  <w:abstractNum w:abstractNumId="9">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6"/>
  </w:num>
  <w:num w:numId="2">
    <w:abstractNumId w:val="9"/>
  </w:num>
  <w:num w:numId="3">
    <w:abstractNumId w:val="3"/>
  </w:num>
  <w:num w:numId="4">
    <w:abstractNumId w:val="2"/>
  </w:num>
  <w:num w:numId="5">
    <w:abstractNumId w:val="4"/>
  </w:num>
  <w:num w:numId="6">
    <w:abstractNumId w:val="5"/>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OTlmNTUwNzhlMDUwMmUwNWUyMzhjZGVkYjNkNWMifQ=="/>
  </w:docVars>
  <w:rsids>
    <w:rsidRoot w:val="00106A70"/>
    <w:rsid w:val="00005EC1"/>
    <w:rsid w:val="0001065C"/>
    <w:rsid w:val="00021782"/>
    <w:rsid w:val="00022426"/>
    <w:rsid w:val="0002445C"/>
    <w:rsid w:val="000267AF"/>
    <w:rsid w:val="00043AC1"/>
    <w:rsid w:val="00045D77"/>
    <w:rsid w:val="00046EE3"/>
    <w:rsid w:val="00063D8C"/>
    <w:rsid w:val="000667C4"/>
    <w:rsid w:val="00071AB3"/>
    <w:rsid w:val="00072402"/>
    <w:rsid w:val="000733AF"/>
    <w:rsid w:val="000876AE"/>
    <w:rsid w:val="00087C67"/>
    <w:rsid w:val="00095BA9"/>
    <w:rsid w:val="00095F4B"/>
    <w:rsid w:val="00097A92"/>
    <w:rsid w:val="000A46E8"/>
    <w:rsid w:val="000D44B5"/>
    <w:rsid w:val="000D4F60"/>
    <w:rsid w:val="000D6806"/>
    <w:rsid w:val="000E54A4"/>
    <w:rsid w:val="000E6341"/>
    <w:rsid w:val="000E641F"/>
    <w:rsid w:val="000F5231"/>
    <w:rsid w:val="000F7EA9"/>
    <w:rsid w:val="0010098B"/>
    <w:rsid w:val="0010353C"/>
    <w:rsid w:val="00106A70"/>
    <w:rsid w:val="00112FF4"/>
    <w:rsid w:val="001210E2"/>
    <w:rsid w:val="001256F8"/>
    <w:rsid w:val="00125ACD"/>
    <w:rsid w:val="00136494"/>
    <w:rsid w:val="00137831"/>
    <w:rsid w:val="00137B8D"/>
    <w:rsid w:val="0014090E"/>
    <w:rsid w:val="00140D80"/>
    <w:rsid w:val="00150CB8"/>
    <w:rsid w:val="00155C5A"/>
    <w:rsid w:val="00156F51"/>
    <w:rsid w:val="00161469"/>
    <w:rsid w:val="00170EBB"/>
    <w:rsid w:val="00177ADF"/>
    <w:rsid w:val="00177E92"/>
    <w:rsid w:val="00182042"/>
    <w:rsid w:val="00182DE3"/>
    <w:rsid w:val="00183C0D"/>
    <w:rsid w:val="00193459"/>
    <w:rsid w:val="001A384E"/>
    <w:rsid w:val="001A6201"/>
    <w:rsid w:val="001D12B0"/>
    <w:rsid w:val="001E1400"/>
    <w:rsid w:val="001E2667"/>
    <w:rsid w:val="001E54EC"/>
    <w:rsid w:val="001F33BB"/>
    <w:rsid w:val="001F4C40"/>
    <w:rsid w:val="001F5539"/>
    <w:rsid w:val="0020345A"/>
    <w:rsid w:val="002069FB"/>
    <w:rsid w:val="00213850"/>
    <w:rsid w:val="002171C1"/>
    <w:rsid w:val="0022100E"/>
    <w:rsid w:val="00227243"/>
    <w:rsid w:val="00230BE3"/>
    <w:rsid w:val="00235FA0"/>
    <w:rsid w:val="00241756"/>
    <w:rsid w:val="002426CF"/>
    <w:rsid w:val="00242D35"/>
    <w:rsid w:val="00252964"/>
    <w:rsid w:val="002549CD"/>
    <w:rsid w:val="0025694A"/>
    <w:rsid w:val="00264D57"/>
    <w:rsid w:val="0026505D"/>
    <w:rsid w:val="00276FB4"/>
    <w:rsid w:val="0028196C"/>
    <w:rsid w:val="00294E4A"/>
    <w:rsid w:val="002A0303"/>
    <w:rsid w:val="002A3FA2"/>
    <w:rsid w:val="002A6CC8"/>
    <w:rsid w:val="002B038D"/>
    <w:rsid w:val="002B1E93"/>
    <w:rsid w:val="002B374F"/>
    <w:rsid w:val="002B5886"/>
    <w:rsid w:val="002C2790"/>
    <w:rsid w:val="002D01E9"/>
    <w:rsid w:val="002E2687"/>
    <w:rsid w:val="002E4F4C"/>
    <w:rsid w:val="002E6150"/>
    <w:rsid w:val="002F5543"/>
    <w:rsid w:val="003037E2"/>
    <w:rsid w:val="00304652"/>
    <w:rsid w:val="003059C9"/>
    <w:rsid w:val="00312A38"/>
    <w:rsid w:val="00323E11"/>
    <w:rsid w:val="00323F2F"/>
    <w:rsid w:val="00325E96"/>
    <w:rsid w:val="00326C00"/>
    <w:rsid w:val="00331F8C"/>
    <w:rsid w:val="003358E3"/>
    <w:rsid w:val="00335BD3"/>
    <w:rsid w:val="003420EB"/>
    <w:rsid w:val="00347B01"/>
    <w:rsid w:val="00354C41"/>
    <w:rsid w:val="00355284"/>
    <w:rsid w:val="0035584D"/>
    <w:rsid w:val="00356A44"/>
    <w:rsid w:val="00357D01"/>
    <w:rsid w:val="00365FD0"/>
    <w:rsid w:val="0037273F"/>
    <w:rsid w:val="00373EF6"/>
    <w:rsid w:val="00376258"/>
    <w:rsid w:val="00376C23"/>
    <w:rsid w:val="00383CEB"/>
    <w:rsid w:val="00390C85"/>
    <w:rsid w:val="003A7E76"/>
    <w:rsid w:val="003B0476"/>
    <w:rsid w:val="003B63B2"/>
    <w:rsid w:val="003B7254"/>
    <w:rsid w:val="003C23DA"/>
    <w:rsid w:val="003E36F2"/>
    <w:rsid w:val="003E413E"/>
    <w:rsid w:val="003E4F01"/>
    <w:rsid w:val="003E54BE"/>
    <w:rsid w:val="003E7068"/>
    <w:rsid w:val="00400119"/>
    <w:rsid w:val="00400DFB"/>
    <w:rsid w:val="00404B76"/>
    <w:rsid w:val="004127C7"/>
    <w:rsid w:val="004269B1"/>
    <w:rsid w:val="00427B9D"/>
    <w:rsid w:val="00433E3E"/>
    <w:rsid w:val="004368E1"/>
    <w:rsid w:val="00440C26"/>
    <w:rsid w:val="004415E6"/>
    <w:rsid w:val="004435E8"/>
    <w:rsid w:val="00450953"/>
    <w:rsid w:val="00452B76"/>
    <w:rsid w:val="00464D7C"/>
    <w:rsid w:val="00467D6C"/>
    <w:rsid w:val="00472433"/>
    <w:rsid w:val="00475E95"/>
    <w:rsid w:val="00484211"/>
    <w:rsid w:val="0049307D"/>
    <w:rsid w:val="004931DB"/>
    <w:rsid w:val="004C41DD"/>
    <w:rsid w:val="004D33F6"/>
    <w:rsid w:val="004D5513"/>
    <w:rsid w:val="004F006D"/>
    <w:rsid w:val="004F0DEF"/>
    <w:rsid w:val="004F6DC0"/>
    <w:rsid w:val="004F787D"/>
    <w:rsid w:val="00503F3E"/>
    <w:rsid w:val="00510DF0"/>
    <w:rsid w:val="00514EA1"/>
    <w:rsid w:val="00531AB2"/>
    <w:rsid w:val="00537256"/>
    <w:rsid w:val="00547EE0"/>
    <w:rsid w:val="0055283C"/>
    <w:rsid w:val="00552AEF"/>
    <w:rsid w:val="00560137"/>
    <w:rsid w:val="00564D16"/>
    <w:rsid w:val="00564EDC"/>
    <w:rsid w:val="00572B75"/>
    <w:rsid w:val="00575273"/>
    <w:rsid w:val="00577F75"/>
    <w:rsid w:val="00584859"/>
    <w:rsid w:val="00584C09"/>
    <w:rsid w:val="00585880"/>
    <w:rsid w:val="005927BC"/>
    <w:rsid w:val="005959F6"/>
    <w:rsid w:val="00597BE7"/>
    <w:rsid w:val="005A3ABF"/>
    <w:rsid w:val="005A3F9A"/>
    <w:rsid w:val="005A4F2C"/>
    <w:rsid w:val="005A5D7F"/>
    <w:rsid w:val="005B497B"/>
    <w:rsid w:val="005C01D7"/>
    <w:rsid w:val="005C1D65"/>
    <w:rsid w:val="005C3C1D"/>
    <w:rsid w:val="005C6375"/>
    <w:rsid w:val="005D10EE"/>
    <w:rsid w:val="005D3B63"/>
    <w:rsid w:val="005E489E"/>
    <w:rsid w:val="005F58A7"/>
    <w:rsid w:val="005F7CFA"/>
    <w:rsid w:val="00602352"/>
    <w:rsid w:val="00603CF7"/>
    <w:rsid w:val="006049D1"/>
    <w:rsid w:val="00605BF6"/>
    <w:rsid w:val="006071D2"/>
    <w:rsid w:val="00610572"/>
    <w:rsid w:val="00612D3B"/>
    <w:rsid w:val="00614095"/>
    <w:rsid w:val="00620AAD"/>
    <w:rsid w:val="006212CF"/>
    <w:rsid w:val="006216C6"/>
    <w:rsid w:val="006231A3"/>
    <w:rsid w:val="006231C4"/>
    <w:rsid w:val="006251D0"/>
    <w:rsid w:val="00627E17"/>
    <w:rsid w:val="00633297"/>
    <w:rsid w:val="00647BC3"/>
    <w:rsid w:val="006627C5"/>
    <w:rsid w:val="00663B63"/>
    <w:rsid w:val="00673A0D"/>
    <w:rsid w:val="00677109"/>
    <w:rsid w:val="006803A3"/>
    <w:rsid w:val="00683D88"/>
    <w:rsid w:val="00686120"/>
    <w:rsid w:val="006A20B8"/>
    <w:rsid w:val="006A38FE"/>
    <w:rsid w:val="006A50D5"/>
    <w:rsid w:val="006A5453"/>
    <w:rsid w:val="006A660D"/>
    <w:rsid w:val="006C2C6D"/>
    <w:rsid w:val="006C5562"/>
    <w:rsid w:val="006C7559"/>
    <w:rsid w:val="006D3772"/>
    <w:rsid w:val="006E06A0"/>
    <w:rsid w:val="006E0CE0"/>
    <w:rsid w:val="006E7DA7"/>
    <w:rsid w:val="006F27F9"/>
    <w:rsid w:val="006F435B"/>
    <w:rsid w:val="007005E6"/>
    <w:rsid w:val="00701055"/>
    <w:rsid w:val="00722577"/>
    <w:rsid w:val="007234C4"/>
    <w:rsid w:val="00724A3E"/>
    <w:rsid w:val="00730B59"/>
    <w:rsid w:val="00735E0E"/>
    <w:rsid w:val="00737DC1"/>
    <w:rsid w:val="00744B3D"/>
    <w:rsid w:val="00751E2F"/>
    <w:rsid w:val="00753220"/>
    <w:rsid w:val="007620A9"/>
    <w:rsid w:val="0076712F"/>
    <w:rsid w:val="00772656"/>
    <w:rsid w:val="00773A2A"/>
    <w:rsid w:val="0077478A"/>
    <w:rsid w:val="00776569"/>
    <w:rsid w:val="00781507"/>
    <w:rsid w:val="007816EB"/>
    <w:rsid w:val="00781CE6"/>
    <w:rsid w:val="007860A3"/>
    <w:rsid w:val="007A172A"/>
    <w:rsid w:val="007A52FD"/>
    <w:rsid w:val="007A5427"/>
    <w:rsid w:val="007B64BB"/>
    <w:rsid w:val="007C0E30"/>
    <w:rsid w:val="007C1F1A"/>
    <w:rsid w:val="007C3599"/>
    <w:rsid w:val="007C44C4"/>
    <w:rsid w:val="007D2AE6"/>
    <w:rsid w:val="007D3984"/>
    <w:rsid w:val="007D58AD"/>
    <w:rsid w:val="007D69D2"/>
    <w:rsid w:val="007E1295"/>
    <w:rsid w:val="007F0C98"/>
    <w:rsid w:val="007F1CE8"/>
    <w:rsid w:val="007F1D54"/>
    <w:rsid w:val="007F6AA8"/>
    <w:rsid w:val="0080125D"/>
    <w:rsid w:val="00804CA2"/>
    <w:rsid w:val="00805381"/>
    <w:rsid w:val="00805988"/>
    <w:rsid w:val="00813899"/>
    <w:rsid w:val="008152BE"/>
    <w:rsid w:val="008207C6"/>
    <w:rsid w:val="008209D1"/>
    <w:rsid w:val="00822016"/>
    <w:rsid w:val="00822A44"/>
    <w:rsid w:val="008246B0"/>
    <w:rsid w:val="00825958"/>
    <w:rsid w:val="00833DE3"/>
    <w:rsid w:val="008372B0"/>
    <w:rsid w:val="00853EBF"/>
    <w:rsid w:val="008544A0"/>
    <w:rsid w:val="00860F2A"/>
    <w:rsid w:val="00865D80"/>
    <w:rsid w:val="0087608F"/>
    <w:rsid w:val="008801F1"/>
    <w:rsid w:val="00887303"/>
    <w:rsid w:val="0089198B"/>
    <w:rsid w:val="00894099"/>
    <w:rsid w:val="008A41D4"/>
    <w:rsid w:val="008A65E7"/>
    <w:rsid w:val="008B09DA"/>
    <w:rsid w:val="008B1128"/>
    <w:rsid w:val="008B1223"/>
    <w:rsid w:val="008B2F44"/>
    <w:rsid w:val="008B6A59"/>
    <w:rsid w:val="008B6CF4"/>
    <w:rsid w:val="008C29B6"/>
    <w:rsid w:val="008C499E"/>
    <w:rsid w:val="008E2906"/>
    <w:rsid w:val="008E57A7"/>
    <w:rsid w:val="008E7AC4"/>
    <w:rsid w:val="008F269F"/>
    <w:rsid w:val="008F2739"/>
    <w:rsid w:val="008F7DD7"/>
    <w:rsid w:val="00901BFA"/>
    <w:rsid w:val="009022CC"/>
    <w:rsid w:val="0090553D"/>
    <w:rsid w:val="00910BB1"/>
    <w:rsid w:val="00913EBD"/>
    <w:rsid w:val="00917485"/>
    <w:rsid w:val="00925619"/>
    <w:rsid w:val="00927AFA"/>
    <w:rsid w:val="00930634"/>
    <w:rsid w:val="009309BA"/>
    <w:rsid w:val="00934B26"/>
    <w:rsid w:val="0094146D"/>
    <w:rsid w:val="00945BD0"/>
    <w:rsid w:val="0095268A"/>
    <w:rsid w:val="00953BF3"/>
    <w:rsid w:val="00954ABC"/>
    <w:rsid w:val="00955BFE"/>
    <w:rsid w:val="0096765A"/>
    <w:rsid w:val="00976012"/>
    <w:rsid w:val="00980D98"/>
    <w:rsid w:val="009811C7"/>
    <w:rsid w:val="00995F58"/>
    <w:rsid w:val="009A14B7"/>
    <w:rsid w:val="009A60B9"/>
    <w:rsid w:val="009A63E9"/>
    <w:rsid w:val="009B5136"/>
    <w:rsid w:val="009B63BA"/>
    <w:rsid w:val="009C3154"/>
    <w:rsid w:val="009D2BC0"/>
    <w:rsid w:val="009D4F9C"/>
    <w:rsid w:val="009D5D34"/>
    <w:rsid w:val="009D7CB7"/>
    <w:rsid w:val="009E15F9"/>
    <w:rsid w:val="009E53DC"/>
    <w:rsid w:val="009E5795"/>
    <w:rsid w:val="00A026D3"/>
    <w:rsid w:val="00A07368"/>
    <w:rsid w:val="00A10851"/>
    <w:rsid w:val="00A118DF"/>
    <w:rsid w:val="00A13103"/>
    <w:rsid w:val="00A136E8"/>
    <w:rsid w:val="00A15D52"/>
    <w:rsid w:val="00A172CD"/>
    <w:rsid w:val="00A21DDF"/>
    <w:rsid w:val="00A224AC"/>
    <w:rsid w:val="00A30FEF"/>
    <w:rsid w:val="00A35EA4"/>
    <w:rsid w:val="00A423EF"/>
    <w:rsid w:val="00A52B27"/>
    <w:rsid w:val="00A54824"/>
    <w:rsid w:val="00A54B81"/>
    <w:rsid w:val="00A6079C"/>
    <w:rsid w:val="00A630D5"/>
    <w:rsid w:val="00A71A73"/>
    <w:rsid w:val="00A735DB"/>
    <w:rsid w:val="00A76DEA"/>
    <w:rsid w:val="00A7765B"/>
    <w:rsid w:val="00A844DE"/>
    <w:rsid w:val="00A85283"/>
    <w:rsid w:val="00A858BB"/>
    <w:rsid w:val="00A900B5"/>
    <w:rsid w:val="00A90BAB"/>
    <w:rsid w:val="00A93526"/>
    <w:rsid w:val="00A96855"/>
    <w:rsid w:val="00A97C52"/>
    <w:rsid w:val="00AA22F6"/>
    <w:rsid w:val="00AA79F2"/>
    <w:rsid w:val="00AB0DC0"/>
    <w:rsid w:val="00AB2753"/>
    <w:rsid w:val="00AC43F7"/>
    <w:rsid w:val="00AC4BC8"/>
    <w:rsid w:val="00AC7DDE"/>
    <w:rsid w:val="00AD24A0"/>
    <w:rsid w:val="00AD654E"/>
    <w:rsid w:val="00AD6DF9"/>
    <w:rsid w:val="00AD7597"/>
    <w:rsid w:val="00AD7FAF"/>
    <w:rsid w:val="00AE7F1A"/>
    <w:rsid w:val="00AF462C"/>
    <w:rsid w:val="00AF5B9A"/>
    <w:rsid w:val="00B04039"/>
    <w:rsid w:val="00B04E1D"/>
    <w:rsid w:val="00B0528B"/>
    <w:rsid w:val="00B163B8"/>
    <w:rsid w:val="00B17D06"/>
    <w:rsid w:val="00B17E37"/>
    <w:rsid w:val="00B231A7"/>
    <w:rsid w:val="00B24461"/>
    <w:rsid w:val="00B36E67"/>
    <w:rsid w:val="00B41536"/>
    <w:rsid w:val="00B57A0C"/>
    <w:rsid w:val="00B624E3"/>
    <w:rsid w:val="00B63D6F"/>
    <w:rsid w:val="00B65CB6"/>
    <w:rsid w:val="00B6614D"/>
    <w:rsid w:val="00B75CBC"/>
    <w:rsid w:val="00B8423A"/>
    <w:rsid w:val="00B849E5"/>
    <w:rsid w:val="00B9694C"/>
    <w:rsid w:val="00B96C5C"/>
    <w:rsid w:val="00BA1454"/>
    <w:rsid w:val="00BB0C3E"/>
    <w:rsid w:val="00BB50F0"/>
    <w:rsid w:val="00BB6347"/>
    <w:rsid w:val="00BC4B44"/>
    <w:rsid w:val="00BE0720"/>
    <w:rsid w:val="00BE3D9B"/>
    <w:rsid w:val="00BF5429"/>
    <w:rsid w:val="00BF77E0"/>
    <w:rsid w:val="00C02588"/>
    <w:rsid w:val="00C10F84"/>
    <w:rsid w:val="00C117AE"/>
    <w:rsid w:val="00C15D4E"/>
    <w:rsid w:val="00C1729C"/>
    <w:rsid w:val="00C210DB"/>
    <w:rsid w:val="00C22713"/>
    <w:rsid w:val="00C2570B"/>
    <w:rsid w:val="00C3663E"/>
    <w:rsid w:val="00C45782"/>
    <w:rsid w:val="00C460B7"/>
    <w:rsid w:val="00C50D17"/>
    <w:rsid w:val="00C540C5"/>
    <w:rsid w:val="00C570C3"/>
    <w:rsid w:val="00C57421"/>
    <w:rsid w:val="00C57A8B"/>
    <w:rsid w:val="00C57F02"/>
    <w:rsid w:val="00C60D1A"/>
    <w:rsid w:val="00C67582"/>
    <w:rsid w:val="00C72CDC"/>
    <w:rsid w:val="00C743D2"/>
    <w:rsid w:val="00C8307B"/>
    <w:rsid w:val="00C845AF"/>
    <w:rsid w:val="00C917BA"/>
    <w:rsid w:val="00C9479E"/>
    <w:rsid w:val="00C959E7"/>
    <w:rsid w:val="00CA0F9A"/>
    <w:rsid w:val="00CA28BC"/>
    <w:rsid w:val="00CA2BD0"/>
    <w:rsid w:val="00CA3724"/>
    <w:rsid w:val="00CB4B2C"/>
    <w:rsid w:val="00CC0B81"/>
    <w:rsid w:val="00CC4A2C"/>
    <w:rsid w:val="00CC4A3B"/>
    <w:rsid w:val="00CC5452"/>
    <w:rsid w:val="00CC761D"/>
    <w:rsid w:val="00CC76F2"/>
    <w:rsid w:val="00CD15DC"/>
    <w:rsid w:val="00CE323D"/>
    <w:rsid w:val="00CE4C51"/>
    <w:rsid w:val="00CE6725"/>
    <w:rsid w:val="00CF252D"/>
    <w:rsid w:val="00D0267E"/>
    <w:rsid w:val="00D12933"/>
    <w:rsid w:val="00D2477F"/>
    <w:rsid w:val="00D26848"/>
    <w:rsid w:val="00D30EAB"/>
    <w:rsid w:val="00D31750"/>
    <w:rsid w:val="00D317C3"/>
    <w:rsid w:val="00D33D89"/>
    <w:rsid w:val="00D34C79"/>
    <w:rsid w:val="00D36ED5"/>
    <w:rsid w:val="00D36FC7"/>
    <w:rsid w:val="00D40450"/>
    <w:rsid w:val="00D40460"/>
    <w:rsid w:val="00D432CC"/>
    <w:rsid w:val="00D467E4"/>
    <w:rsid w:val="00D51E20"/>
    <w:rsid w:val="00D573B0"/>
    <w:rsid w:val="00D63D1A"/>
    <w:rsid w:val="00D6431A"/>
    <w:rsid w:val="00D65E5C"/>
    <w:rsid w:val="00D67C2A"/>
    <w:rsid w:val="00D753B6"/>
    <w:rsid w:val="00D80EEC"/>
    <w:rsid w:val="00D816DA"/>
    <w:rsid w:val="00DA2320"/>
    <w:rsid w:val="00DB0023"/>
    <w:rsid w:val="00DB19E9"/>
    <w:rsid w:val="00DB2194"/>
    <w:rsid w:val="00DB7882"/>
    <w:rsid w:val="00DC18A7"/>
    <w:rsid w:val="00DC466F"/>
    <w:rsid w:val="00DC7009"/>
    <w:rsid w:val="00DD0619"/>
    <w:rsid w:val="00DD09CF"/>
    <w:rsid w:val="00DD691C"/>
    <w:rsid w:val="00DE56B3"/>
    <w:rsid w:val="00DE60BB"/>
    <w:rsid w:val="00DE6BEF"/>
    <w:rsid w:val="00DF10AA"/>
    <w:rsid w:val="00E06889"/>
    <w:rsid w:val="00E14D3A"/>
    <w:rsid w:val="00E16892"/>
    <w:rsid w:val="00E22D1A"/>
    <w:rsid w:val="00E23864"/>
    <w:rsid w:val="00E3103A"/>
    <w:rsid w:val="00E319A2"/>
    <w:rsid w:val="00E352D6"/>
    <w:rsid w:val="00E36B5F"/>
    <w:rsid w:val="00E37367"/>
    <w:rsid w:val="00E41A01"/>
    <w:rsid w:val="00E42E7B"/>
    <w:rsid w:val="00E44144"/>
    <w:rsid w:val="00E50307"/>
    <w:rsid w:val="00E6173C"/>
    <w:rsid w:val="00E62305"/>
    <w:rsid w:val="00E63DBF"/>
    <w:rsid w:val="00E66486"/>
    <w:rsid w:val="00E669D8"/>
    <w:rsid w:val="00E70285"/>
    <w:rsid w:val="00E705C9"/>
    <w:rsid w:val="00E762B9"/>
    <w:rsid w:val="00E84FC5"/>
    <w:rsid w:val="00E8751A"/>
    <w:rsid w:val="00E9080F"/>
    <w:rsid w:val="00E9353C"/>
    <w:rsid w:val="00E95235"/>
    <w:rsid w:val="00E95E82"/>
    <w:rsid w:val="00EA7C63"/>
    <w:rsid w:val="00EB0EC5"/>
    <w:rsid w:val="00EB256D"/>
    <w:rsid w:val="00EC2697"/>
    <w:rsid w:val="00EC63D6"/>
    <w:rsid w:val="00EC737E"/>
    <w:rsid w:val="00ED315A"/>
    <w:rsid w:val="00ED377C"/>
    <w:rsid w:val="00ED3DE4"/>
    <w:rsid w:val="00EE0DE9"/>
    <w:rsid w:val="00EE7EEF"/>
    <w:rsid w:val="00EF6AAB"/>
    <w:rsid w:val="00F03595"/>
    <w:rsid w:val="00F13910"/>
    <w:rsid w:val="00F17147"/>
    <w:rsid w:val="00F2018E"/>
    <w:rsid w:val="00F23625"/>
    <w:rsid w:val="00F24F96"/>
    <w:rsid w:val="00F40DB9"/>
    <w:rsid w:val="00F43FB9"/>
    <w:rsid w:val="00F465C8"/>
    <w:rsid w:val="00F4761F"/>
    <w:rsid w:val="00F57AF8"/>
    <w:rsid w:val="00F64455"/>
    <w:rsid w:val="00F6639E"/>
    <w:rsid w:val="00F6676E"/>
    <w:rsid w:val="00F679D6"/>
    <w:rsid w:val="00F67EC3"/>
    <w:rsid w:val="00F72E4C"/>
    <w:rsid w:val="00F81375"/>
    <w:rsid w:val="00F8575A"/>
    <w:rsid w:val="00F866A5"/>
    <w:rsid w:val="00F87F2E"/>
    <w:rsid w:val="00F87F94"/>
    <w:rsid w:val="00F93EAC"/>
    <w:rsid w:val="00F942D2"/>
    <w:rsid w:val="00FA6691"/>
    <w:rsid w:val="00FA67AB"/>
    <w:rsid w:val="00FA72FC"/>
    <w:rsid w:val="00FB0358"/>
    <w:rsid w:val="00FB2966"/>
    <w:rsid w:val="00FB49CB"/>
    <w:rsid w:val="00FC4E30"/>
    <w:rsid w:val="00FD19B8"/>
    <w:rsid w:val="00FD6327"/>
    <w:rsid w:val="00FE4330"/>
    <w:rsid w:val="00FF2214"/>
    <w:rsid w:val="00FF5BA6"/>
    <w:rsid w:val="00FF7350"/>
    <w:rsid w:val="013755F2"/>
    <w:rsid w:val="03CD6A75"/>
    <w:rsid w:val="0462603D"/>
    <w:rsid w:val="061C612A"/>
    <w:rsid w:val="06FD5BAA"/>
    <w:rsid w:val="09972F3A"/>
    <w:rsid w:val="09BF629F"/>
    <w:rsid w:val="0A507DAD"/>
    <w:rsid w:val="0B850E89"/>
    <w:rsid w:val="0BD343FD"/>
    <w:rsid w:val="0BD6694B"/>
    <w:rsid w:val="0BDD1CD0"/>
    <w:rsid w:val="0DCB661C"/>
    <w:rsid w:val="0E6C5BDD"/>
    <w:rsid w:val="0F8F51AE"/>
    <w:rsid w:val="0FB53086"/>
    <w:rsid w:val="0FBC204F"/>
    <w:rsid w:val="0FE124EA"/>
    <w:rsid w:val="10967844"/>
    <w:rsid w:val="10A46527"/>
    <w:rsid w:val="1110038B"/>
    <w:rsid w:val="12E81295"/>
    <w:rsid w:val="133B05A8"/>
    <w:rsid w:val="1344395F"/>
    <w:rsid w:val="13A75E69"/>
    <w:rsid w:val="13CD30D0"/>
    <w:rsid w:val="13F930BA"/>
    <w:rsid w:val="140C0FC9"/>
    <w:rsid w:val="14162C01"/>
    <w:rsid w:val="147B24E9"/>
    <w:rsid w:val="15597D95"/>
    <w:rsid w:val="167F160F"/>
    <w:rsid w:val="16AD0051"/>
    <w:rsid w:val="16DA2361"/>
    <w:rsid w:val="17B50AEA"/>
    <w:rsid w:val="19466646"/>
    <w:rsid w:val="1A0751C0"/>
    <w:rsid w:val="1A9C36BB"/>
    <w:rsid w:val="1B711CAA"/>
    <w:rsid w:val="1B830F12"/>
    <w:rsid w:val="1C760288"/>
    <w:rsid w:val="1CE50A8E"/>
    <w:rsid w:val="1D6C1273"/>
    <w:rsid w:val="1D6D42A0"/>
    <w:rsid w:val="1E34713F"/>
    <w:rsid w:val="1E957831"/>
    <w:rsid w:val="1FA77A39"/>
    <w:rsid w:val="201C12BD"/>
    <w:rsid w:val="213230D0"/>
    <w:rsid w:val="231B675B"/>
    <w:rsid w:val="23275AEB"/>
    <w:rsid w:val="23C010B4"/>
    <w:rsid w:val="24195ACA"/>
    <w:rsid w:val="24D111DA"/>
    <w:rsid w:val="256A3DC9"/>
    <w:rsid w:val="25773AFA"/>
    <w:rsid w:val="25EA73A4"/>
    <w:rsid w:val="2761677E"/>
    <w:rsid w:val="27B423B9"/>
    <w:rsid w:val="27E37417"/>
    <w:rsid w:val="2849589E"/>
    <w:rsid w:val="285F4565"/>
    <w:rsid w:val="28C763F7"/>
    <w:rsid w:val="2AB14818"/>
    <w:rsid w:val="2AB90E86"/>
    <w:rsid w:val="2C785D1F"/>
    <w:rsid w:val="2C7A7EFA"/>
    <w:rsid w:val="2CB03B88"/>
    <w:rsid w:val="2CDB2CF3"/>
    <w:rsid w:val="2E6339A7"/>
    <w:rsid w:val="318A4A5A"/>
    <w:rsid w:val="325241A8"/>
    <w:rsid w:val="32AD0842"/>
    <w:rsid w:val="32D7512E"/>
    <w:rsid w:val="32F970BB"/>
    <w:rsid w:val="33FB0FD2"/>
    <w:rsid w:val="37FF753D"/>
    <w:rsid w:val="38226489"/>
    <w:rsid w:val="38905252"/>
    <w:rsid w:val="392811FF"/>
    <w:rsid w:val="39C602AD"/>
    <w:rsid w:val="3A96186F"/>
    <w:rsid w:val="3B1A1699"/>
    <w:rsid w:val="3B822100"/>
    <w:rsid w:val="3BCB4964"/>
    <w:rsid w:val="3C2F63D2"/>
    <w:rsid w:val="3D32682E"/>
    <w:rsid w:val="3D481DB1"/>
    <w:rsid w:val="3DB264FD"/>
    <w:rsid w:val="3E0F3D2C"/>
    <w:rsid w:val="3E187D71"/>
    <w:rsid w:val="3E395CF5"/>
    <w:rsid w:val="455F43CC"/>
    <w:rsid w:val="46676636"/>
    <w:rsid w:val="467E39AB"/>
    <w:rsid w:val="4754401C"/>
    <w:rsid w:val="47E43B96"/>
    <w:rsid w:val="47E87ED2"/>
    <w:rsid w:val="48253BFC"/>
    <w:rsid w:val="4924264B"/>
    <w:rsid w:val="4A301CD1"/>
    <w:rsid w:val="4AD75027"/>
    <w:rsid w:val="4B2D33F9"/>
    <w:rsid w:val="4C827125"/>
    <w:rsid w:val="4CE3378A"/>
    <w:rsid w:val="4D270701"/>
    <w:rsid w:val="4D380704"/>
    <w:rsid w:val="4D560CB2"/>
    <w:rsid w:val="4E177AC0"/>
    <w:rsid w:val="4EC1308C"/>
    <w:rsid w:val="4F993212"/>
    <w:rsid w:val="4FCC610A"/>
    <w:rsid w:val="504061C5"/>
    <w:rsid w:val="50795F13"/>
    <w:rsid w:val="5228722A"/>
    <w:rsid w:val="52480F3B"/>
    <w:rsid w:val="52A913E5"/>
    <w:rsid w:val="53785583"/>
    <w:rsid w:val="55902889"/>
    <w:rsid w:val="565A1B42"/>
    <w:rsid w:val="56737ECA"/>
    <w:rsid w:val="56916124"/>
    <w:rsid w:val="56C34532"/>
    <w:rsid w:val="56EA26C3"/>
    <w:rsid w:val="57C31F9D"/>
    <w:rsid w:val="587207E8"/>
    <w:rsid w:val="58CD6F99"/>
    <w:rsid w:val="595215E5"/>
    <w:rsid w:val="59E511B1"/>
    <w:rsid w:val="5C0C310F"/>
    <w:rsid w:val="5DB115E2"/>
    <w:rsid w:val="5E5C753E"/>
    <w:rsid w:val="5EA85DCE"/>
    <w:rsid w:val="6066794A"/>
    <w:rsid w:val="60860E5B"/>
    <w:rsid w:val="608E773B"/>
    <w:rsid w:val="60D51636"/>
    <w:rsid w:val="6204548A"/>
    <w:rsid w:val="635556CF"/>
    <w:rsid w:val="640C206E"/>
    <w:rsid w:val="649C6851"/>
    <w:rsid w:val="657A291F"/>
    <w:rsid w:val="65831DCF"/>
    <w:rsid w:val="661158D7"/>
    <w:rsid w:val="664D7E66"/>
    <w:rsid w:val="665F70F3"/>
    <w:rsid w:val="67832A62"/>
    <w:rsid w:val="67F3111C"/>
    <w:rsid w:val="68915345"/>
    <w:rsid w:val="68C674D7"/>
    <w:rsid w:val="68FA17AF"/>
    <w:rsid w:val="691B0450"/>
    <w:rsid w:val="6978406E"/>
    <w:rsid w:val="6AE07808"/>
    <w:rsid w:val="6BE60821"/>
    <w:rsid w:val="6C8A10C9"/>
    <w:rsid w:val="6EE8383A"/>
    <w:rsid w:val="6EFA0DA6"/>
    <w:rsid w:val="7084798E"/>
    <w:rsid w:val="71EA089B"/>
    <w:rsid w:val="729D6528"/>
    <w:rsid w:val="7302063A"/>
    <w:rsid w:val="73EE3117"/>
    <w:rsid w:val="748E0B96"/>
    <w:rsid w:val="75703482"/>
    <w:rsid w:val="760A678D"/>
    <w:rsid w:val="7A5E1B7A"/>
    <w:rsid w:val="7BD900D6"/>
    <w:rsid w:val="7CC2473D"/>
    <w:rsid w:val="7D1428F3"/>
    <w:rsid w:val="7D6050C0"/>
    <w:rsid w:val="7D836911"/>
    <w:rsid w:val="7DB4038F"/>
    <w:rsid w:val="7E7E2454"/>
    <w:rsid w:val="7F8A3D17"/>
    <w:rsid w:val="7FA024F9"/>
    <w:rsid w:val="7FDA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93"/>
    <w:qFormat/>
    <w:uiPriority w:val="0"/>
    <w:pPr>
      <w:keepNext/>
      <w:keepLines/>
      <w:spacing w:after="120" w:line="360" w:lineRule="auto"/>
      <w:outlineLvl w:val="0"/>
    </w:pPr>
    <w:rPr>
      <w:kern w:val="44"/>
      <w:sz w:val="28"/>
      <w:szCs w:val="28"/>
    </w:rPr>
  </w:style>
  <w:style w:type="paragraph" w:styleId="5">
    <w:name w:val="heading 2"/>
    <w:basedOn w:val="1"/>
    <w:next w:val="1"/>
    <w:link w:val="94"/>
    <w:qFormat/>
    <w:uiPriority w:val="0"/>
    <w:pPr>
      <w:keepNext/>
      <w:keepLines/>
      <w:spacing w:before="120" w:after="120" w:line="415" w:lineRule="auto"/>
      <w:jc w:val="center"/>
      <w:outlineLvl w:val="1"/>
    </w:pPr>
    <w:rPr>
      <w:rFonts w:ascii="Arial" w:hAnsi="Arial"/>
      <w:b/>
      <w:color w:val="000000"/>
      <w:sz w:val="24"/>
      <w:szCs w:val="24"/>
    </w:rPr>
  </w:style>
  <w:style w:type="paragraph" w:styleId="6">
    <w:name w:val="heading 3"/>
    <w:basedOn w:val="1"/>
    <w:next w:val="1"/>
    <w:link w:val="90"/>
    <w:qFormat/>
    <w:uiPriority w:val="0"/>
    <w:pPr>
      <w:widowControl/>
      <w:spacing w:line="360" w:lineRule="auto"/>
      <w:jc w:val="left"/>
      <w:outlineLvl w:val="2"/>
    </w:pPr>
    <w:rPr>
      <w:rFonts w:ascii="宋体" w:hAnsi="宋体" w:cs="宋体"/>
      <w:kern w:val="0"/>
      <w:sz w:val="24"/>
      <w:szCs w:val="24"/>
    </w:rPr>
  </w:style>
  <w:style w:type="paragraph" w:styleId="7">
    <w:name w:val="heading 4"/>
    <w:basedOn w:val="6"/>
    <w:next w:val="8"/>
    <w:link w:val="95"/>
    <w:qFormat/>
    <w:uiPriority w:val="0"/>
    <w:pPr>
      <w:keepNext/>
      <w:keepLines/>
      <w:widowControl w:val="0"/>
      <w:numPr>
        <w:ilvl w:val="3"/>
        <w:numId w:val="1"/>
      </w:numPr>
      <w:spacing w:beforeLines="50" w:afterLines="50"/>
      <w:outlineLvl w:val="3"/>
    </w:pPr>
    <w:rPr>
      <w:rFonts w:ascii="Arial" w:hAnsi="Arial" w:cs="Times New Roman"/>
      <w:color w:val="000000"/>
      <w:kern w:val="2"/>
      <w:sz w:val="21"/>
      <w:szCs w:val="21"/>
    </w:rPr>
  </w:style>
  <w:style w:type="paragraph" w:styleId="9">
    <w:name w:val="heading 5"/>
    <w:basedOn w:val="7"/>
    <w:next w:val="8"/>
    <w:link w:val="96"/>
    <w:qFormat/>
    <w:uiPriority w:val="0"/>
    <w:pPr>
      <w:numPr>
        <w:ilvl w:val="4"/>
      </w:numPr>
      <w:spacing w:line="240" w:lineRule="exact"/>
      <w:outlineLvl w:val="4"/>
    </w:pPr>
  </w:style>
  <w:style w:type="paragraph" w:styleId="10">
    <w:name w:val="heading 6"/>
    <w:basedOn w:val="1"/>
    <w:next w:val="1"/>
    <w:link w:val="97"/>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1">
    <w:name w:val="heading 7"/>
    <w:basedOn w:val="1"/>
    <w:next w:val="8"/>
    <w:link w:val="98"/>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2">
    <w:name w:val="heading 8"/>
    <w:basedOn w:val="1"/>
    <w:next w:val="8"/>
    <w:link w:val="99"/>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3">
    <w:name w:val="heading 9"/>
    <w:basedOn w:val="1"/>
    <w:next w:val="8"/>
    <w:link w:val="100"/>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tabs>
        <w:tab w:val="right" w:leader="dot" w:pos="9060"/>
      </w:tabs>
      <w:snapToGrid w:val="0"/>
      <w:spacing w:line="360" w:lineRule="auto"/>
      <w:ind w:left="420" w:leftChars="200"/>
      <w:jc w:val="left"/>
    </w:pPr>
    <w:rPr>
      <w:rFonts w:ascii="Times New Roman" w:hAnsi="Times New Roman"/>
      <w:sz w:val="24"/>
      <w:szCs w:val="24"/>
    </w:rPr>
  </w:style>
  <w:style w:type="paragraph" w:styleId="4">
    <w:name w:val="Title"/>
    <w:basedOn w:val="1"/>
    <w:link w:val="101"/>
    <w:qFormat/>
    <w:uiPriority w:val="0"/>
    <w:pPr>
      <w:spacing w:before="120" w:after="60"/>
      <w:jc w:val="center"/>
    </w:pPr>
    <w:rPr>
      <w:rFonts w:ascii="Arial" w:hAnsi="Arial"/>
      <w:b/>
      <w:sz w:val="44"/>
      <w:szCs w:val="20"/>
    </w:rPr>
  </w:style>
  <w:style w:type="paragraph" w:styleId="8">
    <w:name w:val="Normal Indent"/>
    <w:basedOn w:val="1"/>
    <w:next w:val="1"/>
    <w:link w:val="133"/>
    <w:qFormat/>
    <w:uiPriority w:val="0"/>
    <w:pPr>
      <w:ind w:firstLine="420"/>
    </w:pPr>
    <w:rPr>
      <w:rFonts w:ascii="Times New Roman" w:hAnsi="Times New Roman"/>
      <w:szCs w:val="20"/>
    </w:rPr>
  </w:style>
  <w:style w:type="paragraph" w:styleId="14">
    <w:name w:val="toc 7"/>
    <w:basedOn w:val="1"/>
    <w:next w:val="1"/>
    <w:qFormat/>
    <w:uiPriority w:val="0"/>
    <w:pPr>
      <w:ind w:left="1200" w:leftChars="1200"/>
    </w:pPr>
    <w:rPr>
      <w:rFonts w:ascii="Times New Roman" w:hAnsi="Times New Roman"/>
    </w:rPr>
  </w:style>
  <w:style w:type="paragraph" w:styleId="15">
    <w:name w:val="caption"/>
    <w:basedOn w:val="1"/>
    <w:next w:val="1"/>
    <w:qFormat/>
    <w:uiPriority w:val="0"/>
    <w:rPr>
      <w:rFonts w:ascii="Arial" w:hAnsi="Arial" w:eastAsia="黑体" w:cs="Arial"/>
      <w:sz w:val="20"/>
      <w:szCs w:val="20"/>
    </w:rPr>
  </w:style>
  <w:style w:type="paragraph" w:styleId="16">
    <w:name w:val="List Bullet"/>
    <w:basedOn w:val="1"/>
    <w:qFormat/>
    <w:uiPriority w:val="0"/>
    <w:pPr>
      <w:tabs>
        <w:tab w:val="left" w:pos="360"/>
      </w:tabs>
      <w:ind w:left="360" w:hanging="360"/>
    </w:pPr>
    <w:rPr>
      <w:rFonts w:ascii="Times New Roman" w:hAnsi="Times New Roman"/>
      <w:szCs w:val="24"/>
    </w:rPr>
  </w:style>
  <w:style w:type="paragraph" w:styleId="17">
    <w:name w:val="Document Map"/>
    <w:basedOn w:val="1"/>
    <w:link w:val="106"/>
    <w:qFormat/>
    <w:uiPriority w:val="0"/>
    <w:pPr>
      <w:shd w:val="clear" w:color="auto" w:fill="000080"/>
    </w:pPr>
    <w:rPr>
      <w:rFonts w:ascii="Times New Roman" w:hAnsi="Times New Roman"/>
      <w:szCs w:val="20"/>
    </w:rPr>
  </w:style>
  <w:style w:type="paragraph" w:styleId="18">
    <w:name w:val="annotation text"/>
    <w:basedOn w:val="1"/>
    <w:link w:val="125"/>
    <w:qFormat/>
    <w:uiPriority w:val="0"/>
    <w:pPr>
      <w:spacing w:line="360" w:lineRule="auto"/>
      <w:ind w:firstLine="523" w:firstLineChars="218"/>
      <w:jc w:val="left"/>
    </w:pPr>
    <w:rPr>
      <w:rFonts w:ascii="宋体" w:hAnsi="宋体"/>
      <w:sz w:val="24"/>
      <w:szCs w:val="24"/>
    </w:rPr>
  </w:style>
  <w:style w:type="paragraph" w:styleId="19">
    <w:name w:val="Body Text 3"/>
    <w:basedOn w:val="1"/>
    <w:link w:val="144"/>
    <w:qFormat/>
    <w:uiPriority w:val="0"/>
    <w:rPr>
      <w:rFonts w:ascii="宋体" w:hAnsi="宋体"/>
      <w:sz w:val="24"/>
      <w:szCs w:val="20"/>
    </w:rPr>
  </w:style>
  <w:style w:type="paragraph" w:styleId="20">
    <w:name w:val="Body Text"/>
    <w:basedOn w:val="1"/>
    <w:next w:val="21"/>
    <w:link w:val="75"/>
    <w:unhideWhenUsed/>
    <w:qFormat/>
    <w:uiPriority w:val="0"/>
    <w:pPr>
      <w:spacing w:after="120"/>
    </w:pPr>
  </w:style>
  <w:style w:type="paragraph" w:styleId="21">
    <w:name w:val="Body Text Indent"/>
    <w:basedOn w:val="1"/>
    <w:link w:val="105"/>
    <w:qFormat/>
    <w:uiPriority w:val="0"/>
    <w:pPr>
      <w:ind w:firstLine="570"/>
    </w:pPr>
    <w:rPr>
      <w:rFonts w:ascii="Times New Roman" w:hAnsi="Times New Roman"/>
      <w:sz w:val="28"/>
      <w:szCs w:val="20"/>
    </w:rPr>
  </w:style>
  <w:style w:type="paragraph" w:styleId="22">
    <w:name w:val="List 2"/>
    <w:basedOn w:val="1"/>
    <w:qFormat/>
    <w:uiPriority w:val="0"/>
    <w:pPr>
      <w:ind w:left="200" w:leftChars="200" w:hanging="200" w:hangingChars="200"/>
    </w:pPr>
    <w:rPr>
      <w:rFonts w:ascii="Times New Roman" w:hAnsi="Times New Roman" w:eastAsia="楷体_GB2312"/>
      <w:szCs w:val="20"/>
    </w:rPr>
  </w:style>
  <w:style w:type="paragraph" w:styleId="23">
    <w:name w:val="List Bullet 2"/>
    <w:basedOn w:val="16"/>
    <w:qFormat/>
    <w:uiPriority w:val="0"/>
    <w:pPr>
      <w:widowControl/>
      <w:tabs>
        <w:tab w:val="left" w:pos="432"/>
        <w:tab w:val="clear" w:pos="360"/>
      </w:tabs>
      <w:spacing w:after="220" w:line="220" w:lineRule="atLeast"/>
      <w:ind w:left="2160" w:right="720" w:hanging="432"/>
      <w:jc w:val="left"/>
    </w:pPr>
    <w:rPr>
      <w:kern w:val="0"/>
      <w:szCs w:val="20"/>
    </w:rPr>
  </w:style>
  <w:style w:type="paragraph" w:styleId="24">
    <w:name w:val="toc 5"/>
    <w:basedOn w:val="1"/>
    <w:next w:val="1"/>
    <w:qFormat/>
    <w:uiPriority w:val="0"/>
    <w:pPr>
      <w:ind w:left="800" w:leftChars="800"/>
    </w:pPr>
    <w:rPr>
      <w:rFonts w:ascii="Times New Roman" w:hAnsi="Times New Roman"/>
    </w:rPr>
  </w:style>
  <w:style w:type="paragraph" w:styleId="25">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6">
    <w:name w:val="Plain Text"/>
    <w:basedOn w:val="1"/>
    <w:next w:val="1"/>
    <w:link w:val="107"/>
    <w:qFormat/>
    <w:uiPriority w:val="0"/>
    <w:rPr>
      <w:rFonts w:ascii="宋体" w:hAnsi="Courier New"/>
      <w:szCs w:val="20"/>
    </w:rPr>
  </w:style>
  <w:style w:type="paragraph" w:styleId="27">
    <w:name w:val="toc 8"/>
    <w:basedOn w:val="1"/>
    <w:next w:val="1"/>
    <w:qFormat/>
    <w:uiPriority w:val="0"/>
    <w:pPr>
      <w:ind w:left="1400" w:leftChars="1400"/>
    </w:pPr>
    <w:rPr>
      <w:rFonts w:ascii="Times New Roman" w:hAnsi="Times New Roman"/>
    </w:rPr>
  </w:style>
  <w:style w:type="paragraph" w:styleId="28">
    <w:name w:val="Date"/>
    <w:basedOn w:val="1"/>
    <w:next w:val="1"/>
    <w:link w:val="104"/>
    <w:qFormat/>
    <w:uiPriority w:val="99"/>
    <w:rPr>
      <w:rFonts w:ascii="Times New Roman" w:hAnsi="Times New Roman"/>
      <w:szCs w:val="20"/>
    </w:rPr>
  </w:style>
  <w:style w:type="paragraph" w:styleId="29">
    <w:name w:val="Body Text Indent 2"/>
    <w:basedOn w:val="1"/>
    <w:link w:val="108"/>
    <w:qFormat/>
    <w:uiPriority w:val="0"/>
    <w:pPr>
      <w:spacing w:line="400" w:lineRule="exact"/>
      <w:ind w:left="425"/>
    </w:pPr>
    <w:rPr>
      <w:rFonts w:ascii="Times New Roman" w:hAnsi="Times New Roman"/>
      <w:color w:val="000000"/>
      <w:sz w:val="24"/>
      <w:szCs w:val="20"/>
    </w:rPr>
  </w:style>
  <w:style w:type="paragraph" w:styleId="30">
    <w:name w:val="endnote text"/>
    <w:basedOn w:val="1"/>
    <w:link w:val="114"/>
    <w:qFormat/>
    <w:uiPriority w:val="0"/>
    <w:pPr>
      <w:snapToGrid w:val="0"/>
      <w:jc w:val="left"/>
    </w:pPr>
    <w:rPr>
      <w:rFonts w:ascii="Times New Roman" w:hAnsi="Times New Roman"/>
      <w:szCs w:val="20"/>
    </w:rPr>
  </w:style>
  <w:style w:type="paragraph" w:styleId="31">
    <w:name w:val="Balloon Text"/>
    <w:basedOn w:val="1"/>
    <w:link w:val="123"/>
    <w:qFormat/>
    <w:uiPriority w:val="0"/>
    <w:rPr>
      <w:rFonts w:ascii="Times New Roman" w:hAnsi="Times New Roman"/>
      <w:sz w:val="18"/>
      <w:szCs w:val="18"/>
    </w:rPr>
  </w:style>
  <w:style w:type="paragraph" w:styleId="32">
    <w:name w:val="footer"/>
    <w:basedOn w:val="1"/>
    <w:link w:val="92"/>
    <w:unhideWhenUsed/>
    <w:qFormat/>
    <w:uiPriority w:val="0"/>
    <w:pPr>
      <w:tabs>
        <w:tab w:val="center" w:pos="4153"/>
        <w:tab w:val="right" w:pos="8306"/>
      </w:tabs>
      <w:snapToGrid w:val="0"/>
      <w:jc w:val="left"/>
    </w:pPr>
    <w:rPr>
      <w:sz w:val="18"/>
      <w:szCs w:val="18"/>
    </w:rPr>
  </w:style>
  <w:style w:type="paragraph" w:styleId="33">
    <w:name w:val="header"/>
    <w:basedOn w:val="1"/>
    <w:link w:val="91"/>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5">
    <w:name w:val="toc 4"/>
    <w:basedOn w:val="1"/>
    <w:next w:val="1"/>
    <w:qFormat/>
    <w:uiPriority w:val="0"/>
    <w:pPr>
      <w:ind w:left="600" w:leftChars="600"/>
    </w:pPr>
    <w:rPr>
      <w:rFonts w:ascii="Times New Roman" w:hAnsi="Times New Roman"/>
    </w:rPr>
  </w:style>
  <w:style w:type="paragraph" w:styleId="36">
    <w:name w:val="Subtitle"/>
    <w:basedOn w:val="1"/>
    <w:next w:val="1"/>
    <w:link w:val="154"/>
    <w:qFormat/>
    <w:uiPriority w:val="0"/>
    <w:pPr>
      <w:widowControl/>
      <w:spacing w:after="60"/>
      <w:jc w:val="center"/>
      <w:outlineLvl w:val="1"/>
    </w:pPr>
    <w:rPr>
      <w:rFonts w:ascii="Arial" w:hAnsi="Arial" w:eastAsia="黑体"/>
      <w:b/>
      <w:bCs/>
      <w:sz w:val="32"/>
      <w:szCs w:val="32"/>
    </w:rPr>
  </w:style>
  <w:style w:type="paragraph" w:styleId="37">
    <w:name w:val="List"/>
    <w:basedOn w:val="20"/>
    <w:qFormat/>
    <w:uiPriority w:val="0"/>
    <w:pPr>
      <w:suppressAutoHyphens/>
      <w:spacing w:after="0"/>
    </w:pPr>
    <w:rPr>
      <w:rFonts w:ascii="Times New Roman" w:eastAsia="黑体"/>
      <w:kern w:val="0"/>
      <w:sz w:val="24"/>
      <w:szCs w:val="20"/>
      <w:lang w:eastAsia="ar-SA"/>
    </w:rPr>
  </w:style>
  <w:style w:type="paragraph" w:styleId="38">
    <w:name w:val="footnote text"/>
    <w:basedOn w:val="1"/>
    <w:link w:val="126"/>
    <w:qFormat/>
    <w:uiPriority w:val="0"/>
    <w:pPr>
      <w:snapToGrid w:val="0"/>
      <w:spacing w:line="360" w:lineRule="auto"/>
      <w:ind w:firstLine="523" w:firstLineChars="218"/>
      <w:jc w:val="left"/>
    </w:pPr>
    <w:rPr>
      <w:rFonts w:ascii="宋体" w:hAnsi="宋体"/>
      <w:sz w:val="18"/>
      <w:szCs w:val="18"/>
    </w:rPr>
  </w:style>
  <w:style w:type="paragraph" w:styleId="39">
    <w:name w:val="toc 6"/>
    <w:basedOn w:val="1"/>
    <w:next w:val="1"/>
    <w:qFormat/>
    <w:uiPriority w:val="0"/>
    <w:pPr>
      <w:ind w:left="1000" w:leftChars="1000"/>
    </w:pPr>
    <w:rPr>
      <w:rFonts w:ascii="Times New Roman" w:hAnsi="Times New Roman"/>
    </w:rPr>
  </w:style>
  <w:style w:type="paragraph" w:styleId="40">
    <w:name w:val="Body Text Indent 3"/>
    <w:basedOn w:val="1"/>
    <w:link w:val="109"/>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41">
    <w:name w:val="table of figures"/>
    <w:basedOn w:val="1"/>
    <w:next w:val="1"/>
    <w:qFormat/>
    <w:uiPriority w:val="0"/>
    <w:pPr>
      <w:ind w:left="200" w:leftChars="200" w:hanging="200" w:hangingChars="200"/>
    </w:pPr>
    <w:rPr>
      <w:rFonts w:ascii="Times New Roman" w:hAnsi="Times New Roman"/>
    </w:rPr>
  </w:style>
  <w:style w:type="paragraph" w:styleId="42">
    <w:name w:val="toc 9"/>
    <w:basedOn w:val="1"/>
    <w:next w:val="1"/>
    <w:qFormat/>
    <w:uiPriority w:val="0"/>
    <w:pPr>
      <w:ind w:left="1600" w:leftChars="1600"/>
    </w:pPr>
    <w:rPr>
      <w:rFonts w:ascii="Times New Roman" w:hAnsi="Times New Roman"/>
    </w:rPr>
  </w:style>
  <w:style w:type="paragraph" w:styleId="43">
    <w:name w:val="Body Text 2"/>
    <w:basedOn w:val="1"/>
    <w:link w:val="112"/>
    <w:qFormat/>
    <w:uiPriority w:val="0"/>
    <w:rPr>
      <w:rFonts w:ascii="宋体" w:hAnsi="宋体"/>
      <w:szCs w:val="24"/>
      <w:u w:val="single"/>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5">
    <w:name w:val="index 1"/>
    <w:basedOn w:val="1"/>
    <w:next w:val="1"/>
    <w:qFormat/>
    <w:uiPriority w:val="0"/>
    <w:rPr>
      <w:rFonts w:ascii="Times New Roman" w:hAnsi="Times New Roman" w:eastAsia="仿宋_GB2312"/>
      <w:sz w:val="28"/>
      <w:szCs w:val="20"/>
    </w:rPr>
  </w:style>
  <w:style w:type="paragraph" w:styleId="46">
    <w:name w:val="annotation subject"/>
    <w:basedOn w:val="18"/>
    <w:next w:val="18"/>
    <w:link w:val="127"/>
    <w:qFormat/>
    <w:uiPriority w:val="0"/>
    <w:rPr>
      <w:b/>
      <w:bCs/>
    </w:rPr>
  </w:style>
  <w:style w:type="paragraph" w:styleId="47">
    <w:name w:val="Body Text First Indent"/>
    <w:basedOn w:val="20"/>
    <w:link w:val="103"/>
    <w:qFormat/>
    <w:uiPriority w:val="0"/>
    <w:pPr>
      <w:ind w:firstLine="420"/>
    </w:pPr>
    <w:rPr>
      <w:rFonts w:ascii="Times New Roman" w:hAnsi="Times New Roman"/>
      <w:szCs w:val="20"/>
    </w:rPr>
  </w:style>
  <w:style w:type="paragraph" w:styleId="48">
    <w:name w:val="Body Text First Indent 2"/>
    <w:basedOn w:val="21"/>
    <w:link w:val="466"/>
    <w:semiHidden/>
    <w:unhideWhenUsed/>
    <w:qFormat/>
    <w:uiPriority w:val="99"/>
    <w:pPr>
      <w:spacing w:after="120"/>
      <w:ind w:left="420" w:leftChars="200" w:firstLine="420" w:firstLineChars="200"/>
    </w:pPr>
    <w:rPr>
      <w:rFonts w:ascii="Calibri" w:hAnsi="Calibri"/>
      <w:sz w:val="21"/>
      <w:szCs w:val="22"/>
    </w:rPr>
  </w:style>
  <w:style w:type="table" w:styleId="50">
    <w:name w:val="Table Grid"/>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rPr>
  </w:style>
  <w:style w:type="character" w:styleId="53">
    <w:name w:val="endnote reference"/>
    <w:qFormat/>
    <w:uiPriority w:val="0"/>
    <w:rPr>
      <w:vertAlign w:val="superscript"/>
    </w:rPr>
  </w:style>
  <w:style w:type="character" w:styleId="54">
    <w:name w:val="page number"/>
    <w:basedOn w:val="51"/>
    <w:qFormat/>
    <w:uiPriority w:val="0"/>
    <w:rPr>
      <w:rFonts w:cs="Times New Roman"/>
    </w:rPr>
  </w:style>
  <w:style w:type="character" w:styleId="55">
    <w:name w:val="FollowedHyperlink"/>
    <w:unhideWhenUsed/>
    <w:qFormat/>
    <w:uiPriority w:val="0"/>
    <w:rPr>
      <w:color w:val="954F72"/>
      <w:u w:val="single"/>
    </w:rPr>
  </w:style>
  <w:style w:type="character" w:styleId="56">
    <w:name w:val="Emphasis"/>
    <w:qFormat/>
    <w:uiPriority w:val="0"/>
    <w:rPr>
      <w:color w:val="CC0000"/>
    </w:rPr>
  </w:style>
  <w:style w:type="character" w:styleId="57">
    <w:name w:val="HTML Definition"/>
    <w:unhideWhenUsed/>
    <w:qFormat/>
    <w:uiPriority w:val="99"/>
    <w:rPr>
      <w:i/>
      <w:iCs/>
    </w:rPr>
  </w:style>
  <w:style w:type="character" w:styleId="58">
    <w:name w:val="Hyperlink"/>
    <w:qFormat/>
    <w:uiPriority w:val="99"/>
    <w:rPr>
      <w:color w:val="0000FF"/>
      <w:u w:val="single"/>
    </w:rPr>
  </w:style>
  <w:style w:type="character" w:styleId="59">
    <w:name w:val="HTML Code"/>
    <w:unhideWhenUsed/>
    <w:qFormat/>
    <w:uiPriority w:val="99"/>
    <w:rPr>
      <w:rFonts w:hint="default" w:ascii="Consolas" w:hAnsi="Consolas" w:eastAsia="Consolas" w:cs="Consolas"/>
      <w:color w:val="C7254E"/>
      <w:sz w:val="21"/>
      <w:szCs w:val="21"/>
      <w:bdr w:val="single" w:color="E1E1E1" w:sz="6" w:space="0"/>
      <w:shd w:val="clear" w:color="auto" w:fill="F9F2F4"/>
    </w:rPr>
  </w:style>
  <w:style w:type="character" w:styleId="60">
    <w:name w:val="annotation reference"/>
    <w:qFormat/>
    <w:uiPriority w:val="0"/>
    <w:rPr>
      <w:sz w:val="21"/>
      <w:szCs w:val="21"/>
    </w:rPr>
  </w:style>
  <w:style w:type="character" w:styleId="61">
    <w:name w:val="footnote reference"/>
    <w:qFormat/>
    <w:uiPriority w:val="0"/>
    <w:rPr>
      <w:vertAlign w:val="superscript"/>
    </w:rPr>
  </w:style>
  <w:style w:type="character" w:styleId="62">
    <w:name w:val="HTML Keyboard"/>
    <w:unhideWhenUsed/>
    <w:qFormat/>
    <w:uiPriority w:val="99"/>
    <w:rPr>
      <w:rFonts w:hint="default" w:ascii="Consolas" w:hAnsi="Consolas" w:eastAsia="Consolas" w:cs="Consolas"/>
      <w:color w:val="FFFFFF"/>
      <w:sz w:val="21"/>
      <w:szCs w:val="21"/>
      <w:shd w:val="clear" w:color="auto" w:fill="333333"/>
    </w:rPr>
  </w:style>
  <w:style w:type="character" w:styleId="63">
    <w:name w:val="HTML Sample"/>
    <w:unhideWhenUsed/>
    <w:qFormat/>
    <w:uiPriority w:val="99"/>
    <w:rPr>
      <w:rFonts w:ascii="Consolas" w:hAnsi="Consolas" w:eastAsia="Consolas" w:cs="Consolas"/>
      <w:sz w:val="21"/>
      <w:szCs w:val="21"/>
    </w:rPr>
  </w:style>
  <w:style w:type="character" w:customStyle="1" w:styleId="64">
    <w:name w:val="标题 1 字符"/>
    <w:basedOn w:val="51"/>
    <w:qFormat/>
    <w:uiPriority w:val="9"/>
    <w:rPr>
      <w:rFonts w:ascii="Calibri" w:hAnsi="Calibri" w:eastAsia="宋体" w:cs="Times New Roman"/>
      <w:b/>
      <w:bCs/>
      <w:kern w:val="44"/>
      <w:sz w:val="44"/>
      <w:szCs w:val="44"/>
    </w:rPr>
  </w:style>
  <w:style w:type="character" w:customStyle="1" w:styleId="65">
    <w:name w:val="标题 2 字符"/>
    <w:basedOn w:val="51"/>
    <w:qFormat/>
    <w:uiPriority w:val="0"/>
    <w:rPr>
      <w:rFonts w:asciiTheme="majorHAnsi" w:hAnsiTheme="majorHAnsi" w:eastAsiaTheme="majorEastAsia" w:cstheme="majorBidi"/>
      <w:b/>
      <w:bCs/>
      <w:sz w:val="32"/>
      <w:szCs w:val="32"/>
    </w:rPr>
  </w:style>
  <w:style w:type="character" w:customStyle="1" w:styleId="66">
    <w:name w:val="标题 3 字符"/>
    <w:basedOn w:val="51"/>
    <w:qFormat/>
    <w:uiPriority w:val="0"/>
    <w:rPr>
      <w:rFonts w:ascii="Calibri" w:hAnsi="Calibri" w:eastAsia="宋体" w:cs="Times New Roman"/>
      <w:b/>
      <w:bCs/>
      <w:sz w:val="32"/>
      <w:szCs w:val="32"/>
    </w:rPr>
  </w:style>
  <w:style w:type="character" w:customStyle="1" w:styleId="67">
    <w:name w:val="标题 4 字符"/>
    <w:basedOn w:val="51"/>
    <w:qFormat/>
    <w:uiPriority w:val="0"/>
    <w:rPr>
      <w:rFonts w:asciiTheme="majorHAnsi" w:hAnsiTheme="majorHAnsi" w:eastAsiaTheme="majorEastAsia" w:cstheme="majorBidi"/>
      <w:b/>
      <w:bCs/>
      <w:sz w:val="28"/>
      <w:szCs w:val="28"/>
    </w:rPr>
  </w:style>
  <w:style w:type="character" w:customStyle="1" w:styleId="68">
    <w:name w:val="标题 5 字符"/>
    <w:basedOn w:val="51"/>
    <w:qFormat/>
    <w:uiPriority w:val="0"/>
    <w:rPr>
      <w:rFonts w:ascii="Calibri" w:hAnsi="Calibri" w:eastAsia="宋体" w:cs="Times New Roman"/>
      <w:b/>
      <w:bCs/>
      <w:sz w:val="28"/>
      <w:szCs w:val="28"/>
    </w:rPr>
  </w:style>
  <w:style w:type="character" w:customStyle="1" w:styleId="69">
    <w:name w:val="标题 6 字符"/>
    <w:basedOn w:val="51"/>
    <w:qFormat/>
    <w:uiPriority w:val="9"/>
    <w:rPr>
      <w:rFonts w:asciiTheme="majorHAnsi" w:hAnsiTheme="majorHAnsi" w:eastAsiaTheme="majorEastAsia" w:cstheme="majorBidi"/>
      <w:b/>
      <w:bCs/>
      <w:sz w:val="24"/>
      <w:szCs w:val="24"/>
    </w:rPr>
  </w:style>
  <w:style w:type="character" w:customStyle="1" w:styleId="70">
    <w:name w:val="标题 7 字符"/>
    <w:basedOn w:val="51"/>
    <w:qFormat/>
    <w:uiPriority w:val="0"/>
    <w:rPr>
      <w:rFonts w:ascii="Calibri" w:hAnsi="Calibri" w:eastAsia="宋体" w:cs="Times New Roman"/>
      <w:b/>
      <w:bCs/>
      <w:sz w:val="24"/>
      <w:szCs w:val="24"/>
    </w:rPr>
  </w:style>
  <w:style w:type="character" w:customStyle="1" w:styleId="71">
    <w:name w:val="标题 8 字符"/>
    <w:basedOn w:val="51"/>
    <w:qFormat/>
    <w:uiPriority w:val="0"/>
    <w:rPr>
      <w:rFonts w:asciiTheme="majorHAnsi" w:hAnsiTheme="majorHAnsi" w:eastAsiaTheme="majorEastAsia" w:cstheme="majorBidi"/>
      <w:sz w:val="24"/>
      <w:szCs w:val="24"/>
    </w:rPr>
  </w:style>
  <w:style w:type="character" w:customStyle="1" w:styleId="72">
    <w:name w:val="标题 9 字符"/>
    <w:basedOn w:val="51"/>
    <w:qFormat/>
    <w:uiPriority w:val="0"/>
    <w:rPr>
      <w:rFonts w:asciiTheme="majorHAnsi" w:hAnsiTheme="majorHAnsi" w:eastAsiaTheme="majorEastAsia" w:cstheme="majorBidi"/>
      <w:szCs w:val="21"/>
    </w:rPr>
  </w:style>
  <w:style w:type="character" w:customStyle="1" w:styleId="73">
    <w:name w:val="纯文本 字符"/>
    <w:basedOn w:val="51"/>
    <w:qFormat/>
    <w:uiPriority w:val="0"/>
    <w:rPr>
      <w:rFonts w:hAnsi="Courier New" w:cs="Courier New" w:asciiTheme="minorEastAsia"/>
    </w:rPr>
  </w:style>
  <w:style w:type="character" w:customStyle="1" w:styleId="74">
    <w:name w:val="标题 字符"/>
    <w:basedOn w:val="51"/>
    <w:qFormat/>
    <w:uiPriority w:val="10"/>
    <w:rPr>
      <w:rFonts w:asciiTheme="majorHAnsi" w:hAnsiTheme="majorHAnsi" w:eastAsiaTheme="majorEastAsia" w:cstheme="majorBidi"/>
      <w:b/>
      <w:bCs/>
      <w:sz w:val="32"/>
      <w:szCs w:val="32"/>
    </w:rPr>
  </w:style>
  <w:style w:type="character" w:customStyle="1" w:styleId="75">
    <w:name w:val="正文文本 字符"/>
    <w:basedOn w:val="51"/>
    <w:link w:val="20"/>
    <w:qFormat/>
    <w:uiPriority w:val="0"/>
    <w:rPr>
      <w:rFonts w:ascii="Calibri" w:hAnsi="Calibri" w:eastAsia="宋体" w:cs="Times New Roman"/>
    </w:rPr>
  </w:style>
  <w:style w:type="character" w:customStyle="1" w:styleId="76">
    <w:name w:val="正文首行缩进 字符"/>
    <w:basedOn w:val="75"/>
    <w:qFormat/>
    <w:uiPriority w:val="0"/>
    <w:rPr>
      <w:rFonts w:ascii="Calibri" w:hAnsi="Calibri" w:eastAsia="宋体" w:cs="Times New Roman"/>
    </w:rPr>
  </w:style>
  <w:style w:type="character" w:customStyle="1" w:styleId="77">
    <w:name w:val="文档结构图 字符"/>
    <w:basedOn w:val="51"/>
    <w:qFormat/>
    <w:uiPriority w:val="99"/>
    <w:rPr>
      <w:rFonts w:ascii="Microsoft YaHei UI" w:hAnsi="Calibri" w:eastAsia="Microsoft YaHei UI" w:cs="Times New Roman"/>
      <w:sz w:val="18"/>
      <w:szCs w:val="18"/>
    </w:rPr>
  </w:style>
  <w:style w:type="character" w:customStyle="1" w:styleId="78">
    <w:name w:val="批注文字 字符"/>
    <w:basedOn w:val="51"/>
    <w:qFormat/>
    <w:uiPriority w:val="0"/>
    <w:rPr>
      <w:rFonts w:ascii="Calibri" w:hAnsi="Calibri" w:eastAsia="宋体" w:cs="Times New Roman"/>
    </w:rPr>
  </w:style>
  <w:style w:type="character" w:customStyle="1" w:styleId="79">
    <w:name w:val="正文文本缩进 字符"/>
    <w:basedOn w:val="51"/>
    <w:qFormat/>
    <w:uiPriority w:val="0"/>
    <w:rPr>
      <w:rFonts w:ascii="Calibri" w:hAnsi="Calibri" w:eastAsia="宋体" w:cs="Times New Roman"/>
    </w:rPr>
  </w:style>
  <w:style w:type="character" w:customStyle="1" w:styleId="80">
    <w:name w:val="日期 字符"/>
    <w:basedOn w:val="51"/>
    <w:qFormat/>
    <w:uiPriority w:val="99"/>
    <w:rPr>
      <w:rFonts w:ascii="Calibri" w:hAnsi="Calibri" w:eastAsia="宋体" w:cs="Times New Roman"/>
    </w:rPr>
  </w:style>
  <w:style w:type="character" w:customStyle="1" w:styleId="81">
    <w:name w:val="正文文本缩进 2 字符"/>
    <w:basedOn w:val="51"/>
    <w:qFormat/>
    <w:uiPriority w:val="0"/>
    <w:rPr>
      <w:rFonts w:ascii="Calibri" w:hAnsi="Calibri" w:eastAsia="宋体" w:cs="Times New Roman"/>
    </w:rPr>
  </w:style>
  <w:style w:type="character" w:customStyle="1" w:styleId="82">
    <w:name w:val="尾注文本 字符"/>
    <w:basedOn w:val="51"/>
    <w:qFormat/>
    <w:uiPriority w:val="99"/>
    <w:rPr>
      <w:rFonts w:ascii="Calibri" w:hAnsi="Calibri" w:eastAsia="宋体" w:cs="Times New Roman"/>
    </w:rPr>
  </w:style>
  <w:style w:type="character" w:customStyle="1" w:styleId="83">
    <w:name w:val="批注框文本 字符"/>
    <w:basedOn w:val="51"/>
    <w:qFormat/>
    <w:uiPriority w:val="0"/>
    <w:rPr>
      <w:rFonts w:ascii="Calibri" w:hAnsi="Calibri" w:eastAsia="宋体" w:cs="Times New Roman"/>
      <w:sz w:val="18"/>
      <w:szCs w:val="18"/>
    </w:rPr>
  </w:style>
  <w:style w:type="character" w:customStyle="1" w:styleId="84">
    <w:name w:val="页脚 字符"/>
    <w:basedOn w:val="51"/>
    <w:qFormat/>
    <w:uiPriority w:val="0"/>
    <w:rPr>
      <w:rFonts w:ascii="Calibri" w:hAnsi="Calibri" w:eastAsia="宋体" w:cs="Times New Roman"/>
      <w:sz w:val="18"/>
      <w:szCs w:val="18"/>
    </w:rPr>
  </w:style>
  <w:style w:type="character" w:customStyle="1" w:styleId="85">
    <w:name w:val="页眉 字符"/>
    <w:basedOn w:val="51"/>
    <w:qFormat/>
    <w:uiPriority w:val="0"/>
    <w:rPr>
      <w:rFonts w:ascii="Calibri" w:hAnsi="Calibri" w:eastAsia="宋体" w:cs="Times New Roman"/>
      <w:sz w:val="18"/>
      <w:szCs w:val="18"/>
    </w:rPr>
  </w:style>
  <w:style w:type="character" w:customStyle="1" w:styleId="86">
    <w:name w:val="脚注文本 字符"/>
    <w:basedOn w:val="51"/>
    <w:qFormat/>
    <w:uiPriority w:val="99"/>
    <w:rPr>
      <w:rFonts w:ascii="Calibri" w:hAnsi="Calibri" w:eastAsia="宋体" w:cs="Times New Roman"/>
      <w:sz w:val="18"/>
      <w:szCs w:val="18"/>
    </w:rPr>
  </w:style>
  <w:style w:type="character" w:customStyle="1" w:styleId="87">
    <w:name w:val="正文文本缩进 3 字符"/>
    <w:basedOn w:val="51"/>
    <w:qFormat/>
    <w:uiPriority w:val="0"/>
    <w:rPr>
      <w:rFonts w:ascii="Calibri" w:hAnsi="Calibri" w:eastAsia="宋体" w:cs="Times New Roman"/>
      <w:sz w:val="16"/>
      <w:szCs w:val="16"/>
    </w:rPr>
  </w:style>
  <w:style w:type="character" w:customStyle="1" w:styleId="88">
    <w:name w:val="正文文本 2 字符"/>
    <w:basedOn w:val="51"/>
    <w:qFormat/>
    <w:uiPriority w:val="99"/>
    <w:rPr>
      <w:rFonts w:ascii="Calibri" w:hAnsi="Calibri" w:eastAsia="宋体" w:cs="Times New Roman"/>
    </w:rPr>
  </w:style>
  <w:style w:type="character" w:customStyle="1" w:styleId="89">
    <w:name w:val="批注主题 字符"/>
    <w:basedOn w:val="78"/>
    <w:qFormat/>
    <w:uiPriority w:val="0"/>
    <w:rPr>
      <w:rFonts w:ascii="Calibri" w:hAnsi="Calibri" w:eastAsia="宋体" w:cs="Times New Roman"/>
      <w:b/>
      <w:bCs/>
    </w:rPr>
  </w:style>
  <w:style w:type="character" w:customStyle="1" w:styleId="90">
    <w:name w:val="标题 3 字符1"/>
    <w:link w:val="6"/>
    <w:qFormat/>
    <w:uiPriority w:val="0"/>
    <w:rPr>
      <w:rFonts w:ascii="宋体" w:hAnsi="宋体" w:eastAsia="宋体" w:cs="宋体"/>
      <w:kern w:val="0"/>
      <w:sz w:val="24"/>
      <w:szCs w:val="24"/>
    </w:rPr>
  </w:style>
  <w:style w:type="character" w:customStyle="1" w:styleId="91">
    <w:name w:val="页眉 字符1"/>
    <w:link w:val="33"/>
    <w:qFormat/>
    <w:uiPriority w:val="0"/>
    <w:rPr>
      <w:rFonts w:ascii="Calibri" w:hAnsi="Calibri" w:eastAsia="宋体" w:cs="Times New Roman"/>
      <w:sz w:val="18"/>
      <w:szCs w:val="18"/>
    </w:rPr>
  </w:style>
  <w:style w:type="character" w:customStyle="1" w:styleId="92">
    <w:name w:val="页脚 字符1"/>
    <w:link w:val="32"/>
    <w:qFormat/>
    <w:uiPriority w:val="0"/>
    <w:rPr>
      <w:rFonts w:ascii="Calibri" w:hAnsi="Calibri" w:eastAsia="宋体" w:cs="Times New Roman"/>
      <w:sz w:val="18"/>
      <w:szCs w:val="18"/>
    </w:rPr>
  </w:style>
  <w:style w:type="character" w:customStyle="1" w:styleId="93">
    <w:name w:val="标题 1 字符1"/>
    <w:link w:val="3"/>
    <w:qFormat/>
    <w:uiPriority w:val="0"/>
    <w:rPr>
      <w:rFonts w:ascii="Arial" w:hAnsi="Arial" w:eastAsia="宋体" w:cs="Times New Roman"/>
      <w:b/>
      <w:kern w:val="44"/>
      <w:sz w:val="28"/>
      <w:szCs w:val="28"/>
    </w:rPr>
  </w:style>
  <w:style w:type="character" w:customStyle="1" w:styleId="94">
    <w:name w:val="标题 2 字符1"/>
    <w:link w:val="5"/>
    <w:qFormat/>
    <w:uiPriority w:val="0"/>
    <w:rPr>
      <w:rFonts w:ascii="Arial" w:hAnsi="Arial" w:eastAsia="宋体" w:cs="Times New Roman"/>
      <w:b/>
      <w:color w:val="000000"/>
      <w:sz w:val="24"/>
      <w:szCs w:val="24"/>
    </w:rPr>
  </w:style>
  <w:style w:type="character" w:customStyle="1" w:styleId="95">
    <w:name w:val="标题 4 字符1"/>
    <w:link w:val="7"/>
    <w:qFormat/>
    <w:uiPriority w:val="0"/>
    <w:rPr>
      <w:rFonts w:ascii="Arial" w:hAnsi="Arial" w:eastAsia="宋体" w:cs="Times New Roman"/>
      <w:color w:val="000000"/>
      <w:szCs w:val="21"/>
    </w:rPr>
  </w:style>
  <w:style w:type="character" w:customStyle="1" w:styleId="96">
    <w:name w:val="标题 5 字符1"/>
    <w:link w:val="9"/>
    <w:qFormat/>
    <w:uiPriority w:val="0"/>
    <w:rPr>
      <w:rFonts w:ascii="Arial" w:hAnsi="Arial" w:eastAsia="宋体" w:cs="Times New Roman"/>
      <w:color w:val="000000"/>
      <w:szCs w:val="21"/>
    </w:rPr>
  </w:style>
  <w:style w:type="character" w:customStyle="1" w:styleId="97">
    <w:name w:val="标题 6 字符1"/>
    <w:link w:val="10"/>
    <w:qFormat/>
    <w:uiPriority w:val="0"/>
    <w:rPr>
      <w:rFonts w:ascii="Arial" w:hAnsi="Arial" w:eastAsia="黑体" w:cs="Times New Roman"/>
      <w:b/>
      <w:bCs/>
      <w:sz w:val="24"/>
      <w:szCs w:val="24"/>
    </w:rPr>
  </w:style>
  <w:style w:type="character" w:customStyle="1" w:styleId="98">
    <w:name w:val="标题 7 字符1"/>
    <w:link w:val="11"/>
    <w:qFormat/>
    <w:uiPriority w:val="0"/>
    <w:rPr>
      <w:rFonts w:ascii="Times New Roman" w:hAnsi="Times New Roman" w:eastAsia="宋体" w:cs="Times New Roman"/>
      <w:b/>
      <w:sz w:val="24"/>
      <w:szCs w:val="20"/>
    </w:rPr>
  </w:style>
  <w:style w:type="character" w:customStyle="1" w:styleId="99">
    <w:name w:val="标题 8 字符1"/>
    <w:link w:val="12"/>
    <w:qFormat/>
    <w:uiPriority w:val="0"/>
    <w:rPr>
      <w:rFonts w:ascii="Arial" w:hAnsi="Arial" w:eastAsia="黑体" w:cs="Times New Roman"/>
      <w:sz w:val="24"/>
      <w:szCs w:val="20"/>
    </w:rPr>
  </w:style>
  <w:style w:type="character" w:customStyle="1" w:styleId="100">
    <w:name w:val="标题 9 字符1"/>
    <w:link w:val="13"/>
    <w:qFormat/>
    <w:uiPriority w:val="0"/>
    <w:rPr>
      <w:rFonts w:ascii="Arial" w:hAnsi="Arial" w:eastAsia="黑体" w:cs="Times New Roman"/>
      <w:szCs w:val="20"/>
    </w:rPr>
  </w:style>
  <w:style w:type="character" w:customStyle="1" w:styleId="101">
    <w:name w:val="标题 字符1"/>
    <w:link w:val="4"/>
    <w:qFormat/>
    <w:uiPriority w:val="0"/>
    <w:rPr>
      <w:rFonts w:ascii="Arial" w:hAnsi="Arial" w:eastAsia="宋体" w:cs="Times New Roman"/>
      <w:b/>
      <w:sz w:val="44"/>
      <w:szCs w:val="20"/>
    </w:rPr>
  </w:style>
  <w:style w:type="character" w:customStyle="1" w:styleId="102">
    <w:name w:val="正文文本 字符1"/>
    <w:qFormat/>
    <w:uiPriority w:val="0"/>
    <w:rPr>
      <w:rFonts w:ascii="Times New Roman" w:hAnsi="Times New Roman" w:eastAsia="宋体" w:cs="Times New Roman"/>
      <w:szCs w:val="20"/>
    </w:rPr>
  </w:style>
  <w:style w:type="character" w:customStyle="1" w:styleId="103">
    <w:name w:val="正文首行缩进 字符1"/>
    <w:link w:val="47"/>
    <w:qFormat/>
    <w:uiPriority w:val="0"/>
    <w:rPr>
      <w:rFonts w:ascii="Times New Roman" w:hAnsi="Times New Roman" w:eastAsia="宋体" w:cs="Times New Roman"/>
      <w:szCs w:val="20"/>
    </w:rPr>
  </w:style>
  <w:style w:type="character" w:customStyle="1" w:styleId="104">
    <w:name w:val="日期 字符1"/>
    <w:link w:val="28"/>
    <w:qFormat/>
    <w:uiPriority w:val="0"/>
    <w:rPr>
      <w:rFonts w:ascii="Times New Roman" w:hAnsi="Times New Roman" w:eastAsia="宋体" w:cs="Times New Roman"/>
      <w:szCs w:val="20"/>
    </w:rPr>
  </w:style>
  <w:style w:type="character" w:customStyle="1" w:styleId="105">
    <w:name w:val="正文文本缩进 字符1"/>
    <w:link w:val="21"/>
    <w:qFormat/>
    <w:uiPriority w:val="0"/>
    <w:rPr>
      <w:rFonts w:ascii="Times New Roman" w:hAnsi="Times New Roman" w:eastAsia="宋体" w:cs="Times New Roman"/>
      <w:sz w:val="28"/>
      <w:szCs w:val="20"/>
    </w:rPr>
  </w:style>
  <w:style w:type="character" w:customStyle="1" w:styleId="106">
    <w:name w:val="文档结构图 字符1"/>
    <w:link w:val="17"/>
    <w:qFormat/>
    <w:uiPriority w:val="0"/>
    <w:rPr>
      <w:rFonts w:ascii="Times New Roman" w:hAnsi="Times New Roman" w:eastAsia="宋体" w:cs="Times New Roman"/>
      <w:szCs w:val="20"/>
      <w:shd w:val="clear" w:color="auto" w:fill="000080"/>
    </w:rPr>
  </w:style>
  <w:style w:type="character" w:customStyle="1" w:styleId="107">
    <w:name w:val="纯文本 字符1"/>
    <w:link w:val="26"/>
    <w:qFormat/>
    <w:uiPriority w:val="0"/>
    <w:rPr>
      <w:rFonts w:ascii="宋体" w:hAnsi="Courier New" w:eastAsia="宋体" w:cs="Times New Roman"/>
      <w:szCs w:val="20"/>
    </w:rPr>
  </w:style>
  <w:style w:type="character" w:customStyle="1" w:styleId="108">
    <w:name w:val="正文文本缩进 2 字符1"/>
    <w:link w:val="29"/>
    <w:qFormat/>
    <w:uiPriority w:val="0"/>
    <w:rPr>
      <w:rFonts w:ascii="Times New Roman" w:hAnsi="Times New Roman" w:eastAsia="宋体" w:cs="Times New Roman"/>
      <w:color w:val="000000"/>
      <w:sz w:val="24"/>
      <w:szCs w:val="20"/>
    </w:rPr>
  </w:style>
  <w:style w:type="character" w:customStyle="1" w:styleId="109">
    <w:name w:val="正文文本缩进 3 字符1"/>
    <w:link w:val="40"/>
    <w:qFormat/>
    <w:uiPriority w:val="0"/>
    <w:rPr>
      <w:rFonts w:ascii="Times New Roman" w:hAnsi="Times New Roman" w:eastAsia="宋体" w:cs="Times New Roman"/>
      <w:color w:val="000000"/>
      <w:sz w:val="24"/>
      <w:szCs w:val="20"/>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11">
    <w:name w:val="_Style 69"/>
    <w:qFormat/>
    <w:uiPriority w:val="0"/>
    <w:rPr>
      <w:rFonts w:ascii="等线" w:hAnsi="等线" w:eastAsia="等线" w:cs="Times New Roman"/>
      <w:lang w:val="en-US" w:eastAsia="zh-CN" w:bidi="ar-SA"/>
    </w:rPr>
  </w:style>
  <w:style w:type="character" w:customStyle="1" w:styleId="112">
    <w:name w:val="正文文本 2 字符1"/>
    <w:link w:val="43"/>
    <w:qFormat/>
    <w:uiPriority w:val="0"/>
    <w:rPr>
      <w:rFonts w:ascii="宋体" w:hAnsi="宋体" w:eastAsia="宋体" w:cs="Times New Roman"/>
      <w:szCs w:val="24"/>
      <w:u w:val="single"/>
    </w:rPr>
  </w:style>
  <w:style w:type="paragraph" w:customStyle="1" w:styleId="113">
    <w:name w:val="表头"/>
    <w:basedOn w:val="1"/>
    <w:qFormat/>
    <w:uiPriority w:val="0"/>
    <w:pPr>
      <w:spacing w:line="360" w:lineRule="auto"/>
      <w:jc w:val="center"/>
    </w:pPr>
    <w:rPr>
      <w:rFonts w:ascii="黑体" w:hAnsi="Times New Roman" w:eastAsia="黑体"/>
      <w:kern w:val="0"/>
      <w:sz w:val="24"/>
      <w:szCs w:val="20"/>
    </w:rPr>
  </w:style>
  <w:style w:type="character" w:customStyle="1" w:styleId="114">
    <w:name w:val="尾注文本 字符1"/>
    <w:link w:val="30"/>
    <w:qFormat/>
    <w:uiPriority w:val="0"/>
    <w:rPr>
      <w:rFonts w:ascii="Times New Roman" w:hAnsi="Times New Roman" w:eastAsia="宋体" w:cs="Times New Roman"/>
      <w:szCs w:val="20"/>
    </w:rPr>
  </w:style>
  <w:style w:type="paragraph" w:customStyle="1" w:styleId="115">
    <w:name w:val="Char"/>
    <w:basedOn w:val="1"/>
    <w:link w:val="203"/>
    <w:qFormat/>
    <w:uiPriority w:val="0"/>
    <w:rPr>
      <w:rFonts w:ascii="Tahoma" w:hAnsi="Tahoma"/>
      <w:sz w:val="24"/>
      <w:szCs w:val="20"/>
    </w:rPr>
  </w:style>
  <w:style w:type="paragraph" w:customStyle="1" w:styleId="116">
    <w:name w:val="Char1"/>
    <w:basedOn w:val="1"/>
    <w:qFormat/>
    <w:uiPriority w:val="0"/>
    <w:pPr>
      <w:numPr>
        <w:ilvl w:val="0"/>
        <w:numId w:val="1"/>
      </w:numPr>
    </w:pPr>
    <w:rPr>
      <w:rFonts w:ascii="Times New Roman" w:hAnsi="Times New Roman"/>
      <w:sz w:val="24"/>
      <w:szCs w:val="24"/>
    </w:rPr>
  </w:style>
  <w:style w:type="paragraph" w:customStyle="1" w:styleId="117">
    <w:name w:val="公文抬头"/>
    <w:basedOn w:val="8"/>
    <w:qFormat/>
    <w:uiPriority w:val="0"/>
    <w:pPr>
      <w:ind w:firstLine="0"/>
    </w:pPr>
    <w:rPr>
      <w:rFonts w:ascii="仿宋_GB2312" w:eastAsia="仿宋_GB2312"/>
      <w:sz w:val="30"/>
      <w:szCs w:val="24"/>
    </w:rPr>
  </w:style>
  <w:style w:type="paragraph" w:customStyle="1" w:styleId="118">
    <w:name w:val="Char Char Char1 Char"/>
    <w:basedOn w:val="17"/>
    <w:qFormat/>
    <w:uiPriority w:val="0"/>
    <w:rPr>
      <w:rFonts w:ascii="Tahoma" w:hAnsi="Tahoma"/>
      <w:sz w:val="24"/>
      <w:szCs w:val="24"/>
    </w:rPr>
  </w:style>
  <w:style w:type="paragraph" w:customStyle="1" w:styleId="11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0">
    <w:name w:val="公文标题"/>
    <w:basedOn w:val="6"/>
    <w:qFormat/>
    <w:uiPriority w:val="0"/>
    <w:pPr>
      <w:keepNext/>
      <w:keepLines/>
      <w:widowControl w:val="0"/>
      <w:ind w:left="1469" w:right="1542"/>
    </w:pPr>
    <w:rPr>
      <w:rFonts w:hAnsi="Times New Roman" w:cs="Times New Roman"/>
      <w:b/>
      <w:kern w:val="2"/>
      <w:sz w:val="44"/>
      <w:szCs w:val="21"/>
    </w:rPr>
  </w:style>
  <w:style w:type="paragraph" w:customStyle="1" w:styleId="121">
    <w:name w:val="发文落款"/>
    <w:basedOn w:val="119"/>
    <w:qFormat/>
    <w:uiPriority w:val="0"/>
    <w:pPr>
      <w:ind w:left="4094" w:right="607" w:firstLine="0"/>
      <w:jc w:val="center"/>
    </w:pPr>
  </w:style>
  <w:style w:type="paragraph" w:customStyle="1" w:styleId="122">
    <w:name w:val="Char Char Char Char"/>
    <w:basedOn w:val="1"/>
    <w:qFormat/>
    <w:uiPriority w:val="0"/>
    <w:rPr>
      <w:rFonts w:ascii="Times New Roman" w:hAnsi="Times New Roman"/>
      <w:sz w:val="30"/>
      <w:szCs w:val="24"/>
    </w:rPr>
  </w:style>
  <w:style w:type="character" w:customStyle="1" w:styleId="123">
    <w:name w:val="批注框文本 字符1"/>
    <w:link w:val="31"/>
    <w:qFormat/>
    <w:uiPriority w:val="0"/>
    <w:rPr>
      <w:rFonts w:ascii="Times New Roman" w:hAnsi="Times New Roman" w:eastAsia="宋体" w:cs="Times New Roman"/>
      <w:sz w:val="18"/>
      <w:szCs w:val="18"/>
    </w:rPr>
  </w:style>
  <w:style w:type="paragraph" w:customStyle="1" w:styleId="124">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25">
    <w:name w:val="批注文字 字符1"/>
    <w:link w:val="18"/>
    <w:qFormat/>
    <w:uiPriority w:val="0"/>
    <w:rPr>
      <w:rFonts w:ascii="宋体" w:hAnsi="宋体" w:eastAsia="宋体" w:cs="Times New Roman"/>
      <w:sz w:val="24"/>
      <w:szCs w:val="24"/>
    </w:rPr>
  </w:style>
  <w:style w:type="character" w:customStyle="1" w:styleId="126">
    <w:name w:val="脚注文本 字符1"/>
    <w:link w:val="38"/>
    <w:qFormat/>
    <w:uiPriority w:val="0"/>
    <w:rPr>
      <w:rFonts w:ascii="宋体" w:hAnsi="宋体" w:eastAsia="宋体" w:cs="Times New Roman"/>
      <w:sz w:val="18"/>
      <w:szCs w:val="18"/>
    </w:rPr>
  </w:style>
  <w:style w:type="character" w:customStyle="1" w:styleId="127">
    <w:name w:val="批注主题 字符1"/>
    <w:link w:val="46"/>
    <w:qFormat/>
    <w:uiPriority w:val="0"/>
    <w:rPr>
      <w:rFonts w:ascii="宋体" w:hAnsi="宋体" w:eastAsia="宋体" w:cs="Times New Roman"/>
      <w:b/>
      <w:bCs/>
      <w:sz w:val="24"/>
      <w:szCs w:val="24"/>
    </w:rPr>
  </w:style>
  <w:style w:type="paragraph" w:styleId="128">
    <w:name w:val="List Paragraph"/>
    <w:basedOn w:val="1"/>
    <w:qFormat/>
    <w:uiPriority w:val="34"/>
    <w:pPr>
      <w:ind w:firstLine="420" w:firstLineChars="200"/>
    </w:pPr>
    <w:rPr>
      <w:rFonts w:ascii="Times New Roman" w:hAnsi="Times New Roman"/>
      <w:szCs w:val="20"/>
    </w:rPr>
  </w:style>
  <w:style w:type="paragraph" w:customStyle="1" w:styleId="129">
    <w:name w:val="修订1"/>
    <w:hidden/>
    <w:semiHidden/>
    <w:qFormat/>
    <w:uiPriority w:val="99"/>
    <w:rPr>
      <w:rFonts w:ascii="Times New Roman" w:hAnsi="Times New Roman" w:eastAsia="宋体" w:cs="Times New Roman"/>
      <w:kern w:val="2"/>
      <w:sz w:val="21"/>
      <w:lang w:val="en-US" w:eastAsia="zh-CN" w:bidi="ar-SA"/>
    </w:rPr>
  </w:style>
  <w:style w:type="character" w:customStyle="1" w:styleId="130">
    <w:name w:val="纯文本 Char"/>
    <w:qFormat/>
    <w:uiPriority w:val="0"/>
    <w:rPr>
      <w:rFonts w:ascii="宋体" w:hAnsi="Courier New" w:eastAsia="宋体" w:cs="Times New Roman"/>
      <w:szCs w:val="20"/>
    </w:rPr>
  </w:style>
  <w:style w:type="character" w:customStyle="1" w:styleId="131">
    <w:name w:val="标题 1 Char"/>
    <w:qFormat/>
    <w:uiPriority w:val="0"/>
    <w:rPr>
      <w:rFonts w:ascii="Arial" w:hAnsi="Arial" w:eastAsia="宋体" w:cs="Times New Roman"/>
      <w:b/>
      <w:kern w:val="44"/>
      <w:sz w:val="28"/>
      <w:szCs w:val="28"/>
    </w:rPr>
  </w:style>
  <w:style w:type="character" w:customStyle="1" w:styleId="132">
    <w:name w:val="标题 2 Char"/>
    <w:qFormat/>
    <w:uiPriority w:val="0"/>
    <w:rPr>
      <w:rFonts w:ascii="Arial" w:hAnsi="Arial" w:eastAsia="宋体" w:cs="Times New Roman"/>
      <w:b/>
      <w:color w:val="000000"/>
      <w:sz w:val="24"/>
      <w:szCs w:val="24"/>
    </w:rPr>
  </w:style>
  <w:style w:type="character" w:customStyle="1" w:styleId="133">
    <w:name w:val="正文缩进 字符"/>
    <w:link w:val="8"/>
    <w:qFormat/>
    <w:uiPriority w:val="0"/>
    <w:rPr>
      <w:rFonts w:ascii="Times New Roman" w:hAnsi="Times New Roman" w:eastAsia="宋体" w:cs="Times New Roman"/>
      <w:szCs w:val="20"/>
    </w:rPr>
  </w:style>
  <w:style w:type="character" w:customStyle="1" w:styleId="134">
    <w:name w:val="标题 3 Char"/>
    <w:qFormat/>
    <w:uiPriority w:val="0"/>
    <w:rPr>
      <w:rFonts w:ascii="宋体" w:hAnsi="宋体" w:eastAsia="宋体" w:cs="宋体"/>
      <w:kern w:val="0"/>
      <w:sz w:val="27"/>
      <w:szCs w:val="27"/>
    </w:rPr>
  </w:style>
  <w:style w:type="character" w:customStyle="1" w:styleId="135">
    <w:name w:val="标题 4 Char"/>
    <w:qFormat/>
    <w:uiPriority w:val="0"/>
    <w:rPr>
      <w:rFonts w:ascii="Arial" w:hAnsi="Arial" w:eastAsia="宋体" w:cs="Times New Roman"/>
      <w:color w:val="000000"/>
      <w:szCs w:val="21"/>
    </w:rPr>
  </w:style>
  <w:style w:type="character" w:customStyle="1" w:styleId="136">
    <w:name w:val="标题 5 Char"/>
    <w:qFormat/>
    <w:uiPriority w:val="0"/>
    <w:rPr>
      <w:rFonts w:ascii="Arial" w:hAnsi="Arial" w:eastAsia="宋体" w:cs="Times New Roman"/>
      <w:color w:val="000000"/>
      <w:szCs w:val="21"/>
    </w:rPr>
  </w:style>
  <w:style w:type="character" w:customStyle="1" w:styleId="137">
    <w:name w:val="标题 6 Char"/>
    <w:qFormat/>
    <w:uiPriority w:val="0"/>
    <w:rPr>
      <w:rFonts w:ascii="Arial" w:hAnsi="Arial" w:eastAsia="黑体" w:cs="Times New Roman"/>
      <w:b/>
      <w:bCs/>
      <w:sz w:val="24"/>
      <w:szCs w:val="24"/>
    </w:rPr>
  </w:style>
  <w:style w:type="character" w:customStyle="1" w:styleId="138">
    <w:name w:val="标题 7 Char"/>
    <w:qFormat/>
    <w:uiPriority w:val="0"/>
    <w:rPr>
      <w:rFonts w:ascii="Times New Roman" w:hAnsi="Times New Roman" w:eastAsia="宋体" w:cs="Times New Roman"/>
      <w:b/>
      <w:sz w:val="24"/>
      <w:szCs w:val="20"/>
    </w:rPr>
  </w:style>
  <w:style w:type="character" w:customStyle="1" w:styleId="139">
    <w:name w:val="标题 8 Char"/>
    <w:qFormat/>
    <w:uiPriority w:val="0"/>
    <w:rPr>
      <w:rFonts w:ascii="Arial" w:hAnsi="Arial" w:eastAsia="黑体" w:cs="Times New Roman"/>
      <w:sz w:val="24"/>
      <w:szCs w:val="20"/>
    </w:rPr>
  </w:style>
  <w:style w:type="character" w:customStyle="1" w:styleId="140">
    <w:name w:val="标题 9 Char"/>
    <w:qFormat/>
    <w:uiPriority w:val="0"/>
    <w:rPr>
      <w:rFonts w:ascii="Arial" w:hAnsi="Arial" w:eastAsia="黑体" w:cs="Times New Roman"/>
      <w:szCs w:val="20"/>
    </w:rPr>
  </w:style>
  <w:style w:type="character" w:customStyle="1" w:styleId="141">
    <w:name w:val="文档结构图 Char"/>
    <w:qFormat/>
    <w:uiPriority w:val="0"/>
    <w:rPr>
      <w:rFonts w:ascii="Times New Roman" w:hAnsi="Times New Roman" w:eastAsia="宋体" w:cs="Times New Roman"/>
      <w:szCs w:val="20"/>
      <w:shd w:val="clear" w:color="auto" w:fill="000080"/>
    </w:rPr>
  </w:style>
  <w:style w:type="character" w:customStyle="1" w:styleId="142">
    <w:name w:val="批注文字 Char"/>
    <w:qFormat/>
    <w:uiPriority w:val="0"/>
    <w:rPr>
      <w:rFonts w:ascii="宋体" w:hAnsi="宋体" w:eastAsia="宋体" w:cs="Times New Roman"/>
      <w:sz w:val="24"/>
      <w:szCs w:val="24"/>
    </w:rPr>
  </w:style>
  <w:style w:type="character" w:customStyle="1" w:styleId="143">
    <w:name w:val="正文文本 3 字符"/>
    <w:basedOn w:val="51"/>
    <w:qFormat/>
    <w:uiPriority w:val="99"/>
    <w:rPr>
      <w:rFonts w:ascii="Calibri" w:hAnsi="Calibri" w:eastAsia="宋体" w:cs="Times New Roman"/>
      <w:sz w:val="16"/>
      <w:szCs w:val="16"/>
    </w:rPr>
  </w:style>
  <w:style w:type="character" w:customStyle="1" w:styleId="144">
    <w:name w:val="正文文本 3 字符1"/>
    <w:link w:val="19"/>
    <w:qFormat/>
    <w:uiPriority w:val="0"/>
    <w:rPr>
      <w:rFonts w:ascii="宋体" w:hAnsi="宋体" w:eastAsia="宋体" w:cs="Times New Roman"/>
      <w:sz w:val="24"/>
      <w:szCs w:val="20"/>
    </w:rPr>
  </w:style>
  <w:style w:type="character" w:customStyle="1" w:styleId="145">
    <w:name w:val="正文文本 Char"/>
    <w:qFormat/>
    <w:uiPriority w:val="0"/>
    <w:rPr>
      <w:rFonts w:ascii="Times New Roman" w:hAnsi="Times New Roman" w:eastAsia="宋体" w:cs="Times New Roman"/>
      <w:szCs w:val="20"/>
    </w:rPr>
  </w:style>
  <w:style w:type="character" w:customStyle="1" w:styleId="146">
    <w:name w:val="正文文本缩进 Char"/>
    <w:qFormat/>
    <w:uiPriority w:val="0"/>
    <w:rPr>
      <w:rFonts w:ascii="Times New Roman" w:hAnsi="Times New Roman" w:eastAsia="宋体" w:cs="Times New Roman"/>
      <w:sz w:val="28"/>
      <w:szCs w:val="20"/>
    </w:rPr>
  </w:style>
  <w:style w:type="character" w:customStyle="1" w:styleId="147">
    <w:name w:val="日期 Char"/>
    <w:qFormat/>
    <w:uiPriority w:val="0"/>
    <w:rPr>
      <w:rFonts w:ascii="Times New Roman" w:hAnsi="Times New Roman" w:eastAsia="宋体" w:cs="Times New Roman"/>
      <w:szCs w:val="20"/>
    </w:rPr>
  </w:style>
  <w:style w:type="character" w:customStyle="1" w:styleId="148">
    <w:name w:val="正文文本缩进 2 Char"/>
    <w:qFormat/>
    <w:uiPriority w:val="0"/>
    <w:rPr>
      <w:rFonts w:ascii="Times New Roman" w:hAnsi="Times New Roman" w:eastAsia="宋体" w:cs="Times New Roman"/>
      <w:color w:val="000000"/>
      <w:sz w:val="24"/>
      <w:szCs w:val="20"/>
    </w:rPr>
  </w:style>
  <w:style w:type="character" w:customStyle="1" w:styleId="149">
    <w:name w:val="尾注文本 Char"/>
    <w:qFormat/>
    <w:uiPriority w:val="0"/>
    <w:rPr>
      <w:rFonts w:ascii="Times New Roman" w:hAnsi="Times New Roman" w:eastAsia="宋体" w:cs="Times New Roman"/>
      <w:szCs w:val="20"/>
    </w:rPr>
  </w:style>
  <w:style w:type="character" w:customStyle="1" w:styleId="150">
    <w:name w:val="批注框文本 Char"/>
    <w:qFormat/>
    <w:uiPriority w:val="0"/>
    <w:rPr>
      <w:rFonts w:ascii="Times New Roman" w:hAnsi="Times New Roman" w:eastAsia="宋体" w:cs="Times New Roman"/>
      <w:sz w:val="18"/>
      <w:szCs w:val="18"/>
    </w:rPr>
  </w:style>
  <w:style w:type="character" w:customStyle="1" w:styleId="151">
    <w:name w:val="页脚 Char"/>
    <w:qFormat/>
    <w:uiPriority w:val="99"/>
    <w:rPr>
      <w:rFonts w:ascii="Calibri" w:hAnsi="Calibri" w:eastAsia="宋体" w:cs="Times New Roman"/>
      <w:sz w:val="18"/>
      <w:szCs w:val="18"/>
    </w:rPr>
  </w:style>
  <w:style w:type="character" w:customStyle="1" w:styleId="152">
    <w:name w:val="页眉 Char"/>
    <w:qFormat/>
    <w:uiPriority w:val="0"/>
    <w:rPr>
      <w:rFonts w:ascii="Calibri" w:hAnsi="Calibri" w:eastAsia="宋体" w:cs="Times New Roman"/>
      <w:sz w:val="18"/>
      <w:szCs w:val="18"/>
    </w:rPr>
  </w:style>
  <w:style w:type="character" w:customStyle="1" w:styleId="153">
    <w:name w:val="副标题 字符"/>
    <w:basedOn w:val="51"/>
    <w:qFormat/>
    <w:uiPriority w:val="11"/>
    <w:rPr>
      <w:b/>
      <w:bCs/>
      <w:kern w:val="28"/>
      <w:sz w:val="32"/>
      <w:szCs w:val="32"/>
    </w:rPr>
  </w:style>
  <w:style w:type="character" w:customStyle="1" w:styleId="154">
    <w:name w:val="副标题 字符1"/>
    <w:link w:val="36"/>
    <w:qFormat/>
    <w:uiPriority w:val="0"/>
    <w:rPr>
      <w:rFonts w:ascii="Arial" w:hAnsi="Arial" w:eastAsia="黑体" w:cs="Times New Roman"/>
      <w:b/>
      <w:bCs/>
      <w:sz w:val="32"/>
      <w:szCs w:val="32"/>
    </w:rPr>
  </w:style>
  <w:style w:type="character" w:customStyle="1" w:styleId="155">
    <w:name w:val="脚注文本 Char"/>
    <w:qFormat/>
    <w:uiPriority w:val="0"/>
    <w:rPr>
      <w:rFonts w:ascii="宋体" w:hAnsi="宋体" w:eastAsia="宋体" w:cs="Times New Roman"/>
      <w:sz w:val="18"/>
      <w:szCs w:val="18"/>
    </w:rPr>
  </w:style>
  <w:style w:type="character" w:customStyle="1" w:styleId="156">
    <w:name w:val="正文文本缩进 3 Char"/>
    <w:qFormat/>
    <w:uiPriority w:val="0"/>
    <w:rPr>
      <w:rFonts w:ascii="Times New Roman" w:hAnsi="Times New Roman" w:eastAsia="宋体" w:cs="Times New Roman"/>
      <w:color w:val="000000"/>
      <w:sz w:val="24"/>
      <w:szCs w:val="20"/>
    </w:rPr>
  </w:style>
  <w:style w:type="character" w:customStyle="1" w:styleId="157">
    <w:name w:val="正文文本 2 Char"/>
    <w:qFormat/>
    <w:uiPriority w:val="0"/>
    <w:rPr>
      <w:rFonts w:ascii="宋体" w:hAnsi="宋体" w:eastAsia="宋体" w:cs="Times New Roman"/>
      <w:szCs w:val="24"/>
      <w:u w:val="single"/>
    </w:rPr>
  </w:style>
  <w:style w:type="character" w:customStyle="1" w:styleId="158">
    <w:name w:val="标题 Char"/>
    <w:qFormat/>
    <w:uiPriority w:val="0"/>
    <w:rPr>
      <w:rFonts w:ascii="Arial" w:hAnsi="Arial" w:eastAsia="宋体" w:cs="Times New Roman"/>
      <w:b/>
      <w:sz w:val="44"/>
      <w:szCs w:val="20"/>
    </w:rPr>
  </w:style>
  <w:style w:type="character" w:customStyle="1" w:styleId="159">
    <w:name w:val="批注主题 Char"/>
    <w:qFormat/>
    <w:uiPriority w:val="0"/>
    <w:rPr>
      <w:rFonts w:ascii="宋体" w:hAnsi="宋体" w:eastAsia="宋体" w:cs="Times New Roman"/>
      <w:b/>
      <w:bCs/>
      <w:sz w:val="24"/>
      <w:szCs w:val="24"/>
    </w:rPr>
  </w:style>
  <w:style w:type="character" w:customStyle="1" w:styleId="160">
    <w:name w:val="正文首行缩进 Char"/>
    <w:qFormat/>
    <w:uiPriority w:val="0"/>
  </w:style>
  <w:style w:type="character" w:customStyle="1" w:styleId="161">
    <w:name w:val="username"/>
    <w:qFormat/>
    <w:uiPriority w:val="0"/>
  </w:style>
  <w:style w:type="character" w:customStyle="1" w:styleId="162">
    <w:name w:val="title2"/>
    <w:qFormat/>
    <w:uiPriority w:val="0"/>
  </w:style>
  <w:style w:type="character" w:customStyle="1" w:styleId="163">
    <w:name w:val="msointensereference"/>
    <w:qFormat/>
    <w:uiPriority w:val="0"/>
    <w:rPr>
      <w:b/>
      <w:sz w:val="24"/>
      <w:u w:val="single"/>
    </w:rPr>
  </w:style>
  <w:style w:type="character" w:customStyle="1" w:styleId="164">
    <w:name w:val="font6"/>
    <w:qFormat/>
    <w:uiPriority w:val="0"/>
  </w:style>
  <w:style w:type="character" w:customStyle="1" w:styleId="165">
    <w:name w:val="Char Char10"/>
    <w:qFormat/>
    <w:uiPriority w:val="0"/>
    <w:rPr>
      <w:rFonts w:hint="default" w:ascii="Cambria" w:hAnsi="Cambria" w:eastAsia="宋体"/>
      <w:b/>
      <w:bCs/>
      <w:i/>
      <w:iCs/>
      <w:sz w:val="28"/>
      <w:szCs w:val="28"/>
    </w:rPr>
  </w:style>
  <w:style w:type="character" w:customStyle="1" w:styleId="166">
    <w:name w:val="Char Char16"/>
    <w:qFormat/>
    <w:uiPriority w:val="0"/>
    <w:rPr>
      <w:rFonts w:hint="default" w:ascii="Arial" w:hAnsi="Arial" w:eastAsia="黑体" w:cs="Arial"/>
      <w:b/>
      <w:bCs/>
      <w:sz w:val="24"/>
      <w:szCs w:val="24"/>
      <w:lang w:val="en-US" w:eastAsia="zh-CN" w:bidi="ar-SA"/>
    </w:rPr>
  </w:style>
  <w:style w:type="character" w:customStyle="1" w:styleId="167">
    <w:name w:val="WW8Num9z0"/>
    <w:qFormat/>
    <w:uiPriority w:val="0"/>
    <w:rPr>
      <w:rFonts w:hint="default" w:ascii="Wingdings" w:hAnsi="Wingdings"/>
    </w:rPr>
  </w:style>
  <w:style w:type="character" w:customStyle="1" w:styleId="168">
    <w:name w:val="副标题 Char3"/>
    <w:qFormat/>
    <w:uiPriority w:val="11"/>
    <w:rPr>
      <w:rFonts w:ascii="Cambria" w:hAnsi="Cambria" w:cs="Times New Roman"/>
      <w:b/>
      <w:bCs/>
      <w:kern w:val="28"/>
      <w:sz w:val="32"/>
      <w:szCs w:val="32"/>
    </w:rPr>
  </w:style>
  <w:style w:type="character" w:customStyle="1" w:styleId="169">
    <w:name w:val="明显引用 Char1"/>
    <w:qFormat/>
    <w:uiPriority w:val="0"/>
    <w:rPr>
      <w:rFonts w:hint="eastAsia" w:ascii="仿宋_GB2312" w:eastAsia="仿宋_GB2312"/>
      <w:b/>
      <w:bCs/>
      <w:i/>
      <w:iCs/>
      <w:color w:val="4F81BD"/>
      <w:kern w:val="2"/>
      <w:sz w:val="21"/>
      <w:szCs w:val="32"/>
    </w:rPr>
  </w:style>
  <w:style w:type="character" w:customStyle="1" w:styleId="170">
    <w:name w:val="正文首行缩进 Char Char"/>
    <w:qFormat/>
    <w:uiPriority w:val="0"/>
    <w:rPr>
      <w:rFonts w:ascii="宋体" w:eastAsia="宋体"/>
      <w:kern w:val="2"/>
      <w:sz w:val="34"/>
      <w:lang w:val="en-US" w:eastAsia="zh-CN" w:bidi="ar-SA"/>
    </w:rPr>
  </w:style>
  <w:style w:type="character" w:customStyle="1" w:styleId="171">
    <w:name w:val="批注框文本 Char Char"/>
    <w:qFormat/>
    <w:uiPriority w:val="0"/>
    <w:rPr>
      <w:kern w:val="2"/>
      <w:sz w:val="18"/>
      <w:szCs w:val="18"/>
    </w:rPr>
  </w:style>
  <w:style w:type="character" w:customStyle="1" w:styleId="172">
    <w:name w:val="font41"/>
    <w:qFormat/>
    <w:uiPriority w:val="0"/>
    <w:rPr>
      <w:rFonts w:hint="eastAsia" w:ascii="宋体" w:hAnsi="宋体" w:eastAsia="宋体"/>
      <w:strike/>
      <w:color w:val="000000"/>
      <w:sz w:val="24"/>
      <w:szCs w:val="24"/>
    </w:rPr>
  </w:style>
  <w:style w:type="character" w:customStyle="1" w:styleId="173">
    <w:name w:val="msosubtleemphasis"/>
    <w:qFormat/>
    <w:uiPriority w:val="0"/>
    <w:rPr>
      <w:i/>
      <w:color w:val="5A5A5A"/>
    </w:rPr>
  </w:style>
  <w:style w:type="character" w:customStyle="1" w:styleId="174">
    <w:name w:val="引用 Char1"/>
    <w:qFormat/>
    <w:uiPriority w:val="0"/>
    <w:rPr>
      <w:rFonts w:hint="eastAsia" w:ascii="仿宋_GB2312" w:eastAsia="仿宋_GB2312"/>
      <w:i/>
      <w:iCs/>
      <w:color w:val="000000"/>
      <w:kern w:val="2"/>
      <w:sz w:val="21"/>
      <w:szCs w:val="32"/>
    </w:rPr>
  </w:style>
  <w:style w:type="character" w:customStyle="1" w:styleId="175">
    <w:name w:val="标题 5 Char Char"/>
    <w:qFormat/>
    <w:uiPriority w:val="0"/>
    <w:rPr>
      <w:rFonts w:hint="eastAsia" w:ascii="仿宋_GB2312" w:eastAsia="仿宋_GB2312"/>
      <w:b/>
      <w:bCs/>
      <w:kern w:val="2"/>
      <w:sz w:val="28"/>
      <w:szCs w:val="28"/>
    </w:rPr>
  </w:style>
  <w:style w:type="character" w:customStyle="1" w:styleId="176">
    <w:name w:val="textcontents1"/>
    <w:qFormat/>
    <w:uiPriority w:val="0"/>
    <w:rPr>
      <w:color w:val="000000"/>
      <w:sz w:val="22"/>
      <w:szCs w:val="22"/>
    </w:rPr>
  </w:style>
  <w:style w:type="character" w:customStyle="1" w:styleId="177">
    <w:name w:val="标题 9 Char Char"/>
    <w:qFormat/>
    <w:uiPriority w:val="0"/>
    <w:rPr>
      <w:rFonts w:hint="default" w:ascii="Cambria" w:hAnsi="Cambria" w:eastAsia="宋体" w:cs="Times New Roman"/>
      <w:kern w:val="2"/>
      <w:sz w:val="21"/>
      <w:szCs w:val="21"/>
    </w:rPr>
  </w:style>
  <w:style w:type="character" w:customStyle="1" w:styleId="178">
    <w:name w:val="副标题 Char2"/>
    <w:qFormat/>
    <w:uiPriority w:val="0"/>
    <w:rPr>
      <w:rFonts w:hint="default" w:ascii="Cambria" w:hAnsi="Cambria" w:cs="Times New Roman"/>
      <w:b/>
      <w:bCs/>
      <w:kern w:val="28"/>
      <w:sz w:val="32"/>
      <w:szCs w:val="32"/>
    </w:rPr>
  </w:style>
  <w:style w:type="character" w:customStyle="1" w:styleId="179">
    <w:name w:val="Char Char23"/>
    <w:qFormat/>
    <w:uiPriority w:val="0"/>
    <w:rPr>
      <w:rFonts w:hint="default" w:ascii="Times New Roman" w:hAnsi="Times New Roman" w:cs="Times New Roman"/>
      <w:b/>
      <w:color w:val="000000"/>
      <w:kern w:val="2"/>
      <w:sz w:val="24"/>
      <w:szCs w:val="24"/>
    </w:rPr>
  </w:style>
  <w:style w:type="character" w:customStyle="1" w:styleId="180">
    <w:name w:val="文一 Char Char"/>
    <w:link w:val="181"/>
    <w:qFormat/>
    <w:uiPriority w:val="0"/>
    <w:rPr>
      <w:rFonts w:ascii="宋体" w:hAnsi="宋体"/>
      <w:spacing w:val="4"/>
      <w:sz w:val="24"/>
      <w:szCs w:val="24"/>
    </w:rPr>
  </w:style>
  <w:style w:type="paragraph" w:customStyle="1" w:styleId="181">
    <w:name w:val="文一"/>
    <w:basedOn w:val="1"/>
    <w:link w:val="180"/>
    <w:qFormat/>
    <w:uiPriority w:val="0"/>
    <w:pPr>
      <w:topLinePunct/>
      <w:adjustRightInd w:val="0"/>
      <w:snapToGrid w:val="0"/>
      <w:spacing w:line="360" w:lineRule="auto"/>
      <w:ind w:firstLine="200" w:firstLineChars="200"/>
    </w:pPr>
    <w:rPr>
      <w:rFonts w:ascii="宋体" w:hAnsi="宋体" w:eastAsiaTheme="minorEastAsia" w:cstheme="minorBidi"/>
      <w:spacing w:val="4"/>
      <w:sz w:val="24"/>
      <w:szCs w:val="24"/>
    </w:rPr>
  </w:style>
  <w:style w:type="character" w:customStyle="1" w:styleId="182">
    <w:name w:val="页脚 Char Char"/>
    <w:qFormat/>
    <w:uiPriority w:val="0"/>
    <w:rPr>
      <w:sz w:val="18"/>
      <w:szCs w:val="18"/>
    </w:rPr>
  </w:style>
  <w:style w:type="character" w:customStyle="1" w:styleId="183">
    <w:name w:val="正文文本缩进 3 Char Char"/>
    <w:qFormat/>
    <w:uiPriority w:val="0"/>
    <w:rPr>
      <w:kern w:val="2"/>
      <w:sz w:val="16"/>
      <w:szCs w:val="16"/>
    </w:rPr>
  </w:style>
  <w:style w:type="character" w:customStyle="1" w:styleId="184">
    <w:name w:val="样式 Char Char"/>
    <w:link w:val="185"/>
    <w:qFormat/>
    <w:uiPriority w:val="0"/>
  </w:style>
  <w:style w:type="paragraph" w:customStyle="1" w:styleId="185">
    <w:name w:val="样式"/>
    <w:basedOn w:val="186"/>
    <w:link w:val="184"/>
    <w:qFormat/>
    <w:uiPriority w:val="0"/>
    <w:pPr>
      <w:tabs>
        <w:tab w:val="left" w:pos="2310"/>
        <w:tab w:val="left" w:pos="2730"/>
      </w:tabs>
      <w:outlineLvl w:val="9"/>
    </w:pPr>
    <w:rPr>
      <w:rFonts w:asciiTheme="minorHAnsi" w:hAnsiTheme="minorHAnsi" w:eastAsiaTheme="minorEastAsia" w:cstheme="minorBidi"/>
      <w:bCs w:val="0"/>
      <w:sz w:val="21"/>
      <w:szCs w:val="22"/>
    </w:rPr>
  </w:style>
  <w:style w:type="paragraph" w:customStyle="1" w:styleId="186">
    <w:name w:val="标题5"/>
    <w:basedOn w:val="9"/>
    <w:link w:val="187"/>
    <w:qFormat/>
    <w:uiPriority w:val="0"/>
    <w:pPr>
      <w:keepNext w:val="0"/>
      <w:keepLines w:val="0"/>
      <w:widowControl/>
      <w:numPr>
        <w:ilvl w:val="0"/>
        <w:numId w:val="0"/>
      </w:numPr>
      <w:tabs>
        <w:tab w:val="left" w:pos="2310"/>
      </w:tabs>
      <w:spacing w:before="240" w:after="60" w:line="240" w:lineRule="auto"/>
      <w:jc w:val="center"/>
    </w:pPr>
    <w:rPr>
      <w:rFonts w:eastAsia="黑体"/>
      <w:bCs/>
      <w:color w:val="auto"/>
      <w:sz w:val="24"/>
      <w:szCs w:val="32"/>
    </w:rPr>
  </w:style>
  <w:style w:type="character" w:customStyle="1" w:styleId="187">
    <w:name w:val="标题5 Char Char"/>
    <w:link w:val="186"/>
    <w:qFormat/>
    <w:uiPriority w:val="0"/>
    <w:rPr>
      <w:rFonts w:ascii="Arial" w:hAnsi="Arial" w:eastAsia="黑体" w:cs="Times New Roman"/>
      <w:bCs/>
      <w:sz w:val="24"/>
      <w:szCs w:val="32"/>
    </w:rPr>
  </w:style>
  <w:style w:type="character" w:customStyle="1" w:styleId="188">
    <w:name w:val="title24"/>
    <w:qFormat/>
    <w:uiPriority w:val="0"/>
  </w:style>
  <w:style w:type="character" w:customStyle="1" w:styleId="189">
    <w:name w:val="正文文本缩进 2 Char Char"/>
    <w:qFormat/>
    <w:uiPriority w:val="0"/>
    <w:rPr>
      <w:rFonts w:hint="default" w:ascii="Times New Roman" w:hAnsi="Times New Roman" w:cs="Times New Roman"/>
      <w:color w:val="000000"/>
      <w:sz w:val="24"/>
    </w:rPr>
  </w:style>
  <w:style w:type="character" w:customStyle="1" w:styleId="190">
    <w:name w:val="!我的正文 Ctr+Q Char Char"/>
    <w:link w:val="191"/>
    <w:qFormat/>
    <w:uiPriority w:val="0"/>
    <w:rPr>
      <w:rFonts w:ascii="Arial" w:hAnsi="Arial"/>
      <w:sz w:val="24"/>
      <w:szCs w:val="21"/>
    </w:rPr>
  </w:style>
  <w:style w:type="paragraph" w:customStyle="1" w:styleId="191">
    <w:name w:val="!我的正文 Ctr+Q"/>
    <w:basedOn w:val="1"/>
    <w:link w:val="190"/>
    <w:qFormat/>
    <w:uiPriority w:val="0"/>
    <w:pPr>
      <w:adjustRightInd w:val="0"/>
      <w:snapToGrid w:val="0"/>
      <w:spacing w:line="360" w:lineRule="auto"/>
      <w:ind w:firstLine="480" w:firstLineChars="200"/>
    </w:pPr>
    <w:rPr>
      <w:rFonts w:ascii="Arial" w:hAnsi="Arial" w:eastAsiaTheme="minorEastAsia" w:cstheme="minorBidi"/>
      <w:sz w:val="24"/>
      <w:szCs w:val="21"/>
    </w:rPr>
  </w:style>
  <w:style w:type="character" w:customStyle="1" w:styleId="192">
    <w:name w:val="rightspan"/>
    <w:qFormat/>
    <w:uiPriority w:val="0"/>
  </w:style>
  <w:style w:type="character" w:customStyle="1" w:styleId="193">
    <w:name w:val="WW8Num4z0"/>
    <w:qFormat/>
    <w:uiPriority w:val="0"/>
    <w:rPr>
      <w:rFonts w:hint="default" w:ascii="Courier New" w:hAnsi="Courier New" w:cs="Courier New"/>
      <w:sz w:val="22"/>
    </w:rPr>
  </w:style>
  <w:style w:type="character" w:customStyle="1" w:styleId="194">
    <w:name w:val="样式 正文缩进正文（首行缩进两字）特点ALT+Z表正文正文非缩进四号段1Normal Indent Char2... Char Char"/>
    <w:qFormat/>
    <w:uiPriority w:val="0"/>
    <w:rPr>
      <w:rFonts w:hint="eastAsia" w:ascii="宋体" w:hAnsi="宋体" w:eastAsia="黑体"/>
      <w:b/>
      <w:sz w:val="32"/>
      <w:lang w:val="en-US" w:eastAsia="zh-CN"/>
    </w:rPr>
  </w:style>
  <w:style w:type="character" w:customStyle="1" w:styleId="195">
    <w:name w:val="Char Char15"/>
    <w:qFormat/>
    <w:uiPriority w:val="0"/>
  </w:style>
  <w:style w:type="character" w:customStyle="1" w:styleId="196">
    <w:name w:val="引用 字符1"/>
    <w:link w:val="197"/>
    <w:qFormat/>
    <w:uiPriority w:val="0"/>
    <w:rPr>
      <w:i/>
      <w:sz w:val="24"/>
    </w:rPr>
  </w:style>
  <w:style w:type="paragraph" w:styleId="197">
    <w:name w:val="Quote"/>
    <w:basedOn w:val="1"/>
    <w:link w:val="196"/>
    <w:qFormat/>
    <w:uiPriority w:val="0"/>
    <w:rPr>
      <w:rFonts w:asciiTheme="minorHAnsi" w:hAnsiTheme="minorHAnsi" w:eastAsiaTheme="minorEastAsia" w:cstheme="minorBidi"/>
      <w:i/>
      <w:sz w:val="24"/>
    </w:rPr>
  </w:style>
  <w:style w:type="character" w:customStyle="1" w:styleId="198">
    <w:name w:val="引用 字符"/>
    <w:basedOn w:val="51"/>
    <w:qFormat/>
    <w:uiPriority w:val="0"/>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199">
    <w:name w:val="标题 Char3"/>
    <w:qFormat/>
    <w:uiPriority w:val="0"/>
    <w:rPr>
      <w:rFonts w:hint="default" w:ascii="Cambria" w:hAnsi="Cambria" w:cs="Times New Roman"/>
      <w:b/>
      <w:bCs/>
      <w:kern w:val="2"/>
      <w:sz w:val="32"/>
      <w:szCs w:val="32"/>
    </w:rPr>
  </w:style>
  <w:style w:type="character" w:customStyle="1" w:styleId="200">
    <w:name w:val="明显引用 字符1"/>
    <w:link w:val="201"/>
    <w:qFormat/>
    <w:uiPriority w:val="0"/>
    <w:rPr>
      <w:b/>
      <w:i/>
      <w:sz w:val="24"/>
    </w:rPr>
  </w:style>
  <w:style w:type="paragraph" w:styleId="201">
    <w:name w:val="Intense Quote"/>
    <w:basedOn w:val="1"/>
    <w:link w:val="200"/>
    <w:qFormat/>
    <w:uiPriority w:val="0"/>
    <w:rPr>
      <w:rFonts w:asciiTheme="minorHAnsi" w:hAnsiTheme="minorHAnsi" w:eastAsiaTheme="minorEastAsia" w:cstheme="minorBidi"/>
      <w:b/>
      <w:i/>
      <w:sz w:val="24"/>
    </w:rPr>
  </w:style>
  <w:style w:type="character" w:customStyle="1" w:styleId="202">
    <w:name w:val="明显引用 字符"/>
    <w:basedOn w:val="51"/>
    <w:qFormat/>
    <w:uiPriority w:val="30"/>
    <w:rPr>
      <w:rFonts w:ascii="Calibri" w:hAnsi="Calibri" w:eastAsia="宋体" w:cs="Times New Roman"/>
      <w:i/>
      <w:iCs/>
      <w:color w:val="5B9BD5" w:themeColor="accent1"/>
      <w14:textFill>
        <w14:solidFill>
          <w14:schemeClr w14:val="accent1"/>
        </w14:solidFill>
      </w14:textFill>
    </w:rPr>
  </w:style>
  <w:style w:type="character" w:customStyle="1" w:styleId="203">
    <w:name w:val="Char Char4"/>
    <w:link w:val="115"/>
    <w:qFormat/>
    <w:uiPriority w:val="0"/>
    <w:rPr>
      <w:rFonts w:ascii="Tahoma" w:hAnsi="Tahoma" w:eastAsia="宋体" w:cs="Times New Roman"/>
      <w:sz w:val="24"/>
      <w:szCs w:val="20"/>
    </w:rPr>
  </w:style>
  <w:style w:type="character" w:customStyle="1" w:styleId="204">
    <w:name w:val="Char Char8"/>
    <w:qFormat/>
    <w:uiPriority w:val="0"/>
    <w:rPr>
      <w:rFonts w:hint="default" w:ascii="Arial" w:hAnsi="Arial" w:eastAsia="黑体" w:cs="Arial"/>
      <w:b/>
      <w:bCs/>
      <w:kern w:val="2"/>
      <w:sz w:val="32"/>
      <w:szCs w:val="32"/>
      <w:lang w:val="en-US" w:eastAsia="zh-CN" w:bidi="ar-SA"/>
    </w:rPr>
  </w:style>
  <w:style w:type="character" w:customStyle="1" w:styleId="205">
    <w:name w:val="明显引用 Char2"/>
    <w:qFormat/>
    <w:uiPriority w:val="99"/>
    <w:rPr>
      <w:b/>
      <w:bCs/>
      <w:i/>
      <w:iCs/>
      <w:color w:val="4F81BD"/>
      <w:kern w:val="2"/>
      <w:sz w:val="21"/>
      <w:szCs w:val="22"/>
    </w:rPr>
  </w:style>
  <w:style w:type="character" w:customStyle="1" w:styleId="206">
    <w:name w:val="副标题 Char1"/>
    <w:qFormat/>
    <w:uiPriority w:val="0"/>
    <w:rPr>
      <w:rFonts w:hint="default" w:ascii="Cambria" w:hAnsi="Cambria" w:cs="Times New Roman"/>
      <w:b/>
      <w:bCs/>
      <w:kern w:val="28"/>
      <w:sz w:val="32"/>
      <w:szCs w:val="32"/>
    </w:rPr>
  </w:style>
  <w:style w:type="character" w:customStyle="1" w:styleId="207">
    <w:name w:val="正文文本 3 Char1"/>
    <w:semiHidden/>
    <w:qFormat/>
    <w:uiPriority w:val="99"/>
    <w:rPr>
      <w:kern w:val="2"/>
      <w:sz w:val="16"/>
      <w:szCs w:val="16"/>
    </w:rPr>
  </w:style>
  <w:style w:type="character" w:customStyle="1" w:styleId="208">
    <w:name w:val="font31"/>
    <w:qFormat/>
    <w:uiPriority w:val="0"/>
    <w:rPr>
      <w:rFonts w:hint="eastAsia" w:ascii="宋体" w:hAnsi="宋体" w:eastAsia="宋体"/>
      <w:color w:val="000000"/>
      <w:sz w:val="24"/>
      <w:szCs w:val="24"/>
      <w:u w:val="single"/>
    </w:rPr>
  </w:style>
  <w:style w:type="character" w:customStyle="1" w:styleId="209">
    <w:name w:val="标题6 Char Char"/>
    <w:link w:val="210"/>
    <w:qFormat/>
    <w:uiPriority w:val="0"/>
    <w:rPr>
      <w:rFonts w:ascii="宋体" w:hAnsi="宋体" w:eastAsia="黑体"/>
      <w:sz w:val="32"/>
      <w:szCs w:val="32"/>
    </w:rPr>
  </w:style>
  <w:style w:type="paragraph" w:customStyle="1" w:styleId="210">
    <w:name w:val="标题6"/>
    <w:basedOn w:val="1"/>
    <w:link w:val="209"/>
    <w:qFormat/>
    <w:uiPriority w:val="0"/>
    <w:pPr>
      <w:keepNext/>
      <w:keepLines/>
      <w:spacing w:line="400" w:lineRule="exact"/>
      <w:jc w:val="center"/>
      <w:outlineLvl w:val="2"/>
    </w:pPr>
    <w:rPr>
      <w:rFonts w:ascii="宋体" w:hAnsi="宋体" w:eastAsia="黑体" w:cstheme="minorBidi"/>
      <w:sz w:val="32"/>
      <w:szCs w:val="32"/>
    </w:rPr>
  </w:style>
  <w:style w:type="character" w:customStyle="1" w:styleId="211">
    <w:name w:val="纯文本 Char Char"/>
    <w:qFormat/>
    <w:uiPriority w:val="0"/>
    <w:rPr>
      <w:rFonts w:ascii="宋体" w:hAnsi="Courier New"/>
      <w:kern w:val="2"/>
      <w:sz w:val="24"/>
    </w:rPr>
  </w:style>
  <w:style w:type="character" w:customStyle="1" w:styleId="212">
    <w:name w:val="正文缩进2格 Char Char"/>
    <w:link w:val="213"/>
    <w:qFormat/>
    <w:uiPriority w:val="0"/>
    <w:rPr>
      <w:rFonts w:ascii="仿宋_GB2312" w:hAnsi="宋体" w:eastAsia="仿宋_GB2312"/>
      <w:sz w:val="31"/>
      <w:szCs w:val="31"/>
    </w:rPr>
  </w:style>
  <w:style w:type="paragraph" w:customStyle="1" w:styleId="213">
    <w:name w:val="正文缩进2格"/>
    <w:basedOn w:val="1"/>
    <w:link w:val="212"/>
    <w:qFormat/>
    <w:uiPriority w:val="0"/>
    <w:pPr>
      <w:widowControl/>
      <w:spacing w:line="600" w:lineRule="exact"/>
      <w:ind w:firstLine="639" w:firstLineChars="206"/>
      <w:jc w:val="left"/>
    </w:pPr>
    <w:rPr>
      <w:rFonts w:ascii="仿宋_GB2312" w:hAnsi="宋体" w:eastAsia="仿宋_GB2312" w:cstheme="minorBidi"/>
      <w:sz w:val="31"/>
      <w:szCs w:val="31"/>
    </w:rPr>
  </w:style>
  <w:style w:type="character" w:customStyle="1" w:styleId="214">
    <w:name w:val="文一 Char"/>
    <w:qFormat/>
    <w:uiPriority w:val="0"/>
    <w:rPr>
      <w:spacing w:val="4"/>
      <w:sz w:val="24"/>
      <w:szCs w:val="24"/>
    </w:rPr>
  </w:style>
  <w:style w:type="character" w:customStyle="1" w:styleId="215">
    <w:name w:val="msosubtlereference"/>
    <w:qFormat/>
    <w:uiPriority w:val="0"/>
    <w:rPr>
      <w:sz w:val="30"/>
      <w:szCs w:val="24"/>
      <w:u w:val="none"/>
    </w:rPr>
  </w:style>
  <w:style w:type="character" w:customStyle="1" w:styleId="216">
    <w:name w:val="默认段落字体1"/>
    <w:qFormat/>
    <w:uiPriority w:val="0"/>
  </w:style>
  <w:style w:type="character" w:customStyle="1" w:styleId="217">
    <w:name w:val="页眉 Char Char"/>
    <w:qFormat/>
    <w:uiPriority w:val="0"/>
    <w:rPr>
      <w:sz w:val="18"/>
      <w:szCs w:val="18"/>
    </w:rPr>
  </w:style>
  <w:style w:type="character" w:customStyle="1" w:styleId="218">
    <w:name w:val="引用 Char2"/>
    <w:qFormat/>
    <w:uiPriority w:val="99"/>
    <w:rPr>
      <w:i/>
      <w:iCs/>
      <w:color w:val="000000"/>
      <w:kern w:val="2"/>
      <w:sz w:val="21"/>
      <w:szCs w:val="22"/>
    </w:rPr>
  </w:style>
  <w:style w:type="character" w:customStyle="1" w:styleId="219">
    <w:name w:val="样式 标题 3h3section:3Level 3 HeadH3level_3PIM 33rd level3H... Char Char"/>
    <w:link w:val="220"/>
    <w:qFormat/>
    <w:uiPriority w:val="0"/>
    <w:rPr>
      <w:rFonts w:ascii="Arial" w:hAnsi="Arial"/>
      <w:b/>
      <w:sz w:val="24"/>
      <w:szCs w:val="28"/>
    </w:rPr>
  </w:style>
  <w:style w:type="paragraph" w:customStyle="1" w:styleId="220">
    <w:name w:val="样式 标题 3h3section:3Level 3 HeadH3level_3PIM 33rd level3H..."/>
    <w:basedOn w:val="6"/>
    <w:link w:val="219"/>
    <w:qFormat/>
    <w:uiPriority w:val="0"/>
    <w:pPr>
      <w:keepNext/>
      <w:tabs>
        <w:tab w:val="left" w:pos="1680"/>
        <w:tab w:val="left" w:pos="2310"/>
      </w:tabs>
      <w:adjustRightInd w:val="0"/>
      <w:spacing w:before="240" w:after="60" w:line="416" w:lineRule="atLeast"/>
      <w:ind w:left="2310" w:hanging="420"/>
    </w:pPr>
    <w:rPr>
      <w:rFonts w:ascii="Arial" w:hAnsi="Arial" w:eastAsiaTheme="minorEastAsia" w:cstheme="minorBidi"/>
      <w:b/>
      <w:kern w:val="2"/>
      <w:szCs w:val="28"/>
    </w:rPr>
  </w:style>
  <w:style w:type="character" w:customStyle="1" w:styleId="221">
    <w:name w:val="正文文本 (3)_"/>
    <w:link w:val="222"/>
    <w:qFormat/>
    <w:uiPriority w:val="0"/>
    <w:rPr>
      <w:rFonts w:ascii="Arial Unicode MS" w:hAnsi="Arial Unicode MS" w:eastAsia="Arial Unicode MS"/>
      <w:spacing w:val="10"/>
      <w:sz w:val="17"/>
      <w:szCs w:val="17"/>
      <w:shd w:val="clear" w:color="auto" w:fill="FFFFFF"/>
    </w:rPr>
  </w:style>
  <w:style w:type="paragraph" w:customStyle="1" w:styleId="222">
    <w:name w:val="正文文本 (3)"/>
    <w:basedOn w:val="1"/>
    <w:link w:val="221"/>
    <w:qFormat/>
    <w:uiPriority w:val="0"/>
    <w:pPr>
      <w:shd w:val="clear" w:color="auto" w:fill="FFFFFF"/>
      <w:spacing w:after="60" w:line="0" w:lineRule="atLeast"/>
      <w:ind w:hanging="940"/>
      <w:jc w:val="left"/>
    </w:pPr>
    <w:rPr>
      <w:rFonts w:ascii="Arial Unicode MS" w:hAnsi="Arial Unicode MS" w:eastAsia="Arial Unicode MS" w:cstheme="minorBidi"/>
      <w:spacing w:val="10"/>
      <w:sz w:val="17"/>
      <w:szCs w:val="17"/>
      <w:shd w:val="clear" w:color="auto" w:fill="FFFFFF"/>
    </w:rPr>
  </w:style>
  <w:style w:type="character" w:customStyle="1" w:styleId="223">
    <w:name w:val="Char Char Char"/>
    <w:qFormat/>
    <w:uiPriority w:val="0"/>
    <w:rPr>
      <w:rFonts w:hint="eastAsia" w:ascii="楷体_GB2312" w:eastAsia="楷体_GB2312"/>
      <w:b/>
      <w:kern w:val="2"/>
      <w:sz w:val="21"/>
    </w:rPr>
  </w:style>
  <w:style w:type="character" w:customStyle="1" w:styleId="224">
    <w:name w:val="标题 2 Char1"/>
    <w:qFormat/>
    <w:uiPriority w:val="0"/>
    <w:rPr>
      <w:rFonts w:hint="default" w:ascii="Arial" w:hAnsi="Arial" w:eastAsia="黑体" w:cs="Arial"/>
      <w:b/>
      <w:bCs/>
      <w:sz w:val="32"/>
      <w:szCs w:val="32"/>
    </w:rPr>
  </w:style>
  <w:style w:type="character" w:customStyle="1" w:styleId="225">
    <w:name w:val="正文文本 Char1"/>
    <w:qFormat/>
    <w:uiPriority w:val="0"/>
    <w:rPr>
      <w:rFonts w:hint="eastAsia" w:ascii="仿宋_GB2312" w:eastAsia="宋体"/>
      <w:kern w:val="2"/>
      <w:sz w:val="21"/>
      <w:szCs w:val="32"/>
      <w:lang w:val="en-US" w:eastAsia="zh-CN" w:bidi="ar-SA"/>
    </w:rPr>
  </w:style>
  <w:style w:type="character" w:customStyle="1" w:styleId="226">
    <w:name w:val="正文文本_"/>
    <w:link w:val="227"/>
    <w:qFormat/>
    <w:uiPriority w:val="0"/>
    <w:rPr>
      <w:rFonts w:ascii="MingLiU" w:hAnsi="MingLiU" w:eastAsia="MingLiU"/>
      <w:spacing w:val="20"/>
      <w:shd w:val="clear" w:color="auto" w:fill="FFFFFF"/>
    </w:rPr>
  </w:style>
  <w:style w:type="paragraph" w:customStyle="1" w:styleId="227">
    <w:name w:val="正文文本1"/>
    <w:basedOn w:val="1"/>
    <w:link w:val="226"/>
    <w:qFormat/>
    <w:uiPriority w:val="0"/>
    <w:pPr>
      <w:shd w:val="clear" w:color="auto" w:fill="FFFFFF"/>
      <w:spacing w:before="300" w:line="0" w:lineRule="atLeast"/>
      <w:ind w:hanging="580"/>
      <w:jc w:val="left"/>
    </w:pPr>
    <w:rPr>
      <w:rFonts w:ascii="MingLiU" w:hAnsi="MingLiU" w:eastAsia="MingLiU" w:cstheme="minorBidi"/>
      <w:spacing w:val="20"/>
      <w:shd w:val="clear" w:color="auto" w:fill="FFFFFF"/>
    </w:rPr>
  </w:style>
  <w:style w:type="character" w:customStyle="1" w:styleId="228">
    <w:name w:val="Char Char24"/>
    <w:qFormat/>
    <w:uiPriority w:val="0"/>
    <w:rPr>
      <w:rFonts w:hint="default" w:ascii="Arial" w:hAnsi="Arial" w:cs="Times New Roman"/>
      <w:b/>
      <w:color w:val="000000"/>
      <w:kern w:val="2"/>
      <w:sz w:val="24"/>
      <w:szCs w:val="24"/>
    </w:rPr>
  </w:style>
  <w:style w:type="character" w:customStyle="1" w:styleId="229">
    <w:name w:val="普通文字 Char Char"/>
    <w:qFormat/>
    <w:uiPriority w:val="0"/>
    <w:rPr>
      <w:rFonts w:hint="default" w:ascii="Courier New" w:hAnsi="Courier New" w:eastAsia="宋体" w:cs="Proxy 9"/>
      <w:kern w:val="2"/>
      <w:sz w:val="21"/>
      <w:lang w:val="en-US" w:eastAsia="zh-CN" w:bidi="ar-SA"/>
    </w:rPr>
  </w:style>
  <w:style w:type="character" w:customStyle="1" w:styleId="230">
    <w:name w:val="标题 3 Char Char"/>
    <w:qFormat/>
    <w:uiPriority w:val="0"/>
    <w:rPr>
      <w:rFonts w:ascii="宋体" w:hAnsi="宋体" w:eastAsia="宋体"/>
      <w:b/>
      <w:bCs/>
      <w:color w:val="FF0000"/>
      <w:kern w:val="2"/>
      <w:sz w:val="24"/>
      <w:szCs w:val="24"/>
      <w:lang w:val="zh-CN" w:eastAsia="zh-CN" w:bidi="ar-SA"/>
    </w:rPr>
  </w:style>
  <w:style w:type="character" w:customStyle="1" w:styleId="231">
    <w:name w:val="Char Char11"/>
    <w:qFormat/>
    <w:uiPriority w:val="0"/>
    <w:rPr>
      <w:rFonts w:hint="default" w:ascii="Cambria" w:hAnsi="Cambria" w:eastAsia="宋体"/>
      <w:b/>
      <w:bCs/>
      <w:kern w:val="32"/>
      <w:sz w:val="32"/>
      <w:szCs w:val="32"/>
    </w:rPr>
  </w:style>
  <w:style w:type="character" w:customStyle="1" w:styleId="232">
    <w:name w:val="WW8Num1z0"/>
    <w:qFormat/>
    <w:uiPriority w:val="0"/>
    <w:rPr>
      <w:sz w:val="24"/>
    </w:rPr>
  </w:style>
  <w:style w:type="character" w:customStyle="1" w:styleId="233">
    <w:name w:val="font21"/>
    <w:qFormat/>
    <w:uiPriority w:val="0"/>
    <w:rPr>
      <w:rFonts w:hint="eastAsia" w:ascii="宋体" w:hAnsi="宋体" w:eastAsia="宋体"/>
      <w:color w:val="000000"/>
      <w:sz w:val="24"/>
      <w:szCs w:val="24"/>
      <w:u w:val="none"/>
    </w:rPr>
  </w:style>
  <w:style w:type="character" w:customStyle="1" w:styleId="234">
    <w:name w:val="textcontents"/>
    <w:qFormat/>
    <w:uiPriority w:val="0"/>
  </w:style>
  <w:style w:type="character" w:customStyle="1" w:styleId="235">
    <w:name w:val="font11"/>
    <w:qFormat/>
    <w:uiPriority w:val="0"/>
    <w:rPr>
      <w:rFonts w:hint="eastAsia" w:ascii="宋体" w:hAnsi="宋体" w:eastAsia="宋体"/>
      <w:color w:val="000000"/>
      <w:sz w:val="24"/>
      <w:szCs w:val="24"/>
      <w:u w:val="single"/>
    </w:rPr>
  </w:style>
  <w:style w:type="character" w:customStyle="1" w:styleId="236">
    <w:name w:val="style6"/>
    <w:qFormat/>
    <w:uiPriority w:val="0"/>
  </w:style>
  <w:style w:type="character" w:customStyle="1" w:styleId="237">
    <w:name w:val="Endnote Text Char"/>
    <w:qFormat/>
    <w:uiPriority w:val="0"/>
    <w:rPr>
      <w:rFonts w:hint="default" w:ascii="Times New Roman" w:hAnsi="Times New Roman" w:cs="Times New Roman"/>
      <w:kern w:val="2"/>
      <w:sz w:val="21"/>
    </w:rPr>
  </w:style>
  <w:style w:type="character" w:customStyle="1" w:styleId="238">
    <w:name w:val="Variable"/>
    <w:qFormat/>
    <w:uiPriority w:val="0"/>
    <w:rPr>
      <w:i/>
    </w:rPr>
  </w:style>
  <w:style w:type="character" w:customStyle="1" w:styleId="239">
    <w:name w:val="Char Char2"/>
    <w:qFormat/>
    <w:uiPriority w:val="0"/>
    <w:rPr>
      <w:rFonts w:hint="eastAsia" w:ascii="宋体" w:hAnsi="宋体" w:eastAsia="宋体"/>
      <w:kern w:val="2"/>
      <w:sz w:val="21"/>
      <w:szCs w:val="24"/>
      <w:lang w:val="en-US" w:eastAsia="zh-CN" w:bidi="ar-SA"/>
    </w:rPr>
  </w:style>
  <w:style w:type="character" w:customStyle="1" w:styleId="240">
    <w:name w:val="标题 1 Char_0"/>
    <w:qFormat/>
    <w:uiPriority w:val="0"/>
    <w:rPr>
      <w:rFonts w:ascii="仿宋_GB2312" w:hAnsi="宋体" w:eastAsia="仿宋_GB2312" w:cs="宋体"/>
      <w:b/>
      <w:bCs/>
      <w:kern w:val="2"/>
      <w:sz w:val="30"/>
      <w:szCs w:val="30"/>
      <w:lang w:val="en-US" w:eastAsia="zh-CN" w:bidi="ar-SA"/>
    </w:rPr>
  </w:style>
  <w:style w:type="character" w:customStyle="1" w:styleId="241">
    <w:name w:val="批注主题 Char Char"/>
    <w:qFormat/>
    <w:uiPriority w:val="0"/>
    <w:rPr>
      <w:rFonts w:hint="default" w:ascii="Times New Roman" w:hAnsi="Times New Roman" w:cs="Times New Roman"/>
      <w:b/>
      <w:bCs/>
      <w:kern w:val="2"/>
      <w:sz w:val="21"/>
      <w:szCs w:val="24"/>
    </w:rPr>
  </w:style>
  <w:style w:type="character" w:customStyle="1" w:styleId="242">
    <w:name w:val="标题 Char Char Char"/>
    <w:qFormat/>
    <w:uiPriority w:val="0"/>
    <w:rPr>
      <w:rFonts w:hint="default" w:ascii="Arial" w:hAnsi="Arial" w:cs="Arial"/>
      <w:b/>
      <w:sz w:val="32"/>
    </w:rPr>
  </w:style>
  <w:style w:type="character" w:customStyle="1" w:styleId="243">
    <w:name w:val="纯文本 Char1"/>
    <w:qFormat/>
    <w:uiPriority w:val="0"/>
    <w:rPr>
      <w:rFonts w:ascii="宋体" w:hAnsi="Courier New" w:eastAsia="宋体"/>
      <w:kern w:val="2"/>
      <w:sz w:val="21"/>
      <w:lang w:bidi="ar-SA"/>
    </w:rPr>
  </w:style>
  <w:style w:type="character" w:customStyle="1" w:styleId="244">
    <w:name w:val="font51"/>
    <w:qFormat/>
    <w:uiPriority w:val="0"/>
    <w:rPr>
      <w:rFonts w:hint="eastAsia" w:ascii="宋体" w:hAnsi="宋体" w:eastAsia="宋体"/>
      <w:color w:val="000000"/>
      <w:sz w:val="24"/>
      <w:szCs w:val="24"/>
      <w:u w:val="none"/>
    </w:rPr>
  </w:style>
  <w:style w:type="character" w:customStyle="1" w:styleId="245">
    <w:name w:val="WW8Num8z0"/>
    <w:qFormat/>
    <w:uiPriority w:val="0"/>
    <w:rPr>
      <w:sz w:val="24"/>
    </w:rPr>
  </w:style>
  <w:style w:type="character" w:customStyle="1" w:styleId="246">
    <w:name w:val="尾注文本 Char Char Char"/>
    <w:qFormat/>
    <w:uiPriority w:val="0"/>
    <w:rPr>
      <w:kern w:val="2"/>
      <w:sz w:val="21"/>
      <w:szCs w:val="24"/>
    </w:rPr>
  </w:style>
  <w:style w:type="character" w:customStyle="1" w:styleId="247">
    <w:name w:val="WW8Num15z1"/>
    <w:qFormat/>
    <w:uiPriority w:val="0"/>
    <w:rPr>
      <w:rFonts w:hint="default" w:ascii="Times New Roman" w:hAnsi="Times New Roman" w:cs="Times New Roman"/>
      <w:color w:val="auto"/>
    </w:rPr>
  </w:style>
  <w:style w:type="character" w:customStyle="1" w:styleId="248">
    <w:name w:val="msobooktitle"/>
    <w:qFormat/>
    <w:uiPriority w:val="0"/>
    <w:rPr>
      <w:rFonts w:hint="default" w:ascii="Cambria" w:hAnsi="Cambria" w:eastAsia="宋体"/>
      <w:b/>
      <w:i/>
      <w:sz w:val="24"/>
      <w:szCs w:val="24"/>
    </w:rPr>
  </w:style>
  <w:style w:type="character" w:customStyle="1" w:styleId="249">
    <w:name w:val="页码1"/>
    <w:qFormat/>
    <w:uiPriority w:val="0"/>
  </w:style>
  <w:style w:type="character" w:customStyle="1" w:styleId="250">
    <w:name w:val="WW8Num3z0"/>
    <w:qFormat/>
    <w:uiPriority w:val="0"/>
    <w:rPr>
      <w:sz w:val="24"/>
      <w:szCs w:val="24"/>
    </w:rPr>
  </w:style>
  <w:style w:type="character" w:customStyle="1" w:styleId="251">
    <w:name w:val="font7"/>
    <w:qFormat/>
    <w:uiPriority w:val="0"/>
  </w:style>
  <w:style w:type="character" w:customStyle="1" w:styleId="252">
    <w:name w:val="font161"/>
    <w:qFormat/>
    <w:uiPriority w:val="0"/>
    <w:rPr>
      <w:b/>
      <w:bCs/>
      <w:sz w:val="32"/>
      <w:szCs w:val="32"/>
    </w:rPr>
  </w:style>
  <w:style w:type="character" w:customStyle="1" w:styleId="253">
    <w:name w:val="日期 Char Char"/>
    <w:qFormat/>
    <w:uiPriority w:val="0"/>
    <w:rPr>
      <w:kern w:val="2"/>
      <w:sz w:val="24"/>
    </w:rPr>
  </w:style>
  <w:style w:type="character" w:customStyle="1" w:styleId="254">
    <w:name w:val="标提1 Char Char"/>
    <w:link w:val="255"/>
    <w:qFormat/>
    <w:uiPriority w:val="0"/>
    <w:rPr>
      <w:rFonts w:ascii="黑体" w:hAnsi="黑体" w:eastAsia="黑体"/>
      <w:b/>
      <w:kern w:val="44"/>
      <w:sz w:val="24"/>
      <w:szCs w:val="24"/>
    </w:rPr>
  </w:style>
  <w:style w:type="paragraph" w:customStyle="1" w:styleId="255">
    <w:name w:val="标提1"/>
    <w:basedOn w:val="3"/>
    <w:next w:val="1"/>
    <w:link w:val="254"/>
    <w:qFormat/>
    <w:uiPriority w:val="0"/>
    <w:pPr>
      <w:spacing w:before="0" w:after="0" w:line="240" w:lineRule="auto"/>
      <w:jc w:val="both"/>
    </w:pPr>
    <w:rPr>
      <w:rFonts w:ascii="黑体" w:hAnsi="黑体" w:eastAsia="黑体" w:cstheme="minorBidi"/>
      <w:sz w:val="24"/>
      <w:szCs w:val="24"/>
    </w:rPr>
  </w:style>
  <w:style w:type="character" w:customStyle="1" w:styleId="256">
    <w:name w:val="标题 Char Char"/>
    <w:qFormat/>
    <w:uiPriority w:val="0"/>
    <w:rPr>
      <w:rFonts w:hint="default" w:ascii="Arial" w:hAnsi="Arial" w:eastAsia="楷体_GB2312" w:cs="Arial"/>
      <w:b/>
      <w:kern w:val="2"/>
      <w:sz w:val="44"/>
      <w:szCs w:val="24"/>
      <w:lang w:val="en-US" w:eastAsia="zh-CN" w:bidi="ar-SA"/>
    </w:rPr>
  </w:style>
  <w:style w:type="character" w:customStyle="1" w:styleId="257">
    <w:name w:val="标题 Char1"/>
    <w:qFormat/>
    <w:uiPriority w:val="0"/>
    <w:rPr>
      <w:rFonts w:hint="default" w:ascii="Arial" w:hAnsi="Arial" w:cs="Arial"/>
      <w:b/>
      <w:sz w:val="44"/>
    </w:rPr>
  </w:style>
  <w:style w:type="character" w:customStyle="1" w:styleId="258">
    <w:name w:val="msointenseemphasis"/>
    <w:qFormat/>
    <w:uiPriority w:val="0"/>
    <w:rPr>
      <w:b/>
      <w:i/>
      <w:sz w:val="24"/>
      <w:szCs w:val="24"/>
      <w:u w:val="single"/>
    </w:rPr>
  </w:style>
  <w:style w:type="character" w:customStyle="1" w:styleId="259">
    <w:name w:val="无间隔 字符"/>
    <w:link w:val="260"/>
    <w:qFormat/>
    <w:uiPriority w:val="0"/>
    <w:rPr>
      <w:sz w:val="22"/>
    </w:rPr>
  </w:style>
  <w:style w:type="paragraph" w:styleId="260">
    <w:name w:val="No Spacing"/>
    <w:basedOn w:val="1"/>
    <w:link w:val="259"/>
    <w:qFormat/>
    <w:uiPriority w:val="0"/>
    <w:rPr>
      <w:rFonts w:asciiTheme="minorHAnsi" w:hAnsiTheme="minorHAnsi" w:eastAsiaTheme="minorEastAsia" w:cstheme="minorBidi"/>
      <w:sz w:val="22"/>
    </w:rPr>
  </w:style>
  <w:style w:type="character" w:customStyle="1" w:styleId="261">
    <w:name w:val="标题 1 Char Char"/>
    <w:qFormat/>
    <w:uiPriority w:val="0"/>
    <w:rPr>
      <w:rFonts w:hint="eastAsia" w:ascii="仿宋_GB2312" w:eastAsia="仿宋_GB2312"/>
      <w:b/>
      <w:bCs/>
      <w:kern w:val="44"/>
      <w:sz w:val="44"/>
      <w:szCs w:val="44"/>
    </w:rPr>
  </w:style>
  <w:style w:type="character" w:customStyle="1" w:styleId="262">
    <w:name w:val="列出段落 Char"/>
    <w:link w:val="263"/>
    <w:qFormat/>
    <w:uiPriority w:val="0"/>
  </w:style>
  <w:style w:type="paragraph" w:customStyle="1" w:styleId="263">
    <w:name w:val="列出段落1"/>
    <w:basedOn w:val="1"/>
    <w:link w:val="262"/>
    <w:qFormat/>
    <w:uiPriority w:val="0"/>
    <w:pPr>
      <w:ind w:firstLine="420" w:firstLineChars="200"/>
    </w:pPr>
    <w:rPr>
      <w:rFonts w:asciiTheme="minorHAnsi" w:hAnsiTheme="minorHAnsi" w:eastAsiaTheme="minorEastAsia" w:cstheme="minorBidi"/>
    </w:rPr>
  </w:style>
  <w:style w:type="character" w:customStyle="1" w:styleId="264">
    <w:name w:val="Char Char25"/>
    <w:qFormat/>
    <w:uiPriority w:val="0"/>
    <w:rPr>
      <w:rFonts w:hint="default" w:ascii="Arial" w:hAnsi="Arial" w:cs="Arial"/>
      <w:b/>
      <w:bCs/>
      <w:color w:val="000000"/>
      <w:kern w:val="44"/>
      <w:sz w:val="30"/>
      <w:szCs w:val="30"/>
    </w:rPr>
  </w:style>
  <w:style w:type="paragraph" w:customStyle="1" w:styleId="265">
    <w:name w:val="样式 正文缩进正文（首行缩进两字）特点ALT+Z表正文正文非缩进四号段1Normal Indent Char2..."/>
    <w:basedOn w:val="5"/>
    <w:next w:val="6"/>
    <w:qFormat/>
    <w:uiPriority w:val="0"/>
    <w:pPr>
      <w:tabs>
        <w:tab w:val="left" w:pos="840"/>
      </w:tabs>
      <w:spacing w:before="240" w:line="400" w:lineRule="exact"/>
      <w:ind w:left="840" w:hanging="420"/>
    </w:pPr>
    <w:rPr>
      <w:rFonts w:hint="eastAsia" w:ascii="宋体" w:hAnsi="宋体" w:eastAsia="黑体"/>
      <w:b w:val="0"/>
      <w:color w:val="auto"/>
      <w:kern w:val="0"/>
      <w:szCs w:val="20"/>
    </w:rPr>
  </w:style>
  <w:style w:type="paragraph" w:customStyle="1" w:styleId="266">
    <w:name w:val="ÕýÎÄ"/>
    <w:qFormat/>
    <w:uiPriority w:val="0"/>
    <w:pPr>
      <w:widowControl w:val="0"/>
      <w:overflowPunct w:val="0"/>
      <w:autoSpaceDE w:val="0"/>
      <w:autoSpaceDN w:val="0"/>
      <w:adjustRightInd w:val="0"/>
      <w:spacing w:line="357" w:lineRule="atLeast"/>
      <w:jc w:val="both"/>
    </w:pPr>
    <w:rPr>
      <w:rFonts w:ascii="Times New Roman" w:hAnsi="Times New Roman" w:eastAsia="宋体" w:cs="Times New Roman"/>
      <w:color w:val="000000"/>
      <w:sz w:val="21"/>
      <w:lang w:val="en-US" w:eastAsia="zh-CN" w:bidi="ar-SA"/>
    </w:rPr>
  </w:style>
  <w:style w:type="paragraph" w:customStyle="1" w:styleId="267">
    <w:name w:val="样式 正文缩进正文（首行缩进两字）特点ALT+Z表正文正文非缩进四号段1Normal Indent Char2...4"/>
    <w:basedOn w:val="21"/>
    <w:qFormat/>
    <w:uiPriority w:val="0"/>
    <w:pPr>
      <w:tabs>
        <w:tab w:val="left" w:pos="510"/>
        <w:tab w:val="left" w:pos="2520"/>
      </w:tabs>
      <w:spacing w:line="300" w:lineRule="auto"/>
      <w:ind w:left="2520" w:hanging="420"/>
    </w:pPr>
    <w:rPr>
      <w:rFonts w:ascii="Calibri" w:hAnsi="宋体"/>
      <w:kern w:val="0"/>
      <w:sz w:val="24"/>
      <w:szCs w:val="22"/>
    </w:rPr>
  </w:style>
  <w:style w:type="paragraph" w:customStyle="1" w:styleId="268">
    <w:name w:val="纯文本1"/>
    <w:basedOn w:val="1"/>
    <w:qFormat/>
    <w:uiPriority w:val="0"/>
    <w:pPr>
      <w:suppressAutoHyphens/>
    </w:pPr>
    <w:rPr>
      <w:rFonts w:ascii="宋体" w:hAnsi="宋体"/>
      <w:szCs w:val="20"/>
      <w:lang w:eastAsia="ar-SA"/>
    </w:rPr>
  </w:style>
  <w:style w:type="paragraph" w:customStyle="1" w:styleId="269">
    <w:name w:val="目录 1_0"/>
    <w:basedOn w:val="270"/>
    <w:next w:val="270"/>
    <w:qFormat/>
    <w:uiPriority w:val="0"/>
    <w:pPr>
      <w:tabs>
        <w:tab w:val="right" w:leader="dot" w:pos="8493"/>
      </w:tabs>
      <w:adjustRightInd w:val="0"/>
      <w:spacing w:line="360" w:lineRule="auto"/>
      <w:jc w:val="left"/>
    </w:pPr>
    <w:rPr>
      <w:rFonts w:ascii="宋体" w:hAnsi="宋体"/>
      <w:b/>
      <w:caps/>
      <w:kern w:val="0"/>
      <w:sz w:val="24"/>
      <w:szCs w:val="32"/>
    </w:rPr>
  </w:style>
  <w:style w:type="paragraph" w:customStyle="1" w:styleId="270">
    <w:name w:val="正文_0"/>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1">
    <w:name w:val="Char Char Char Char Char Char1 Char"/>
    <w:basedOn w:val="1"/>
    <w:qFormat/>
    <w:uiPriority w:val="0"/>
    <w:pPr>
      <w:widowControl/>
      <w:spacing w:after="160" w:line="240" w:lineRule="exact"/>
      <w:jc w:val="left"/>
    </w:pPr>
    <w:rPr>
      <w:rFonts w:ascii="Verdana" w:hAnsi="Verdana" w:eastAsia="仿宋_GB2312"/>
      <w:kern w:val="0"/>
      <w:sz w:val="24"/>
      <w:szCs w:val="32"/>
      <w:lang w:eastAsia="en-US"/>
    </w:rPr>
  </w:style>
  <w:style w:type="paragraph" w:customStyle="1" w:styleId="272">
    <w:name w:val="封一"/>
    <w:basedOn w:val="181"/>
    <w:next w:val="181"/>
    <w:qFormat/>
    <w:uiPriority w:val="0"/>
    <w:pPr>
      <w:ind w:firstLine="0" w:firstLineChars="0"/>
      <w:jc w:val="center"/>
    </w:pPr>
    <w:rPr>
      <w:rFonts w:eastAsia="黑体"/>
      <w:b/>
      <w:sz w:val="84"/>
      <w:szCs w:val="84"/>
    </w:rPr>
  </w:style>
  <w:style w:type="paragraph" w:customStyle="1" w:styleId="273">
    <w:name w:val="正文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4">
    <w:name w:val="Char1 Char Char Char Char Char Char1"/>
    <w:basedOn w:val="275"/>
    <w:qFormat/>
    <w:uiPriority w:val="0"/>
  </w:style>
  <w:style w:type="paragraph" w:customStyle="1" w:styleId="275">
    <w:name w:val="正文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276">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7">
    <w:name w:val="正文文本 21"/>
    <w:basedOn w:val="1"/>
    <w:qFormat/>
    <w:uiPriority w:val="0"/>
    <w:pPr>
      <w:suppressAutoHyphens/>
    </w:pPr>
    <w:rPr>
      <w:rFonts w:ascii="Times New Roman" w:hAnsi="Times New Roman" w:eastAsia="楷体_GB2312"/>
      <w:b/>
      <w:szCs w:val="20"/>
      <w:lang w:eastAsia="ar-SA"/>
    </w:rPr>
  </w:style>
  <w:style w:type="paragraph" w:customStyle="1" w:styleId="278">
    <w:name w:val="msoquote"/>
    <w:basedOn w:val="1"/>
    <w:next w:val="1"/>
    <w:qFormat/>
    <w:uiPriority w:val="0"/>
    <w:pPr>
      <w:widowControl/>
      <w:jc w:val="left"/>
    </w:pPr>
    <w:rPr>
      <w:rFonts w:ascii="Times New Roman" w:hAnsi="Times New Roman"/>
      <w:i/>
      <w:kern w:val="0"/>
      <w:sz w:val="24"/>
    </w:rPr>
  </w:style>
  <w:style w:type="paragraph" w:customStyle="1" w:styleId="279">
    <w:name w:val="_Style 72"/>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0">
    <w:name w:val="正文 New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81">
    <w:name w:val="Char5 Char Char"/>
    <w:basedOn w:val="1"/>
    <w:qFormat/>
    <w:uiPriority w:val="0"/>
    <w:pPr>
      <w:ind w:left="567" w:hanging="279"/>
    </w:pPr>
    <w:rPr>
      <w:rFonts w:ascii="Times New Roman" w:hAnsi="Times New Roman"/>
      <w:sz w:val="24"/>
      <w:szCs w:val="24"/>
    </w:rPr>
  </w:style>
  <w:style w:type="paragraph" w:customStyle="1" w:styleId="282">
    <w:name w:val="正文首行缩进 New"/>
    <w:basedOn w:val="283"/>
    <w:qFormat/>
    <w:uiPriority w:val="0"/>
    <w:pPr>
      <w:ind w:firstLine="420" w:firstLineChars="100"/>
    </w:pPr>
  </w:style>
  <w:style w:type="paragraph" w:customStyle="1" w:styleId="283">
    <w:name w:val="正文文本 New"/>
    <w:basedOn w:val="284"/>
    <w:qFormat/>
    <w:uiPriority w:val="0"/>
    <w:pPr>
      <w:spacing w:after="120"/>
    </w:pPr>
    <w:rPr>
      <w:rFonts w:eastAsia="宋体"/>
      <w:kern w:val="2"/>
      <w:sz w:val="30"/>
      <w:szCs w:val="24"/>
    </w:rPr>
  </w:style>
  <w:style w:type="paragraph" w:customStyle="1" w:styleId="284">
    <w:name w:val="正文 New New"/>
    <w:qFormat/>
    <w:uiPriority w:val="0"/>
    <w:pPr>
      <w:widowControl w:val="0"/>
      <w:jc w:val="both"/>
    </w:pPr>
    <w:rPr>
      <w:rFonts w:ascii="Times New Roman" w:hAnsi="Times New Roman" w:eastAsia="楷体_GB2312" w:cs="Times New Roman"/>
      <w:lang w:val="en-US" w:eastAsia="zh-CN" w:bidi="ar-SA"/>
    </w:rPr>
  </w:style>
  <w:style w:type="paragraph" w:customStyle="1" w:styleId="285">
    <w:name w:val="正文文本缩进 21"/>
    <w:basedOn w:val="1"/>
    <w:qFormat/>
    <w:uiPriority w:val="0"/>
    <w:pPr>
      <w:suppressAutoHyphens/>
      <w:spacing w:after="120" w:line="480" w:lineRule="auto"/>
      <w:ind w:left="420"/>
    </w:pPr>
    <w:rPr>
      <w:rFonts w:ascii="Times New Roman" w:hAnsi="Times New Roman"/>
      <w:szCs w:val="20"/>
      <w:lang w:eastAsia="ar-SA"/>
    </w:rPr>
  </w:style>
  <w:style w:type="paragraph" w:customStyle="1" w:styleId="286">
    <w:name w:val="默认段落字体 Para Char"/>
    <w:basedOn w:val="1"/>
    <w:qFormat/>
    <w:uiPriority w:val="0"/>
    <w:pPr>
      <w:spacing w:line="360" w:lineRule="auto"/>
      <w:jc w:val="left"/>
    </w:pPr>
    <w:rPr>
      <w:rFonts w:ascii="Times New Roman" w:hAnsi="Times New Roman" w:eastAsia="仿宋_GB2312"/>
      <w:b/>
      <w:sz w:val="32"/>
      <w:szCs w:val="24"/>
    </w:rPr>
  </w:style>
  <w:style w:type="paragraph" w:customStyle="1" w:styleId="287">
    <w:name w:val="纯文本2"/>
    <w:basedOn w:val="1"/>
    <w:qFormat/>
    <w:uiPriority w:val="0"/>
    <w:rPr>
      <w:rFonts w:ascii="宋体" w:hAnsi="Courier New"/>
      <w:sz w:val="24"/>
      <w:szCs w:val="20"/>
    </w:rPr>
  </w:style>
  <w:style w:type="paragraph" w:customStyle="1" w:styleId="288">
    <w:name w:val="Char4 Char Char Char"/>
    <w:basedOn w:val="1"/>
    <w:qFormat/>
    <w:uiPriority w:val="0"/>
    <w:pPr>
      <w:ind w:left="567" w:hanging="279"/>
    </w:pPr>
    <w:rPr>
      <w:rFonts w:ascii="Times New Roman" w:hAnsi="Times New Roman"/>
      <w:sz w:val="24"/>
      <w:szCs w:val="24"/>
    </w:rPr>
  </w:style>
  <w:style w:type="paragraph" w:customStyle="1" w:styleId="289">
    <w:name w:val="页眉 New"/>
    <w:basedOn w:val="290"/>
    <w:qFormat/>
    <w:uiPriority w:val="0"/>
    <w:pPr>
      <w:pBdr>
        <w:bottom w:val="single" w:color="auto" w:sz="6" w:space="1"/>
      </w:pBdr>
      <w:tabs>
        <w:tab w:val="center" w:pos="4153"/>
        <w:tab w:val="right" w:pos="8306"/>
      </w:tabs>
      <w:snapToGrid w:val="0"/>
      <w:jc w:val="center"/>
    </w:pPr>
    <w:rPr>
      <w:sz w:val="18"/>
    </w:rPr>
  </w:style>
  <w:style w:type="paragraph" w:customStyle="1" w:styleId="290">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1">
    <w:name w:val="页眉 New New"/>
    <w:basedOn w:val="292"/>
    <w:qFormat/>
    <w:uiPriority w:val="0"/>
    <w:pPr>
      <w:pBdr>
        <w:bottom w:val="single" w:color="auto" w:sz="6" w:space="1"/>
      </w:pBdr>
      <w:tabs>
        <w:tab w:val="center" w:pos="4153"/>
        <w:tab w:val="right" w:pos="8306"/>
      </w:tabs>
      <w:snapToGrid w:val="0"/>
      <w:jc w:val="center"/>
    </w:pPr>
    <w:rPr>
      <w:sz w:val="18"/>
    </w:rPr>
  </w:style>
  <w:style w:type="paragraph" w:customStyle="1" w:styleId="292">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3">
    <w:name w:val="表格"/>
    <w:basedOn w:val="1"/>
    <w:qFormat/>
    <w:uiPriority w:val="0"/>
    <w:pPr>
      <w:jc w:val="center"/>
    </w:pPr>
    <w:rPr>
      <w:rFonts w:ascii="华文细黑" w:hAnsi="华文细黑"/>
      <w:kern w:val="0"/>
      <w:szCs w:val="20"/>
    </w:rPr>
  </w:style>
  <w:style w:type="paragraph" w:customStyle="1" w:styleId="294">
    <w:name w:val="Normal_0"/>
    <w:qFormat/>
    <w:uiPriority w:val="0"/>
    <w:rPr>
      <w:rFonts w:ascii="Times New Roman" w:hAnsi="Times New Roman" w:eastAsia="Times New Roman" w:cs="Times New Roman"/>
      <w:sz w:val="24"/>
      <w:szCs w:val="24"/>
      <w:lang w:val="en-US" w:eastAsia="zh-CN" w:bidi="ar-SA"/>
    </w:rPr>
  </w:style>
  <w:style w:type="paragraph" w:customStyle="1" w:styleId="295">
    <w:name w:val="页脚 New New"/>
    <w:basedOn w:val="292"/>
    <w:qFormat/>
    <w:uiPriority w:val="0"/>
    <w:pPr>
      <w:tabs>
        <w:tab w:val="center" w:pos="4153"/>
        <w:tab w:val="right" w:pos="8306"/>
      </w:tabs>
      <w:snapToGrid w:val="0"/>
      <w:jc w:val="left"/>
    </w:pPr>
    <w:rPr>
      <w:sz w:val="18"/>
    </w:rPr>
  </w:style>
  <w:style w:type="paragraph" w:customStyle="1" w:styleId="296">
    <w:name w:val="正文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297">
    <w:name w:val="2"/>
    <w:next w:val="298"/>
    <w:qFormat/>
    <w:uiPriority w:val="0"/>
    <w:pPr>
      <w:widowControl w:val="0"/>
      <w:jc w:val="both"/>
    </w:pPr>
    <w:rPr>
      <w:rFonts w:ascii="仿宋_GB2312" w:hAnsi="Times New Roman" w:eastAsia="宋体" w:cs="Times New Roman"/>
      <w:kern w:val="2"/>
      <w:sz w:val="21"/>
      <w:szCs w:val="32"/>
      <w:lang w:val="en-US" w:eastAsia="zh-CN" w:bidi="ar-SA"/>
    </w:rPr>
  </w:style>
  <w:style w:type="paragraph" w:customStyle="1" w:styleId="298">
    <w:name w:val="访问过的超链接1"/>
    <w:basedOn w:val="1"/>
    <w:qFormat/>
    <w:uiPriority w:val="0"/>
    <w:rPr>
      <w:rFonts w:ascii="仿宋_GB2312" w:hAnsi="Times New Roman"/>
      <w:szCs w:val="32"/>
    </w:rPr>
  </w:style>
  <w:style w:type="paragraph" w:customStyle="1" w:styleId="299">
    <w:name w:val="Address"/>
    <w:basedOn w:val="1"/>
    <w:next w:val="1"/>
    <w:qFormat/>
    <w:uiPriority w:val="0"/>
    <w:pPr>
      <w:widowControl/>
      <w:autoSpaceDE w:val="0"/>
      <w:autoSpaceDN w:val="0"/>
      <w:adjustRightInd w:val="0"/>
      <w:jc w:val="left"/>
    </w:pPr>
    <w:rPr>
      <w:rFonts w:ascii="Times New Roman" w:hAnsi="Times New Roman"/>
      <w:i/>
      <w:kern w:val="0"/>
      <w:sz w:val="24"/>
      <w:szCs w:val="20"/>
    </w:rPr>
  </w:style>
  <w:style w:type="paragraph" w:customStyle="1" w:styleId="300">
    <w:name w:val="文提"/>
    <w:basedOn w:val="181"/>
    <w:qFormat/>
    <w:uiPriority w:val="0"/>
    <w:pPr>
      <w:ind w:firstLine="0" w:firstLineChars="0"/>
    </w:pPr>
    <w:rPr>
      <w:rFonts w:eastAsia="黑体" w:cs="宋体"/>
      <w:b/>
    </w:rPr>
  </w:style>
  <w:style w:type="paragraph" w:customStyle="1" w:styleId="301">
    <w:name w:val="尾注文本 New"/>
    <w:basedOn w:val="302"/>
    <w:qFormat/>
    <w:uiPriority w:val="0"/>
    <w:pPr>
      <w:snapToGrid w:val="0"/>
      <w:jc w:val="left"/>
    </w:pPr>
    <w:rPr>
      <w:rFonts w:ascii="宋体" w:hAnsi="宋体" w:eastAsia="宋体"/>
      <w:szCs w:val="24"/>
    </w:rPr>
  </w:style>
  <w:style w:type="paragraph" w:customStyle="1" w:styleId="302">
    <w:name w:val="正文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3">
    <w:name w:val="正文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4">
    <w:name w:val="正文 New New New New New New New New New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305">
    <w:name w:val="标题1"/>
    <w:basedOn w:val="1"/>
    <w:next w:val="20"/>
    <w:qFormat/>
    <w:uiPriority w:val="0"/>
    <w:pPr>
      <w:keepNext/>
      <w:suppressAutoHyphens/>
      <w:spacing w:before="240" w:after="120"/>
    </w:pPr>
    <w:rPr>
      <w:rFonts w:ascii="DejaVu Sans" w:hAnsi="DejaVu Sans" w:eastAsia="DejaVu Sans" w:cs="DejaVu Sans"/>
      <w:sz w:val="28"/>
      <w:szCs w:val="28"/>
      <w:lang w:eastAsia="ar-SA"/>
    </w:rPr>
  </w:style>
  <w:style w:type="paragraph" w:customStyle="1" w:styleId="306">
    <w:name w:val="普通(网站)1"/>
    <w:basedOn w:val="1"/>
    <w:qFormat/>
    <w:uiPriority w:val="0"/>
    <w:pPr>
      <w:widowControl/>
      <w:suppressAutoHyphens/>
      <w:spacing w:before="284" w:after="280" w:line="360" w:lineRule="auto"/>
      <w:jc w:val="left"/>
    </w:pPr>
    <w:rPr>
      <w:rFonts w:ascii="宋体" w:hAnsi="宋体"/>
      <w:sz w:val="24"/>
      <w:szCs w:val="20"/>
      <w:lang w:eastAsia="ar-SA"/>
    </w:rPr>
  </w:style>
  <w:style w:type="paragraph" w:customStyle="1" w:styleId="30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cjk"/>
    <w:basedOn w:val="1"/>
    <w:qFormat/>
    <w:uiPriority w:val="0"/>
    <w:pPr>
      <w:widowControl/>
      <w:spacing w:before="284" w:after="100" w:afterAutospacing="1" w:line="360" w:lineRule="auto"/>
      <w:jc w:val="left"/>
    </w:pPr>
    <w:rPr>
      <w:rFonts w:ascii="宋体" w:hAnsi="宋体"/>
      <w:kern w:val="0"/>
      <w:sz w:val="22"/>
    </w:rPr>
  </w:style>
  <w:style w:type="paragraph" w:customStyle="1" w:styleId="309">
    <w:name w:val="正文文本缩进 New New"/>
    <w:basedOn w:val="1"/>
    <w:qFormat/>
    <w:uiPriority w:val="0"/>
    <w:pPr>
      <w:spacing w:after="120"/>
      <w:ind w:left="420" w:leftChars="200"/>
    </w:pPr>
    <w:rPr>
      <w:rFonts w:ascii="Times New Roman" w:hAnsi="Times New Roman" w:eastAsia="楷体_GB2312"/>
      <w:szCs w:val="20"/>
    </w:rPr>
  </w:style>
  <w:style w:type="paragraph" w:customStyle="1" w:styleId="310">
    <w:name w:val="样式8"/>
    <w:basedOn w:val="1"/>
    <w:qFormat/>
    <w:uiPriority w:val="0"/>
    <w:pPr>
      <w:keepNext/>
      <w:keepLines/>
      <w:widowControl/>
      <w:spacing w:before="260" w:after="260"/>
      <w:jc w:val="center"/>
      <w:outlineLvl w:val="1"/>
    </w:pPr>
    <w:rPr>
      <w:rFonts w:ascii="Arial" w:hAnsi="Arial" w:eastAsia="黑体"/>
      <w:b/>
      <w:bCs/>
      <w:kern w:val="0"/>
      <w:sz w:val="72"/>
      <w:szCs w:val="32"/>
    </w:rPr>
  </w:style>
  <w:style w:type="paragraph" w:customStyle="1" w:styleId="311">
    <w:name w:val="正文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2">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3">
    <w:name w:val="章节三"/>
    <w:basedOn w:val="181"/>
    <w:next w:val="181"/>
    <w:qFormat/>
    <w:uiPriority w:val="0"/>
    <w:pPr>
      <w:spacing w:beforeLines="50" w:line="240" w:lineRule="auto"/>
      <w:ind w:firstLine="0" w:firstLineChars="0"/>
      <w:jc w:val="left"/>
      <w:outlineLvl w:val="2"/>
    </w:pPr>
    <w:rPr>
      <w:rFonts w:ascii="黑体" w:eastAsia="黑体"/>
      <w:b/>
    </w:rPr>
  </w:style>
  <w:style w:type="paragraph" w:customStyle="1" w:styleId="314">
    <w:name w:val="Char1 Char Char Char Char Char Char11"/>
    <w:basedOn w:val="1"/>
    <w:qFormat/>
    <w:uiPriority w:val="0"/>
    <w:rPr>
      <w:rFonts w:ascii="Times New Roman" w:hAnsi="Times New Roman"/>
      <w:szCs w:val="20"/>
    </w:rPr>
  </w:style>
  <w:style w:type="paragraph" w:customStyle="1" w:styleId="315">
    <w:name w:val="Normal_1"/>
    <w:qFormat/>
    <w:uiPriority w:val="0"/>
    <w:rPr>
      <w:rFonts w:ascii="Times New Roman" w:hAnsi="Times New Roman" w:eastAsia="Times New Roman" w:cs="Times New Roman"/>
      <w:sz w:val="24"/>
      <w:szCs w:val="24"/>
      <w:lang w:val="en-US" w:eastAsia="zh-CN" w:bidi="ar-SA"/>
    </w:rPr>
  </w:style>
  <w:style w:type="paragraph" w:customStyle="1" w:styleId="316">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1"/>
    <w:basedOn w:val="1"/>
    <w:next w:val="1"/>
    <w:qFormat/>
    <w:uiPriority w:val="0"/>
    <w:rPr>
      <w:rFonts w:ascii="Times New Roman" w:hAnsi="Times New Roman"/>
    </w:rPr>
  </w:style>
  <w:style w:type="paragraph" w:customStyle="1" w:styleId="318">
    <w:name w:val="Char5 Char Char Char Char Char Char Char Char Char Char Char Char Char Char Char Char Char Char Char Char1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9">
    <w:name w:val="内容目录 10"/>
    <w:basedOn w:val="320"/>
    <w:qFormat/>
    <w:uiPriority w:val="0"/>
    <w:pPr>
      <w:tabs>
        <w:tab w:val="right" w:leader="dot" w:pos="9637"/>
      </w:tabs>
      <w:ind w:left="2547"/>
    </w:pPr>
  </w:style>
  <w:style w:type="paragraph" w:customStyle="1" w:styleId="320">
    <w:name w:val="目录"/>
    <w:basedOn w:val="1"/>
    <w:qFormat/>
    <w:uiPriority w:val="0"/>
    <w:pPr>
      <w:suppressLineNumbers/>
      <w:suppressAutoHyphens/>
    </w:pPr>
    <w:rPr>
      <w:rFonts w:ascii="Times New Roman" w:hAnsi="Times New Roman"/>
      <w:szCs w:val="20"/>
      <w:lang w:eastAsia="ar-SA"/>
    </w:rPr>
  </w:style>
  <w:style w:type="paragraph" w:customStyle="1" w:styleId="321">
    <w:name w:val="正文_1"/>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22">
    <w:name w:val="msonospacing"/>
    <w:qFormat/>
    <w:uiPriority w:val="0"/>
    <w:rPr>
      <w:rFonts w:ascii="Times New Roman" w:hAnsi="Times New Roman" w:eastAsia="Times New Roman" w:cs="Times New Roman"/>
      <w:kern w:val="2"/>
      <w:sz w:val="22"/>
      <w:lang w:val="en-US" w:eastAsia="zh-CN" w:bidi="ar-SA"/>
    </w:rPr>
  </w:style>
  <w:style w:type="paragraph" w:customStyle="1" w:styleId="323">
    <w:name w:val="Char Char Char1 Char1"/>
    <w:basedOn w:val="1"/>
    <w:qFormat/>
    <w:uiPriority w:val="0"/>
    <w:rPr>
      <w:rFonts w:ascii="宋体" w:hAnsi="Times New Roman"/>
      <w:kern w:val="0"/>
      <w:sz w:val="34"/>
      <w:szCs w:val="20"/>
    </w:rPr>
  </w:style>
  <w:style w:type="paragraph" w:customStyle="1" w:styleId="324">
    <w:name w:val="Normal_3"/>
    <w:qFormat/>
    <w:uiPriority w:val="0"/>
    <w:rPr>
      <w:rFonts w:ascii="Times New Roman" w:hAnsi="Times New Roman" w:eastAsia="Times New Roman" w:cs="Times New Roman"/>
      <w:sz w:val="24"/>
      <w:szCs w:val="24"/>
      <w:lang w:val="en-US" w:eastAsia="zh-CN" w:bidi="ar-SA"/>
    </w:rPr>
  </w:style>
  <w:style w:type="paragraph" w:customStyle="1" w:styleId="325">
    <w:name w:val="样式 标题 1 + 宋体 居中 段前: 48 磅 段后: 12 磅 行距: 1.5 倍行距"/>
    <w:basedOn w:val="3"/>
    <w:qFormat/>
    <w:uiPriority w:val="0"/>
    <w:pPr>
      <w:snapToGrid w:val="0"/>
      <w:spacing w:before="1560" w:after="240"/>
    </w:pPr>
    <w:rPr>
      <w:rFonts w:ascii="宋体" w:hAnsi="宋体"/>
      <w:bCs/>
      <w:kern w:val="2"/>
      <w:sz w:val="36"/>
      <w:szCs w:val="20"/>
    </w:rPr>
  </w:style>
  <w:style w:type="paragraph" w:customStyle="1" w:styleId="326">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327">
    <w:name w:val="Char2"/>
    <w:basedOn w:val="1"/>
    <w:qFormat/>
    <w:uiPriority w:val="0"/>
    <w:pPr>
      <w:tabs>
        <w:tab w:val="left" w:pos="1500"/>
      </w:tabs>
      <w:ind w:left="567" w:hanging="279"/>
    </w:pPr>
    <w:rPr>
      <w:rFonts w:ascii="Times New Roman" w:hAnsi="Times New Roman"/>
      <w:sz w:val="24"/>
      <w:szCs w:val="24"/>
    </w:rPr>
  </w:style>
  <w:style w:type="paragraph" w:customStyle="1" w:styleId="328">
    <w:name w:val="正文首行缩进1"/>
    <w:basedOn w:val="20"/>
    <w:qFormat/>
    <w:uiPriority w:val="0"/>
    <w:pPr>
      <w:ind w:firstLine="420" w:firstLineChars="100"/>
    </w:pPr>
    <w:rPr>
      <w:rFonts w:ascii="Times New Roman"/>
      <w:kern w:val="0"/>
      <w:sz w:val="30"/>
      <w:szCs w:val="24"/>
    </w:rPr>
  </w:style>
  <w:style w:type="paragraph" w:customStyle="1" w:styleId="329">
    <w:name w:val="样式1"/>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0">
    <w:name w:val="正文文本缩进1"/>
    <w:basedOn w:val="1"/>
    <w:qFormat/>
    <w:uiPriority w:val="0"/>
    <w:pPr>
      <w:ind w:firstLine="480"/>
    </w:pPr>
    <w:rPr>
      <w:rFonts w:ascii="Times New Roman" w:hAnsi="Times New Roman"/>
      <w:sz w:val="24"/>
      <w:szCs w:val="20"/>
    </w:rPr>
  </w:style>
  <w:style w:type="paragraph" w:customStyle="1" w:styleId="331">
    <w:name w:val="样式3"/>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2">
    <w:name w:val="Char Char Char Char Char Char Char Char Char Char Char Char Char"/>
    <w:basedOn w:val="17"/>
    <w:qFormat/>
    <w:uiPriority w:val="0"/>
    <w:rPr>
      <w:rFonts w:ascii="Tahoma" w:hAnsi="Tahoma"/>
      <w:kern w:val="0"/>
      <w:sz w:val="24"/>
      <w:szCs w:val="24"/>
      <w:shd w:val="clear" w:color="auto" w:fill="000080"/>
    </w:rPr>
  </w:style>
  <w:style w:type="paragraph" w:customStyle="1" w:styleId="3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4">
    <w:name w:val="Char2 Char Char Char"/>
    <w:basedOn w:val="1"/>
    <w:qFormat/>
    <w:uiPriority w:val="0"/>
    <w:pPr>
      <w:tabs>
        <w:tab w:val="left" w:pos="1350"/>
      </w:tabs>
      <w:ind w:left="1350" w:hanging="720"/>
    </w:pPr>
    <w:rPr>
      <w:rFonts w:ascii="Times New Roman" w:hAnsi="Times New Roman"/>
      <w:sz w:val="24"/>
      <w:szCs w:val="24"/>
    </w:rPr>
  </w:style>
  <w:style w:type="paragraph" w:customStyle="1" w:styleId="335">
    <w:name w:val="封二"/>
    <w:basedOn w:val="181"/>
    <w:next w:val="181"/>
    <w:qFormat/>
    <w:uiPriority w:val="0"/>
    <w:pPr>
      <w:ind w:firstLine="0" w:firstLineChars="0"/>
      <w:jc w:val="center"/>
    </w:pPr>
    <w:rPr>
      <w:rFonts w:eastAsia="黑体"/>
      <w:b/>
      <w:sz w:val="36"/>
      <w:szCs w:val="36"/>
    </w:rPr>
  </w:style>
  <w:style w:type="paragraph" w:customStyle="1" w:styleId="336">
    <w:name w:val="正文缩进_0"/>
    <w:basedOn w:val="270"/>
    <w:qFormat/>
    <w:uiPriority w:val="0"/>
    <w:pPr>
      <w:ind w:firstLine="420"/>
    </w:pPr>
  </w:style>
  <w:style w:type="paragraph" w:customStyle="1" w:styleId="337">
    <w:name w:val="样式2"/>
    <w:basedOn w:val="6"/>
    <w:qFormat/>
    <w:uiPriority w:val="0"/>
    <w:pPr>
      <w:keepNext/>
      <w:keepLines/>
      <w:widowControl w:val="0"/>
      <w:spacing w:before="260" w:after="260" w:line="412" w:lineRule="auto"/>
      <w:jc w:val="both"/>
    </w:pPr>
    <w:rPr>
      <w:rFonts w:ascii="Calibri" w:hAnsi="Calibri" w:cs="Times New Roman"/>
      <w:b/>
      <w:kern w:val="2"/>
      <w:sz w:val="32"/>
      <w:szCs w:val="22"/>
    </w:rPr>
  </w:style>
  <w:style w:type="paragraph" w:customStyle="1" w:styleId="338">
    <w:name w:val="标题 3_0"/>
    <w:basedOn w:val="270"/>
    <w:next w:val="336"/>
    <w:qFormat/>
    <w:uiPriority w:val="0"/>
    <w:pPr>
      <w:keepNext/>
      <w:keepLines/>
      <w:spacing w:line="360" w:lineRule="auto"/>
      <w:jc w:val="center"/>
      <w:outlineLvl w:val="2"/>
    </w:pPr>
    <w:rPr>
      <w:rFonts w:ascii="仿宋_GB2312" w:hAnsi="宋体" w:eastAsia="仿宋_GB2312" w:cs="宋体"/>
      <w:b/>
      <w:sz w:val="30"/>
      <w:szCs w:val="30"/>
    </w:rPr>
  </w:style>
  <w:style w:type="paragraph" w:customStyle="1" w:styleId="339">
    <w:name w:val="正文文本缩进 31"/>
    <w:basedOn w:val="1"/>
    <w:qFormat/>
    <w:uiPriority w:val="0"/>
    <w:pPr>
      <w:suppressAutoHyphens/>
      <w:spacing w:after="120"/>
      <w:ind w:left="420"/>
    </w:pPr>
    <w:rPr>
      <w:rFonts w:ascii="Times New Roman" w:hAnsi="Times New Roman"/>
      <w:sz w:val="16"/>
      <w:szCs w:val="20"/>
      <w:lang w:eastAsia="ar-SA"/>
    </w:rPr>
  </w:style>
  <w:style w:type="paragraph" w:customStyle="1" w:styleId="340">
    <w:name w:val="表格文字"/>
    <w:basedOn w:val="1"/>
    <w:qFormat/>
    <w:uiPriority w:val="0"/>
    <w:pPr>
      <w:adjustRightInd w:val="0"/>
      <w:spacing w:line="420" w:lineRule="atLeast"/>
      <w:jc w:val="left"/>
    </w:pPr>
    <w:rPr>
      <w:rFonts w:ascii="Times New Roman" w:hAnsi="Times New Roman"/>
      <w:kern w:val="0"/>
      <w:szCs w:val="20"/>
    </w:rPr>
  </w:style>
  <w:style w:type="paragraph" w:customStyle="1" w:styleId="341">
    <w:name w:val="TOC 标题2"/>
    <w:basedOn w:val="3"/>
    <w:next w:val="1"/>
    <w:qFormat/>
    <w:uiPriority w:val="0"/>
    <w:pPr>
      <w:widowControl/>
      <w:spacing w:before="480" w:after="0" w:line="276" w:lineRule="auto"/>
      <w:jc w:val="left"/>
      <w:outlineLvl w:val="9"/>
    </w:pPr>
    <w:rPr>
      <w:rFonts w:ascii="Cambria" w:hAnsi="Cambria"/>
      <w:b w:val="0"/>
      <w:color w:val="365F91"/>
      <w:kern w:val="0"/>
    </w:rPr>
  </w:style>
  <w:style w:type="paragraph" w:customStyle="1" w:styleId="342">
    <w:name w:val="Char Char Char Char1"/>
    <w:basedOn w:val="1"/>
    <w:qFormat/>
    <w:uiPriority w:val="0"/>
    <w:pPr>
      <w:widowControl/>
      <w:spacing w:after="160" w:line="240" w:lineRule="exact"/>
      <w:jc w:val="left"/>
    </w:pPr>
    <w:rPr>
      <w:rFonts w:ascii="Times New Roman" w:hAnsi="Times New Roman"/>
      <w:szCs w:val="20"/>
    </w:rPr>
  </w:style>
  <w:style w:type="paragraph" w:customStyle="1" w:styleId="343">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正文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5">
    <w:name w:val="纯文本 New"/>
    <w:basedOn w:val="284"/>
    <w:qFormat/>
    <w:uiPriority w:val="0"/>
    <w:rPr>
      <w:rFonts w:ascii="宋体" w:hAnsi="Courier New" w:eastAsia="宋体"/>
      <w:kern w:val="2"/>
      <w:sz w:val="24"/>
    </w:rPr>
  </w:style>
  <w:style w:type="paragraph" w:customStyle="1" w:styleId="346">
    <w:name w:val="xl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47">
    <w:name w:val="正文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8">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9">
    <w:name w:val="封四"/>
    <w:basedOn w:val="181"/>
    <w:next w:val="181"/>
    <w:qFormat/>
    <w:uiPriority w:val="0"/>
    <w:pPr>
      <w:jc w:val="left"/>
    </w:pPr>
    <w:rPr>
      <w:sz w:val="30"/>
      <w:szCs w:val="30"/>
    </w:rPr>
  </w:style>
  <w:style w:type="paragraph" w:customStyle="1" w:styleId="350">
    <w:name w:val="正文文本缩进 22"/>
    <w:basedOn w:val="1"/>
    <w:qFormat/>
    <w:uiPriority w:val="0"/>
    <w:pPr>
      <w:spacing w:line="420" w:lineRule="exact"/>
      <w:ind w:firstLine="480"/>
    </w:pPr>
    <w:rPr>
      <w:rFonts w:ascii="Times New Roman" w:hAnsi="Times New Roman"/>
      <w:b/>
      <w:sz w:val="24"/>
      <w:szCs w:val="20"/>
    </w:rPr>
  </w:style>
  <w:style w:type="paragraph" w:customStyle="1" w:styleId="351">
    <w:name w:val="页脚 New"/>
    <w:basedOn w:val="290"/>
    <w:qFormat/>
    <w:uiPriority w:val="0"/>
    <w:pPr>
      <w:tabs>
        <w:tab w:val="center" w:pos="4153"/>
        <w:tab w:val="right" w:pos="8306"/>
      </w:tabs>
      <w:snapToGrid w:val="0"/>
      <w:jc w:val="left"/>
    </w:pPr>
    <w:rPr>
      <w:sz w:val="18"/>
    </w:rPr>
  </w:style>
  <w:style w:type="paragraph" w:customStyle="1" w:styleId="352">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3">
    <w:name w:val="正文1"/>
    <w:qFormat/>
    <w:uiPriority w:val="0"/>
    <w:rPr>
      <w:rFonts w:ascii="Times New Roman" w:hAnsi="Times New Roman" w:eastAsia="Times New Roman" w:cs="Times New Roman"/>
      <w:sz w:val="24"/>
      <w:szCs w:val="24"/>
      <w:lang w:val="en-US" w:eastAsia="zh-CN" w:bidi="ar-SA"/>
    </w:rPr>
  </w:style>
  <w:style w:type="paragraph" w:customStyle="1" w:styleId="354">
    <w:name w:val="Char14"/>
    <w:basedOn w:val="17"/>
    <w:qFormat/>
    <w:uiPriority w:val="0"/>
    <w:rPr>
      <w:rFonts w:ascii="Tahoma" w:hAnsi="Tahoma"/>
      <w:kern w:val="0"/>
      <w:sz w:val="24"/>
      <w:szCs w:val="24"/>
      <w:shd w:val="clear" w:color="auto" w:fill="000080"/>
    </w:rPr>
  </w:style>
  <w:style w:type="paragraph" w:customStyle="1" w:styleId="355">
    <w:name w:val="正文 New New New New New New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356">
    <w:name w:val="Char1 Char Char Char Char Char Char1 Char Char Char"/>
    <w:basedOn w:val="1"/>
    <w:qFormat/>
    <w:uiPriority w:val="0"/>
    <w:rPr>
      <w:rFonts w:ascii="Times New Roman" w:hAnsi="Times New Roman"/>
      <w:sz w:val="30"/>
      <w:szCs w:val="24"/>
    </w:rPr>
  </w:style>
  <w:style w:type="paragraph" w:customStyle="1" w:styleId="357">
    <w:name w:val="列表项目符号 21"/>
    <w:basedOn w:val="358"/>
    <w:qFormat/>
    <w:uiPriority w:val="0"/>
    <w:pPr>
      <w:widowControl/>
      <w:tabs>
        <w:tab w:val="left" w:pos="360"/>
      </w:tabs>
      <w:spacing w:after="220" w:line="220" w:lineRule="atLeast"/>
      <w:ind w:left="360" w:right="720"/>
      <w:jc w:val="left"/>
    </w:pPr>
  </w:style>
  <w:style w:type="paragraph" w:customStyle="1" w:styleId="358">
    <w:name w:val="列表项目符号1"/>
    <w:basedOn w:val="1"/>
    <w:qFormat/>
    <w:uiPriority w:val="0"/>
    <w:pPr>
      <w:tabs>
        <w:tab w:val="left" w:pos="360"/>
      </w:tabs>
      <w:suppressAutoHyphens/>
    </w:pPr>
    <w:rPr>
      <w:rFonts w:ascii="Times New Roman" w:hAnsi="Times New Roman"/>
      <w:szCs w:val="20"/>
      <w:lang w:eastAsia="ar-SA"/>
    </w:rPr>
  </w:style>
  <w:style w:type="paragraph" w:customStyle="1" w:styleId="359">
    <w:name w:val="样式 标题 1 + 黑体 三号 非加粗 居中 段前: 6 磅 段后: 6 磅 行距: 固定值 20 磅"/>
    <w:basedOn w:val="3"/>
    <w:qFormat/>
    <w:uiPriority w:val="0"/>
    <w:pPr>
      <w:spacing w:before="0" w:line="400" w:lineRule="exact"/>
    </w:pPr>
    <w:rPr>
      <w:rFonts w:ascii="黑体" w:hAnsi="黑体" w:eastAsia="黑体"/>
      <w:bCs/>
      <w:sz w:val="32"/>
      <w:szCs w:val="20"/>
    </w:rPr>
  </w:style>
  <w:style w:type="paragraph" w:customStyle="1" w:styleId="360">
    <w:name w:val="Normal_2"/>
    <w:qFormat/>
    <w:uiPriority w:val="0"/>
    <w:rPr>
      <w:rFonts w:ascii="Times New Roman" w:hAnsi="Times New Roman" w:eastAsia="Times New Roman" w:cs="Times New Roman"/>
      <w:sz w:val="24"/>
      <w:szCs w:val="24"/>
      <w:lang w:val="en-US" w:eastAsia="zh-CN" w:bidi="ar-SA"/>
    </w:rPr>
  </w:style>
  <w:style w:type="paragraph" w:customStyle="1" w:styleId="361">
    <w:name w:val="文档结构图1"/>
    <w:basedOn w:val="1"/>
    <w:qFormat/>
    <w:uiPriority w:val="0"/>
    <w:pPr>
      <w:shd w:val="clear" w:color="auto" w:fill="000080"/>
      <w:suppressAutoHyphens/>
    </w:pPr>
    <w:rPr>
      <w:rFonts w:ascii="Times New Roman" w:hAnsi="Times New Roman"/>
      <w:szCs w:val="20"/>
      <w:lang w:eastAsia="ar-SA"/>
    </w:rPr>
  </w:style>
  <w:style w:type="paragraph" w:customStyle="1" w:styleId="362">
    <w:name w:val="方框图"/>
    <w:basedOn w:val="1"/>
    <w:qFormat/>
    <w:uiPriority w:val="0"/>
    <w:pPr>
      <w:jc w:val="center"/>
    </w:pPr>
    <w:rPr>
      <w:rFonts w:ascii="Times New Roman" w:hAnsi="Times New Roman"/>
      <w:bCs/>
      <w:szCs w:val="24"/>
    </w:rPr>
  </w:style>
  <w:style w:type="paragraph" w:customStyle="1" w:styleId="363">
    <w:name w:val="6'"/>
    <w:basedOn w:val="1"/>
    <w:qFormat/>
    <w:uiPriority w:val="0"/>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364">
    <w:name w:val="样式4"/>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65">
    <w:name w:val="Char13 Char Char Char Char Char"/>
    <w:basedOn w:val="1"/>
    <w:qFormat/>
    <w:uiPriority w:val="0"/>
    <w:pPr>
      <w:ind w:left="567" w:hanging="279"/>
    </w:pPr>
    <w:rPr>
      <w:rFonts w:ascii="Times New Roman" w:hAnsi="Times New Roman"/>
      <w:kern w:val="0"/>
      <w:sz w:val="20"/>
      <w:szCs w:val="20"/>
    </w:rPr>
  </w:style>
  <w:style w:type="paragraph" w:customStyle="1" w:styleId="36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样式 正文缩进正文（首行缩进两字）特点ALT+Z表正文正文非缩进四号段1Normal Indent Char2...1"/>
    <w:basedOn w:val="5"/>
    <w:qFormat/>
    <w:uiPriority w:val="0"/>
    <w:pPr>
      <w:tabs>
        <w:tab w:val="left" w:pos="1260"/>
      </w:tabs>
      <w:spacing w:before="1320" w:after="240" w:line="300" w:lineRule="auto"/>
      <w:ind w:left="1260" w:hanging="420"/>
    </w:pPr>
    <w:rPr>
      <w:rFonts w:hint="eastAsia" w:ascii="黑体" w:hAnsi="黑体" w:eastAsia="黑体"/>
      <w:b w:val="0"/>
      <w:color w:val="auto"/>
      <w:kern w:val="0"/>
      <w:szCs w:val="20"/>
    </w:rPr>
  </w:style>
  <w:style w:type="paragraph" w:customStyle="1" w:styleId="368">
    <w:name w:val="正文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69">
    <w:name w:val="标题 2 New"/>
    <w:basedOn w:val="355"/>
    <w:next w:val="355"/>
    <w:qFormat/>
    <w:uiPriority w:val="0"/>
    <w:pPr>
      <w:keepNext/>
      <w:keepLines/>
      <w:spacing w:before="260" w:after="260" w:line="416" w:lineRule="auto"/>
      <w:outlineLvl w:val="1"/>
    </w:pPr>
    <w:rPr>
      <w:rFonts w:ascii="Arial" w:hAnsi="Arial" w:eastAsia="仿宋_GB2312"/>
      <w:b/>
      <w:bCs/>
      <w:sz w:val="32"/>
    </w:rPr>
  </w:style>
  <w:style w:type="paragraph" w:customStyle="1" w:styleId="370">
    <w:name w:val="正文缩进 New"/>
    <w:basedOn w:val="355"/>
    <w:qFormat/>
    <w:uiPriority w:val="0"/>
    <w:pPr>
      <w:ind w:firstLine="420"/>
    </w:pPr>
    <w:rPr>
      <w:rFonts w:ascii="Times New Roman" w:hAnsi="Times New Roman" w:cs="Times New Roman"/>
      <w:snapToGrid/>
      <w:kern w:val="2"/>
      <w:szCs w:val="20"/>
    </w:rPr>
  </w:style>
  <w:style w:type="paragraph" w:customStyle="1" w:styleId="371">
    <w:name w:val="批注文字1"/>
    <w:basedOn w:val="1"/>
    <w:qFormat/>
    <w:uiPriority w:val="0"/>
    <w:pPr>
      <w:suppressAutoHyphens/>
      <w:jc w:val="left"/>
    </w:pPr>
    <w:rPr>
      <w:rFonts w:ascii="Times New Roman" w:hAnsi="Times New Roman"/>
      <w:szCs w:val="20"/>
      <w:lang w:eastAsia="ar-SA"/>
    </w:rPr>
  </w:style>
  <w:style w:type="paragraph" w:customStyle="1" w:styleId="372">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3">
    <w:name w:val="页脚 New New New"/>
    <w:basedOn w:val="372"/>
    <w:qFormat/>
    <w:uiPriority w:val="0"/>
    <w:pPr>
      <w:tabs>
        <w:tab w:val="center" w:pos="4153"/>
        <w:tab w:val="right" w:pos="8306"/>
      </w:tabs>
      <w:snapToGrid w:val="0"/>
      <w:jc w:val="left"/>
    </w:pPr>
    <w:rPr>
      <w:sz w:val="18"/>
      <w:szCs w:val="18"/>
    </w:rPr>
  </w:style>
  <w:style w:type="paragraph" w:customStyle="1" w:styleId="374">
    <w:name w:val="msolistparagraph"/>
    <w:basedOn w:val="1"/>
    <w:qFormat/>
    <w:uiPriority w:val="0"/>
    <w:pPr>
      <w:ind w:firstLine="420" w:firstLineChars="200"/>
    </w:pPr>
    <w:rPr>
      <w:rFonts w:ascii="Times New Roman" w:hAnsi="Times New Roman"/>
    </w:rPr>
  </w:style>
  <w:style w:type="paragraph" w:customStyle="1" w:styleId="37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6">
    <w:name w:val="普通(网站)2"/>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37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7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目录文字"/>
    <w:basedOn w:val="1"/>
    <w:qFormat/>
    <w:uiPriority w:val="0"/>
    <w:pPr>
      <w:widowControl/>
      <w:spacing w:line="480" w:lineRule="auto"/>
      <w:jc w:val="left"/>
    </w:pPr>
    <w:rPr>
      <w:rFonts w:ascii="宋体" w:hAnsi="宋体"/>
      <w:kern w:val="0"/>
      <w:sz w:val="24"/>
      <w:szCs w:val="20"/>
    </w:rPr>
  </w:style>
  <w:style w:type="paragraph" w:customStyle="1" w:styleId="381">
    <w:name w:val="标签"/>
    <w:basedOn w:val="1"/>
    <w:qFormat/>
    <w:uiPriority w:val="0"/>
    <w:pPr>
      <w:suppressLineNumbers/>
      <w:suppressAutoHyphens/>
      <w:spacing w:before="120" w:after="120"/>
    </w:pPr>
    <w:rPr>
      <w:rFonts w:ascii="Times New Roman" w:hAnsi="Times New Roman"/>
      <w:i/>
      <w:iCs/>
      <w:sz w:val="24"/>
      <w:szCs w:val="24"/>
      <w:lang w:eastAsia="ar-SA"/>
    </w:rPr>
  </w:style>
  <w:style w:type="paragraph" w:customStyle="1" w:styleId="3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3">
    <w:name w:val="表格内容"/>
    <w:basedOn w:val="1"/>
    <w:qFormat/>
    <w:uiPriority w:val="0"/>
    <w:pPr>
      <w:suppressLineNumbers/>
      <w:suppressAutoHyphens/>
    </w:pPr>
    <w:rPr>
      <w:rFonts w:ascii="Times New Roman" w:hAnsi="Times New Roman"/>
      <w:szCs w:val="20"/>
      <w:lang w:eastAsia="ar-SA"/>
    </w:rPr>
  </w:style>
  <w:style w:type="paragraph" w:customStyle="1" w:styleId="384">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5">
    <w:name w:val="正题"/>
    <w:basedOn w:val="181"/>
    <w:next w:val="181"/>
    <w:qFormat/>
    <w:uiPriority w:val="0"/>
    <w:pPr>
      <w:ind w:firstLine="0" w:firstLineChars="0"/>
      <w:jc w:val="center"/>
    </w:pPr>
    <w:rPr>
      <w:rFonts w:eastAsia="黑体"/>
      <w:b/>
      <w:sz w:val="36"/>
      <w:szCs w:val="36"/>
    </w:rPr>
  </w:style>
  <w:style w:type="paragraph" w:customStyle="1" w:styleId="386">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87">
    <w:name w:val="样式 标题 3 + (中文) 黑体 小四 非加粗 段前: 7.8 磅 段后: 0 磅 行距: 固定值 20 磅"/>
    <w:basedOn w:val="6"/>
    <w:qFormat/>
    <w:uiPriority w:val="0"/>
    <w:pPr>
      <w:keepNext/>
      <w:keepLines/>
      <w:widowControl w:val="0"/>
      <w:spacing w:beforeLines="50" w:line="400" w:lineRule="exact"/>
      <w:jc w:val="both"/>
    </w:pPr>
    <w:rPr>
      <w:rFonts w:ascii="Calibri" w:hAnsi="Calibri" w:eastAsia="黑体" w:cs="Times New Roman"/>
      <w:bCs/>
      <w:kern w:val="2"/>
      <w:szCs w:val="20"/>
    </w:rPr>
  </w:style>
  <w:style w:type="paragraph" w:customStyle="1" w:styleId="388">
    <w:name w:val="msointensequote"/>
    <w:basedOn w:val="1"/>
    <w:next w:val="1"/>
    <w:qFormat/>
    <w:uiPriority w:val="0"/>
    <w:pPr>
      <w:widowControl/>
      <w:ind w:left="720" w:right="720"/>
      <w:jc w:val="left"/>
    </w:pPr>
    <w:rPr>
      <w:rFonts w:ascii="Times New Roman" w:hAnsi="Times New Roman"/>
      <w:b/>
      <w:i/>
      <w:kern w:val="0"/>
      <w:sz w:val="24"/>
    </w:rPr>
  </w:style>
  <w:style w:type="paragraph" w:customStyle="1" w:styleId="389">
    <w:name w:val="正文文本缩进 32"/>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390">
    <w:name w:val="样式 标题 2 + Times New Roman 四号 非加粗 段前: 5 磅 段后: 0 磅 行距: 固定值 20..."/>
    <w:basedOn w:val="5"/>
    <w:qFormat/>
    <w:uiPriority w:val="0"/>
    <w:pPr>
      <w:spacing w:before="100" w:after="0" w:line="400" w:lineRule="exact"/>
      <w:jc w:val="both"/>
    </w:pPr>
    <w:rPr>
      <w:rFonts w:hint="eastAsia" w:ascii="Times New Roman" w:hAnsi="Times New Roman" w:eastAsia="黑体" w:cs="宋体"/>
      <w:color w:val="auto"/>
      <w:kern w:val="0"/>
      <w:sz w:val="28"/>
      <w:szCs w:val="20"/>
    </w:rPr>
  </w:style>
  <w:style w:type="paragraph" w:customStyle="1" w:styleId="391">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2">
    <w:name w:val="表格标题"/>
    <w:basedOn w:val="383"/>
    <w:qFormat/>
    <w:uiPriority w:val="0"/>
    <w:pPr>
      <w:jc w:val="center"/>
    </w:pPr>
    <w:rPr>
      <w:b/>
      <w:bCs/>
    </w:rPr>
  </w:style>
  <w:style w:type="paragraph" w:customStyle="1" w:styleId="393">
    <w:name w:val="文二"/>
    <w:basedOn w:val="1"/>
    <w:qFormat/>
    <w:uiPriority w:val="0"/>
    <w:pPr>
      <w:jc w:val="left"/>
    </w:pPr>
    <w:rPr>
      <w:rFonts w:ascii="宋体" w:hAnsi="宋体"/>
      <w:szCs w:val="21"/>
    </w:rPr>
  </w:style>
  <w:style w:type="paragraph" w:customStyle="1" w:styleId="394">
    <w:name w:val="文档结构图2"/>
    <w:basedOn w:val="1"/>
    <w:qFormat/>
    <w:uiPriority w:val="0"/>
    <w:pPr>
      <w:shd w:val="clear" w:color="auto" w:fill="000080"/>
    </w:pPr>
    <w:rPr>
      <w:rFonts w:ascii="Times New Roman" w:hAnsi="Times New Roman"/>
      <w:sz w:val="30"/>
      <w:szCs w:val="24"/>
    </w:rPr>
  </w:style>
  <w:style w:type="paragraph" w:customStyle="1" w:styleId="395">
    <w:name w:val="修订2"/>
    <w:qFormat/>
    <w:uiPriority w:val="0"/>
    <w:rPr>
      <w:rFonts w:ascii="Times New Roman" w:hAnsi="Times New Roman" w:eastAsia="宋体" w:cs="Times New Roman"/>
      <w:kern w:val="2"/>
      <w:sz w:val="21"/>
      <w:lang w:val="en-US" w:eastAsia="zh-CN" w:bidi="ar-SA"/>
    </w:rPr>
  </w:style>
  <w:style w:type="paragraph" w:customStyle="1" w:styleId="396">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7">
    <w:name w:val="msotocheading"/>
    <w:basedOn w:val="3"/>
    <w:next w:val="1"/>
    <w:qFormat/>
    <w:uiPriority w:val="0"/>
    <w:pPr>
      <w:widowControl/>
      <w:spacing w:before="480" w:after="0" w:line="276" w:lineRule="auto"/>
      <w:jc w:val="left"/>
      <w:outlineLvl w:val="9"/>
    </w:pPr>
    <w:rPr>
      <w:rFonts w:ascii="Cambria" w:hAnsi="Cambria"/>
      <w:b w:val="0"/>
      <w:bCs/>
      <w:color w:val="365F91"/>
      <w:kern w:val="0"/>
    </w:rPr>
  </w:style>
  <w:style w:type="paragraph" w:customStyle="1" w:styleId="398">
    <w:name w:val="正文缩进1"/>
    <w:basedOn w:val="1"/>
    <w:qFormat/>
    <w:uiPriority w:val="0"/>
    <w:pPr>
      <w:ind w:firstLine="420" w:firstLineChars="200"/>
    </w:pPr>
    <w:rPr>
      <w:rFonts w:ascii="Times New Roman" w:hAnsi="Times New Roman"/>
      <w:sz w:val="30"/>
      <w:szCs w:val="24"/>
    </w:rPr>
  </w:style>
  <w:style w:type="paragraph" w:customStyle="1" w:styleId="399">
    <w:name w:val="日期1"/>
    <w:basedOn w:val="1"/>
    <w:next w:val="1"/>
    <w:qFormat/>
    <w:uiPriority w:val="0"/>
    <w:pPr>
      <w:suppressAutoHyphens/>
      <w:ind w:left="100"/>
    </w:pPr>
    <w:rPr>
      <w:rFonts w:ascii="Times New Roman" w:hAnsi="Times New Roman"/>
      <w:szCs w:val="20"/>
      <w:lang w:eastAsia="ar-SA"/>
    </w:rPr>
  </w:style>
  <w:style w:type="paragraph" w:customStyle="1" w:styleId="400">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1">
    <w:name w:val="样式 正文缩进正文（首行缩进两字）特点ALT+Z表正文正文非缩进四号段1Normal Indent Char2...2"/>
    <w:basedOn w:val="6"/>
    <w:qFormat/>
    <w:uiPriority w:val="0"/>
    <w:pPr>
      <w:keepNext/>
      <w:keepLines/>
      <w:widowControl w:val="0"/>
      <w:tabs>
        <w:tab w:val="left" w:pos="1680"/>
      </w:tabs>
      <w:spacing w:before="360" w:after="120"/>
      <w:ind w:left="1680" w:hanging="420"/>
      <w:jc w:val="center"/>
    </w:pPr>
    <w:rPr>
      <w:rFonts w:cs="Times New Roman"/>
      <w:b/>
      <w:bCs/>
      <w:sz w:val="28"/>
      <w:szCs w:val="20"/>
    </w:rPr>
  </w:style>
  <w:style w:type="paragraph" w:customStyle="1" w:styleId="402">
    <w:name w:val="正文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03">
    <w:name w:val="_Style 25"/>
    <w:basedOn w:val="1"/>
    <w:next w:val="1"/>
    <w:qFormat/>
    <w:uiPriority w:val="0"/>
    <w:rPr>
      <w:rFonts w:ascii="Times New Roman" w:hAnsi="Times New Roman"/>
    </w:rPr>
  </w:style>
  <w:style w:type="paragraph" w:customStyle="1" w:styleId="404">
    <w:name w:val="章节二"/>
    <w:basedOn w:val="181"/>
    <w:next w:val="181"/>
    <w:qFormat/>
    <w:uiPriority w:val="0"/>
    <w:pPr>
      <w:spacing w:beforeLines="50" w:line="240" w:lineRule="auto"/>
      <w:ind w:firstLine="0" w:firstLineChars="0"/>
      <w:jc w:val="center"/>
      <w:outlineLvl w:val="1"/>
    </w:pPr>
    <w:rPr>
      <w:rFonts w:eastAsia="黑体"/>
      <w:b/>
      <w:sz w:val="30"/>
      <w:szCs w:val="30"/>
    </w:rPr>
  </w:style>
  <w:style w:type="character" w:customStyle="1" w:styleId="405">
    <w:name w:val="列出段落 Char Char"/>
    <w:qFormat/>
    <w:uiPriority w:val="0"/>
  </w:style>
  <w:style w:type="character" w:customStyle="1" w:styleId="406">
    <w:name w:val="正文文本缩进 Char1"/>
    <w:basedOn w:val="51"/>
    <w:semiHidden/>
    <w:qFormat/>
    <w:uiPriority w:val="99"/>
    <w:rPr>
      <w:rFonts w:ascii="Calibri" w:hAnsi="Calibri" w:eastAsia="宋体" w:cs="Times New Roman"/>
    </w:rPr>
  </w:style>
  <w:style w:type="character" w:customStyle="1" w:styleId="407">
    <w:name w:val="正文文本缩进 3 Char1"/>
    <w:basedOn w:val="51"/>
    <w:semiHidden/>
    <w:qFormat/>
    <w:uiPriority w:val="99"/>
    <w:rPr>
      <w:rFonts w:ascii="Calibri" w:hAnsi="Calibri" w:eastAsia="宋体" w:cs="Times New Roman"/>
      <w:sz w:val="16"/>
      <w:szCs w:val="16"/>
    </w:rPr>
  </w:style>
  <w:style w:type="character" w:customStyle="1" w:styleId="408">
    <w:name w:val="日期 Char1"/>
    <w:basedOn w:val="51"/>
    <w:semiHidden/>
    <w:qFormat/>
    <w:uiPriority w:val="99"/>
    <w:rPr>
      <w:rFonts w:ascii="Calibri" w:hAnsi="Calibri" w:eastAsia="宋体" w:cs="Times New Roman"/>
    </w:rPr>
  </w:style>
  <w:style w:type="character" w:customStyle="1" w:styleId="409">
    <w:name w:val="批注文字 Char1"/>
    <w:basedOn w:val="51"/>
    <w:semiHidden/>
    <w:qFormat/>
    <w:uiPriority w:val="99"/>
    <w:rPr>
      <w:rFonts w:ascii="Calibri" w:hAnsi="Calibri" w:eastAsia="宋体" w:cs="Times New Roman"/>
    </w:rPr>
  </w:style>
  <w:style w:type="character" w:customStyle="1" w:styleId="410">
    <w:name w:val="文档结构图 Char1"/>
    <w:basedOn w:val="51"/>
    <w:semiHidden/>
    <w:qFormat/>
    <w:uiPriority w:val="99"/>
    <w:rPr>
      <w:rFonts w:ascii="宋体" w:hAnsi="Calibri" w:eastAsia="宋体" w:cs="Times New Roman"/>
      <w:sz w:val="18"/>
      <w:szCs w:val="18"/>
    </w:rPr>
  </w:style>
  <w:style w:type="character" w:customStyle="1" w:styleId="411">
    <w:name w:val="尾注文本 Char1"/>
    <w:basedOn w:val="51"/>
    <w:semiHidden/>
    <w:qFormat/>
    <w:uiPriority w:val="99"/>
    <w:rPr>
      <w:rFonts w:ascii="Calibri" w:hAnsi="Calibri" w:eastAsia="宋体" w:cs="Times New Roman"/>
    </w:rPr>
  </w:style>
  <w:style w:type="character" w:customStyle="1" w:styleId="412">
    <w:name w:val="正文首行缩进 Char1"/>
    <w:basedOn w:val="225"/>
    <w:semiHidden/>
    <w:qFormat/>
    <w:uiPriority w:val="99"/>
    <w:rPr>
      <w:rFonts w:hint="eastAsia" w:ascii="Calibri" w:hAnsi="Calibri" w:eastAsia="宋体" w:cs="Times New Roman"/>
      <w:kern w:val="2"/>
      <w:sz w:val="21"/>
      <w:szCs w:val="32"/>
      <w:lang w:val="en-US" w:eastAsia="zh-CN" w:bidi="ar-SA"/>
    </w:rPr>
  </w:style>
  <w:style w:type="character" w:customStyle="1" w:styleId="413">
    <w:name w:val="脚注文本 Char1"/>
    <w:basedOn w:val="51"/>
    <w:semiHidden/>
    <w:qFormat/>
    <w:uiPriority w:val="99"/>
    <w:rPr>
      <w:rFonts w:ascii="Calibri" w:hAnsi="Calibri" w:eastAsia="宋体" w:cs="Times New Roman"/>
      <w:sz w:val="18"/>
      <w:szCs w:val="18"/>
    </w:rPr>
  </w:style>
  <w:style w:type="character" w:customStyle="1" w:styleId="414">
    <w:name w:val="批注框文本 Char1"/>
    <w:basedOn w:val="51"/>
    <w:semiHidden/>
    <w:qFormat/>
    <w:uiPriority w:val="99"/>
    <w:rPr>
      <w:rFonts w:ascii="Calibri" w:hAnsi="Calibri" w:eastAsia="宋体" w:cs="Times New Roman"/>
      <w:sz w:val="18"/>
      <w:szCs w:val="18"/>
    </w:rPr>
  </w:style>
  <w:style w:type="character" w:customStyle="1" w:styleId="415">
    <w:name w:val="批注主题 Char1"/>
    <w:basedOn w:val="409"/>
    <w:semiHidden/>
    <w:qFormat/>
    <w:uiPriority w:val="99"/>
    <w:rPr>
      <w:rFonts w:ascii="Calibri" w:hAnsi="Calibri" w:eastAsia="宋体" w:cs="Times New Roman"/>
      <w:b/>
      <w:bCs/>
    </w:rPr>
  </w:style>
  <w:style w:type="character" w:customStyle="1" w:styleId="416">
    <w:name w:val="正文文本 2 Char1"/>
    <w:basedOn w:val="51"/>
    <w:semiHidden/>
    <w:qFormat/>
    <w:uiPriority w:val="99"/>
    <w:rPr>
      <w:rFonts w:ascii="Calibri" w:hAnsi="Calibri" w:eastAsia="宋体" w:cs="Times New Roman"/>
    </w:rPr>
  </w:style>
  <w:style w:type="character" w:customStyle="1" w:styleId="417">
    <w:name w:val="正文文本缩进 2 Char1"/>
    <w:basedOn w:val="51"/>
    <w:semiHidden/>
    <w:qFormat/>
    <w:uiPriority w:val="99"/>
    <w:rPr>
      <w:rFonts w:ascii="Calibri" w:hAnsi="Calibri" w:eastAsia="宋体" w:cs="Times New Roman"/>
    </w:rPr>
  </w:style>
  <w:style w:type="paragraph" w:customStyle="1" w:styleId="418">
    <w:name w:val="_Style 251"/>
    <w:basedOn w:val="1"/>
    <w:next w:val="1"/>
    <w:qFormat/>
    <w:uiPriority w:val="0"/>
    <w:rPr>
      <w:rFonts w:ascii="Times New Roman" w:hAnsi="Times New Roman"/>
    </w:rPr>
  </w:style>
  <w:style w:type="paragraph" w:customStyle="1" w:styleId="419">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420">
    <w:name w:val="正文文本首行缩进 字符"/>
    <w:qFormat/>
    <w:locked/>
    <w:uiPriority w:val="0"/>
    <w:rPr>
      <w:rFonts w:ascii="Times New Roman" w:hAnsi="Times New Roman" w:eastAsia="宋体" w:cs="Times New Roman"/>
      <w:sz w:val="20"/>
    </w:rPr>
  </w:style>
  <w:style w:type="paragraph" w:customStyle="1" w:styleId="421">
    <w:name w:val="页脚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2">
    <w:name w:val="页脚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3">
    <w:name w:val="页脚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4">
    <w:name w:val="页脚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5">
    <w:name w:val="页脚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6">
    <w:name w:val="页脚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7">
    <w:name w:val="页脚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8">
    <w:name w:val="页脚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9">
    <w:name w:val="页脚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0">
    <w:name w:val="页脚 New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1">
    <w:name w:val="页脚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2">
    <w:name w:val="页脚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3">
    <w:name w:val="页脚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4">
    <w:name w:val="页脚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5">
    <w:name w:val="页脚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6">
    <w:name w:val="页脚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7">
    <w:name w:val="页脚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8">
    <w:name w:val="页脚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9">
    <w:name w:val="页脚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40">
    <w:name w:val="文档结构图3"/>
    <w:basedOn w:val="1"/>
    <w:qFormat/>
    <w:uiPriority w:val="0"/>
    <w:pPr>
      <w:shd w:val="clear" w:color="auto" w:fill="000080"/>
    </w:pPr>
    <w:rPr>
      <w:rFonts w:ascii="Times New Roman" w:hAnsi="Times New Roman"/>
      <w:sz w:val="30"/>
      <w:szCs w:val="24"/>
    </w:rPr>
  </w:style>
  <w:style w:type="paragraph" w:customStyle="1" w:styleId="441">
    <w:name w:val="正文文本缩进 33"/>
    <w:basedOn w:val="1"/>
    <w:qFormat/>
    <w:uiPriority w:val="0"/>
    <w:pPr>
      <w:snapToGrid w:val="0"/>
      <w:spacing w:line="360" w:lineRule="auto"/>
      <w:ind w:left="20" w:firstLine="529" w:firstLineChars="189"/>
    </w:pPr>
    <w:rPr>
      <w:rFonts w:ascii="仿宋_GB2312" w:hAnsi="Times New Roman" w:eastAsia="仿宋_GB2312"/>
      <w:sz w:val="28"/>
      <w:szCs w:val="24"/>
    </w:rPr>
  </w:style>
  <w:style w:type="character" w:customStyle="1" w:styleId="442">
    <w:name w:val="页脚 Char1"/>
    <w:basedOn w:val="51"/>
    <w:semiHidden/>
    <w:qFormat/>
    <w:uiPriority w:val="99"/>
    <w:rPr>
      <w:rFonts w:ascii="Calibri" w:hAnsi="Calibri"/>
      <w:kern w:val="2"/>
      <w:sz w:val="18"/>
      <w:szCs w:val="18"/>
    </w:rPr>
  </w:style>
  <w:style w:type="character" w:customStyle="1" w:styleId="443">
    <w:name w:val="页眉 Char1"/>
    <w:basedOn w:val="51"/>
    <w:semiHidden/>
    <w:qFormat/>
    <w:uiPriority w:val="99"/>
    <w:rPr>
      <w:rFonts w:ascii="Calibri" w:hAnsi="Calibri"/>
      <w:kern w:val="2"/>
      <w:sz w:val="18"/>
      <w:szCs w:val="18"/>
    </w:rPr>
  </w:style>
  <w:style w:type="paragraph" w:customStyle="1" w:styleId="444">
    <w:name w:val="正文2"/>
    <w:qFormat/>
    <w:uiPriority w:val="0"/>
    <w:rPr>
      <w:rFonts w:ascii="Times New Roman" w:hAnsi="Times New Roman" w:eastAsia="Times New Roman" w:cs="Times New Roman"/>
      <w:sz w:val="24"/>
      <w:szCs w:val="24"/>
      <w:lang w:val="en-US" w:eastAsia="zh-CN" w:bidi="ar-SA"/>
    </w:rPr>
  </w:style>
  <w:style w:type="paragraph" w:customStyle="1" w:styleId="445">
    <w:name w:val="正文文本缩进 23"/>
    <w:basedOn w:val="1"/>
    <w:qFormat/>
    <w:uiPriority w:val="0"/>
    <w:pPr>
      <w:spacing w:line="420" w:lineRule="exact"/>
      <w:ind w:firstLine="480"/>
    </w:pPr>
    <w:rPr>
      <w:rFonts w:ascii="Times New Roman" w:hAnsi="Times New Roman"/>
      <w:b/>
      <w:sz w:val="24"/>
      <w:szCs w:val="20"/>
    </w:rPr>
  </w:style>
  <w:style w:type="paragraph" w:customStyle="1" w:styleId="446">
    <w:name w:val="纯文本3"/>
    <w:basedOn w:val="1"/>
    <w:qFormat/>
    <w:uiPriority w:val="0"/>
    <w:rPr>
      <w:rFonts w:ascii="宋体" w:hAnsi="Courier New"/>
      <w:sz w:val="24"/>
      <w:szCs w:val="20"/>
    </w:rPr>
  </w:style>
  <w:style w:type="paragraph" w:customStyle="1" w:styleId="447">
    <w:name w:val="正文首行缩进2"/>
    <w:basedOn w:val="20"/>
    <w:qFormat/>
    <w:uiPriority w:val="0"/>
    <w:pPr>
      <w:ind w:firstLine="420" w:firstLineChars="100"/>
    </w:pPr>
    <w:rPr>
      <w:rFonts w:ascii="Times New Roman"/>
      <w:kern w:val="0"/>
      <w:sz w:val="30"/>
      <w:szCs w:val="24"/>
    </w:rPr>
  </w:style>
  <w:style w:type="paragraph" w:customStyle="1" w:styleId="448">
    <w:name w:val="正文文本缩进2"/>
    <w:basedOn w:val="1"/>
    <w:qFormat/>
    <w:uiPriority w:val="0"/>
    <w:pPr>
      <w:ind w:firstLine="480"/>
    </w:pPr>
    <w:rPr>
      <w:rFonts w:ascii="Times New Roman" w:hAnsi="Times New Roman"/>
      <w:sz w:val="24"/>
      <w:szCs w:val="20"/>
    </w:rPr>
  </w:style>
  <w:style w:type="paragraph" w:customStyle="1" w:styleId="449">
    <w:name w:val="正文缩进2"/>
    <w:basedOn w:val="1"/>
    <w:qFormat/>
    <w:uiPriority w:val="0"/>
    <w:pPr>
      <w:ind w:firstLine="420" w:firstLineChars="200"/>
    </w:pPr>
    <w:rPr>
      <w:rFonts w:ascii="Times New Roman" w:hAnsi="Times New Roman"/>
      <w:sz w:val="30"/>
      <w:szCs w:val="24"/>
    </w:rPr>
  </w:style>
  <w:style w:type="paragraph" w:customStyle="1" w:styleId="450">
    <w:name w:val="表格文字缩进"/>
    <w:basedOn w:val="326"/>
    <w:qFormat/>
    <w:uiPriority w:val="0"/>
    <w:pPr>
      <w:widowControl/>
      <w:tabs>
        <w:tab w:val="clear" w:pos="720"/>
        <w:tab w:val="clear" w:pos="900"/>
      </w:tabs>
      <w:adjustRightInd/>
      <w:snapToGrid/>
      <w:spacing w:beforeLines="0" w:afterLines="0" w:line="240" w:lineRule="atLeast"/>
      <w:ind w:firstLine="360" w:firstLineChars="200"/>
      <w:jc w:val="left"/>
    </w:pPr>
    <w:rPr>
      <w:rFonts w:ascii="Times New Roman" w:hAnsi="Times New Roman" w:cs="宋体"/>
      <w:color w:val="000000"/>
      <w:sz w:val="21"/>
      <w:szCs w:val="18"/>
    </w:rPr>
  </w:style>
  <w:style w:type="paragraph" w:customStyle="1" w:styleId="451">
    <w:name w:val="正文文本3"/>
    <w:basedOn w:val="1"/>
    <w:qFormat/>
    <w:uiPriority w:val="0"/>
    <w:pPr>
      <w:shd w:val="clear" w:color="auto" w:fill="FFFFFF"/>
      <w:spacing w:line="0" w:lineRule="atLeast"/>
      <w:jc w:val="left"/>
    </w:pPr>
    <w:rPr>
      <w:rFonts w:ascii="宋体" w:hAnsi="宋体"/>
      <w:kern w:val="0"/>
      <w:sz w:val="19"/>
      <w:szCs w:val="19"/>
    </w:rPr>
  </w:style>
  <w:style w:type="paragraph" w:customStyle="1" w:styleId="452">
    <w:name w:val="正文缩进3"/>
    <w:basedOn w:val="1"/>
    <w:qFormat/>
    <w:uiPriority w:val="0"/>
    <w:pPr>
      <w:ind w:firstLine="420" w:firstLineChars="200"/>
    </w:pPr>
    <w:rPr>
      <w:rFonts w:ascii="Times New Roman" w:hAnsi="Times New Roman"/>
      <w:sz w:val="30"/>
      <w:szCs w:val="24"/>
    </w:rPr>
  </w:style>
  <w:style w:type="character" w:customStyle="1" w:styleId="453">
    <w:name w:val="页码2"/>
    <w:basedOn w:val="51"/>
    <w:qFormat/>
    <w:uiPriority w:val="0"/>
  </w:style>
  <w:style w:type="paragraph" w:customStyle="1" w:styleId="454">
    <w:name w:val="正文文本缩进3"/>
    <w:basedOn w:val="1"/>
    <w:qFormat/>
    <w:uiPriority w:val="0"/>
    <w:pPr>
      <w:ind w:firstLine="480"/>
    </w:pPr>
    <w:rPr>
      <w:rFonts w:ascii="Times New Roman" w:hAnsi="Times New Roman"/>
      <w:sz w:val="24"/>
      <w:szCs w:val="20"/>
    </w:rPr>
  </w:style>
  <w:style w:type="paragraph" w:customStyle="1" w:styleId="455">
    <w:name w:val="普通(网站)3"/>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456">
    <w:name w:val="正文文本缩进 34"/>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457">
    <w:name w:val="正文文本缩进 24"/>
    <w:basedOn w:val="1"/>
    <w:qFormat/>
    <w:uiPriority w:val="0"/>
    <w:pPr>
      <w:spacing w:line="420" w:lineRule="exact"/>
      <w:ind w:firstLine="480"/>
    </w:pPr>
    <w:rPr>
      <w:rFonts w:ascii="Times New Roman" w:hAnsi="Times New Roman"/>
      <w:b/>
      <w:sz w:val="24"/>
      <w:szCs w:val="20"/>
    </w:rPr>
  </w:style>
  <w:style w:type="paragraph" w:customStyle="1" w:styleId="458">
    <w:name w:val="纯文本4"/>
    <w:basedOn w:val="1"/>
    <w:qFormat/>
    <w:uiPriority w:val="0"/>
    <w:rPr>
      <w:rFonts w:ascii="宋体" w:hAnsi="Courier New"/>
      <w:sz w:val="24"/>
      <w:szCs w:val="20"/>
    </w:rPr>
  </w:style>
  <w:style w:type="paragraph" w:customStyle="1" w:styleId="459">
    <w:name w:val="正文首行缩进3"/>
    <w:basedOn w:val="20"/>
    <w:qFormat/>
    <w:uiPriority w:val="0"/>
    <w:pPr>
      <w:ind w:firstLine="420" w:firstLineChars="100"/>
    </w:pPr>
    <w:rPr>
      <w:rFonts w:ascii="Times New Roman" w:hAnsi="Times New Roman"/>
      <w:sz w:val="30"/>
      <w:szCs w:val="24"/>
    </w:rPr>
  </w:style>
  <w:style w:type="paragraph" w:customStyle="1" w:styleId="460">
    <w:name w:val="文档结构图4"/>
    <w:basedOn w:val="1"/>
    <w:qFormat/>
    <w:uiPriority w:val="0"/>
    <w:pPr>
      <w:shd w:val="clear" w:color="auto" w:fill="000080"/>
    </w:pPr>
    <w:rPr>
      <w:rFonts w:ascii="Times New Roman" w:hAnsi="Times New Roman"/>
      <w:sz w:val="30"/>
      <w:szCs w:val="24"/>
    </w:rPr>
  </w:style>
  <w:style w:type="character" w:styleId="461">
    <w:name w:val="Placeholder Text"/>
    <w:basedOn w:val="51"/>
    <w:semiHidden/>
    <w:qFormat/>
    <w:uiPriority w:val="99"/>
    <w:rPr>
      <w:color w:val="808080"/>
    </w:rPr>
  </w:style>
  <w:style w:type="paragraph" w:customStyle="1" w:styleId="462">
    <w:name w:val="PlainText"/>
    <w:basedOn w:val="1"/>
    <w:qFormat/>
    <w:uiPriority w:val="0"/>
    <w:rPr>
      <w:rFonts w:ascii="宋体" w:hAnsi="Courier New"/>
      <w:kern w:val="0"/>
      <w:sz w:val="20"/>
      <w:szCs w:val="20"/>
    </w:rPr>
  </w:style>
  <w:style w:type="character" w:customStyle="1" w:styleId="463">
    <w:name w:val="NormalCharacter"/>
    <w:qFormat/>
    <w:uiPriority w:val="0"/>
    <w:rPr>
      <w:kern w:val="2"/>
      <w:sz w:val="21"/>
      <w:szCs w:val="22"/>
      <w:lang w:val="en-US" w:eastAsia="zh-CN" w:bidi="ar-SA"/>
    </w:rPr>
  </w:style>
  <w:style w:type="paragraph" w:customStyle="1" w:styleId="464">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465">
    <w:name w:val="15"/>
    <w:qFormat/>
    <w:uiPriority w:val="0"/>
    <w:rPr>
      <w:rFonts w:hint="eastAsia" w:ascii="等线" w:hAnsi="等线" w:eastAsia="等线" w:cs="Times New Roman"/>
    </w:rPr>
  </w:style>
  <w:style w:type="character" w:customStyle="1" w:styleId="466">
    <w:name w:val="正文首行缩进 2 字符"/>
    <w:basedOn w:val="105"/>
    <w:link w:val="48"/>
    <w:semiHidden/>
    <w:qFormat/>
    <w:uiPriority w:val="99"/>
    <w:rPr>
      <w:rFonts w:ascii="Calibri" w:hAnsi="Calibri" w:eastAsia="宋体" w:cs="Times New Roman"/>
      <w:sz w:val="28"/>
      <w:szCs w:val="20"/>
    </w:rPr>
  </w:style>
  <w:style w:type="paragraph" w:customStyle="1" w:styleId="467">
    <w:name w:val="修订3"/>
    <w:hidden/>
    <w:semiHidden/>
    <w:qFormat/>
    <w:uiPriority w:val="99"/>
    <w:rPr>
      <w:rFonts w:ascii="Calibri" w:hAnsi="Calibri" w:eastAsia="宋体" w:cs="Times New Roman"/>
      <w:kern w:val="2"/>
      <w:sz w:val="21"/>
      <w:szCs w:val="22"/>
      <w:lang w:val="en-US" w:eastAsia="zh-CN" w:bidi="ar-SA"/>
    </w:rPr>
  </w:style>
  <w:style w:type="paragraph" w:customStyle="1" w:styleId="468">
    <w:name w:val="修订4"/>
    <w:hidden/>
    <w:semiHidden/>
    <w:qFormat/>
    <w:uiPriority w:val="99"/>
    <w:rPr>
      <w:rFonts w:ascii="Calibri" w:hAnsi="Calibri" w:eastAsia="宋体" w:cs="Times New Roman"/>
      <w:kern w:val="2"/>
      <w:sz w:val="21"/>
      <w:szCs w:val="22"/>
      <w:lang w:val="en-US" w:eastAsia="zh-CN" w:bidi="ar-SA"/>
    </w:rPr>
  </w:style>
  <w:style w:type="paragraph" w:customStyle="1" w:styleId="469">
    <w:name w:val="样式 宋体 四号 首行缩进:  2 字符"/>
    <w:basedOn w:val="1"/>
    <w:qFormat/>
    <w:uiPriority w:val="0"/>
    <w:pPr>
      <w:widowControl/>
    </w:pPr>
    <w:rPr>
      <w:rFonts w:ascii="Times New Roman" w:hAnsi="Times New Roman" w:cs="宋体"/>
      <w:color w:val="000000"/>
      <w:kern w:val="0"/>
      <w:szCs w:val="20"/>
    </w:rPr>
  </w:style>
  <w:style w:type="paragraph" w:customStyle="1" w:styleId="470">
    <w:name w:val="修订5"/>
    <w:hidden/>
    <w:semiHidden/>
    <w:qFormat/>
    <w:uiPriority w:val="99"/>
    <w:rPr>
      <w:rFonts w:ascii="Calibri" w:hAnsi="Calibri" w:eastAsia="宋体" w:cs="Times New Roman"/>
      <w:kern w:val="2"/>
      <w:sz w:val="21"/>
      <w:szCs w:val="22"/>
      <w:lang w:val="en-US" w:eastAsia="zh-CN" w:bidi="ar-SA"/>
    </w:rPr>
  </w:style>
  <w:style w:type="table" w:customStyle="1" w:styleId="471">
    <w:name w:val="网格型1"/>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8.emf"/><Relationship Id="rId3" Type="http://schemas.openxmlformats.org/officeDocument/2006/relationships/header" Target="header1.xml"/><Relationship Id="rId29" Type="http://schemas.openxmlformats.org/officeDocument/2006/relationships/image" Target="media/image7.emf"/><Relationship Id="rId28" Type="http://schemas.openxmlformats.org/officeDocument/2006/relationships/image" Target="media/image6.emf"/><Relationship Id="rId27" Type="http://schemas.openxmlformats.org/officeDocument/2006/relationships/image" Target="media/image5.emf"/><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180</Pages>
  <Words>121615</Words>
  <Characters>127180</Characters>
  <Lines>1032</Lines>
  <Paragraphs>290</Paragraphs>
  <TotalTime>20</TotalTime>
  <ScaleCrop>false</ScaleCrop>
  <LinksUpToDate>false</LinksUpToDate>
  <CharactersWithSpaces>134277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2022-05-31T08:22:00Z</dcterms:created>
  <dc:creator>Admin</dc:creator>
  <cp:lastModifiedBy>NTKO</cp:lastModifiedBy>
  <cp:lastPrinted>2024-06-28T06:16:00Z</cp:lastPrinted>
  <dcterms:modified xsi:type="dcterms:W3CDTF">2024-07-01T09:33:17Z</dcterms:modified>
  <dc:title>黄埔区科学城连接知识城快速通道（南段）工程施工总承包</dc:title>
  <cp:revision>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F8D749D5933D4567A364AC75475A16AE</vt:lpwstr>
  </property>
</Properties>
</file>