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default" w:ascii="Calibri" w:hAnsi="Calibri" w:eastAsia="宋体" w:cs="Times New Roman"/>
          <w:lang w:val="en-US" w:eastAsia="zh-Hans" w:bidi="ar-SA"/>
        </w:rPr>
      </w:pPr>
      <w:r>
        <w:rPr>
          <w:rFonts w:hint="eastAsia" w:ascii="Calibri" w:hAnsi="Calibri" w:eastAsia="宋体" w:cs="Times New Roman"/>
          <w:b/>
          <w:sz w:val="36"/>
          <w:lang w:val="en-US" w:eastAsia="zh-Hans" w:bidi="ar-SA"/>
        </w:rPr>
        <w:t>第二章 采购需求</w:t>
      </w:r>
    </w:p>
    <w:p>
      <w:pPr>
        <w:outlineLvl w:val="2"/>
        <w:rPr>
          <w:rFonts w:hint="default" w:ascii="Calibri" w:hAnsi="Calibri" w:eastAsia="宋体" w:cs="Times New Roman"/>
          <w:lang w:val="en-US" w:eastAsia="zh-Hans" w:bidi="ar-SA"/>
        </w:rPr>
      </w:pPr>
      <w:r>
        <w:rPr>
          <w:rFonts w:hint="eastAsia" w:ascii="Calibri" w:hAnsi="Calibri" w:eastAsia="宋体" w:cs="Times New Roman"/>
          <w:b/>
          <w:sz w:val="28"/>
          <w:lang w:val="en-US" w:eastAsia="zh-Hans" w:bidi="ar-SA"/>
        </w:rPr>
        <w:t>一、项目概况：</w:t>
      </w:r>
    </w:p>
    <w:tbl>
      <w:tblPr>
        <w:tblStyle w:val="7"/>
        <w:tblW w:w="89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962"/>
        <w:gridCol w:w="851"/>
        <w:gridCol w:w="3118"/>
        <w:gridCol w:w="2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1" w:hRule="atLeast"/>
          <w:jc w:val="center"/>
        </w:trPr>
        <w:tc>
          <w:tcPr>
            <w:tcW w:w="2962" w:type="dxa"/>
            <w:shd w:val="clear" w:color="auto" w:fill="EEECE1"/>
            <w:vAlign w:val="center"/>
          </w:tcPr>
          <w:p>
            <w:pPr>
              <w:widowControl w:val="0"/>
              <w:spacing w:line="360" w:lineRule="auto"/>
              <w:jc w:val="center"/>
              <w:rPr>
                <w:rFonts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采购内容</w:t>
            </w:r>
          </w:p>
        </w:tc>
        <w:tc>
          <w:tcPr>
            <w:tcW w:w="851" w:type="dxa"/>
            <w:shd w:val="clear" w:color="auto" w:fill="EEECE1"/>
            <w:vAlign w:val="center"/>
          </w:tcPr>
          <w:p>
            <w:pPr>
              <w:widowControl w:val="0"/>
              <w:spacing w:line="360" w:lineRule="auto"/>
              <w:jc w:val="center"/>
              <w:rPr>
                <w:rFonts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数量</w:t>
            </w:r>
          </w:p>
        </w:tc>
        <w:tc>
          <w:tcPr>
            <w:tcW w:w="3118" w:type="dxa"/>
            <w:shd w:val="clear" w:color="auto" w:fill="EEECE1"/>
            <w:vAlign w:val="center"/>
          </w:tcPr>
          <w:p>
            <w:pPr>
              <w:widowControl w:val="0"/>
              <w:spacing w:line="360" w:lineRule="auto"/>
              <w:jc w:val="center"/>
              <w:rPr>
                <w:rFonts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交货期</w:t>
            </w:r>
          </w:p>
        </w:tc>
        <w:tc>
          <w:tcPr>
            <w:tcW w:w="2000" w:type="dxa"/>
            <w:shd w:val="clear" w:color="auto" w:fill="EEECE1"/>
            <w:vAlign w:val="center"/>
          </w:tcPr>
          <w:p>
            <w:pPr>
              <w:widowControl w:val="0"/>
              <w:spacing w:line="360" w:lineRule="auto"/>
              <w:jc w:val="center"/>
              <w:rPr>
                <w:rFonts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3" w:hRule="atLeast"/>
          <w:jc w:val="center"/>
        </w:trPr>
        <w:tc>
          <w:tcPr>
            <w:tcW w:w="2962" w:type="dxa"/>
            <w:vAlign w:val="center"/>
          </w:tcPr>
          <w:p>
            <w:pPr>
              <w:widowControl w:val="0"/>
              <w:spacing w:line="360" w:lineRule="auto"/>
              <w:jc w:val="center"/>
              <w:rPr>
                <w:rFonts w:ascii="宋体" w:hAnsi="宋体" w:eastAsia="宋体" w:cs="Times New Roman"/>
                <w:bCs/>
                <w:color w:val="000000"/>
                <w:kern w:val="2"/>
                <w:sz w:val="24"/>
                <w:szCs w:val="24"/>
                <w:lang w:val="en-US" w:eastAsia="zh-CN" w:bidi="ar-SA"/>
              </w:rPr>
            </w:pPr>
            <w:r>
              <w:rPr>
                <w:rFonts w:hint="eastAsia" w:ascii="宋体" w:hAnsi="宋体" w:eastAsia="宋体" w:cs="Times New Roman"/>
                <w:bCs/>
                <w:color w:val="000000"/>
                <w:kern w:val="2"/>
                <w:sz w:val="24"/>
                <w:szCs w:val="24"/>
                <w:lang w:val="en-US" w:eastAsia="zh-CN" w:bidi="ar-SA"/>
              </w:rPr>
              <w:t xml:space="preserve"> 人工智能+交通场景应用综合实践应用实训室（智慧交通综合实训基地二期）</w:t>
            </w:r>
          </w:p>
        </w:tc>
        <w:tc>
          <w:tcPr>
            <w:tcW w:w="851" w:type="dxa"/>
            <w:vAlign w:val="center"/>
          </w:tcPr>
          <w:p>
            <w:pPr>
              <w:widowControl w:val="0"/>
              <w:spacing w:line="360" w:lineRule="auto"/>
              <w:jc w:val="center"/>
              <w:rPr>
                <w:rFonts w:ascii="宋体" w:hAnsi="宋体" w:eastAsia="宋体" w:cs="Times New Roman"/>
                <w:bCs/>
                <w:color w:val="000000"/>
                <w:kern w:val="2"/>
                <w:sz w:val="24"/>
                <w:szCs w:val="24"/>
                <w:lang w:val="en-US" w:eastAsia="zh-CN" w:bidi="ar-SA"/>
              </w:rPr>
            </w:pPr>
            <w:r>
              <w:rPr>
                <w:rFonts w:hint="eastAsia" w:ascii="宋体" w:hAnsi="宋体" w:eastAsia="宋体" w:cs="Times New Roman"/>
                <w:bCs/>
                <w:color w:val="000000"/>
                <w:kern w:val="2"/>
                <w:sz w:val="24"/>
                <w:szCs w:val="24"/>
                <w:lang w:val="en-US" w:eastAsia="zh-CN" w:bidi="ar-SA"/>
              </w:rPr>
              <w:t>1批</w:t>
            </w:r>
          </w:p>
        </w:tc>
        <w:tc>
          <w:tcPr>
            <w:tcW w:w="3118" w:type="dxa"/>
            <w:vAlign w:val="center"/>
          </w:tcPr>
          <w:p>
            <w:pPr>
              <w:keepNext/>
              <w:widowControl w:val="0"/>
              <w:adjustRightInd w:val="0"/>
              <w:spacing w:before="60" w:after="60" w:line="440" w:lineRule="exact"/>
              <w:ind w:hanging="67"/>
              <w:jc w:val="center"/>
              <w:textAlignment w:val="center"/>
              <w:rPr>
                <w:rFonts w:ascii="宋体" w:hAnsi="宋体" w:eastAsia="宋体" w:cs="Times New Roman"/>
                <w:snapToGrid/>
                <w:color w:val="000000"/>
                <w:spacing w:val="0"/>
                <w:kern w:val="2"/>
                <w:sz w:val="24"/>
                <w:szCs w:val="24"/>
                <w:lang w:val="en-US" w:eastAsia="zh-CN" w:bidi="ar-SA"/>
              </w:rPr>
            </w:pPr>
            <w:r>
              <w:rPr>
                <w:rFonts w:hint="eastAsia" w:ascii="宋体" w:hAnsi="宋体" w:eastAsia="宋体" w:cs="Times New Roman"/>
                <w:snapToGrid/>
                <w:color w:val="000000"/>
                <w:spacing w:val="0"/>
                <w:kern w:val="2"/>
                <w:sz w:val="24"/>
                <w:szCs w:val="24"/>
                <w:lang w:val="en-US" w:eastAsia="zh-CN" w:bidi="ar-SA"/>
              </w:rPr>
              <w:t>自合同签订之日起</w:t>
            </w:r>
            <w:r>
              <w:rPr>
                <w:rFonts w:ascii="宋体" w:hAnsi="宋体" w:eastAsia="宋体" w:cs="Times New Roman"/>
                <w:snapToGrid/>
                <w:color w:val="000000"/>
                <w:spacing w:val="0"/>
                <w:kern w:val="2"/>
                <w:sz w:val="24"/>
                <w:szCs w:val="24"/>
                <w:u w:val="single"/>
                <w:lang w:val="en-US" w:eastAsia="zh-CN" w:bidi="ar-SA"/>
              </w:rPr>
              <w:t>120</w:t>
            </w:r>
            <w:r>
              <w:rPr>
                <w:rFonts w:hint="eastAsia" w:ascii="宋体" w:hAnsi="宋体" w:eastAsia="宋体" w:cs="Times New Roman"/>
                <w:snapToGrid/>
                <w:color w:val="000000"/>
                <w:spacing w:val="0"/>
                <w:kern w:val="2"/>
                <w:sz w:val="24"/>
                <w:szCs w:val="24"/>
                <w:lang w:val="en-US" w:eastAsia="zh-CN" w:bidi="ar-SA"/>
              </w:rPr>
              <w:t>日历天内</w:t>
            </w:r>
          </w:p>
        </w:tc>
        <w:tc>
          <w:tcPr>
            <w:tcW w:w="2000" w:type="dxa"/>
            <w:vAlign w:val="center"/>
          </w:tcPr>
          <w:p>
            <w:pPr>
              <w:keepNext/>
              <w:widowControl w:val="0"/>
              <w:adjustRightInd w:val="0"/>
              <w:spacing w:before="60" w:after="60" w:line="440" w:lineRule="exact"/>
              <w:ind w:firstLine="120"/>
              <w:jc w:val="center"/>
              <w:textAlignment w:val="center"/>
              <w:rPr>
                <w:rFonts w:ascii="宋体" w:hAnsi="宋体" w:eastAsia="宋体" w:cs="Times New Roman"/>
                <w:snapToGrid/>
                <w:color w:val="000000"/>
                <w:spacing w:val="0"/>
                <w:kern w:val="2"/>
                <w:sz w:val="24"/>
                <w:szCs w:val="24"/>
                <w:lang w:val="en-US" w:eastAsia="zh-CN" w:bidi="ar-SA"/>
              </w:rPr>
            </w:pPr>
            <w:r>
              <w:rPr>
                <w:rFonts w:hint="eastAsia" w:ascii="宋体" w:hAnsi="宋体" w:eastAsia="宋体" w:cs="宋体"/>
                <w:color w:val="000000"/>
                <w:kern w:val="2"/>
                <w:sz w:val="24"/>
                <w:szCs w:val="24"/>
                <w:lang w:val="en-US" w:eastAsia="zh-CN" w:bidi="ar-SA"/>
              </w:rPr>
              <w:t>人民币148.91万元</w:t>
            </w:r>
          </w:p>
        </w:tc>
      </w:tr>
    </w:tbl>
    <w:p>
      <w:pPr>
        <w:widowControl w:val="0"/>
        <w:spacing w:line="500" w:lineRule="exact"/>
        <w:ind w:firstLine="482" w:firstLineChars="200"/>
        <w:jc w:val="center"/>
        <w:rPr>
          <w:rFonts w:ascii="宋体" w:hAnsi="宋体" w:eastAsia="宋体" w:cs="Times New Roman"/>
          <w:b/>
          <w:kern w:val="2"/>
          <w:sz w:val="24"/>
          <w:szCs w:val="24"/>
          <w:lang w:val="en-US" w:eastAsia="zh-CN" w:bidi="ar-SA"/>
        </w:rPr>
      </w:pPr>
    </w:p>
    <w:p>
      <w:pPr>
        <w:widowControl w:val="0"/>
        <w:spacing w:line="500" w:lineRule="exact"/>
        <w:ind w:firstLine="480" w:firstLineChars="200"/>
        <w:jc w:val="left"/>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项目类型：货物类</w:t>
      </w:r>
    </w:p>
    <w:p>
      <w:pPr>
        <w:widowControl w:val="0"/>
        <w:spacing w:line="500" w:lineRule="exact"/>
        <w:ind w:firstLine="480" w:firstLineChars="200"/>
        <w:jc w:val="left"/>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本项目核心产品为</w:t>
      </w:r>
      <w:r>
        <w:rPr>
          <w:rFonts w:ascii="宋体" w:hAnsi="宋体" w:eastAsia="宋体" w:cs="宋体"/>
          <w:color w:val="000000"/>
          <w:kern w:val="2"/>
          <w:sz w:val="24"/>
          <w:szCs w:val="24"/>
          <w:u w:val="single"/>
          <w:lang w:val="en-US" w:eastAsia="zh-CN" w:bidi="ar-SA"/>
        </w:rPr>
        <w:t xml:space="preserve"> </w:t>
      </w:r>
      <w:r>
        <w:rPr>
          <w:rFonts w:hint="eastAsia" w:ascii="宋体" w:hAnsi="宋体" w:eastAsia="宋体" w:cs="宋体"/>
          <w:color w:val="000000"/>
          <w:kern w:val="2"/>
          <w:sz w:val="24"/>
          <w:szCs w:val="24"/>
          <w:u w:val="single"/>
          <w:lang w:val="en-US" w:eastAsia="zh-CN" w:bidi="ar"/>
        </w:rPr>
        <w:t>车路协同智能网联无人驾驶平台</w:t>
      </w:r>
      <w:r>
        <w:rPr>
          <w:rFonts w:hint="eastAsia" w:ascii="宋体" w:hAnsi="宋体" w:eastAsia="宋体" w:cs="宋体"/>
          <w:color w:val="000000"/>
          <w:kern w:val="2"/>
          <w:sz w:val="24"/>
          <w:szCs w:val="24"/>
          <w:lang w:val="en-US" w:eastAsia="zh-CN" w:bidi="ar-SA"/>
        </w:rPr>
        <w:t>（多家投标人提供的核心产品中任意一个产品品牌相同的，按一家投标人计算）。投标人必须在投标文件中填写所投核心产品的品牌，</w:t>
      </w:r>
      <w:bookmarkStart w:id="0" w:name="_GoBack"/>
      <w:bookmarkEnd w:id="0"/>
      <w:r>
        <w:rPr>
          <w:rFonts w:hint="eastAsia" w:ascii="宋体" w:hAnsi="宋体" w:eastAsia="宋体" w:cs="宋体"/>
          <w:color w:val="000000"/>
          <w:kern w:val="2"/>
          <w:sz w:val="24"/>
          <w:szCs w:val="24"/>
          <w:lang w:val="en-US" w:eastAsia="zh-CN" w:bidi="ar-SA"/>
        </w:rPr>
        <w:t>否则按无效投标处理。</w:t>
      </w:r>
    </w:p>
    <w:p>
      <w:pPr>
        <w:widowControl w:val="0"/>
        <w:spacing w:line="500" w:lineRule="exact"/>
        <w:ind w:firstLine="480" w:firstLineChars="200"/>
        <w:jc w:val="left"/>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★本次采购产品为非进口产品（进口产品指通过中国海关报关验放进入中国境内且产自关境外的产品）。</w:t>
      </w:r>
    </w:p>
    <w:p>
      <w:pPr>
        <w:widowControl w:val="0"/>
        <w:spacing w:line="500" w:lineRule="exact"/>
        <w:ind w:firstLine="480" w:firstLineChars="200"/>
        <w:jc w:val="left"/>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★凡属于《中华人民共和国实施强制性产品认证的产品目录》的产品，请投标人在投标文件中承诺在交货时提供该产品的“中国强制性产品认证”（CCC认证）证书。</w:t>
      </w:r>
    </w:p>
    <w:p>
      <w:pPr>
        <w:widowControl w:val="0"/>
        <w:spacing w:line="500" w:lineRule="exact"/>
        <w:jc w:val="both"/>
        <w:rPr>
          <w:rFonts w:ascii="宋体" w:hAnsi="宋体" w:eastAsia="宋体" w:cs="Times New Roman"/>
          <w:b/>
          <w:kern w:val="2"/>
          <w:sz w:val="24"/>
          <w:szCs w:val="24"/>
          <w:lang w:val="en-US" w:eastAsia="zh-CN" w:bidi="ar-SA"/>
        </w:rPr>
      </w:pPr>
    </w:p>
    <w:p>
      <w:pPr>
        <w:widowControl w:val="0"/>
        <w:numPr>
          <w:ilvl w:val="0"/>
          <w:numId w:val="1"/>
        </w:numPr>
        <w:tabs>
          <w:tab w:val="left" w:pos="540"/>
        </w:tabs>
        <w:adjustRightInd w:val="0"/>
        <w:snapToGrid w:val="0"/>
        <w:spacing w:line="360" w:lineRule="auto"/>
        <w:ind w:left="420" w:hanging="420"/>
        <w:jc w:val="both"/>
        <w:rPr>
          <w:rFonts w:ascii="宋体" w:hAnsi="宋体" w:eastAsia="宋体" w:cs="Times New Roman"/>
          <w:b/>
          <w:kern w:val="0"/>
          <w:sz w:val="24"/>
          <w:szCs w:val="24"/>
          <w:lang w:val="en-US" w:eastAsia="zh-CN" w:bidi="ar-SA"/>
        </w:rPr>
      </w:pPr>
      <w:r>
        <w:rPr>
          <w:rFonts w:hint="eastAsia" w:ascii="宋体" w:hAnsi="宋体" w:eastAsia="宋体" w:cs="Times New Roman"/>
          <w:b/>
          <w:kern w:val="0"/>
          <w:sz w:val="24"/>
          <w:szCs w:val="24"/>
          <w:lang w:val="en-US" w:eastAsia="zh-CN" w:bidi="ar-SA"/>
        </w:rPr>
        <w:t>采购设备整体说明</w:t>
      </w:r>
    </w:p>
    <w:p>
      <w:pPr>
        <w:widowControl w:val="0"/>
        <w:spacing w:line="500" w:lineRule="exact"/>
        <w:ind w:firstLine="480" w:firstLineChars="200"/>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该项目设备用于人工智能+交通场景应用综合实践应用实训室（智慧交通综合实训基地二期）的建设，建成结合我校特色的、能满足人工智能专业教学、技能竞赛及科研需求的，包含车路协同智能网联无人驾驶平台、智能交通数据采集终端、人工智能推理训练工作站、人工智能算力服务器、千兆网络交换模块（24口）、千兆网络交换模块（48口）、光模块、路由器、机柜、智能语音开关、智能音箱、功放、无线话筒套</w:t>
      </w:r>
      <w:r>
        <w:rPr>
          <w:rFonts w:hint="eastAsia" w:ascii="宋体" w:hAnsi="宋体" w:eastAsia="宋体" w:cs="宋体"/>
          <w:color w:val="000000"/>
          <w:kern w:val="2"/>
          <w:sz w:val="24"/>
          <w:szCs w:val="24"/>
          <w:lang w:val="en-US" w:eastAsia="zh-CN" w:bidi="ar-SA"/>
        </w:rPr>
        <w:t>装、音响、鹅颈话筒、摄像头、纳米黑板、多功能讲台、实训桌、实训椅、教师椅、共21项。</w:t>
      </w:r>
    </w:p>
    <w:p>
      <w:pPr>
        <w:widowControl w:val="0"/>
        <w:spacing w:line="500" w:lineRule="exact"/>
        <w:ind w:firstLine="480" w:firstLineChars="200"/>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所有采购内容用于专业学生课程学习与实训使用，必须具备使用安全、性能可靠的基本教学要求。</w:t>
      </w:r>
    </w:p>
    <w:p>
      <w:pPr>
        <w:widowControl w:val="0"/>
        <w:spacing w:line="500" w:lineRule="exact"/>
        <w:ind w:firstLine="480" w:firstLineChars="200"/>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项目实施后，将完成第二期“人工智能+交通场景应用综合实践应用实训室”建设，所有采购内容要按采购方要求安装布局成一个整体。</w:t>
      </w:r>
    </w:p>
    <w:p>
      <w:pPr>
        <w:widowControl w:val="0"/>
        <w:numPr>
          <w:ilvl w:val="0"/>
          <w:numId w:val="1"/>
        </w:numPr>
        <w:tabs>
          <w:tab w:val="left" w:pos="540"/>
        </w:tabs>
        <w:adjustRightInd w:val="0"/>
        <w:snapToGrid w:val="0"/>
        <w:spacing w:line="360" w:lineRule="auto"/>
        <w:ind w:left="420" w:hanging="420"/>
        <w:jc w:val="both"/>
        <w:rPr>
          <w:rFonts w:ascii="宋体" w:hAnsi="宋体" w:eastAsia="宋体" w:cs="Times New Roman"/>
          <w:b/>
          <w:kern w:val="0"/>
          <w:sz w:val="24"/>
          <w:szCs w:val="24"/>
          <w:lang w:val="en-US" w:eastAsia="zh-CN" w:bidi="ar-SA"/>
        </w:rPr>
      </w:pPr>
      <w:r>
        <w:rPr>
          <w:rFonts w:hint="eastAsia" w:ascii="宋体" w:hAnsi="宋体" w:eastAsia="宋体" w:cs="Times New Roman"/>
          <w:b/>
          <w:kern w:val="0"/>
          <w:sz w:val="24"/>
          <w:szCs w:val="24"/>
          <w:lang w:val="en-US" w:eastAsia="zh-CN" w:bidi="ar-SA"/>
        </w:rPr>
        <w:t>设备清单</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30"/>
        <w:gridCol w:w="2577"/>
        <w:gridCol w:w="2579"/>
        <w:gridCol w:w="1168"/>
        <w:gridCol w:w="1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val="0"/>
              <w:jc w:val="center"/>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序号</w:t>
            </w:r>
          </w:p>
        </w:tc>
        <w:tc>
          <w:tcPr>
            <w:tcW w:w="3023" w:type="pct"/>
            <w:gridSpan w:val="2"/>
          </w:tcPr>
          <w:p>
            <w:pPr>
              <w:widowControl w:val="0"/>
              <w:jc w:val="center"/>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品目名称</w:t>
            </w:r>
          </w:p>
        </w:tc>
        <w:tc>
          <w:tcPr>
            <w:tcW w:w="685" w:type="pct"/>
            <w:vAlign w:val="center"/>
          </w:tcPr>
          <w:p>
            <w:pPr>
              <w:widowControl w:val="0"/>
              <w:jc w:val="center"/>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单位</w:t>
            </w:r>
          </w:p>
        </w:tc>
        <w:tc>
          <w:tcPr>
            <w:tcW w:w="685" w:type="pct"/>
            <w:vAlign w:val="center"/>
          </w:tcPr>
          <w:p>
            <w:pPr>
              <w:widowControl w:val="0"/>
              <w:jc w:val="center"/>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1</w:t>
            </w:r>
          </w:p>
        </w:tc>
        <w:tc>
          <w:tcPr>
            <w:tcW w:w="3023" w:type="pct"/>
            <w:gridSpan w:val="2"/>
          </w:tcPr>
          <w:p>
            <w:pPr>
              <w:widowControl/>
              <w:jc w:val="center"/>
              <w:textAlignment w:val="center"/>
              <w:rPr>
                <w:rFonts w:ascii="宋体" w:hAnsi="宋体" w:eastAsia="宋体" w:cs="Times New Roman"/>
                <w:color w:val="000000"/>
                <w:kern w:val="0"/>
                <w:sz w:val="24"/>
              </w:rPr>
            </w:pPr>
            <w:r>
              <w:rPr>
                <w:rFonts w:hint="eastAsia" w:ascii="宋体" w:hAnsi="宋体" w:eastAsia="宋体" w:cs="宋体"/>
                <w:color w:val="000000"/>
                <w:kern w:val="0"/>
                <w:sz w:val="20"/>
                <w:szCs w:val="20"/>
                <w:lang w:bidi="ar"/>
              </w:rPr>
              <w:t>车路协同智能网联无人驾驶平台</w:t>
            </w:r>
          </w:p>
        </w:tc>
        <w:tc>
          <w:tcPr>
            <w:tcW w:w="685" w:type="pct"/>
            <w:vAlign w:val="center"/>
          </w:tcPr>
          <w:p>
            <w:pPr>
              <w:widowControl/>
              <w:jc w:val="center"/>
              <w:rPr>
                <w:rFonts w:ascii="宋体" w:hAnsi="宋体" w:eastAsia="宋体" w:cs="Times New Roman"/>
                <w:kern w:val="0"/>
                <w:sz w:val="24"/>
                <w:szCs w:val="24"/>
                <w:lang w:val="en-US" w:eastAsia="zh-CN" w:bidi="ar-SA"/>
              </w:rPr>
            </w:pPr>
            <w:r>
              <w:rPr>
                <w:rFonts w:hint="eastAsia" w:ascii="宋体" w:hAnsi="宋体" w:eastAsia="宋体" w:cs="Times New Roman"/>
                <w:kern w:val="2"/>
                <w:sz w:val="24"/>
                <w:szCs w:val="24"/>
                <w:lang w:val="en-US" w:eastAsia="zh-CN" w:bidi="ar-SA"/>
              </w:rPr>
              <w:t>套</w:t>
            </w:r>
          </w:p>
        </w:tc>
        <w:tc>
          <w:tcPr>
            <w:tcW w:w="685" w:type="pct"/>
            <w:vAlign w:val="center"/>
          </w:tcPr>
          <w:p>
            <w:pPr>
              <w:widowControl/>
              <w:jc w:val="center"/>
              <w:textAlignment w:val="center"/>
              <w:rPr>
                <w:rFonts w:ascii="宋体" w:hAnsi="宋体" w:eastAsia="宋体" w:cs="Times New Roman"/>
                <w:kern w:val="0"/>
                <w:sz w:val="24"/>
              </w:rPr>
            </w:pPr>
            <w:r>
              <w:rPr>
                <w:rFonts w:hint="eastAsia" w:ascii="宋体" w:hAnsi="宋体" w:eastAsia="宋体" w:cs="宋体"/>
                <w:color w:val="000000"/>
                <w:kern w:val="0"/>
                <w:sz w:val="20"/>
                <w:szCs w:val="20"/>
                <w:lang w:bidi="ar"/>
              </w:rPr>
              <w:t xml:space="preserve">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2</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智能交通数据采集终端</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3</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人工智能推理训练工作站</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4</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人工智能算力服务器</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Merge w:val="restar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5</w:t>
            </w:r>
          </w:p>
          <w:p>
            <w:pPr>
              <w:jc w:val="center"/>
              <w:textAlignment w:val="center"/>
              <w:rPr>
                <w:rFonts w:ascii="宋体" w:hAnsi="宋体" w:eastAsia="宋体" w:cs="Times New Roman"/>
                <w:sz w:val="24"/>
              </w:rPr>
            </w:pPr>
          </w:p>
        </w:tc>
        <w:tc>
          <w:tcPr>
            <w:tcW w:w="1511" w:type="pct"/>
            <w:vMerge w:val="restart"/>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千兆网络交换模块</w:t>
            </w:r>
          </w:p>
        </w:tc>
        <w:tc>
          <w:tcPr>
            <w:tcW w:w="1511" w:type="pct"/>
            <w:vAlign w:val="center"/>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千兆网络交换模块（24口）</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Merge w:val="continue"/>
            <w:vAlign w:val="center"/>
          </w:tcPr>
          <w:p>
            <w:pPr>
              <w:widowControl/>
              <w:jc w:val="center"/>
              <w:textAlignment w:val="center"/>
              <w:rPr>
                <w:rFonts w:ascii="宋体" w:hAnsi="宋体" w:eastAsia="宋体" w:cs="Times New Roman"/>
                <w:sz w:val="24"/>
              </w:rPr>
            </w:pPr>
          </w:p>
        </w:tc>
        <w:tc>
          <w:tcPr>
            <w:tcW w:w="1511" w:type="pct"/>
            <w:vMerge w:val="continue"/>
          </w:tcPr>
          <w:p>
            <w:pPr>
              <w:widowControl/>
              <w:jc w:val="center"/>
              <w:textAlignment w:val="center"/>
              <w:rPr>
                <w:rFonts w:ascii="宋体" w:hAnsi="宋体" w:eastAsia="宋体" w:cs="宋体"/>
                <w:color w:val="000000"/>
                <w:kern w:val="0"/>
                <w:sz w:val="20"/>
                <w:szCs w:val="20"/>
                <w:lang w:bidi="ar"/>
              </w:rPr>
            </w:pPr>
          </w:p>
        </w:tc>
        <w:tc>
          <w:tcPr>
            <w:tcW w:w="1511" w:type="pct"/>
            <w:vAlign w:val="center"/>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千兆网络交换模块（48口）</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6</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光模块</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7</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路由器</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8</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机柜</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9</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智能语音开关</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10</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智能音箱</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11</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功放、无线话筒套装、音响、鹅颈话筒</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套</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12</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摄像头</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13</w:t>
            </w:r>
          </w:p>
        </w:tc>
        <w:tc>
          <w:tcPr>
            <w:tcW w:w="3023" w:type="pct"/>
            <w:gridSpan w:val="2"/>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纳米黑板</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台</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Merge w:val="restar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14</w:t>
            </w:r>
          </w:p>
          <w:p>
            <w:pPr>
              <w:jc w:val="center"/>
              <w:textAlignment w:val="center"/>
              <w:rPr>
                <w:rFonts w:ascii="宋体" w:hAnsi="宋体" w:eastAsia="宋体" w:cs="Times New Roman"/>
                <w:sz w:val="24"/>
              </w:rPr>
            </w:pPr>
          </w:p>
        </w:tc>
        <w:tc>
          <w:tcPr>
            <w:tcW w:w="1511" w:type="pct"/>
            <w:vMerge w:val="restart"/>
          </w:tcPr>
          <w:p>
            <w:pPr>
              <w:widowControl/>
              <w:jc w:val="center"/>
              <w:textAlignment w:val="center"/>
              <w:rPr>
                <w:rFonts w:ascii="宋体" w:hAnsi="宋体" w:eastAsia="宋体" w:cs="宋体"/>
                <w:color w:val="000000"/>
                <w:kern w:val="0"/>
                <w:sz w:val="20"/>
                <w:szCs w:val="20"/>
                <w:lang w:bidi="ar"/>
              </w:rPr>
            </w:pPr>
          </w:p>
          <w:p>
            <w:pPr>
              <w:widowControl/>
              <w:ind w:firstLine="800" w:firstLineChars="400"/>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实训桌</w:t>
            </w:r>
          </w:p>
        </w:tc>
        <w:tc>
          <w:tcPr>
            <w:tcW w:w="1511" w:type="pct"/>
            <w:vAlign w:val="center"/>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多功能讲台</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套</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Merge w:val="continue"/>
            <w:vAlign w:val="center"/>
          </w:tcPr>
          <w:p>
            <w:pPr>
              <w:widowControl/>
              <w:jc w:val="center"/>
              <w:textAlignment w:val="center"/>
              <w:rPr>
                <w:rFonts w:ascii="宋体" w:hAnsi="宋体" w:eastAsia="宋体" w:cs="Times New Roman"/>
                <w:sz w:val="24"/>
              </w:rPr>
            </w:pPr>
          </w:p>
        </w:tc>
        <w:tc>
          <w:tcPr>
            <w:tcW w:w="1511" w:type="pct"/>
            <w:vMerge w:val="continue"/>
          </w:tcPr>
          <w:p>
            <w:pPr>
              <w:widowControl/>
              <w:jc w:val="center"/>
              <w:textAlignment w:val="center"/>
              <w:rPr>
                <w:rFonts w:ascii="宋体" w:hAnsi="宋体" w:eastAsia="宋体" w:cs="宋体"/>
                <w:color w:val="000000"/>
                <w:kern w:val="0"/>
                <w:sz w:val="20"/>
                <w:szCs w:val="20"/>
                <w:lang w:bidi="ar"/>
              </w:rPr>
            </w:pPr>
          </w:p>
        </w:tc>
        <w:tc>
          <w:tcPr>
            <w:tcW w:w="1511" w:type="pct"/>
            <w:vAlign w:val="center"/>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实训桌</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套</w:t>
            </w:r>
          </w:p>
        </w:tc>
        <w:tc>
          <w:tcPr>
            <w:tcW w:w="685"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0"/>
                <w:szCs w:val="20"/>
                <w:lang w:bidi="ar"/>
              </w:rPr>
              <w:t>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Merge w:val="restart"/>
            <w:vAlign w:val="center"/>
          </w:tcPr>
          <w:p>
            <w:pPr>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15</w:t>
            </w:r>
          </w:p>
        </w:tc>
        <w:tc>
          <w:tcPr>
            <w:tcW w:w="1511" w:type="pct"/>
            <w:vMerge w:val="restart"/>
          </w:tcPr>
          <w:p>
            <w:pPr>
              <w:widowControl/>
              <w:jc w:val="center"/>
              <w:textAlignment w:val="center"/>
              <w:rPr>
                <w:rFonts w:ascii="宋体" w:hAnsi="宋体" w:eastAsia="宋体" w:cs="宋体"/>
                <w:color w:val="000000"/>
                <w:kern w:val="0"/>
                <w:sz w:val="20"/>
                <w:szCs w:val="20"/>
                <w:lang w:bidi="ar"/>
              </w:rPr>
            </w:pPr>
          </w:p>
          <w:p>
            <w:pPr>
              <w:widowControl/>
              <w:ind w:firstLine="800" w:firstLineChars="400"/>
              <w:jc w:val="both"/>
              <w:textAlignment w:val="center"/>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实训椅</w:t>
            </w:r>
          </w:p>
        </w:tc>
        <w:tc>
          <w:tcPr>
            <w:tcW w:w="1511" w:type="pct"/>
            <w:vAlign w:val="center"/>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实训椅</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套</w:t>
            </w:r>
          </w:p>
        </w:tc>
        <w:tc>
          <w:tcPr>
            <w:tcW w:w="685" w:type="pc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0"/>
                <w:szCs w:val="20"/>
                <w:lang w:bidi="ar"/>
              </w:rPr>
              <w:t>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04" w:type="pct"/>
            <w:vMerge w:val="continue"/>
            <w:vAlign w:val="center"/>
          </w:tcPr>
          <w:p>
            <w:pPr>
              <w:widowControl/>
              <w:jc w:val="center"/>
              <w:textAlignment w:val="center"/>
              <w:rPr>
                <w:rFonts w:ascii="宋体" w:hAnsi="宋体" w:eastAsia="宋体" w:cs="Times New Roman"/>
                <w:sz w:val="24"/>
              </w:rPr>
            </w:pPr>
          </w:p>
        </w:tc>
        <w:tc>
          <w:tcPr>
            <w:tcW w:w="1511" w:type="pct"/>
            <w:vMerge w:val="continue"/>
          </w:tcPr>
          <w:p>
            <w:pPr>
              <w:widowControl/>
              <w:jc w:val="center"/>
              <w:textAlignment w:val="center"/>
              <w:rPr>
                <w:rFonts w:ascii="宋体" w:hAnsi="宋体" w:eastAsia="宋体" w:cs="宋体"/>
                <w:color w:val="000000"/>
                <w:kern w:val="0"/>
                <w:sz w:val="20"/>
                <w:szCs w:val="20"/>
                <w:lang w:bidi="ar"/>
              </w:rPr>
            </w:pPr>
          </w:p>
        </w:tc>
        <w:tc>
          <w:tcPr>
            <w:tcW w:w="1511" w:type="pct"/>
            <w:vAlign w:val="center"/>
          </w:tcPr>
          <w:p>
            <w:pPr>
              <w:widowControl/>
              <w:jc w:val="center"/>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教师椅</w:t>
            </w:r>
          </w:p>
        </w:tc>
        <w:tc>
          <w:tcPr>
            <w:tcW w:w="685" w:type="pct"/>
            <w:vAlign w:val="center"/>
          </w:tcPr>
          <w:p>
            <w:pPr>
              <w:widowControl w:val="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套</w:t>
            </w:r>
          </w:p>
        </w:tc>
        <w:tc>
          <w:tcPr>
            <w:tcW w:w="685" w:type="pc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 </w:t>
            </w:r>
          </w:p>
        </w:tc>
      </w:tr>
    </w:tbl>
    <w:p>
      <w:pPr>
        <w:widowControl w:val="0"/>
        <w:spacing w:line="500" w:lineRule="exact"/>
        <w:ind w:firstLine="480" w:firstLineChars="200"/>
        <w:jc w:val="both"/>
        <w:rPr>
          <w:rFonts w:ascii="宋体" w:hAnsi="宋体" w:eastAsia="宋体" w:cs="宋体"/>
          <w:color w:val="000000"/>
          <w:kern w:val="2"/>
          <w:sz w:val="24"/>
          <w:szCs w:val="24"/>
          <w:lang w:val="en-US" w:eastAsia="zh-CN" w:bidi="ar-SA"/>
        </w:rPr>
      </w:pPr>
    </w:p>
    <w:p>
      <w:pPr>
        <w:widowControl w:val="0"/>
        <w:numPr>
          <w:ilvl w:val="0"/>
          <w:numId w:val="1"/>
        </w:numPr>
        <w:tabs>
          <w:tab w:val="left" w:pos="540"/>
        </w:tabs>
        <w:adjustRightInd w:val="0"/>
        <w:snapToGrid w:val="0"/>
        <w:spacing w:line="360" w:lineRule="auto"/>
        <w:ind w:left="420" w:hanging="420"/>
        <w:jc w:val="both"/>
        <w:rPr>
          <w:rFonts w:ascii="宋体" w:hAnsi="宋体" w:eastAsia="宋体" w:cs="Times New Roman"/>
          <w:b/>
          <w:kern w:val="0"/>
          <w:sz w:val="24"/>
          <w:szCs w:val="24"/>
          <w:lang w:val="en-US" w:eastAsia="zh-CN" w:bidi="ar-SA"/>
        </w:rPr>
      </w:pPr>
      <w:r>
        <w:rPr>
          <w:rFonts w:hint="eastAsia" w:ascii="宋体" w:hAnsi="宋体" w:eastAsia="宋体" w:cs="Times New Roman"/>
          <w:b/>
          <w:kern w:val="0"/>
          <w:sz w:val="24"/>
          <w:szCs w:val="24"/>
          <w:lang w:val="en-US" w:eastAsia="zh-CN" w:bidi="ar-SA"/>
        </w:rPr>
        <w:t>采购内容与技术要求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96"/>
        <w:gridCol w:w="551"/>
        <w:gridCol w:w="337"/>
        <w:gridCol w:w="958"/>
        <w:gridCol w:w="599"/>
        <w:gridCol w:w="5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val="0"/>
              <w:spacing w:line="240" w:lineRule="exact"/>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序号</w:t>
            </w:r>
          </w:p>
        </w:tc>
        <w:tc>
          <w:tcPr>
            <w:tcW w:w="1846" w:type="dxa"/>
            <w:gridSpan w:val="3"/>
          </w:tcPr>
          <w:p>
            <w:pPr>
              <w:widowControl w:val="0"/>
              <w:spacing w:line="240" w:lineRule="exact"/>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设备</w:t>
            </w:r>
          </w:p>
          <w:p>
            <w:pPr>
              <w:widowControl w:val="0"/>
              <w:spacing w:line="240" w:lineRule="exact"/>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名称</w:t>
            </w:r>
          </w:p>
        </w:tc>
        <w:tc>
          <w:tcPr>
            <w:tcW w:w="599" w:type="dxa"/>
            <w:vAlign w:val="center"/>
          </w:tcPr>
          <w:p>
            <w:pPr>
              <w:widowControl w:val="0"/>
              <w:spacing w:line="240" w:lineRule="exact"/>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数量</w:t>
            </w:r>
          </w:p>
        </w:tc>
        <w:tc>
          <w:tcPr>
            <w:tcW w:w="5421" w:type="dxa"/>
            <w:vAlign w:val="center"/>
          </w:tcPr>
          <w:p>
            <w:pPr>
              <w:widowControl w:val="0"/>
              <w:spacing w:line="240" w:lineRule="exact"/>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1</w:t>
            </w:r>
          </w:p>
        </w:tc>
        <w:tc>
          <w:tcPr>
            <w:tcW w:w="1846" w:type="dxa"/>
            <w:gridSpan w:val="3"/>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车路协同智能网联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无人驾驶平台</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1套</w:t>
            </w:r>
          </w:p>
        </w:tc>
        <w:tc>
          <w:tcPr>
            <w:tcW w:w="5421" w:type="dxa"/>
            <w:vAlign w:val="center"/>
          </w:tcPr>
          <w:p>
            <w:pPr>
              <w:widowControl w:val="0"/>
              <w:jc w:val="both"/>
              <w:rPr>
                <w:rFonts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一、无人驾驶智能车应用实践：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【项目资源】</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▲一、项目需求1份：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无人驾驶智能车应用实践_需求分析文档.docx：≥2页（需提供相关材料的部分截图证明材料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▲二、设计文档1份：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无人驾驶智能车应用实践_设计文档.docx：≥6页（需提供相关材料的部分截图证明材料复印件并加盖投标人公章）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▲三、测试说明1份：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无人驾驶智能车应用实践_测试说明.docx：≥7页（需提供相关材料的部分截图证明材料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▲四、配置说明1份：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无人驾驶智能车应用实践_配置说明.docx：≥4页（需提供相关材料的部分截图证明材料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▲五、项目课件4份：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1-SSH远程登录和NFS挂载.pdf：≥7页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2-基于ROS发布话题和启动ROS功能包实现远程无人车运动控制.pdf：≥7页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3-ROS环境下打开无人车RGBD摄像头并可视化和基于摄像头与激光雷达的无人车巡线行驶.pdf：≥8页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4-基于RGBD摄像头的无人车自动跟随色块行驶.pdf：≥6页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六、项目指导手册17份：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1-无人驾驶工作原理简介：markdown文档≥1页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2-认识无人车硬件组成：markdown文档≥1页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3-搭建虚拟机开发系统：markdown文档≥1页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4-使用SSH协议远程登录无人车：markdown文档≥1页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5-无人车启动与PS2手柄控制：markdown文档≥1页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6-基于NFS将无人车系统文件挂载到本地：markdown文档≥1页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7-本地修改无人车源码并编译：markdown文档≥1页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8-基于ROS发布话题控制无人车移动：markdown文档≥1页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9-启动ROS功能包实现远程无人车运动控制：markdown文档≥1页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10-查看无人车里程计与IMU数据：markdown文档≥1页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11-查看无人车激光雷达数据：markdown文档≥1页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12-基于ROS实现无人车激光雷达建图：markdown文档≥1页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13-基于ROS实现无人车自主导航：markdown文档≥1页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14-ROS环境下打开RGB摄像头并可视化：markdown文档≥1页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15-ROS环境下打开无人车RGBD摄像头并可视化：markdown文档≥1页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16-基于摄像头与激光雷达的无人车巡线行驶：markdown文档≥1页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17-基于RGBD摄像头的无人车自动跟随色块行驶：markdown文档≥1页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七、项目讲解视频 5个：</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1-ROS小车首次操作检查说明.zip：≥16分钟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2-ubuntu网络配置.mp4：≥10分钟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3-使用SSH协议远程登录无人车.zip：≥10分钟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4-基于ROS发布话题控制无人车移动.mp4：≥8分钟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5-基于摄像头与激光雷达的无人车巡线行驶.mp4：≥7分钟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▲八、项目标准1份：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无人驾驶智能车应用实践_项目标准.docx：≥15页（需提供相关材料的部分截图证明材料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九、项目考核1份：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无人驾驶智能车应用实践_项目考核材料.xlsx：≥4页</w:t>
            </w:r>
          </w:p>
          <w:p>
            <w:pPr>
              <w:widowControl w:val="0"/>
              <w:jc w:val="both"/>
              <w:rPr>
                <w:rFonts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二、基于AI的沙盘场景内无人车自动驾驶：</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【项目资源】</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▲一、项目需求1份：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基于AI的沙盘场景内无人车自动驾驶_需求分析文档.docx：≥2页（需提供相关材料的部分截图证明材料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▲二、设计文档1份：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基于AI的沙盘场景内无人车自动驾驶_设计文档.docx：≥6页（需提供相关材料的部分截图证明材料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▲三、测试说明1份：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基于AI的沙盘场景内无人车自动驾驶_测试说明.docx：≥7页（需提供相关材料的部分截图证明材料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▲四、配置说明1份：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基于AI的沙盘场景内无人车自动驾驶_配置说明.docx：≥4页（需提供相关材料的部分截图证明材料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▲五、项目课件4份：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1-交通标志数据采集与筛选.pdf：≥9页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2-交通标志数据标注与格式转换.pdf：≥11页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3-基于Pytorch的YOLOv5交通标志牌检测模型训练.pdf：≥8页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4-TensorRT介绍与模型转换.pdf：≥7页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六、项目指导手册17份：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1-沙盘功能讲解：markdown文档≥1页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2-交通标志牌数据采集与质量控制：markdown文档≥1页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3-基于labelImg的数据标注：markdown文档≥1页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4-数据格式转换——voc数据格式转换为yolo数据格式：markdown文档≥1页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5-目标检测算法及YOLO系列算法发展介绍：markdown文档≥1页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6-基于Pytorch的YOLOV5交通标志牌检测模型训练：markdown文档≥1页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7-YOLOV5模型多后端推理测试：markdown文档≥1页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8-TensorRT介绍与模型转换：markdown文档≥1页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9-TensorRT模型推理实现：markdown文档≥1页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10-ROS环境下实现基于TensorRT部署的YOLOV5交通标志牌检测算法：markdown文档≥1页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11-无人车自动驾驶功能包讲解：markdown文档≥1页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12-无人车运动执行功能实现：markdown文档≥1页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13-无人车运动决策功能实现——话题的订阅和发布：markdown文档≥1页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14-无人车运动决策功能实现——红绿灯和停车入库：markdown文档≥1页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15-无人车运动决策功能实现——减速、左转、直行：markdown文档≥1页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16-无人车自动驾驶功能参数配置：markdown文档≥1页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17-沙盘内无人驾驶项目实战（无人配送任务）：markdown文档≥1页</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七、项目讲解视频 4个：</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1-交通标志数据采集与筛选.zip：≥11分钟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2-交通标志数据标注与格式转换.mp4：≥6分钟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3-基于Pytorch的YOLOv5交通标志牌检测模型训练.mp4：≥12分钟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4-TensorRT介绍与模型转换.mp4：≥15分钟</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▲八、项目标准1份：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基于AI的沙盘场景内无人车自动驾驶_项目标准.docx：≥15页（需提供相关材料的部分截图证明材料</w:t>
            </w:r>
            <w:r>
              <w:rPr>
                <w:rFonts w:hint="eastAsia" w:ascii="Arial" w:hAnsi="Arial" w:eastAsia="宋体" w:cs="Arial"/>
                <w:kern w:val="2"/>
                <w:sz w:val="22"/>
                <w:szCs w:val="24"/>
                <w:lang w:val="en-US" w:eastAsia="zh-CN" w:bidi="ar-SA"/>
              </w:rPr>
              <w:t>扫描</w:t>
            </w:r>
            <w:r>
              <w:rPr>
                <w:rFonts w:hint="eastAsia" w:ascii="宋体" w:hAnsi="宋体" w:eastAsia="宋体" w:cs="宋体"/>
                <w:color w:val="000000"/>
                <w:kern w:val="0"/>
                <w:sz w:val="20"/>
                <w:szCs w:val="20"/>
                <w:lang w:val="en-US" w:eastAsia="zh-CN" w:bidi="ar"/>
              </w:rPr>
              <w:t>件并加盖投标人公章）</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九、项目考核1份：</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基于AI的沙盘场景内无人车自动驾驶-项目考核材料.xlsx：≥2页</w:t>
            </w:r>
          </w:p>
          <w:p>
            <w:pPr>
              <w:widowControl w:val="0"/>
              <w:jc w:val="both"/>
              <w:rPr>
                <w:rFonts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十、提供以下功能</w:t>
            </w:r>
          </w:p>
          <w:p>
            <w:pPr>
              <w:widowControl w:val="0"/>
              <w:jc w:val="both"/>
              <w:rPr>
                <w:rFonts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1-无人驾驶智能车底层硬件应用实践</w:t>
            </w:r>
          </w:p>
          <w:p>
            <w:pPr>
              <w:widowControl w:val="0"/>
              <w:jc w:val="both"/>
              <w:rPr>
                <w:rFonts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2-无人驾驶智能车应用实践</w:t>
            </w:r>
          </w:p>
          <w:p>
            <w:pPr>
              <w:widowControl w:val="0"/>
              <w:jc w:val="both"/>
              <w:rPr>
                <w:rFonts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3-基于AI的沙盘场景内无人车自动驾驶</w:t>
            </w:r>
          </w:p>
          <w:p>
            <w:pPr>
              <w:widowControl w:val="0"/>
              <w:jc w:val="both"/>
              <w:rPr>
                <w:rFonts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三、硬件资源：</w:t>
            </w:r>
          </w:p>
          <w:p>
            <w:pPr>
              <w:widowControl w:val="0"/>
              <w:jc w:val="both"/>
              <w:rPr>
                <w:rFonts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1、小车【硬件参数】（6台）</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1）底盘部分采用麦克纳姆轮驱动；</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2）车身部分采用上位机下位机的布局，上位机搭载基于ROS系统的芯片主板，完成激光雷达与RGBD摄像头信息接收、融合、处理等任务；</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3）下位机搭载基于FreeRTOS的STM32计算硬件，完成运动控制与传感器参数处理等任务。配备无线控制手柄、上位机外接屏幕、以及电源充电器；</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4）无人车全金属车身1套；</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5）12V锂电池电源、充电器各1个；</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6）无线控制手柄1个；</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7）深度摄像头1个；</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8）激光雷达1个；</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9）STM32单片机1个（集成陀螺仪、里程计等传感器）；</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10）Nvidia Orin nano系列芯片主板</w:t>
            </w:r>
            <w:r>
              <w:rPr>
                <w:rFonts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套（搭载</w:t>
            </w:r>
            <w:r>
              <w:rPr>
                <w:rFonts w:ascii="宋体" w:hAnsi="宋体" w:eastAsia="宋体" w:cs="宋体"/>
                <w:color w:val="000000"/>
                <w:kern w:val="0"/>
                <w:sz w:val="20"/>
                <w:szCs w:val="20"/>
                <w:lang w:val="en-US" w:eastAsia="zh-CN" w:bidi="ar"/>
              </w:rPr>
              <w:t>ubuntu</w:t>
            </w:r>
            <w:r>
              <w:rPr>
                <w:rFonts w:hint="eastAsia" w:ascii="宋体" w:hAnsi="宋体" w:eastAsia="宋体" w:cs="宋体"/>
                <w:color w:val="000000"/>
                <w:kern w:val="0"/>
                <w:sz w:val="20"/>
                <w:szCs w:val="20"/>
                <w:lang w:val="en-US" w:eastAsia="zh-CN" w:bidi="ar"/>
              </w:rPr>
              <w:t xml:space="preserve">系统）； </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具体参数：</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GPU:搭载16个TensorCore的512核NVIDIAAmpere架构GPU@625Mhz</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算力：20TOPS</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内存：4GB 64-bit LPDDR5 34 GB/s</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USB接口：3USB3.0+1USB2.0+1Type-C</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影像输入：MIPI CSI</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影像输出：1*HDMI2.0</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视频编码：1080p30由1-2个CPU核心提供支持</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视频解码：H.265 (4K60，2*4K30,51080p60，111080p30)</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板载存储：128GB SSD</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网络接口:RJ45接口(千兆以太网)/M.2 PCle</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GPIO引脚数：40</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额定功率：5W/10W两种模式</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电源输入：12V（8~19V宽电压）</w:t>
            </w:r>
          </w:p>
          <w:p>
            <w:pPr>
              <w:widowControl w:val="0"/>
              <w:jc w:val="both"/>
              <w:rPr>
                <w:rFonts w:ascii="宋体" w:hAnsi="宋体" w:eastAsia="宋体" w:cs="宋体"/>
                <w:color w:val="000000"/>
                <w:kern w:val="0"/>
                <w:sz w:val="20"/>
                <w:szCs w:val="20"/>
                <w:lang w:val="en-US" w:eastAsia="zh-CN" w:bidi="ar"/>
              </w:rPr>
            </w:pP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11）USB无线wifi驱动2个(小车上一个usb，台式机箱配了一个usb)；</w:t>
            </w:r>
          </w:p>
          <w:p>
            <w:pPr>
              <w:widowControl w:val="0"/>
              <w:jc w:val="both"/>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12）迷你交通标志牌1套。</w:t>
            </w:r>
          </w:p>
          <w:p>
            <w:pPr>
              <w:widowControl w:val="0"/>
              <w:jc w:val="both"/>
              <w:rPr>
                <w:rFonts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2、显示屏+支架（显示屏≥80寸）</w:t>
            </w:r>
          </w:p>
          <w:p>
            <w:pPr>
              <w:widowControl w:val="0"/>
              <w:jc w:val="both"/>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1）显示参数</w:t>
            </w:r>
          </w:p>
          <w:p>
            <w:pPr>
              <w:widowControl w:val="0"/>
              <w:jc w:val="both"/>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2）分辨率:3840x2160</w:t>
            </w:r>
          </w:p>
          <w:p>
            <w:pPr>
              <w:widowControl w:val="0"/>
              <w:jc w:val="both"/>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3）可视角度:178°</w:t>
            </w:r>
          </w:p>
          <w:p>
            <w:pPr>
              <w:widowControl w:val="0"/>
              <w:jc w:val="both"/>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4）广色域:DCI-P3 94%</w:t>
            </w:r>
          </w:p>
          <w:p>
            <w:pPr>
              <w:widowControl w:val="0"/>
              <w:jc w:val="both"/>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5）背光:直下式</w:t>
            </w:r>
          </w:p>
          <w:p>
            <w:pPr>
              <w:widowControl w:val="0"/>
              <w:jc w:val="both"/>
              <w:rPr>
                <w:rFonts w:ascii="Arial" w:hAnsi="Arial" w:eastAsia="宋体" w:cs="Arial"/>
                <w:kern w:val="2"/>
                <w:sz w:val="20"/>
                <w:szCs w:val="20"/>
                <w:lang w:val="en-US" w:eastAsia="zh-CN" w:bidi="ar-SA"/>
              </w:rPr>
            </w:pPr>
            <w:r>
              <w:rPr>
                <w:rFonts w:hint="eastAsia" w:ascii="宋体" w:hAnsi="宋体" w:eastAsia="宋体" w:cs="宋体"/>
                <w:color w:val="000000"/>
                <w:kern w:val="0"/>
                <w:sz w:val="20"/>
                <w:szCs w:val="20"/>
                <w:lang w:val="en-US" w:eastAsia="zh-CN" w:bidi="ar"/>
              </w:rPr>
              <w:t>6）刷新率:144Hz 支持VRR 48-144HZ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2</w:t>
            </w:r>
          </w:p>
        </w:tc>
        <w:tc>
          <w:tcPr>
            <w:tcW w:w="1846" w:type="dxa"/>
            <w:gridSpan w:val="3"/>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智能交通数据采集终端</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5 台</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处理器：≥i7-12700H处理器；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内存：32G DDR5 内存；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硬盘：≥512GB+2TB SSD；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显示屏：≥15.6寸；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显卡：RTX4060显卡 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3</w:t>
            </w:r>
          </w:p>
        </w:tc>
        <w:tc>
          <w:tcPr>
            <w:tcW w:w="1846" w:type="dxa"/>
            <w:gridSpan w:val="3"/>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人工智能推理训练工作站</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61台 </w:t>
            </w:r>
          </w:p>
        </w:tc>
        <w:tc>
          <w:tcPr>
            <w:tcW w:w="5421"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CPU:I9,12代高性能CPU；B760强稳定性主板；DDR5 32G内存； DDR5 512G SSD固态硬盘+1T机械硬盘；显卡：RTX4060 ，8G显存；550W机箱电源；键盘鼠标</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硬盘保护功能：要求提供原厂同一品牌硬盘保护管理软件，实现远程终端维护，保存数据、修复数据、分区管理、PXE部署、硬盘对拷、系统克隆、影子系统；具有原厂网络同传、硬盘还原功能：支持高速网络同传、断点续传、智能同传、分区同传、多种传输方传、智能排序、分组同传、同传参数设置、保护参数同传、考试模式同传、断电续传、抗物理掉线同传；硬盘保护功能、自动分配 IP功能、故障自动排查功能；集成网络同传功能，免除逐台安装系统和配置网络的繁琐；也可指定某一独立磁盘网络同传、自动分配 IP 和机器名；网络化管理，软件分发，文件（夹）传输，实现软件的统一安装、升级，提高工作效率；远程修改硬盘还原参数，远程指定启动分区，远程开机关机；便捷控制客户端光驱、软驱、USB输入输出设备，自由掌控机器使用权限；自动还原 BIOS 信息。</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支持硬盘数据保护和硬盘同传，支持SATA、m.2、MSSATA、PCI-E和m.2(NVME)等接口的HDD、SHDD和SSD硬盘；</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支持 Windows7 32/64、Windows8 32/64、windows10 32/64等操作系统，支持MBR和GPT格式硬盘机型安装；</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支持多种恢复频率，如手动恢复、自动恢复、定时恢复；</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支持多系统，系统最大数量≥100；支持远程批量设定默认启动系统；</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支持两块硬盘智能同传，支持“断点续传”、 “断电续传”；支持硬盘大传小，自适应大小不同的硬盘；</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IP分配，支持自动批量分配的IP、DNS、网关等参数；支持同一台电脑不同系统设置不同的IP地址；</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支持同传计划任务，按照设定好部署要求后，计算机在到达计划时间后自动开机进入同传，进行全机房计算机同传部署，完成后自动关机。 </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支持多块硬盘数据对拷、支持同一台计算机把某操作系统克隆成多个相同的系统；千兆网络环境下同传速度不低于4G/分；</w:t>
            </w:r>
          </w:p>
          <w:p>
            <w:pPr>
              <w:widowControl/>
              <w:jc w:val="left"/>
              <w:textAlignment w:val="center"/>
              <w:rPr>
                <w:rFonts w:ascii="宋体" w:hAnsi="宋体" w:eastAsia="宋体" w:cs="Times New Roman"/>
                <w:sz w:val="24"/>
                <w:lang w:bidi="ar"/>
              </w:rPr>
            </w:pPr>
            <w:r>
              <w:rPr>
                <w:rFonts w:hint="eastAsia" w:ascii="宋体" w:hAnsi="宋体" w:eastAsia="宋体" w:cs="宋体"/>
                <w:color w:val="000000"/>
                <w:kern w:val="0"/>
                <w:sz w:val="20"/>
                <w:szCs w:val="20"/>
                <w:lang w:bidi="ar"/>
              </w:rPr>
              <w:t>支持多种教学状态，如保护状态、开放状态和考试状态；支持保护界面选择系统时设置密码校验功能；支持同传分组管理，同一局域网下，不同分组不能相互同传数据。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4</w:t>
            </w:r>
          </w:p>
        </w:tc>
        <w:tc>
          <w:tcPr>
            <w:tcW w:w="1846" w:type="dxa"/>
            <w:gridSpan w:val="3"/>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人工智能算力服务器</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2 台</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Intel 5120(2.2GHz/14C)处理器 *2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内存：配置32G RDIMM DDR4内存 *12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硬盘：配置480G SSD 硬盘 *3；配置4TB SATA硬盘 *3</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网口：配置千兆网口 *4；千兆专用远程管理接口 *1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阵列：配置八通道高性能2GB缓存 RAID卡 *1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电源：配置双电源550W *2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导轨：配置专用免工具拆装导轨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Merge w:val="restart"/>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2"/>
                <w:szCs w:val="22"/>
                <w:lang w:bidi="ar"/>
              </w:rPr>
              <w:t>5</w:t>
            </w:r>
          </w:p>
          <w:p>
            <w:pPr>
              <w:jc w:val="center"/>
              <w:textAlignment w:val="center"/>
              <w:rPr>
                <w:rFonts w:ascii="宋体" w:hAnsi="宋体" w:eastAsia="宋体" w:cs="Times New Roman"/>
                <w:sz w:val="24"/>
              </w:rPr>
            </w:pPr>
          </w:p>
        </w:tc>
        <w:tc>
          <w:tcPr>
            <w:tcW w:w="888" w:type="dxa"/>
            <w:gridSpan w:val="2"/>
            <w:vMerge w:val="restart"/>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千兆网络交换模块</w:t>
            </w:r>
          </w:p>
        </w:tc>
        <w:tc>
          <w:tcPr>
            <w:tcW w:w="958"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千兆网络交换模块（24口）</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2 台</w:t>
            </w:r>
          </w:p>
        </w:tc>
        <w:tc>
          <w:tcPr>
            <w:tcW w:w="5421" w:type="dxa"/>
            <w:vAlign w:val="center"/>
          </w:tcPr>
          <w:p>
            <w:pPr>
              <w:widowControl/>
              <w:jc w:val="left"/>
              <w:textAlignment w:val="center"/>
              <w:rPr>
                <w:rFonts w:ascii="宋体" w:hAnsi="宋体" w:eastAsia="宋体" w:cs="Times New Roman"/>
                <w:color w:val="000000"/>
                <w:sz w:val="24"/>
              </w:rPr>
            </w:pPr>
            <w:r>
              <w:rPr>
                <w:rFonts w:hint="eastAsia" w:ascii="宋体" w:hAnsi="宋体" w:eastAsia="宋体" w:cs="宋体"/>
                <w:color w:val="000000"/>
                <w:kern w:val="0"/>
                <w:sz w:val="20"/>
                <w:szCs w:val="20"/>
                <w:lang w:bidi="ar"/>
              </w:rPr>
              <w:t>24个10/100/1000BASE-T以太网端口,4个千兆SFP；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交换容量≥168Gbps；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Merge w:val="continue"/>
            <w:vAlign w:val="center"/>
          </w:tcPr>
          <w:p>
            <w:pPr>
              <w:widowControl/>
              <w:jc w:val="center"/>
              <w:textAlignment w:val="center"/>
              <w:rPr>
                <w:rFonts w:ascii="宋体" w:hAnsi="宋体" w:eastAsia="宋体" w:cs="Times New Roman"/>
                <w:sz w:val="24"/>
              </w:rPr>
            </w:pPr>
          </w:p>
        </w:tc>
        <w:tc>
          <w:tcPr>
            <w:tcW w:w="888" w:type="dxa"/>
            <w:gridSpan w:val="2"/>
            <w:vMerge w:val="continue"/>
          </w:tcPr>
          <w:p>
            <w:pPr>
              <w:widowControl/>
              <w:jc w:val="center"/>
              <w:textAlignment w:val="center"/>
              <w:rPr>
                <w:rFonts w:ascii="宋体" w:hAnsi="宋体" w:eastAsia="宋体" w:cs="宋体"/>
                <w:color w:val="000000"/>
                <w:kern w:val="0"/>
                <w:sz w:val="20"/>
                <w:szCs w:val="20"/>
                <w:lang w:bidi="ar"/>
              </w:rPr>
            </w:pPr>
          </w:p>
        </w:tc>
        <w:tc>
          <w:tcPr>
            <w:tcW w:w="958"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千兆网络交换模块（48口）</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2 台</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48个10/100/1000BASE-T以太网端口,4个千兆SFP；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交换容量≥168Gbps；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6</w:t>
            </w:r>
          </w:p>
        </w:tc>
        <w:tc>
          <w:tcPr>
            <w:tcW w:w="1846" w:type="dxa"/>
            <w:gridSpan w:val="3"/>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光模块</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7台 </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多模光纤接收模块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7</w:t>
            </w:r>
          </w:p>
        </w:tc>
        <w:tc>
          <w:tcPr>
            <w:tcW w:w="1846" w:type="dxa"/>
            <w:gridSpan w:val="3"/>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路由器</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2 台</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企业级路由器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标准机架式，1.5GHz双核处理器，支持1000M带宽接入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内存≥2GB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存储≥8GB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8</w:t>
            </w:r>
          </w:p>
        </w:tc>
        <w:tc>
          <w:tcPr>
            <w:tcW w:w="1846" w:type="dxa"/>
            <w:gridSpan w:val="3"/>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机柜</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2 台</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1.颜色：黑色，尺寸≥高2000*宽600*深1000mm，±10mm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2.材质：冷轧钢板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3.立柱厚度：≥1.8mm，立柱间距：≤485mm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4.散热系统：机柜内配散热设备，机柜内配风扇，左右侧板可拆。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5.开放式层板：左右侧板可按需求拆卸，方便管理设备及加快机柜散热效果。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6.布线接口：机柜上下均设置进出布线口。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9</w:t>
            </w:r>
          </w:p>
        </w:tc>
        <w:tc>
          <w:tcPr>
            <w:tcW w:w="1846" w:type="dxa"/>
            <w:gridSpan w:val="3"/>
          </w:tcPr>
          <w:p>
            <w:pPr>
              <w:widowControl/>
              <w:jc w:val="center"/>
              <w:textAlignment w:val="center"/>
              <w:rPr>
                <w:rFonts w:ascii="宋体" w:hAnsi="宋体" w:eastAsia="宋体" w:cs="宋体"/>
                <w:color w:val="000000"/>
                <w:kern w:val="0"/>
                <w:sz w:val="20"/>
                <w:szCs w:val="20"/>
                <w:lang w:bidi="ar"/>
              </w:rPr>
            </w:pPr>
          </w:p>
          <w:p>
            <w:pPr>
              <w:widowControl/>
              <w:ind w:firstLine="200" w:firstLineChars="100"/>
              <w:textAlignment w:val="center"/>
              <w:rPr>
                <w:rFonts w:ascii="宋体" w:hAnsi="宋体" w:eastAsia="宋体" w:cs="宋体"/>
                <w:color w:val="000000"/>
                <w:kern w:val="0"/>
                <w:sz w:val="20"/>
                <w:szCs w:val="20"/>
                <w:lang w:bidi="ar"/>
              </w:rPr>
            </w:pPr>
          </w:p>
          <w:p>
            <w:pPr>
              <w:widowControl/>
              <w:ind w:firstLine="200" w:firstLineChars="100"/>
              <w:textAlignment w:val="center"/>
              <w:rPr>
                <w:rFonts w:ascii="宋体" w:hAnsi="宋体" w:eastAsia="宋体" w:cs="Times New Roman"/>
                <w:sz w:val="24"/>
              </w:rPr>
            </w:pPr>
            <w:r>
              <w:rPr>
                <w:rFonts w:hint="eastAsia" w:ascii="宋体" w:hAnsi="宋体" w:eastAsia="宋体" w:cs="宋体"/>
                <w:color w:val="000000"/>
                <w:kern w:val="0"/>
                <w:sz w:val="20"/>
                <w:szCs w:val="20"/>
                <w:lang w:bidi="ar"/>
              </w:rPr>
              <w:t>智能语音开关</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2台 </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1. 支持闪连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支持语音声控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支持远程操控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支持单/零火线线路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10</w:t>
            </w:r>
          </w:p>
        </w:tc>
        <w:tc>
          <w:tcPr>
            <w:tcW w:w="1846" w:type="dxa"/>
            <w:gridSpan w:val="3"/>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智能音箱</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2台</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1. 产品功能 语音识别控制功能，红外遥控，7+1红外控制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无线 WIFI云端畅连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蓝牙：</w:t>
            </w:r>
            <w:r>
              <w:rPr>
                <w:rFonts w:hint="eastAsia" w:ascii="Calibri" w:hAnsi="Calibri" w:eastAsia="宋体" w:cs="Times New Roman"/>
              </w:rPr>
              <w:t>相当或优于</w:t>
            </w:r>
            <w:r>
              <w:rPr>
                <w:rFonts w:hint="eastAsia" w:ascii="宋体" w:hAnsi="宋体" w:eastAsia="宋体" w:cs="宋体"/>
                <w:color w:val="000000"/>
                <w:kern w:val="0"/>
                <w:sz w:val="20"/>
                <w:szCs w:val="20"/>
                <w:lang w:bidi="ar"/>
              </w:rPr>
              <w:t>4.2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尺寸：</w:t>
            </w:r>
            <w:r>
              <w:rPr>
                <w:rFonts w:hint="eastAsia" w:ascii="Calibri" w:hAnsi="Calibri" w:eastAsia="宋体" w:cs="Times New Roman"/>
              </w:rPr>
              <w:t>相当或大于</w:t>
            </w:r>
            <w:r>
              <w:rPr>
                <w:rFonts w:hint="eastAsia" w:ascii="宋体" w:hAnsi="宋体" w:eastAsia="宋体" w:cs="宋体"/>
                <w:color w:val="000000"/>
                <w:kern w:val="0"/>
                <w:sz w:val="20"/>
                <w:szCs w:val="20"/>
                <w:lang w:bidi="ar"/>
              </w:rPr>
              <w:t>90mm*102.4mm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供电方式 电源供电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 控制方式 语音控制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11</w:t>
            </w:r>
          </w:p>
        </w:tc>
        <w:tc>
          <w:tcPr>
            <w:tcW w:w="1846" w:type="dxa"/>
            <w:gridSpan w:val="3"/>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功放、无线话筒套装、音响、鹅颈话筒</w:t>
            </w:r>
          </w:p>
        </w:tc>
        <w:tc>
          <w:tcPr>
            <w:tcW w:w="599" w:type="dxa"/>
            <w:vAlign w:val="center"/>
          </w:tcPr>
          <w:p>
            <w:pPr>
              <w:widowControl/>
              <w:jc w:val="center"/>
              <w:textAlignment w:val="center"/>
              <w:rPr>
                <w:rFonts w:ascii="宋体" w:hAnsi="宋体" w:eastAsia="宋体" w:cs="Times New Roman"/>
                <w:sz w:val="20"/>
                <w:szCs w:val="20"/>
              </w:rPr>
            </w:pPr>
            <w:r>
              <w:rPr>
                <w:rFonts w:hint="eastAsia" w:ascii="宋体" w:hAnsi="宋体" w:eastAsia="宋体" w:cs="Times New Roman"/>
                <w:sz w:val="20"/>
                <w:szCs w:val="20"/>
              </w:rPr>
              <w:t>1套</w:t>
            </w:r>
          </w:p>
        </w:tc>
        <w:tc>
          <w:tcPr>
            <w:tcW w:w="5421" w:type="dxa"/>
            <w:vAlign w:val="center"/>
          </w:tcPr>
          <w:p>
            <w:pPr>
              <w:widowControl/>
              <w:jc w:val="left"/>
              <w:textAlignment w:val="center"/>
              <w:rPr>
                <w:rFonts w:ascii="宋体" w:hAnsi="宋体" w:eastAsia="宋体" w:cs="Times New Roman"/>
                <w:sz w:val="20"/>
                <w:szCs w:val="20"/>
              </w:rPr>
            </w:pPr>
            <w:r>
              <w:rPr>
                <w:rFonts w:hint="eastAsia" w:ascii="宋体" w:hAnsi="宋体" w:eastAsia="宋体" w:cs="Times New Roman"/>
                <w:sz w:val="20"/>
                <w:szCs w:val="20"/>
              </w:rPr>
              <w:t>功放：2台</w:t>
            </w:r>
          </w:p>
          <w:p>
            <w:pPr>
              <w:widowControl/>
              <w:jc w:val="left"/>
              <w:textAlignment w:val="center"/>
              <w:rPr>
                <w:rFonts w:ascii="宋体" w:hAnsi="宋体" w:eastAsia="宋体" w:cs="Times New Roman"/>
                <w:sz w:val="20"/>
                <w:szCs w:val="20"/>
              </w:rPr>
            </w:pPr>
            <w:r>
              <w:rPr>
                <w:rFonts w:hint="eastAsia" w:ascii="宋体" w:hAnsi="宋体" w:eastAsia="宋体" w:cs="Times New Roman"/>
                <w:sz w:val="20"/>
                <w:szCs w:val="20"/>
              </w:rPr>
              <w:t>无线话筒套装：2台</w:t>
            </w:r>
          </w:p>
          <w:p>
            <w:pPr>
              <w:widowControl/>
              <w:jc w:val="left"/>
              <w:textAlignment w:val="center"/>
              <w:rPr>
                <w:rFonts w:ascii="宋体" w:hAnsi="宋体" w:eastAsia="宋体" w:cs="Times New Roman"/>
                <w:sz w:val="20"/>
                <w:szCs w:val="20"/>
              </w:rPr>
            </w:pPr>
            <w:r>
              <w:rPr>
                <w:rFonts w:hint="eastAsia" w:ascii="宋体" w:hAnsi="宋体" w:eastAsia="宋体" w:cs="Times New Roman"/>
                <w:sz w:val="20"/>
                <w:szCs w:val="20"/>
              </w:rPr>
              <w:t>音响：4台</w:t>
            </w:r>
          </w:p>
          <w:p>
            <w:pPr>
              <w:widowControl/>
              <w:jc w:val="left"/>
              <w:textAlignment w:val="center"/>
              <w:rPr>
                <w:rFonts w:ascii="宋体" w:hAnsi="宋体" w:eastAsia="宋体" w:cs="Times New Roman"/>
                <w:sz w:val="20"/>
                <w:szCs w:val="20"/>
              </w:rPr>
            </w:pPr>
            <w:r>
              <w:rPr>
                <w:rFonts w:hint="eastAsia" w:ascii="宋体" w:hAnsi="宋体" w:eastAsia="宋体" w:cs="Times New Roman"/>
                <w:sz w:val="20"/>
                <w:szCs w:val="20"/>
              </w:rPr>
              <w:t>鹅颈话筒：2台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12</w:t>
            </w:r>
          </w:p>
        </w:tc>
        <w:tc>
          <w:tcPr>
            <w:tcW w:w="1846" w:type="dxa"/>
            <w:gridSpan w:val="3"/>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摄像头</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8台 </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WIFI频段:2.4GHz单频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云台旋转角度:水平≥300度；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垂直≥40度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传感器尺寸:≥1/2英寸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红外夜视距离:≥10m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像素:≥300万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13</w:t>
            </w:r>
          </w:p>
        </w:tc>
        <w:tc>
          <w:tcPr>
            <w:tcW w:w="1846" w:type="dxa"/>
            <w:gridSpan w:val="3"/>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纳米黑板</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1台 </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1.交互黑板整机采用三段式一体化结构设计，侧板由两块固定侧板组成。交互黑板长度≥4400mm，高度≥1200mm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2.液晶显示尺寸≧86英寸，4K分辨率：3840*2160，屏幕刷新率可达60Hz，色彩覆盖率≥120%，钢化玻璃采用AG工艺，厚度＜3.5mm，硬度可达莫氏7级。主屏背板采用高强度镀锌钢板材质，整块厚度≥1mm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3.主屏采用全贴合触控技术，在Windows与Android下均支持30点同时触控，光标移动速度≥120帧/秒，书写延迟≤15ms；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4.前置一路HDMI接口（非转接），2路前置USB3.0接口，1路USB Type-C（Type-C接口具备音频、视频、数据、触控、充电等功能，外接电脑可调用交互设备麦克风、音响、摄像头等数据）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5.交互黑板后置RJ45≥1路，音频输入≥1路，RS232≥1路，VGA输入接口≥1路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前置接口面板、前置按键面板屏体主板、屏体电源板、扬声器分别支持单独前拆，无需拆卸显示屏即可维护；接口按键不少于8个，可实现系统还原、窗口关闭、触控开关等功能，且每个按键不少于两种以上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7.采用2.2声道音箱，额定功率≥60W，低音音箱尺寸＞3英寸；整机扬声器在100%音量下，1 米处声压级≥90db，10 米处声压级≥80db；谐振频率不高于260Hz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采用物理减滤蓝光设计，无需其他操作即可实现防蓝光且屏体无色温变化，摄像设备拍摄时画面无条纹闪烁；整机支持类纸质护眼模式显示，支持任意通道，软件下画面类纸质护眼模式实时调整，支持透明度、色温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9.Android 主板具备四核CPU， 内存不小于2G，支持扩展至40 G ，Android 系统不低于11.0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内置电脑：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1.采用80pin Intel通用标准接口,即插即用，易于维护；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2.CPU采用Intel第12代及以上平台处理器酷睿I5处理器；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3.内存：≥8G DDR4；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4.硬盘：≥256G SSD固态硬盘；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Merge w:val="restart"/>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14</w:t>
            </w:r>
          </w:p>
          <w:p>
            <w:pPr>
              <w:jc w:val="center"/>
              <w:textAlignment w:val="center"/>
              <w:rPr>
                <w:rFonts w:ascii="宋体" w:hAnsi="宋体" w:eastAsia="宋体" w:cs="Times New Roman"/>
                <w:sz w:val="24"/>
              </w:rPr>
            </w:pPr>
          </w:p>
        </w:tc>
        <w:tc>
          <w:tcPr>
            <w:tcW w:w="888" w:type="dxa"/>
            <w:gridSpan w:val="2"/>
            <w:vMerge w:val="restart"/>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实训桌</w:t>
            </w:r>
          </w:p>
        </w:tc>
        <w:tc>
          <w:tcPr>
            <w:tcW w:w="958"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多功能讲台</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1套 </w:t>
            </w:r>
          </w:p>
        </w:tc>
        <w:tc>
          <w:tcPr>
            <w:tcW w:w="5421"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产品尺寸：1400*750*800-900MM，讲桌采用钢木结合构造，桌体上部份采用圆弧设计，装配左右前方木质扶手，重点部门采用一次冲压成形技术，讲台整体颜色为双色搭配，所有钣金部分均采用激光切割加工，所有尖角倒圆角不小于R3，保证使用者和给护者不划伤。</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2、钢板采用1.0mm优质冷轧钢板，表面酸洗、磷化、静电喷涂，讲台为上下分体式结构，方便进出设计比较窄的教室门，讲桌内置固定螺丝孔位，安装简单，安全防盗。</w:t>
            </w:r>
          </w:p>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3、台面铺全木，上柜有三个抽屉，一个键盘抽屉，一个方便老师放笔，一个储物抽屉，下柜有储物柜功能。桌体下层四解圆弧设计，内部采用分层设计，放放置课本作业及教具等物品。关闭后，所有东西都隐藏在讲台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Merge w:val="continue"/>
            <w:vAlign w:val="center"/>
          </w:tcPr>
          <w:p>
            <w:pPr>
              <w:widowControl/>
              <w:jc w:val="center"/>
              <w:textAlignment w:val="center"/>
              <w:rPr>
                <w:rFonts w:ascii="宋体" w:hAnsi="宋体" w:eastAsia="宋体" w:cs="Times New Roman"/>
                <w:sz w:val="24"/>
              </w:rPr>
            </w:pPr>
          </w:p>
        </w:tc>
        <w:tc>
          <w:tcPr>
            <w:tcW w:w="888" w:type="dxa"/>
            <w:gridSpan w:val="2"/>
            <w:vMerge w:val="continue"/>
          </w:tcPr>
          <w:p>
            <w:pPr>
              <w:widowControl/>
              <w:jc w:val="center"/>
              <w:textAlignment w:val="center"/>
              <w:rPr>
                <w:rFonts w:ascii="宋体" w:hAnsi="宋体" w:eastAsia="宋体" w:cs="宋体"/>
                <w:color w:val="000000"/>
                <w:kern w:val="0"/>
                <w:sz w:val="20"/>
                <w:szCs w:val="20"/>
                <w:lang w:bidi="ar"/>
              </w:rPr>
            </w:pPr>
          </w:p>
        </w:tc>
        <w:tc>
          <w:tcPr>
            <w:tcW w:w="958"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实训桌</w:t>
            </w:r>
          </w:p>
        </w:tc>
        <w:tc>
          <w:tcPr>
            <w:tcW w:w="599"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0"/>
                <w:szCs w:val="20"/>
                <w:lang w:bidi="ar"/>
              </w:rPr>
              <w:t>61</w:t>
            </w:r>
            <w:r>
              <w:rPr>
                <w:rFonts w:hint="eastAsia" w:ascii="宋体" w:hAnsi="宋体" w:eastAsia="宋体" w:cs="宋体"/>
                <w:color w:val="000000"/>
                <w:kern w:val="0"/>
                <w:sz w:val="20"/>
                <w:szCs w:val="20"/>
                <w:lang w:bidi="ar"/>
              </w:rPr>
              <w:t xml:space="preserve">套 </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定制（根据现场定制）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钢管结构采用优质低碳A3冷扎钢管，,采用二氧化碳保护焊接工艺焊接，经细心打磨、校正、酸洗、碱洗、喷涂而成，锯有整体焊接牢固美观，耐磨抗刮花的特点。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Merge w:val="restart"/>
            <w:vAlign w:val="center"/>
          </w:tcPr>
          <w:p>
            <w:pPr>
              <w:jc w:val="center"/>
              <w:textAlignment w:val="center"/>
              <w:rPr>
                <w:rFonts w:ascii="宋体" w:hAnsi="宋体" w:eastAsia="宋体" w:cs="Times New Roman"/>
                <w:sz w:val="24"/>
              </w:rPr>
            </w:pPr>
            <w:r>
              <w:rPr>
                <w:rFonts w:ascii="宋体" w:hAnsi="宋体" w:eastAsia="宋体" w:cs="宋体"/>
                <w:color w:val="000000"/>
                <w:kern w:val="0"/>
                <w:sz w:val="22"/>
                <w:szCs w:val="22"/>
                <w:lang w:bidi="ar"/>
              </w:rPr>
              <w:t>15</w:t>
            </w:r>
          </w:p>
        </w:tc>
        <w:tc>
          <w:tcPr>
            <w:tcW w:w="888" w:type="dxa"/>
            <w:gridSpan w:val="2"/>
            <w:vMerge w:val="restart"/>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实训椅</w:t>
            </w:r>
          </w:p>
        </w:tc>
        <w:tc>
          <w:tcPr>
            <w:tcW w:w="958"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实训椅</w:t>
            </w:r>
          </w:p>
        </w:tc>
        <w:tc>
          <w:tcPr>
            <w:tcW w:w="599" w:type="dxa"/>
            <w:vAlign w:val="center"/>
          </w:tcPr>
          <w:p>
            <w:pPr>
              <w:widowControl/>
              <w:jc w:val="center"/>
              <w:textAlignment w:val="center"/>
              <w:rPr>
                <w:rFonts w:ascii="宋体" w:hAnsi="宋体" w:eastAsia="宋体" w:cs="Times New Roman"/>
                <w:sz w:val="24"/>
              </w:rPr>
            </w:pPr>
            <w:r>
              <w:rPr>
                <w:rFonts w:ascii="宋体" w:hAnsi="宋体" w:eastAsia="宋体" w:cs="宋体"/>
                <w:color w:val="000000"/>
                <w:kern w:val="0"/>
                <w:sz w:val="20"/>
                <w:szCs w:val="20"/>
                <w:lang w:bidi="ar"/>
              </w:rPr>
              <w:t>61</w:t>
            </w:r>
            <w:r>
              <w:rPr>
                <w:rFonts w:hint="eastAsia" w:ascii="宋体" w:hAnsi="宋体" w:eastAsia="宋体" w:cs="宋体"/>
                <w:color w:val="000000"/>
                <w:kern w:val="0"/>
                <w:sz w:val="20"/>
                <w:szCs w:val="20"/>
                <w:lang w:bidi="ar"/>
              </w:rPr>
              <w:t>套</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定制（根据现场定制）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1.靠背：尼龙加玻纤白色背框扪华宇透气网布；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2.坐垫：45高密度纯海绵+高级耐磨弹力网布座饰面；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3.白色PP扶手面可前后活动；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4.架子1.5厚喷涂白色方管4脚椅架+固定脚/ 50mm静音轮；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5.功能坐垫可翻起，架子可全折叠。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Merge w:val="continue"/>
            <w:vAlign w:val="center"/>
          </w:tcPr>
          <w:p>
            <w:pPr>
              <w:widowControl/>
              <w:jc w:val="center"/>
              <w:textAlignment w:val="center"/>
              <w:rPr>
                <w:rFonts w:ascii="宋体" w:hAnsi="宋体" w:eastAsia="宋体" w:cs="Times New Roman"/>
                <w:sz w:val="24"/>
              </w:rPr>
            </w:pPr>
          </w:p>
        </w:tc>
        <w:tc>
          <w:tcPr>
            <w:tcW w:w="888" w:type="dxa"/>
            <w:gridSpan w:val="2"/>
            <w:vMerge w:val="continue"/>
          </w:tcPr>
          <w:p>
            <w:pPr>
              <w:widowControl/>
              <w:jc w:val="center"/>
              <w:textAlignment w:val="center"/>
              <w:rPr>
                <w:rFonts w:ascii="宋体" w:hAnsi="宋体" w:eastAsia="宋体" w:cs="宋体"/>
                <w:color w:val="000000"/>
                <w:kern w:val="0"/>
                <w:sz w:val="20"/>
                <w:szCs w:val="20"/>
                <w:lang w:bidi="ar"/>
              </w:rPr>
            </w:pPr>
          </w:p>
        </w:tc>
        <w:tc>
          <w:tcPr>
            <w:tcW w:w="958"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教师椅</w:t>
            </w:r>
          </w:p>
        </w:tc>
        <w:tc>
          <w:tcPr>
            <w:tcW w:w="599" w:type="dxa"/>
            <w:vAlign w:val="center"/>
          </w:tcPr>
          <w:p>
            <w:pPr>
              <w:widowControl/>
              <w:jc w:val="center"/>
              <w:textAlignment w:val="center"/>
              <w:rPr>
                <w:rFonts w:ascii="宋体" w:hAnsi="宋体" w:eastAsia="宋体" w:cs="Times New Roman"/>
                <w:sz w:val="24"/>
              </w:rPr>
            </w:pPr>
            <w:r>
              <w:rPr>
                <w:rFonts w:hint="eastAsia" w:ascii="宋体" w:hAnsi="宋体" w:eastAsia="宋体" w:cs="宋体"/>
                <w:color w:val="000000"/>
                <w:kern w:val="0"/>
                <w:sz w:val="20"/>
                <w:szCs w:val="20"/>
                <w:lang w:bidi="ar"/>
              </w:rPr>
              <w:t xml:space="preserve">2套 </w:t>
            </w:r>
          </w:p>
        </w:tc>
        <w:tc>
          <w:tcPr>
            <w:tcW w:w="5421" w:type="dxa"/>
            <w:vAlign w:val="center"/>
          </w:tcPr>
          <w:p>
            <w:pPr>
              <w:widowControl/>
              <w:jc w:val="left"/>
              <w:textAlignment w:val="center"/>
              <w:rPr>
                <w:rFonts w:ascii="宋体" w:hAnsi="宋体" w:eastAsia="宋体" w:cs="Times New Roman"/>
                <w:sz w:val="24"/>
              </w:rPr>
            </w:pPr>
            <w:r>
              <w:rPr>
                <w:rFonts w:hint="eastAsia" w:ascii="宋体" w:hAnsi="宋体" w:eastAsia="宋体" w:cs="宋体"/>
                <w:color w:val="000000"/>
                <w:kern w:val="0"/>
                <w:sz w:val="20"/>
                <w:szCs w:val="20"/>
                <w:lang w:bidi="ar"/>
              </w:rPr>
              <w:t>36#高密度无粉海绵，12MM厚优质木板，高透气纳帕纹西皮，连体扶手，常规2.5蝴蝶中班，防爆气杆，铝合金脚架，尼龙轮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6" w:type="dxa"/>
            <w:vAlign w:val="center"/>
          </w:tcPr>
          <w:p>
            <w:pPr>
              <w:widowControl/>
              <w:jc w:val="center"/>
              <w:textAlignment w:val="center"/>
              <w:rPr>
                <w:rFonts w:ascii="宋体" w:hAnsi="宋体" w:eastAsia="宋体" w:cs="Times New Roman"/>
                <w:sz w:val="24"/>
              </w:rPr>
            </w:pPr>
          </w:p>
        </w:tc>
        <w:tc>
          <w:tcPr>
            <w:tcW w:w="1846" w:type="dxa"/>
            <w:gridSpan w:val="3"/>
          </w:tcPr>
          <w:p>
            <w:pPr>
              <w:widowControl w:val="0"/>
              <w:jc w:val="both"/>
              <w:rPr>
                <w:rFonts w:ascii="宋体" w:hAnsi="宋体" w:eastAsia="宋体" w:cs="Arial"/>
                <w:color w:val="70AD47"/>
                <w:kern w:val="2"/>
                <w:sz w:val="24"/>
                <w:szCs w:val="24"/>
                <w:lang w:val="en-US" w:eastAsia="zh-CN" w:bidi="ar-SA"/>
              </w:rPr>
            </w:pPr>
          </w:p>
        </w:tc>
        <w:tc>
          <w:tcPr>
            <w:tcW w:w="599" w:type="dxa"/>
            <w:vAlign w:val="center"/>
          </w:tcPr>
          <w:p>
            <w:pPr>
              <w:widowControl/>
              <w:jc w:val="center"/>
              <w:textAlignment w:val="center"/>
              <w:rPr>
                <w:rFonts w:ascii="宋体" w:hAnsi="宋体" w:eastAsia="宋体" w:cs="Times New Roman"/>
                <w:sz w:val="24"/>
              </w:rPr>
            </w:pPr>
          </w:p>
        </w:tc>
        <w:tc>
          <w:tcPr>
            <w:tcW w:w="5421" w:type="dxa"/>
            <w:vAlign w:val="center"/>
          </w:tcPr>
          <w:p>
            <w:pPr>
              <w:widowControl w:val="0"/>
              <w:jc w:val="both"/>
              <w:rPr>
                <w:rFonts w:ascii="宋体" w:hAnsi="宋体" w:eastAsia="宋体" w:cs="Arial"/>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7" w:type="dxa"/>
            <w:gridSpan w:val="2"/>
          </w:tcPr>
          <w:p>
            <w:pPr>
              <w:rPr>
                <w:rFonts w:ascii="Calibri" w:hAnsi="Calibri" w:eastAsia="宋体" w:cs="Times New Roman"/>
              </w:rPr>
            </w:pPr>
          </w:p>
        </w:tc>
        <w:tc>
          <w:tcPr>
            <w:tcW w:w="7315" w:type="dxa"/>
            <w:gridSpan w:val="4"/>
            <w:vAlign w:val="center"/>
          </w:tcPr>
          <w:p>
            <w:pPr>
              <w:rPr>
                <w:rFonts w:ascii="Calibri" w:hAnsi="Calibri" w:eastAsia="宋体" w:cs="Times New Roman"/>
              </w:rPr>
            </w:pPr>
            <w:r>
              <w:rPr>
                <w:rFonts w:hint="eastAsia" w:ascii="Calibri" w:hAnsi="Calibri" w:eastAsia="宋体" w:cs="Times New Roman"/>
              </w:rPr>
              <w:t>说明：</w:t>
            </w:r>
          </w:p>
          <w:p>
            <w:pPr>
              <w:rPr>
                <w:rFonts w:ascii="Calibri" w:hAnsi="Calibri" w:eastAsia="宋体" w:cs="Times New Roman"/>
              </w:rPr>
            </w:pPr>
            <w:r>
              <w:rPr>
                <w:rFonts w:hint="eastAsia" w:ascii="Calibri" w:hAnsi="Calibri" w:eastAsia="宋体" w:cs="Times New Roman"/>
              </w:rPr>
              <w:t>打“★”号条款为实质性条款，若有任何一条负偏离或不满足则导致投标（响应）无效。</w:t>
            </w:r>
          </w:p>
          <w:p>
            <w:pPr>
              <w:rPr>
                <w:rFonts w:ascii="宋体" w:hAnsi="宋体" w:eastAsia="宋体" w:cs="Times New Roman"/>
                <w:sz w:val="24"/>
              </w:rPr>
            </w:pPr>
            <w:r>
              <w:rPr>
                <w:rFonts w:hint="eastAsia" w:ascii="Calibri" w:hAnsi="Calibri" w:eastAsia="宋体" w:cs="Times New Roman"/>
              </w:rPr>
              <w:t>打“▲”号条款为重要技术参数（如有），若有部分“▲”条款未响应或不满足，将根据评审要求影响其得分，但不作为无效投标（响应）条款。</w:t>
            </w:r>
          </w:p>
        </w:tc>
      </w:tr>
    </w:tbl>
    <w:p>
      <w:pPr>
        <w:widowControl w:val="0"/>
        <w:adjustRightInd w:val="0"/>
        <w:snapToGrid w:val="0"/>
        <w:spacing w:line="360" w:lineRule="auto"/>
        <w:jc w:val="both"/>
        <w:rPr>
          <w:rFonts w:ascii="宋体" w:hAnsi="宋体" w:eastAsia="宋体" w:cs="宋体"/>
          <w:color w:val="000000"/>
          <w:kern w:val="2"/>
          <w:sz w:val="24"/>
          <w:szCs w:val="24"/>
          <w:lang w:val="en-US" w:eastAsia="zh-CN" w:bidi="ar-SA"/>
        </w:rPr>
      </w:pPr>
    </w:p>
    <w:p>
      <w:pPr>
        <w:widowControl w:val="0"/>
        <w:numPr>
          <w:ilvl w:val="0"/>
          <w:numId w:val="1"/>
        </w:numPr>
        <w:tabs>
          <w:tab w:val="left" w:pos="540"/>
        </w:tabs>
        <w:adjustRightInd w:val="0"/>
        <w:snapToGrid w:val="0"/>
        <w:spacing w:line="360" w:lineRule="auto"/>
        <w:ind w:left="420" w:hanging="420"/>
        <w:jc w:val="both"/>
        <w:rPr>
          <w:rFonts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包装、保险及发运、保管要求</w:t>
      </w:r>
    </w:p>
    <w:p>
      <w:pPr>
        <w:widowControl w:val="0"/>
        <w:numPr>
          <w:ilvl w:val="0"/>
          <w:numId w:val="2"/>
        </w:numPr>
        <w:adjustRightInd w:val="0"/>
        <w:snapToGrid w:val="0"/>
        <w:spacing w:line="360" w:lineRule="auto"/>
        <w:ind w:left="360" w:hanging="36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设备材料的包装必须是制造商原厂包装，其包装均应有良好的防湿、防锈、防潮、防雨、防腐及防碰撞的措施。凡由于包装不良造成的损失和由此产生的费用均由中标人承担。</w:t>
      </w:r>
    </w:p>
    <w:p>
      <w:pPr>
        <w:widowControl w:val="0"/>
        <w:numPr>
          <w:ilvl w:val="0"/>
          <w:numId w:val="2"/>
        </w:numPr>
        <w:adjustRightInd w:val="0"/>
        <w:snapToGrid w:val="0"/>
        <w:spacing w:line="360" w:lineRule="auto"/>
        <w:ind w:left="360" w:hanging="36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中标人负责将设备材料货到现场过程中的全部运输，包括装卸车、货物现场的搬运。</w:t>
      </w:r>
    </w:p>
    <w:p>
      <w:pPr>
        <w:widowControl w:val="0"/>
        <w:numPr>
          <w:ilvl w:val="0"/>
          <w:numId w:val="2"/>
        </w:numPr>
        <w:adjustRightInd w:val="0"/>
        <w:snapToGrid w:val="0"/>
        <w:spacing w:line="360" w:lineRule="auto"/>
        <w:ind w:left="360" w:hanging="36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各种设备必须提供装箱清单，按装箱清单验收货物。</w:t>
      </w:r>
    </w:p>
    <w:p>
      <w:pPr>
        <w:widowControl w:val="0"/>
        <w:numPr>
          <w:ilvl w:val="0"/>
          <w:numId w:val="2"/>
        </w:numPr>
        <w:adjustRightInd w:val="0"/>
        <w:snapToGrid w:val="0"/>
        <w:spacing w:line="360" w:lineRule="auto"/>
        <w:ind w:left="360" w:hanging="36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货物在现场的保管由中标人负责，直至项目安装、验收完毕。</w:t>
      </w:r>
    </w:p>
    <w:p>
      <w:pPr>
        <w:widowControl w:val="0"/>
        <w:numPr>
          <w:ilvl w:val="0"/>
          <w:numId w:val="2"/>
        </w:numPr>
        <w:adjustRightInd w:val="0"/>
        <w:snapToGrid w:val="0"/>
        <w:spacing w:line="360" w:lineRule="auto"/>
        <w:ind w:left="360" w:hanging="36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货物在系统安装调试验收合格前的保险由中标人负责，中标人负责其派出的现场服务人员人身意外保险。</w:t>
      </w:r>
    </w:p>
    <w:p>
      <w:pPr>
        <w:widowControl w:val="0"/>
        <w:numPr>
          <w:ilvl w:val="0"/>
          <w:numId w:val="2"/>
        </w:numPr>
        <w:adjustRightInd w:val="0"/>
        <w:snapToGrid w:val="0"/>
        <w:spacing w:line="360" w:lineRule="auto"/>
        <w:ind w:left="360" w:hanging="36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设备至采购人指定的使用现场的包装、保险及发运等环节和费用均由中标人负责。</w:t>
      </w:r>
    </w:p>
    <w:p>
      <w:pPr>
        <w:widowControl w:val="0"/>
        <w:numPr>
          <w:ilvl w:val="0"/>
          <w:numId w:val="1"/>
        </w:numPr>
        <w:tabs>
          <w:tab w:val="left" w:pos="0"/>
          <w:tab w:val="clear" w:pos="420"/>
        </w:tabs>
        <w:adjustRightInd w:val="0"/>
        <w:snapToGrid w:val="0"/>
        <w:spacing w:line="360" w:lineRule="auto"/>
        <w:ind w:left="420" w:hanging="420"/>
        <w:jc w:val="both"/>
        <w:rPr>
          <w:rFonts w:ascii="宋体" w:hAnsi="宋体" w:eastAsia="宋体" w:cs="Times New Roman"/>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质保期及售后服务要求</w:t>
      </w:r>
    </w:p>
    <w:p>
      <w:pPr>
        <w:widowControl w:val="0"/>
        <w:numPr>
          <w:ilvl w:val="0"/>
          <w:numId w:val="3"/>
        </w:numPr>
        <w:tabs>
          <w:tab w:val="left" w:pos="2340"/>
        </w:tabs>
        <w:adjustRightInd w:val="0"/>
        <w:snapToGrid w:val="0"/>
        <w:spacing w:line="360" w:lineRule="auto"/>
        <w:ind w:left="425" w:hanging="425"/>
        <w:jc w:val="both"/>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 xml:space="preserve">质量保证期（简称“质保期”）为 </w:t>
      </w:r>
      <w:r>
        <w:rPr>
          <w:rFonts w:ascii="宋体" w:hAnsi="宋体" w:eastAsia="宋体" w:cs="Times New Roman"/>
          <w:color w:val="000000"/>
          <w:kern w:val="0"/>
          <w:sz w:val="24"/>
          <w:szCs w:val="24"/>
          <w:lang w:val="en-US" w:eastAsia="zh-CN" w:bidi="ar-SA"/>
        </w:rPr>
        <w:t>2</w:t>
      </w:r>
      <w:r>
        <w:rPr>
          <w:rFonts w:hint="eastAsia" w:ascii="宋体" w:hAnsi="宋体" w:eastAsia="宋体" w:cs="Times New Roman"/>
          <w:color w:val="000000"/>
          <w:kern w:val="0"/>
          <w:sz w:val="24"/>
          <w:szCs w:val="24"/>
          <w:lang w:val="en-US" w:eastAsia="zh-CN" w:bidi="ar-SA"/>
        </w:rPr>
        <w:t xml:space="preserve"> 年，质保期内中标人对所供货物实行包修、包换、包退、包维护保养，期满后可同时提供终身(免费/有偿)维修保养服务。</w:t>
      </w:r>
    </w:p>
    <w:p>
      <w:pPr>
        <w:widowControl w:val="0"/>
        <w:numPr>
          <w:ilvl w:val="0"/>
          <w:numId w:val="3"/>
        </w:numPr>
        <w:autoSpaceDE w:val="0"/>
        <w:autoSpaceDN w:val="0"/>
        <w:adjustRightInd w:val="0"/>
        <w:snapToGrid w:val="0"/>
        <w:spacing w:line="360" w:lineRule="auto"/>
        <w:ind w:left="425" w:hanging="425"/>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质保期内，如设备或零部件因非人为因素出现故障而造成短期停用时，则质保期和免费维修期相应顺延。如停用时间累计超过60天则质保期重新计算。</w:t>
      </w:r>
    </w:p>
    <w:p>
      <w:pPr>
        <w:widowControl w:val="0"/>
        <w:numPr>
          <w:ilvl w:val="0"/>
          <w:numId w:val="3"/>
        </w:numPr>
        <w:autoSpaceDE w:val="0"/>
        <w:autoSpaceDN w:val="0"/>
        <w:adjustRightInd w:val="0"/>
        <w:snapToGrid w:val="0"/>
        <w:spacing w:line="360" w:lineRule="auto"/>
        <w:ind w:left="425" w:hanging="425"/>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对采购人的服务通知，中标人在接报后1小时内响应，24小时内到达现场，48小时内处理完毕。若在48小时内仍未能有效解决，中标人须免费提供同档次的设备予采购人临时使用。</w:t>
      </w:r>
    </w:p>
    <w:p>
      <w:pPr>
        <w:widowControl w:val="0"/>
        <w:numPr>
          <w:ilvl w:val="0"/>
          <w:numId w:val="1"/>
        </w:numPr>
        <w:tabs>
          <w:tab w:val="left" w:pos="540"/>
        </w:tabs>
        <w:adjustRightInd w:val="0"/>
        <w:snapToGrid w:val="0"/>
        <w:spacing w:line="360" w:lineRule="auto"/>
        <w:ind w:left="420" w:hanging="420"/>
        <w:jc w:val="both"/>
        <w:rPr>
          <w:rFonts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安装、调试与验收</w:t>
      </w:r>
    </w:p>
    <w:p>
      <w:pPr>
        <w:widowControl w:val="0"/>
        <w:numPr>
          <w:ilvl w:val="0"/>
          <w:numId w:val="4"/>
        </w:numPr>
        <w:tabs>
          <w:tab w:val="left" w:pos="540"/>
        </w:tabs>
        <w:adjustRightInd w:val="0"/>
        <w:snapToGrid w:val="0"/>
        <w:spacing w:line="360" w:lineRule="auto"/>
        <w:ind w:left="425" w:hanging="425"/>
        <w:jc w:val="both"/>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中标人必须依照招标文件的要求和投标文件的承诺，将设备、系统安装并调试至正常运行的最佳状态。</w:t>
      </w:r>
    </w:p>
    <w:p>
      <w:pPr>
        <w:widowControl w:val="0"/>
        <w:numPr>
          <w:ilvl w:val="0"/>
          <w:numId w:val="4"/>
        </w:numPr>
        <w:tabs>
          <w:tab w:val="left" w:pos="540"/>
        </w:tabs>
        <w:adjustRightInd w:val="0"/>
        <w:snapToGrid w:val="0"/>
        <w:spacing w:line="360" w:lineRule="auto"/>
        <w:ind w:left="425" w:hanging="425"/>
        <w:jc w:val="both"/>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 xml:space="preserve">货物若有国家标准按照国家标准验收，若无国家标准按行业标准验收，为原制造商制造的全新产品，整机无污染，无侵权行为、表面无划损、无任何缺陷隐患，在中国境内可依常规安全合法使用。 </w:t>
      </w:r>
    </w:p>
    <w:p>
      <w:pPr>
        <w:widowControl w:val="0"/>
        <w:numPr>
          <w:ilvl w:val="0"/>
          <w:numId w:val="4"/>
        </w:numPr>
        <w:tabs>
          <w:tab w:val="left" w:pos="900"/>
        </w:tabs>
        <w:autoSpaceDE w:val="0"/>
        <w:autoSpaceDN w:val="0"/>
        <w:adjustRightInd w:val="0"/>
        <w:snapToGrid w:val="0"/>
        <w:spacing w:line="360" w:lineRule="auto"/>
        <w:ind w:left="425" w:hanging="425"/>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货物为原厂商未启封全新包装，具出厂合格证，序列号、包装箱号与出厂批号一致，并可追索查阅。所有随设备的附件必须齐全。</w:t>
      </w:r>
    </w:p>
    <w:p>
      <w:pPr>
        <w:widowControl w:val="0"/>
        <w:numPr>
          <w:ilvl w:val="0"/>
          <w:numId w:val="4"/>
        </w:numPr>
        <w:tabs>
          <w:tab w:val="left" w:pos="900"/>
        </w:tabs>
        <w:autoSpaceDE w:val="0"/>
        <w:autoSpaceDN w:val="0"/>
        <w:adjustRightInd w:val="0"/>
        <w:snapToGrid w:val="0"/>
        <w:spacing w:line="360" w:lineRule="auto"/>
        <w:ind w:left="425" w:hanging="425"/>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中标人应将关键主机设备的用户手册、保修手册、有关单证资料及配备件、随机工具等交付给采购人，使用操作及安全须知等重要资料应附有中文说明。</w:t>
      </w:r>
    </w:p>
    <w:p>
      <w:pPr>
        <w:widowControl w:val="0"/>
        <w:numPr>
          <w:ilvl w:val="0"/>
          <w:numId w:val="4"/>
        </w:numPr>
        <w:tabs>
          <w:tab w:val="left" w:pos="900"/>
        </w:tabs>
        <w:autoSpaceDE w:val="0"/>
        <w:autoSpaceDN w:val="0"/>
        <w:adjustRightInd w:val="0"/>
        <w:snapToGrid w:val="0"/>
        <w:spacing w:line="360" w:lineRule="auto"/>
        <w:ind w:left="425" w:hanging="425"/>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widowControl w:val="0"/>
        <w:numPr>
          <w:ilvl w:val="0"/>
          <w:numId w:val="1"/>
        </w:numPr>
        <w:tabs>
          <w:tab w:val="left" w:pos="540"/>
        </w:tabs>
        <w:adjustRightInd w:val="0"/>
        <w:snapToGrid w:val="0"/>
        <w:spacing w:line="360" w:lineRule="auto"/>
        <w:ind w:left="420" w:hanging="420"/>
        <w:jc w:val="both"/>
        <w:rPr>
          <w:rFonts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服务要求</w:t>
      </w:r>
    </w:p>
    <w:p>
      <w:pPr>
        <w:widowControl w:val="0"/>
        <w:numPr>
          <w:ilvl w:val="0"/>
          <w:numId w:val="5"/>
        </w:numPr>
        <w:tabs>
          <w:tab w:val="left" w:pos="540"/>
        </w:tabs>
        <w:adjustRightInd w:val="0"/>
        <w:snapToGrid w:val="0"/>
        <w:spacing w:line="360" w:lineRule="auto"/>
        <w:ind w:left="360" w:hanging="360"/>
        <w:jc w:val="both"/>
        <w:rPr>
          <w:rFonts w:ascii="宋体" w:hAnsi="宋体" w:eastAsia="宋体" w:cs="Times New Roman"/>
          <w:color w:val="000000"/>
          <w:kern w:val="0"/>
          <w:sz w:val="24"/>
          <w:szCs w:val="24"/>
          <w:lang w:val="en-US" w:eastAsia="zh-CN" w:bidi="ar-SA"/>
        </w:rPr>
      </w:pPr>
      <w:r>
        <w:rPr>
          <w:rFonts w:hint="eastAsia" w:ascii="宋体" w:hAnsi="宋体" w:eastAsia="宋体" w:cs="Times New Roman"/>
          <w:kern w:val="0"/>
          <w:sz w:val="24"/>
          <w:szCs w:val="24"/>
          <w:lang w:val="en-US" w:eastAsia="zh-CN" w:bidi="ar-SA"/>
        </w:rPr>
        <w:t>中标人负责</w:t>
      </w:r>
      <w:r>
        <w:rPr>
          <w:rFonts w:hint="eastAsia" w:ascii="宋体" w:hAnsi="宋体" w:eastAsia="宋体" w:cs="Times New Roman"/>
          <w:color w:val="000000"/>
          <w:kern w:val="0"/>
          <w:sz w:val="24"/>
          <w:szCs w:val="24"/>
          <w:lang w:val="en-US" w:eastAsia="zh-CN" w:bidi="ar-SA"/>
        </w:rPr>
        <w:t>完成设备安装与实训场地布置。</w:t>
      </w:r>
    </w:p>
    <w:p>
      <w:pPr>
        <w:widowControl w:val="0"/>
        <w:numPr>
          <w:ilvl w:val="0"/>
          <w:numId w:val="5"/>
        </w:numPr>
        <w:tabs>
          <w:tab w:val="left" w:pos="540"/>
        </w:tabs>
        <w:adjustRightInd w:val="0"/>
        <w:snapToGrid w:val="0"/>
        <w:spacing w:line="360" w:lineRule="auto"/>
        <w:ind w:left="360" w:hanging="360"/>
        <w:jc w:val="both"/>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中标人应对采购人进行设备免费培训不低于3天。</w:t>
      </w:r>
    </w:p>
    <w:p>
      <w:pPr>
        <w:widowControl w:val="0"/>
        <w:numPr>
          <w:ilvl w:val="0"/>
          <w:numId w:val="5"/>
        </w:numPr>
        <w:tabs>
          <w:tab w:val="left" w:pos="540"/>
        </w:tabs>
        <w:adjustRightInd w:val="0"/>
        <w:snapToGrid w:val="0"/>
        <w:spacing w:line="360" w:lineRule="auto"/>
        <w:ind w:left="360" w:hanging="360"/>
        <w:jc w:val="both"/>
        <w:rPr>
          <w:rFonts w:ascii="宋体" w:hAnsi="宋体" w:eastAsia="宋体" w:cs="Times New Roman"/>
          <w:color w:val="000000"/>
          <w:kern w:val="0"/>
          <w:sz w:val="24"/>
          <w:szCs w:val="24"/>
          <w:lang w:val="en-US" w:eastAsia="zh-CN" w:bidi="ar-SA"/>
        </w:rPr>
      </w:pPr>
      <w:r>
        <w:rPr>
          <w:rFonts w:hint="eastAsia" w:ascii="宋体" w:hAnsi="宋体" w:eastAsia="宋体" w:cs="Times New Roman"/>
          <w:kern w:val="0"/>
          <w:sz w:val="24"/>
          <w:szCs w:val="24"/>
          <w:lang w:val="en-US" w:eastAsia="zh-CN" w:bidi="ar-SA"/>
        </w:rPr>
        <w:t>中标人应提供设备所有图纸、说明书及相关软件。</w:t>
      </w:r>
    </w:p>
    <w:p>
      <w:pPr>
        <w:widowControl w:val="0"/>
        <w:numPr>
          <w:ilvl w:val="0"/>
          <w:numId w:val="1"/>
        </w:numPr>
        <w:tabs>
          <w:tab w:val="left" w:pos="540"/>
        </w:tabs>
        <w:adjustRightInd w:val="0"/>
        <w:snapToGrid w:val="0"/>
        <w:spacing w:line="360" w:lineRule="auto"/>
        <w:ind w:left="420" w:hanging="420"/>
        <w:jc w:val="both"/>
        <w:rPr>
          <w:rFonts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付款方式</w:t>
      </w:r>
    </w:p>
    <w:p>
      <w:pPr>
        <w:widowControl w:val="0"/>
        <w:numPr>
          <w:numId w:val="0"/>
        </w:numPr>
        <w:tabs>
          <w:tab w:val="left" w:pos="540"/>
        </w:tabs>
        <w:adjustRightInd w:val="0"/>
        <w:snapToGrid w:val="0"/>
        <w:spacing w:line="360" w:lineRule="auto"/>
        <w:ind w:leftChars="0"/>
        <w:jc w:val="both"/>
        <w:rPr>
          <w:rFonts w:hint="eastAsia" w:ascii="宋体" w:hAnsi="宋体" w:eastAsia="宋体" w:cs="Times New Roman"/>
          <w:color w:val="000000"/>
          <w:kern w:val="0"/>
          <w:sz w:val="24"/>
          <w:szCs w:val="24"/>
          <w:lang w:val="en-US" w:eastAsia="zh-CN" w:bidi="ar-SA"/>
        </w:rPr>
      </w:pPr>
      <w:r>
        <w:rPr>
          <w:rFonts w:hint="eastAsia" w:ascii="宋体" w:hAnsi="宋体" w:eastAsia="宋体" w:cs="宋体"/>
          <w:kern w:val="2"/>
          <w:sz w:val="24"/>
          <w:szCs w:val="24"/>
          <w:lang w:val="en-US" w:eastAsia="zh-CN" w:bidi="ar-SA"/>
        </w:rPr>
        <w:t xml:space="preserve">1. </w:t>
      </w:r>
      <w:r>
        <w:rPr>
          <w:rFonts w:hint="eastAsia" w:ascii="宋体" w:hAnsi="宋体" w:eastAsia="宋体" w:cs="Times New Roman"/>
          <w:color w:val="000000"/>
          <w:kern w:val="0"/>
          <w:sz w:val="24"/>
          <w:szCs w:val="24"/>
          <w:lang w:val="en-US" w:eastAsia="zh-CN" w:bidi="ar-SA"/>
        </w:rPr>
        <w:t>合同签订后五个工作日内采购人凭正式的发票办理支付手续，预付合同总价的70%作为预付款，本合同在采购人和中标人双方法人代表或其授权代表签字盖章后生效；</w:t>
      </w:r>
    </w:p>
    <w:p>
      <w:pPr>
        <w:widowControl w:val="0"/>
        <w:numPr>
          <w:numId w:val="0"/>
        </w:numPr>
        <w:tabs>
          <w:tab w:val="left" w:pos="540"/>
        </w:tabs>
        <w:adjustRightInd w:val="0"/>
        <w:snapToGrid w:val="0"/>
        <w:spacing w:line="360" w:lineRule="auto"/>
        <w:ind w:leftChars="0"/>
        <w:jc w:val="both"/>
        <w:rPr>
          <w:rFonts w:hint="eastAsia"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2. 根据项目建设进度，中标人可申请支付相应进度款，安装调试完成并通过签字验收后采购人视财政资金下达情况，凭正式的增值税普通发票向中标方支付剩余款项。</w:t>
      </w:r>
    </w:p>
    <w:p>
      <w:pPr>
        <w:widowControl w:val="0"/>
        <w:numPr>
          <w:numId w:val="0"/>
        </w:numPr>
        <w:tabs>
          <w:tab w:val="left" w:pos="540"/>
        </w:tabs>
        <w:adjustRightInd w:val="0"/>
        <w:snapToGrid w:val="0"/>
        <w:spacing w:line="360" w:lineRule="auto"/>
        <w:ind w:leftChars="0"/>
        <w:jc w:val="both"/>
        <w:rPr>
          <w:rFonts w:hint="default" w:ascii="宋体" w:hAnsi="宋体" w:eastAsia="宋体" w:cs="Times New Roman"/>
          <w:color w:val="000000"/>
          <w:kern w:val="0"/>
          <w:sz w:val="24"/>
          <w:szCs w:val="24"/>
          <w:lang w:val="en-US" w:eastAsia="zh-Hans" w:bidi="ar-SA"/>
        </w:rPr>
      </w:pPr>
      <w:r>
        <w:rPr>
          <w:rFonts w:hint="eastAsia" w:ascii="宋体" w:hAnsi="宋体" w:eastAsia="宋体" w:cs="Times New Roman"/>
          <w:color w:val="000000"/>
          <w:kern w:val="0"/>
          <w:sz w:val="24"/>
          <w:szCs w:val="24"/>
          <w:lang w:val="en-US" w:eastAsia="zh-Hans" w:bidi="ar-SA"/>
        </w:rPr>
        <w:t>3. 本合同的付款时间为采购人向政府采购支付部门提出支付申请的时间（不含政府财政部门审查时间）。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rebuchet MS">
    <w:panose1 w:val="020B0603020202020204"/>
    <w:charset w:val="00"/>
    <w:family w:val="swiss"/>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6F60E5"/>
    <w:multiLevelType w:val="multilevel"/>
    <w:tmpl w:val="6E6F60E5"/>
    <w:lvl w:ilvl="0" w:tentative="0">
      <w:start w:val="1"/>
      <w:numFmt w:val="japaneseCounting"/>
      <w:lvlText w:val="%1、"/>
      <w:lvlJc w:val="left"/>
      <w:pPr>
        <w:tabs>
          <w:tab w:val="left" w:pos="420"/>
        </w:tabs>
        <w:ind w:left="420" w:hanging="420"/>
      </w:pPr>
      <w:rPr>
        <w:rFonts w:ascii="宋体" w:hAnsi="宋体" w:eastAsia="宋体" w:cs="Courier New"/>
        <w:b/>
        <w:lang w:val="en-US"/>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6F60F3"/>
    <w:multiLevelType w:val="multilevel"/>
    <w:tmpl w:val="6E6F60F3"/>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E6F60F4"/>
    <w:multiLevelType w:val="multilevel"/>
    <w:tmpl w:val="6E6F60F4"/>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6E6F60F5"/>
    <w:multiLevelType w:val="multilevel"/>
    <w:tmpl w:val="6E6F60F5"/>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6E6F60F6"/>
    <w:multiLevelType w:val="multilevel"/>
    <w:tmpl w:val="6E6F60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ODRmOTNjMGQ0YjRmZmI1NGM4NGRiNWYzYWEyMGQifQ=="/>
  </w:docVars>
  <w:rsids>
    <w:rsidRoot w:val="2F001736"/>
    <w:rsid w:val="03065B89"/>
    <w:rsid w:val="039B156E"/>
    <w:rsid w:val="0C091577"/>
    <w:rsid w:val="0FFA7E56"/>
    <w:rsid w:val="13150677"/>
    <w:rsid w:val="18034E86"/>
    <w:rsid w:val="1AD553F0"/>
    <w:rsid w:val="2D241F6F"/>
    <w:rsid w:val="2D613FA1"/>
    <w:rsid w:val="2F001736"/>
    <w:rsid w:val="3DAF286E"/>
    <w:rsid w:val="4B491B35"/>
    <w:rsid w:val="4C1E417D"/>
    <w:rsid w:val="4D900958"/>
    <w:rsid w:val="62553640"/>
    <w:rsid w:val="6954651B"/>
    <w:rsid w:val="6A034C97"/>
    <w:rsid w:val="7157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00" w:beforeLines="0" w:beforeAutospacing="0" w:after="90" w:afterLines="0" w:afterAutospacing="0" w:line="560" w:lineRule="exact"/>
      <w:jc w:val="center"/>
      <w:outlineLvl w:val="0"/>
    </w:pPr>
    <w:rPr>
      <w:rFonts w:ascii="Times New Roman" w:hAnsi="Times New Roman" w:eastAsia="方正小标宋简体"/>
      <w:kern w:val="44"/>
      <w:sz w:val="44"/>
    </w:rPr>
  </w:style>
  <w:style w:type="paragraph" w:styleId="4">
    <w:name w:val="heading 2"/>
    <w:basedOn w:val="1"/>
    <w:next w:val="1"/>
    <w:autoRedefine/>
    <w:semiHidden/>
    <w:unhideWhenUsed/>
    <w:qFormat/>
    <w:uiPriority w:val="0"/>
    <w:pPr>
      <w:keepNext/>
      <w:keepLines/>
      <w:spacing w:before="20" w:beforeLines="0" w:beforeAutospacing="0" w:after="20" w:afterLines="0" w:afterAutospacing="0" w:line="240" w:lineRule="auto"/>
      <w:jc w:val="center"/>
      <w:outlineLvl w:val="1"/>
    </w:pPr>
    <w:rPr>
      <w:rFonts w:ascii="Arial" w:hAnsi="Arial" w:eastAsia="方正小标宋简体"/>
      <w:sz w:val="44"/>
    </w:rPr>
  </w:style>
  <w:style w:type="paragraph" w:styleId="5">
    <w:name w:val="heading 3"/>
    <w:basedOn w:val="1"/>
    <w:next w:val="1"/>
    <w:autoRedefine/>
    <w:semiHidden/>
    <w:unhideWhenUsed/>
    <w:qFormat/>
    <w:uiPriority w:val="0"/>
    <w:pPr>
      <w:keepNext/>
      <w:keepLines/>
      <w:spacing w:before="260" w:beforeLines="0" w:beforeAutospacing="0" w:after="260" w:afterLines="0" w:afterAutospacing="0" w:line="413" w:lineRule="auto"/>
      <w:outlineLvl w:val="2"/>
    </w:pPr>
    <w:rPr>
      <w:b/>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line="360" w:lineRule="auto"/>
    </w:pPr>
    <w:rPr>
      <w:rFonts w:ascii="Times New Roman" w:hAnsi="Times New Roman" w:eastAsia="Trebuchet MS" w:cs="Trebuchet MS"/>
      <w:sz w:val="28"/>
      <w:szCs w:val="21"/>
    </w:rPr>
  </w:style>
  <w:style w:type="paragraph" w:styleId="6">
    <w:name w:val="toc 2"/>
    <w:basedOn w:val="1"/>
    <w:next w:val="1"/>
    <w:autoRedefine/>
    <w:qFormat/>
    <w:uiPriority w:val="0"/>
    <w:pPr>
      <w:ind w:left="420" w:leftChars="200"/>
    </w:pPr>
  </w:style>
  <w:style w:type="paragraph" w:customStyle="1" w:styleId="9">
    <w:name w:val="null3"/>
    <w:autoRedefine/>
    <w:hidden/>
    <w:qFormat/>
    <w:uiPriority w:val="0"/>
    <w:rPr>
      <w:rFonts w:hint="eastAsia" w:asciiTheme="minorHAnsi" w:hAnsiTheme="minorHAnsi" w:eastAsiaTheme="minorEastAsia" w:cstheme="minorBidi"/>
      <w:lang w:val="en-US" w:eastAsia="zh-Hans" w:bidi="ar-SA"/>
    </w:rPr>
  </w:style>
  <w:style w:type="paragraph" w:customStyle="1" w:styleId="10">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图_0"/>
    <w:basedOn w:val="10"/>
    <w:autoRedefine/>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12">
    <w:name w:val="纯文本_0"/>
    <w:basedOn w:val="10"/>
    <w:autoRedefine/>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2024-06-24T07:23:00Z</dcterms:created>
  <dc:creator>吴宇歌</dc:creator>
  <cp:lastModifiedBy>吴宇歌</cp:lastModifiedBy>
  <dcterms:modified xsi:type="dcterms:W3CDTF">2024-06-24T07:25:03Z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ABC28064260648F88FE0AC696C2CF9FF_11</vt:lpwstr>
  </property>
</Properties>
</file>